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6563F59" w:rsidR="00DB32D3" w:rsidRDefault="00DD466D" w:rsidP="005726E3">
      <w:pPr>
        <w:pStyle w:val="Heading1"/>
      </w:pPr>
      <w:r>
        <w:t>1.ИМЕ НА ЛЕКАРСТВЕНИЯ ПРОДУКТ</w:t>
      </w:r>
    </w:p>
    <w:p w14:paraId="05C8F847" w14:textId="09E95F16" w:rsidR="001C4124" w:rsidRDefault="001C4124" w:rsidP="001C4124"/>
    <w:p w14:paraId="524BA27A" w14:textId="77777777" w:rsidR="001C4124" w:rsidRPr="001C4124" w:rsidRDefault="001C4124" w:rsidP="001C4124">
      <w:pPr>
        <w:rPr>
          <w:sz w:val="24"/>
          <w:szCs w:val="24"/>
        </w:rPr>
      </w:pPr>
      <w:r w:rsidRPr="001C4124">
        <w:rPr>
          <w:lang w:eastAsia="bg-BG"/>
        </w:rPr>
        <w:t xml:space="preserve">Приамло 4 </w:t>
      </w:r>
      <w:r w:rsidRPr="001C4124">
        <w:rPr>
          <w:lang w:val="en-US"/>
        </w:rPr>
        <w:t>mg</w:t>
      </w:r>
      <w:r w:rsidRPr="001C4124">
        <w:t xml:space="preserve">/5 </w:t>
      </w:r>
      <w:r w:rsidRPr="001C4124">
        <w:rPr>
          <w:lang w:val="en-US"/>
        </w:rPr>
        <w:t>mg</w:t>
      </w:r>
      <w:r w:rsidRPr="001C4124">
        <w:t xml:space="preserve"> </w:t>
      </w:r>
      <w:r w:rsidRPr="001C4124">
        <w:rPr>
          <w:lang w:eastAsia="bg-BG"/>
        </w:rPr>
        <w:t>таблетки</w:t>
      </w:r>
    </w:p>
    <w:p w14:paraId="3AA501EE" w14:textId="77777777" w:rsidR="001C4124" w:rsidRPr="001C4124" w:rsidRDefault="001C4124" w:rsidP="001C4124">
      <w:pPr>
        <w:rPr>
          <w:sz w:val="24"/>
          <w:szCs w:val="24"/>
        </w:rPr>
      </w:pPr>
      <w:proofErr w:type="spellStart"/>
      <w:r w:rsidRPr="001C4124">
        <w:rPr>
          <w:lang w:val="en-US"/>
        </w:rPr>
        <w:t>Priamlo</w:t>
      </w:r>
      <w:proofErr w:type="spellEnd"/>
      <w:r w:rsidRPr="001C4124">
        <w:t xml:space="preserve"> </w:t>
      </w:r>
      <w:r w:rsidRPr="001C4124">
        <w:rPr>
          <w:lang w:eastAsia="bg-BG"/>
        </w:rPr>
        <w:t xml:space="preserve">4 </w:t>
      </w:r>
      <w:r w:rsidRPr="001C4124">
        <w:rPr>
          <w:lang w:val="en-US"/>
        </w:rPr>
        <w:t>mg</w:t>
      </w:r>
      <w:r w:rsidRPr="001C4124">
        <w:t xml:space="preserve">/5 </w:t>
      </w:r>
      <w:r w:rsidRPr="001C4124">
        <w:rPr>
          <w:lang w:val="en-US"/>
        </w:rPr>
        <w:t>mg</w:t>
      </w:r>
      <w:r w:rsidRPr="001C4124">
        <w:t xml:space="preserve"> </w:t>
      </w:r>
      <w:r w:rsidRPr="001C4124">
        <w:rPr>
          <w:lang w:val="en-US"/>
        </w:rPr>
        <w:t>tablets</w:t>
      </w:r>
    </w:p>
    <w:p w14:paraId="58F197AC" w14:textId="77777777" w:rsidR="001C4124" w:rsidRPr="001C4124" w:rsidRDefault="001C4124" w:rsidP="001C4124"/>
    <w:p w14:paraId="48E6CABE" w14:textId="6747D89B" w:rsidR="00DB32D3" w:rsidRDefault="00DD466D" w:rsidP="005726E3">
      <w:pPr>
        <w:pStyle w:val="Heading1"/>
      </w:pPr>
      <w:r>
        <w:t>2. КАЧЕСТВЕН И КОЛИЧЕСТВЕН СЪСТАВ</w:t>
      </w:r>
    </w:p>
    <w:p w14:paraId="4A4DA7A5" w14:textId="20255004" w:rsidR="001C4124" w:rsidRDefault="001C4124" w:rsidP="001C4124"/>
    <w:p w14:paraId="527B7295" w14:textId="23AF4C6E" w:rsidR="001C4124" w:rsidRPr="001C4124" w:rsidRDefault="001C4124" w:rsidP="001C4124">
      <w:r>
        <w:t xml:space="preserve">Всяка таблетка съдържа 4 </w:t>
      </w:r>
      <w:r>
        <w:rPr>
          <w:lang w:val="en-US"/>
        </w:rPr>
        <w:t>mg</w:t>
      </w:r>
      <w:r w:rsidRPr="001C4124">
        <w:t xml:space="preserve"> </w:t>
      </w:r>
      <w:r>
        <w:t xml:space="preserve">периндоприл ербумин </w:t>
      </w:r>
      <w:r w:rsidRPr="001C4124">
        <w:rPr>
          <w:i/>
          <w:iCs/>
        </w:rPr>
        <w:t>(</w:t>
      </w:r>
      <w:r>
        <w:rPr>
          <w:i/>
          <w:iCs/>
          <w:lang w:val="en-US"/>
        </w:rPr>
        <w:t>perindopril</w:t>
      </w:r>
      <w:r w:rsidRPr="001C4124">
        <w:rPr>
          <w:i/>
          <w:iCs/>
        </w:rPr>
        <w:t xml:space="preserve"> </w:t>
      </w:r>
      <w:proofErr w:type="spellStart"/>
      <w:r>
        <w:rPr>
          <w:i/>
          <w:iCs/>
          <w:lang w:val="en-US"/>
        </w:rPr>
        <w:t>erbumine</w:t>
      </w:r>
      <w:proofErr w:type="spellEnd"/>
      <w:r w:rsidRPr="001C4124">
        <w:rPr>
          <w:i/>
          <w:iCs/>
        </w:rPr>
        <w:t>)</w:t>
      </w:r>
      <w:r w:rsidRPr="001C4124">
        <w:t xml:space="preserve"> </w:t>
      </w:r>
      <w:r>
        <w:t xml:space="preserve">еквивалентен на 3,338 </w:t>
      </w:r>
      <w:r>
        <w:rPr>
          <w:lang w:val="en-US"/>
        </w:rPr>
        <w:t>mg</w:t>
      </w:r>
      <w:r w:rsidRPr="001C4124">
        <w:t xml:space="preserve"> </w:t>
      </w:r>
      <w:r>
        <w:t xml:space="preserve">периндоприл </w:t>
      </w:r>
      <w:r w:rsidRPr="001C4124">
        <w:rPr>
          <w:i/>
          <w:iCs/>
        </w:rPr>
        <w:t>(</w:t>
      </w:r>
      <w:r>
        <w:rPr>
          <w:i/>
          <w:iCs/>
          <w:lang w:val="en-US"/>
        </w:rPr>
        <w:t>perindopril</w:t>
      </w:r>
      <w:r w:rsidRPr="001C4124">
        <w:rPr>
          <w:i/>
          <w:iCs/>
        </w:rPr>
        <w:t>)</w:t>
      </w:r>
      <w:r w:rsidRPr="001C4124">
        <w:t xml:space="preserve"> </w:t>
      </w:r>
      <w:r>
        <w:t xml:space="preserve">и 5 </w:t>
      </w:r>
      <w:r>
        <w:rPr>
          <w:lang w:val="en-US"/>
        </w:rPr>
        <w:t>mg</w:t>
      </w:r>
      <w:r w:rsidRPr="001C4124">
        <w:t xml:space="preserve"> </w:t>
      </w:r>
      <w:r>
        <w:t xml:space="preserve">амлодипин </w:t>
      </w:r>
      <w:r w:rsidRPr="001C4124">
        <w:rPr>
          <w:i/>
          <w:iCs/>
        </w:rPr>
        <w:t>(</w:t>
      </w:r>
      <w:r>
        <w:rPr>
          <w:i/>
          <w:iCs/>
          <w:lang w:val="en-US"/>
        </w:rPr>
        <w:t>amlodipine</w:t>
      </w:r>
      <w:r w:rsidRPr="001C4124">
        <w:rPr>
          <w:i/>
          <w:iCs/>
        </w:rPr>
        <w:t>)</w:t>
      </w:r>
      <w:r w:rsidRPr="001C4124">
        <w:t xml:space="preserve"> </w:t>
      </w:r>
      <w:r>
        <w:t xml:space="preserve">(като безилат) </w:t>
      </w:r>
      <w:r w:rsidRPr="001C4124">
        <w:rPr>
          <w:i/>
          <w:iCs/>
        </w:rPr>
        <w:t>(</w:t>
      </w:r>
      <w:r>
        <w:rPr>
          <w:i/>
          <w:iCs/>
          <w:lang w:val="en-US"/>
        </w:rPr>
        <w:t>as</w:t>
      </w:r>
      <w:r w:rsidRPr="001C4124">
        <w:rPr>
          <w:i/>
          <w:iCs/>
        </w:rPr>
        <w:t xml:space="preserve"> </w:t>
      </w:r>
      <w:r>
        <w:rPr>
          <w:i/>
          <w:iCs/>
          <w:lang w:val="en-US"/>
        </w:rPr>
        <w:t>hesitate</w:t>
      </w:r>
      <w:r w:rsidRPr="001C4124">
        <w:rPr>
          <w:i/>
          <w:iCs/>
        </w:rPr>
        <w:t>).</w:t>
      </w:r>
    </w:p>
    <w:p w14:paraId="614984C4" w14:textId="1713D51B" w:rsidR="008A6AF2" w:rsidRDefault="00DD466D" w:rsidP="002C50EE">
      <w:pPr>
        <w:pStyle w:val="Heading1"/>
      </w:pPr>
      <w:r>
        <w:t>3. ЛЕКАРСТВЕНА ФОРМА</w:t>
      </w:r>
    </w:p>
    <w:p w14:paraId="6EE328AC" w14:textId="1B9C53B6" w:rsidR="001C4124" w:rsidRDefault="001C4124" w:rsidP="001C4124"/>
    <w:p w14:paraId="6E68C1DB" w14:textId="77777777" w:rsidR="001C4124" w:rsidRPr="001C4124" w:rsidRDefault="001C4124" w:rsidP="001C4124">
      <w:pPr>
        <w:rPr>
          <w:sz w:val="24"/>
          <w:szCs w:val="24"/>
        </w:rPr>
      </w:pPr>
      <w:r w:rsidRPr="001C4124">
        <w:rPr>
          <w:lang w:eastAsia="bg-BG"/>
        </w:rPr>
        <w:t>Таблетка.</w:t>
      </w:r>
    </w:p>
    <w:p w14:paraId="076AED5F" w14:textId="77777777" w:rsidR="001C4124" w:rsidRDefault="001C4124" w:rsidP="001C4124">
      <w:pPr>
        <w:rPr>
          <w:lang w:eastAsia="bg-BG"/>
        </w:rPr>
      </w:pPr>
    </w:p>
    <w:p w14:paraId="43E1E4DF" w14:textId="4C161D32" w:rsidR="001C4124" w:rsidRPr="001C4124" w:rsidRDefault="001C4124" w:rsidP="001C4124">
      <w:pPr>
        <w:rPr>
          <w:sz w:val="24"/>
          <w:szCs w:val="24"/>
        </w:rPr>
      </w:pPr>
      <w:r w:rsidRPr="001C4124">
        <w:rPr>
          <w:lang w:eastAsia="bg-BG"/>
        </w:rPr>
        <w:t xml:space="preserve">Бели до почти бели кръгли таблетки, с релефно означение 4/5 от едната страна (диаметър около 7,0 </w:t>
      </w:r>
      <w:r w:rsidRPr="001C4124">
        <w:rPr>
          <w:lang w:val="en-US"/>
        </w:rPr>
        <w:t>mm</w:t>
      </w:r>
      <w:r w:rsidRPr="001C4124">
        <w:rPr>
          <w:lang w:val="ru-RU"/>
        </w:rPr>
        <w:t>).</w:t>
      </w:r>
    </w:p>
    <w:p w14:paraId="57441F18" w14:textId="77777777" w:rsidR="001C4124" w:rsidRPr="001C4124" w:rsidRDefault="001C4124" w:rsidP="001C4124"/>
    <w:p w14:paraId="490FC2C4" w14:textId="6899DE43" w:rsidR="002C50EE" w:rsidRDefault="002C50EE" w:rsidP="002C50EE">
      <w:pPr>
        <w:pStyle w:val="Heading1"/>
      </w:pPr>
      <w:r>
        <w:t>4. КЛИНИЧНИ ДАННИ</w:t>
      </w:r>
    </w:p>
    <w:p w14:paraId="0771830A" w14:textId="2C20FFB3" w:rsidR="00DB32D3" w:rsidRDefault="002C50EE" w:rsidP="005726E3">
      <w:pPr>
        <w:pStyle w:val="Heading2"/>
      </w:pPr>
      <w:r>
        <w:t>4.1. Терапевтични показания</w:t>
      </w:r>
    </w:p>
    <w:p w14:paraId="08FE339F" w14:textId="1B0F1A14" w:rsidR="001C4124" w:rsidRDefault="001C4124" w:rsidP="001C4124"/>
    <w:p w14:paraId="16E24CE3" w14:textId="77777777" w:rsidR="001C4124" w:rsidRPr="001C4124" w:rsidRDefault="001C4124" w:rsidP="001C4124">
      <w:pPr>
        <w:rPr>
          <w:sz w:val="24"/>
          <w:szCs w:val="24"/>
        </w:rPr>
      </w:pPr>
      <w:r w:rsidRPr="001C4124">
        <w:rPr>
          <w:lang w:eastAsia="bg-BG"/>
        </w:rPr>
        <w:t xml:space="preserve">Приамло 4 </w:t>
      </w:r>
      <w:r w:rsidRPr="001C4124">
        <w:rPr>
          <w:lang w:val="en-US"/>
        </w:rPr>
        <w:t>mg</w:t>
      </w:r>
      <w:r w:rsidRPr="001C4124">
        <w:rPr>
          <w:lang w:val="ru-RU"/>
        </w:rPr>
        <w:t xml:space="preserve">/5 </w:t>
      </w:r>
      <w:r w:rsidRPr="001C4124">
        <w:rPr>
          <w:lang w:val="en-US"/>
        </w:rPr>
        <w:t>mg</w:t>
      </w:r>
      <w:r w:rsidRPr="001C4124">
        <w:rPr>
          <w:lang w:val="ru-RU"/>
        </w:rPr>
        <w:t xml:space="preserve"> </w:t>
      </w:r>
      <w:r w:rsidRPr="001C4124">
        <w:rPr>
          <w:lang w:eastAsia="bg-BG"/>
        </w:rPr>
        <w:t>таблетки е показан като заместителна терапия за лечение на хипертония и/или стабилна коронарна артериална болест при пациенти, които вече са контролирани с периндоприл и амлодипин, приемани едновременно в същата доза.</w:t>
      </w:r>
    </w:p>
    <w:p w14:paraId="2D683766" w14:textId="77777777" w:rsidR="001C4124" w:rsidRPr="001C4124" w:rsidRDefault="001C4124" w:rsidP="001C4124"/>
    <w:p w14:paraId="7647A102" w14:textId="02AC4FC0" w:rsidR="00DB32D3" w:rsidRDefault="002C50EE" w:rsidP="005726E3">
      <w:pPr>
        <w:pStyle w:val="Heading2"/>
      </w:pPr>
      <w:r>
        <w:t>4.2. Дозировка и начин на приложение</w:t>
      </w:r>
    </w:p>
    <w:p w14:paraId="277C1D77" w14:textId="5F833838" w:rsidR="001C4124" w:rsidRDefault="001C4124" w:rsidP="001C4124"/>
    <w:p w14:paraId="50DFE942" w14:textId="77777777" w:rsidR="001C4124" w:rsidRPr="001C4124" w:rsidRDefault="001C4124" w:rsidP="001C4124">
      <w:pPr>
        <w:pStyle w:val="Heading3"/>
        <w:rPr>
          <w:rFonts w:eastAsia="Times New Roman"/>
          <w:sz w:val="28"/>
          <w:u w:val="single"/>
        </w:rPr>
      </w:pPr>
      <w:r w:rsidRPr="001C4124">
        <w:rPr>
          <w:rFonts w:eastAsia="Times New Roman"/>
          <w:u w:val="single"/>
          <w:lang w:eastAsia="bg-BG"/>
        </w:rPr>
        <w:t>Дозировка</w:t>
      </w:r>
    </w:p>
    <w:p w14:paraId="39046165"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Пациентите трябва да използват количеството активно вещество, съответстващо на предишното им лечение.</w:t>
      </w:r>
    </w:p>
    <w:p w14:paraId="7819200D"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Обичайната доза Приамло 4 </w:t>
      </w:r>
      <w:proofErr w:type="spellStart"/>
      <w:r w:rsidRPr="001C4124">
        <w:rPr>
          <w:rFonts w:eastAsia="Times New Roman" w:cs="Arial"/>
          <w:color w:val="000000"/>
          <w:szCs w:val="20"/>
          <w:lang w:val="en-US"/>
        </w:rPr>
        <w:t>rng</w:t>
      </w:r>
      <w:proofErr w:type="spellEnd"/>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е 1 или 2 таблетки дневно.</w:t>
      </w:r>
    </w:p>
    <w:p w14:paraId="19E959EA" w14:textId="77777777" w:rsidR="001C4124" w:rsidRPr="001C4124" w:rsidRDefault="001C4124" w:rsidP="001C4124">
      <w:pPr>
        <w:spacing w:line="240" w:lineRule="auto"/>
        <w:rPr>
          <w:rFonts w:eastAsia="Times New Roman" w:cs="Arial"/>
          <w:color w:val="000000"/>
          <w:szCs w:val="20"/>
          <w:lang w:eastAsia="bg-BG"/>
        </w:rPr>
      </w:pPr>
    </w:p>
    <w:p w14:paraId="76EF940C" w14:textId="6F5E90E3"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таблетки не е подходящ за начално лечение. Ако е необходима промяна на дозата, това трябва да се извърши с индивидуално титриране като се използват монокомпонентни продукти.</w:t>
      </w:r>
    </w:p>
    <w:p w14:paraId="1B631A5B" w14:textId="77777777" w:rsidR="001C4124" w:rsidRPr="001C4124" w:rsidRDefault="001C4124" w:rsidP="001C4124">
      <w:pPr>
        <w:spacing w:line="240" w:lineRule="auto"/>
        <w:rPr>
          <w:rFonts w:eastAsia="Times New Roman" w:cs="Arial"/>
          <w:color w:val="000000"/>
          <w:szCs w:val="20"/>
          <w:lang w:eastAsia="bg-BG"/>
        </w:rPr>
      </w:pPr>
    </w:p>
    <w:p w14:paraId="600F7DFA" w14:textId="282B2CD1"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Максималната дневна доза периндоприл е 8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а максималната дневна доза амлодипин е 10 </w:t>
      </w:r>
      <w:r w:rsidRPr="001C4124">
        <w:rPr>
          <w:rFonts w:eastAsia="Times New Roman" w:cs="Arial"/>
          <w:color w:val="000000"/>
          <w:szCs w:val="20"/>
          <w:lang w:val="en-US"/>
        </w:rPr>
        <w:t>mg</w:t>
      </w:r>
      <w:r w:rsidRPr="001C4124">
        <w:rPr>
          <w:rFonts w:eastAsia="Times New Roman" w:cs="Arial"/>
          <w:color w:val="000000"/>
          <w:szCs w:val="20"/>
          <w:lang w:val="ru-RU"/>
        </w:rPr>
        <w:t>.</w:t>
      </w:r>
    </w:p>
    <w:p w14:paraId="6F0A6F55" w14:textId="77777777" w:rsidR="001C4124" w:rsidRPr="001C4124" w:rsidRDefault="001C4124" w:rsidP="001C4124">
      <w:pPr>
        <w:spacing w:line="240" w:lineRule="auto"/>
        <w:rPr>
          <w:rFonts w:eastAsia="Times New Roman" w:cs="Arial"/>
          <w:i/>
          <w:iCs/>
          <w:color w:val="000000"/>
          <w:szCs w:val="20"/>
          <w:u w:val="single"/>
          <w:lang w:eastAsia="bg-BG"/>
        </w:rPr>
      </w:pPr>
    </w:p>
    <w:p w14:paraId="4D60D622" w14:textId="43F6D306"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u w:val="single"/>
          <w:lang w:eastAsia="bg-BG"/>
        </w:rPr>
        <w:t>Специални популации</w:t>
      </w:r>
    </w:p>
    <w:p w14:paraId="1703A8ED" w14:textId="77777777"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Бъбречно увреждане и старческа възраст</w:t>
      </w:r>
    </w:p>
    <w:p w14:paraId="02744605"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lastRenderedPageBreak/>
        <w:t xml:space="preserve">Елиминирането на периндоприлат намалява при хора в старческа възраст и пациенти с бъбречна недостатъчност. 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таблетки може да се прилага при пациенти с </w:t>
      </w:r>
      <w:proofErr w:type="spellStart"/>
      <w:r w:rsidRPr="001C4124">
        <w:rPr>
          <w:rFonts w:eastAsia="Times New Roman" w:cs="Arial"/>
          <w:color w:val="000000"/>
          <w:szCs w:val="20"/>
          <w:lang w:val="en-US"/>
        </w:rPr>
        <w:t>Clcr</w:t>
      </w:r>
      <w:proofErr w:type="spellEnd"/>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 60 </w:t>
      </w:r>
      <w:r w:rsidRPr="001C4124">
        <w:rPr>
          <w:rFonts w:eastAsia="Times New Roman" w:cs="Arial"/>
          <w:color w:val="000000"/>
          <w:szCs w:val="20"/>
          <w:lang w:val="en-US"/>
        </w:rPr>
        <w:t>ml</w:t>
      </w:r>
      <w:r w:rsidRPr="001C4124">
        <w:rPr>
          <w:rFonts w:eastAsia="Times New Roman" w:cs="Arial"/>
          <w:color w:val="000000"/>
          <w:szCs w:val="20"/>
          <w:lang w:val="ru-RU"/>
        </w:rPr>
        <w:t>/</w:t>
      </w:r>
      <w:r w:rsidRPr="001C4124">
        <w:rPr>
          <w:rFonts w:eastAsia="Times New Roman" w:cs="Arial"/>
          <w:color w:val="000000"/>
          <w:szCs w:val="20"/>
          <w:lang w:val="en-US"/>
        </w:rPr>
        <w:t>min</w:t>
      </w:r>
      <w:r w:rsidRPr="001C4124">
        <w:rPr>
          <w:rFonts w:eastAsia="Times New Roman" w:cs="Arial"/>
          <w:color w:val="000000"/>
          <w:szCs w:val="20"/>
          <w:lang w:val="ru-RU"/>
        </w:rPr>
        <w:t xml:space="preserve">, </w:t>
      </w:r>
      <w:r w:rsidRPr="001C4124">
        <w:rPr>
          <w:rFonts w:eastAsia="Times New Roman" w:cs="Arial"/>
          <w:color w:val="000000"/>
          <w:szCs w:val="20"/>
          <w:lang w:eastAsia="bg-BG"/>
        </w:rPr>
        <w:t>но не е подходящ при пациенти с С</w:t>
      </w:r>
      <w:r w:rsidRPr="001C4124">
        <w:rPr>
          <w:rFonts w:eastAsia="Times New Roman" w:cs="Arial"/>
          <w:color w:val="000000"/>
          <w:szCs w:val="20"/>
          <w:lang w:val="en-US"/>
        </w:rPr>
        <w:t>l</w:t>
      </w:r>
      <w:r w:rsidRPr="001C4124">
        <w:rPr>
          <w:rFonts w:eastAsia="Times New Roman" w:cs="Arial"/>
          <w:color w:val="000000"/>
          <w:szCs w:val="20"/>
          <w:vertAlign w:val="subscript"/>
          <w:lang w:eastAsia="bg-BG"/>
        </w:rPr>
        <w:t>сг</w:t>
      </w:r>
      <w:r w:rsidRPr="001C4124">
        <w:rPr>
          <w:rFonts w:eastAsia="Times New Roman" w:cs="Arial"/>
          <w:color w:val="000000"/>
          <w:szCs w:val="20"/>
          <w:lang w:eastAsia="bg-BG"/>
        </w:rPr>
        <w:t xml:space="preserve"> &lt; 60 </w:t>
      </w:r>
      <w:r w:rsidRPr="001C4124">
        <w:rPr>
          <w:rFonts w:eastAsia="Times New Roman" w:cs="Arial"/>
          <w:color w:val="000000"/>
          <w:szCs w:val="20"/>
          <w:lang w:val="en-US"/>
        </w:rPr>
        <w:t>ml</w:t>
      </w:r>
      <w:r w:rsidRPr="001C4124">
        <w:rPr>
          <w:rFonts w:eastAsia="Times New Roman" w:cs="Arial"/>
          <w:color w:val="000000"/>
          <w:szCs w:val="20"/>
          <w:lang w:val="ru-RU"/>
        </w:rPr>
        <w:t>/</w:t>
      </w:r>
      <w:r w:rsidRPr="001C4124">
        <w:rPr>
          <w:rFonts w:eastAsia="Times New Roman" w:cs="Arial"/>
          <w:color w:val="000000"/>
          <w:szCs w:val="20"/>
          <w:lang w:val="en-US"/>
        </w:rPr>
        <w:t>min</w:t>
      </w:r>
      <w:r w:rsidRPr="001C4124">
        <w:rPr>
          <w:rFonts w:eastAsia="Times New Roman" w:cs="Arial"/>
          <w:color w:val="000000"/>
          <w:szCs w:val="20"/>
          <w:lang w:val="ru-RU"/>
        </w:rPr>
        <w:t xml:space="preserve">. </w:t>
      </w:r>
      <w:r w:rsidRPr="001C4124">
        <w:rPr>
          <w:rFonts w:eastAsia="Times New Roman" w:cs="Arial"/>
          <w:color w:val="000000"/>
          <w:szCs w:val="20"/>
          <w:lang w:eastAsia="bg-BG"/>
        </w:rPr>
        <w:t>При тези пациенти се препоръчва индивидуално титриране на дозата на отделните компоненти (вж. точка 4.4).</w:t>
      </w:r>
    </w:p>
    <w:p w14:paraId="79510ABC" w14:textId="77777777" w:rsidR="001C4124" w:rsidRPr="001C4124" w:rsidRDefault="001C4124" w:rsidP="001C4124">
      <w:pPr>
        <w:spacing w:line="240" w:lineRule="auto"/>
        <w:rPr>
          <w:rFonts w:eastAsia="Times New Roman" w:cs="Arial"/>
          <w:color w:val="000000"/>
          <w:szCs w:val="20"/>
          <w:lang w:eastAsia="bg-BG"/>
        </w:rPr>
      </w:pPr>
    </w:p>
    <w:p w14:paraId="2C18ABF5" w14:textId="77777777" w:rsidR="001C4124" w:rsidRPr="001C4124" w:rsidRDefault="001C4124" w:rsidP="001C4124">
      <w:pPr>
        <w:rPr>
          <w:rFonts w:eastAsia="Times New Roman" w:cs="Arial"/>
          <w:sz w:val="28"/>
          <w:szCs w:val="24"/>
        </w:rPr>
      </w:pPr>
      <w:r w:rsidRPr="001C4124">
        <w:rPr>
          <w:rFonts w:eastAsia="Times New Roman" w:cs="Arial"/>
          <w:color w:val="000000"/>
          <w:szCs w:val="20"/>
          <w:lang w:eastAsia="bg-BG"/>
        </w:rPr>
        <w:t>Промените в плазмените концентрации на амлодипин не съответстват на степента на бъбречно увреждане, затова се препоръчва обичайната доза. Амлодипин, използван в еднакви дози при пациенти в старческа възраст или при по-млади пациенти, се понася еднакво добре. При</w:t>
      </w:r>
      <w:r w:rsidRPr="001C4124">
        <w:rPr>
          <w:rFonts w:eastAsia="Times New Roman" w:cs="Arial"/>
          <w:color w:val="000000"/>
          <w:szCs w:val="20"/>
          <w:lang w:val="ru-RU" w:eastAsia="bg-BG"/>
        </w:rPr>
        <w:t xml:space="preserve"> </w:t>
      </w:r>
      <w:r w:rsidRPr="001C4124">
        <w:rPr>
          <w:rFonts w:eastAsia="Times New Roman" w:cs="Arial"/>
          <w:color w:val="000000"/>
          <w:szCs w:val="20"/>
          <w:lang w:eastAsia="bg-BG"/>
        </w:rPr>
        <w:t>пациенти в старческа възраст се препоръчват обичайните режими на дозиране, но увеличаването на дозата трябва да се извършва с повишено внимание (вж. точки 4.4 и 5.2).</w:t>
      </w:r>
    </w:p>
    <w:p w14:paraId="7423FC08" w14:textId="77777777" w:rsidR="001C4124" w:rsidRPr="001C4124" w:rsidRDefault="001C4124" w:rsidP="001C4124">
      <w:pPr>
        <w:spacing w:line="240" w:lineRule="auto"/>
        <w:rPr>
          <w:rFonts w:eastAsia="Times New Roman" w:cs="Arial"/>
          <w:i/>
          <w:iCs/>
          <w:color w:val="000000"/>
          <w:szCs w:val="20"/>
          <w:lang w:eastAsia="bg-BG"/>
        </w:rPr>
      </w:pPr>
    </w:p>
    <w:p w14:paraId="4989AC8C" w14:textId="7CCD8994"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Чернодробно увреждане</w:t>
      </w:r>
    </w:p>
    <w:p w14:paraId="41AD48D5"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Не са установени препоръки за дозировката при пациенти с чернодробно увреждане (вж. точки 4.4 и 5.2).</w:t>
      </w:r>
    </w:p>
    <w:p w14:paraId="4EBF7670" w14:textId="77777777" w:rsidR="001C4124" w:rsidRPr="001C4124" w:rsidRDefault="001C4124" w:rsidP="001C4124">
      <w:pPr>
        <w:spacing w:line="240" w:lineRule="auto"/>
        <w:rPr>
          <w:rFonts w:eastAsia="Times New Roman" w:cs="Arial"/>
          <w:i/>
          <w:iCs/>
          <w:color w:val="000000"/>
          <w:szCs w:val="20"/>
          <w:lang w:eastAsia="bg-BG"/>
        </w:rPr>
      </w:pPr>
    </w:p>
    <w:p w14:paraId="2FCFE248" w14:textId="2388B61F"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Педиатрична популация</w:t>
      </w:r>
    </w:p>
    <w:p w14:paraId="5528A1E5"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таблетки не трябва да се използва при деца и юноши, тъй като безопасността и ефикасността на периндоприл самостоятелно или в комбинация с амлодипин не са установени при деца и юноши.</w:t>
      </w:r>
    </w:p>
    <w:p w14:paraId="12D7C1CF"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Наличните понастоящем данни са описани в точка 5.1.</w:t>
      </w:r>
    </w:p>
    <w:p w14:paraId="13BBA8B5" w14:textId="77777777" w:rsidR="001C4124" w:rsidRPr="001C4124" w:rsidRDefault="001C4124" w:rsidP="001C4124">
      <w:pPr>
        <w:spacing w:line="240" w:lineRule="auto"/>
        <w:rPr>
          <w:rFonts w:eastAsia="Times New Roman" w:cs="Arial"/>
          <w:color w:val="000000"/>
          <w:szCs w:val="20"/>
          <w:u w:val="single"/>
          <w:lang w:eastAsia="bg-BG"/>
        </w:rPr>
      </w:pPr>
    </w:p>
    <w:p w14:paraId="7A32E016" w14:textId="222F82DA" w:rsidR="001C4124" w:rsidRPr="001C4124" w:rsidRDefault="001C4124" w:rsidP="001C4124">
      <w:pPr>
        <w:pStyle w:val="Heading3"/>
        <w:rPr>
          <w:rFonts w:eastAsia="Times New Roman"/>
          <w:sz w:val="28"/>
          <w:u w:val="single"/>
        </w:rPr>
      </w:pPr>
      <w:r w:rsidRPr="001C4124">
        <w:rPr>
          <w:rFonts w:eastAsia="Times New Roman"/>
          <w:u w:val="single"/>
          <w:lang w:eastAsia="bg-BG"/>
        </w:rPr>
        <w:t>Начин на приложение</w:t>
      </w:r>
    </w:p>
    <w:p w14:paraId="0CCBAD8C"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таблетки трябва да се приемат сутрин преди хранене.</w:t>
      </w:r>
    </w:p>
    <w:p w14:paraId="4810B2F4" w14:textId="6BD1BEF3" w:rsidR="001C4124" w:rsidRPr="001C4124" w:rsidRDefault="001C4124" w:rsidP="001C4124"/>
    <w:p w14:paraId="74903285" w14:textId="6FACA259" w:rsidR="00DB32D3" w:rsidRDefault="002C50EE" w:rsidP="005726E3">
      <w:pPr>
        <w:pStyle w:val="Heading2"/>
      </w:pPr>
      <w:r>
        <w:t>4.3. Противопоказания</w:t>
      </w:r>
    </w:p>
    <w:p w14:paraId="4CDD3016" w14:textId="5C8A8A4A" w:rsidR="001C4124" w:rsidRDefault="001C4124" w:rsidP="001C4124"/>
    <w:p w14:paraId="514D81D7"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Свръхчувствителност към периндоприл или към друг АСЕ инхибитор, свърхчувствителност към амлодипин или дихидропиридинови производни, или към някое от помощните вещества, изброени в точка 6.1.</w:t>
      </w:r>
    </w:p>
    <w:p w14:paraId="19C9F261"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Тежка хипотония.</w:t>
      </w:r>
    </w:p>
    <w:p w14:paraId="4E6E52D3"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Шок (включително кардиогенен шок).</w:t>
      </w:r>
    </w:p>
    <w:p w14:paraId="4B001945"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 xml:space="preserve">Обструкция на изхода на лявата камера (напр. високостепенна аортна стеноза). </w:t>
      </w:r>
    </w:p>
    <w:p w14:paraId="019D9770"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 xml:space="preserve">Хемодинамично нестабилна сърдечна недостатъчност след остър миокарден инфаркт. </w:t>
      </w:r>
    </w:p>
    <w:p w14:paraId="39874538"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Анамнеза за ангиоедем, свързан с предшестващо лечение с АСЕ инхибитор (вж. точка 4.4)</w:t>
      </w:r>
    </w:p>
    <w:p w14:paraId="4F9880EB"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Наследствен или идиопатичен ангиоедем.</w:t>
      </w:r>
    </w:p>
    <w:p w14:paraId="3F17470A"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Едновременната употреба при терапия със сакубитрил/валсартан. Приамло не трябва да се започва по-рано от 36 часа след последната доза сакубитрил/валсартан (вж. също точки 4.4 и 4.5).</w:t>
      </w:r>
    </w:p>
    <w:p w14:paraId="045A700A"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Втори и трети триместър на бременността (вж. точки 4.4 и 4.6).</w:t>
      </w:r>
    </w:p>
    <w:p w14:paraId="0F7F8095"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 xml:space="preserve">Едновременната употреба на Приамло с алискирен-съдържаши продукти е противопоказана при пациенти със захарен диабет или бъбречно увреждане </w:t>
      </w:r>
      <w:r w:rsidRPr="001C4124">
        <w:rPr>
          <w:rFonts w:eastAsia="Times New Roman" w:cs="Arial"/>
          <w:color w:val="000000"/>
          <w:szCs w:val="20"/>
          <w:lang w:val="ru-RU"/>
        </w:rPr>
        <w:t>(</w:t>
      </w:r>
      <w:r w:rsidRPr="001C4124">
        <w:rPr>
          <w:rFonts w:eastAsia="Times New Roman" w:cs="Arial"/>
          <w:color w:val="000000"/>
          <w:szCs w:val="20"/>
          <w:lang w:val="en-US"/>
        </w:rPr>
        <w:t>GFR</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&lt;60 </w:t>
      </w:r>
      <w:r w:rsidRPr="001C4124">
        <w:rPr>
          <w:rFonts w:eastAsia="Times New Roman" w:cs="Arial"/>
          <w:color w:val="000000"/>
          <w:szCs w:val="20"/>
          <w:lang w:val="en-US"/>
        </w:rPr>
        <w:t>ml</w:t>
      </w:r>
      <w:r w:rsidRPr="001C4124">
        <w:rPr>
          <w:rFonts w:eastAsia="Times New Roman" w:cs="Arial"/>
          <w:color w:val="000000"/>
          <w:szCs w:val="20"/>
          <w:lang w:val="ru-RU"/>
        </w:rPr>
        <w:t>/</w:t>
      </w:r>
      <w:r w:rsidRPr="001C4124">
        <w:rPr>
          <w:rFonts w:eastAsia="Times New Roman" w:cs="Arial"/>
          <w:color w:val="000000"/>
          <w:szCs w:val="20"/>
          <w:lang w:val="en-US"/>
        </w:rPr>
        <w:t>min</w:t>
      </w:r>
      <w:r w:rsidRPr="001C4124">
        <w:rPr>
          <w:rFonts w:eastAsia="Times New Roman" w:cs="Arial"/>
          <w:color w:val="000000"/>
          <w:szCs w:val="20"/>
          <w:lang w:val="ru-RU"/>
        </w:rPr>
        <w:t xml:space="preserve">/1,73 </w:t>
      </w:r>
      <w:r w:rsidRPr="001C4124">
        <w:rPr>
          <w:rFonts w:eastAsia="Times New Roman" w:cs="Arial"/>
          <w:color w:val="000000"/>
          <w:szCs w:val="20"/>
          <w:lang w:val="en-US"/>
        </w:rPr>
        <w:t>m</w:t>
      </w:r>
      <w:r w:rsidRPr="001C4124">
        <w:rPr>
          <w:rFonts w:eastAsia="Times New Roman" w:cs="Arial"/>
          <w:color w:val="000000"/>
          <w:szCs w:val="20"/>
          <w:vertAlign w:val="superscript"/>
          <w:lang w:val="ru-RU"/>
        </w:rPr>
        <w:t>2</w:t>
      </w:r>
      <w:r w:rsidRPr="001C4124">
        <w:rPr>
          <w:rFonts w:eastAsia="Times New Roman" w:cs="Arial"/>
          <w:color w:val="000000"/>
          <w:szCs w:val="20"/>
          <w:lang w:val="ru-RU"/>
        </w:rPr>
        <w:t xml:space="preserve">) </w:t>
      </w:r>
      <w:r w:rsidRPr="001C4124">
        <w:rPr>
          <w:rFonts w:eastAsia="Times New Roman" w:cs="Arial"/>
          <w:color w:val="000000"/>
          <w:szCs w:val="20"/>
          <w:lang w:eastAsia="bg-BG"/>
        </w:rPr>
        <w:t>(вж. точки 4.5 и 5.1).</w:t>
      </w:r>
    </w:p>
    <w:p w14:paraId="3C6121C0" w14:textId="77777777"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Екстракорпорални лечения, водещи до контакт на кръв с отрицателно заредени повърхности (вж. точка 4.5).</w:t>
      </w:r>
    </w:p>
    <w:p w14:paraId="151D39E1" w14:textId="5E068D21" w:rsidR="001C4124" w:rsidRPr="001C4124" w:rsidRDefault="001C4124" w:rsidP="001C4124">
      <w:pPr>
        <w:pStyle w:val="ListParagraph"/>
        <w:numPr>
          <w:ilvl w:val="0"/>
          <w:numId w:val="37"/>
        </w:numPr>
        <w:spacing w:line="240" w:lineRule="auto"/>
        <w:rPr>
          <w:rFonts w:eastAsia="Times New Roman" w:cs="Arial"/>
          <w:sz w:val="28"/>
          <w:szCs w:val="24"/>
        </w:rPr>
      </w:pPr>
      <w:r w:rsidRPr="001C4124">
        <w:rPr>
          <w:rFonts w:eastAsia="Times New Roman" w:cs="Arial"/>
          <w:color w:val="000000"/>
          <w:szCs w:val="2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49E831F7" w14:textId="77777777" w:rsidR="001C4124" w:rsidRPr="001C4124" w:rsidRDefault="001C4124" w:rsidP="001C4124"/>
    <w:p w14:paraId="76DC8E58" w14:textId="33A4E216" w:rsidR="00DB32D3" w:rsidRDefault="002C50EE" w:rsidP="005726E3">
      <w:pPr>
        <w:pStyle w:val="Heading2"/>
      </w:pPr>
      <w:r>
        <w:t>4.4. Специални предупреждения и предпазни мерки при употреба</w:t>
      </w:r>
    </w:p>
    <w:p w14:paraId="57822814" w14:textId="3748690C" w:rsidR="001C4124" w:rsidRDefault="001C4124" w:rsidP="001C4124"/>
    <w:p w14:paraId="5F17808A"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Всички предупреждения, свързани с всяко отделно активно вещество, които са изброени по- долу, важат също и за фиксираната комбинация Приамло 4 </w:t>
      </w:r>
      <w:r w:rsidRPr="001C4124">
        <w:rPr>
          <w:rFonts w:eastAsia="Times New Roman" w:cs="Arial"/>
          <w:color w:val="000000"/>
          <w:lang w:val="en-US"/>
        </w:rPr>
        <w:t>mg</w:t>
      </w:r>
      <w:r w:rsidRPr="001C4124">
        <w:rPr>
          <w:rFonts w:eastAsia="Times New Roman" w:cs="Arial"/>
          <w:color w:val="000000"/>
          <w:lang w:val="ru-RU"/>
        </w:rPr>
        <w:t xml:space="preserve">/5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таблетки.</w:t>
      </w:r>
    </w:p>
    <w:p w14:paraId="0C5D70B6" w14:textId="77777777" w:rsidR="001C4124" w:rsidRPr="001C4124" w:rsidRDefault="001C4124" w:rsidP="001C4124">
      <w:pPr>
        <w:spacing w:line="240" w:lineRule="auto"/>
        <w:rPr>
          <w:rFonts w:eastAsia="Times New Roman" w:cs="Arial"/>
          <w:color w:val="000000"/>
          <w:u w:val="single"/>
          <w:lang w:eastAsia="bg-BG"/>
        </w:rPr>
      </w:pPr>
    </w:p>
    <w:p w14:paraId="23AB104A" w14:textId="05223525" w:rsidR="001C4124" w:rsidRPr="001C4124" w:rsidRDefault="001C4124" w:rsidP="001C4124">
      <w:pPr>
        <w:spacing w:line="240" w:lineRule="auto"/>
        <w:rPr>
          <w:rFonts w:eastAsia="Times New Roman" w:cs="Arial"/>
        </w:rPr>
      </w:pPr>
      <w:r w:rsidRPr="001C4124">
        <w:rPr>
          <w:rFonts w:eastAsia="Times New Roman" w:cs="Arial"/>
          <w:color w:val="000000"/>
          <w:u w:val="single"/>
          <w:lang w:eastAsia="bg-BG"/>
        </w:rPr>
        <w:t>Периндоприл</w:t>
      </w:r>
    </w:p>
    <w:p w14:paraId="749CBEC5"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Стабилна коронарна артериална болест</w:t>
      </w:r>
    </w:p>
    <w:p w14:paraId="3C4F8E3E"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Ако през първия месец на лечението с периндоприл настъпи епизод на нестабилна стенокардия (тежък или не), трябва да се извърши внимателна преценка на съотношението полза/риск преди продължаване на лечението.</w:t>
      </w:r>
    </w:p>
    <w:p w14:paraId="282D8395" w14:textId="77777777" w:rsidR="001C4124" w:rsidRPr="001C4124" w:rsidRDefault="001C4124" w:rsidP="001C4124">
      <w:pPr>
        <w:spacing w:line="240" w:lineRule="auto"/>
        <w:rPr>
          <w:rFonts w:eastAsia="Times New Roman" w:cs="Arial"/>
          <w:i/>
          <w:iCs/>
          <w:color w:val="000000"/>
          <w:lang w:eastAsia="bg-BG"/>
        </w:rPr>
      </w:pPr>
    </w:p>
    <w:p w14:paraId="5310B1F8" w14:textId="77B9A64B"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Хипотония</w:t>
      </w:r>
    </w:p>
    <w:p w14:paraId="0945B17A" w14:textId="47D0725C" w:rsidR="001C4124" w:rsidRPr="001C4124" w:rsidRDefault="001C4124" w:rsidP="001C4124">
      <w:pPr>
        <w:rPr>
          <w:rFonts w:eastAsia="Times New Roman" w:cs="Arial"/>
        </w:rPr>
      </w:pPr>
      <w:r w:rsidRPr="001C4124">
        <w:rPr>
          <w:rFonts w:eastAsia="Times New Roman" w:cs="Arial"/>
          <w:color w:val="000000"/>
          <w:lang w:eastAsia="bg-BG"/>
        </w:rPr>
        <w:t>АСЕ инхибиторите могат да предизвикат спадане на кръвното налягане. Симптоматична хипотония се наблюдава рядко при пациенти с неусложнена хипертония и е по-вероятно да настъпи при пациенти с намален кръвен обем, напр. при диуретична терапия, ограничен прием на натрий, при диализа, диария или повръщане, или с тежка ренин-зависима хипертония (вж.</w:t>
      </w:r>
      <w:r w:rsidRPr="001C4124">
        <w:rPr>
          <w:rFonts w:cs="Arial"/>
        </w:rPr>
        <w:t xml:space="preserve"> </w:t>
      </w:r>
      <w:r w:rsidRPr="001C4124">
        <w:rPr>
          <w:rFonts w:eastAsia="Times New Roman" w:cs="Arial"/>
          <w:color w:val="000000"/>
          <w:lang w:eastAsia="bg-BG"/>
        </w:rPr>
        <w:t>точки 4.5 и 4.8). При пациенти със симптоматична сърдечна недостатъчност, свързана или не с бъбречна недостатъчност, е наблюдавана симптоматична хипотония. Това е най-вероятно да се появи при пациенти с по-тежка сърдечна недостатъчност, при употребата на високи дози бримкови диуретици, хипонатриемия или влошена бъбречна функция. При пациенти с повишен риск от симптоматична хипотония, започването на лечението и коригирането на дозата трябва да се проследяват внимателно. Същите съображения се отнасят и за пациенти с исхемична болест на сърцето или мозъчно-съдова болест, при които рязкото спадане на кръвното налягане може да доведе до миокарден инфаркт или мозъчно-съдов инцидент.</w:t>
      </w:r>
    </w:p>
    <w:p w14:paraId="3F2DD977" w14:textId="77777777" w:rsidR="001C4124" w:rsidRPr="001C4124" w:rsidRDefault="001C4124" w:rsidP="001C4124">
      <w:pPr>
        <w:spacing w:line="240" w:lineRule="auto"/>
        <w:rPr>
          <w:rFonts w:eastAsia="Times New Roman" w:cs="Arial"/>
          <w:color w:val="000000"/>
          <w:lang w:eastAsia="bg-BG"/>
        </w:rPr>
      </w:pPr>
    </w:p>
    <w:p w14:paraId="51B646FF" w14:textId="22C01D39"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Ако настъпи хипотония, пациентът трябва да се постави в легнало положение и, ако е необходимо, трябва да се включи интравенозна инфузия на 9 </w:t>
      </w:r>
      <w:r w:rsidRPr="001C4124">
        <w:rPr>
          <w:rFonts w:eastAsia="Times New Roman" w:cs="Arial"/>
          <w:color w:val="000000"/>
          <w:lang w:val="en-US"/>
        </w:rPr>
        <w:t>mg</w:t>
      </w:r>
      <w:r w:rsidRPr="001C4124">
        <w:rPr>
          <w:rFonts w:eastAsia="Times New Roman" w:cs="Arial"/>
          <w:color w:val="000000"/>
          <w:lang w:val="ru-RU"/>
        </w:rPr>
        <w:t>/</w:t>
      </w:r>
      <w:r w:rsidRPr="001C4124">
        <w:rPr>
          <w:rFonts w:eastAsia="Times New Roman" w:cs="Arial"/>
          <w:color w:val="000000"/>
          <w:lang w:val="en-US"/>
        </w:rPr>
        <w:t>ml</w:t>
      </w:r>
      <w:r w:rsidRPr="001C4124">
        <w:rPr>
          <w:rFonts w:eastAsia="Times New Roman" w:cs="Arial"/>
          <w:color w:val="000000"/>
          <w:lang w:val="ru-RU"/>
        </w:rPr>
        <w:t xml:space="preserve"> </w:t>
      </w:r>
      <w:r w:rsidRPr="001C4124">
        <w:rPr>
          <w:rFonts w:eastAsia="Times New Roman" w:cs="Arial"/>
          <w:color w:val="000000"/>
          <w:lang w:eastAsia="bg-BG"/>
        </w:rPr>
        <w:t>(0.9%) разтвор на натриев хлорид. Преходният хипотензивен отговор не е противопоказание на следващи дози, които могат да се приемат обикновено без затруднения, когато кръвното налягане се повиши след коригиране на кръвния обем.</w:t>
      </w:r>
    </w:p>
    <w:p w14:paraId="5F019119" w14:textId="77777777" w:rsidR="001C4124" w:rsidRPr="001C4124" w:rsidRDefault="001C4124" w:rsidP="001C4124">
      <w:pPr>
        <w:spacing w:line="240" w:lineRule="auto"/>
        <w:rPr>
          <w:rFonts w:eastAsia="Times New Roman" w:cs="Arial"/>
          <w:color w:val="000000"/>
          <w:lang w:eastAsia="bg-BG"/>
        </w:rPr>
      </w:pPr>
    </w:p>
    <w:p w14:paraId="58CE8EE2" w14:textId="5CFC8830"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някои пациенти със застойна сърдечна недостатъчност, които имат нормално или ниско кръвно налягане, периндоприл може да предизвика допълнително понижаване на системното артериално налягане. Този ефект се очаква и обикновено не е причина за преустановяване на лечението. Ако хипотонията стане симптоматична, може да е необходимо намаляване на дозата или преустановяване на лечението с периндоприл.</w:t>
      </w:r>
    </w:p>
    <w:p w14:paraId="56851B1A" w14:textId="77777777" w:rsidR="001C4124" w:rsidRPr="001C4124" w:rsidRDefault="001C4124" w:rsidP="001C4124">
      <w:pPr>
        <w:spacing w:line="240" w:lineRule="auto"/>
        <w:rPr>
          <w:rFonts w:eastAsia="Times New Roman" w:cs="Arial"/>
          <w:i/>
          <w:iCs/>
          <w:color w:val="000000"/>
          <w:lang w:eastAsia="bg-BG"/>
        </w:rPr>
      </w:pPr>
    </w:p>
    <w:p w14:paraId="074C63AC" w14:textId="5A2848FE"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Аортна и митралиа клапна стеноза/хипертрофична кардиомиопатия</w:t>
      </w:r>
    </w:p>
    <w:p w14:paraId="189882B9"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Както и при други АСЕ инхибитори, периндоприл трябва да се прилага с повишено внимание при пациенти със стеноза на митралната клапа и обструкция на изхода на лявата камера при аортна стеноза или хипертрофична кардиомиопатия.</w:t>
      </w:r>
    </w:p>
    <w:p w14:paraId="4853D186" w14:textId="77777777" w:rsidR="001C4124" w:rsidRPr="001C4124" w:rsidRDefault="001C4124" w:rsidP="001C4124">
      <w:pPr>
        <w:spacing w:line="240" w:lineRule="auto"/>
        <w:rPr>
          <w:rFonts w:eastAsia="Times New Roman" w:cs="Arial"/>
          <w:i/>
          <w:iCs/>
          <w:color w:val="000000"/>
          <w:lang w:eastAsia="bg-BG"/>
        </w:rPr>
      </w:pPr>
    </w:p>
    <w:p w14:paraId="2DDBA064" w14:textId="4B6DA4B0"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Бъбречно увреждане</w:t>
      </w:r>
    </w:p>
    <w:p w14:paraId="5DA4E41C"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В случай на бъбречно увреждане (креатининов клирънс &lt; 60 </w:t>
      </w:r>
      <w:r w:rsidRPr="001C4124">
        <w:rPr>
          <w:rFonts w:eastAsia="Times New Roman" w:cs="Arial"/>
          <w:color w:val="000000"/>
          <w:lang w:val="en-US"/>
        </w:rPr>
        <w:t>ml</w:t>
      </w:r>
      <w:r w:rsidRPr="001C4124">
        <w:rPr>
          <w:rFonts w:eastAsia="Times New Roman" w:cs="Arial"/>
          <w:color w:val="000000"/>
          <w:lang w:val="ru-RU"/>
        </w:rPr>
        <w:t>/</w:t>
      </w:r>
      <w:r w:rsidRPr="001C4124">
        <w:rPr>
          <w:rFonts w:eastAsia="Times New Roman" w:cs="Arial"/>
          <w:color w:val="000000"/>
          <w:lang w:val="en-US"/>
        </w:rPr>
        <w:t>min</w:t>
      </w:r>
      <w:r w:rsidRPr="001C4124">
        <w:rPr>
          <w:rFonts w:eastAsia="Times New Roman" w:cs="Arial"/>
          <w:color w:val="000000"/>
          <w:lang w:val="ru-RU"/>
        </w:rPr>
        <w:t xml:space="preserve">), </w:t>
      </w:r>
      <w:r w:rsidRPr="001C4124">
        <w:rPr>
          <w:rFonts w:eastAsia="Times New Roman" w:cs="Arial"/>
          <w:color w:val="000000"/>
          <w:lang w:eastAsia="bg-BG"/>
        </w:rPr>
        <w:t xml:space="preserve">началната доза периндоприл трябва да се коригира в съответствие с креатининовия клирънс (вж. точка 4.2) на пациента и според терапевтичния отговор на пациента към лечението. Рутинното </w:t>
      </w:r>
      <w:r w:rsidRPr="001C4124">
        <w:rPr>
          <w:rFonts w:eastAsia="Times New Roman" w:cs="Arial"/>
          <w:color w:val="000000"/>
          <w:lang w:eastAsia="bg-BG"/>
        </w:rPr>
        <w:lastRenderedPageBreak/>
        <w:t>проследяване на калий и креатинин са част от обичайната медицинска практика при тези пациенти (вж. точка 4.8).</w:t>
      </w:r>
    </w:p>
    <w:p w14:paraId="72C6B7A6" w14:textId="77777777" w:rsidR="001C4124" w:rsidRPr="001C4124" w:rsidRDefault="001C4124" w:rsidP="001C4124">
      <w:pPr>
        <w:spacing w:line="240" w:lineRule="auto"/>
        <w:rPr>
          <w:rFonts w:eastAsia="Times New Roman" w:cs="Arial"/>
          <w:color w:val="000000"/>
          <w:lang w:eastAsia="bg-BG"/>
        </w:rPr>
      </w:pPr>
    </w:p>
    <w:p w14:paraId="19CFE077" w14:textId="5299D67F"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пациенти със симптоматична сърдечна недостатъчност, хипотонията след започване на лечението с АСЕ инхибитори може да доведе до допълнително влошаване на бъбречната функция. В тези случаи е съобщавана остра бъбречна недостатъчност, обикновено обратима. При някои пациенти с билатерална стеноза на бъбречната артерия или стеноза на артерията на единствен бъбрек, които са лекувани с АСЕ инхибитори, е наблюдавано повишаване на уреята в кръвта и серумния креатинин, обикновено обратимо след прекратяване на лечението. Това е особено вероятно при пациенти с бъбречна недостатъчност. Ако е налице също и реноваскуларна хипертония, съществува повишен риск от тежка хипотония и бъбречна недостатъчност. При тези пациенти, лечението трябва да започне при стриктно медицинско проследяване с ниски дози и внимателно титриране на дозата. Тъй като лечението с диуретици може да бъде фактор, който допринася за посоченото по-горе, те трябва да бъдат преустановени и бъбречната функция трябва да се проследява през първите седмици на лечението с периндоприл.</w:t>
      </w:r>
    </w:p>
    <w:p w14:paraId="74546FC2" w14:textId="77777777" w:rsidR="001C4124" w:rsidRPr="001C4124" w:rsidRDefault="001C4124" w:rsidP="001C4124">
      <w:pPr>
        <w:spacing w:line="240" w:lineRule="auto"/>
        <w:rPr>
          <w:rFonts w:eastAsia="Times New Roman" w:cs="Arial"/>
          <w:color w:val="000000"/>
          <w:lang w:eastAsia="bg-BG"/>
        </w:rPr>
      </w:pPr>
    </w:p>
    <w:p w14:paraId="56E2E3FC" w14:textId="4C8062A0"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някои пациенти с хипертония без изявено предшестващо бъбречно съдово заболяване, се наблюдава повишаване на уреята в кръвта и на серумния креатинин, обикновено незначително и преходно, особено когато периндоприл се прилага едновременно с диуретици. Това е по- вероятно да настъпи при пациенти с предшестващо бъбречно увреждане. Може да е необходимо намаляване на дозата и/или преустановяване на лечението с диуретика и/или с периндоприл.</w:t>
      </w:r>
    </w:p>
    <w:p w14:paraId="36312C56" w14:textId="77777777" w:rsidR="001C4124" w:rsidRPr="001C4124" w:rsidRDefault="001C4124" w:rsidP="001C4124">
      <w:pPr>
        <w:spacing w:line="240" w:lineRule="auto"/>
        <w:rPr>
          <w:rFonts w:eastAsia="Times New Roman" w:cs="Arial"/>
          <w:i/>
          <w:iCs/>
          <w:color w:val="000000"/>
          <w:lang w:eastAsia="bg-BG"/>
        </w:rPr>
      </w:pPr>
    </w:p>
    <w:p w14:paraId="59512192" w14:textId="66506B4C"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Пациенти на хемодиализа</w:t>
      </w:r>
    </w:p>
    <w:p w14:paraId="03996A1E" w14:textId="77777777" w:rsidR="001C4124" w:rsidRPr="001C4124" w:rsidRDefault="001C4124" w:rsidP="001C4124">
      <w:pPr>
        <w:rPr>
          <w:rFonts w:eastAsia="Times New Roman" w:cs="Arial"/>
        </w:rPr>
      </w:pPr>
      <w:r w:rsidRPr="001C4124">
        <w:rPr>
          <w:rFonts w:eastAsia="Times New Roman" w:cs="Arial"/>
          <w:color w:val="000000"/>
          <w:lang w:eastAsia="bg-BG"/>
        </w:rPr>
        <w:t>Има съобщения за анафилактични реакции при пациенти на диализа с високопропускливи мембрани, лекувани едновременно с АСЕ инхибитор. При тези пациенти трябва да се обмисли</w:t>
      </w:r>
      <w:r w:rsidRPr="001C4124">
        <w:rPr>
          <w:rFonts w:eastAsia="Times New Roman" w:cs="Arial"/>
          <w:color w:val="000000"/>
          <w:lang w:val="ru-RU" w:eastAsia="bg-BG"/>
        </w:rPr>
        <w:t xml:space="preserve"> </w:t>
      </w:r>
      <w:r w:rsidRPr="001C4124">
        <w:rPr>
          <w:rFonts w:eastAsia="Times New Roman" w:cs="Arial"/>
          <w:color w:val="000000"/>
          <w:lang w:eastAsia="bg-BG"/>
        </w:rPr>
        <w:t>използване на различен тип диализна мембрана или различен клас антихипертензивно лекарство.</w:t>
      </w:r>
    </w:p>
    <w:p w14:paraId="1D30E3DF" w14:textId="77777777" w:rsidR="001C4124" w:rsidRPr="001C4124" w:rsidRDefault="001C4124" w:rsidP="001C4124">
      <w:pPr>
        <w:spacing w:line="240" w:lineRule="auto"/>
        <w:rPr>
          <w:rFonts w:eastAsia="Times New Roman" w:cs="Arial"/>
          <w:i/>
          <w:iCs/>
          <w:color w:val="000000"/>
          <w:lang w:eastAsia="bg-BG"/>
        </w:rPr>
      </w:pPr>
    </w:p>
    <w:p w14:paraId="2F88B6C6" w14:textId="36F9835A"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Бъбречна транс плантация</w:t>
      </w:r>
    </w:p>
    <w:p w14:paraId="2AD89469"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Няма опит относно приложението на периндоприл при пациенти със скорошна бъбречна трансплантация.</w:t>
      </w:r>
    </w:p>
    <w:p w14:paraId="3558D68C" w14:textId="77777777" w:rsidR="001C4124" w:rsidRPr="001C4124" w:rsidRDefault="001C4124" w:rsidP="001C4124">
      <w:pPr>
        <w:spacing w:line="240" w:lineRule="auto"/>
        <w:rPr>
          <w:rFonts w:eastAsia="Times New Roman" w:cs="Arial"/>
          <w:i/>
          <w:iCs/>
          <w:color w:val="000000"/>
          <w:lang w:eastAsia="bg-BG"/>
        </w:rPr>
      </w:pPr>
    </w:p>
    <w:p w14:paraId="51C248C0" w14:textId="77A2A31F"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Реноваскуларна хипертония</w:t>
      </w:r>
    </w:p>
    <w:p w14:paraId="256DC7F7"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Има повишен риск от хипотония и бъбречна недостатъчност, когато пациентите с двустранна стеноза на бъбречна артерия или стеноза на артерията към един функциониращ бъбрек се лекуват с АСЕ инхибитори (вж. точка 4.3). Лечението с диуретици може да бъде фактор, който допринася за това. Загубата на бъбречната функция може да възникне само с незначителни промени в серумния креатинин, дори при пациенти с едностранна стеноза на бъбречната артерия.</w:t>
      </w:r>
    </w:p>
    <w:p w14:paraId="1B6BD3F3" w14:textId="77777777" w:rsidR="001C4124" w:rsidRPr="001C4124" w:rsidRDefault="001C4124" w:rsidP="001C4124">
      <w:pPr>
        <w:spacing w:line="240" w:lineRule="auto"/>
        <w:rPr>
          <w:rFonts w:eastAsia="Times New Roman" w:cs="Arial"/>
          <w:i/>
          <w:iCs/>
          <w:color w:val="000000"/>
          <w:lang w:eastAsia="bg-BG"/>
        </w:rPr>
      </w:pPr>
    </w:p>
    <w:p w14:paraId="7F9D1CE1" w14:textId="2C2B7D1F"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Свръхчувствителност/ангиоедем</w:t>
      </w:r>
    </w:p>
    <w:p w14:paraId="4969CEE3"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Има редки съобщения за ангиоедем на лицето, крайниците, устните, лигавиците, езика, глотиса и/или фаринкса при пациенти, лекувани с АСЕ инхибитори, включително периндоприл (вж. точка 4.8). Това може да настъпи по всяко време на лечението. В тези случаи, периндоприл трябва да се прекрати незабавно и да започне медицински контрол и дейности, които да продължат до пълно отзвучаване на симптомите. В тези случаи, когато подуването обхваща лицето и устните, състоянието обикновено преминава без лечение, въпреки че антихистамините са от полза за облекчаване на симптомите.</w:t>
      </w:r>
    </w:p>
    <w:p w14:paraId="5551B6B3" w14:textId="77777777" w:rsidR="001C4124" w:rsidRPr="001C4124" w:rsidRDefault="001C4124" w:rsidP="001C4124">
      <w:pPr>
        <w:spacing w:line="240" w:lineRule="auto"/>
        <w:rPr>
          <w:rFonts w:eastAsia="Times New Roman" w:cs="Arial"/>
          <w:color w:val="000000"/>
          <w:lang w:eastAsia="bg-BG"/>
        </w:rPr>
      </w:pPr>
    </w:p>
    <w:p w14:paraId="7B32AAB6" w14:textId="12AEC1E9" w:rsidR="001C4124" w:rsidRPr="001C4124" w:rsidRDefault="001C4124" w:rsidP="001C4124">
      <w:pPr>
        <w:spacing w:line="240" w:lineRule="auto"/>
        <w:rPr>
          <w:rFonts w:eastAsia="Times New Roman" w:cs="Arial"/>
        </w:rPr>
      </w:pPr>
      <w:r w:rsidRPr="001C4124">
        <w:rPr>
          <w:rFonts w:eastAsia="Times New Roman" w:cs="Arial"/>
          <w:color w:val="000000"/>
          <w:lang w:eastAsia="bg-BG"/>
        </w:rPr>
        <w:t>Ангиоедемът, свързан с оток на ларинкса може да е фатален. При обхващане на езика, глотиса или ларинкса, което може да доведе до обструкция на дихателните пътища, трябва незабавно да се приложи спешно лечение. То може да включва приложение на адреналин и/или осигуряване на проходимост на дихателните пътища. Пациентът трябва да бъде под строго медицинско наблюдение до пълното и трайно отзвучаване на симптомите.</w:t>
      </w:r>
    </w:p>
    <w:p w14:paraId="770CF3A9" w14:textId="77777777" w:rsidR="001C4124" w:rsidRPr="001C4124" w:rsidRDefault="001C4124" w:rsidP="001C4124">
      <w:pPr>
        <w:spacing w:line="240" w:lineRule="auto"/>
        <w:rPr>
          <w:rFonts w:eastAsia="Times New Roman" w:cs="Arial"/>
          <w:color w:val="000000"/>
          <w:lang w:eastAsia="bg-BG"/>
        </w:rPr>
      </w:pPr>
    </w:p>
    <w:p w14:paraId="61CBF68F" w14:textId="3ADACD90" w:rsidR="001C4124" w:rsidRPr="001C4124" w:rsidRDefault="001C4124" w:rsidP="001C4124">
      <w:pPr>
        <w:spacing w:line="240" w:lineRule="auto"/>
        <w:rPr>
          <w:rFonts w:eastAsia="Times New Roman" w:cs="Arial"/>
        </w:rPr>
      </w:pPr>
      <w:r w:rsidRPr="001C4124">
        <w:rPr>
          <w:rFonts w:eastAsia="Times New Roman" w:cs="Arial"/>
          <w:color w:val="000000"/>
          <w:lang w:eastAsia="bg-BG"/>
        </w:rPr>
        <w:t>Пациенти с анамнеза за ангиоедем, който не е свързан с терапия с АСЕ инхибитор, може да имат повишен риск от ангиоедем и при прием на АСЕ инхибитор (вж. точка 4.3).</w:t>
      </w:r>
    </w:p>
    <w:p w14:paraId="7EA5E94F" w14:textId="77777777" w:rsidR="001C4124" w:rsidRPr="001C4124" w:rsidRDefault="001C4124" w:rsidP="001C4124">
      <w:pPr>
        <w:spacing w:line="240" w:lineRule="auto"/>
        <w:rPr>
          <w:rFonts w:eastAsia="Times New Roman" w:cs="Arial"/>
          <w:color w:val="000000"/>
          <w:lang w:eastAsia="bg-BG"/>
        </w:rPr>
      </w:pPr>
    </w:p>
    <w:p w14:paraId="68BEC242" w14:textId="46EC9F3E" w:rsidR="001C4124" w:rsidRPr="001C4124" w:rsidRDefault="001C4124" w:rsidP="001C4124">
      <w:pPr>
        <w:spacing w:line="240" w:lineRule="auto"/>
        <w:rPr>
          <w:rFonts w:eastAsia="Times New Roman" w:cs="Arial"/>
        </w:rPr>
      </w:pPr>
      <w:r w:rsidRPr="001C4124">
        <w:rPr>
          <w:rFonts w:eastAsia="Times New Roman" w:cs="Arial"/>
          <w:color w:val="000000"/>
          <w:lang w:eastAsia="bg-BG"/>
        </w:rPr>
        <w:t>Има редки съобщения за интестинален ангиоедем при пациенти, лекувани с АСЕ инхибитори. При тези пациенти се наблюдава коремна болка (със или без гадене или повръщане); в някои случаи не е имало предшестващ ангиоедем на лицето и нивата на С-1 естеразата са нормални. Ангиоедемът се диагностицира чрез абдоминална КТ или ултразвуково изследване, или по време на операция и симптомите отзвучават след спиране на АСЕ инхибитора. Интестиналният ангиоедем трябва да се включи в диференциалната диагноза на пациенти на лечение с АСЕ инхибитори, които имат коремна болка.</w:t>
      </w:r>
    </w:p>
    <w:p w14:paraId="64709F0C" w14:textId="77777777" w:rsidR="001C4124" w:rsidRPr="001C4124" w:rsidRDefault="001C4124" w:rsidP="001C4124">
      <w:pPr>
        <w:spacing w:line="240" w:lineRule="auto"/>
        <w:rPr>
          <w:rFonts w:eastAsia="Times New Roman" w:cs="Arial"/>
          <w:color w:val="000000"/>
          <w:lang w:eastAsia="bg-BG"/>
        </w:rPr>
      </w:pPr>
    </w:p>
    <w:p w14:paraId="792F56E8" w14:textId="3DF46918"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Съпътстваща употреба на АСЕ инхибитори с рацекадотрил, </w:t>
      </w:r>
      <w:proofErr w:type="spellStart"/>
      <w:r w:rsidRPr="001C4124">
        <w:rPr>
          <w:rFonts w:eastAsia="Times New Roman" w:cs="Arial"/>
          <w:color w:val="000000"/>
          <w:lang w:val="en-US"/>
        </w:rPr>
        <w:t>mTOR</w:t>
      </w:r>
      <w:proofErr w:type="spellEnd"/>
      <w:r w:rsidRPr="001C4124">
        <w:rPr>
          <w:rFonts w:eastAsia="Times New Roman" w:cs="Arial"/>
          <w:color w:val="000000"/>
          <w:lang w:val="ru-RU"/>
        </w:rPr>
        <w:t xml:space="preserve"> </w:t>
      </w:r>
      <w:r w:rsidRPr="001C4124">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(например оток на дихателните пътища или езика, със или без респираторно нарушение) ( вж точка 4.5). Необходимо е да се подходи с повишено внимание, когато се започва лечение с рацекадотрил, </w:t>
      </w:r>
      <w:proofErr w:type="spellStart"/>
      <w:r w:rsidRPr="001C4124">
        <w:rPr>
          <w:rFonts w:eastAsia="Times New Roman" w:cs="Arial"/>
          <w:color w:val="000000"/>
          <w:lang w:val="en-US"/>
        </w:rPr>
        <w:t>mTOR</w:t>
      </w:r>
      <w:proofErr w:type="spellEnd"/>
      <w:r w:rsidRPr="001C4124">
        <w:rPr>
          <w:rFonts w:eastAsia="Times New Roman" w:cs="Arial"/>
          <w:color w:val="000000"/>
          <w:lang w:val="ru-RU"/>
        </w:rPr>
        <w:t xml:space="preserve"> </w:t>
      </w:r>
      <w:r w:rsidRPr="001C4124">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44527C38" w14:textId="77777777" w:rsidR="001C4124" w:rsidRPr="001C4124" w:rsidRDefault="001C4124" w:rsidP="001C4124">
      <w:pPr>
        <w:spacing w:line="240" w:lineRule="auto"/>
        <w:rPr>
          <w:rFonts w:eastAsia="Times New Roman" w:cs="Arial"/>
          <w:color w:val="000000"/>
          <w:lang w:eastAsia="bg-BG"/>
        </w:rPr>
      </w:pPr>
    </w:p>
    <w:p w14:paraId="282608EE" w14:textId="4F928DB0" w:rsidR="001C4124" w:rsidRPr="001C4124" w:rsidRDefault="001C4124" w:rsidP="001C4124">
      <w:pPr>
        <w:spacing w:line="240" w:lineRule="auto"/>
        <w:rPr>
          <w:rFonts w:eastAsia="Times New Roman" w:cs="Arial"/>
        </w:rPr>
      </w:pPr>
      <w:r w:rsidRPr="001C4124">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(вж. точка 4.3). Лечение със сакубитрил/валсартан не трябва да се започва по-рано от 36 часа след последната доза периндоприл. Лечението с периндоприл не трябва да се започва по-рано от 36 часа след последната доза сакубитрил/валсартан (вж. точки 4.3 и 4.5).</w:t>
      </w:r>
    </w:p>
    <w:p w14:paraId="256EB458" w14:textId="77777777" w:rsidR="001C4124" w:rsidRPr="001C4124" w:rsidRDefault="001C4124" w:rsidP="001C4124">
      <w:pPr>
        <w:spacing w:line="240" w:lineRule="auto"/>
        <w:rPr>
          <w:rFonts w:eastAsia="Times New Roman" w:cs="Arial"/>
          <w:color w:val="000000"/>
          <w:lang w:eastAsia="bg-BG"/>
        </w:rPr>
      </w:pPr>
    </w:p>
    <w:p w14:paraId="563155AC" w14:textId="2B743DAC"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Съпътстващата употреба на други </w:t>
      </w:r>
      <w:r w:rsidRPr="001C4124">
        <w:rPr>
          <w:rFonts w:eastAsia="Times New Roman" w:cs="Arial"/>
          <w:color w:val="000000"/>
          <w:lang w:val="en-US"/>
        </w:rPr>
        <w:t>NEP</w:t>
      </w:r>
      <w:r w:rsidRPr="001C4124">
        <w:rPr>
          <w:rFonts w:eastAsia="Times New Roman" w:cs="Arial"/>
          <w:color w:val="000000"/>
          <w:lang w:val="ru-RU"/>
        </w:rPr>
        <w:t xml:space="preserve"> </w:t>
      </w:r>
      <w:r w:rsidRPr="001C4124">
        <w:rPr>
          <w:rFonts w:eastAsia="Times New Roman" w:cs="Arial"/>
          <w:color w:val="000000"/>
          <w:lang w:eastAsia="bg-BG"/>
        </w:rPr>
        <w:t xml:space="preserve">инхибитори (напр. рацекадотрил) и </w:t>
      </w:r>
      <w:r w:rsidRPr="001C4124">
        <w:rPr>
          <w:rFonts w:eastAsia="Times New Roman" w:cs="Arial"/>
          <w:color w:val="000000"/>
          <w:lang w:val="en-US"/>
        </w:rPr>
        <w:t>ACE</w:t>
      </w:r>
      <w:r w:rsidRPr="001C4124">
        <w:rPr>
          <w:rFonts w:eastAsia="Times New Roman" w:cs="Arial"/>
          <w:color w:val="000000"/>
          <w:lang w:val="ru-RU"/>
        </w:rPr>
        <w:t xml:space="preserve"> </w:t>
      </w:r>
      <w:r w:rsidRPr="001C4124">
        <w:rPr>
          <w:rFonts w:eastAsia="Times New Roman" w:cs="Arial"/>
          <w:color w:val="000000"/>
          <w:lang w:eastAsia="bg-BG"/>
        </w:rPr>
        <w:t>инхибитори</w:t>
      </w:r>
    </w:p>
    <w:p w14:paraId="687D9447" w14:textId="77777777" w:rsidR="001C4124" w:rsidRPr="001C4124" w:rsidRDefault="001C4124" w:rsidP="001C4124">
      <w:pPr>
        <w:rPr>
          <w:rFonts w:eastAsia="Times New Roman" w:cs="Arial"/>
        </w:rPr>
      </w:pPr>
      <w:r w:rsidRPr="001C4124">
        <w:rPr>
          <w:rFonts w:eastAsia="Times New Roman" w:cs="Arial"/>
          <w:color w:val="000000"/>
          <w:lang w:eastAsia="bg-BG"/>
        </w:rPr>
        <w:t>също може да повиши риска от ангиоедем (вж. точка 4.5). Следователно е необходима</w:t>
      </w:r>
      <w:r w:rsidRPr="001C4124">
        <w:rPr>
          <w:rFonts w:eastAsia="Times New Roman" w:cs="Arial"/>
          <w:color w:val="000000"/>
          <w:lang w:val="ru-RU" w:eastAsia="bg-BG"/>
        </w:rPr>
        <w:t xml:space="preserve"> </w:t>
      </w:r>
      <w:r w:rsidRPr="001C4124">
        <w:rPr>
          <w:rFonts w:eastAsia="Times New Roman" w:cs="Arial"/>
          <w:color w:val="000000"/>
          <w:lang w:eastAsia="bg-BG"/>
        </w:rPr>
        <w:t xml:space="preserve">внимателна оценка на съотношението полза-риск преди започване на лечение с инхибитори на </w:t>
      </w:r>
      <w:r w:rsidRPr="001C4124">
        <w:rPr>
          <w:rFonts w:eastAsia="Times New Roman" w:cs="Arial"/>
          <w:color w:val="000000"/>
          <w:lang w:val="en-US"/>
        </w:rPr>
        <w:t>NEP</w:t>
      </w:r>
      <w:r w:rsidRPr="001C4124">
        <w:rPr>
          <w:rFonts w:eastAsia="Times New Roman" w:cs="Arial"/>
          <w:color w:val="000000"/>
          <w:lang w:val="ru-RU"/>
        </w:rPr>
        <w:t xml:space="preserve"> </w:t>
      </w:r>
      <w:r w:rsidRPr="001C4124">
        <w:rPr>
          <w:rFonts w:eastAsia="Times New Roman" w:cs="Arial"/>
          <w:color w:val="000000"/>
          <w:lang w:eastAsia="bg-BG"/>
        </w:rPr>
        <w:t>при пациенти на периндоприл.</w:t>
      </w:r>
    </w:p>
    <w:p w14:paraId="00338D68" w14:textId="77777777" w:rsidR="001C4124" w:rsidRPr="001C4124" w:rsidRDefault="001C4124" w:rsidP="001C4124">
      <w:pPr>
        <w:spacing w:line="240" w:lineRule="auto"/>
        <w:rPr>
          <w:rFonts w:eastAsia="Times New Roman" w:cs="Arial"/>
          <w:i/>
          <w:iCs/>
          <w:color w:val="000000"/>
          <w:lang w:eastAsia="bg-BG"/>
        </w:rPr>
      </w:pPr>
    </w:p>
    <w:p w14:paraId="34AE5736" w14:textId="74D0900F"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 xml:space="preserve">Анафилактични реакции по време на липопротеини с ниска плътност </w:t>
      </w:r>
      <w:r w:rsidRPr="001C4124">
        <w:rPr>
          <w:rFonts w:eastAsia="Times New Roman" w:cs="Arial"/>
          <w:i/>
          <w:iCs/>
          <w:color w:val="000000"/>
          <w:lang w:val="ru-RU"/>
        </w:rPr>
        <w:t>(</w:t>
      </w:r>
      <w:r w:rsidRPr="001C4124">
        <w:rPr>
          <w:rFonts w:eastAsia="Times New Roman" w:cs="Arial"/>
          <w:i/>
          <w:iCs/>
          <w:color w:val="000000"/>
          <w:lang w:val="en-US"/>
        </w:rPr>
        <w:t>LDL</w:t>
      </w:r>
      <w:r w:rsidRPr="001C4124">
        <w:rPr>
          <w:rFonts w:eastAsia="Times New Roman" w:cs="Arial"/>
          <w:i/>
          <w:iCs/>
          <w:color w:val="000000"/>
          <w:lang w:val="ru-RU"/>
        </w:rPr>
        <w:t xml:space="preserve">)- </w:t>
      </w:r>
      <w:r w:rsidRPr="001C4124">
        <w:rPr>
          <w:rFonts w:eastAsia="Times New Roman" w:cs="Arial"/>
          <w:i/>
          <w:iCs/>
          <w:color w:val="000000"/>
          <w:lang w:eastAsia="bg-BG"/>
        </w:rPr>
        <w:t xml:space="preserve">афереза. </w:t>
      </w:r>
      <w:r w:rsidRPr="001C4124">
        <w:rPr>
          <w:rFonts w:eastAsia="Times New Roman" w:cs="Arial"/>
          <w:color w:val="000000"/>
          <w:lang w:eastAsia="bg-BG"/>
        </w:rPr>
        <w:t>Рядко при пациенти, които получават АСЕ инхибитори по време на аферезата с декстран сулфат, възникват животозастрашаващи анафилактични реакции. Тези реакции се избягват чрез временно прекратяване на лечението с АСЕ инхибитор преди всяка афереза.</w:t>
      </w:r>
    </w:p>
    <w:p w14:paraId="13BA1926" w14:textId="77777777" w:rsidR="001C4124" w:rsidRPr="001C4124" w:rsidRDefault="001C4124" w:rsidP="001C4124">
      <w:pPr>
        <w:spacing w:line="240" w:lineRule="auto"/>
        <w:rPr>
          <w:rFonts w:eastAsia="Times New Roman" w:cs="Arial"/>
          <w:i/>
          <w:iCs/>
          <w:color w:val="000000"/>
          <w:lang w:eastAsia="bg-BG"/>
        </w:rPr>
      </w:pPr>
    </w:p>
    <w:p w14:paraId="1F549048" w14:textId="54C48F4B"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Анафилактични реакции при десензибилизация</w:t>
      </w:r>
    </w:p>
    <w:p w14:paraId="0A2FCF95"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Някои пациенти, получаващи АСЕ инхибитори по време на десензибилизиращо лечение (напр. с отрова от Ципокрили насекоми), получават анафилактични реакции. При тези пациенти, реакциите са били избегнати, когато АСЕ инхибиторите са били временно преустановени, но са се появили отново при неволно подновяване на лечението.</w:t>
      </w:r>
    </w:p>
    <w:p w14:paraId="3833C157" w14:textId="77777777" w:rsidR="001C4124" w:rsidRPr="001C4124" w:rsidRDefault="001C4124" w:rsidP="001C4124">
      <w:pPr>
        <w:spacing w:line="240" w:lineRule="auto"/>
        <w:rPr>
          <w:rFonts w:eastAsia="Times New Roman" w:cs="Arial"/>
          <w:i/>
          <w:iCs/>
          <w:color w:val="000000"/>
          <w:lang w:eastAsia="bg-BG"/>
        </w:rPr>
      </w:pPr>
    </w:p>
    <w:p w14:paraId="673B4E29" w14:textId="6563940E"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Чернодробна недостатъчност</w:t>
      </w:r>
    </w:p>
    <w:p w14:paraId="69325C39"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Рядко, АСЕ инхибиторите се свързват със синдром, който започва с холестатична жълтеница и прогресира до остра чернодробна некроза и (понякога) смърт. Механизмът на този синдром не е изяснен. Пациентите, получаващи АСЕ инхибитори, които развиват жълтеница, или имат значително повишение на чернодробните ензими, трябва да прекратят приема на АСЕ инхибитора и да получат съответно медицинско проследяване (вж. точка 4.8).</w:t>
      </w:r>
    </w:p>
    <w:p w14:paraId="208AA4C3" w14:textId="77777777" w:rsidR="001C4124" w:rsidRPr="001C4124" w:rsidRDefault="001C4124" w:rsidP="001C4124">
      <w:pPr>
        <w:spacing w:line="240" w:lineRule="auto"/>
        <w:rPr>
          <w:rFonts w:eastAsia="Times New Roman" w:cs="Arial"/>
          <w:i/>
          <w:iCs/>
          <w:color w:val="000000"/>
          <w:lang w:eastAsia="bg-BG"/>
        </w:rPr>
      </w:pPr>
    </w:p>
    <w:p w14:paraId="4C08F509" w14:textId="348D01CB"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Неутропения/агранулоцитоза/тромбоцитопения/ане.мия</w:t>
      </w:r>
    </w:p>
    <w:p w14:paraId="0EAD3D8E"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Има съобщения за неутропения/агранулоцитоза, тромбоцитопения и анемия при пациенти, приемащи АСЕ инхибитори. При пациенти с нормална бъбречна функция и липса на други усложняващи фактори, неутропения настъпва рядко. Периндоприл трябва да се използва с повишено внимание при пациенти с колагенно съдово заболяване, имуносупресивна терапия, лечение с алопуринол или прокаинамид, или с комбинация с усложняващи фактори, особено ако има предшестващо нарушение на бъбречната функция. При някои от тези пациенти възникват сериозни инфекции, които в отделни случаи не се повлияват от интензивна антибиотична терапия. Ако периндоприл се използва при тези пациенти, се препоръчва периодично изследване на левкоцитите и пациентите трябва да бъдат инструктирани да съобщават за всеки признак на инфекция (напр. възпалено гърло, повишена температура).</w:t>
      </w:r>
    </w:p>
    <w:p w14:paraId="769AF179" w14:textId="77777777" w:rsidR="001C4124" w:rsidRPr="001C4124" w:rsidRDefault="001C4124" w:rsidP="001C4124">
      <w:pPr>
        <w:spacing w:line="240" w:lineRule="auto"/>
        <w:rPr>
          <w:rFonts w:eastAsia="Times New Roman" w:cs="Arial"/>
          <w:i/>
          <w:iCs/>
          <w:color w:val="000000"/>
          <w:lang w:eastAsia="bg-BG"/>
        </w:rPr>
      </w:pPr>
    </w:p>
    <w:p w14:paraId="271F178D" w14:textId="01DF826B"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Раса</w:t>
      </w:r>
    </w:p>
    <w:p w14:paraId="6ED74114"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АСЕ инхибиторите причиняват по-често ангиоедем при пациенти от черната раса, отколкото при пациенти от друга раса. Както и при други АСЕ инхибитори, периндоприл може да бъде по-малко ефективен за понижаване на кръвното налягане при пациенти от черната раса, отколкото при тези от друга раса, вероятно поради преобладаването на ниско ниво на ренин при популацията чернокожи пациенти с хипертония.</w:t>
      </w:r>
    </w:p>
    <w:p w14:paraId="66E5E1DC" w14:textId="77777777" w:rsidR="001C4124" w:rsidRPr="001C4124" w:rsidRDefault="001C4124" w:rsidP="001C4124">
      <w:pPr>
        <w:spacing w:line="240" w:lineRule="auto"/>
        <w:rPr>
          <w:rFonts w:eastAsia="Times New Roman" w:cs="Arial"/>
          <w:i/>
          <w:iCs/>
          <w:color w:val="000000"/>
          <w:lang w:eastAsia="bg-BG"/>
        </w:rPr>
      </w:pPr>
    </w:p>
    <w:p w14:paraId="52E899B2" w14:textId="312EAE6A"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Кашлица</w:t>
      </w:r>
    </w:p>
    <w:p w14:paraId="405D1E33"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Съобщава се за кашлица при употреба на АСЕ инхибитори. Характерните особености на кашлицата са, че е непродуктивна, персистираща и отшумява след преустановяване на лечението. Кашлицата, предизвикана от АСЕ инхибитори трябва да се има предвид като част от диференциалната диагноза при кашлица.</w:t>
      </w:r>
    </w:p>
    <w:p w14:paraId="2D2F89CF" w14:textId="77777777" w:rsidR="001C4124" w:rsidRPr="001C4124" w:rsidRDefault="001C4124" w:rsidP="001C4124">
      <w:pPr>
        <w:spacing w:line="240" w:lineRule="auto"/>
        <w:rPr>
          <w:rFonts w:eastAsia="Times New Roman" w:cs="Arial"/>
          <w:i/>
          <w:iCs/>
          <w:color w:val="000000"/>
          <w:lang w:eastAsia="bg-BG"/>
        </w:rPr>
      </w:pPr>
    </w:p>
    <w:p w14:paraId="4F5C70E1" w14:textId="1C16AE75"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Хирургия/анестезия</w:t>
      </w:r>
    </w:p>
    <w:p w14:paraId="2863463A"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пациенти, подложени на голяма хирургична интервенция, или по време на анестезия със средства, предизвикващи хипотония, периндоприл може да блокира образуването на ангиотензин II в резултат на компенсаторно освобождаване на ренин. Лечението трябва да се преустанови един ден преди хирургичната интервенция. Ако настъпи хипотония, която се счита че се дължи на този механизъм, тя може да бъде коригирана чрез обемно заместване.</w:t>
      </w:r>
    </w:p>
    <w:p w14:paraId="43F7E32E" w14:textId="77777777" w:rsidR="001C4124" w:rsidRPr="001C4124" w:rsidRDefault="001C4124" w:rsidP="001C4124">
      <w:pPr>
        <w:spacing w:line="240" w:lineRule="auto"/>
        <w:rPr>
          <w:rFonts w:eastAsia="Times New Roman" w:cs="Arial"/>
          <w:i/>
          <w:iCs/>
          <w:color w:val="000000"/>
          <w:lang w:eastAsia="bg-BG"/>
        </w:rPr>
      </w:pPr>
    </w:p>
    <w:p w14:paraId="0389D46C" w14:textId="13C692BC"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Хиперкалиемия</w:t>
      </w:r>
    </w:p>
    <w:p w14:paraId="16244412" w14:textId="77777777" w:rsidR="001C4124" w:rsidRPr="001C4124" w:rsidRDefault="001C4124" w:rsidP="001C4124">
      <w:pPr>
        <w:rPr>
          <w:rFonts w:eastAsia="Times New Roman" w:cs="Arial"/>
        </w:rPr>
      </w:pPr>
      <w:r w:rsidRPr="001C4124">
        <w:rPr>
          <w:rFonts w:eastAsia="Times New Roman" w:cs="Arial"/>
          <w:color w:val="000000"/>
          <w:lang w:eastAsia="bg-BG"/>
        </w:rPr>
        <w:t>АСЕ инхибиторите могат да предизвикат хи перкалиемия, тъй като инхибират освобождаването на алдостерон. Ефектът обикновено не е значителен при пациенти с нормална бъбречна функция. Рисковите фактори за развитие на хиперкалиемия включват бъбречна</w:t>
      </w:r>
      <w:r w:rsidRPr="001C4124">
        <w:rPr>
          <w:rFonts w:eastAsia="Times New Roman" w:cs="Arial"/>
          <w:color w:val="000000"/>
          <w:lang w:val="ru-RU" w:eastAsia="bg-BG"/>
        </w:rPr>
        <w:t xml:space="preserve"> </w:t>
      </w:r>
      <w:r w:rsidRPr="001C4124">
        <w:rPr>
          <w:rFonts w:eastAsia="Times New Roman" w:cs="Arial"/>
          <w:color w:val="000000"/>
          <w:lang w:eastAsia="bg-BG"/>
        </w:rPr>
        <w:t>недостатъчност, влошаване на бъбречната функция, възраст (&gt; 70 години), захарен диабет, придружаващи състояния, особено дехидратация, остра сърдечна недостатъчност, метаболитна ацидоза и едновременна употреба на калий-</w:t>
      </w:r>
      <w:r w:rsidRPr="001C4124">
        <w:rPr>
          <w:rFonts w:eastAsia="Times New Roman" w:cs="Arial"/>
          <w:color w:val="000000"/>
          <w:lang w:eastAsia="bg-BG"/>
        </w:rPr>
        <w:lastRenderedPageBreak/>
        <w:t>съхраняващи диуретици (напр. спиронолактон, еплеренон, триамтерен или амилорид), калиеви добавки или калий-съ държащи заместители на солта; или пациенти, приемащи други лекарства, свързани с повишаване на серумния калий (напр. хепарин, триметоприм ко-тримоксазол, известен също като триметоприм / сулфаметоксазол) и особено антагонисти на алдостерон или ангиотензин рецепторни блокери. Употребата на калиеви добавки, калий-съхраняващи диуретици или калий-съдържащи заместители на солта, особено при пациенти с нарушена бъбречна функция, може да доведе до значително повишаване на серумния калий. Хиперкалиемията може да причини сериозни, понякога фатални аритмии. В случаите, когато едновременната употреба на гореспоменатите средства се счита за уместна, те трябва да се използват с повишено внимание и при често изследване на серумния калий (вж. точка 4.5).</w:t>
      </w:r>
    </w:p>
    <w:p w14:paraId="447809D6" w14:textId="77777777" w:rsidR="001C4124" w:rsidRPr="001C4124" w:rsidRDefault="001C4124" w:rsidP="001C4124">
      <w:pPr>
        <w:spacing w:line="240" w:lineRule="auto"/>
        <w:rPr>
          <w:rFonts w:eastAsia="Times New Roman" w:cs="Arial"/>
          <w:i/>
          <w:iCs/>
          <w:color w:val="000000"/>
          <w:lang w:eastAsia="bg-BG"/>
        </w:rPr>
      </w:pPr>
    </w:p>
    <w:p w14:paraId="08542A0E" w14:textId="02885D83"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Пациенти с диабет</w:t>
      </w:r>
    </w:p>
    <w:p w14:paraId="1FDE0174"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пациенти с диабет, лекувани с перорални противодиабетни средства или инсулин, гликемичният контрол трябва да се наблюдава внимателно по време на първия месец от лечението с АСЕ инхибитор (вж. точка 4.5).</w:t>
      </w:r>
    </w:p>
    <w:p w14:paraId="3BC21DBF" w14:textId="77777777" w:rsidR="001C4124" w:rsidRPr="001C4124" w:rsidRDefault="001C4124" w:rsidP="001C4124">
      <w:pPr>
        <w:spacing w:line="240" w:lineRule="auto"/>
        <w:rPr>
          <w:rFonts w:eastAsia="Times New Roman" w:cs="Arial"/>
          <w:i/>
          <w:iCs/>
          <w:color w:val="000000"/>
          <w:lang w:eastAsia="bg-BG"/>
        </w:rPr>
      </w:pPr>
    </w:p>
    <w:p w14:paraId="22EA729E" w14:textId="4C1E26C4"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Литий</w:t>
      </w:r>
    </w:p>
    <w:p w14:paraId="173BE913"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Комбинацията на литий и периндоприл не се препоръчва (вж. точка 4.5).</w:t>
      </w:r>
    </w:p>
    <w:p w14:paraId="7DEB8861" w14:textId="77777777" w:rsidR="001C4124" w:rsidRPr="001C4124" w:rsidRDefault="001C4124" w:rsidP="001C4124">
      <w:pPr>
        <w:spacing w:line="240" w:lineRule="auto"/>
        <w:rPr>
          <w:rFonts w:eastAsia="Times New Roman" w:cs="Arial"/>
          <w:i/>
          <w:iCs/>
          <w:color w:val="000000"/>
          <w:lang w:eastAsia="bg-BG"/>
        </w:rPr>
      </w:pPr>
    </w:p>
    <w:p w14:paraId="706930ED" w14:textId="20FBFB7C"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 xml:space="preserve">Двойно блокиране наренин-ангиотензин-алдостероновата система </w:t>
      </w:r>
      <w:r w:rsidRPr="001C4124">
        <w:rPr>
          <w:rFonts w:eastAsia="Times New Roman" w:cs="Arial"/>
          <w:i/>
          <w:iCs/>
          <w:color w:val="000000"/>
          <w:lang w:val="ru-RU"/>
        </w:rPr>
        <w:t>(</w:t>
      </w:r>
      <w:r w:rsidRPr="001C4124">
        <w:rPr>
          <w:rFonts w:eastAsia="Times New Roman" w:cs="Arial"/>
          <w:i/>
          <w:iCs/>
          <w:color w:val="000000"/>
          <w:lang w:val="en-US"/>
        </w:rPr>
        <w:t>RAAS</w:t>
      </w:r>
      <w:r w:rsidRPr="001C4124">
        <w:rPr>
          <w:rFonts w:eastAsia="Times New Roman" w:cs="Arial"/>
          <w:i/>
          <w:iCs/>
          <w:color w:val="000000"/>
          <w:lang w:val="ru-RU"/>
        </w:rPr>
        <w:t>)</w:t>
      </w:r>
    </w:p>
    <w:p w14:paraId="0E86E8B0"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Има данни, че едновременната употреба на АСЕ инхибитори, ангиотензин II рецепторни антагонисти или алискирен повишава риска от хипотония, хиперкалиемия и влошава бъбречната функция (включително остра бъбречна недостатъчност). Поради това, не се препоръчва двойно блокиране на </w:t>
      </w:r>
      <w:r w:rsidRPr="001C4124">
        <w:rPr>
          <w:rFonts w:eastAsia="Times New Roman" w:cs="Arial"/>
          <w:color w:val="000000"/>
          <w:lang w:val="en-US"/>
        </w:rPr>
        <w:t>RAAS</w:t>
      </w:r>
      <w:r w:rsidRPr="001C4124">
        <w:rPr>
          <w:rFonts w:eastAsia="Times New Roman" w:cs="Arial"/>
          <w:color w:val="000000"/>
          <w:lang w:val="ru-RU"/>
        </w:rPr>
        <w:t xml:space="preserve"> </w:t>
      </w:r>
      <w:r w:rsidRPr="001C4124">
        <w:rPr>
          <w:rFonts w:eastAsia="Times New Roman" w:cs="Arial"/>
          <w:color w:val="000000"/>
          <w:lang w:eastAsia="bg-BG"/>
        </w:rPr>
        <w:t>чрез комбинирана употреба на АСЕ инхибитори, ангиотензин II рецепторни антагонисти или алискирен (вж. точки 4.5 и 5.1).</w:t>
      </w:r>
    </w:p>
    <w:p w14:paraId="41D0648F" w14:textId="77777777" w:rsidR="001C4124" w:rsidRPr="001C4124" w:rsidRDefault="001C4124" w:rsidP="001C4124">
      <w:pPr>
        <w:spacing w:line="240" w:lineRule="auto"/>
        <w:rPr>
          <w:rFonts w:eastAsia="Times New Roman" w:cs="Arial"/>
          <w:color w:val="000000"/>
          <w:lang w:eastAsia="bg-BG"/>
        </w:rPr>
      </w:pPr>
    </w:p>
    <w:p w14:paraId="689973B0" w14:textId="4FDBE441" w:rsidR="001C4124" w:rsidRPr="001C4124" w:rsidRDefault="001C4124" w:rsidP="001C4124">
      <w:pPr>
        <w:spacing w:line="240" w:lineRule="auto"/>
        <w:rPr>
          <w:rFonts w:eastAsia="Times New Roman" w:cs="Arial"/>
        </w:rPr>
      </w:pPr>
      <w:r w:rsidRPr="001C4124">
        <w:rPr>
          <w:rFonts w:eastAsia="Times New Roman" w:cs="Arial"/>
          <w:color w:val="000000"/>
          <w:lang w:eastAsia="bg-BG"/>
        </w:rPr>
        <w:t>Ако терапията с двойно блокиране се счита за абсолютно необходима, това трябва да става само под наблюдението на специалист и при често внимателно проследяване на бъбречната функция, електролитите и кръвното налягане.</w:t>
      </w:r>
    </w:p>
    <w:p w14:paraId="300B8103" w14:textId="77777777" w:rsidR="001C4124" w:rsidRPr="001C4124" w:rsidRDefault="001C4124" w:rsidP="001C4124">
      <w:pPr>
        <w:spacing w:line="240" w:lineRule="auto"/>
        <w:rPr>
          <w:rFonts w:eastAsia="Times New Roman" w:cs="Arial"/>
          <w:color w:val="000000"/>
          <w:lang w:eastAsia="bg-BG"/>
        </w:rPr>
      </w:pPr>
    </w:p>
    <w:p w14:paraId="61F81947" w14:textId="72AE9EB5" w:rsidR="001C4124" w:rsidRPr="001C4124" w:rsidRDefault="001C4124" w:rsidP="001C4124">
      <w:pPr>
        <w:spacing w:line="240" w:lineRule="auto"/>
        <w:rPr>
          <w:rFonts w:eastAsia="Times New Roman" w:cs="Arial"/>
        </w:rPr>
      </w:pPr>
      <w:r w:rsidRPr="001C4124">
        <w:rPr>
          <w:rFonts w:eastAsia="Times New Roman" w:cs="Arial"/>
          <w:color w:val="000000"/>
          <w:lang w:eastAsia="bg-BG"/>
        </w:rPr>
        <w:t>АСЕ инхибитори и ангиотензин II рецепторни антагонисти не трябва да се използват едновременно при пациенти с диабетна нефропатия.</w:t>
      </w:r>
    </w:p>
    <w:p w14:paraId="5D6D2E53" w14:textId="77777777" w:rsidR="001C4124" w:rsidRPr="001C4124" w:rsidRDefault="001C4124" w:rsidP="001C4124">
      <w:pPr>
        <w:spacing w:line="240" w:lineRule="auto"/>
        <w:rPr>
          <w:rFonts w:eastAsia="Times New Roman" w:cs="Arial"/>
          <w:i/>
          <w:iCs/>
          <w:color w:val="000000"/>
          <w:lang w:eastAsia="bg-BG"/>
        </w:rPr>
      </w:pPr>
    </w:p>
    <w:p w14:paraId="05EE99AE" w14:textId="44612249"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Първичен алдостеронизъм</w:t>
      </w:r>
    </w:p>
    <w:p w14:paraId="2D8A565E"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7B970890" w14:textId="77777777" w:rsidR="001C4124" w:rsidRPr="001C4124" w:rsidRDefault="001C4124" w:rsidP="001C4124">
      <w:pPr>
        <w:spacing w:line="240" w:lineRule="auto"/>
        <w:rPr>
          <w:rFonts w:eastAsia="Times New Roman" w:cs="Arial"/>
          <w:i/>
          <w:iCs/>
          <w:color w:val="000000"/>
          <w:lang w:eastAsia="bg-BG"/>
        </w:rPr>
      </w:pPr>
    </w:p>
    <w:p w14:paraId="2F2029CB" w14:textId="4096FDE5"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Бременност</w:t>
      </w:r>
    </w:p>
    <w:p w14:paraId="7FF01BD2"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Лечение с АСЕ инхибитори не трябва да се започва по време на бременност.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АСЕ инхибитори. Когато се установи бременност, лечението с АСЕ инхибитори трябва незабавно да се прекрати и ако е подходящо, да се започне алтернативно лечение (вж. точки 4.3 и 4.6).</w:t>
      </w:r>
    </w:p>
    <w:p w14:paraId="1B1FE5F6" w14:textId="77777777" w:rsidR="001C4124" w:rsidRPr="001C4124" w:rsidRDefault="001C4124" w:rsidP="001C4124">
      <w:pPr>
        <w:spacing w:line="240" w:lineRule="auto"/>
        <w:rPr>
          <w:rFonts w:eastAsia="Times New Roman" w:cs="Arial"/>
          <w:color w:val="000000"/>
          <w:u w:val="single"/>
          <w:lang w:eastAsia="bg-BG"/>
        </w:rPr>
      </w:pPr>
    </w:p>
    <w:p w14:paraId="396847A4" w14:textId="6C307C5D" w:rsidR="001C4124" w:rsidRPr="001C4124" w:rsidRDefault="001C4124" w:rsidP="001C4124">
      <w:pPr>
        <w:spacing w:line="240" w:lineRule="auto"/>
        <w:rPr>
          <w:rFonts w:eastAsia="Times New Roman" w:cs="Arial"/>
        </w:rPr>
      </w:pPr>
      <w:r w:rsidRPr="001C4124">
        <w:rPr>
          <w:rFonts w:eastAsia="Times New Roman" w:cs="Arial"/>
          <w:color w:val="000000"/>
          <w:u w:val="single"/>
          <w:lang w:eastAsia="bg-BG"/>
        </w:rPr>
        <w:t>Амлодипин</w:t>
      </w:r>
    </w:p>
    <w:p w14:paraId="70913E42"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Безопасността и ефикасността на амлодипин при хипертонична криза не е установена.</w:t>
      </w:r>
    </w:p>
    <w:p w14:paraId="0CE3738A" w14:textId="77777777" w:rsidR="001C4124" w:rsidRPr="001C4124" w:rsidRDefault="001C4124" w:rsidP="001C4124">
      <w:pPr>
        <w:spacing w:line="240" w:lineRule="auto"/>
        <w:rPr>
          <w:rFonts w:eastAsia="Times New Roman" w:cs="Arial"/>
          <w:i/>
          <w:iCs/>
          <w:color w:val="000000"/>
          <w:lang w:eastAsia="bg-BG"/>
        </w:rPr>
      </w:pPr>
    </w:p>
    <w:p w14:paraId="0F0E6875" w14:textId="31C5D0AE"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Сърдечна недостатъчност</w:t>
      </w:r>
    </w:p>
    <w:p w14:paraId="37CE5691" w14:textId="77777777" w:rsidR="001C4124" w:rsidRPr="001C4124" w:rsidRDefault="001C4124" w:rsidP="001C4124">
      <w:pPr>
        <w:rPr>
          <w:rFonts w:eastAsia="Times New Roman" w:cs="Arial"/>
        </w:rPr>
      </w:pPr>
      <w:r w:rsidRPr="001C4124">
        <w:rPr>
          <w:rFonts w:eastAsia="Times New Roman" w:cs="Arial"/>
          <w:color w:val="000000"/>
          <w:lang w:eastAsia="bg-BG"/>
        </w:rPr>
        <w:t xml:space="preserve">Пациенти със сърдечна недостатъчност трябва да се лекуват с повишено внимание. В дългосрочно плацебо контролирано проучване при пациенти с тежка сърдечна недостатъчност (III и IV клас по </w:t>
      </w:r>
      <w:r w:rsidRPr="001C4124">
        <w:rPr>
          <w:rFonts w:eastAsia="Times New Roman" w:cs="Arial"/>
          <w:color w:val="000000"/>
          <w:lang w:val="en-US"/>
        </w:rPr>
        <w:t>NYHA</w:t>
      </w:r>
      <w:r w:rsidRPr="001C4124">
        <w:rPr>
          <w:rFonts w:eastAsia="Times New Roman" w:cs="Arial"/>
          <w:color w:val="000000"/>
          <w:lang w:val="ru-RU"/>
        </w:rPr>
        <w:t xml:space="preserve">), </w:t>
      </w:r>
      <w:r w:rsidRPr="001C4124">
        <w:rPr>
          <w:rFonts w:eastAsia="Times New Roman" w:cs="Arial"/>
          <w:color w:val="000000"/>
          <w:lang w:eastAsia="bg-BG"/>
        </w:rPr>
        <w:t>съобщаваната честота на белодробен оток е била по-висока в групата лекувана с амлодипин, отколкото в плацебо групата (вж. точка 5.1). Калциевите антагонисти,</w:t>
      </w:r>
      <w:r w:rsidRPr="001C4124">
        <w:rPr>
          <w:rFonts w:eastAsia="Times New Roman" w:cs="Arial"/>
          <w:color w:val="000000"/>
          <w:lang w:val="ru-RU" w:eastAsia="bg-BG"/>
        </w:rPr>
        <w:t xml:space="preserve"> </w:t>
      </w:r>
      <w:r w:rsidRPr="001C4124">
        <w:rPr>
          <w:rFonts w:eastAsia="Times New Roman" w:cs="Arial"/>
          <w:color w:val="000000"/>
          <w:lang w:eastAsia="bg-BG"/>
        </w:rPr>
        <w:t>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 съдови събития и смъртност.</w:t>
      </w:r>
    </w:p>
    <w:p w14:paraId="699069BA" w14:textId="77777777" w:rsidR="001C4124" w:rsidRPr="001C4124" w:rsidRDefault="001C4124" w:rsidP="001C4124">
      <w:pPr>
        <w:spacing w:line="240" w:lineRule="auto"/>
        <w:rPr>
          <w:rFonts w:eastAsia="Times New Roman" w:cs="Arial"/>
          <w:i/>
          <w:iCs/>
          <w:color w:val="000000"/>
          <w:lang w:eastAsia="bg-BG"/>
        </w:rPr>
      </w:pPr>
    </w:p>
    <w:p w14:paraId="01DBBE5D" w14:textId="5430A756"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Нарушена чернодробна функция</w:t>
      </w:r>
    </w:p>
    <w:p w14:paraId="6622B1E0"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Полуживотът на амлодипин е удължен и стойностите на </w:t>
      </w:r>
      <w:r w:rsidRPr="001C4124">
        <w:rPr>
          <w:rFonts w:eastAsia="Times New Roman" w:cs="Arial"/>
          <w:color w:val="000000"/>
          <w:lang w:val="en-US"/>
        </w:rPr>
        <w:t>AUC</w:t>
      </w:r>
      <w:r w:rsidRPr="001C4124">
        <w:rPr>
          <w:rFonts w:eastAsia="Times New Roman" w:cs="Arial"/>
          <w:color w:val="000000"/>
          <w:lang w:val="ru-RU"/>
        </w:rPr>
        <w:t xml:space="preserve"> </w:t>
      </w:r>
      <w:r w:rsidRPr="001C4124">
        <w:rPr>
          <w:rFonts w:eastAsia="Times New Roman" w:cs="Arial"/>
          <w:color w:val="000000"/>
          <w:lang w:eastAsia="bg-BG"/>
        </w:rPr>
        <w:t>са по-високи при пациенти с нарушена чернодробна функция; не са установени препоръки за дозировката. Следователно, амлодипин трябва да се започне в най-ниската доза и да се внимава, както при започване на лечението, така и при повишаване на дозата. При пациенти с тежка чернодробна недостатъчност може да се наложи бавно титриране на дозата и внимателно проследяване.</w:t>
      </w:r>
    </w:p>
    <w:p w14:paraId="5FC5DFF5" w14:textId="77777777" w:rsidR="001C4124" w:rsidRPr="001C4124" w:rsidRDefault="001C4124" w:rsidP="001C4124">
      <w:pPr>
        <w:spacing w:line="240" w:lineRule="auto"/>
        <w:rPr>
          <w:rFonts w:eastAsia="Times New Roman" w:cs="Arial"/>
          <w:i/>
          <w:iCs/>
          <w:color w:val="000000"/>
          <w:lang w:eastAsia="bg-BG"/>
        </w:rPr>
      </w:pPr>
    </w:p>
    <w:p w14:paraId="5C0ED224" w14:textId="6434FC74"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Старческа възраст</w:t>
      </w:r>
    </w:p>
    <w:p w14:paraId="3FA091E9"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пациенти в старческа възраст, повишаването на дозата трябва да се извършва с повишено внимание (вж. точки 4.2 и 5.2).</w:t>
      </w:r>
    </w:p>
    <w:p w14:paraId="000C3CF7" w14:textId="77777777" w:rsidR="001C4124" w:rsidRPr="001C4124" w:rsidRDefault="001C4124" w:rsidP="001C4124">
      <w:pPr>
        <w:spacing w:line="240" w:lineRule="auto"/>
        <w:rPr>
          <w:rFonts w:eastAsia="Times New Roman" w:cs="Arial"/>
          <w:i/>
          <w:iCs/>
          <w:color w:val="000000"/>
          <w:lang w:eastAsia="bg-BG"/>
        </w:rPr>
      </w:pPr>
    </w:p>
    <w:p w14:paraId="0E0A6187" w14:textId="452D9079"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Бъбречна недостатъчност</w:t>
      </w:r>
    </w:p>
    <w:p w14:paraId="3F4C2F44"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такива пациенти, амлодипин може да се прилага в обичайни дози. Промените в плазмените концентрации на амлодипин не са свързани със степента на бъбречното увреждане. Амлодипин не се диализира.</w:t>
      </w:r>
    </w:p>
    <w:p w14:paraId="322FC5B2" w14:textId="77777777" w:rsidR="001C4124" w:rsidRPr="001C4124" w:rsidRDefault="001C4124" w:rsidP="001C4124">
      <w:pPr>
        <w:spacing w:line="240" w:lineRule="auto"/>
        <w:rPr>
          <w:rFonts w:eastAsia="Times New Roman" w:cs="Arial"/>
          <w:i/>
          <w:iCs/>
          <w:color w:val="000000"/>
          <w:lang w:eastAsia="bg-BG"/>
        </w:rPr>
      </w:pPr>
    </w:p>
    <w:p w14:paraId="68BE1885" w14:textId="708B7C63"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Предупреждения за помощните вещества</w:t>
      </w:r>
    </w:p>
    <w:p w14:paraId="5FBF97D5"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Този медицински продукт съдържа по-малко от 1 </w:t>
      </w:r>
      <w:proofErr w:type="spellStart"/>
      <w:r w:rsidRPr="001C4124">
        <w:rPr>
          <w:rFonts w:eastAsia="Times New Roman" w:cs="Arial"/>
          <w:color w:val="000000"/>
          <w:lang w:val="en-US"/>
        </w:rPr>
        <w:t>mmol</w:t>
      </w:r>
      <w:proofErr w:type="spellEnd"/>
      <w:r w:rsidRPr="001C4124">
        <w:rPr>
          <w:rFonts w:eastAsia="Times New Roman" w:cs="Arial"/>
          <w:color w:val="000000"/>
          <w:lang w:val="ru-RU"/>
        </w:rPr>
        <w:t xml:space="preserve"> </w:t>
      </w:r>
      <w:r w:rsidRPr="001C4124">
        <w:rPr>
          <w:rFonts w:eastAsia="Times New Roman" w:cs="Arial"/>
          <w:color w:val="000000"/>
          <w:lang w:eastAsia="bg-BG"/>
        </w:rPr>
        <w:t xml:space="preserve">натрий (23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в таблетка ,така че на практика е „без натрий".</w:t>
      </w:r>
    </w:p>
    <w:p w14:paraId="703CDEED" w14:textId="5E153F58" w:rsidR="001C4124" w:rsidRPr="001C4124" w:rsidRDefault="001C4124" w:rsidP="001C4124">
      <w:pPr>
        <w:rPr>
          <w:lang w:val="ru-RU"/>
        </w:rPr>
      </w:pPr>
    </w:p>
    <w:p w14:paraId="62F27C9B" w14:textId="4B05FD9F"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FDFA297" w14:textId="016D4EEE" w:rsidR="001C4124" w:rsidRDefault="001C4124" w:rsidP="001C4124"/>
    <w:p w14:paraId="0CC98CB3" w14:textId="77777777" w:rsidR="001C4124" w:rsidRPr="001C4124" w:rsidRDefault="001C4124" w:rsidP="001C4124">
      <w:pPr>
        <w:spacing w:line="240" w:lineRule="auto"/>
        <w:rPr>
          <w:rFonts w:eastAsia="Times New Roman" w:cs="Arial"/>
        </w:rPr>
      </w:pPr>
      <w:r w:rsidRPr="001C4124">
        <w:rPr>
          <w:rFonts w:eastAsia="Times New Roman" w:cs="Arial"/>
          <w:color w:val="000000"/>
          <w:u w:val="single"/>
          <w:lang w:eastAsia="bg-BG"/>
        </w:rPr>
        <w:t>Периндоприл</w:t>
      </w:r>
    </w:p>
    <w:p w14:paraId="12721C69" w14:textId="77777777" w:rsidR="001C4124" w:rsidRPr="001C4124" w:rsidRDefault="001C4124" w:rsidP="001C4124">
      <w:pPr>
        <w:spacing w:line="240" w:lineRule="auto"/>
        <w:rPr>
          <w:rFonts w:eastAsia="Times New Roman" w:cs="Arial"/>
          <w:i/>
          <w:iCs/>
          <w:color w:val="000000"/>
          <w:u w:val="single"/>
          <w:lang w:eastAsia="bg-BG"/>
        </w:rPr>
      </w:pPr>
    </w:p>
    <w:p w14:paraId="2B2766C7" w14:textId="435AEE3B" w:rsidR="001C4124" w:rsidRPr="001C4124" w:rsidRDefault="001C4124" w:rsidP="001C4124">
      <w:pPr>
        <w:spacing w:line="240" w:lineRule="auto"/>
        <w:rPr>
          <w:rFonts w:eastAsia="Times New Roman" w:cs="Arial"/>
        </w:rPr>
      </w:pPr>
      <w:r w:rsidRPr="001C4124">
        <w:rPr>
          <w:rFonts w:eastAsia="Times New Roman" w:cs="Arial"/>
          <w:i/>
          <w:iCs/>
          <w:color w:val="000000"/>
          <w:u w:val="single"/>
          <w:lang w:eastAsia="bg-BG"/>
        </w:rPr>
        <w:t>Едновременната употреба е противопоказана (вж. точка 4.</w:t>
      </w:r>
      <w:r w:rsidRPr="001C4124">
        <w:rPr>
          <w:rFonts w:eastAsia="Times New Roman" w:cs="Arial"/>
          <w:color w:val="000000"/>
          <w:u w:val="single"/>
          <w:lang w:eastAsia="bg-BG"/>
        </w:rPr>
        <w:t>3)</w:t>
      </w:r>
    </w:p>
    <w:p w14:paraId="219E992A"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Алискирен</w:t>
      </w:r>
    </w:p>
    <w:p w14:paraId="5C66B4ED"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пациенти с диабет или нарушена бъбречна функция се увеличава рискът от хиперкал иемия, влошаване на бъбречната функция и сърдечносъдова заболеваемост и смъртност.</w:t>
      </w:r>
    </w:p>
    <w:p w14:paraId="4DCC16B0" w14:textId="77777777" w:rsidR="001C4124" w:rsidRPr="001C4124" w:rsidRDefault="001C4124" w:rsidP="001C4124">
      <w:pPr>
        <w:spacing w:line="240" w:lineRule="auto"/>
        <w:rPr>
          <w:rFonts w:eastAsia="Times New Roman" w:cs="Arial"/>
          <w:i/>
          <w:iCs/>
          <w:color w:val="000000"/>
          <w:lang w:eastAsia="bg-BG"/>
        </w:rPr>
      </w:pPr>
    </w:p>
    <w:p w14:paraId="6B37CBAD" w14:textId="3EB8ACDB"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Екстракорпорални лечения</w:t>
      </w:r>
    </w:p>
    <w:p w14:paraId="568D950C"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Екстракорпорални лечения, водещи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декстранов сулфат, поради повишен риск от тежки анафилактични реакции (вж. точка 4.3). При необходимост от подобно лечение трябва да </w:t>
      </w:r>
      <w:r w:rsidRPr="001C4124">
        <w:rPr>
          <w:rFonts w:eastAsia="Times New Roman" w:cs="Arial"/>
          <w:color w:val="000000"/>
          <w:lang w:eastAsia="bg-BG"/>
        </w:rPr>
        <w:lastRenderedPageBreak/>
        <w:t>се обмисли използване на друг тип диализни мембрани или на антихипертензивно средство от друг клас.</w:t>
      </w:r>
    </w:p>
    <w:p w14:paraId="77F98C57" w14:textId="77777777" w:rsidR="001C4124" w:rsidRPr="001C4124" w:rsidRDefault="001C4124" w:rsidP="001C4124">
      <w:pPr>
        <w:spacing w:line="240" w:lineRule="auto"/>
        <w:rPr>
          <w:rFonts w:eastAsia="Times New Roman" w:cs="Arial"/>
          <w:i/>
          <w:iCs/>
          <w:color w:val="000000"/>
          <w:lang w:eastAsia="bg-BG"/>
        </w:rPr>
      </w:pPr>
    </w:p>
    <w:p w14:paraId="109BC81A" w14:textId="298F4291"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Сакубитрил/валсартан</w:t>
      </w:r>
    </w:p>
    <w:p w14:paraId="43583FA6"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(вж. точки 4.3 и 4.4). Лечение със сакубитрил/валсартан не трябва да се започва по-рано от 36 часа след последната доза периндоприл. Ако лечение със сакубитрил/валсартан се спре, лечението с периндоприл не трябва да се започва по-рано от 36 часа след последната доза сакубитрил/валсартан (вж. точки 4.3 и 4.5).</w:t>
      </w:r>
    </w:p>
    <w:p w14:paraId="317EE7C3" w14:textId="77777777" w:rsidR="001C4124" w:rsidRPr="001C4124" w:rsidRDefault="001C4124" w:rsidP="001C4124">
      <w:pPr>
        <w:spacing w:line="240" w:lineRule="auto"/>
        <w:rPr>
          <w:rFonts w:eastAsia="Times New Roman" w:cs="Arial"/>
          <w:i/>
          <w:iCs/>
          <w:color w:val="000000"/>
          <w:u w:val="single"/>
          <w:lang w:eastAsia="bg-BG"/>
        </w:rPr>
      </w:pPr>
    </w:p>
    <w:p w14:paraId="2B8E919B" w14:textId="3B89D360" w:rsidR="001C4124" w:rsidRPr="001C4124" w:rsidRDefault="001C4124" w:rsidP="001C4124">
      <w:pPr>
        <w:spacing w:line="240" w:lineRule="auto"/>
        <w:rPr>
          <w:rFonts w:eastAsia="Times New Roman" w:cs="Arial"/>
        </w:rPr>
      </w:pPr>
      <w:r w:rsidRPr="001C4124">
        <w:rPr>
          <w:rFonts w:eastAsia="Times New Roman" w:cs="Arial"/>
          <w:i/>
          <w:iCs/>
          <w:color w:val="000000"/>
          <w:u w:val="single"/>
          <w:lang w:eastAsia="bg-BG"/>
        </w:rPr>
        <w:t>Едновременната употреба не се препоръчва (вж. точка 4.4)</w:t>
      </w:r>
    </w:p>
    <w:p w14:paraId="1774BA08"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 xml:space="preserve">Двойно блокиране на ренин-ангиотензин-алдостероновата система </w:t>
      </w:r>
      <w:r w:rsidRPr="001C4124">
        <w:rPr>
          <w:rFonts w:eastAsia="Times New Roman" w:cs="Arial"/>
          <w:i/>
          <w:iCs/>
          <w:color w:val="000000"/>
          <w:lang w:val="ru-RU"/>
        </w:rPr>
        <w:t>(</w:t>
      </w:r>
      <w:r w:rsidRPr="001C4124">
        <w:rPr>
          <w:rFonts w:eastAsia="Times New Roman" w:cs="Arial"/>
          <w:i/>
          <w:iCs/>
          <w:color w:val="000000"/>
          <w:lang w:val="en-US"/>
        </w:rPr>
        <w:t>RAAS</w:t>
      </w:r>
      <w:r w:rsidRPr="001C4124">
        <w:rPr>
          <w:rFonts w:eastAsia="Times New Roman" w:cs="Arial"/>
          <w:i/>
          <w:iCs/>
          <w:color w:val="000000"/>
          <w:lang w:val="ru-RU"/>
        </w:rPr>
        <w:t>)</w:t>
      </w:r>
    </w:p>
    <w:p w14:paraId="60BB2C46" w14:textId="76DB25E5" w:rsidR="001C4124" w:rsidRPr="001C4124" w:rsidRDefault="001C4124" w:rsidP="001C4124">
      <w:pPr>
        <w:spacing w:line="240" w:lineRule="auto"/>
        <w:rPr>
          <w:rFonts w:eastAsia="Times New Roman" w:cs="Arial"/>
          <w:color w:val="000000"/>
          <w:lang w:eastAsia="bg-BG"/>
        </w:rPr>
      </w:pPr>
      <w:r w:rsidRPr="001C4124">
        <w:rPr>
          <w:rFonts w:eastAsia="Times New Roman" w:cs="Arial"/>
          <w:color w:val="000000"/>
          <w:lang w:eastAsia="bg-BG"/>
        </w:rPr>
        <w:t xml:space="preserve">Данните от клинични изпитвания показват, че двойното блокиране на ренин-ангиотензин- алдостероновата система </w:t>
      </w:r>
      <w:r w:rsidRPr="001C4124">
        <w:rPr>
          <w:rFonts w:eastAsia="Times New Roman" w:cs="Arial"/>
          <w:color w:val="000000"/>
          <w:lang w:val="ru-RU"/>
        </w:rPr>
        <w:t>(</w:t>
      </w:r>
      <w:r w:rsidRPr="001C4124">
        <w:rPr>
          <w:rFonts w:eastAsia="Times New Roman" w:cs="Arial"/>
          <w:color w:val="000000"/>
          <w:lang w:val="en-US"/>
        </w:rPr>
        <w:t>RAAS</w:t>
      </w:r>
      <w:r w:rsidRPr="001C4124">
        <w:rPr>
          <w:rFonts w:eastAsia="Times New Roman" w:cs="Arial"/>
          <w:color w:val="000000"/>
          <w:lang w:val="ru-RU"/>
        </w:rPr>
        <w:t xml:space="preserve">) </w:t>
      </w:r>
      <w:r w:rsidRPr="001C4124">
        <w:rPr>
          <w:rFonts w:eastAsia="Times New Roman" w:cs="Arial"/>
          <w:color w:val="000000"/>
          <w:lang w:eastAsia="bg-BG"/>
        </w:rPr>
        <w:t xml:space="preserve">чрез комбинирана употреба на АСЕ инхибитори, ангиотензин II рецепторни антагонисти или алискирен е свързано с по-висока честота на нежелани събития, като хипотония, хиперкалиемия и намалена бъбречна функция (вкл. остра бъбречна недостатъчност), в сравнение с използването на единично средство, действащо върху </w:t>
      </w:r>
      <w:r w:rsidRPr="001C4124">
        <w:rPr>
          <w:rFonts w:eastAsia="Times New Roman" w:cs="Arial"/>
          <w:color w:val="000000"/>
          <w:lang w:val="en-US"/>
        </w:rPr>
        <w:t>RAAS</w:t>
      </w:r>
      <w:r w:rsidRPr="001C4124">
        <w:rPr>
          <w:rFonts w:eastAsia="Times New Roman" w:cs="Arial"/>
          <w:lang w:val="ru-RU"/>
        </w:rPr>
        <w:t xml:space="preserve"> </w:t>
      </w:r>
      <w:r w:rsidRPr="001C4124">
        <w:rPr>
          <w:rFonts w:eastAsia="Times New Roman" w:cs="Arial"/>
          <w:color w:val="000000"/>
          <w:lang w:eastAsia="bg-BG"/>
        </w:rPr>
        <w:t>(вж. точки 4.3,4.4 и 5.1).</w:t>
      </w:r>
    </w:p>
    <w:p w14:paraId="5049B043" w14:textId="35FBCDBC" w:rsidR="001C4124" w:rsidRPr="001C4124" w:rsidRDefault="001C4124" w:rsidP="001C4124">
      <w:pPr>
        <w:spacing w:line="240" w:lineRule="auto"/>
        <w:rPr>
          <w:rFonts w:eastAsia="Times New Roman" w:cs="Arial"/>
          <w:color w:val="000000"/>
          <w:lang w:eastAsia="bg-BG"/>
        </w:rPr>
      </w:pPr>
    </w:p>
    <w:p w14:paraId="32893799"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Естрамустин</w:t>
      </w:r>
    </w:p>
    <w:p w14:paraId="5526B8C1"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Повишен риск от нежелани реакции, като напр. ангионевротичен оток (ангиоедем).</w:t>
      </w:r>
    </w:p>
    <w:p w14:paraId="4913B834" w14:textId="77777777" w:rsidR="001C4124" w:rsidRPr="001C4124" w:rsidRDefault="001C4124" w:rsidP="001C4124">
      <w:pPr>
        <w:spacing w:line="240" w:lineRule="auto"/>
        <w:rPr>
          <w:rFonts w:eastAsia="Times New Roman" w:cs="Arial"/>
          <w:i/>
          <w:iCs/>
          <w:color w:val="000000"/>
          <w:lang w:eastAsia="bg-BG"/>
        </w:rPr>
      </w:pPr>
    </w:p>
    <w:p w14:paraId="498AAB97" w14:textId="7A7DD9A6"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Лекарства, предизвикващи хиперкалиемия</w:t>
      </w:r>
    </w:p>
    <w:p w14:paraId="67E593C6"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Някои лекарства или терапевтични класове могат да повишат честотата на хиперкалиемия; алискирен, калиеви соли, калий-съхраняващи диуретици, АСЕ инхибитори, ангиотензин II рецепторни антагонисти, НСПВС, хепарини, имуносупресори като циклоспорин или такролимус, триметоприм. Комбинацията от тези лекарства увеличава риска от хиперкалиемия.</w:t>
      </w:r>
    </w:p>
    <w:p w14:paraId="3B36CDE1" w14:textId="77777777" w:rsidR="001C4124" w:rsidRPr="001C4124" w:rsidRDefault="001C4124" w:rsidP="001C4124">
      <w:pPr>
        <w:spacing w:line="240" w:lineRule="auto"/>
        <w:rPr>
          <w:rFonts w:eastAsia="Times New Roman" w:cs="Arial"/>
          <w:i/>
          <w:iCs/>
          <w:color w:val="000000"/>
          <w:lang w:eastAsia="bg-BG"/>
        </w:rPr>
      </w:pPr>
    </w:p>
    <w:p w14:paraId="6D62FD8D" w14:textId="148E8952"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Триметоприм, ко-тримоксазол (триметоприм/сулфаметоксазол)</w:t>
      </w:r>
    </w:p>
    <w:p w14:paraId="09A5F646"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Трябва да се внимава при едновременното прилагане на периндоприл с други средства, които повишават серумния калий, като триметоприм и ко-тримоксазол (триметоприм / сулфаметоксазол), тъй като триметоприм е известен като калий-съхраняващ диуретик като амилорид (вж. точка 4.4).</w:t>
      </w:r>
    </w:p>
    <w:p w14:paraId="4A9D6551" w14:textId="77777777" w:rsidR="001C4124" w:rsidRPr="001C4124" w:rsidRDefault="001C4124" w:rsidP="001C4124">
      <w:pPr>
        <w:spacing w:line="240" w:lineRule="auto"/>
        <w:rPr>
          <w:rFonts w:eastAsia="Times New Roman" w:cs="Arial"/>
          <w:i/>
          <w:iCs/>
          <w:color w:val="000000"/>
          <w:lang w:eastAsia="bg-BG"/>
        </w:rPr>
      </w:pPr>
    </w:p>
    <w:p w14:paraId="3EE58C35" w14:textId="40850854"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Калий-съхраняващи диуретици (напр. триамтерен, амилорид), хранителни добавки съдържащи калий или калий съдържащи заместители на солта</w:t>
      </w:r>
    </w:p>
    <w:p w14:paraId="0740B09D"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Въпреки че серумният калии обикновено остава в рамките на нормалните граници, при някои пациенти, лекувани с периндоприл, може да възникне хиперкалиемия, особено във връзка с бъбречно увреждане (адитивен ефект на хиперкалиемия).</w:t>
      </w:r>
    </w:p>
    <w:p w14:paraId="654773DA" w14:textId="77777777" w:rsidR="001C4124" w:rsidRPr="001C4124" w:rsidRDefault="001C4124" w:rsidP="001C4124">
      <w:pPr>
        <w:spacing w:line="240" w:lineRule="auto"/>
        <w:rPr>
          <w:rFonts w:eastAsia="Times New Roman" w:cs="Arial"/>
          <w:color w:val="000000"/>
          <w:lang w:eastAsia="bg-BG"/>
        </w:rPr>
      </w:pPr>
    </w:p>
    <w:p w14:paraId="57C424F7" w14:textId="13DECC11" w:rsidR="001C4124" w:rsidRPr="001C4124" w:rsidRDefault="001C4124" w:rsidP="001C4124">
      <w:pPr>
        <w:spacing w:line="240" w:lineRule="auto"/>
        <w:rPr>
          <w:rFonts w:eastAsia="Times New Roman" w:cs="Arial"/>
        </w:rPr>
      </w:pPr>
      <w:r w:rsidRPr="001C4124">
        <w:rPr>
          <w:rFonts w:eastAsia="Times New Roman" w:cs="Arial"/>
          <w:color w:val="000000"/>
          <w:lang w:eastAsia="bg-BG"/>
        </w:rPr>
        <w:t>Употребата на калий-съхраняващи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Поради това не се препоръчва комбинирането на периндоприл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14E798D4" w14:textId="77777777" w:rsidR="001C4124" w:rsidRPr="001C4124" w:rsidRDefault="001C4124" w:rsidP="001C4124">
      <w:pPr>
        <w:spacing w:line="240" w:lineRule="auto"/>
        <w:rPr>
          <w:rFonts w:eastAsia="Times New Roman" w:cs="Arial"/>
          <w:color w:val="000000"/>
          <w:lang w:eastAsia="bg-BG"/>
        </w:rPr>
      </w:pPr>
    </w:p>
    <w:p w14:paraId="1ACAFED6" w14:textId="09DA4076" w:rsidR="001C4124" w:rsidRPr="001C4124" w:rsidRDefault="001C4124" w:rsidP="001C4124">
      <w:pPr>
        <w:spacing w:line="240" w:lineRule="auto"/>
        <w:rPr>
          <w:rFonts w:eastAsia="Times New Roman" w:cs="Arial"/>
        </w:rPr>
      </w:pPr>
      <w:r w:rsidRPr="001C4124">
        <w:rPr>
          <w:rFonts w:eastAsia="Times New Roman" w:cs="Arial"/>
          <w:color w:val="000000"/>
          <w:lang w:eastAsia="bg-BG"/>
        </w:rPr>
        <w:t>Относно употребата на спиронолактон при сърдечна недостатъчност, вижте по-долу.</w:t>
      </w:r>
    </w:p>
    <w:p w14:paraId="4E14AA68" w14:textId="77777777" w:rsidR="001C4124" w:rsidRPr="001C4124" w:rsidRDefault="001C4124" w:rsidP="001C4124">
      <w:pPr>
        <w:spacing w:line="240" w:lineRule="auto"/>
        <w:rPr>
          <w:rFonts w:eastAsia="Times New Roman" w:cs="Arial"/>
          <w:i/>
          <w:iCs/>
          <w:color w:val="000000"/>
          <w:lang w:eastAsia="bg-BG"/>
        </w:rPr>
      </w:pPr>
    </w:p>
    <w:p w14:paraId="789F08D1" w14:textId="1344B65C"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lastRenderedPageBreak/>
        <w:t>Литий</w:t>
      </w:r>
    </w:p>
    <w:p w14:paraId="08223928"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Съобщава се за обратимо повишаване на серумните литиеви концентрации и токсичност при едновременно приложение на литий с АСЕ инхибитори. Употребата на периндоприл с литий не се препоръчва, но ако комбинацията е доказано необходима, трябва да се извършва внимателно проследяване на серумните литиеви нива (вж. точка 4.4).</w:t>
      </w:r>
    </w:p>
    <w:p w14:paraId="50F668AE" w14:textId="77777777" w:rsidR="001C4124" w:rsidRPr="001C4124" w:rsidRDefault="001C4124" w:rsidP="001C4124">
      <w:pPr>
        <w:spacing w:line="240" w:lineRule="auto"/>
        <w:rPr>
          <w:rFonts w:eastAsia="Times New Roman" w:cs="Arial"/>
          <w:i/>
          <w:iCs/>
          <w:color w:val="000000"/>
          <w:u w:val="single"/>
          <w:lang w:eastAsia="bg-BG"/>
        </w:rPr>
      </w:pPr>
    </w:p>
    <w:p w14:paraId="23F7777E" w14:textId="01345D92" w:rsidR="001C4124" w:rsidRPr="001C4124" w:rsidRDefault="001C4124" w:rsidP="001C4124">
      <w:pPr>
        <w:spacing w:line="240" w:lineRule="auto"/>
        <w:rPr>
          <w:rFonts w:eastAsia="Times New Roman" w:cs="Arial"/>
        </w:rPr>
      </w:pPr>
      <w:r w:rsidRPr="001C4124">
        <w:rPr>
          <w:rFonts w:eastAsia="Times New Roman" w:cs="Arial"/>
          <w:i/>
          <w:iCs/>
          <w:color w:val="000000"/>
          <w:u w:val="single"/>
          <w:lang w:eastAsia="bg-BG"/>
        </w:rPr>
        <w:t>Едновременна употреба, която изисква повишено внимание</w:t>
      </w:r>
    </w:p>
    <w:p w14:paraId="67AFECF2"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Противодиабетни средства (инсулин, перорални хипогликемични средства)</w:t>
      </w:r>
    </w:p>
    <w:p w14:paraId="6321E763"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Епидемиологични проучвания показват, че едновременното приложение на АСЕ инхибитори и противодиабетни лекарства (инсулин, перорални хипогликемични средства) може да предизвика увеличен глюкозопонижаващ ефект с риск от хипогликемия. Този феномен е по- вероятно да се появи по време на първите седмици от комбинираното лечение и при пациенти с бъбречно увреждане.</w:t>
      </w:r>
    </w:p>
    <w:p w14:paraId="52C61AB0" w14:textId="77777777" w:rsidR="001C4124" w:rsidRPr="001C4124" w:rsidRDefault="001C4124" w:rsidP="001C4124">
      <w:pPr>
        <w:spacing w:line="240" w:lineRule="auto"/>
        <w:rPr>
          <w:rFonts w:eastAsia="Times New Roman" w:cs="Arial"/>
          <w:i/>
          <w:iCs/>
          <w:color w:val="000000"/>
          <w:lang w:eastAsia="bg-BG"/>
        </w:rPr>
      </w:pPr>
    </w:p>
    <w:p w14:paraId="26B6BB40" w14:textId="181AAF5C"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Баклофен</w:t>
      </w:r>
    </w:p>
    <w:p w14:paraId="4B3A4A82"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Увеличен антихипертензивен ефект. Необходимо е проследяване на кръвното налягане и коригиране на дозата, ако е необходимо.</w:t>
      </w:r>
    </w:p>
    <w:p w14:paraId="6F4966B6" w14:textId="77777777" w:rsidR="001C4124" w:rsidRPr="001C4124" w:rsidRDefault="001C4124" w:rsidP="001C4124">
      <w:pPr>
        <w:spacing w:line="240" w:lineRule="auto"/>
        <w:rPr>
          <w:rFonts w:eastAsia="Times New Roman" w:cs="Arial"/>
          <w:i/>
          <w:iCs/>
          <w:color w:val="000000"/>
          <w:lang w:eastAsia="bg-BG"/>
        </w:rPr>
      </w:pPr>
    </w:p>
    <w:p w14:paraId="16494947" w14:textId="14FAA99B"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Диуретици (различни от калий-съхраняващите)</w:t>
      </w:r>
    </w:p>
    <w:p w14:paraId="18108582" w14:textId="6DF6584A" w:rsidR="001C4124" w:rsidRPr="001C4124" w:rsidRDefault="001C4124" w:rsidP="001C4124">
      <w:pPr>
        <w:spacing w:line="240" w:lineRule="auto"/>
        <w:rPr>
          <w:rFonts w:eastAsia="Times New Roman" w:cs="Arial"/>
          <w:color w:val="000000"/>
          <w:lang w:eastAsia="bg-BG"/>
        </w:rPr>
      </w:pPr>
      <w:r w:rsidRPr="001C4124">
        <w:rPr>
          <w:rFonts w:eastAsia="Times New Roman" w:cs="Arial"/>
          <w:color w:val="000000"/>
          <w:lang w:eastAsia="bg-BG"/>
        </w:rPr>
        <w:t>Пациентите на лечение с диуретици и особено тези, които са с намален кръвен обем и/или намалени нива на натрий, могат да получат прекомерно понижение на кръвното налягане след започване на лечение с АСЕ инхибитор. Вероятността от хипотеизивни ефекти може да бъде намалена чрез преустановяване на диуретика, чрез увеличаване на циркулаторния обем или приема на натрий преди започване на лечение с ниски и постепенно покачващи се дози на периндоприл.</w:t>
      </w:r>
    </w:p>
    <w:p w14:paraId="1EA5F89C" w14:textId="603F3789" w:rsidR="001C4124" w:rsidRPr="001C4124" w:rsidRDefault="001C4124" w:rsidP="001C4124">
      <w:pPr>
        <w:spacing w:line="240" w:lineRule="auto"/>
        <w:rPr>
          <w:rFonts w:eastAsia="Times New Roman" w:cs="Arial"/>
          <w:color w:val="000000"/>
          <w:lang w:eastAsia="bg-BG"/>
        </w:rPr>
      </w:pPr>
    </w:p>
    <w:p w14:paraId="189BEE33"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артериална хипертония, когато предшестващото лечение с диуретици може да причини намаляване на натрия/циркулиращия обем, трябва или да се спре диуретика преди започване на лечение с АСЕ инхибитор, в който случай диуретиците (различни от калий съхраняващите) могат след това да се започнат отново, или АСЕ инхибитора трябва да се започна с ниска доза, която постепенно се повишава.</w:t>
      </w:r>
    </w:p>
    <w:p w14:paraId="06B8B335" w14:textId="77777777" w:rsidR="001C4124" w:rsidRPr="001C4124" w:rsidRDefault="001C4124" w:rsidP="001C4124">
      <w:pPr>
        <w:spacing w:line="240" w:lineRule="auto"/>
        <w:rPr>
          <w:rFonts w:eastAsia="Times New Roman" w:cs="Arial"/>
          <w:color w:val="000000"/>
          <w:lang w:eastAsia="bg-BG"/>
        </w:rPr>
      </w:pPr>
    </w:p>
    <w:p w14:paraId="310DCEE7" w14:textId="0CA3E5EF"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застойна съдречна недостатъчност, лекувана с диуретици, АСЕ инхибиторът трябва да се започне в много ниска доза, вероятно след намаляване на дозата на свързаните диуретици (различни от калий съхраняващите). При всички случаи, бъбречната функция (нива на креатинина) трябва да се проследява по време на първите няколко седмици от лечението с АСЕ инхибитор.</w:t>
      </w:r>
    </w:p>
    <w:p w14:paraId="30742A65" w14:textId="77777777" w:rsidR="001C4124" w:rsidRPr="001C4124" w:rsidRDefault="001C4124" w:rsidP="001C4124">
      <w:pPr>
        <w:spacing w:line="240" w:lineRule="auto"/>
        <w:rPr>
          <w:rFonts w:eastAsia="Times New Roman" w:cs="Arial"/>
          <w:i/>
          <w:iCs/>
          <w:color w:val="000000"/>
          <w:lang w:eastAsia="bg-BG"/>
        </w:rPr>
      </w:pPr>
    </w:p>
    <w:p w14:paraId="79C74C7B" w14:textId="76BFA043"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Калий-съхраняващи диуретици (еплеренон, спиронолактон)</w:t>
      </w:r>
    </w:p>
    <w:p w14:paraId="6DCDFF58"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С</w:t>
      </w:r>
      <w:r w:rsidRPr="001C4124">
        <w:rPr>
          <w:rFonts w:eastAsia="Times New Roman" w:cs="Arial"/>
          <w:color w:val="000000"/>
          <w:lang w:eastAsia="bg-BG"/>
        </w:rPr>
        <w:t xml:space="preserve"> еплеренон или спиронолактон в дози между 12,5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 xml:space="preserve">до 50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дневно и с ниски дози АСЕ инхибитори:</w:t>
      </w:r>
    </w:p>
    <w:p w14:paraId="3C9D9F1A" w14:textId="77777777" w:rsidR="001C4124" w:rsidRPr="001C4124" w:rsidRDefault="001C4124" w:rsidP="001C4124">
      <w:pPr>
        <w:spacing w:line="240" w:lineRule="auto"/>
        <w:rPr>
          <w:rFonts w:eastAsia="Times New Roman" w:cs="Arial"/>
          <w:color w:val="000000"/>
          <w:lang w:eastAsia="bg-BG"/>
        </w:rPr>
      </w:pPr>
    </w:p>
    <w:p w14:paraId="12C9CC22" w14:textId="738B2880"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лечението на сърдечна недостатъчност II</w:t>
      </w:r>
      <w:r w:rsidRPr="001C4124">
        <w:rPr>
          <w:rFonts w:eastAsia="Times New Roman" w:cs="Arial"/>
          <w:color w:val="000000"/>
          <w:lang w:val="ru-RU"/>
        </w:rPr>
        <w:t>-</w:t>
      </w:r>
      <w:r w:rsidRPr="001C4124">
        <w:rPr>
          <w:rFonts w:eastAsia="Times New Roman" w:cs="Arial"/>
          <w:color w:val="000000"/>
          <w:lang w:val="en-US"/>
        </w:rPr>
        <w:t>I</w:t>
      </w:r>
      <w:r w:rsidRPr="001C4124">
        <w:rPr>
          <w:rFonts w:eastAsia="Times New Roman" w:cs="Arial"/>
          <w:color w:val="000000"/>
          <w:lang w:val="ru-RU"/>
        </w:rPr>
        <w:t xml:space="preserve"> </w:t>
      </w:r>
      <w:r w:rsidRPr="001C4124">
        <w:rPr>
          <w:rFonts w:eastAsia="Times New Roman" w:cs="Arial"/>
          <w:color w:val="000000"/>
          <w:lang w:eastAsia="bg-BG"/>
        </w:rPr>
        <w:t xml:space="preserve">V клас </w:t>
      </w:r>
      <w:r w:rsidRPr="001C4124">
        <w:rPr>
          <w:rFonts w:eastAsia="Times New Roman" w:cs="Arial"/>
          <w:color w:val="000000"/>
          <w:lang w:val="ru-RU"/>
        </w:rPr>
        <w:t>(</w:t>
      </w:r>
      <w:r w:rsidRPr="001C4124">
        <w:rPr>
          <w:rFonts w:eastAsia="Times New Roman" w:cs="Arial"/>
          <w:color w:val="000000"/>
          <w:lang w:val="en-US"/>
        </w:rPr>
        <w:t>NYHA</w:t>
      </w:r>
      <w:r w:rsidRPr="001C4124">
        <w:rPr>
          <w:rFonts w:eastAsia="Times New Roman" w:cs="Arial"/>
          <w:color w:val="000000"/>
          <w:lang w:val="ru-RU"/>
        </w:rPr>
        <w:t xml:space="preserve">) </w:t>
      </w:r>
      <w:r w:rsidRPr="001C4124">
        <w:rPr>
          <w:rFonts w:eastAsia="Times New Roman" w:cs="Arial"/>
          <w:color w:val="000000"/>
          <w:lang w:eastAsia="bg-BG"/>
        </w:rPr>
        <w:t>с фракция на изтласкване &lt; 40%, лекувана преди това с АСЕ инхибитори и бримкови диуретици, съществува риск от потенциално фатална хиперкалиемия, особено при неспазване на препоръките за предписване на тази комбинация.</w:t>
      </w:r>
    </w:p>
    <w:p w14:paraId="013398A6" w14:textId="77777777" w:rsidR="001C4124" w:rsidRPr="001C4124" w:rsidRDefault="001C4124" w:rsidP="001C4124">
      <w:pPr>
        <w:spacing w:line="240" w:lineRule="auto"/>
        <w:rPr>
          <w:rFonts w:eastAsia="Times New Roman" w:cs="Arial"/>
          <w:color w:val="000000"/>
          <w:lang w:eastAsia="bg-BG"/>
        </w:rPr>
      </w:pPr>
    </w:p>
    <w:p w14:paraId="62A8DCE3" w14:textId="05ED71CE"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Преди започване на комбинацията трябва да се провери за липса на хиперкалиемия и бъбречно увреждане.</w:t>
      </w:r>
    </w:p>
    <w:p w14:paraId="7A2FE26A" w14:textId="77777777" w:rsidR="001C4124" w:rsidRPr="001C4124" w:rsidRDefault="001C4124" w:rsidP="001C4124">
      <w:pPr>
        <w:spacing w:line="240" w:lineRule="auto"/>
        <w:rPr>
          <w:rFonts w:eastAsia="Times New Roman" w:cs="Arial"/>
          <w:color w:val="000000"/>
          <w:lang w:eastAsia="bg-BG"/>
        </w:rPr>
      </w:pPr>
    </w:p>
    <w:p w14:paraId="032ED493" w14:textId="3373BD3F" w:rsidR="001C4124" w:rsidRPr="001C4124" w:rsidRDefault="001C4124" w:rsidP="001C4124">
      <w:pPr>
        <w:spacing w:line="240" w:lineRule="auto"/>
        <w:rPr>
          <w:rFonts w:eastAsia="Times New Roman" w:cs="Arial"/>
        </w:rPr>
      </w:pPr>
      <w:r w:rsidRPr="001C4124">
        <w:rPr>
          <w:rFonts w:eastAsia="Times New Roman" w:cs="Arial"/>
          <w:color w:val="000000"/>
          <w:lang w:eastAsia="bg-BG"/>
        </w:rPr>
        <w:lastRenderedPageBreak/>
        <w:t>Препоръчва се внимателно проследяване на нивото на калия и креатинина веднъж седмично през първия месец от лечението и всеки месец след това.</w:t>
      </w:r>
    </w:p>
    <w:p w14:paraId="2660EB6F" w14:textId="77777777" w:rsidR="001C4124" w:rsidRPr="001C4124" w:rsidRDefault="001C4124" w:rsidP="001C4124">
      <w:pPr>
        <w:spacing w:line="240" w:lineRule="auto"/>
        <w:rPr>
          <w:rFonts w:eastAsia="Times New Roman" w:cs="Arial"/>
          <w:i/>
          <w:iCs/>
          <w:color w:val="000000"/>
          <w:lang w:eastAsia="bg-BG"/>
        </w:rPr>
      </w:pPr>
    </w:p>
    <w:p w14:paraId="369DB24B" w14:textId="1A0E019F"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 xml:space="preserve">Нестероидни противовъзпалителни средства (НСПВС), включително аспирин ≥ 3 </w:t>
      </w:r>
      <w:r w:rsidRPr="001C4124">
        <w:rPr>
          <w:rFonts w:eastAsia="Times New Roman" w:cs="Arial"/>
          <w:i/>
          <w:iCs/>
          <w:color w:val="000000"/>
          <w:lang w:val="en-US"/>
        </w:rPr>
        <w:t>g</w:t>
      </w:r>
      <w:r w:rsidRPr="001C4124">
        <w:rPr>
          <w:rFonts w:eastAsia="Times New Roman" w:cs="Arial"/>
          <w:i/>
          <w:iCs/>
          <w:color w:val="000000"/>
          <w:lang w:eastAsia="bg-BG"/>
        </w:rPr>
        <w:t xml:space="preserve">/дневно. </w:t>
      </w:r>
      <w:r w:rsidRPr="001C4124">
        <w:rPr>
          <w:rFonts w:eastAsia="Times New Roman" w:cs="Arial"/>
          <w:color w:val="000000"/>
          <w:lang w:eastAsia="bg-BG"/>
        </w:rPr>
        <w:t>Когато АСЕ инхибитори се приемат едновременно с нестероидни противовъзпалителни лекарства (напр. ацетилсалицилова киселина в дозировка, която има противовъзпалителен ефект,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остра бъбречна недостатъчност и повишаване на серумния калий, особено при пациенти с предшестващо влошаване на бъбречната функция. Комбинацията трябва да се прилага с внимание, особено в старческа възраст. Пациентите трябва да бъдат достатъчно хидратирани и трябва да се има предвид проследяване на бъбречната функция след започване на комбинираното лечение и периодично след това.</w:t>
      </w:r>
    </w:p>
    <w:p w14:paraId="55537F45" w14:textId="77777777" w:rsidR="001C4124" w:rsidRPr="001C4124" w:rsidRDefault="001C4124" w:rsidP="001C4124">
      <w:pPr>
        <w:spacing w:line="240" w:lineRule="auto"/>
        <w:rPr>
          <w:rFonts w:eastAsia="Times New Roman" w:cs="Arial"/>
          <w:i/>
          <w:iCs/>
          <w:color w:val="000000"/>
          <w:lang w:eastAsia="bg-BG"/>
        </w:rPr>
      </w:pPr>
    </w:p>
    <w:p w14:paraId="5ACDA523" w14:textId="6F34BD6A"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 xml:space="preserve">Рацекадотрил, </w:t>
      </w:r>
      <w:proofErr w:type="spellStart"/>
      <w:r w:rsidRPr="001C4124">
        <w:rPr>
          <w:rFonts w:eastAsia="Times New Roman" w:cs="Arial"/>
          <w:i/>
          <w:iCs/>
          <w:color w:val="000000"/>
          <w:lang w:val="en-US"/>
        </w:rPr>
        <w:t>mTOR</w:t>
      </w:r>
      <w:proofErr w:type="spellEnd"/>
      <w:r w:rsidRPr="001C4124">
        <w:rPr>
          <w:rFonts w:eastAsia="Times New Roman" w:cs="Arial"/>
          <w:i/>
          <w:iCs/>
          <w:color w:val="000000"/>
        </w:rPr>
        <w:t xml:space="preserve"> </w:t>
      </w:r>
      <w:r w:rsidRPr="001C4124">
        <w:rPr>
          <w:rFonts w:eastAsia="Times New Roman" w:cs="Arial"/>
          <w:i/>
          <w:iCs/>
          <w:color w:val="000000"/>
          <w:lang w:eastAsia="bg-BG"/>
        </w:rPr>
        <w:t xml:space="preserve">инхибитори (напр.сиролимус, еверолимус, темсиролимус) </w:t>
      </w:r>
      <w:r w:rsidRPr="001C4124">
        <w:rPr>
          <w:rFonts w:eastAsia="Times New Roman" w:cs="Arial"/>
          <w:color w:val="000000"/>
          <w:lang w:eastAsia="bg-BG"/>
        </w:rPr>
        <w:t xml:space="preserve">Съпътстващата употреба на АСЕ инхибитори с рацекадотрил, </w:t>
      </w:r>
      <w:proofErr w:type="spellStart"/>
      <w:r w:rsidRPr="001C4124">
        <w:rPr>
          <w:rFonts w:eastAsia="Times New Roman" w:cs="Arial"/>
          <w:color w:val="000000"/>
          <w:lang w:val="en-US"/>
        </w:rPr>
        <w:t>mTOR</w:t>
      </w:r>
      <w:proofErr w:type="spellEnd"/>
      <w:r w:rsidRPr="001C4124">
        <w:rPr>
          <w:rFonts w:eastAsia="Times New Roman" w:cs="Arial"/>
          <w:color w:val="000000"/>
        </w:rPr>
        <w:t xml:space="preserve"> </w:t>
      </w:r>
      <w:r w:rsidRPr="001C4124">
        <w:rPr>
          <w:rFonts w:eastAsia="Times New Roman" w:cs="Arial"/>
          <w:color w:val="000000"/>
          <w:lang w:eastAsia="bg-BG"/>
        </w:rPr>
        <w:t>инхибитори (напр. сиролимус, еверолимус, темсиролимус) може да доведе до повишен риск от ангиоедем (вж. точка 4.4).</w:t>
      </w:r>
    </w:p>
    <w:p w14:paraId="4BB6D2CB" w14:textId="77777777" w:rsidR="001C4124" w:rsidRPr="001C4124" w:rsidRDefault="001C4124" w:rsidP="001C4124">
      <w:pPr>
        <w:spacing w:line="240" w:lineRule="auto"/>
        <w:rPr>
          <w:rFonts w:eastAsia="Times New Roman" w:cs="Arial"/>
          <w:i/>
          <w:iCs/>
          <w:color w:val="000000"/>
          <w:lang w:eastAsia="bg-BG"/>
        </w:rPr>
      </w:pPr>
    </w:p>
    <w:p w14:paraId="1E4521E8" w14:textId="7F466C54"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Циклоспорин</w:t>
      </w:r>
    </w:p>
    <w:p w14:paraId="5D32943A"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7F80413B" w14:textId="77777777" w:rsidR="001C4124" w:rsidRPr="001C4124" w:rsidRDefault="001C4124" w:rsidP="001C4124">
      <w:pPr>
        <w:spacing w:line="240" w:lineRule="auto"/>
        <w:rPr>
          <w:rFonts w:eastAsia="Times New Roman" w:cs="Arial"/>
          <w:i/>
          <w:iCs/>
          <w:color w:val="000000"/>
          <w:lang w:eastAsia="bg-BG"/>
        </w:rPr>
      </w:pPr>
    </w:p>
    <w:p w14:paraId="786D51D4" w14:textId="3FC18E63"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Хепарин</w:t>
      </w:r>
    </w:p>
    <w:p w14:paraId="14E92D47"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78FF365B" w14:textId="77777777" w:rsidR="001C4124" w:rsidRPr="001C4124" w:rsidRDefault="001C4124" w:rsidP="001C4124">
      <w:pPr>
        <w:spacing w:line="240" w:lineRule="auto"/>
        <w:rPr>
          <w:rFonts w:eastAsia="Times New Roman" w:cs="Arial"/>
          <w:i/>
          <w:iCs/>
          <w:color w:val="000000"/>
          <w:u w:val="single"/>
          <w:lang w:eastAsia="bg-BG"/>
        </w:rPr>
      </w:pPr>
    </w:p>
    <w:p w14:paraId="74426BD1" w14:textId="71D54C33" w:rsidR="001C4124" w:rsidRPr="001C4124" w:rsidRDefault="001C4124" w:rsidP="001C4124">
      <w:pPr>
        <w:spacing w:line="240" w:lineRule="auto"/>
        <w:rPr>
          <w:rFonts w:eastAsia="Times New Roman" w:cs="Arial"/>
          <w:color w:val="000000"/>
          <w:lang w:eastAsia="bg-BG"/>
        </w:rPr>
      </w:pPr>
      <w:r w:rsidRPr="001C4124">
        <w:rPr>
          <w:rFonts w:eastAsia="Times New Roman" w:cs="Arial"/>
          <w:i/>
          <w:iCs/>
          <w:color w:val="000000"/>
          <w:u w:val="single"/>
          <w:lang w:eastAsia="bg-BG"/>
        </w:rPr>
        <w:t xml:space="preserve">Едновременна употреба, която трябва да се има предвид </w:t>
      </w:r>
      <w:r w:rsidRPr="001C4124">
        <w:rPr>
          <w:rFonts w:eastAsia="Times New Roman" w:cs="Arial"/>
          <w:i/>
          <w:iCs/>
          <w:color w:val="000000"/>
          <w:lang w:eastAsia="bg-BG"/>
        </w:rPr>
        <w:t xml:space="preserve">Антихипертензивни средства и вазодилататори </w:t>
      </w:r>
      <w:r w:rsidRPr="001C4124">
        <w:rPr>
          <w:rFonts w:eastAsia="Times New Roman" w:cs="Arial"/>
          <w:color w:val="000000"/>
          <w:lang w:eastAsia="bg-BG"/>
        </w:rPr>
        <w:t>Едновременната употреба на тези лекарства може да увеличи хипотензивните ефекти на периндоприл. Едновременната употреба с нитроглицерин и други нитрати или други вазодилататори, може допълнително да понижи кръвното налягане.</w:t>
      </w:r>
    </w:p>
    <w:p w14:paraId="1ED92635" w14:textId="0B9B8577" w:rsidR="001C4124" w:rsidRPr="001C4124" w:rsidRDefault="001C4124" w:rsidP="001C4124">
      <w:pPr>
        <w:spacing w:line="240" w:lineRule="auto"/>
        <w:rPr>
          <w:rFonts w:eastAsia="Times New Roman" w:cs="Arial"/>
          <w:color w:val="000000"/>
          <w:lang w:eastAsia="bg-BG"/>
        </w:rPr>
      </w:pPr>
    </w:p>
    <w:p w14:paraId="2DCE2684"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Глиптини (линаглиптин, саксаглиптин, ситаглиптин, вилдаглиптин)</w:t>
      </w:r>
    </w:p>
    <w:p w14:paraId="58A85C4F"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Повишен риск от ангиоедем поради намалена активност на дипептидил пептидаза IV </w:t>
      </w:r>
      <w:r w:rsidRPr="001C4124">
        <w:rPr>
          <w:rFonts w:eastAsia="Times New Roman" w:cs="Arial"/>
          <w:color w:val="000000"/>
          <w:lang w:val="ru-RU"/>
        </w:rPr>
        <w:t>(</w:t>
      </w:r>
      <w:r w:rsidRPr="001C4124">
        <w:rPr>
          <w:rFonts w:eastAsia="Times New Roman" w:cs="Arial"/>
          <w:color w:val="000000"/>
          <w:lang w:val="en-US"/>
        </w:rPr>
        <w:t>DPP</w:t>
      </w:r>
      <w:r w:rsidRPr="001C4124">
        <w:rPr>
          <w:rFonts w:eastAsia="Times New Roman" w:cs="Arial"/>
          <w:color w:val="000000"/>
          <w:lang w:val="ru-RU"/>
        </w:rPr>
        <w:t>-</w:t>
      </w:r>
      <w:r w:rsidRPr="001C4124">
        <w:rPr>
          <w:rFonts w:eastAsia="Times New Roman" w:cs="Arial"/>
          <w:color w:val="000000"/>
          <w:lang w:val="en-US"/>
        </w:rPr>
        <w:t>IV</w:t>
      </w:r>
      <w:r w:rsidRPr="001C4124">
        <w:rPr>
          <w:rFonts w:eastAsia="Times New Roman" w:cs="Arial"/>
          <w:color w:val="000000"/>
          <w:lang w:val="ru-RU"/>
        </w:rPr>
        <w:t xml:space="preserve">) </w:t>
      </w:r>
      <w:r w:rsidRPr="001C4124">
        <w:rPr>
          <w:rFonts w:eastAsia="Times New Roman" w:cs="Arial"/>
          <w:color w:val="000000"/>
          <w:lang w:eastAsia="bg-BG"/>
        </w:rPr>
        <w:t>от глиптина, при пациенти, лекувани едновременно с АСЕ инхибитор.</w:t>
      </w:r>
    </w:p>
    <w:p w14:paraId="2214A9CD" w14:textId="77777777" w:rsidR="001C4124" w:rsidRPr="001C4124" w:rsidRDefault="001C4124" w:rsidP="001C4124">
      <w:pPr>
        <w:spacing w:line="240" w:lineRule="auto"/>
        <w:rPr>
          <w:rFonts w:eastAsia="Times New Roman" w:cs="Arial"/>
          <w:i/>
          <w:iCs/>
          <w:color w:val="000000"/>
          <w:lang w:eastAsia="bg-BG"/>
        </w:rPr>
      </w:pPr>
    </w:p>
    <w:p w14:paraId="4DEA320B" w14:textId="71C4B305"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Трициклични антидепресанти/антипсихотици/анестетици</w:t>
      </w:r>
    </w:p>
    <w:p w14:paraId="2C8EA6B1"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Едновременната употреба на някои анестетици, трициклични антидепресанти и антипсихотици с АСЕ инхибитори може да доведе до допълнително намаляване на кръвното налягане (вж. точка 4.4).</w:t>
      </w:r>
    </w:p>
    <w:p w14:paraId="058C0F51" w14:textId="77777777" w:rsidR="001C4124" w:rsidRPr="001C4124" w:rsidRDefault="001C4124" w:rsidP="001C4124">
      <w:pPr>
        <w:spacing w:line="240" w:lineRule="auto"/>
        <w:rPr>
          <w:rFonts w:eastAsia="Times New Roman" w:cs="Arial"/>
          <w:i/>
          <w:iCs/>
          <w:color w:val="000000"/>
          <w:lang w:eastAsia="bg-BG"/>
        </w:rPr>
      </w:pPr>
    </w:p>
    <w:p w14:paraId="779D8DD8" w14:textId="0DC2CF01"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С импатикомиметици</w:t>
      </w:r>
    </w:p>
    <w:p w14:paraId="7257847D"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Симпатикомиметиците може да намалят антихипертензивния ефект на АСЕ инхибиторите.</w:t>
      </w:r>
    </w:p>
    <w:p w14:paraId="14C20314" w14:textId="77777777" w:rsidR="001C4124" w:rsidRPr="001C4124" w:rsidRDefault="001C4124" w:rsidP="001C4124">
      <w:pPr>
        <w:spacing w:line="240" w:lineRule="auto"/>
        <w:rPr>
          <w:rFonts w:eastAsia="Times New Roman" w:cs="Arial"/>
          <w:i/>
          <w:iCs/>
          <w:color w:val="000000"/>
          <w:lang w:eastAsia="bg-BG"/>
        </w:rPr>
      </w:pPr>
    </w:p>
    <w:p w14:paraId="22829457" w14:textId="69344182"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Злато</w:t>
      </w:r>
    </w:p>
    <w:p w14:paraId="06819ADC"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lastRenderedPageBreak/>
        <w:t>Нитритоидни реакции (симптомите включват зачервяване на лицето, гадене, повръщане и хипотония) се съобщават рядко при пациенти на лечение с инжекционно злато (натриев ауротиомалат) и едновременно лечение с АСЕ инхибитори, включително периндоприл.</w:t>
      </w:r>
    </w:p>
    <w:p w14:paraId="09F10E68" w14:textId="77777777" w:rsidR="001C4124" w:rsidRPr="001C4124" w:rsidRDefault="001C4124" w:rsidP="001C4124">
      <w:pPr>
        <w:spacing w:line="240" w:lineRule="auto"/>
        <w:rPr>
          <w:rFonts w:eastAsia="Times New Roman" w:cs="Arial"/>
          <w:color w:val="000000"/>
          <w:u w:val="single"/>
          <w:lang w:eastAsia="bg-BG"/>
        </w:rPr>
      </w:pPr>
    </w:p>
    <w:p w14:paraId="351EA7D0" w14:textId="71FCCA7D" w:rsidR="001C4124" w:rsidRPr="001C4124" w:rsidRDefault="001C4124" w:rsidP="001C4124">
      <w:pPr>
        <w:spacing w:line="240" w:lineRule="auto"/>
        <w:rPr>
          <w:rFonts w:eastAsia="Times New Roman" w:cs="Arial"/>
        </w:rPr>
      </w:pPr>
      <w:r w:rsidRPr="001C4124">
        <w:rPr>
          <w:rFonts w:eastAsia="Times New Roman" w:cs="Arial"/>
          <w:color w:val="000000"/>
          <w:u w:val="single"/>
          <w:lang w:eastAsia="bg-BG"/>
        </w:rPr>
        <w:t>Амлодипин</w:t>
      </w:r>
    </w:p>
    <w:p w14:paraId="5E4EBE56" w14:textId="77777777" w:rsidR="001C4124" w:rsidRPr="001C4124" w:rsidRDefault="001C4124" w:rsidP="001C4124">
      <w:pPr>
        <w:spacing w:line="240" w:lineRule="auto"/>
        <w:rPr>
          <w:rFonts w:eastAsia="Times New Roman" w:cs="Arial"/>
          <w:i/>
          <w:iCs/>
          <w:color w:val="000000"/>
          <w:u w:val="single"/>
          <w:lang w:eastAsia="bg-BG"/>
        </w:rPr>
      </w:pPr>
    </w:p>
    <w:p w14:paraId="7418B1BF" w14:textId="7FC25BF5" w:rsidR="001C4124" w:rsidRPr="001C4124" w:rsidRDefault="001C4124" w:rsidP="001C4124">
      <w:pPr>
        <w:spacing w:line="240" w:lineRule="auto"/>
        <w:rPr>
          <w:rFonts w:eastAsia="Times New Roman" w:cs="Arial"/>
        </w:rPr>
      </w:pPr>
      <w:r w:rsidRPr="001C4124">
        <w:rPr>
          <w:rFonts w:eastAsia="Times New Roman" w:cs="Arial"/>
          <w:i/>
          <w:iCs/>
          <w:color w:val="000000"/>
          <w:u w:val="single"/>
          <w:lang w:eastAsia="bg-BG"/>
        </w:rPr>
        <w:t>Ефекти на други лекарствени продукти върху амлодипин</w:t>
      </w:r>
    </w:p>
    <w:p w14:paraId="39B29EB6" w14:textId="77777777" w:rsidR="001C4124" w:rsidRPr="001C4124" w:rsidRDefault="001C4124" w:rsidP="001C4124">
      <w:pPr>
        <w:spacing w:line="240" w:lineRule="auto"/>
        <w:rPr>
          <w:rFonts w:eastAsia="Times New Roman" w:cs="Arial"/>
          <w:i/>
          <w:iCs/>
          <w:color w:val="000000"/>
        </w:rPr>
      </w:pPr>
    </w:p>
    <w:p w14:paraId="7267EEC2" w14:textId="0DE8DEA8" w:rsidR="001C4124" w:rsidRPr="001C4124" w:rsidRDefault="001C4124" w:rsidP="001C4124">
      <w:pPr>
        <w:spacing w:line="240" w:lineRule="auto"/>
        <w:rPr>
          <w:rFonts w:eastAsia="Times New Roman" w:cs="Arial"/>
        </w:rPr>
      </w:pPr>
      <w:r w:rsidRPr="001C4124">
        <w:rPr>
          <w:rFonts w:eastAsia="Times New Roman" w:cs="Arial"/>
          <w:i/>
          <w:iCs/>
          <w:color w:val="000000"/>
          <w:lang w:val="en-US"/>
        </w:rPr>
        <w:t>CYP</w:t>
      </w:r>
      <w:r w:rsidRPr="001C4124">
        <w:rPr>
          <w:rFonts w:eastAsia="Times New Roman" w:cs="Arial"/>
          <w:i/>
          <w:iCs/>
          <w:color w:val="000000"/>
          <w:lang w:val="ru-RU"/>
        </w:rPr>
        <w:t>3</w:t>
      </w:r>
      <w:r w:rsidRPr="001C4124">
        <w:rPr>
          <w:rFonts w:eastAsia="Times New Roman" w:cs="Arial"/>
          <w:i/>
          <w:iCs/>
          <w:color w:val="000000"/>
          <w:lang w:val="en-US"/>
        </w:rPr>
        <w:t>A</w:t>
      </w:r>
      <w:r w:rsidRPr="001C4124">
        <w:rPr>
          <w:rFonts w:eastAsia="Times New Roman" w:cs="Arial"/>
          <w:i/>
          <w:iCs/>
          <w:color w:val="000000"/>
          <w:lang w:val="ru-RU"/>
        </w:rPr>
        <w:t xml:space="preserve">4 </w:t>
      </w:r>
      <w:r w:rsidRPr="001C4124">
        <w:rPr>
          <w:rFonts w:eastAsia="Times New Roman" w:cs="Arial"/>
          <w:i/>
          <w:iCs/>
          <w:color w:val="000000"/>
          <w:lang w:eastAsia="bg-BG"/>
        </w:rPr>
        <w:t>инхибитори</w:t>
      </w:r>
    </w:p>
    <w:p w14:paraId="183F8AC8"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Едновременната употреба на амлодипин със силни или умерени </w:t>
      </w:r>
      <w:r w:rsidRPr="001C4124">
        <w:rPr>
          <w:rFonts w:eastAsia="Times New Roman" w:cs="Arial"/>
          <w:color w:val="000000"/>
          <w:lang w:val="en-US"/>
        </w:rPr>
        <w:t>CYP</w:t>
      </w:r>
      <w:r w:rsidRPr="001C4124">
        <w:rPr>
          <w:rFonts w:eastAsia="Times New Roman" w:cs="Arial"/>
          <w:color w:val="000000"/>
          <w:lang w:val="ru-RU"/>
        </w:rPr>
        <w:t xml:space="preserve">3 </w:t>
      </w:r>
      <w:r w:rsidRPr="001C4124">
        <w:rPr>
          <w:rFonts w:eastAsia="Times New Roman" w:cs="Arial"/>
          <w:color w:val="000000"/>
          <w:lang w:eastAsia="bg-BG"/>
        </w:rPr>
        <w:t>А4 инхибитори (протеазни инхибитори, азолови антимикотици, макролиди, като еритромицин или кларитромицин, верапамил или дилтиазем) може да увеличи значително експозицията на амлодипин, което да доведе до повишен риск от хипотония. Клиничната проява на тези фармакокинетични промени може да е по-изразена при хора в старческа възраст. Препоръчва се внимателно клинично наблюдение на пациента и може да се изисква коригиране на дозата.</w:t>
      </w:r>
    </w:p>
    <w:p w14:paraId="29CF3E02" w14:textId="77777777" w:rsidR="001C4124" w:rsidRPr="001C4124" w:rsidRDefault="001C4124" w:rsidP="001C4124">
      <w:pPr>
        <w:spacing w:line="240" w:lineRule="auto"/>
        <w:rPr>
          <w:rFonts w:eastAsia="Times New Roman" w:cs="Arial"/>
          <w:i/>
          <w:iCs/>
          <w:color w:val="000000"/>
          <w:lang w:val="en-US"/>
        </w:rPr>
      </w:pPr>
    </w:p>
    <w:p w14:paraId="58BBC956" w14:textId="2D622918" w:rsidR="001C4124" w:rsidRPr="001C4124" w:rsidRDefault="001C4124" w:rsidP="001C4124">
      <w:pPr>
        <w:spacing w:line="240" w:lineRule="auto"/>
        <w:rPr>
          <w:rFonts w:eastAsia="Times New Roman" w:cs="Arial"/>
        </w:rPr>
      </w:pPr>
      <w:r w:rsidRPr="001C4124">
        <w:rPr>
          <w:rFonts w:eastAsia="Times New Roman" w:cs="Arial"/>
          <w:i/>
          <w:iCs/>
          <w:color w:val="000000"/>
          <w:lang w:val="en-US"/>
        </w:rPr>
        <w:t>CYP</w:t>
      </w:r>
      <w:r w:rsidRPr="001C4124">
        <w:rPr>
          <w:rFonts w:eastAsia="Times New Roman" w:cs="Arial"/>
          <w:i/>
          <w:iCs/>
          <w:color w:val="000000"/>
          <w:lang w:val="ru-RU"/>
        </w:rPr>
        <w:t>3</w:t>
      </w:r>
      <w:r w:rsidRPr="001C4124">
        <w:rPr>
          <w:rFonts w:eastAsia="Times New Roman" w:cs="Arial"/>
          <w:i/>
          <w:iCs/>
          <w:color w:val="000000"/>
          <w:lang w:val="en-US"/>
        </w:rPr>
        <w:t>A</w:t>
      </w:r>
      <w:r w:rsidRPr="001C4124">
        <w:rPr>
          <w:rFonts w:eastAsia="Times New Roman" w:cs="Arial"/>
          <w:i/>
          <w:iCs/>
          <w:color w:val="000000"/>
          <w:lang w:val="ru-RU"/>
        </w:rPr>
        <w:t xml:space="preserve">4 </w:t>
      </w:r>
      <w:r w:rsidRPr="001C4124">
        <w:rPr>
          <w:rFonts w:eastAsia="Times New Roman" w:cs="Arial"/>
          <w:i/>
          <w:iCs/>
          <w:color w:val="000000"/>
          <w:lang w:eastAsia="bg-BG"/>
        </w:rPr>
        <w:t>индуктори</w:t>
      </w:r>
    </w:p>
    <w:p w14:paraId="3727C84D" w14:textId="0E2E9DA3"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При едновременно приложение на известни индуктори на </w:t>
      </w:r>
      <w:r w:rsidRPr="001C4124">
        <w:rPr>
          <w:rFonts w:eastAsia="Times New Roman" w:cs="Arial"/>
          <w:color w:val="000000"/>
          <w:lang w:val="en-US"/>
        </w:rPr>
        <w:t>CYP</w:t>
      </w:r>
      <w:r w:rsidRPr="001C4124">
        <w:rPr>
          <w:rFonts w:eastAsia="Times New Roman" w:cs="Arial"/>
          <w:color w:val="000000"/>
          <w:lang w:val="ru-RU"/>
        </w:rPr>
        <w:t>3</w:t>
      </w:r>
      <w:r w:rsidRPr="001C4124">
        <w:rPr>
          <w:rFonts w:eastAsia="Times New Roman" w:cs="Arial"/>
          <w:color w:val="000000"/>
          <w:lang w:val="en-US"/>
        </w:rPr>
        <w:t>A</w:t>
      </w:r>
      <w:r w:rsidRPr="001C4124">
        <w:rPr>
          <w:rFonts w:eastAsia="Times New Roman" w:cs="Arial"/>
          <w:color w:val="000000"/>
          <w:lang w:val="ru-RU"/>
        </w:rPr>
        <w:t xml:space="preserve">4 </w:t>
      </w:r>
      <w:r w:rsidRPr="001C4124">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1C4124">
        <w:rPr>
          <w:rFonts w:eastAsia="Times New Roman" w:cs="Arial"/>
          <w:color w:val="000000"/>
          <w:lang w:val="en-US"/>
        </w:rPr>
        <w:t>CYP</w:t>
      </w:r>
      <w:r w:rsidRPr="001C4124">
        <w:rPr>
          <w:rFonts w:eastAsia="Times New Roman" w:cs="Arial"/>
          <w:color w:val="000000"/>
          <w:lang w:val="ru-RU"/>
        </w:rPr>
        <w:t>3</w:t>
      </w:r>
      <w:r w:rsidRPr="001C4124">
        <w:rPr>
          <w:rFonts w:eastAsia="Times New Roman" w:cs="Arial"/>
          <w:color w:val="000000"/>
          <w:lang w:val="en-US"/>
        </w:rPr>
        <w:t>A</w:t>
      </w:r>
      <w:r w:rsidRPr="001C4124">
        <w:rPr>
          <w:rFonts w:eastAsia="Times New Roman" w:cs="Arial"/>
          <w:color w:val="000000"/>
          <w:lang w:val="ru-RU"/>
        </w:rPr>
        <w:t xml:space="preserve">4 </w:t>
      </w:r>
      <w:r w:rsidRPr="001C4124">
        <w:rPr>
          <w:rFonts w:eastAsia="Times New Roman" w:cs="Arial"/>
          <w:color w:val="000000"/>
          <w:lang w:eastAsia="bg-BG"/>
        </w:rPr>
        <w:t>индуктори (напр. рифампицин, жълт кантарион).</w:t>
      </w:r>
    </w:p>
    <w:p w14:paraId="782AD26F" w14:textId="77777777" w:rsidR="001C4124" w:rsidRPr="001C4124" w:rsidRDefault="001C4124" w:rsidP="001C4124">
      <w:pPr>
        <w:spacing w:line="240" w:lineRule="auto"/>
        <w:rPr>
          <w:rFonts w:eastAsia="Times New Roman" w:cs="Arial"/>
          <w:i/>
          <w:iCs/>
          <w:color w:val="000000"/>
          <w:lang w:eastAsia="bg-BG"/>
        </w:rPr>
      </w:pPr>
    </w:p>
    <w:p w14:paraId="0C3C0692" w14:textId="0E8AA6B9"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Грейпфрут и сок от грейпфрут</w:t>
      </w:r>
    </w:p>
    <w:p w14:paraId="75D4C549"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Приложението на амлодипин с грейпфрут или сок от грейпфрут не се препоръчва, тъй като бионаличността може да се увеличи при някои пациенти, което води до засилване на антихипертензивните ефекти.</w:t>
      </w:r>
    </w:p>
    <w:p w14:paraId="7BF672B0" w14:textId="77777777" w:rsidR="001C4124" w:rsidRPr="001C4124" w:rsidRDefault="001C4124" w:rsidP="001C4124">
      <w:pPr>
        <w:spacing w:line="240" w:lineRule="auto"/>
        <w:rPr>
          <w:rFonts w:eastAsia="Times New Roman" w:cs="Arial"/>
          <w:i/>
          <w:iCs/>
          <w:color w:val="000000"/>
          <w:lang w:eastAsia="bg-BG"/>
        </w:rPr>
      </w:pPr>
    </w:p>
    <w:p w14:paraId="7EA16ED6" w14:textId="1DD7D441"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Дантролен (инфузия)</w:t>
      </w:r>
    </w:p>
    <w:p w14:paraId="1226088C"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животни са наблюдавани летално камерно мъждене и сърдечносъдов колапс във връзка с хиперкалиемия след приложение на верапамил и дантролен интравенозно. Поради риск от хиперкалиемия се препоръчва да се избягва едновременното приложение на калциеви антагонисти като амлодипин при пациенти, предразположени към малигнена хипертермия и при лечение на малигнена хипертермия.</w:t>
      </w:r>
    </w:p>
    <w:p w14:paraId="25243A95" w14:textId="77777777" w:rsidR="001C4124" w:rsidRPr="001C4124" w:rsidRDefault="001C4124" w:rsidP="001C4124">
      <w:pPr>
        <w:spacing w:line="240" w:lineRule="auto"/>
        <w:rPr>
          <w:rFonts w:eastAsia="Times New Roman" w:cs="Arial"/>
          <w:i/>
          <w:iCs/>
          <w:color w:val="000000"/>
          <w:u w:val="single"/>
          <w:lang w:eastAsia="bg-BG"/>
        </w:rPr>
      </w:pPr>
    </w:p>
    <w:p w14:paraId="58229FA0" w14:textId="389AC92B" w:rsidR="001C4124" w:rsidRPr="001C4124" w:rsidRDefault="001C4124" w:rsidP="001C4124">
      <w:pPr>
        <w:spacing w:line="240" w:lineRule="auto"/>
        <w:rPr>
          <w:rFonts w:eastAsia="Times New Roman" w:cs="Arial"/>
        </w:rPr>
      </w:pPr>
      <w:r w:rsidRPr="001C4124">
        <w:rPr>
          <w:rFonts w:eastAsia="Times New Roman" w:cs="Arial"/>
          <w:i/>
          <w:iCs/>
          <w:color w:val="000000"/>
          <w:u w:val="single"/>
          <w:lang w:eastAsia="bg-BG"/>
        </w:rPr>
        <w:t xml:space="preserve">Ефекти на амлодипин върху други лекарствени продукти </w:t>
      </w:r>
      <w:r w:rsidRPr="001C4124">
        <w:rPr>
          <w:rFonts w:eastAsia="Times New Roman" w:cs="Arial"/>
          <w:color w:val="000000"/>
          <w:lang w:eastAsia="bg-BG"/>
        </w:rPr>
        <w:t>Антихипертензивните ефекти на амлодипин се добавят към антихипертензивните ефекти на други лекарствени продукти с антихипертензивни свойства.</w:t>
      </w:r>
    </w:p>
    <w:p w14:paraId="5C780F72" w14:textId="77777777" w:rsidR="001C4124" w:rsidRPr="001C4124" w:rsidRDefault="001C4124" w:rsidP="001C4124">
      <w:pPr>
        <w:spacing w:line="240" w:lineRule="auto"/>
        <w:rPr>
          <w:rFonts w:eastAsia="Times New Roman" w:cs="Arial"/>
          <w:color w:val="000000"/>
          <w:lang w:eastAsia="bg-BG"/>
        </w:rPr>
      </w:pPr>
    </w:p>
    <w:p w14:paraId="4352A2E1" w14:textId="79E8364D" w:rsidR="001C4124" w:rsidRPr="001C4124" w:rsidRDefault="001C4124" w:rsidP="001C4124">
      <w:pPr>
        <w:spacing w:line="240" w:lineRule="auto"/>
        <w:rPr>
          <w:rFonts w:eastAsia="Times New Roman" w:cs="Arial"/>
        </w:rPr>
      </w:pPr>
      <w:r w:rsidRPr="001C4124">
        <w:rPr>
          <w:rFonts w:eastAsia="Times New Roman" w:cs="Arial"/>
          <w:color w:val="000000"/>
          <w:lang w:eastAsia="bg-BG"/>
        </w:rPr>
        <w:t>В клинични проучвания за взаимодействията, амлодипин не повлиява фармакокинетиката на аторвастатин, дигоксин или варфарин.</w:t>
      </w:r>
    </w:p>
    <w:p w14:paraId="543F5ED7" w14:textId="77777777" w:rsidR="001C4124" w:rsidRPr="001C4124" w:rsidRDefault="001C4124" w:rsidP="001C4124">
      <w:pPr>
        <w:spacing w:line="240" w:lineRule="auto"/>
        <w:rPr>
          <w:rFonts w:eastAsia="Times New Roman" w:cs="Arial"/>
        </w:rPr>
      </w:pPr>
    </w:p>
    <w:p w14:paraId="1E26346D"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Такролимус</w:t>
      </w:r>
    </w:p>
    <w:p w14:paraId="3AB5F6AA" w14:textId="04F582C7" w:rsidR="001C4124" w:rsidRPr="001C4124" w:rsidRDefault="001C4124" w:rsidP="001C4124">
      <w:pPr>
        <w:spacing w:line="240" w:lineRule="auto"/>
        <w:rPr>
          <w:rFonts w:eastAsia="Times New Roman" w:cs="Arial"/>
          <w:color w:val="000000"/>
          <w:lang w:eastAsia="bg-BG"/>
        </w:rPr>
      </w:pPr>
      <w:r w:rsidRPr="001C4124">
        <w:rPr>
          <w:rFonts w:eastAsia="Times New Roman" w:cs="Arial"/>
          <w:color w:val="000000"/>
          <w:lang w:eastAsia="bg-BG"/>
        </w:rPr>
        <w:t>При едновременно приложение с амлодипин съществува риск от повишаване на нивата</w:t>
      </w:r>
    </w:p>
    <w:p w14:paraId="3D6D3602" w14:textId="6F0D6959" w:rsidR="001C4124" w:rsidRPr="001C4124" w:rsidRDefault="001C4124" w:rsidP="001C4124">
      <w:pPr>
        <w:spacing w:line="240" w:lineRule="auto"/>
        <w:rPr>
          <w:rFonts w:eastAsia="Times New Roman" w:cs="Arial"/>
        </w:rPr>
      </w:pPr>
      <w:r w:rsidRPr="001C4124">
        <w:rPr>
          <w:rFonts w:eastAsia="Times New Roman" w:cs="Arial"/>
          <w:color w:val="000000"/>
          <w:lang w:eastAsia="bg-BG"/>
        </w:rPr>
        <w:t>на такролимус в кръвта. За да се избегне проява на токсичност от страна на такролимус, приложението на амлодипин при пациенти, лекувани с такролимус, изисква контрол на нивата на такролимус в кръвта и корекция на дозата на такролимус, ако е необходимо.</w:t>
      </w:r>
    </w:p>
    <w:p w14:paraId="4BFEA308" w14:textId="77777777" w:rsidR="001C4124" w:rsidRPr="001C4124" w:rsidRDefault="001C4124" w:rsidP="001C4124">
      <w:pPr>
        <w:spacing w:line="240" w:lineRule="auto"/>
        <w:rPr>
          <w:rFonts w:eastAsia="Times New Roman" w:cs="Arial"/>
          <w:i/>
          <w:iCs/>
          <w:color w:val="000000"/>
          <w:lang w:eastAsia="bg-BG"/>
        </w:rPr>
      </w:pPr>
    </w:p>
    <w:p w14:paraId="21BDB488" w14:textId="708F7EC1"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 xml:space="preserve">Механистичен таргет нарапамицин </w:t>
      </w:r>
      <w:r w:rsidRPr="001C4124">
        <w:rPr>
          <w:rFonts w:eastAsia="Times New Roman" w:cs="Arial"/>
          <w:i/>
          <w:iCs/>
          <w:color w:val="000000"/>
          <w:lang w:val="ru-RU"/>
        </w:rPr>
        <w:t>(</w:t>
      </w:r>
      <w:proofErr w:type="spellStart"/>
      <w:r w:rsidRPr="001C4124">
        <w:rPr>
          <w:rFonts w:eastAsia="Times New Roman" w:cs="Arial"/>
          <w:i/>
          <w:iCs/>
          <w:color w:val="000000"/>
          <w:lang w:val="en-US"/>
        </w:rPr>
        <w:t>mTOR</w:t>
      </w:r>
      <w:proofErr w:type="spellEnd"/>
      <w:r w:rsidRPr="001C4124">
        <w:rPr>
          <w:rFonts w:eastAsia="Times New Roman" w:cs="Arial"/>
          <w:i/>
          <w:iCs/>
          <w:color w:val="000000"/>
          <w:lang w:val="ru-RU"/>
        </w:rPr>
        <w:t xml:space="preserve">) </w:t>
      </w:r>
      <w:r w:rsidRPr="001C4124">
        <w:rPr>
          <w:rFonts w:eastAsia="Times New Roman" w:cs="Arial"/>
          <w:i/>
          <w:iCs/>
          <w:color w:val="000000"/>
          <w:lang w:eastAsia="bg-BG"/>
        </w:rPr>
        <w:t>инхибитори</w:t>
      </w:r>
    </w:p>
    <w:p w14:paraId="05C39C07" w14:textId="77777777" w:rsidR="001C4124" w:rsidRPr="001C4124" w:rsidRDefault="001C4124" w:rsidP="001C4124">
      <w:pPr>
        <w:spacing w:line="240" w:lineRule="auto"/>
        <w:rPr>
          <w:rFonts w:eastAsia="Times New Roman" w:cs="Arial"/>
        </w:rPr>
      </w:pPr>
      <w:proofErr w:type="spellStart"/>
      <w:proofErr w:type="gramStart"/>
      <w:r w:rsidRPr="001C4124">
        <w:rPr>
          <w:rFonts w:eastAsia="Times New Roman" w:cs="Arial"/>
          <w:color w:val="000000"/>
          <w:lang w:val="en-US"/>
        </w:rPr>
        <w:lastRenderedPageBreak/>
        <w:t>mTOR</w:t>
      </w:r>
      <w:proofErr w:type="spellEnd"/>
      <w:proofErr w:type="gramEnd"/>
      <w:r w:rsidRPr="001C4124">
        <w:rPr>
          <w:rFonts w:eastAsia="Times New Roman" w:cs="Arial"/>
          <w:color w:val="000000"/>
          <w:lang w:val="ru-RU"/>
        </w:rPr>
        <w:t xml:space="preserve"> </w:t>
      </w:r>
      <w:r w:rsidRPr="001C4124">
        <w:rPr>
          <w:rFonts w:eastAsia="Times New Roman" w:cs="Arial"/>
          <w:color w:val="000000"/>
          <w:lang w:eastAsia="bg-BG"/>
        </w:rPr>
        <w:t xml:space="preserve">инхибиторите като сиролимус, темсиролимус и еверолимус са субстрати на </w:t>
      </w:r>
      <w:r w:rsidRPr="001C4124">
        <w:rPr>
          <w:rFonts w:eastAsia="Times New Roman" w:cs="Arial"/>
          <w:color w:val="000000"/>
          <w:lang w:val="en-US"/>
        </w:rPr>
        <w:t>CYP</w:t>
      </w:r>
      <w:r w:rsidRPr="001C4124">
        <w:rPr>
          <w:rFonts w:eastAsia="Times New Roman" w:cs="Arial"/>
          <w:color w:val="000000"/>
          <w:lang w:val="ru-RU"/>
        </w:rPr>
        <w:t>3</w:t>
      </w:r>
      <w:r w:rsidRPr="001C4124">
        <w:rPr>
          <w:rFonts w:eastAsia="Times New Roman" w:cs="Arial"/>
          <w:color w:val="000000"/>
          <w:lang w:val="en-US"/>
        </w:rPr>
        <w:t>A</w:t>
      </w:r>
      <w:r w:rsidRPr="001C4124">
        <w:rPr>
          <w:rFonts w:eastAsia="Times New Roman" w:cs="Arial"/>
          <w:color w:val="000000"/>
          <w:lang w:val="ru-RU"/>
        </w:rPr>
        <w:t xml:space="preserve">. </w:t>
      </w:r>
      <w:r w:rsidRPr="001C4124">
        <w:rPr>
          <w:rFonts w:eastAsia="Times New Roman" w:cs="Arial"/>
          <w:color w:val="000000"/>
          <w:lang w:eastAsia="bg-BG"/>
        </w:rPr>
        <w:t xml:space="preserve">Амлодипин е слаб инхибитор на </w:t>
      </w:r>
      <w:r w:rsidRPr="001C4124">
        <w:rPr>
          <w:rFonts w:eastAsia="Times New Roman" w:cs="Arial"/>
          <w:color w:val="000000"/>
          <w:lang w:val="en-US"/>
        </w:rPr>
        <w:t>CYP</w:t>
      </w:r>
      <w:r w:rsidRPr="001C4124">
        <w:rPr>
          <w:rFonts w:eastAsia="Times New Roman" w:cs="Arial"/>
          <w:color w:val="000000"/>
          <w:lang w:val="ru-RU"/>
        </w:rPr>
        <w:t>3</w:t>
      </w:r>
      <w:r w:rsidRPr="001C4124">
        <w:rPr>
          <w:rFonts w:eastAsia="Times New Roman" w:cs="Arial"/>
          <w:color w:val="000000"/>
          <w:lang w:val="en-US"/>
        </w:rPr>
        <w:t>A</w:t>
      </w:r>
      <w:r w:rsidRPr="001C4124">
        <w:rPr>
          <w:rFonts w:eastAsia="Times New Roman" w:cs="Arial"/>
          <w:color w:val="000000"/>
          <w:lang w:val="ru-RU"/>
        </w:rPr>
        <w:t xml:space="preserve">. </w:t>
      </w:r>
      <w:r w:rsidRPr="001C4124">
        <w:rPr>
          <w:rFonts w:eastAsia="Times New Roman" w:cs="Arial"/>
          <w:color w:val="000000"/>
          <w:lang w:eastAsia="bg-BG"/>
        </w:rPr>
        <w:t xml:space="preserve">При едновременна употреба на </w:t>
      </w:r>
      <w:proofErr w:type="spellStart"/>
      <w:r w:rsidRPr="001C4124">
        <w:rPr>
          <w:rFonts w:eastAsia="Times New Roman" w:cs="Arial"/>
          <w:color w:val="000000"/>
          <w:lang w:val="en-US"/>
        </w:rPr>
        <w:t>mTOR</w:t>
      </w:r>
      <w:proofErr w:type="spellEnd"/>
      <w:r w:rsidRPr="001C4124">
        <w:rPr>
          <w:rFonts w:eastAsia="Times New Roman" w:cs="Arial"/>
          <w:color w:val="000000"/>
          <w:lang w:val="ru-RU"/>
        </w:rPr>
        <w:t xml:space="preserve"> </w:t>
      </w:r>
      <w:r w:rsidRPr="001C4124">
        <w:rPr>
          <w:rFonts w:eastAsia="Times New Roman" w:cs="Arial"/>
          <w:color w:val="000000"/>
          <w:lang w:eastAsia="bg-BG"/>
        </w:rPr>
        <w:t xml:space="preserve">инхибитори, амлодипин може да увеличи експозицията на </w:t>
      </w:r>
      <w:proofErr w:type="spellStart"/>
      <w:r w:rsidRPr="001C4124">
        <w:rPr>
          <w:rFonts w:eastAsia="Times New Roman" w:cs="Arial"/>
          <w:color w:val="000000"/>
          <w:lang w:val="en-US"/>
        </w:rPr>
        <w:t>mTOR</w:t>
      </w:r>
      <w:proofErr w:type="spellEnd"/>
      <w:r w:rsidRPr="001C4124">
        <w:rPr>
          <w:rFonts w:eastAsia="Times New Roman" w:cs="Arial"/>
          <w:color w:val="000000"/>
          <w:lang w:val="ru-RU"/>
        </w:rPr>
        <w:t xml:space="preserve"> </w:t>
      </w:r>
      <w:r w:rsidRPr="001C4124">
        <w:rPr>
          <w:rFonts w:eastAsia="Times New Roman" w:cs="Arial"/>
          <w:color w:val="000000"/>
          <w:lang w:eastAsia="bg-BG"/>
        </w:rPr>
        <w:t>инхибитори.</w:t>
      </w:r>
    </w:p>
    <w:p w14:paraId="6AC341C1" w14:textId="77777777" w:rsidR="001C4124" w:rsidRPr="001C4124" w:rsidRDefault="001C4124" w:rsidP="001C4124">
      <w:pPr>
        <w:spacing w:line="240" w:lineRule="auto"/>
        <w:rPr>
          <w:rFonts w:eastAsia="Times New Roman" w:cs="Arial"/>
          <w:i/>
          <w:iCs/>
          <w:color w:val="000000"/>
          <w:lang w:eastAsia="bg-BG"/>
        </w:rPr>
      </w:pPr>
    </w:p>
    <w:p w14:paraId="3C456B1F" w14:textId="5FAF7FB6"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Циклоспорин</w:t>
      </w:r>
    </w:p>
    <w:p w14:paraId="4E2B4F0A"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Не са провеждани проучвания за лекарствените взаимодействия с циклоспорин и амлодипин при здрави доброволци или други популации, с изключение на пациенти с бъбречна трансплантация, при които се увеличава вариабилната минимална концентрация (средно 0% - 40%) на циклоспорин. Трябва да се има обмисли проследяване на нивата на циклоспорин при пациенти с бъбречна трансплантация, които приемат амлодипин, а дозата на циклоспорин трябва да се намали, ако е необходимо.</w:t>
      </w:r>
    </w:p>
    <w:p w14:paraId="49C9D9A6" w14:textId="77777777" w:rsidR="001C4124" w:rsidRPr="001C4124" w:rsidRDefault="001C4124" w:rsidP="001C4124">
      <w:pPr>
        <w:spacing w:line="240" w:lineRule="auto"/>
        <w:rPr>
          <w:rFonts w:eastAsia="Times New Roman" w:cs="Arial"/>
          <w:i/>
          <w:iCs/>
          <w:color w:val="000000"/>
          <w:lang w:eastAsia="bg-BG"/>
        </w:rPr>
      </w:pPr>
    </w:p>
    <w:p w14:paraId="6E84171C" w14:textId="02C1398F"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Симвастатин</w:t>
      </w:r>
    </w:p>
    <w:p w14:paraId="5C777D43"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Едновременното приложение на многократни дози 10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 xml:space="preserve">амлодипин с 80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 xml:space="preserve">симвастатин води до повишаване със 77% на експозицията на симвастатин, в сравнение със самостоятелното приложение на симвастатин. Дозата на симвастатин трябва да се намали на 20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дневно при пациенти на амлодипин.</w:t>
      </w:r>
    </w:p>
    <w:p w14:paraId="685BE146" w14:textId="5FBE84BE" w:rsidR="001C4124" w:rsidRPr="001C4124" w:rsidRDefault="001C4124" w:rsidP="001C4124">
      <w:pPr>
        <w:spacing w:line="240" w:lineRule="auto"/>
        <w:rPr>
          <w:rFonts w:ascii="Times New Roman" w:eastAsia="Times New Roman" w:hAnsi="Times New Roman" w:cs="Times New Roman"/>
          <w:sz w:val="24"/>
          <w:szCs w:val="24"/>
        </w:rPr>
      </w:pPr>
    </w:p>
    <w:p w14:paraId="006BE4EC" w14:textId="43018BF2" w:rsidR="00DB32D3" w:rsidRDefault="002C50EE" w:rsidP="005726E3">
      <w:pPr>
        <w:pStyle w:val="Heading2"/>
      </w:pPr>
      <w:r>
        <w:t>4.6. Фертилитет, бременност и кърмене</w:t>
      </w:r>
    </w:p>
    <w:p w14:paraId="2D628E12" w14:textId="38F10322" w:rsidR="001C4124" w:rsidRDefault="001C4124" w:rsidP="001C4124"/>
    <w:p w14:paraId="15A67012" w14:textId="77777777" w:rsidR="001C4124" w:rsidRPr="001C4124" w:rsidRDefault="001C4124" w:rsidP="001C4124">
      <w:pPr>
        <w:pStyle w:val="Heading3"/>
        <w:rPr>
          <w:rFonts w:eastAsia="Times New Roman"/>
          <w:sz w:val="28"/>
          <w:u w:val="single"/>
        </w:rPr>
      </w:pPr>
      <w:r w:rsidRPr="001C4124">
        <w:rPr>
          <w:rFonts w:eastAsia="Times New Roman"/>
          <w:u w:val="single"/>
          <w:lang w:eastAsia="bg-BG"/>
        </w:rPr>
        <w:t>Бременност</w:t>
      </w:r>
    </w:p>
    <w:p w14:paraId="2D261903"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Като се имат предвид ефектите на отделните активни вещества, 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таблетки не се препоръчва през първия триместър на бременността. Ако се планира или се потвърди бременност, трябва да се премине към алтернативно лечение колкото е възможно по-скоро. 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таблетки е противопоказан по време на втория и третия триместър на бременността.</w:t>
      </w:r>
    </w:p>
    <w:p w14:paraId="44099881" w14:textId="77777777" w:rsidR="001C4124" w:rsidRPr="001C4124" w:rsidRDefault="001C4124" w:rsidP="001C4124">
      <w:pPr>
        <w:spacing w:line="240" w:lineRule="auto"/>
        <w:rPr>
          <w:rFonts w:eastAsia="Times New Roman" w:cs="Arial"/>
          <w:i/>
          <w:iCs/>
          <w:color w:val="000000"/>
          <w:szCs w:val="20"/>
          <w:lang w:eastAsia="bg-BG"/>
        </w:rPr>
      </w:pPr>
    </w:p>
    <w:p w14:paraId="299A63F4" w14:textId="2F53FC7A"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Периндоприл</w:t>
      </w:r>
    </w:p>
    <w:p w14:paraId="22F955A5"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Употребата на АСЕ инхибитори не се препоръчва по време на първия триместър на бременността (вж. точка 4.4). Употребата на АСЕ инхибитори е противопоказана по време на втория и третия триместър на бременността (вж. точки 4.3 и 4.4).</w:t>
      </w:r>
    </w:p>
    <w:p w14:paraId="271C05AA" w14:textId="77777777" w:rsidR="001C4124" w:rsidRPr="001C4124" w:rsidRDefault="001C4124" w:rsidP="001C4124">
      <w:pPr>
        <w:spacing w:line="240" w:lineRule="auto"/>
        <w:rPr>
          <w:rFonts w:eastAsia="Times New Roman" w:cs="Arial"/>
          <w:color w:val="000000"/>
          <w:szCs w:val="20"/>
          <w:lang w:eastAsia="bg-BG"/>
        </w:rPr>
      </w:pPr>
    </w:p>
    <w:p w14:paraId="525751CA" w14:textId="3F2C71F1"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Епидемиологичните данни относно риска от тератогенност след експозиция на АСЕ инхибитори по време на първия триместър на бременността не са убедителни. Все пак леко увеличение на риска не може да бъде изключено.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АСЕ инхибитор. Когато се установи бременност, лечението с АСЕ инхибитор трябва незабавно да се прекрати и ако е подходящо, да се започне алтернативно лечение.</w:t>
      </w:r>
    </w:p>
    <w:p w14:paraId="475ADB88" w14:textId="77777777" w:rsidR="001C4124" w:rsidRPr="001C4124" w:rsidRDefault="001C4124" w:rsidP="001C4124">
      <w:pPr>
        <w:spacing w:line="240" w:lineRule="auto"/>
        <w:rPr>
          <w:rFonts w:eastAsia="Times New Roman" w:cs="Arial"/>
          <w:color w:val="000000"/>
          <w:szCs w:val="20"/>
          <w:lang w:eastAsia="bg-BG"/>
        </w:rPr>
      </w:pPr>
    </w:p>
    <w:p w14:paraId="7AE98AB8" w14:textId="79121FCC"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Известно е, че експозицията на АСЕ инхибитори по време на втория и третия триместър предизвиква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 Препоръчва се ехографско изследване на бъбречната функция и черепа в случай, че АСЕ инхибиторите са прилагани през втория триместър на бременността и след това. Новородените, чиито майки са приемали </w:t>
      </w:r>
      <w:r w:rsidRPr="001C4124">
        <w:rPr>
          <w:rFonts w:eastAsia="Times New Roman" w:cs="Arial"/>
          <w:color w:val="000000"/>
          <w:szCs w:val="20"/>
          <w:lang w:val="en-US"/>
        </w:rPr>
        <w:t>ACE</w:t>
      </w:r>
      <w:r w:rsidRPr="001C4124">
        <w:rPr>
          <w:rFonts w:eastAsia="Times New Roman" w:cs="Arial"/>
          <w:color w:val="000000"/>
          <w:szCs w:val="20"/>
          <w:lang w:eastAsia="bg-BG"/>
        </w:rPr>
        <w:t xml:space="preserve"> инхибитори, трябва да се наблюдават внимателно за наличие на хипотония (вж.</w:t>
      </w:r>
      <w:r w:rsidRPr="001C4124">
        <w:rPr>
          <w:rFonts w:eastAsia="Times New Roman" w:cs="Arial"/>
          <w:color w:val="000000"/>
          <w:szCs w:val="20"/>
          <w:lang w:val="ru-RU"/>
        </w:rPr>
        <w:t xml:space="preserve"> </w:t>
      </w:r>
      <w:r w:rsidRPr="001C4124">
        <w:rPr>
          <w:rFonts w:eastAsia="Times New Roman" w:cs="Arial"/>
          <w:color w:val="000000"/>
          <w:szCs w:val="20"/>
          <w:lang w:eastAsia="bg-BG"/>
        </w:rPr>
        <w:t>точки 4.3</w:t>
      </w:r>
    </w:p>
    <w:p w14:paraId="6C7BBAF7"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и 4.4).</w:t>
      </w:r>
    </w:p>
    <w:p w14:paraId="73E39009" w14:textId="77777777" w:rsidR="001C4124" w:rsidRPr="001C4124" w:rsidRDefault="001C4124" w:rsidP="001C4124">
      <w:pPr>
        <w:spacing w:line="240" w:lineRule="auto"/>
        <w:rPr>
          <w:rFonts w:eastAsia="Times New Roman" w:cs="Arial"/>
          <w:i/>
          <w:iCs/>
          <w:color w:val="000000"/>
          <w:szCs w:val="20"/>
          <w:lang w:eastAsia="bg-BG"/>
        </w:rPr>
      </w:pPr>
    </w:p>
    <w:p w14:paraId="61C074F6" w14:textId="7C19AFC3" w:rsidR="001C4124" w:rsidRPr="001C4124" w:rsidRDefault="001C4124" w:rsidP="001C4124">
      <w:pPr>
        <w:spacing w:line="240" w:lineRule="auto"/>
        <w:rPr>
          <w:rFonts w:eastAsia="Times New Roman" w:cs="Arial"/>
          <w:i/>
          <w:iCs/>
          <w:color w:val="000000"/>
          <w:szCs w:val="20"/>
          <w:lang w:eastAsia="bg-BG"/>
        </w:rPr>
      </w:pPr>
      <w:r w:rsidRPr="001C4124">
        <w:rPr>
          <w:rFonts w:eastAsia="Times New Roman" w:cs="Arial"/>
          <w:i/>
          <w:iCs/>
          <w:color w:val="000000"/>
          <w:szCs w:val="20"/>
          <w:lang w:eastAsia="bg-BG"/>
        </w:rPr>
        <w:lastRenderedPageBreak/>
        <w:t>Амлодипин</w:t>
      </w:r>
    </w:p>
    <w:p w14:paraId="5FC98163"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Безопасността на амлодипин по време на бременност при хора не е установена.</w:t>
      </w:r>
    </w:p>
    <w:p w14:paraId="5A114721" w14:textId="77777777" w:rsidR="001C4124" w:rsidRPr="001C4124" w:rsidRDefault="001C4124" w:rsidP="001C4124">
      <w:pPr>
        <w:spacing w:line="240" w:lineRule="auto"/>
        <w:rPr>
          <w:rFonts w:eastAsia="Times New Roman" w:cs="Arial"/>
          <w:color w:val="000000"/>
          <w:szCs w:val="20"/>
          <w:lang w:eastAsia="bg-BG"/>
        </w:rPr>
      </w:pPr>
    </w:p>
    <w:p w14:paraId="5075AEF8" w14:textId="670586CD"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В проучвания при животни е наблюдавана репродуктивна токсичност при високи дози (вж. точка 5.3).</w:t>
      </w:r>
    </w:p>
    <w:p w14:paraId="4DC65189"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Употреба по време на бременност се препоръчва само когато няма по-безопасна алтернатива и когато болестта сама по себе си носи по-голям риск за майката и плода.</w:t>
      </w:r>
    </w:p>
    <w:p w14:paraId="21482022" w14:textId="77777777" w:rsidR="001C4124" w:rsidRPr="001C4124" w:rsidRDefault="001C4124" w:rsidP="001C4124">
      <w:pPr>
        <w:spacing w:line="240" w:lineRule="auto"/>
        <w:rPr>
          <w:rFonts w:eastAsia="Times New Roman" w:cs="Arial"/>
          <w:color w:val="000000"/>
          <w:szCs w:val="20"/>
          <w:u w:val="single"/>
          <w:lang w:eastAsia="bg-BG"/>
        </w:rPr>
      </w:pPr>
    </w:p>
    <w:p w14:paraId="4C32CEC2" w14:textId="27FC9E0D" w:rsidR="001C4124" w:rsidRPr="001C4124" w:rsidRDefault="001C4124" w:rsidP="001C4124">
      <w:pPr>
        <w:pStyle w:val="Heading3"/>
        <w:rPr>
          <w:rFonts w:eastAsia="Times New Roman"/>
          <w:sz w:val="28"/>
          <w:u w:val="single"/>
        </w:rPr>
      </w:pPr>
      <w:r w:rsidRPr="001C4124">
        <w:rPr>
          <w:rFonts w:eastAsia="Times New Roman"/>
          <w:u w:val="single"/>
          <w:lang w:eastAsia="bg-BG"/>
        </w:rPr>
        <w:t>Кърмене</w:t>
      </w:r>
    </w:p>
    <w:p w14:paraId="5432C816"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 Не е известно дали периндоприл се екскретира в кърмата. Поради това, употребата на 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таблетки не се препоръчва при жени, които кърмят. Трябва да се вземе решение дали да се продължи/преустанови кърменето или да се продължи/преустанови лечението с 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таблетки, като се вземат предвид ползата от кърменето за детето и ползата от терапията за жената.</w:t>
      </w:r>
    </w:p>
    <w:p w14:paraId="0892BFBE" w14:textId="77777777" w:rsidR="001C4124" w:rsidRPr="001C4124" w:rsidRDefault="001C4124" w:rsidP="001C4124">
      <w:pPr>
        <w:spacing w:line="240" w:lineRule="auto"/>
        <w:rPr>
          <w:rFonts w:eastAsia="Times New Roman" w:cs="Arial"/>
          <w:color w:val="000000"/>
          <w:szCs w:val="20"/>
          <w:u w:val="single"/>
          <w:lang w:eastAsia="bg-BG"/>
        </w:rPr>
      </w:pPr>
    </w:p>
    <w:p w14:paraId="3B32C524" w14:textId="63E2A2F7" w:rsidR="001C4124" w:rsidRPr="001C4124" w:rsidRDefault="001C4124" w:rsidP="001C4124">
      <w:pPr>
        <w:pStyle w:val="Heading3"/>
        <w:rPr>
          <w:rFonts w:eastAsia="Times New Roman"/>
          <w:sz w:val="28"/>
          <w:u w:val="single"/>
        </w:rPr>
      </w:pPr>
      <w:r w:rsidRPr="001C4124">
        <w:rPr>
          <w:rFonts w:eastAsia="Times New Roman"/>
          <w:u w:val="single"/>
          <w:lang w:eastAsia="bg-BG"/>
        </w:rPr>
        <w:t>Фертилитет</w:t>
      </w:r>
    </w:p>
    <w:p w14:paraId="25C1C50E" w14:textId="77777777"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Периндоприл</w:t>
      </w:r>
    </w:p>
    <w:p w14:paraId="15B16ECC"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Липсват клинични данни. Периндоприл не е показал влияние върху сперматогенезата при плъхове, или овогенезата.</w:t>
      </w:r>
    </w:p>
    <w:p w14:paraId="26768E97" w14:textId="77777777" w:rsidR="001C4124" w:rsidRPr="001C4124" w:rsidRDefault="001C4124" w:rsidP="001C4124">
      <w:pPr>
        <w:spacing w:line="240" w:lineRule="auto"/>
        <w:rPr>
          <w:rFonts w:eastAsia="Times New Roman" w:cs="Arial"/>
          <w:i/>
          <w:iCs/>
          <w:color w:val="000000"/>
          <w:szCs w:val="20"/>
          <w:lang w:eastAsia="bg-BG"/>
        </w:rPr>
      </w:pPr>
    </w:p>
    <w:p w14:paraId="52F4513D" w14:textId="00D27F9E"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Амлодипин</w:t>
      </w:r>
    </w:p>
    <w:p w14:paraId="632C2D5A" w14:textId="7535E49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Има съобщения за обратими биохимични промени в главичките на сперматозодите при някои пациенти, лекувани с калциеви антагонисти. Клиничните данни са недостатъчни относно потенциалния ефект на амлодипин върху фертилитета. В едно проучване с плъхове са открити нежелани ефекти върху мъжкия фертилитет (вж. точка 5.3).</w:t>
      </w:r>
    </w:p>
    <w:p w14:paraId="2F8F7210" w14:textId="77777777" w:rsidR="001C4124" w:rsidRPr="001C4124" w:rsidRDefault="001C4124" w:rsidP="001C4124">
      <w:pPr>
        <w:spacing w:line="240" w:lineRule="auto"/>
        <w:rPr>
          <w:rFonts w:ascii="Times New Roman" w:eastAsia="Times New Roman" w:hAnsi="Times New Roman" w:cs="Times New Roman"/>
          <w:sz w:val="24"/>
          <w:szCs w:val="24"/>
        </w:rPr>
      </w:pPr>
    </w:p>
    <w:p w14:paraId="128BA3A8" w14:textId="2688DDF6" w:rsidR="00DB32D3" w:rsidRDefault="002C50EE" w:rsidP="005726E3">
      <w:pPr>
        <w:pStyle w:val="Heading2"/>
      </w:pPr>
      <w:r>
        <w:t>4.7. Ефекти върху способността за шофиране и работа с машини</w:t>
      </w:r>
    </w:p>
    <w:p w14:paraId="6BB7F770" w14:textId="0B9C720F" w:rsidR="001C4124" w:rsidRDefault="001C4124" w:rsidP="001C4124"/>
    <w:p w14:paraId="498358F1" w14:textId="77777777" w:rsidR="001C4124" w:rsidRPr="001C4124" w:rsidRDefault="001C4124" w:rsidP="001C4124">
      <w:pPr>
        <w:rPr>
          <w:sz w:val="24"/>
          <w:szCs w:val="24"/>
        </w:rPr>
      </w:pPr>
      <w:r w:rsidRPr="001C4124">
        <w:rPr>
          <w:lang w:eastAsia="bg-BG"/>
        </w:rPr>
        <w:t xml:space="preserve">Не са провеждани проучвания за ефектите на Приамло 4 </w:t>
      </w:r>
      <w:r w:rsidRPr="001C4124">
        <w:rPr>
          <w:lang w:val="en-US"/>
        </w:rPr>
        <w:t>mg</w:t>
      </w:r>
      <w:r w:rsidRPr="001C4124">
        <w:rPr>
          <w:lang w:val="ru-RU"/>
        </w:rPr>
        <w:t xml:space="preserve">/5 </w:t>
      </w:r>
      <w:r w:rsidRPr="001C4124">
        <w:rPr>
          <w:lang w:val="en-US"/>
        </w:rPr>
        <w:t>mg</w:t>
      </w:r>
      <w:r w:rsidRPr="001C4124">
        <w:rPr>
          <w:lang w:val="ru-RU"/>
        </w:rPr>
        <w:t xml:space="preserve"> </w:t>
      </w:r>
      <w:r w:rsidRPr="001C4124">
        <w:rPr>
          <w:lang w:eastAsia="bg-BG"/>
        </w:rPr>
        <w:t xml:space="preserve">таблетки върху способността за шофиране и работа с машини. Ако пациентите, приемащи Приамло 4 </w:t>
      </w:r>
      <w:r w:rsidRPr="001C4124">
        <w:rPr>
          <w:lang w:val="en-US"/>
        </w:rPr>
        <w:t>mg</w:t>
      </w:r>
      <w:r w:rsidRPr="001C4124">
        <w:rPr>
          <w:lang w:val="ru-RU"/>
        </w:rPr>
        <w:t xml:space="preserve">/5 </w:t>
      </w:r>
      <w:r w:rsidRPr="001C4124">
        <w:rPr>
          <w:lang w:val="en-US"/>
        </w:rPr>
        <w:t>mg</w:t>
      </w:r>
      <w:r w:rsidRPr="001C4124">
        <w:rPr>
          <w:lang w:val="ru-RU"/>
        </w:rPr>
        <w:t xml:space="preserve"> </w:t>
      </w:r>
      <w:r w:rsidRPr="001C4124">
        <w:rPr>
          <w:lang w:eastAsia="bg-BG"/>
        </w:rPr>
        <w:t>таблетки получат замайване, главоболие, умора или гадене, способността им да реагират може да бъде нарушена.</w:t>
      </w:r>
    </w:p>
    <w:p w14:paraId="0BD0725C" w14:textId="77777777" w:rsidR="001C4124" w:rsidRPr="001C4124" w:rsidRDefault="001C4124" w:rsidP="001C4124"/>
    <w:p w14:paraId="44CE30A3" w14:textId="4EF7FCE0" w:rsidR="007122AD" w:rsidRDefault="002C50EE" w:rsidP="00936AD0">
      <w:pPr>
        <w:pStyle w:val="Heading2"/>
      </w:pPr>
      <w:r>
        <w:t>4.8. Нежелани лекарствени реакции</w:t>
      </w:r>
    </w:p>
    <w:p w14:paraId="1AAD09B9" w14:textId="7B5ACAB5" w:rsidR="001C4124" w:rsidRDefault="001C4124" w:rsidP="001C4124"/>
    <w:p w14:paraId="20F8950F"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Нежеланите лекарствени реакции, съобщени за всяка една от отделните съставки (периндоприл или амлодипин) могат да се проявят като възможни нежелани реакции при 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таблетки.</w:t>
      </w:r>
    </w:p>
    <w:p w14:paraId="613A461A" w14:textId="77777777" w:rsidR="001C4124" w:rsidRPr="001C4124" w:rsidRDefault="001C4124" w:rsidP="001C4124">
      <w:pPr>
        <w:spacing w:line="240" w:lineRule="auto"/>
        <w:rPr>
          <w:rFonts w:eastAsia="Times New Roman" w:cs="Arial"/>
          <w:color w:val="000000"/>
          <w:szCs w:val="20"/>
          <w:u w:val="single"/>
          <w:lang w:eastAsia="bg-BG"/>
        </w:rPr>
      </w:pPr>
    </w:p>
    <w:p w14:paraId="7B7B1A37" w14:textId="112C07F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u w:val="single"/>
          <w:lang w:eastAsia="bg-BG"/>
        </w:rPr>
        <w:t>Периндоприл</w:t>
      </w:r>
    </w:p>
    <w:p w14:paraId="3CA9B1E8" w14:textId="77777777"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Обобщение на профила на безопасност</w:t>
      </w:r>
    </w:p>
    <w:p w14:paraId="551AE9EC"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Профилът на безопасност на периндоприл е в съответствие с този на АСЕ инхибиторите. Най-честите нежелани реакции, съобщени при клиничните изпитвания и наблюдавани с периндоприл са: замайване, главоболие, парестезии, световъртеж, зрителни нарушения, шум в ушите, хипотония, кашлица, задух, коремна болка, запек, диария, дисгеузия, диспепсия, гадене, повръщане, пруритус, обрив, мускулни спазми и астения.</w:t>
      </w:r>
    </w:p>
    <w:p w14:paraId="044C2BCE" w14:textId="77777777" w:rsidR="001C4124" w:rsidRPr="001C4124" w:rsidRDefault="001C4124" w:rsidP="001C4124">
      <w:pPr>
        <w:spacing w:line="240" w:lineRule="auto"/>
        <w:rPr>
          <w:rFonts w:eastAsia="Times New Roman" w:cs="Arial"/>
          <w:i/>
          <w:iCs/>
          <w:color w:val="000000"/>
          <w:szCs w:val="20"/>
          <w:lang w:eastAsia="bg-BG"/>
        </w:rPr>
      </w:pPr>
    </w:p>
    <w:p w14:paraId="048CD802" w14:textId="13A03634"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Табличен списък на нежеланите реакции</w:t>
      </w:r>
    </w:p>
    <w:p w14:paraId="2A476CF7" w14:textId="131B80A6" w:rsidR="001C4124" w:rsidRDefault="001C4124" w:rsidP="001C4124">
      <w:pPr>
        <w:spacing w:line="240" w:lineRule="auto"/>
        <w:rPr>
          <w:rFonts w:eastAsia="Times New Roman" w:cs="Arial"/>
          <w:color w:val="000000"/>
          <w:szCs w:val="20"/>
          <w:lang w:eastAsia="bg-BG"/>
        </w:rPr>
      </w:pPr>
      <w:r w:rsidRPr="001C4124">
        <w:rPr>
          <w:rFonts w:eastAsia="Times New Roman" w:cs="Arial"/>
          <w:color w:val="000000"/>
          <w:szCs w:val="20"/>
          <w:lang w:eastAsia="bg-BG"/>
        </w:rPr>
        <w:t>Следните нежелани реакции с периндоприл са наблюдавани по време на клиничните изпитвания и/или в постмаркетинговия период, подредени по честота по следния начин: много чести (≥1/10); чести (≥1/100 до &lt;1/10); нечести (≥1/1 000 до &lt;1/100); редки (≥1/10 000 до &lt;1/1 000); много редки (&lt;1/10 000); с неизвестна честота (от наличните данни не да бъде направена оценка).</w:t>
      </w:r>
    </w:p>
    <w:p w14:paraId="21231D73" w14:textId="5B2D80A5" w:rsidR="001C4124" w:rsidRDefault="001C4124" w:rsidP="001C4124">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10"/>
        <w:gridCol w:w="3072"/>
        <w:gridCol w:w="3168"/>
      </w:tblGrid>
      <w:tr w:rsidR="001C4124" w14:paraId="7C7C53E0" w14:textId="77777777" w:rsidTr="001C4124">
        <w:tc>
          <w:tcPr>
            <w:tcW w:w="3192" w:type="dxa"/>
          </w:tcPr>
          <w:p w14:paraId="3230237E" w14:textId="69068F73" w:rsidR="001C4124" w:rsidRPr="001C4124" w:rsidRDefault="001C4124" w:rsidP="001C4124">
            <w:pPr>
              <w:spacing w:line="240" w:lineRule="auto"/>
              <w:rPr>
                <w:rFonts w:eastAsia="Times New Roman" w:cs="Arial"/>
                <w:szCs w:val="24"/>
              </w:rPr>
            </w:pPr>
            <w:r w:rsidRPr="001C4124">
              <w:rPr>
                <w:b/>
                <w:bCs/>
                <w:szCs w:val="20"/>
              </w:rPr>
              <w:t>Системо-оргянен клас</w:t>
            </w:r>
          </w:p>
        </w:tc>
        <w:tc>
          <w:tcPr>
            <w:tcW w:w="3192" w:type="dxa"/>
          </w:tcPr>
          <w:p w14:paraId="7BCE5ADB" w14:textId="3BBA0E3D" w:rsidR="001C4124" w:rsidRPr="001C4124" w:rsidRDefault="001C4124" w:rsidP="001C4124">
            <w:pPr>
              <w:spacing w:line="240" w:lineRule="auto"/>
              <w:rPr>
                <w:rFonts w:eastAsia="Times New Roman" w:cs="Arial"/>
                <w:szCs w:val="24"/>
              </w:rPr>
            </w:pPr>
            <w:r w:rsidRPr="001C4124">
              <w:rPr>
                <w:b/>
                <w:bCs/>
                <w:szCs w:val="20"/>
              </w:rPr>
              <w:t>Честота</w:t>
            </w:r>
          </w:p>
        </w:tc>
        <w:tc>
          <w:tcPr>
            <w:tcW w:w="3192" w:type="dxa"/>
          </w:tcPr>
          <w:p w14:paraId="36808BB4" w14:textId="6BC0FD5E" w:rsidR="001C4124" w:rsidRPr="001C4124" w:rsidRDefault="001C4124" w:rsidP="001C4124">
            <w:pPr>
              <w:spacing w:line="240" w:lineRule="auto"/>
              <w:rPr>
                <w:rFonts w:eastAsia="Times New Roman" w:cs="Arial"/>
                <w:szCs w:val="24"/>
              </w:rPr>
            </w:pPr>
            <w:r w:rsidRPr="001C4124">
              <w:rPr>
                <w:b/>
                <w:bCs/>
                <w:i/>
                <w:iCs/>
                <w:szCs w:val="20"/>
              </w:rPr>
              <w:t>Нежелани</w:t>
            </w:r>
            <w:r w:rsidRPr="001C4124">
              <w:rPr>
                <w:b/>
                <w:bCs/>
                <w:szCs w:val="20"/>
              </w:rPr>
              <w:t xml:space="preserve"> реакции</w:t>
            </w:r>
          </w:p>
        </w:tc>
      </w:tr>
      <w:tr w:rsidR="001C4124" w14:paraId="459BAFFC" w14:textId="77777777" w:rsidTr="001C4124">
        <w:tc>
          <w:tcPr>
            <w:tcW w:w="3192" w:type="dxa"/>
            <w:vMerge w:val="restart"/>
          </w:tcPr>
          <w:p w14:paraId="48AAB043" w14:textId="65C4FCBA" w:rsidR="001C4124" w:rsidRPr="001C4124" w:rsidRDefault="001C4124" w:rsidP="001C4124">
            <w:pPr>
              <w:spacing w:line="240" w:lineRule="auto"/>
              <w:rPr>
                <w:rFonts w:eastAsia="Times New Roman" w:cs="Arial"/>
                <w:szCs w:val="24"/>
              </w:rPr>
            </w:pPr>
            <w:r w:rsidRPr="001C4124">
              <w:rPr>
                <w:szCs w:val="20"/>
              </w:rPr>
              <w:t>Нарушения на кръвта и лимфната система</w:t>
            </w:r>
          </w:p>
        </w:tc>
        <w:tc>
          <w:tcPr>
            <w:tcW w:w="3192" w:type="dxa"/>
          </w:tcPr>
          <w:p w14:paraId="5738C5CB" w14:textId="512055E5"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3808D337" w14:textId="608C025D" w:rsidR="001C4124" w:rsidRPr="001C4124" w:rsidRDefault="001C4124" w:rsidP="001C4124">
            <w:pPr>
              <w:spacing w:line="240" w:lineRule="auto"/>
              <w:rPr>
                <w:rFonts w:eastAsia="Times New Roman" w:cs="Arial"/>
                <w:szCs w:val="24"/>
              </w:rPr>
            </w:pPr>
            <w:r w:rsidRPr="001C4124">
              <w:rPr>
                <w:szCs w:val="20"/>
              </w:rPr>
              <w:t>Еозинофилия</w:t>
            </w:r>
          </w:p>
        </w:tc>
      </w:tr>
      <w:tr w:rsidR="001C4124" w14:paraId="711B0E95" w14:textId="77777777" w:rsidTr="00612A03">
        <w:tc>
          <w:tcPr>
            <w:tcW w:w="3192" w:type="dxa"/>
            <w:vMerge/>
          </w:tcPr>
          <w:p w14:paraId="00BB2992" w14:textId="77777777" w:rsidR="001C4124" w:rsidRPr="001C4124" w:rsidRDefault="001C4124" w:rsidP="001C4124">
            <w:pPr>
              <w:spacing w:line="240" w:lineRule="auto"/>
              <w:rPr>
                <w:rFonts w:eastAsia="Times New Roman" w:cs="Arial"/>
                <w:szCs w:val="24"/>
              </w:rPr>
            </w:pPr>
          </w:p>
        </w:tc>
        <w:tc>
          <w:tcPr>
            <w:tcW w:w="3192" w:type="dxa"/>
          </w:tcPr>
          <w:p w14:paraId="27368368" w14:textId="76439142"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vAlign w:val="bottom"/>
          </w:tcPr>
          <w:p w14:paraId="715BFD8D" w14:textId="19288B43" w:rsidR="001C4124" w:rsidRPr="001C4124" w:rsidRDefault="001C4124" w:rsidP="001C4124">
            <w:pPr>
              <w:spacing w:line="240" w:lineRule="auto"/>
              <w:rPr>
                <w:rFonts w:eastAsia="Times New Roman" w:cs="Arial"/>
                <w:szCs w:val="24"/>
              </w:rPr>
            </w:pPr>
            <w:r w:rsidRPr="001C4124">
              <w:rPr>
                <w:szCs w:val="20"/>
              </w:rPr>
              <w:t xml:space="preserve">Агранулоцитоза или панцитопения, намален хемоглобин и хематокрит, левкопения/неутропения, хемолитична анемия при пациенти с вроден дефицит на </w:t>
            </w:r>
            <w:r w:rsidRPr="001C4124">
              <w:rPr>
                <w:szCs w:val="20"/>
                <w:lang w:val="en-US"/>
              </w:rPr>
              <w:t>G</w:t>
            </w:r>
            <w:r w:rsidRPr="001C4124">
              <w:rPr>
                <w:szCs w:val="20"/>
                <w:lang w:val="ru-RU"/>
              </w:rPr>
              <w:t>-6</w:t>
            </w:r>
            <w:r w:rsidRPr="001C4124">
              <w:rPr>
                <w:szCs w:val="20"/>
                <w:lang w:val="en-US"/>
              </w:rPr>
              <w:t>PDH</w:t>
            </w:r>
            <w:r w:rsidRPr="001C4124">
              <w:rPr>
                <w:szCs w:val="20"/>
                <w:lang w:val="ru-RU"/>
              </w:rPr>
              <w:t xml:space="preserve"> </w:t>
            </w:r>
            <w:r w:rsidRPr="001C4124">
              <w:rPr>
                <w:szCs w:val="20"/>
              </w:rPr>
              <w:t>(вж. точка 4.4), тромбоцитопения</w:t>
            </w:r>
          </w:p>
        </w:tc>
      </w:tr>
      <w:tr w:rsidR="001C4124" w14:paraId="37D13FDC" w14:textId="77777777" w:rsidTr="001C4124">
        <w:tc>
          <w:tcPr>
            <w:tcW w:w="3192" w:type="dxa"/>
          </w:tcPr>
          <w:p w14:paraId="360B5235" w14:textId="43734D9A" w:rsidR="001C4124" w:rsidRPr="001C4124" w:rsidRDefault="001C4124" w:rsidP="001C4124">
            <w:pPr>
              <w:spacing w:line="240" w:lineRule="auto"/>
              <w:rPr>
                <w:rFonts w:eastAsia="Times New Roman" w:cs="Arial"/>
                <w:szCs w:val="24"/>
              </w:rPr>
            </w:pPr>
            <w:r w:rsidRPr="001C4124">
              <w:rPr>
                <w:szCs w:val="20"/>
              </w:rPr>
              <w:t>Ендокринни нарушения</w:t>
            </w:r>
          </w:p>
        </w:tc>
        <w:tc>
          <w:tcPr>
            <w:tcW w:w="3192" w:type="dxa"/>
          </w:tcPr>
          <w:p w14:paraId="6B5D7A44" w14:textId="3974D2A1" w:rsidR="001C4124" w:rsidRPr="001C4124" w:rsidRDefault="001C4124" w:rsidP="001C4124">
            <w:pPr>
              <w:spacing w:line="240" w:lineRule="auto"/>
              <w:rPr>
                <w:rFonts w:eastAsia="Times New Roman" w:cs="Arial"/>
                <w:szCs w:val="24"/>
              </w:rPr>
            </w:pPr>
            <w:r w:rsidRPr="001C4124">
              <w:rPr>
                <w:szCs w:val="20"/>
              </w:rPr>
              <w:t>Редки</w:t>
            </w:r>
          </w:p>
        </w:tc>
        <w:tc>
          <w:tcPr>
            <w:tcW w:w="3192" w:type="dxa"/>
          </w:tcPr>
          <w:p w14:paraId="7C2879B0" w14:textId="51C1417B" w:rsidR="001C4124" w:rsidRPr="001C4124" w:rsidRDefault="001C4124" w:rsidP="001C4124">
            <w:pPr>
              <w:spacing w:line="240" w:lineRule="auto"/>
              <w:rPr>
                <w:rFonts w:eastAsia="Times New Roman" w:cs="Arial"/>
                <w:szCs w:val="24"/>
              </w:rPr>
            </w:pPr>
            <w:r w:rsidRPr="001C4124">
              <w:rPr>
                <w:szCs w:val="20"/>
              </w:rPr>
              <w:t xml:space="preserve">Синдром на неподходяща секреция на антидиуретичен хормон </w:t>
            </w:r>
            <w:r w:rsidRPr="001C4124">
              <w:rPr>
                <w:szCs w:val="20"/>
                <w:lang w:val="ru-RU"/>
              </w:rPr>
              <w:t>(</w:t>
            </w:r>
            <w:r w:rsidRPr="001C4124">
              <w:rPr>
                <w:szCs w:val="20"/>
                <w:lang w:val="en-US"/>
              </w:rPr>
              <w:t>SIADH</w:t>
            </w:r>
            <w:r w:rsidRPr="001C4124">
              <w:rPr>
                <w:szCs w:val="20"/>
                <w:lang w:val="ru-RU"/>
              </w:rPr>
              <w:t>)</w:t>
            </w:r>
          </w:p>
        </w:tc>
      </w:tr>
      <w:tr w:rsidR="001C4124" w14:paraId="2ADF703D" w14:textId="77777777" w:rsidTr="00612A03">
        <w:tc>
          <w:tcPr>
            <w:tcW w:w="3192" w:type="dxa"/>
          </w:tcPr>
          <w:p w14:paraId="718BBC8D" w14:textId="7DF9E119" w:rsidR="001C4124" w:rsidRPr="001C4124" w:rsidRDefault="001C4124" w:rsidP="001C4124">
            <w:pPr>
              <w:spacing w:line="240" w:lineRule="auto"/>
              <w:rPr>
                <w:rFonts w:eastAsia="Times New Roman" w:cs="Arial"/>
                <w:szCs w:val="24"/>
              </w:rPr>
            </w:pPr>
            <w:r w:rsidRPr="001C4124">
              <w:rPr>
                <w:szCs w:val="20"/>
              </w:rPr>
              <w:t>Нарушения на метаболизма и храненето</w:t>
            </w:r>
          </w:p>
        </w:tc>
        <w:tc>
          <w:tcPr>
            <w:tcW w:w="3192" w:type="dxa"/>
          </w:tcPr>
          <w:p w14:paraId="18CD6111" w14:textId="763D7EFB"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vAlign w:val="bottom"/>
          </w:tcPr>
          <w:p w14:paraId="303D499D" w14:textId="77777777" w:rsidR="001C4124" w:rsidRPr="001C4124" w:rsidRDefault="001C4124" w:rsidP="001C4124">
            <w:r w:rsidRPr="001C4124">
              <w:rPr>
                <w:szCs w:val="20"/>
              </w:rPr>
              <w:t>Хипогликемия (вж. точки 4.4 и 4.5) Хиперкалиемия, обратима при преустановяване на лечението (вж. точка 4.4)</w:t>
            </w:r>
          </w:p>
          <w:p w14:paraId="1A1175C3" w14:textId="3A3DCB33" w:rsidR="001C4124" w:rsidRPr="001C4124" w:rsidRDefault="001C4124" w:rsidP="001C4124">
            <w:pPr>
              <w:spacing w:line="240" w:lineRule="auto"/>
              <w:rPr>
                <w:rFonts w:eastAsia="Times New Roman" w:cs="Arial"/>
                <w:szCs w:val="24"/>
              </w:rPr>
            </w:pPr>
            <w:r w:rsidRPr="001C4124">
              <w:rPr>
                <w:szCs w:val="20"/>
              </w:rPr>
              <w:t>Хипонатриемия</w:t>
            </w:r>
          </w:p>
        </w:tc>
      </w:tr>
      <w:tr w:rsidR="001C4124" w14:paraId="72D8F437" w14:textId="77777777" w:rsidTr="00612A03">
        <w:tc>
          <w:tcPr>
            <w:tcW w:w="3192" w:type="dxa"/>
          </w:tcPr>
          <w:p w14:paraId="58E1A90D" w14:textId="6FA94216" w:rsidR="001C4124" w:rsidRPr="001C4124" w:rsidRDefault="001C4124" w:rsidP="001C4124">
            <w:pPr>
              <w:spacing w:line="240" w:lineRule="auto"/>
              <w:rPr>
                <w:rFonts w:eastAsia="Times New Roman" w:cs="Arial"/>
                <w:szCs w:val="24"/>
              </w:rPr>
            </w:pPr>
            <w:r w:rsidRPr="001C4124">
              <w:rPr>
                <w:szCs w:val="20"/>
              </w:rPr>
              <w:t>Психични нарушения</w:t>
            </w:r>
          </w:p>
        </w:tc>
        <w:tc>
          <w:tcPr>
            <w:tcW w:w="3192" w:type="dxa"/>
          </w:tcPr>
          <w:p w14:paraId="641F5035" w14:textId="4B5928AC"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vAlign w:val="bottom"/>
          </w:tcPr>
          <w:p w14:paraId="2054DE18" w14:textId="367A30DE" w:rsidR="001C4124" w:rsidRPr="001C4124" w:rsidRDefault="001C4124" w:rsidP="001C4124">
            <w:pPr>
              <w:spacing w:line="240" w:lineRule="auto"/>
              <w:rPr>
                <w:rFonts w:eastAsia="Times New Roman" w:cs="Arial"/>
                <w:szCs w:val="24"/>
              </w:rPr>
            </w:pPr>
            <w:r w:rsidRPr="001C4124">
              <w:rPr>
                <w:szCs w:val="20"/>
              </w:rPr>
              <w:t>Промени в настроението, нарушения на съня, депресия</w:t>
            </w:r>
          </w:p>
        </w:tc>
      </w:tr>
      <w:tr w:rsidR="001C4124" w14:paraId="5D61485F" w14:textId="77777777" w:rsidTr="001C4124">
        <w:tc>
          <w:tcPr>
            <w:tcW w:w="3192" w:type="dxa"/>
            <w:vMerge w:val="restart"/>
          </w:tcPr>
          <w:p w14:paraId="081DD659" w14:textId="08B17B16" w:rsidR="001C4124" w:rsidRPr="001C4124" w:rsidRDefault="001C4124" w:rsidP="001C4124">
            <w:pPr>
              <w:spacing w:line="240" w:lineRule="auto"/>
              <w:rPr>
                <w:rFonts w:eastAsia="Times New Roman" w:cs="Arial"/>
                <w:szCs w:val="24"/>
              </w:rPr>
            </w:pPr>
            <w:r w:rsidRPr="001C4124">
              <w:rPr>
                <w:szCs w:val="20"/>
              </w:rPr>
              <w:t>Нарушения на нервната система</w:t>
            </w:r>
          </w:p>
        </w:tc>
        <w:tc>
          <w:tcPr>
            <w:tcW w:w="3192" w:type="dxa"/>
          </w:tcPr>
          <w:p w14:paraId="7BB4CB40" w14:textId="1BCBA494"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61E65BEC" w14:textId="6E759456" w:rsidR="001C4124" w:rsidRPr="001C4124" w:rsidRDefault="001C4124" w:rsidP="001C4124">
            <w:pPr>
              <w:spacing w:line="240" w:lineRule="auto"/>
              <w:rPr>
                <w:rFonts w:eastAsia="Times New Roman" w:cs="Arial"/>
                <w:szCs w:val="24"/>
              </w:rPr>
            </w:pPr>
            <w:r w:rsidRPr="001C4124">
              <w:rPr>
                <w:szCs w:val="20"/>
              </w:rPr>
              <w:t>Замайване, главоболие, парестезии, световъртеж</w:t>
            </w:r>
          </w:p>
        </w:tc>
      </w:tr>
      <w:tr w:rsidR="001C4124" w14:paraId="031B2271" w14:textId="77777777" w:rsidTr="001C4124">
        <w:tc>
          <w:tcPr>
            <w:tcW w:w="3192" w:type="dxa"/>
            <w:vMerge/>
          </w:tcPr>
          <w:p w14:paraId="782243F8" w14:textId="77777777" w:rsidR="001C4124" w:rsidRPr="001C4124" w:rsidRDefault="001C4124" w:rsidP="001C4124">
            <w:pPr>
              <w:spacing w:line="240" w:lineRule="auto"/>
              <w:rPr>
                <w:rFonts w:eastAsia="Times New Roman" w:cs="Arial"/>
                <w:szCs w:val="24"/>
              </w:rPr>
            </w:pPr>
          </w:p>
        </w:tc>
        <w:tc>
          <w:tcPr>
            <w:tcW w:w="3192" w:type="dxa"/>
          </w:tcPr>
          <w:p w14:paraId="55966AAB" w14:textId="2FC88787"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0686F96B" w14:textId="3B040941" w:rsidR="001C4124" w:rsidRPr="001C4124" w:rsidRDefault="001C4124" w:rsidP="001C4124">
            <w:pPr>
              <w:spacing w:line="240" w:lineRule="auto"/>
              <w:rPr>
                <w:rFonts w:eastAsia="Times New Roman" w:cs="Arial"/>
                <w:szCs w:val="24"/>
              </w:rPr>
            </w:pPr>
            <w:r w:rsidRPr="001C4124">
              <w:rPr>
                <w:szCs w:val="20"/>
              </w:rPr>
              <w:t>Сомнолентност, синкоп</w:t>
            </w:r>
          </w:p>
        </w:tc>
      </w:tr>
      <w:tr w:rsidR="001C4124" w14:paraId="266D753A" w14:textId="77777777" w:rsidTr="001C4124">
        <w:tc>
          <w:tcPr>
            <w:tcW w:w="3192" w:type="dxa"/>
            <w:vMerge/>
          </w:tcPr>
          <w:p w14:paraId="4304EEBD" w14:textId="77777777" w:rsidR="001C4124" w:rsidRPr="001C4124" w:rsidRDefault="001C4124" w:rsidP="001C4124">
            <w:pPr>
              <w:spacing w:line="240" w:lineRule="auto"/>
              <w:rPr>
                <w:rFonts w:eastAsia="Times New Roman" w:cs="Arial"/>
                <w:szCs w:val="24"/>
              </w:rPr>
            </w:pPr>
          </w:p>
        </w:tc>
        <w:tc>
          <w:tcPr>
            <w:tcW w:w="3192" w:type="dxa"/>
          </w:tcPr>
          <w:p w14:paraId="2F47B084" w14:textId="24E3D9D5"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6C4B78FD" w14:textId="54288457" w:rsidR="001C4124" w:rsidRPr="001C4124" w:rsidRDefault="001C4124" w:rsidP="001C4124">
            <w:pPr>
              <w:spacing w:line="240" w:lineRule="auto"/>
              <w:rPr>
                <w:rFonts w:eastAsia="Times New Roman" w:cs="Arial"/>
                <w:szCs w:val="24"/>
              </w:rPr>
            </w:pPr>
            <w:r w:rsidRPr="001C4124">
              <w:rPr>
                <w:szCs w:val="20"/>
              </w:rPr>
              <w:t>Объркване</w:t>
            </w:r>
          </w:p>
        </w:tc>
      </w:tr>
      <w:tr w:rsidR="001C4124" w14:paraId="2870D01C" w14:textId="77777777" w:rsidTr="001C4124">
        <w:tc>
          <w:tcPr>
            <w:tcW w:w="3192" w:type="dxa"/>
          </w:tcPr>
          <w:p w14:paraId="5036FA86" w14:textId="311DFB66" w:rsidR="001C4124" w:rsidRPr="001C4124" w:rsidRDefault="001C4124" w:rsidP="001C4124">
            <w:pPr>
              <w:spacing w:line="240" w:lineRule="auto"/>
              <w:rPr>
                <w:rFonts w:eastAsia="Times New Roman" w:cs="Arial"/>
                <w:szCs w:val="24"/>
              </w:rPr>
            </w:pPr>
            <w:r w:rsidRPr="001C4124">
              <w:rPr>
                <w:szCs w:val="20"/>
              </w:rPr>
              <w:t>Нарушения на очите</w:t>
            </w:r>
          </w:p>
        </w:tc>
        <w:tc>
          <w:tcPr>
            <w:tcW w:w="3192" w:type="dxa"/>
          </w:tcPr>
          <w:p w14:paraId="6835D951" w14:textId="66423558"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74DEF52E" w14:textId="15056124" w:rsidR="001C4124" w:rsidRPr="001C4124" w:rsidRDefault="001C4124" w:rsidP="001C4124">
            <w:pPr>
              <w:spacing w:line="240" w:lineRule="auto"/>
              <w:rPr>
                <w:rFonts w:eastAsia="Times New Roman" w:cs="Arial"/>
                <w:szCs w:val="24"/>
              </w:rPr>
            </w:pPr>
            <w:r w:rsidRPr="001C4124">
              <w:rPr>
                <w:szCs w:val="20"/>
              </w:rPr>
              <w:t>Зрителни нарушения</w:t>
            </w:r>
          </w:p>
        </w:tc>
      </w:tr>
      <w:tr w:rsidR="001C4124" w14:paraId="2A6C585C" w14:textId="77777777" w:rsidTr="001C4124">
        <w:tc>
          <w:tcPr>
            <w:tcW w:w="3192" w:type="dxa"/>
          </w:tcPr>
          <w:p w14:paraId="0AEC9951" w14:textId="0A6C5256" w:rsidR="001C4124" w:rsidRPr="001C4124" w:rsidRDefault="001C4124" w:rsidP="001C4124">
            <w:pPr>
              <w:spacing w:line="240" w:lineRule="auto"/>
              <w:rPr>
                <w:rFonts w:eastAsia="Times New Roman" w:cs="Arial"/>
                <w:szCs w:val="24"/>
              </w:rPr>
            </w:pPr>
            <w:r w:rsidRPr="001C4124">
              <w:rPr>
                <w:szCs w:val="20"/>
              </w:rPr>
              <w:t>Нарушения на ухото и лабиринта</w:t>
            </w:r>
          </w:p>
        </w:tc>
        <w:tc>
          <w:tcPr>
            <w:tcW w:w="3192" w:type="dxa"/>
          </w:tcPr>
          <w:p w14:paraId="31C2756B" w14:textId="789F5FD1"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0C1F5E2B" w14:textId="152BC612" w:rsidR="001C4124" w:rsidRPr="001C4124" w:rsidRDefault="001C4124" w:rsidP="001C4124">
            <w:pPr>
              <w:spacing w:line="240" w:lineRule="auto"/>
              <w:rPr>
                <w:rFonts w:eastAsia="Times New Roman" w:cs="Arial"/>
                <w:szCs w:val="24"/>
              </w:rPr>
            </w:pPr>
            <w:r w:rsidRPr="001C4124">
              <w:rPr>
                <w:szCs w:val="20"/>
              </w:rPr>
              <w:t>Тинитус</w:t>
            </w:r>
          </w:p>
        </w:tc>
      </w:tr>
      <w:tr w:rsidR="001C4124" w14:paraId="31C9956C" w14:textId="77777777" w:rsidTr="001C4124">
        <w:tc>
          <w:tcPr>
            <w:tcW w:w="3192" w:type="dxa"/>
            <w:vMerge w:val="restart"/>
          </w:tcPr>
          <w:p w14:paraId="198698DE" w14:textId="4B5A5ECE" w:rsidR="001C4124" w:rsidRPr="001C4124" w:rsidRDefault="001C4124" w:rsidP="001C4124">
            <w:pPr>
              <w:spacing w:line="240" w:lineRule="auto"/>
              <w:rPr>
                <w:rFonts w:eastAsia="Times New Roman" w:cs="Arial"/>
                <w:szCs w:val="24"/>
              </w:rPr>
            </w:pPr>
            <w:r w:rsidRPr="001C4124">
              <w:rPr>
                <w:szCs w:val="20"/>
              </w:rPr>
              <w:t>Сърдечни нарушения</w:t>
            </w:r>
          </w:p>
        </w:tc>
        <w:tc>
          <w:tcPr>
            <w:tcW w:w="3192" w:type="dxa"/>
          </w:tcPr>
          <w:p w14:paraId="5BA32F26" w14:textId="64F3DC80"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1E54AEFB" w14:textId="7A5F0844" w:rsidR="001C4124" w:rsidRPr="001C4124" w:rsidRDefault="001C4124" w:rsidP="001C4124">
            <w:pPr>
              <w:spacing w:line="240" w:lineRule="auto"/>
              <w:rPr>
                <w:rFonts w:eastAsia="Times New Roman" w:cs="Arial"/>
                <w:szCs w:val="24"/>
              </w:rPr>
            </w:pPr>
            <w:r w:rsidRPr="001C4124">
              <w:rPr>
                <w:szCs w:val="20"/>
              </w:rPr>
              <w:t>Палпитации, тахикардия</w:t>
            </w:r>
          </w:p>
        </w:tc>
      </w:tr>
      <w:tr w:rsidR="001C4124" w14:paraId="766EF95C" w14:textId="77777777" w:rsidTr="001C4124">
        <w:tc>
          <w:tcPr>
            <w:tcW w:w="3192" w:type="dxa"/>
            <w:vMerge/>
          </w:tcPr>
          <w:p w14:paraId="1D761997" w14:textId="77777777" w:rsidR="001C4124" w:rsidRPr="001C4124" w:rsidRDefault="001C4124" w:rsidP="001C4124">
            <w:pPr>
              <w:spacing w:line="240" w:lineRule="auto"/>
              <w:rPr>
                <w:rFonts w:eastAsia="Times New Roman" w:cs="Arial"/>
                <w:szCs w:val="24"/>
              </w:rPr>
            </w:pPr>
          </w:p>
        </w:tc>
        <w:tc>
          <w:tcPr>
            <w:tcW w:w="3192" w:type="dxa"/>
          </w:tcPr>
          <w:p w14:paraId="56C08906" w14:textId="2ACD1CE1"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33559CD9" w14:textId="19D9A71A" w:rsidR="001C4124" w:rsidRPr="001C4124" w:rsidRDefault="001C4124" w:rsidP="001C4124">
            <w:pPr>
              <w:spacing w:line="240" w:lineRule="auto"/>
              <w:rPr>
                <w:rFonts w:eastAsia="Times New Roman" w:cs="Arial"/>
                <w:szCs w:val="24"/>
              </w:rPr>
            </w:pPr>
            <w:r w:rsidRPr="001C4124">
              <w:rPr>
                <w:szCs w:val="20"/>
              </w:rPr>
              <w:t>Стенокардия (вж. точка 4.4), аритмия, миокарден инфаркт, вероятно вследствие на прекомерна хипотония при пациенти с висок риск (вж. точка 4.4)</w:t>
            </w:r>
          </w:p>
        </w:tc>
      </w:tr>
      <w:tr w:rsidR="001C4124" w14:paraId="3CEB4CC6" w14:textId="77777777" w:rsidTr="001C4124">
        <w:tc>
          <w:tcPr>
            <w:tcW w:w="3192" w:type="dxa"/>
            <w:vMerge w:val="restart"/>
          </w:tcPr>
          <w:p w14:paraId="1A613808" w14:textId="4DEC4F3C" w:rsidR="001C4124" w:rsidRPr="001C4124" w:rsidRDefault="001C4124" w:rsidP="001C4124">
            <w:pPr>
              <w:spacing w:line="240" w:lineRule="auto"/>
              <w:rPr>
                <w:rFonts w:eastAsia="Times New Roman" w:cs="Arial"/>
                <w:szCs w:val="24"/>
              </w:rPr>
            </w:pPr>
            <w:r w:rsidRPr="001C4124">
              <w:rPr>
                <w:szCs w:val="20"/>
              </w:rPr>
              <w:t>Съдови нарушения</w:t>
            </w:r>
          </w:p>
        </w:tc>
        <w:tc>
          <w:tcPr>
            <w:tcW w:w="3192" w:type="dxa"/>
          </w:tcPr>
          <w:p w14:paraId="1EAF5D41" w14:textId="7DA892E0"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489951FE" w14:textId="471792A9" w:rsidR="001C4124" w:rsidRPr="001C4124" w:rsidRDefault="001C4124" w:rsidP="001C4124">
            <w:pPr>
              <w:spacing w:line="240" w:lineRule="auto"/>
              <w:rPr>
                <w:rFonts w:eastAsia="Times New Roman" w:cs="Arial"/>
                <w:szCs w:val="24"/>
              </w:rPr>
            </w:pPr>
            <w:r w:rsidRPr="001C4124">
              <w:rPr>
                <w:szCs w:val="20"/>
              </w:rPr>
              <w:t>Хипотония (и ефекти, свързани с хипотония)</w:t>
            </w:r>
          </w:p>
        </w:tc>
      </w:tr>
      <w:tr w:rsidR="001C4124" w14:paraId="23EEFF74" w14:textId="77777777" w:rsidTr="0051677B">
        <w:tc>
          <w:tcPr>
            <w:tcW w:w="3192" w:type="dxa"/>
            <w:vMerge/>
          </w:tcPr>
          <w:p w14:paraId="29ED170E" w14:textId="77777777" w:rsidR="001C4124" w:rsidRPr="001C4124" w:rsidRDefault="001C4124" w:rsidP="001C4124">
            <w:pPr>
              <w:spacing w:line="240" w:lineRule="auto"/>
              <w:rPr>
                <w:rFonts w:eastAsia="Times New Roman" w:cs="Arial"/>
                <w:szCs w:val="24"/>
              </w:rPr>
            </w:pPr>
          </w:p>
        </w:tc>
        <w:tc>
          <w:tcPr>
            <w:tcW w:w="3192" w:type="dxa"/>
            <w:vAlign w:val="bottom"/>
          </w:tcPr>
          <w:p w14:paraId="079A46BC" w14:textId="6E623DD3"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vAlign w:val="bottom"/>
          </w:tcPr>
          <w:p w14:paraId="44985B2F" w14:textId="49EABF16" w:rsidR="001C4124" w:rsidRPr="001C4124" w:rsidRDefault="001C4124" w:rsidP="001C4124">
            <w:pPr>
              <w:spacing w:line="240" w:lineRule="auto"/>
              <w:rPr>
                <w:rFonts w:eastAsia="Times New Roman" w:cs="Arial"/>
                <w:szCs w:val="24"/>
              </w:rPr>
            </w:pPr>
            <w:r w:rsidRPr="001C4124">
              <w:rPr>
                <w:szCs w:val="20"/>
              </w:rPr>
              <w:t>Васкулит</w:t>
            </w:r>
          </w:p>
        </w:tc>
      </w:tr>
      <w:tr w:rsidR="001C4124" w14:paraId="798E258F" w14:textId="77777777" w:rsidTr="001C4124">
        <w:tc>
          <w:tcPr>
            <w:tcW w:w="3192" w:type="dxa"/>
            <w:vMerge/>
          </w:tcPr>
          <w:p w14:paraId="22CAD5C4" w14:textId="77777777" w:rsidR="001C4124" w:rsidRPr="001C4124" w:rsidRDefault="001C4124" w:rsidP="001C4124">
            <w:pPr>
              <w:spacing w:line="240" w:lineRule="auto"/>
              <w:rPr>
                <w:rFonts w:eastAsia="Times New Roman" w:cs="Arial"/>
                <w:szCs w:val="24"/>
              </w:rPr>
            </w:pPr>
          </w:p>
        </w:tc>
        <w:tc>
          <w:tcPr>
            <w:tcW w:w="3192" w:type="dxa"/>
          </w:tcPr>
          <w:p w14:paraId="5A7784C3" w14:textId="4DB19D83" w:rsidR="001C4124" w:rsidRPr="001C4124" w:rsidRDefault="001C4124" w:rsidP="001C4124">
            <w:pPr>
              <w:spacing w:line="240" w:lineRule="auto"/>
              <w:rPr>
                <w:rFonts w:eastAsia="Times New Roman" w:cs="Arial"/>
                <w:szCs w:val="24"/>
              </w:rPr>
            </w:pPr>
            <w:r w:rsidRPr="001C4124">
              <w:rPr>
                <w:szCs w:val="20"/>
              </w:rPr>
              <w:t>Редки</w:t>
            </w:r>
          </w:p>
        </w:tc>
        <w:tc>
          <w:tcPr>
            <w:tcW w:w="3192" w:type="dxa"/>
          </w:tcPr>
          <w:p w14:paraId="362D0E66" w14:textId="31F4815C" w:rsidR="001C4124" w:rsidRPr="001C4124" w:rsidRDefault="001C4124" w:rsidP="001C4124">
            <w:pPr>
              <w:spacing w:line="240" w:lineRule="auto"/>
              <w:rPr>
                <w:rFonts w:eastAsia="Times New Roman" w:cs="Arial"/>
                <w:szCs w:val="24"/>
              </w:rPr>
            </w:pPr>
            <w:r w:rsidRPr="001C4124">
              <w:rPr>
                <w:szCs w:val="20"/>
              </w:rPr>
              <w:t>Зачервяване</w:t>
            </w:r>
          </w:p>
        </w:tc>
      </w:tr>
      <w:tr w:rsidR="001C4124" w14:paraId="6F5BD774" w14:textId="77777777" w:rsidTr="001C4124">
        <w:tc>
          <w:tcPr>
            <w:tcW w:w="3192" w:type="dxa"/>
            <w:vMerge/>
          </w:tcPr>
          <w:p w14:paraId="5D43DC3A" w14:textId="77777777" w:rsidR="001C4124" w:rsidRPr="001C4124" w:rsidRDefault="001C4124" w:rsidP="001C4124">
            <w:pPr>
              <w:spacing w:line="240" w:lineRule="auto"/>
              <w:rPr>
                <w:rFonts w:eastAsia="Times New Roman" w:cs="Arial"/>
                <w:szCs w:val="24"/>
              </w:rPr>
            </w:pPr>
          </w:p>
        </w:tc>
        <w:tc>
          <w:tcPr>
            <w:tcW w:w="3192" w:type="dxa"/>
          </w:tcPr>
          <w:p w14:paraId="0F6491E3" w14:textId="0C1366F0"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203D6BC3" w14:textId="5F60C7B9" w:rsidR="001C4124" w:rsidRPr="001C4124" w:rsidRDefault="001C4124" w:rsidP="001C4124">
            <w:pPr>
              <w:spacing w:line="240" w:lineRule="auto"/>
              <w:rPr>
                <w:rFonts w:eastAsia="Times New Roman" w:cs="Arial"/>
                <w:szCs w:val="24"/>
              </w:rPr>
            </w:pPr>
            <w:r w:rsidRPr="001C4124">
              <w:rPr>
                <w:szCs w:val="20"/>
              </w:rPr>
              <w:t>Инсулт, вероятно вследствие на прекомерна хипотония при пациенти с висок риск (вж. точка 4.4)</w:t>
            </w:r>
          </w:p>
        </w:tc>
      </w:tr>
      <w:tr w:rsidR="001C4124" w14:paraId="557B2C9A" w14:textId="77777777" w:rsidTr="001C4124">
        <w:tc>
          <w:tcPr>
            <w:tcW w:w="3192" w:type="dxa"/>
            <w:vMerge/>
          </w:tcPr>
          <w:p w14:paraId="31655F26" w14:textId="77777777" w:rsidR="001C4124" w:rsidRPr="001C4124" w:rsidRDefault="001C4124" w:rsidP="001C4124">
            <w:pPr>
              <w:spacing w:line="240" w:lineRule="auto"/>
              <w:rPr>
                <w:rFonts w:eastAsia="Times New Roman" w:cs="Arial"/>
                <w:szCs w:val="24"/>
              </w:rPr>
            </w:pPr>
          </w:p>
        </w:tc>
        <w:tc>
          <w:tcPr>
            <w:tcW w:w="3192" w:type="dxa"/>
          </w:tcPr>
          <w:p w14:paraId="18FFFEC3" w14:textId="1EDAE970" w:rsidR="001C4124" w:rsidRPr="001C4124" w:rsidRDefault="001C4124" w:rsidP="001C4124">
            <w:pPr>
              <w:spacing w:line="240" w:lineRule="auto"/>
              <w:rPr>
                <w:rFonts w:eastAsia="Times New Roman" w:cs="Arial"/>
                <w:szCs w:val="24"/>
              </w:rPr>
            </w:pPr>
            <w:r w:rsidRPr="001C4124">
              <w:rPr>
                <w:szCs w:val="20"/>
              </w:rPr>
              <w:t>С неизвестна честота</w:t>
            </w:r>
          </w:p>
        </w:tc>
        <w:tc>
          <w:tcPr>
            <w:tcW w:w="3192" w:type="dxa"/>
          </w:tcPr>
          <w:p w14:paraId="2FDD3D08" w14:textId="4F3A3060" w:rsidR="001C4124" w:rsidRPr="001C4124" w:rsidRDefault="001C4124" w:rsidP="001C4124">
            <w:pPr>
              <w:spacing w:line="240" w:lineRule="auto"/>
              <w:rPr>
                <w:rFonts w:eastAsia="Times New Roman" w:cs="Arial"/>
                <w:szCs w:val="24"/>
              </w:rPr>
            </w:pPr>
            <w:r w:rsidRPr="001C4124">
              <w:rPr>
                <w:szCs w:val="20"/>
              </w:rPr>
              <w:t xml:space="preserve">Феномен на </w:t>
            </w:r>
            <w:r w:rsidRPr="001C4124">
              <w:rPr>
                <w:szCs w:val="20"/>
                <w:lang w:val="en-US"/>
              </w:rPr>
              <w:t>Raynaud</w:t>
            </w:r>
          </w:p>
        </w:tc>
      </w:tr>
      <w:tr w:rsidR="001C4124" w14:paraId="5347457C" w14:textId="77777777" w:rsidTr="001C4124">
        <w:tc>
          <w:tcPr>
            <w:tcW w:w="3192" w:type="dxa"/>
            <w:vMerge w:val="restart"/>
          </w:tcPr>
          <w:p w14:paraId="716B01D5" w14:textId="065E9FAE" w:rsidR="001C4124" w:rsidRPr="001C4124" w:rsidRDefault="001C4124" w:rsidP="001C4124">
            <w:pPr>
              <w:spacing w:line="240" w:lineRule="auto"/>
              <w:rPr>
                <w:rFonts w:eastAsia="Times New Roman" w:cs="Arial"/>
                <w:szCs w:val="24"/>
              </w:rPr>
            </w:pPr>
            <w:r w:rsidRPr="001C4124">
              <w:rPr>
                <w:szCs w:val="20"/>
              </w:rPr>
              <w:t>Респираторни, гръдни и медиастинални нарушения</w:t>
            </w:r>
          </w:p>
        </w:tc>
        <w:tc>
          <w:tcPr>
            <w:tcW w:w="3192" w:type="dxa"/>
          </w:tcPr>
          <w:p w14:paraId="31324C2E" w14:textId="772090A7"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71A147AA" w14:textId="375A4A95" w:rsidR="001C4124" w:rsidRPr="001C4124" w:rsidRDefault="001C4124" w:rsidP="001C4124">
            <w:pPr>
              <w:spacing w:line="240" w:lineRule="auto"/>
              <w:rPr>
                <w:rFonts w:eastAsia="Times New Roman" w:cs="Arial"/>
                <w:szCs w:val="24"/>
              </w:rPr>
            </w:pPr>
            <w:r w:rsidRPr="001C4124">
              <w:rPr>
                <w:szCs w:val="20"/>
              </w:rPr>
              <w:t>Кашлица, диспнея</w:t>
            </w:r>
          </w:p>
        </w:tc>
      </w:tr>
      <w:tr w:rsidR="001C4124" w14:paraId="2906D944" w14:textId="77777777" w:rsidTr="001C4124">
        <w:tc>
          <w:tcPr>
            <w:tcW w:w="3192" w:type="dxa"/>
            <w:vMerge/>
          </w:tcPr>
          <w:p w14:paraId="70418248" w14:textId="77777777" w:rsidR="001C4124" w:rsidRPr="001C4124" w:rsidRDefault="001C4124" w:rsidP="001C4124">
            <w:pPr>
              <w:spacing w:line="240" w:lineRule="auto"/>
              <w:rPr>
                <w:rFonts w:eastAsia="Times New Roman" w:cs="Arial"/>
                <w:szCs w:val="24"/>
              </w:rPr>
            </w:pPr>
          </w:p>
        </w:tc>
        <w:tc>
          <w:tcPr>
            <w:tcW w:w="3192" w:type="dxa"/>
          </w:tcPr>
          <w:p w14:paraId="1C2FF500" w14:textId="1DEC0FF8"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76D6C9C1" w14:textId="042D6EC5" w:rsidR="001C4124" w:rsidRPr="001C4124" w:rsidRDefault="001C4124" w:rsidP="001C4124">
            <w:pPr>
              <w:spacing w:line="240" w:lineRule="auto"/>
              <w:rPr>
                <w:rFonts w:eastAsia="Times New Roman" w:cs="Arial"/>
                <w:szCs w:val="24"/>
              </w:rPr>
            </w:pPr>
            <w:r w:rsidRPr="001C4124">
              <w:rPr>
                <w:szCs w:val="20"/>
              </w:rPr>
              <w:t>Бронхоспазъм</w:t>
            </w:r>
          </w:p>
        </w:tc>
      </w:tr>
      <w:tr w:rsidR="001C4124" w14:paraId="0BA17BCA" w14:textId="77777777" w:rsidTr="001C4124">
        <w:tc>
          <w:tcPr>
            <w:tcW w:w="3192" w:type="dxa"/>
            <w:vMerge/>
          </w:tcPr>
          <w:p w14:paraId="06C9CBC4" w14:textId="77777777" w:rsidR="001C4124" w:rsidRPr="001C4124" w:rsidRDefault="001C4124" w:rsidP="001C4124">
            <w:pPr>
              <w:spacing w:line="240" w:lineRule="auto"/>
              <w:rPr>
                <w:rFonts w:eastAsia="Times New Roman" w:cs="Arial"/>
                <w:szCs w:val="24"/>
              </w:rPr>
            </w:pPr>
          </w:p>
        </w:tc>
        <w:tc>
          <w:tcPr>
            <w:tcW w:w="3192" w:type="dxa"/>
          </w:tcPr>
          <w:p w14:paraId="069ACB50" w14:textId="5DFF2E97"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7B767CDF" w14:textId="21AB4B72" w:rsidR="001C4124" w:rsidRPr="001C4124" w:rsidRDefault="001C4124" w:rsidP="001C4124">
            <w:pPr>
              <w:spacing w:line="240" w:lineRule="auto"/>
              <w:rPr>
                <w:rFonts w:eastAsia="Times New Roman" w:cs="Arial"/>
                <w:szCs w:val="24"/>
              </w:rPr>
            </w:pPr>
            <w:r w:rsidRPr="001C4124">
              <w:rPr>
                <w:szCs w:val="20"/>
              </w:rPr>
              <w:t>Еозинофилна пневмония, ринит</w:t>
            </w:r>
          </w:p>
        </w:tc>
      </w:tr>
      <w:tr w:rsidR="001C4124" w14:paraId="54D1152F" w14:textId="77777777" w:rsidTr="001C4124">
        <w:tc>
          <w:tcPr>
            <w:tcW w:w="3192" w:type="dxa"/>
            <w:vMerge w:val="restart"/>
          </w:tcPr>
          <w:p w14:paraId="4D16A2C3" w14:textId="437A202B" w:rsidR="001C4124" w:rsidRPr="001C4124" w:rsidRDefault="001C4124" w:rsidP="001C4124">
            <w:pPr>
              <w:spacing w:line="240" w:lineRule="auto"/>
              <w:rPr>
                <w:rFonts w:eastAsia="Times New Roman" w:cs="Arial"/>
                <w:szCs w:val="24"/>
              </w:rPr>
            </w:pPr>
            <w:r w:rsidRPr="001C4124">
              <w:rPr>
                <w:szCs w:val="20"/>
              </w:rPr>
              <w:t>Стомашно-чревни нарушения</w:t>
            </w:r>
          </w:p>
        </w:tc>
        <w:tc>
          <w:tcPr>
            <w:tcW w:w="3192" w:type="dxa"/>
          </w:tcPr>
          <w:p w14:paraId="786EFD62" w14:textId="3F30DD99"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54FBA40B" w14:textId="50B21777" w:rsidR="001C4124" w:rsidRPr="001C4124" w:rsidRDefault="001C4124" w:rsidP="001C4124">
            <w:pPr>
              <w:spacing w:line="240" w:lineRule="auto"/>
              <w:rPr>
                <w:rFonts w:eastAsia="Times New Roman" w:cs="Arial"/>
                <w:szCs w:val="24"/>
              </w:rPr>
            </w:pPr>
            <w:r w:rsidRPr="001C4124">
              <w:rPr>
                <w:szCs w:val="20"/>
              </w:rPr>
              <w:t>Коремна болка, запек, диария, дисгеузия, диспепсия, гадене, повръщане</w:t>
            </w:r>
          </w:p>
        </w:tc>
      </w:tr>
      <w:tr w:rsidR="001C4124" w14:paraId="6B129EEB" w14:textId="77777777" w:rsidTr="001C4124">
        <w:tc>
          <w:tcPr>
            <w:tcW w:w="3192" w:type="dxa"/>
            <w:vMerge/>
          </w:tcPr>
          <w:p w14:paraId="74268815" w14:textId="77777777" w:rsidR="001C4124" w:rsidRPr="001C4124" w:rsidRDefault="001C4124" w:rsidP="001C4124">
            <w:pPr>
              <w:spacing w:line="240" w:lineRule="auto"/>
              <w:rPr>
                <w:rFonts w:eastAsia="Times New Roman" w:cs="Arial"/>
                <w:szCs w:val="24"/>
              </w:rPr>
            </w:pPr>
          </w:p>
        </w:tc>
        <w:tc>
          <w:tcPr>
            <w:tcW w:w="3192" w:type="dxa"/>
          </w:tcPr>
          <w:p w14:paraId="053F8FEF" w14:textId="5B3B04C0"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72817280" w14:textId="02320F66" w:rsidR="001C4124" w:rsidRPr="001C4124" w:rsidRDefault="001C4124" w:rsidP="001C4124">
            <w:pPr>
              <w:spacing w:line="240" w:lineRule="auto"/>
              <w:rPr>
                <w:rFonts w:eastAsia="Times New Roman" w:cs="Arial"/>
                <w:szCs w:val="24"/>
              </w:rPr>
            </w:pPr>
            <w:r w:rsidRPr="001C4124">
              <w:rPr>
                <w:szCs w:val="20"/>
              </w:rPr>
              <w:t>Сухота в устата</w:t>
            </w:r>
          </w:p>
        </w:tc>
      </w:tr>
      <w:tr w:rsidR="001C4124" w14:paraId="71784392" w14:textId="77777777" w:rsidTr="001C4124">
        <w:tc>
          <w:tcPr>
            <w:tcW w:w="3192" w:type="dxa"/>
            <w:vMerge/>
          </w:tcPr>
          <w:p w14:paraId="4467987A" w14:textId="77777777" w:rsidR="001C4124" w:rsidRPr="001C4124" w:rsidRDefault="001C4124" w:rsidP="001C4124">
            <w:pPr>
              <w:spacing w:line="240" w:lineRule="auto"/>
              <w:rPr>
                <w:rFonts w:eastAsia="Times New Roman" w:cs="Arial"/>
                <w:szCs w:val="24"/>
              </w:rPr>
            </w:pPr>
          </w:p>
        </w:tc>
        <w:tc>
          <w:tcPr>
            <w:tcW w:w="3192" w:type="dxa"/>
          </w:tcPr>
          <w:p w14:paraId="55516AF1" w14:textId="3D83C21C"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2F808B99" w14:textId="02BA7A40" w:rsidR="001C4124" w:rsidRPr="001C4124" w:rsidRDefault="001C4124" w:rsidP="001C4124">
            <w:pPr>
              <w:spacing w:line="240" w:lineRule="auto"/>
              <w:rPr>
                <w:rFonts w:eastAsia="Times New Roman" w:cs="Arial"/>
                <w:szCs w:val="24"/>
              </w:rPr>
            </w:pPr>
            <w:r w:rsidRPr="001C4124">
              <w:rPr>
                <w:szCs w:val="20"/>
              </w:rPr>
              <w:t>Панкреатит</w:t>
            </w:r>
          </w:p>
        </w:tc>
      </w:tr>
      <w:tr w:rsidR="001C4124" w14:paraId="4F7B48D9" w14:textId="77777777" w:rsidTr="001C4124">
        <w:tc>
          <w:tcPr>
            <w:tcW w:w="3192" w:type="dxa"/>
          </w:tcPr>
          <w:p w14:paraId="2DC533D2" w14:textId="46F0A711" w:rsidR="001C4124" w:rsidRPr="001C4124" w:rsidRDefault="001C4124" w:rsidP="001C4124">
            <w:pPr>
              <w:spacing w:line="240" w:lineRule="auto"/>
              <w:rPr>
                <w:rFonts w:eastAsia="Times New Roman" w:cs="Arial"/>
                <w:szCs w:val="24"/>
              </w:rPr>
            </w:pPr>
            <w:r w:rsidRPr="001C4124">
              <w:rPr>
                <w:szCs w:val="20"/>
              </w:rPr>
              <w:t>Хепатобилиарни нарушения</w:t>
            </w:r>
          </w:p>
        </w:tc>
        <w:tc>
          <w:tcPr>
            <w:tcW w:w="3192" w:type="dxa"/>
          </w:tcPr>
          <w:p w14:paraId="0161DBD4" w14:textId="19460B66"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223B1402" w14:textId="2F3018D4" w:rsidR="001C4124" w:rsidRPr="001C4124" w:rsidRDefault="001C4124" w:rsidP="001C4124">
            <w:pPr>
              <w:spacing w:line="240" w:lineRule="auto"/>
              <w:rPr>
                <w:rFonts w:eastAsia="Times New Roman" w:cs="Arial"/>
                <w:szCs w:val="24"/>
              </w:rPr>
            </w:pPr>
            <w:r w:rsidRPr="001C4124">
              <w:rPr>
                <w:szCs w:val="20"/>
              </w:rPr>
              <w:t xml:space="preserve">Хепатит, цитолитичен или холестатичен (вж. точка </w:t>
            </w:r>
            <w:r w:rsidRPr="001C4124">
              <w:rPr>
                <w:i/>
                <w:iCs/>
                <w:szCs w:val="20"/>
              </w:rPr>
              <w:t>4.4)</w:t>
            </w:r>
          </w:p>
        </w:tc>
      </w:tr>
      <w:tr w:rsidR="001C4124" w14:paraId="3AFAF435" w14:textId="77777777" w:rsidTr="001C4124">
        <w:tc>
          <w:tcPr>
            <w:tcW w:w="3192" w:type="dxa"/>
            <w:vMerge w:val="restart"/>
          </w:tcPr>
          <w:p w14:paraId="47A6940C" w14:textId="63354F83" w:rsidR="001C4124" w:rsidRPr="001C4124" w:rsidRDefault="001C4124" w:rsidP="001C4124">
            <w:pPr>
              <w:spacing w:line="240" w:lineRule="auto"/>
              <w:rPr>
                <w:rFonts w:eastAsia="Times New Roman" w:cs="Arial"/>
                <w:szCs w:val="24"/>
              </w:rPr>
            </w:pPr>
            <w:r w:rsidRPr="001C4124">
              <w:rPr>
                <w:szCs w:val="20"/>
              </w:rPr>
              <w:t>Нарушения на кожата и подкожната тъкан</w:t>
            </w:r>
          </w:p>
        </w:tc>
        <w:tc>
          <w:tcPr>
            <w:tcW w:w="3192" w:type="dxa"/>
          </w:tcPr>
          <w:p w14:paraId="5C8A5F08" w14:textId="0F382DE8"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436CAB78" w14:textId="7945E489" w:rsidR="001C4124" w:rsidRPr="001C4124" w:rsidRDefault="001C4124" w:rsidP="001C4124">
            <w:pPr>
              <w:spacing w:line="240" w:lineRule="auto"/>
              <w:rPr>
                <w:rFonts w:eastAsia="Times New Roman" w:cs="Arial"/>
                <w:szCs w:val="24"/>
              </w:rPr>
            </w:pPr>
            <w:r w:rsidRPr="001C4124">
              <w:rPr>
                <w:szCs w:val="20"/>
              </w:rPr>
              <w:t>Пруритус, обрив</w:t>
            </w:r>
          </w:p>
        </w:tc>
      </w:tr>
      <w:tr w:rsidR="001C4124" w14:paraId="590C0036" w14:textId="77777777" w:rsidTr="001C4124">
        <w:tc>
          <w:tcPr>
            <w:tcW w:w="3192" w:type="dxa"/>
            <w:vMerge/>
          </w:tcPr>
          <w:p w14:paraId="48777862" w14:textId="77777777" w:rsidR="001C4124" w:rsidRPr="001C4124" w:rsidRDefault="001C4124" w:rsidP="001C4124">
            <w:pPr>
              <w:spacing w:line="240" w:lineRule="auto"/>
              <w:rPr>
                <w:rFonts w:eastAsia="Times New Roman" w:cs="Arial"/>
                <w:szCs w:val="24"/>
              </w:rPr>
            </w:pPr>
          </w:p>
        </w:tc>
        <w:tc>
          <w:tcPr>
            <w:tcW w:w="3192" w:type="dxa"/>
          </w:tcPr>
          <w:p w14:paraId="2A522D5B" w14:textId="095D5203"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2DA2C929" w14:textId="5C1FE27A" w:rsidR="001C4124" w:rsidRPr="001C4124" w:rsidRDefault="001C4124" w:rsidP="001C4124">
            <w:pPr>
              <w:spacing w:line="240" w:lineRule="auto"/>
              <w:rPr>
                <w:rFonts w:eastAsia="Times New Roman" w:cs="Arial"/>
                <w:szCs w:val="24"/>
              </w:rPr>
            </w:pPr>
            <w:r w:rsidRPr="001C4124">
              <w:rPr>
                <w:szCs w:val="20"/>
              </w:rPr>
              <w:t>Уртикария, ангиоедем на лицето, крайниците, устните, лигавиците, езика, глотиса, и/или ларинкса (вж. точка 4.4), реакции на фоточувствителност, пемфигоид, хиперхидроза</w:t>
            </w:r>
          </w:p>
        </w:tc>
      </w:tr>
      <w:tr w:rsidR="001C4124" w14:paraId="669C74D6" w14:textId="77777777" w:rsidTr="001C4124">
        <w:tc>
          <w:tcPr>
            <w:tcW w:w="3192" w:type="dxa"/>
            <w:vMerge/>
          </w:tcPr>
          <w:p w14:paraId="3C70FB0C" w14:textId="77777777" w:rsidR="001C4124" w:rsidRPr="001C4124" w:rsidRDefault="001C4124" w:rsidP="001C4124">
            <w:pPr>
              <w:spacing w:line="240" w:lineRule="auto"/>
              <w:rPr>
                <w:rFonts w:eastAsia="Times New Roman" w:cs="Arial"/>
                <w:szCs w:val="24"/>
              </w:rPr>
            </w:pPr>
          </w:p>
        </w:tc>
        <w:tc>
          <w:tcPr>
            <w:tcW w:w="3192" w:type="dxa"/>
          </w:tcPr>
          <w:p w14:paraId="555BD69F" w14:textId="4E4054A9" w:rsidR="001C4124" w:rsidRPr="001C4124" w:rsidRDefault="001C4124" w:rsidP="001C4124">
            <w:pPr>
              <w:spacing w:line="240" w:lineRule="auto"/>
              <w:rPr>
                <w:rFonts w:eastAsia="Times New Roman" w:cs="Arial"/>
                <w:szCs w:val="24"/>
              </w:rPr>
            </w:pPr>
            <w:r w:rsidRPr="001C4124">
              <w:rPr>
                <w:szCs w:val="20"/>
              </w:rPr>
              <w:t>Редки*</w:t>
            </w:r>
          </w:p>
        </w:tc>
        <w:tc>
          <w:tcPr>
            <w:tcW w:w="3192" w:type="dxa"/>
          </w:tcPr>
          <w:p w14:paraId="3F4574BE" w14:textId="14FCB848" w:rsidR="001C4124" w:rsidRPr="001C4124" w:rsidRDefault="001C4124" w:rsidP="001C4124">
            <w:pPr>
              <w:spacing w:line="240" w:lineRule="auto"/>
              <w:rPr>
                <w:rFonts w:eastAsia="Times New Roman" w:cs="Arial"/>
                <w:szCs w:val="24"/>
              </w:rPr>
            </w:pPr>
            <w:r w:rsidRPr="001C4124">
              <w:rPr>
                <w:szCs w:val="20"/>
              </w:rPr>
              <w:t>Обостряне на псориазис</w:t>
            </w:r>
          </w:p>
        </w:tc>
      </w:tr>
      <w:tr w:rsidR="001C4124" w14:paraId="290D8D2A" w14:textId="77777777" w:rsidTr="001C4124">
        <w:tc>
          <w:tcPr>
            <w:tcW w:w="3192" w:type="dxa"/>
            <w:vMerge/>
          </w:tcPr>
          <w:p w14:paraId="1B3B3174" w14:textId="77777777" w:rsidR="001C4124" w:rsidRPr="001C4124" w:rsidRDefault="001C4124" w:rsidP="001C4124">
            <w:pPr>
              <w:spacing w:line="240" w:lineRule="auto"/>
              <w:rPr>
                <w:rFonts w:eastAsia="Times New Roman" w:cs="Arial"/>
                <w:szCs w:val="24"/>
              </w:rPr>
            </w:pPr>
          </w:p>
        </w:tc>
        <w:tc>
          <w:tcPr>
            <w:tcW w:w="3192" w:type="dxa"/>
          </w:tcPr>
          <w:p w14:paraId="48E4DE58" w14:textId="3E365050"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0F32C072" w14:textId="44B3E2B5" w:rsidR="001C4124" w:rsidRPr="001C4124" w:rsidRDefault="001C4124" w:rsidP="001C4124">
            <w:pPr>
              <w:spacing w:line="240" w:lineRule="auto"/>
              <w:rPr>
                <w:rFonts w:eastAsia="Times New Roman" w:cs="Arial"/>
                <w:szCs w:val="24"/>
              </w:rPr>
            </w:pPr>
            <w:r w:rsidRPr="001C4124">
              <w:rPr>
                <w:szCs w:val="20"/>
              </w:rPr>
              <w:t>Еритема мултиформе</w:t>
            </w:r>
          </w:p>
        </w:tc>
      </w:tr>
      <w:tr w:rsidR="001C4124" w14:paraId="7EC4C0DE" w14:textId="77777777" w:rsidTr="001C4124">
        <w:tc>
          <w:tcPr>
            <w:tcW w:w="3192" w:type="dxa"/>
            <w:vMerge w:val="restart"/>
          </w:tcPr>
          <w:p w14:paraId="07ED3D22" w14:textId="440D04D5" w:rsidR="001C4124" w:rsidRPr="001C4124" w:rsidRDefault="001C4124" w:rsidP="001C4124">
            <w:pPr>
              <w:spacing w:line="240" w:lineRule="auto"/>
              <w:rPr>
                <w:rFonts w:eastAsia="Times New Roman" w:cs="Arial"/>
                <w:szCs w:val="24"/>
              </w:rPr>
            </w:pPr>
            <w:r w:rsidRPr="001C4124">
              <w:rPr>
                <w:szCs w:val="20"/>
              </w:rPr>
              <w:t>Нарушения на мускулно- скелетната система и съединителната тъкан</w:t>
            </w:r>
          </w:p>
        </w:tc>
        <w:tc>
          <w:tcPr>
            <w:tcW w:w="3192" w:type="dxa"/>
          </w:tcPr>
          <w:p w14:paraId="334EEFA9" w14:textId="427F395E"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764CE39C" w14:textId="25C8AAC2" w:rsidR="001C4124" w:rsidRPr="001C4124" w:rsidRDefault="001C4124" w:rsidP="001C4124">
            <w:pPr>
              <w:spacing w:line="240" w:lineRule="auto"/>
              <w:rPr>
                <w:rFonts w:eastAsia="Times New Roman" w:cs="Arial"/>
                <w:szCs w:val="24"/>
              </w:rPr>
            </w:pPr>
            <w:r w:rsidRPr="001C4124">
              <w:rPr>
                <w:szCs w:val="20"/>
              </w:rPr>
              <w:t>Мускулни спазми</w:t>
            </w:r>
          </w:p>
        </w:tc>
      </w:tr>
      <w:tr w:rsidR="001C4124" w14:paraId="3947D02F" w14:textId="77777777" w:rsidTr="001C4124">
        <w:tc>
          <w:tcPr>
            <w:tcW w:w="3192" w:type="dxa"/>
            <w:vMerge/>
          </w:tcPr>
          <w:p w14:paraId="5D2805C0" w14:textId="77777777" w:rsidR="001C4124" w:rsidRPr="001C4124" w:rsidRDefault="001C4124" w:rsidP="001C4124">
            <w:pPr>
              <w:spacing w:line="240" w:lineRule="auto"/>
              <w:rPr>
                <w:rFonts w:eastAsia="Times New Roman" w:cs="Arial"/>
                <w:szCs w:val="24"/>
              </w:rPr>
            </w:pPr>
          </w:p>
        </w:tc>
        <w:tc>
          <w:tcPr>
            <w:tcW w:w="3192" w:type="dxa"/>
          </w:tcPr>
          <w:p w14:paraId="63716F63" w14:textId="1E4BA5A0"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11CB249A" w14:textId="571DBA19" w:rsidR="001C4124" w:rsidRPr="001C4124" w:rsidRDefault="001C4124" w:rsidP="001C4124">
            <w:pPr>
              <w:spacing w:line="240" w:lineRule="auto"/>
              <w:rPr>
                <w:rFonts w:eastAsia="Times New Roman" w:cs="Arial"/>
                <w:szCs w:val="24"/>
              </w:rPr>
            </w:pPr>
            <w:r w:rsidRPr="001C4124">
              <w:rPr>
                <w:szCs w:val="20"/>
              </w:rPr>
              <w:t>Артралгия, миалгия</w:t>
            </w:r>
          </w:p>
        </w:tc>
      </w:tr>
      <w:tr w:rsidR="001C4124" w14:paraId="2E88B486" w14:textId="77777777" w:rsidTr="001C4124">
        <w:tc>
          <w:tcPr>
            <w:tcW w:w="3192" w:type="dxa"/>
            <w:vMerge w:val="restart"/>
          </w:tcPr>
          <w:p w14:paraId="130A634F" w14:textId="2A793C28" w:rsidR="001C4124" w:rsidRPr="001C4124" w:rsidRDefault="001C4124" w:rsidP="001C4124">
            <w:pPr>
              <w:spacing w:line="240" w:lineRule="auto"/>
              <w:rPr>
                <w:rFonts w:eastAsia="Times New Roman" w:cs="Arial"/>
                <w:szCs w:val="24"/>
              </w:rPr>
            </w:pPr>
            <w:r w:rsidRPr="001C4124">
              <w:rPr>
                <w:szCs w:val="20"/>
              </w:rPr>
              <w:t>Нарушения на бъбреците и пикочните пътища</w:t>
            </w:r>
          </w:p>
        </w:tc>
        <w:tc>
          <w:tcPr>
            <w:tcW w:w="3192" w:type="dxa"/>
          </w:tcPr>
          <w:p w14:paraId="10908513" w14:textId="080593AA"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134DE64C" w14:textId="58FE9F06" w:rsidR="001C4124" w:rsidRPr="001C4124" w:rsidRDefault="001C4124" w:rsidP="001C4124">
            <w:pPr>
              <w:spacing w:line="240" w:lineRule="auto"/>
              <w:rPr>
                <w:rFonts w:eastAsia="Times New Roman" w:cs="Arial"/>
                <w:szCs w:val="24"/>
              </w:rPr>
            </w:pPr>
            <w:r w:rsidRPr="001C4124">
              <w:rPr>
                <w:szCs w:val="20"/>
              </w:rPr>
              <w:t>Бъбречна недостатъчност</w:t>
            </w:r>
          </w:p>
        </w:tc>
      </w:tr>
      <w:tr w:rsidR="001C4124" w14:paraId="2B7C3DAC" w14:textId="77777777" w:rsidTr="001C4124">
        <w:tc>
          <w:tcPr>
            <w:tcW w:w="3192" w:type="dxa"/>
            <w:vMerge/>
          </w:tcPr>
          <w:p w14:paraId="4D823406" w14:textId="77777777" w:rsidR="001C4124" w:rsidRPr="001C4124" w:rsidRDefault="001C4124" w:rsidP="001C4124">
            <w:pPr>
              <w:spacing w:line="240" w:lineRule="auto"/>
              <w:rPr>
                <w:rFonts w:eastAsia="Times New Roman" w:cs="Arial"/>
                <w:szCs w:val="24"/>
              </w:rPr>
            </w:pPr>
          </w:p>
        </w:tc>
        <w:tc>
          <w:tcPr>
            <w:tcW w:w="3192" w:type="dxa"/>
          </w:tcPr>
          <w:p w14:paraId="17129EA0" w14:textId="3B2780D9" w:rsidR="001C4124" w:rsidRPr="001C4124" w:rsidRDefault="001C4124" w:rsidP="001C4124">
            <w:pPr>
              <w:spacing w:line="240" w:lineRule="auto"/>
              <w:rPr>
                <w:rFonts w:eastAsia="Times New Roman" w:cs="Arial"/>
                <w:szCs w:val="24"/>
              </w:rPr>
            </w:pPr>
            <w:r w:rsidRPr="001C4124">
              <w:rPr>
                <w:szCs w:val="20"/>
              </w:rPr>
              <w:t>Редки</w:t>
            </w:r>
          </w:p>
        </w:tc>
        <w:tc>
          <w:tcPr>
            <w:tcW w:w="3192" w:type="dxa"/>
          </w:tcPr>
          <w:p w14:paraId="405C2ECD" w14:textId="7586CC3C" w:rsidR="001C4124" w:rsidRPr="001C4124" w:rsidRDefault="001C4124" w:rsidP="001C4124">
            <w:pPr>
              <w:spacing w:line="240" w:lineRule="auto"/>
              <w:rPr>
                <w:rFonts w:eastAsia="Times New Roman" w:cs="Arial"/>
                <w:szCs w:val="24"/>
              </w:rPr>
            </w:pPr>
            <w:r w:rsidRPr="001C4124">
              <w:rPr>
                <w:szCs w:val="20"/>
              </w:rPr>
              <w:t>Анурия/Олигурия</w:t>
            </w:r>
          </w:p>
        </w:tc>
      </w:tr>
      <w:tr w:rsidR="001C4124" w14:paraId="26AC119D" w14:textId="77777777" w:rsidTr="001C4124">
        <w:tc>
          <w:tcPr>
            <w:tcW w:w="3192" w:type="dxa"/>
          </w:tcPr>
          <w:p w14:paraId="5856C919" w14:textId="38AD4695" w:rsidR="001C4124" w:rsidRDefault="001C4124" w:rsidP="001C4124">
            <w:pPr>
              <w:spacing w:line="240" w:lineRule="auto"/>
              <w:rPr>
                <w:rFonts w:eastAsia="Times New Roman" w:cs="Arial"/>
                <w:sz w:val="28"/>
                <w:szCs w:val="24"/>
              </w:rPr>
            </w:pPr>
            <w:r>
              <w:rPr>
                <w:sz w:val="20"/>
                <w:szCs w:val="20"/>
              </w:rPr>
              <w:t>Нарушения на репродуктивната система и гърдата</w:t>
            </w:r>
          </w:p>
        </w:tc>
        <w:tc>
          <w:tcPr>
            <w:tcW w:w="3192" w:type="dxa"/>
          </w:tcPr>
          <w:p w14:paraId="146DA737" w14:textId="6A79A4CF" w:rsidR="001C4124" w:rsidRDefault="001C4124" w:rsidP="001C4124">
            <w:pPr>
              <w:spacing w:line="240" w:lineRule="auto"/>
              <w:rPr>
                <w:rFonts w:eastAsia="Times New Roman" w:cs="Arial"/>
                <w:sz w:val="28"/>
                <w:szCs w:val="24"/>
              </w:rPr>
            </w:pPr>
            <w:r>
              <w:rPr>
                <w:sz w:val="20"/>
                <w:szCs w:val="20"/>
              </w:rPr>
              <w:t>Нечести</w:t>
            </w:r>
          </w:p>
        </w:tc>
        <w:tc>
          <w:tcPr>
            <w:tcW w:w="3192" w:type="dxa"/>
          </w:tcPr>
          <w:p w14:paraId="4DB4A85F" w14:textId="57B47B81" w:rsidR="001C4124" w:rsidRDefault="001C4124" w:rsidP="001C4124">
            <w:pPr>
              <w:spacing w:line="240" w:lineRule="auto"/>
              <w:rPr>
                <w:rFonts w:eastAsia="Times New Roman" w:cs="Arial"/>
                <w:sz w:val="28"/>
                <w:szCs w:val="24"/>
              </w:rPr>
            </w:pPr>
            <w:r>
              <w:rPr>
                <w:sz w:val="20"/>
                <w:szCs w:val="20"/>
              </w:rPr>
              <w:t>Еректилна дисфункция</w:t>
            </w:r>
          </w:p>
        </w:tc>
      </w:tr>
      <w:tr w:rsidR="001C4124" w14:paraId="74804798" w14:textId="77777777" w:rsidTr="001C4124">
        <w:tc>
          <w:tcPr>
            <w:tcW w:w="3192" w:type="dxa"/>
            <w:vMerge w:val="restart"/>
          </w:tcPr>
          <w:p w14:paraId="322C8A5B" w14:textId="41F2E9B1" w:rsidR="001C4124" w:rsidRDefault="001C4124" w:rsidP="001C4124">
            <w:pPr>
              <w:spacing w:line="240" w:lineRule="auto"/>
              <w:rPr>
                <w:rFonts w:eastAsia="Times New Roman" w:cs="Arial"/>
                <w:sz w:val="28"/>
                <w:szCs w:val="24"/>
              </w:rPr>
            </w:pPr>
            <w:r>
              <w:rPr>
                <w:sz w:val="20"/>
                <w:szCs w:val="20"/>
              </w:rPr>
              <w:t>Общи нарушения и ефекти на мястото на приложение</w:t>
            </w:r>
          </w:p>
        </w:tc>
        <w:tc>
          <w:tcPr>
            <w:tcW w:w="3192" w:type="dxa"/>
          </w:tcPr>
          <w:p w14:paraId="71C4821F" w14:textId="1EFBFF5F" w:rsidR="001C4124" w:rsidRDefault="001C4124" w:rsidP="001C4124">
            <w:pPr>
              <w:spacing w:line="240" w:lineRule="auto"/>
              <w:rPr>
                <w:rFonts w:eastAsia="Times New Roman" w:cs="Arial"/>
                <w:sz w:val="28"/>
                <w:szCs w:val="24"/>
              </w:rPr>
            </w:pPr>
            <w:r>
              <w:rPr>
                <w:sz w:val="20"/>
                <w:szCs w:val="20"/>
              </w:rPr>
              <w:t>Чести</w:t>
            </w:r>
          </w:p>
        </w:tc>
        <w:tc>
          <w:tcPr>
            <w:tcW w:w="3192" w:type="dxa"/>
          </w:tcPr>
          <w:p w14:paraId="1AC0E0E4" w14:textId="4480B1B5" w:rsidR="001C4124" w:rsidRDefault="001C4124" w:rsidP="001C4124">
            <w:pPr>
              <w:spacing w:line="240" w:lineRule="auto"/>
              <w:rPr>
                <w:rFonts w:eastAsia="Times New Roman" w:cs="Arial"/>
                <w:sz w:val="28"/>
                <w:szCs w:val="24"/>
              </w:rPr>
            </w:pPr>
            <w:r>
              <w:rPr>
                <w:sz w:val="20"/>
                <w:szCs w:val="20"/>
              </w:rPr>
              <w:t>Астения</w:t>
            </w:r>
          </w:p>
        </w:tc>
      </w:tr>
      <w:tr w:rsidR="001C4124" w14:paraId="295093C9" w14:textId="77777777" w:rsidTr="001C4124">
        <w:tc>
          <w:tcPr>
            <w:tcW w:w="3192" w:type="dxa"/>
            <w:vMerge/>
          </w:tcPr>
          <w:p w14:paraId="784777F8" w14:textId="77777777" w:rsidR="001C4124" w:rsidRDefault="001C4124" w:rsidP="001C4124">
            <w:pPr>
              <w:spacing w:line="240" w:lineRule="auto"/>
              <w:rPr>
                <w:rFonts w:eastAsia="Times New Roman" w:cs="Arial"/>
                <w:sz w:val="28"/>
                <w:szCs w:val="24"/>
              </w:rPr>
            </w:pPr>
          </w:p>
        </w:tc>
        <w:tc>
          <w:tcPr>
            <w:tcW w:w="3192" w:type="dxa"/>
          </w:tcPr>
          <w:p w14:paraId="68D258B5" w14:textId="182E5090" w:rsidR="001C4124" w:rsidRDefault="001C4124" w:rsidP="001C4124">
            <w:pPr>
              <w:spacing w:line="240" w:lineRule="auto"/>
              <w:rPr>
                <w:rFonts w:eastAsia="Times New Roman" w:cs="Arial"/>
                <w:sz w:val="28"/>
                <w:szCs w:val="24"/>
              </w:rPr>
            </w:pPr>
            <w:r>
              <w:rPr>
                <w:sz w:val="20"/>
                <w:szCs w:val="20"/>
              </w:rPr>
              <w:t>Нечести*</w:t>
            </w:r>
          </w:p>
        </w:tc>
        <w:tc>
          <w:tcPr>
            <w:tcW w:w="3192" w:type="dxa"/>
          </w:tcPr>
          <w:p w14:paraId="68A1FC15" w14:textId="43D555B1" w:rsidR="001C4124" w:rsidRDefault="001C4124" w:rsidP="001C4124">
            <w:pPr>
              <w:spacing w:line="240" w:lineRule="auto"/>
              <w:rPr>
                <w:rFonts w:eastAsia="Times New Roman" w:cs="Arial"/>
                <w:sz w:val="28"/>
                <w:szCs w:val="24"/>
              </w:rPr>
            </w:pPr>
            <w:r>
              <w:rPr>
                <w:sz w:val="20"/>
                <w:szCs w:val="20"/>
              </w:rPr>
              <w:t>Гръдна болка, неразположение, периферен оток, пирексия</w:t>
            </w:r>
          </w:p>
        </w:tc>
      </w:tr>
      <w:tr w:rsidR="001C4124" w14:paraId="0DF0D5B4" w14:textId="77777777" w:rsidTr="001C4124">
        <w:tc>
          <w:tcPr>
            <w:tcW w:w="3192" w:type="dxa"/>
            <w:vMerge w:val="restart"/>
          </w:tcPr>
          <w:p w14:paraId="13425DEA" w14:textId="6A4535AC" w:rsidR="001C4124" w:rsidRDefault="001C4124" w:rsidP="001C4124">
            <w:pPr>
              <w:spacing w:line="240" w:lineRule="auto"/>
              <w:rPr>
                <w:rFonts w:eastAsia="Times New Roman" w:cs="Arial"/>
                <w:sz w:val="28"/>
                <w:szCs w:val="24"/>
              </w:rPr>
            </w:pPr>
            <w:r>
              <w:rPr>
                <w:sz w:val="20"/>
                <w:szCs w:val="20"/>
              </w:rPr>
              <w:t>Изследвания</w:t>
            </w:r>
          </w:p>
        </w:tc>
        <w:tc>
          <w:tcPr>
            <w:tcW w:w="3192" w:type="dxa"/>
          </w:tcPr>
          <w:p w14:paraId="74198FF4" w14:textId="7C290789" w:rsidR="001C4124" w:rsidRDefault="001C4124" w:rsidP="001C4124">
            <w:pPr>
              <w:spacing w:line="240" w:lineRule="auto"/>
              <w:rPr>
                <w:rFonts w:eastAsia="Times New Roman" w:cs="Arial"/>
                <w:sz w:val="28"/>
                <w:szCs w:val="24"/>
              </w:rPr>
            </w:pPr>
            <w:r>
              <w:rPr>
                <w:sz w:val="20"/>
                <w:szCs w:val="20"/>
              </w:rPr>
              <w:t>Нечести*</w:t>
            </w:r>
          </w:p>
        </w:tc>
        <w:tc>
          <w:tcPr>
            <w:tcW w:w="3192" w:type="dxa"/>
          </w:tcPr>
          <w:p w14:paraId="13B47B74" w14:textId="4D12FCDE" w:rsidR="001C4124" w:rsidRDefault="001C4124" w:rsidP="001C4124">
            <w:pPr>
              <w:spacing w:line="240" w:lineRule="auto"/>
              <w:rPr>
                <w:rFonts w:eastAsia="Times New Roman" w:cs="Arial"/>
                <w:sz w:val="28"/>
                <w:szCs w:val="24"/>
              </w:rPr>
            </w:pPr>
            <w:r>
              <w:rPr>
                <w:sz w:val="20"/>
                <w:szCs w:val="20"/>
              </w:rPr>
              <w:t>Повишена урея и креатинин в кръвта</w:t>
            </w:r>
          </w:p>
        </w:tc>
      </w:tr>
      <w:tr w:rsidR="001C4124" w14:paraId="7B0315B0" w14:textId="77777777" w:rsidTr="001C4124">
        <w:tc>
          <w:tcPr>
            <w:tcW w:w="3192" w:type="dxa"/>
            <w:vMerge/>
          </w:tcPr>
          <w:p w14:paraId="6B431595" w14:textId="77777777" w:rsidR="001C4124" w:rsidRDefault="001C4124" w:rsidP="001C4124">
            <w:pPr>
              <w:spacing w:line="240" w:lineRule="auto"/>
              <w:rPr>
                <w:rFonts w:eastAsia="Times New Roman" w:cs="Arial"/>
                <w:sz w:val="28"/>
                <w:szCs w:val="24"/>
              </w:rPr>
            </w:pPr>
          </w:p>
        </w:tc>
        <w:tc>
          <w:tcPr>
            <w:tcW w:w="3192" w:type="dxa"/>
          </w:tcPr>
          <w:p w14:paraId="079FE201" w14:textId="6C7BB247" w:rsidR="001C4124" w:rsidRDefault="001C4124" w:rsidP="001C4124">
            <w:pPr>
              <w:spacing w:line="240" w:lineRule="auto"/>
              <w:rPr>
                <w:rFonts w:eastAsia="Times New Roman" w:cs="Arial"/>
                <w:sz w:val="28"/>
                <w:szCs w:val="24"/>
              </w:rPr>
            </w:pPr>
            <w:r>
              <w:rPr>
                <w:sz w:val="20"/>
                <w:szCs w:val="20"/>
              </w:rPr>
              <w:t>Редки</w:t>
            </w:r>
          </w:p>
        </w:tc>
        <w:tc>
          <w:tcPr>
            <w:tcW w:w="3192" w:type="dxa"/>
          </w:tcPr>
          <w:p w14:paraId="1BADF0FF" w14:textId="607341A1" w:rsidR="001C4124" w:rsidRDefault="001C4124" w:rsidP="001C4124">
            <w:pPr>
              <w:spacing w:line="240" w:lineRule="auto"/>
              <w:rPr>
                <w:rFonts w:eastAsia="Times New Roman" w:cs="Arial"/>
                <w:sz w:val="28"/>
                <w:szCs w:val="24"/>
              </w:rPr>
            </w:pPr>
            <w:r>
              <w:rPr>
                <w:sz w:val="20"/>
                <w:szCs w:val="20"/>
              </w:rPr>
              <w:t>Повишен билирубин, увеличени чернодробни ензими</w:t>
            </w:r>
          </w:p>
        </w:tc>
      </w:tr>
      <w:tr w:rsidR="001C4124" w14:paraId="3EB3127E" w14:textId="77777777" w:rsidTr="001C4124">
        <w:tc>
          <w:tcPr>
            <w:tcW w:w="3192" w:type="dxa"/>
          </w:tcPr>
          <w:p w14:paraId="406403D6" w14:textId="40A9B6CC" w:rsidR="001C4124" w:rsidRDefault="001C4124" w:rsidP="001C4124">
            <w:pPr>
              <w:spacing w:line="240" w:lineRule="auto"/>
              <w:rPr>
                <w:rFonts w:eastAsia="Times New Roman" w:cs="Arial"/>
                <w:sz w:val="28"/>
                <w:szCs w:val="24"/>
              </w:rPr>
            </w:pPr>
            <w:r>
              <w:rPr>
                <w:sz w:val="20"/>
                <w:szCs w:val="20"/>
              </w:rPr>
              <w:t>Наранявания, отравяния и усложнения, настъпили в резултат на интервенции</w:t>
            </w:r>
          </w:p>
        </w:tc>
        <w:tc>
          <w:tcPr>
            <w:tcW w:w="3192" w:type="dxa"/>
          </w:tcPr>
          <w:p w14:paraId="57F40F2B" w14:textId="49D68CDF" w:rsidR="001C4124" w:rsidRDefault="001C4124" w:rsidP="001C4124">
            <w:pPr>
              <w:spacing w:line="240" w:lineRule="auto"/>
              <w:rPr>
                <w:rFonts w:eastAsia="Times New Roman" w:cs="Arial"/>
                <w:sz w:val="28"/>
                <w:szCs w:val="24"/>
              </w:rPr>
            </w:pPr>
            <w:r>
              <w:rPr>
                <w:sz w:val="20"/>
                <w:szCs w:val="20"/>
              </w:rPr>
              <w:t>Нечести*</w:t>
            </w:r>
          </w:p>
        </w:tc>
        <w:tc>
          <w:tcPr>
            <w:tcW w:w="3192" w:type="dxa"/>
          </w:tcPr>
          <w:p w14:paraId="48F6CA13" w14:textId="46E71BE8" w:rsidR="001C4124" w:rsidRDefault="001C4124" w:rsidP="001C4124">
            <w:pPr>
              <w:spacing w:line="240" w:lineRule="auto"/>
              <w:rPr>
                <w:rFonts w:eastAsia="Times New Roman" w:cs="Arial"/>
                <w:sz w:val="28"/>
                <w:szCs w:val="24"/>
              </w:rPr>
            </w:pPr>
            <w:r>
              <w:rPr>
                <w:sz w:val="20"/>
                <w:szCs w:val="20"/>
              </w:rPr>
              <w:t>Припадък</w:t>
            </w:r>
          </w:p>
        </w:tc>
      </w:tr>
    </w:tbl>
    <w:p w14:paraId="5839E0C4"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Честотата е изчислена от клинични изпитвания за нежелани реакции, установени от спонтанни съобщения.</w:t>
      </w:r>
    </w:p>
    <w:p w14:paraId="42ECB77D" w14:textId="77777777" w:rsidR="001C4124" w:rsidRPr="001C4124" w:rsidRDefault="001C4124" w:rsidP="001C4124">
      <w:pPr>
        <w:spacing w:line="240" w:lineRule="auto"/>
        <w:rPr>
          <w:rFonts w:eastAsia="Times New Roman" w:cs="Arial"/>
          <w:i/>
          <w:iCs/>
          <w:color w:val="000000"/>
          <w:szCs w:val="20"/>
          <w:lang w:eastAsia="bg-BG"/>
        </w:rPr>
      </w:pPr>
    </w:p>
    <w:p w14:paraId="3F70ACD3" w14:textId="3D92C718"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Клинични изпитвания</w:t>
      </w:r>
    </w:p>
    <w:p w14:paraId="60A2EA86"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lastRenderedPageBreak/>
        <w:t xml:space="preserve">По време на рандомизационния период на проучването </w:t>
      </w:r>
      <w:r w:rsidRPr="001C4124">
        <w:rPr>
          <w:rFonts w:eastAsia="Times New Roman" w:cs="Arial"/>
          <w:color w:val="000000"/>
          <w:szCs w:val="20"/>
          <w:lang w:val="en-US"/>
        </w:rPr>
        <w:t>EUROPA</w:t>
      </w:r>
      <w:r w:rsidRPr="001C4124">
        <w:rPr>
          <w:rFonts w:eastAsia="Times New Roman" w:cs="Arial"/>
          <w:color w:val="000000"/>
          <w:szCs w:val="20"/>
          <w:lang w:val="ru-RU"/>
        </w:rPr>
        <w:t xml:space="preserve"> </w:t>
      </w:r>
      <w:r w:rsidRPr="001C4124">
        <w:rPr>
          <w:rFonts w:eastAsia="Times New Roman" w:cs="Arial"/>
          <w:color w:val="000000"/>
          <w:szCs w:val="20"/>
          <w:lang w:eastAsia="bg-BG"/>
        </w:rPr>
        <w:t>е докладвана само една сериозна нежелана реакция. Няколко пациенти са получили сериозни нежелани събития: 16 (0,3%) от 6 122 пациенти на периндоприл и 12 (0,2%) от 6107 пациенти на плацебо. При пациентите, лекувани с периндоприл, хипотония е наблюдавана при 6 пациенти, ангиоедем при 3 пациенти, а внезапен сърдечен арест при 1 пациент. Повече пациенти на периндоприл, отколкото на плацебо са отпаднали от изпитването поради кашлица, хипотония или друг вид непоносимост, съответно 6,0% (</w:t>
      </w:r>
      <w:r w:rsidRPr="001C4124">
        <w:rPr>
          <w:rFonts w:eastAsia="Times New Roman" w:cs="Arial"/>
          <w:color w:val="000000"/>
          <w:szCs w:val="20"/>
          <w:lang w:val="en-US"/>
        </w:rPr>
        <w:t>n</w:t>
      </w:r>
      <w:r w:rsidRPr="001C4124">
        <w:rPr>
          <w:rFonts w:eastAsia="Times New Roman" w:cs="Arial"/>
          <w:color w:val="000000"/>
          <w:szCs w:val="20"/>
          <w:lang w:eastAsia="bg-BG"/>
        </w:rPr>
        <w:t>=366) спрямо 2,1% (</w:t>
      </w:r>
      <w:r w:rsidRPr="001C4124">
        <w:rPr>
          <w:rFonts w:eastAsia="Times New Roman" w:cs="Arial"/>
          <w:color w:val="000000"/>
          <w:szCs w:val="20"/>
          <w:lang w:val="en-US"/>
        </w:rPr>
        <w:t>n</w:t>
      </w:r>
      <w:r w:rsidRPr="001C4124">
        <w:rPr>
          <w:rFonts w:eastAsia="Times New Roman" w:cs="Arial"/>
          <w:color w:val="000000"/>
          <w:szCs w:val="20"/>
          <w:lang w:eastAsia="bg-BG"/>
        </w:rPr>
        <w:t>=129).</w:t>
      </w:r>
    </w:p>
    <w:p w14:paraId="7E117401" w14:textId="77777777" w:rsidR="001C4124" w:rsidRPr="001C4124" w:rsidRDefault="001C4124" w:rsidP="001C4124">
      <w:pPr>
        <w:spacing w:line="240" w:lineRule="auto"/>
        <w:rPr>
          <w:rFonts w:eastAsia="Times New Roman" w:cs="Arial"/>
          <w:color w:val="000000"/>
          <w:szCs w:val="20"/>
          <w:u w:val="single"/>
          <w:lang w:eastAsia="bg-BG"/>
        </w:rPr>
      </w:pPr>
    </w:p>
    <w:p w14:paraId="650C08A5" w14:textId="0E48131A"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u w:val="single"/>
          <w:lang w:eastAsia="bg-BG"/>
        </w:rPr>
        <w:t>Амлодипин</w:t>
      </w:r>
    </w:p>
    <w:p w14:paraId="19B48659" w14:textId="77777777"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Обобщение на профила на безопасност</w:t>
      </w:r>
    </w:p>
    <w:p w14:paraId="7BAD18CC" w14:textId="7E9C46F7" w:rsidR="001C4124" w:rsidRPr="001C4124" w:rsidRDefault="001C4124" w:rsidP="001C4124">
      <w:pPr>
        <w:spacing w:line="240" w:lineRule="auto"/>
        <w:rPr>
          <w:rFonts w:eastAsia="Times New Roman" w:cs="Arial"/>
          <w:sz w:val="32"/>
          <w:szCs w:val="24"/>
        </w:rPr>
      </w:pPr>
    </w:p>
    <w:p w14:paraId="2119BF80"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Най-често съобщаваните нежелани реакции по време на лечението са сомнолентност, замайване, главоболие, сърцебиене, зачервяване на лицето, коремна болка, гадене, подуване на глезените, оток и умора.</w:t>
      </w:r>
    </w:p>
    <w:p w14:paraId="3E7FDC80" w14:textId="77777777" w:rsidR="001C4124" w:rsidRPr="001C4124" w:rsidRDefault="001C4124" w:rsidP="001C4124">
      <w:pPr>
        <w:spacing w:line="240" w:lineRule="auto"/>
        <w:rPr>
          <w:rFonts w:eastAsia="Times New Roman" w:cs="Arial"/>
          <w:i/>
          <w:iCs/>
          <w:color w:val="000000"/>
          <w:szCs w:val="20"/>
          <w:lang w:eastAsia="bg-BG"/>
        </w:rPr>
      </w:pPr>
    </w:p>
    <w:p w14:paraId="73D45562" w14:textId="538F60C2"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Табличен списък на нежеланите реакции</w:t>
      </w:r>
    </w:p>
    <w:p w14:paraId="33DC802C"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Следните нежелани реакции с амлодипин са наблюдавани по време на лечението с амлодипин, подредени по честота по следния начин: много чести (≥1/10); чести (≥1/100 до &lt;1/10); нечести (≥1/1000, &lt;1/100); редки (≥1/10 000, &lt;1/1000); много редки (&lt;1/10 000); с неизвестна честота (от наличните данни не може да бъде направена оценка).</w:t>
      </w:r>
    </w:p>
    <w:p w14:paraId="7AF93875" w14:textId="61722CFA" w:rsidR="001C4124" w:rsidRDefault="001C4124" w:rsidP="001C4124">
      <w:pPr>
        <w:spacing w:line="240" w:lineRule="auto"/>
        <w:rPr>
          <w:rFonts w:eastAsia="Times New Roman" w:cs="Arial"/>
          <w:color w:val="000000"/>
          <w:szCs w:val="20"/>
          <w:u w:val="single"/>
          <w:lang w:eastAsia="bg-BG"/>
        </w:rPr>
      </w:pPr>
      <w:r w:rsidRPr="001C4124">
        <w:rPr>
          <w:rFonts w:eastAsia="Times New Roman" w:cs="Arial"/>
          <w:color w:val="000000"/>
          <w:szCs w:val="20"/>
          <w:lang w:eastAsia="bg-BG"/>
        </w:rPr>
        <w:t xml:space="preserve">При всяко групиране в зависимост от честотата, нежеланите лекарствени реакции се изброяват </w:t>
      </w:r>
      <w:r w:rsidRPr="001C4124">
        <w:rPr>
          <w:rFonts w:eastAsia="Times New Roman" w:cs="Arial"/>
          <w:color w:val="000000"/>
          <w:szCs w:val="20"/>
          <w:u w:val="single"/>
          <w:lang w:eastAsia="bg-BG"/>
        </w:rPr>
        <w:t>в низходящ ред по отношение на тяхната сериозност.</w:t>
      </w:r>
    </w:p>
    <w:p w14:paraId="74346B87" w14:textId="1A0E0BC9" w:rsidR="001C4124" w:rsidRDefault="001C4124" w:rsidP="001C4124">
      <w:pPr>
        <w:spacing w:line="240" w:lineRule="auto"/>
        <w:rPr>
          <w:rFonts w:eastAsia="Times New Roman" w:cs="Arial"/>
          <w:color w:val="000000"/>
          <w:szCs w:val="20"/>
          <w:u w:val="single"/>
          <w:lang w:eastAsia="bg-BG"/>
        </w:rPr>
      </w:pPr>
    </w:p>
    <w:tbl>
      <w:tblPr>
        <w:tblStyle w:val="TableGrid"/>
        <w:tblW w:w="0" w:type="auto"/>
        <w:tblLook w:val="04A0" w:firstRow="1" w:lastRow="0" w:firstColumn="1" w:lastColumn="0" w:noHBand="0" w:noVBand="1"/>
      </w:tblPr>
      <w:tblGrid>
        <w:gridCol w:w="3144"/>
        <w:gridCol w:w="3071"/>
        <w:gridCol w:w="3135"/>
      </w:tblGrid>
      <w:tr w:rsidR="001C4124" w14:paraId="7658EDD0" w14:textId="77777777" w:rsidTr="001C4124">
        <w:tc>
          <w:tcPr>
            <w:tcW w:w="3192" w:type="dxa"/>
          </w:tcPr>
          <w:p w14:paraId="12FD7F3D" w14:textId="78EFE90C" w:rsidR="001C4124" w:rsidRPr="001C4124" w:rsidRDefault="001C4124" w:rsidP="001C4124">
            <w:pPr>
              <w:spacing w:line="240" w:lineRule="auto"/>
              <w:rPr>
                <w:rFonts w:eastAsia="Times New Roman" w:cs="Arial"/>
                <w:szCs w:val="24"/>
              </w:rPr>
            </w:pPr>
            <w:r w:rsidRPr="001C4124">
              <w:rPr>
                <w:b/>
                <w:bCs/>
                <w:szCs w:val="20"/>
              </w:rPr>
              <w:t>Системо-органен клас</w:t>
            </w:r>
          </w:p>
        </w:tc>
        <w:tc>
          <w:tcPr>
            <w:tcW w:w="3192" w:type="dxa"/>
          </w:tcPr>
          <w:p w14:paraId="22070700" w14:textId="26CC7755" w:rsidR="001C4124" w:rsidRPr="001C4124" w:rsidRDefault="001C4124" w:rsidP="001C4124">
            <w:pPr>
              <w:spacing w:line="240" w:lineRule="auto"/>
              <w:rPr>
                <w:rFonts w:eastAsia="Times New Roman" w:cs="Arial"/>
                <w:szCs w:val="24"/>
              </w:rPr>
            </w:pPr>
            <w:r w:rsidRPr="001C4124">
              <w:rPr>
                <w:b/>
                <w:bCs/>
                <w:szCs w:val="20"/>
              </w:rPr>
              <w:t>Честота</w:t>
            </w:r>
          </w:p>
        </w:tc>
        <w:tc>
          <w:tcPr>
            <w:tcW w:w="3192" w:type="dxa"/>
          </w:tcPr>
          <w:p w14:paraId="02A45B8D" w14:textId="0D0AC908" w:rsidR="001C4124" w:rsidRPr="001C4124" w:rsidRDefault="001C4124" w:rsidP="001C4124">
            <w:pPr>
              <w:spacing w:line="240" w:lineRule="auto"/>
              <w:rPr>
                <w:rFonts w:eastAsia="Times New Roman" w:cs="Arial"/>
                <w:szCs w:val="24"/>
              </w:rPr>
            </w:pPr>
            <w:r w:rsidRPr="001C4124">
              <w:rPr>
                <w:b/>
                <w:bCs/>
                <w:szCs w:val="20"/>
              </w:rPr>
              <w:t>Нежелани реакции</w:t>
            </w:r>
          </w:p>
        </w:tc>
      </w:tr>
      <w:tr w:rsidR="001C4124" w14:paraId="57A5C815" w14:textId="77777777" w:rsidTr="001C4124">
        <w:tc>
          <w:tcPr>
            <w:tcW w:w="3192" w:type="dxa"/>
          </w:tcPr>
          <w:p w14:paraId="4CA82A3E" w14:textId="71CEE084" w:rsidR="001C4124" w:rsidRPr="001C4124" w:rsidRDefault="001C4124" w:rsidP="001C4124">
            <w:pPr>
              <w:spacing w:line="240" w:lineRule="auto"/>
              <w:rPr>
                <w:rFonts w:eastAsia="Times New Roman" w:cs="Arial"/>
                <w:szCs w:val="24"/>
              </w:rPr>
            </w:pPr>
            <w:r w:rsidRPr="001C4124">
              <w:rPr>
                <w:szCs w:val="20"/>
              </w:rPr>
              <w:t>Нарушения на кръвта и лимфната система</w:t>
            </w:r>
          </w:p>
        </w:tc>
        <w:tc>
          <w:tcPr>
            <w:tcW w:w="3192" w:type="dxa"/>
          </w:tcPr>
          <w:p w14:paraId="6A6969A8" w14:textId="28881307"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690749C4" w14:textId="074EBCC0" w:rsidR="001C4124" w:rsidRPr="001C4124" w:rsidRDefault="001C4124" w:rsidP="001C4124">
            <w:pPr>
              <w:spacing w:line="240" w:lineRule="auto"/>
              <w:rPr>
                <w:rFonts w:eastAsia="Times New Roman" w:cs="Arial"/>
                <w:szCs w:val="24"/>
              </w:rPr>
            </w:pPr>
            <w:r w:rsidRPr="001C4124">
              <w:rPr>
                <w:szCs w:val="20"/>
              </w:rPr>
              <w:t>Левкоцитопения, тромбоцитопения</w:t>
            </w:r>
          </w:p>
        </w:tc>
      </w:tr>
      <w:tr w:rsidR="001C4124" w14:paraId="252B9E20" w14:textId="77777777" w:rsidTr="001C4124">
        <w:tc>
          <w:tcPr>
            <w:tcW w:w="3192" w:type="dxa"/>
          </w:tcPr>
          <w:p w14:paraId="0DF9AC57" w14:textId="72ABD6FB" w:rsidR="001C4124" w:rsidRPr="001C4124" w:rsidRDefault="001C4124" w:rsidP="001C4124">
            <w:pPr>
              <w:spacing w:line="240" w:lineRule="auto"/>
              <w:rPr>
                <w:rFonts w:eastAsia="Times New Roman" w:cs="Arial"/>
                <w:szCs w:val="24"/>
              </w:rPr>
            </w:pPr>
            <w:r w:rsidRPr="001C4124">
              <w:rPr>
                <w:szCs w:val="20"/>
              </w:rPr>
              <w:t>Нарушения на имунната система</w:t>
            </w:r>
          </w:p>
        </w:tc>
        <w:tc>
          <w:tcPr>
            <w:tcW w:w="3192" w:type="dxa"/>
          </w:tcPr>
          <w:p w14:paraId="3E554FDC" w14:textId="45635518"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69E584FC" w14:textId="0EC44194" w:rsidR="001C4124" w:rsidRPr="001C4124" w:rsidRDefault="001C4124" w:rsidP="001C4124">
            <w:pPr>
              <w:spacing w:line="240" w:lineRule="auto"/>
              <w:rPr>
                <w:rFonts w:eastAsia="Times New Roman" w:cs="Arial"/>
                <w:szCs w:val="24"/>
              </w:rPr>
            </w:pPr>
            <w:r w:rsidRPr="001C4124">
              <w:rPr>
                <w:szCs w:val="20"/>
              </w:rPr>
              <w:t>Алергични реакции</w:t>
            </w:r>
          </w:p>
        </w:tc>
      </w:tr>
      <w:tr w:rsidR="001C4124" w14:paraId="0D13DA41" w14:textId="77777777" w:rsidTr="001C4124">
        <w:tc>
          <w:tcPr>
            <w:tcW w:w="3192" w:type="dxa"/>
          </w:tcPr>
          <w:p w14:paraId="155DFEA7" w14:textId="1A1485A9" w:rsidR="001C4124" w:rsidRPr="001C4124" w:rsidRDefault="001C4124" w:rsidP="001C4124">
            <w:pPr>
              <w:spacing w:line="240" w:lineRule="auto"/>
              <w:rPr>
                <w:rFonts w:eastAsia="Times New Roman" w:cs="Arial"/>
                <w:szCs w:val="24"/>
              </w:rPr>
            </w:pPr>
            <w:r w:rsidRPr="001C4124">
              <w:rPr>
                <w:szCs w:val="20"/>
              </w:rPr>
              <w:t>Нарушения на метаболизма и храненето</w:t>
            </w:r>
          </w:p>
        </w:tc>
        <w:tc>
          <w:tcPr>
            <w:tcW w:w="3192" w:type="dxa"/>
          </w:tcPr>
          <w:p w14:paraId="51FF1C04" w14:textId="20587565"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42E2AD01" w14:textId="7C9C64BA" w:rsidR="001C4124" w:rsidRPr="001C4124" w:rsidRDefault="001C4124" w:rsidP="001C4124">
            <w:pPr>
              <w:spacing w:line="240" w:lineRule="auto"/>
              <w:rPr>
                <w:rFonts w:eastAsia="Times New Roman" w:cs="Arial"/>
                <w:szCs w:val="24"/>
              </w:rPr>
            </w:pPr>
            <w:r w:rsidRPr="001C4124">
              <w:rPr>
                <w:szCs w:val="20"/>
              </w:rPr>
              <w:t>Хипергликемия</w:t>
            </w:r>
          </w:p>
        </w:tc>
      </w:tr>
      <w:tr w:rsidR="001C4124" w14:paraId="47385551" w14:textId="77777777" w:rsidTr="001C4124">
        <w:tc>
          <w:tcPr>
            <w:tcW w:w="3192" w:type="dxa"/>
            <w:vMerge w:val="restart"/>
          </w:tcPr>
          <w:p w14:paraId="4DA8AFC0" w14:textId="16D126E3" w:rsidR="001C4124" w:rsidRPr="001C4124" w:rsidRDefault="001C4124" w:rsidP="001C4124">
            <w:pPr>
              <w:spacing w:line="240" w:lineRule="auto"/>
              <w:rPr>
                <w:rFonts w:eastAsia="Times New Roman" w:cs="Arial"/>
                <w:szCs w:val="24"/>
              </w:rPr>
            </w:pPr>
            <w:r w:rsidRPr="001C4124">
              <w:rPr>
                <w:szCs w:val="20"/>
              </w:rPr>
              <w:t>Психични нарушения</w:t>
            </w:r>
          </w:p>
        </w:tc>
        <w:tc>
          <w:tcPr>
            <w:tcW w:w="3192" w:type="dxa"/>
          </w:tcPr>
          <w:p w14:paraId="5B6B452B" w14:textId="70CD9AEB"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3D497C74" w14:textId="1ABD1C04" w:rsidR="001C4124" w:rsidRPr="001C4124" w:rsidRDefault="001C4124" w:rsidP="001C4124">
            <w:pPr>
              <w:spacing w:line="240" w:lineRule="auto"/>
              <w:rPr>
                <w:rFonts w:eastAsia="Times New Roman" w:cs="Arial"/>
                <w:szCs w:val="24"/>
              </w:rPr>
            </w:pPr>
            <w:r w:rsidRPr="001C4124">
              <w:rPr>
                <w:szCs w:val="20"/>
              </w:rPr>
              <w:t>Безсъние, промени в настроението (включително тревожност), депресия</w:t>
            </w:r>
          </w:p>
        </w:tc>
      </w:tr>
      <w:tr w:rsidR="001C4124" w14:paraId="0AF2CF4D" w14:textId="77777777" w:rsidTr="001C4124">
        <w:tc>
          <w:tcPr>
            <w:tcW w:w="3192" w:type="dxa"/>
            <w:vMerge/>
          </w:tcPr>
          <w:p w14:paraId="572DE2D6" w14:textId="77777777" w:rsidR="001C4124" w:rsidRPr="001C4124" w:rsidRDefault="001C4124" w:rsidP="001C4124">
            <w:pPr>
              <w:spacing w:line="240" w:lineRule="auto"/>
              <w:rPr>
                <w:rFonts w:eastAsia="Times New Roman" w:cs="Arial"/>
                <w:szCs w:val="24"/>
              </w:rPr>
            </w:pPr>
          </w:p>
        </w:tc>
        <w:tc>
          <w:tcPr>
            <w:tcW w:w="3192" w:type="dxa"/>
          </w:tcPr>
          <w:p w14:paraId="1664007D" w14:textId="63E875A1" w:rsidR="001C4124" w:rsidRPr="001C4124" w:rsidRDefault="001C4124" w:rsidP="001C4124">
            <w:pPr>
              <w:spacing w:line="240" w:lineRule="auto"/>
              <w:rPr>
                <w:rFonts w:eastAsia="Times New Roman" w:cs="Arial"/>
                <w:szCs w:val="24"/>
              </w:rPr>
            </w:pPr>
            <w:r w:rsidRPr="001C4124">
              <w:rPr>
                <w:szCs w:val="20"/>
              </w:rPr>
              <w:t>Редки</w:t>
            </w:r>
          </w:p>
        </w:tc>
        <w:tc>
          <w:tcPr>
            <w:tcW w:w="3192" w:type="dxa"/>
          </w:tcPr>
          <w:p w14:paraId="15737F99" w14:textId="67F599D2" w:rsidR="001C4124" w:rsidRPr="001C4124" w:rsidRDefault="001C4124" w:rsidP="001C4124">
            <w:pPr>
              <w:spacing w:line="240" w:lineRule="auto"/>
              <w:rPr>
                <w:rFonts w:eastAsia="Times New Roman" w:cs="Arial"/>
                <w:szCs w:val="24"/>
              </w:rPr>
            </w:pPr>
            <w:r w:rsidRPr="001C4124">
              <w:rPr>
                <w:szCs w:val="20"/>
              </w:rPr>
              <w:t>Объркване</w:t>
            </w:r>
          </w:p>
        </w:tc>
      </w:tr>
      <w:tr w:rsidR="001C4124" w14:paraId="1106994C" w14:textId="77777777" w:rsidTr="001C4124">
        <w:tc>
          <w:tcPr>
            <w:tcW w:w="3192" w:type="dxa"/>
            <w:vMerge w:val="restart"/>
          </w:tcPr>
          <w:p w14:paraId="200771B9" w14:textId="541B028D" w:rsidR="001C4124" w:rsidRPr="001C4124" w:rsidRDefault="001C4124" w:rsidP="001C4124">
            <w:pPr>
              <w:spacing w:line="240" w:lineRule="auto"/>
              <w:rPr>
                <w:rFonts w:eastAsia="Times New Roman" w:cs="Arial"/>
                <w:szCs w:val="24"/>
              </w:rPr>
            </w:pPr>
            <w:r w:rsidRPr="001C4124">
              <w:rPr>
                <w:szCs w:val="20"/>
              </w:rPr>
              <w:t>Нарушения на нервната система</w:t>
            </w:r>
          </w:p>
        </w:tc>
        <w:tc>
          <w:tcPr>
            <w:tcW w:w="3192" w:type="dxa"/>
          </w:tcPr>
          <w:p w14:paraId="58A29B40" w14:textId="2B3DBF54"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712AC64E" w14:textId="7AE1C6C3" w:rsidR="001C4124" w:rsidRPr="001C4124" w:rsidRDefault="001C4124" w:rsidP="001C4124">
            <w:pPr>
              <w:spacing w:line="240" w:lineRule="auto"/>
              <w:rPr>
                <w:rFonts w:eastAsia="Times New Roman" w:cs="Arial"/>
                <w:szCs w:val="24"/>
              </w:rPr>
            </w:pPr>
            <w:r w:rsidRPr="001C4124">
              <w:rPr>
                <w:szCs w:val="20"/>
              </w:rPr>
              <w:t>Сомнолентност, замайване, главоболие (особено в началото на лечението)</w:t>
            </w:r>
          </w:p>
        </w:tc>
      </w:tr>
      <w:tr w:rsidR="001C4124" w14:paraId="6A16AFCF" w14:textId="77777777" w:rsidTr="001C4124">
        <w:tc>
          <w:tcPr>
            <w:tcW w:w="3192" w:type="dxa"/>
            <w:vMerge/>
          </w:tcPr>
          <w:p w14:paraId="4533AEEF" w14:textId="77777777" w:rsidR="001C4124" w:rsidRPr="001C4124" w:rsidRDefault="001C4124" w:rsidP="001C4124">
            <w:pPr>
              <w:spacing w:line="240" w:lineRule="auto"/>
              <w:rPr>
                <w:rFonts w:eastAsia="Times New Roman" w:cs="Arial"/>
                <w:szCs w:val="24"/>
              </w:rPr>
            </w:pPr>
          </w:p>
        </w:tc>
        <w:tc>
          <w:tcPr>
            <w:tcW w:w="3192" w:type="dxa"/>
          </w:tcPr>
          <w:p w14:paraId="6ACAD4BF" w14:textId="42933175"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02509FFF" w14:textId="23DD30D8" w:rsidR="001C4124" w:rsidRPr="001C4124" w:rsidRDefault="001C4124" w:rsidP="001C4124">
            <w:pPr>
              <w:spacing w:line="240" w:lineRule="auto"/>
              <w:rPr>
                <w:rFonts w:eastAsia="Times New Roman" w:cs="Arial"/>
                <w:szCs w:val="24"/>
              </w:rPr>
            </w:pPr>
            <w:r w:rsidRPr="001C4124">
              <w:rPr>
                <w:szCs w:val="20"/>
              </w:rPr>
              <w:t>Тремор, дисгеузия, синкоп, хипоестезия, парестезия</w:t>
            </w:r>
          </w:p>
        </w:tc>
      </w:tr>
      <w:tr w:rsidR="001C4124" w14:paraId="73AD9417" w14:textId="77777777" w:rsidTr="001C4124">
        <w:tc>
          <w:tcPr>
            <w:tcW w:w="3192" w:type="dxa"/>
            <w:vMerge/>
          </w:tcPr>
          <w:p w14:paraId="03637E8F" w14:textId="77777777" w:rsidR="001C4124" w:rsidRPr="001C4124" w:rsidRDefault="001C4124" w:rsidP="001C4124">
            <w:pPr>
              <w:spacing w:line="240" w:lineRule="auto"/>
              <w:rPr>
                <w:rFonts w:eastAsia="Times New Roman" w:cs="Arial"/>
                <w:szCs w:val="24"/>
              </w:rPr>
            </w:pPr>
          </w:p>
        </w:tc>
        <w:tc>
          <w:tcPr>
            <w:tcW w:w="3192" w:type="dxa"/>
          </w:tcPr>
          <w:p w14:paraId="1AFADCB6" w14:textId="77A7920D"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24F204C4" w14:textId="729AF6C7" w:rsidR="001C4124" w:rsidRPr="001C4124" w:rsidRDefault="001C4124" w:rsidP="001C4124">
            <w:pPr>
              <w:spacing w:line="240" w:lineRule="auto"/>
              <w:rPr>
                <w:rFonts w:eastAsia="Times New Roman" w:cs="Arial"/>
                <w:szCs w:val="24"/>
              </w:rPr>
            </w:pPr>
            <w:r w:rsidRPr="001C4124">
              <w:rPr>
                <w:szCs w:val="20"/>
              </w:rPr>
              <w:t>Хипертония, периферна невропатия</w:t>
            </w:r>
          </w:p>
        </w:tc>
      </w:tr>
      <w:tr w:rsidR="001C4124" w14:paraId="6FAC45B1" w14:textId="77777777" w:rsidTr="001C4124">
        <w:tc>
          <w:tcPr>
            <w:tcW w:w="3192" w:type="dxa"/>
            <w:vMerge/>
          </w:tcPr>
          <w:p w14:paraId="65171BBB" w14:textId="77777777" w:rsidR="001C4124" w:rsidRPr="001C4124" w:rsidRDefault="001C4124" w:rsidP="001C4124">
            <w:pPr>
              <w:spacing w:line="240" w:lineRule="auto"/>
              <w:rPr>
                <w:rFonts w:eastAsia="Times New Roman" w:cs="Arial"/>
                <w:szCs w:val="24"/>
              </w:rPr>
            </w:pPr>
          </w:p>
        </w:tc>
        <w:tc>
          <w:tcPr>
            <w:tcW w:w="3192" w:type="dxa"/>
          </w:tcPr>
          <w:p w14:paraId="428FCBFF" w14:textId="3DFA2C73" w:rsidR="001C4124" w:rsidRPr="001C4124" w:rsidRDefault="001C4124" w:rsidP="001C4124">
            <w:pPr>
              <w:spacing w:line="240" w:lineRule="auto"/>
              <w:rPr>
                <w:rFonts w:eastAsia="Times New Roman" w:cs="Arial"/>
                <w:szCs w:val="24"/>
              </w:rPr>
            </w:pPr>
            <w:r w:rsidRPr="001C4124">
              <w:rPr>
                <w:szCs w:val="20"/>
              </w:rPr>
              <w:t>С неизвестна честота</w:t>
            </w:r>
          </w:p>
        </w:tc>
        <w:tc>
          <w:tcPr>
            <w:tcW w:w="3192" w:type="dxa"/>
          </w:tcPr>
          <w:p w14:paraId="2191C12B" w14:textId="418810DE" w:rsidR="001C4124" w:rsidRPr="001C4124" w:rsidRDefault="001C4124" w:rsidP="001C4124">
            <w:pPr>
              <w:spacing w:line="240" w:lineRule="auto"/>
              <w:rPr>
                <w:rFonts w:eastAsia="Times New Roman" w:cs="Arial"/>
                <w:szCs w:val="24"/>
              </w:rPr>
            </w:pPr>
            <w:r w:rsidRPr="001C4124">
              <w:rPr>
                <w:szCs w:val="20"/>
              </w:rPr>
              <w:t>Екстрадирам идни нарушения</w:t>
            </w:r>
          </w:p>
        </w:tc>
      </w:tr>
      <w:tr w:rsidR="001C4124" w14:paraId="5CE3899A" w14:textId="77777777" w:rsidTr="001C4124">
        <w:tc>
          <w:tcPr>
            <w:tcW w:w="3192" w:type="dxa"/>
          </w:tcPr>
          <w:p w14:paraId="3EFA848C" w14:textId="7C48B1CF" w:rsidR="001C4124" w:rsidRPr="001C4124" w:rsidRDefault="001C4124" w:rsidP="001C4124">
            <w:pPr>
              <w:spacing w:line="240" w:lineRule="auto"/>
              <w:rPr>
                <w:rFonts w:eastAsia="Times New Roman" w:cs="Arial"/>
                <w:szCs w:val="24"/>
              </w:rPr>
            </w:pPr>
            <w:r w:rsidRPr="001C4124">
              <w:rPr>
                <w:szCs w:val="20"/>
              </w:rPr>
              <w:t>Нарушения на очите</w:t>
            </w:r>
          </w:p>
        </w:tc>
        <w:tc>
          <w:tcPr>
            <w:tcW w:w="3192" w:type="dxa"/>
          </w:tcPr>
          <w:p w14:paraId="2BBBC268" w14:textId="0BDA4C69"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5D1DD790" w14:textId="50B21583" w:rsidR="001C4124" w:rsidRPr="001C4124" w:rsidRDefault="001C4124" w:rsidP="001C4124">
            <w:pPr>
              <w:spacing w:line="240" w:lineRule="auto"/>
              <w:rPr>
                <w:rFonts w:eastAsia="Times New Roman" w:cs="Arial"/>
                <w:szCs w:val="24"/>
              </w:rPr>
            </w:pPr>
            <w:r w:rsidRPr="001C4124">
              <w:rPr>
                <w:szCs w:val="20"/>
              </w:rPr>
              <w:t>Зрителни нарушения (включително диплопия)</w:t>
            </w:r>
          </w:p>
        </w:tc>
      </w:tr>
      <w:tr w:rsidR="001C4124" w14:paraId="0A6B04E8" w14:textId="77777777" w:rsidTr="001C4124">
        <w:tc>
          <w:tcPr>
            <w:tcW w:w="3192" w:type="dxa"/>
          </w:tcPr>
          <w:p w14:paraId="2022AE11" w14:textId="5AF0135C" w:rsidR="001C4124" w:rsidRPr="001C4124" w:rsidRDefault="001C4124" w:rsidP="001C4124">
            <w:pPr>
              <w:spacing w:line="240" w:lineRule="auto"/>
              <w:rPr>
                <w:rFonts w:eastAsia="Times New Roman" w:cs="Arial"/>
                <w:szCs w:val="24"/>
              </w:rPr>
            </w:pPr>
            <w:r w:rsidRPr="001C4124">
              <w:rPr>
                <w:szCs w:val="20"/>
              </w:rPr>
              <w:t>Нарушения на ухото и лабиринта</w:t>
            </w:r>
          </w:p>
        </w:tc>
        <w:tc>
          <w:tcPr>
            <w:tcW w:w="3192" w:type="dxa"/>
          </w:tcPr>
          <w:p w14:paraId="6D7C82D6" w14:textId="4723A948"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5CB44294" w14:textId="3E220879" w:rsidR="001C4124" w:rsidRPr="001C4124" w:rsidRDefault="001C4124" w:rsidP="001C4124">
            <w:pPr>
              <w:spacing w:line="240" w:lineRule="auto"/>
              <w:rPr>
                <w:rFonts w:eastAsia="Times New Roman" w:cs="Arial"/>
                <w:szCs w:val="24"/>
              </w:rPr>
            </w:pPr>
            <w:r w:rsidRPr="001C4124">
              <w:rPr>
                <w:szCs w:val="20"/>
              </w:rPr>
              <w:t>Тинитус</w:t>
            </w:r>
          </w:p>
        </w:tc>
      </w:tr>
      <w:tr w:rsidR="001C4124" w14:paraId="5BDAFF7A" w14:textId="77777777" w:rsidTr="001C4124">
        <w:tc>
          <w:tcPr>
            <w:tcW w:w="3192" w:type="dxa"/>
            <w:vMerge w:val="restart"/>
          </w:tcPr>
          <w:p w14:paraId="46A7E34A" w14:textId="3AABD137" w:rsidR="001C4124" w:rsidRPr="001C4124" w:rsidRDefault="001C4124" w:rsidP="001C4124">
            <w:pPr>
              <w:spacing w:line="240" w:lineRule="auto"/>
              <w:rPr>
                <w:rFonts w:eastAsia="Times New Roman" w:cs="Arial"/>
                <w:szCs w:val="24"/>
              </w:rPr>
            </w:pPr>
            <w:r w:rsidRPr="001C4124">
              <w:rPr>
                <w:szCs w:val="20"/>
              </w:rPr>
              <w:t>Сърдечни нарушения</w:t>
            </w:r>
          </w:p>
        </w:tc>
        <w:tc>
          <w:tcPr>
            <w:tcW w:w="3192" w:type="dxa"/>
          </w:tcPr>
          <w:p w14:paraId="31C771C3" w14:textId="6C85FADA"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4B64248D" w14:textId="6AF56F29" w:rsidR="001C4124" w:rsidRPr="001C4124" w:rsidRDefault="001C4124" w:rsidP="001C4124">
            <w:pPr>
              <w:spacing w:line="240" w:lineRule="auto"/>
              <w:rPr>
                <w:rFonts w:eastAsia="Times New Roman" w:cs="Arial"/>
                <w:szCs w:val="24"/>
              </w:rPr>
            </w:pPr>
            <w:r w:rsidRPr="001C4124">
              <w:rPr>
                <w:szCs w:val="20"/>
              </w:rPr>
              <w:t>Сърцебиене</w:t>
            </w:r>
          </w:p>
        </w:tc>
      </w:tr>
      <w:tr w:rsidR="001C4124" w14:paraId="488EEDE1" w14:textId="77777777" w:rsidTr="001C4124">
        <w:tc>
          <w:tcPr>
            <w:tcW w:w="3192" w:type="dxa"/>
            <w:vMerge/>
          </w:tcPr>
          <w:p w14:paraId="7B87C561" w14:textId="77777777" w:rsidR="001C4124" w:rsidRPr="001C4124" w:rsidRDefault="001C4124" w:rsidP="001C4124">
            <w:pPr>
              <w:spacing w:line="240" w:lineRule="auto"/>
              <w:rPr>
                <w:rFonts w:eastAsia="Times New Roman" w:cs="Arial"/>
                <w:szCs w:val="24"/>
              </w:rPr>
            </w:pPr>
          </w:p>
        </w:tc>
        <w:tc>
          <w:tcPr>
            <w:tcW w:w="3192" w:type="dxa"/>
          </w:tcPr>
          <w:p w14:paraId="22AC272E" w14:textId="64B65C5F"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4167DCD0" w14:textId="430298AE" w:rsidR="001C4124" w:rsidRPr="001C4124" w:rsidRDefault="001C4124" w:rsidP="001C4124">
            <w:pPr>
              <w:spacing w:line="240" w:lineRule="auto"/>
              <w:rPr>
                <w:rFonts w:eastAsia="Times New Roman" w:cs="Arial"/>
                <w:szCs w:val="24"/>
              </w:rPr>
            </w:pPr>
            <w:r w:rsidRPr="001C4124">
              <w:rPr>
                <w:szCs w:val="20"/>
              </w:rPr>
              <w:t xml:space="preserve">Аритмия (включително брадикардия, камерна </w:t>
            </w:r>
            <w:r w:rsidRPr="001C4124">
              <w:rPr>
                <w:szCs w:val="20"/>
              </w:rPr>
              <w:lastRenderedPageBreak/>
              <w:t>тахикардия и предсърдно мъждене)</w:t>
            </w:r>
          </w:p>
        </w:tc>
      </w:tr>
      <w:tr w:rsidR="001C4124" w14:paraId="31004A72" w14:textId="77777777" w:rsidTr="001C4124">
        <w:tc>
          <w:tcPr>
            <w:tcW w:w="3192" w:type="dxa"/>
            <w:vMerge/>
          </w:tcPr>
          <w:p w14:paraId="2E48B42B" w14:textId="77777777" w:rsidR="001C4124" w:rsidRPr="001C4124" w:rsidRDefault="001C4124" w:rsidP="001C4124">
            <w:pPr>
              <w:spacing w:line="240" w:lineRule="auto"/>
              <w:rPr>
                <w:rFonts w:eastAsia="Times New Roman" w:cs="Arial"/>
                <w:szCs w:val="24"/>
              </w:rPr>
            </w:pPr>
          </w:p>
        </w:tc>
        <w:tc>
          <w:tcPr>
            <w:tcW w:w="3192" w:type="dxa"/>
          </w:tcPr>
          <w:p w14:paraId="3634B0E2" w14:textId="55A821D4"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1E72B116" w14:textId="2E269AF5" w:rsidR="001C4124" w:rsidRPr="001C4124" w:rsidRDefault="001C4124" w:rsidP="001C4124">
            <w:pPr>
              <w:spacing w:line="240" w:lineRule="auto"/>
              <w:rPr>
                <w:rFonts w:eastAsia="Times New Roman" w:cs="Arial"/>
                <w:szCs w:val="24"/>
              </w:rPr>
            </w:pPr>
            <w:r w:rsidRPr="001C4124">
              <w:rPr>
                <w:szCs w:val="20"/>
              </w:rPr>
              <w:t>Миокарден инфаркт</w:t>
            </w:r>
          </w:p>
        </w:tc>
      </w:tr>
      <w:tr w:rsidR="001C4124" w14:paraId="18660D73" w14:textId="77777777" w:rsidTr="001C4124">
        <w:tc>
          <w:tcPr>
            <w:tcW w:w="3192" w:type="dxa"/>
            <w:vMerge w:val="restart"/>
          </w:tcPr>
          <w:p w14:paraId="7334CCC1" w14:textId="1A1373C9" w:rsidR="001C4124" w:rsidRPr="001C4124" w:rsidRDefault="001C4124" w:rsidP="001C4124">
            <w:pPr>
              <w:spacing w:line="240" w:lineRule="auto"/>
              <w:rPr>
                <w:rFonts w:eastAsia="Times New Roman" w:cs="Arial"/>
                <w:szCs w:val="24"/>
              </w:rPr>
            </w:pPr>
            <w:r w:rsidRPr="001C4124">
              <w:rPr>
                <w:szCs w:val="20"/>
              </w:rPr>
              <w:t>Съдови нарушения</w:t>
            </w:r>
          </w:p>
        </w:tc>
        <w:tc>
          <w:tcPr>
            <w:tcW w:w="3192" w:type="dxa"/>
          </w:tcPr>
          <w:p w14:paraId="4BA0040B" w14:textId="774DA422"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54C8049E" w14:textId="789E9C71" w:rsidR="001C4124" w:rsidRPr="001C4124" w:rsidRDefault="001C4124" w:rsidP="001C4124">
            <w:pPr>
              <w:spacing w:line="240" w:lineRule="auto"/>
              <w:rPr>
                <w:rFonts w:eastAsia="Times New Roman" w:cs="Arial"/>
                <w:szCs w:val="24"/>
              </w:rPr>
            </w:pPr>
            <w:r w:rsidRPr="001C4124">
              <w:rPr>
                <w:szCs w:val="20"/>
              </w:rPr>
              <w:t>Зачервяване на лицето</w:t>
            </w:r>
          </w:p>
        </w:tc>
      </w:tr>
      <w:tr w:rsidR="001C4124" w14:paraId="1C78652B" w14:textId="77777777" w:rsidTr="001C4124">
        <w:tc>
          <w:tcPr>
            <w:tcW w:w="3192" w:type="dxa"/>
            <w:vMerge/>
          </w:tcPr>
          <w:p w14:paraId="1E1EA569" w14:textId="77777777" w:rsidR="001C4124" w:rsidRPr="001C4124" w:rsidRDefault="001C4124" w:rsidP="001C4124">
            <w:pPr>
              <w:spacing w:line="240" w:lineRule="auto"/>
              <w:rPr>
                <w:rFonts w:eastAsia="Times New Roman" w:cs="Arial"/>
                <w:szCs w:val="24"/>
              </w:rPr>
            </w:pPr>
          </w:p>
        </w:tc>
        <w:tc>
          <w:tcPr>
            <w:tcW w:w="3192" w:type="dxa"/>
          </w:tcPr>
          <w:p w14:paraId="18BC5C34" w14:textId="77E4910F"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0D29ED11" w14:textId="169DEFF4" w:rsidR="001C4124" w:rsidRPr="001C4124" w:rsidRDefault="001C4124" w:rsidP="001C4124">
            <w:pPr>
              <w:spacing w:line="240" w:lineRule="auto"/>
              <w:rPr>
                <w:rFonts w:eastAsia="Times New Roman" w:cs="Arial"/>
                <w:szCs w:val="24"/>
              </w:rPr>
            </w:pPr>
            <w:r w:rsidRPr="001C4124">
              <w:rPr>
                <w:szCs w:val="20"/>
              </w:rPr>
              <w:t>Хипотония</w:t>
            </w:r>
          </w:p>
        </w:tc>
      </w:tr>
      <w:tr w:rsidR="001C4124" w14:paraId="2D8C5EA9" w14:textId="77777777" w:rsidTr="001C4124">
        <w:tc>
          <w:tcPr>
            <w:tcW w:w="3192" w:type="dxa"/>
            <w:vMerge/>
          </w:tcPr>
          <w:p w14:paraId="51CDDABE" w14:textId="77777777" w:rsidR="001C4124" w:rsidRPr="001C4124" w:rsidRDefault="001C4124" w:rsidP="001C4124">
            <w:pPr>
              <w:spacing w:line="240" w:lineRule="auto"/>
              <w:rPr>
                <w:rFonts w:eastAsia="Times New Roman" w:cs="Arial"/>
                <w:szCs w:val="24"/>
              </w:rPr>
            </w:pPr>
          </w:p>
        </w:tc>
        <w:tc>
          <w:tcPr>
            <w:tcW w:w="3192" w:type="dxa"/>
          </w:tcPr>
          <w:p w14:paraId="614D86BC" w14:textId="440B0EB9"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7636C0B9" w14:textId="7740BA0D" w:rsidR="001C4124" w:rsidRPr="001C4124" w:rsidRDefault="001C4124" w:rsidP="001C4124">
            <w:pPr>
              <w:spacing w:line="240" w:lineRule="auto"/>
              <w:rPr>
                <w:rFonts w:eastAsia="Times New Roman" w:cs="Arial"/>
                <w:szCs w:val="24"/>
              </w:rPr>
            </w:pPr>
            <w:r w:rsidRPr="001C4124">
              <w:rPr>
                <w:szCs w:val="20"/>
              </w:rPr>
              <w:t>Васкулит</w:t>
            </w:r>
          </w:p>
        </w:tc>
      </w:tr>
      <w:tr w:rsidR="001C4124" w14:paraId="56CEB5D6" w14:textId="77777777" w:rsidTr="001C4124">
        <w:tc>
          <w:tcPr>
            <w:tcW w:w="3192" w:type="dxa"/>
            <w:vMerge w:val="restart"/>
          </w:tcPr>
          <w:p w14:paraId="7D185122" w14:textId="092E85AE" w:rsidR="001C4124" w:rsidRPr="001C4124" w:rsidRDefault="001C4124" w:rsidP="001C4124">
            <w:pPr>
              <w:spacing w:line="240" w:lineRule="auto"/>
              <w:rPr>
                <w:rFonts w:eastAsia="Times New Roman" w:cs="Arial"/>
                <w:szCs w:val="24"/>
              </w:rPr>
            </w:pPr>
            <w:r w:rsidRPr="001C4124">
              <w:rPr>
                <w:szCs w:val="20"/>
              </w:rPr>
              <w:t>Респираторни, гръдни и медиастинални нарушения</w:t>
            </w:r>
          </w:p>
        </w:tc>
        <w:tc>
          <w:tcPr>
            <w:tcW w:w="3192" w:type="dxa"/>
          </w:tcPr>
          <w:p w14:paraId="28ED7A17" w14:textId="58CB088D"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39719E32" w14:textId="0013E6BD" w:rsidR="001C4124" w:rsidRPr="001C4124" w:rsidRDefault="001C4124" w:rsidP="001C4124">
            <w:pPr>
              <w:spacing w:line="240" w:lineRule="auto"/>
              <w:rPr>
                <w:rFonts w:eastAsia="Times New Roman" w:cs="Arial"/>
                <w:szCs w:val="24"/>
              </w:rPr>
            </w:pPr>
            <w:r w:rsidRPr="001C4124">
              <w:rPr>
                <w:szCs w:val="20"/>
              </w:rPr>
              <w:t>Дипснея</w:t>
            </w:r>
          </w:p>
        </w:tc>
      </w:tr>
      <w:tr w:rsidR="001C4124" w14:paraId="33B4215F" w14:textId="77777777" w:rsidTr="001C4124">
        <w:tc>
          <w:tcPr>
            <w:tcW w:w="3192" w:type="dxa"/>
            <w:vMerge/>
          </w:tcPr>
          <w:p w14:paraId="5322AC21" w14:textId="77777777" w:rsidR="001C4124" w:rsidRPr="001C4124" w:rsidRDefault="001C4124" w:rsidP="001C4124">
            <w:pPr>
              <w:spacing w:line="240" w:lineRule="auto"/>
              <w:rPr>
                <w:rFonts w:eastAsia="Times New Roman" w:cs="Arial"/>
                <w:szCs w:val="24"/>
              </w:rPr>
            </w:pPr>
          </w:p>
        </w:tc>
        <w:tc>
          <w:tcPr>
            <w:tcW w:w="3192" w:type="dxa"/>
          </w:tcPr>
          <w:p w14:paraId="74326293" w14:textId="16878826"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4BFC9385" w14:textId="687EE914" w:rsidR="001C4124" w:rsidRPr="001C4124" w:rsidRDefault="001C4124" w:rsidP="001C4124">
            <w:pPr>
              <w:spacing w:line="240" w:lineRule="auto"/>
              <w:rPr>
                <w:rFonts w:eastAsia="Times New Roman" w:cs="Arial"/>
                <w:szCs w:val="24"/>
              </w:rPr>
            </w:pPr>
            <w:r w:rsidRPr="001C4124">
              <w:rPr>
                <w:szCs w:val="20"/>
              </w:rPr>
              <w:t>Кашлица, ринит</w:t>
            </w:r>
          </w:p>
        </w:tc>
      </w:tr>
      <w:tr w:rsidR="001C4124" w14:paraId="4ACD1A75" w14:textId="77777777" w:rsidTr="001C4124">
        <w:tc>
          <w:tcPr>
            <w:tcW w:w="3192" w:type="dxa"/>
          </w:tcPr>
          <w:p w14:paraId="2070FB00" w14:textId="67C09280" w:rsidR="001C4124" w:rsidRPr="001C4124" w:rsidRDefault="001C4124" w:rsidP="001C4124">
            <w:pPr>
              <w:spacing w:line="240" w:lineRule="auto"/>
              <w:rPr>
                <w:rFonts w:eastAsia="Times New Roman" w:cs="Arial"/>
                <w:szCs w:val="24"/>
              </w:rPr>
            </w:pPr>
            <w:r w:rsidRPr="001C4124">
              <w:rPr>
                <w:szCs w:val="20"/>
              </w:rPr>
              <w:t>Стомашно-чревни нарушения</w:t>
            </w:r>
          </w:p>
        </w:tc>
        <w:tc>
          <w:tcPr>
            <w:tcW w:w="3192" w:type="dxa"/>
          </w:tcPr>
          <w:p w14:paraId="2959FF66" w14:textId="61C13840"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7CA7C212" w14:textId="4C97E3D7" w:rsidR="001C4124" w:rsidRPr="001C4124" w:rsidRDefault="001C4124" w:rsidP="001C4124">
            <w:pPr>
              <w:spacing w:line="240" w:lineRule="auto"/>
              <w:rPr>
                <w:rFonts w:eastAsia="Times New Roman" w:cs="Arial"/>
                <w:szCs w:val="24"/>
              </w:rPr>
            </w:pPr>
            <w:r w:rsidRPr="001C4124">
              <w:rPr>
                <w:szCs w:val="20"/>
              </w:rPr>
              <w:t>Коремна болка, гадене, диспепсия, нарушена чревна перисталтика (включително диария и запек)</w:t>
            </w:r>
          </w:p>
        </w:tc>
      </w:tr>
      <w:tr w:rsidR="001C4124" w14:paraId="379551FC" w14:textId="77777777" w:rsidTr="001C4124">
        <w:tc>
          <w:tcPr>
            <w:tcW w:w="3192" w:type="dxa"/>
            <w:vMerge w:val="restart"/>
          </w:tcPr>
          <w:p w14:paraId="397CE654" w14:textId="4FA752B6" w:rsidR="001C4124" w:rsidRPr="001C4124" w:rsidRDefault="001C4124" w:rsidP="001C4124">
            <w:pPr>
              <w:spacing w:line="240" w:lineRule="auto"/>
              <w:rPr>
                <w:rFonts w:eastAsia="Times New Roman" w:cs="Arial"/>
                <w:szCs w:val="24"/>
              </w:rPr>
            </w:pPr>
            <w:r w:rsidRPr="001C4124">
              <w:rPr>
                <w:szCs w:val="20"/>
              </w:rPr>
              <w:t>Хепатобилиарни нарушения</w:t>
            </w:r>
          </w:p>
        </w:tc>
        <w:tc>
          <w:tcPr>
            <w:tcW w:w="3192" w:type="dxa"/>
          </w:tcPr>
          <w:p w14:paraId="079CE69B" w14:textId="611CF3D8"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294783BA" w14:textId="2EC39C9B" w:rsidR="001C4124" w:rsidRPr="001C4124" w:rsidRDefault="001C4124" w:rsidP="001C4124">
            <w:pPr>
              <w:spacing w:line="240" w:lineRule="auto"/>
              <w:rPr>
                <w:rFonts w:eastAsia="Times New Roman" w:cs="Arial"/>
                <w:szCs w:val="24"/>
              </w:rPr>
            </w:pPr>
            <w:r w:rsidRPr="001C4124">
              <w:rPr>
                <w:szCs w:val="20"/>
              </w:rPr>
              <w:t>Повръщане, сухота в устата</w:t>
            </w:r>
          </w:p>
        </w:tc>
      </w:tr>
      <w:tr w:rsidR="001C4124" w14:paraId="396C9DE9" w14:textId="77777777" w:rsidTr="001C4124">
        <w:tc>
          <w:tcPr>
            <w:tcW w:w="3192" w:type="dxa"/>
            <w:vMerge/>
          </w:tcPr>
          <w:p w14:paraId="7676FB19" w14:textId="77777777" w:rsidR="001C4124" w:rsidRPr="001C4124" w:rsidRDefault="001C4124" w:rsidP="001C4124">
            <w:pPr>
              <w:spacing w:line="240" w:lineRule="auto"/>
              <w:rPr>
                <w:rFonts w:eastAsia="Times New Roman" w:cs="Arial"/>
                <w:szCs w:val="24"/>
              </w:rPr>
            </w:pPr>
          </w:p>
        </w:tc>
        <w:tc>
          <w:tcPr>
            <w:tcW w:w="3192" w:type="dxa"/>
          </w:tcPr>
          <w:p w14:paraId="4D8BE405" w14:textId="215BB8CF"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0AB76A10" w14:textId="56CD9026" w:rsidR="001C4124" w:rsidRPr="001C4124" w:rsidRDefault="001C4124" w:rsidP="001C4124">
            <w:pPr>
              <w:spacing w:line="240" w:lineRule="auto"/>
              <w:rPr>
                <w:rFonts w:eastAsia="Times New Roman" w:cs="Arial"/>
                <w:szCs w:val="24"/>
              </w:rPr>
            </w:pPr>
            <w:r w:rsidRPr="001C4124">
              <w:rPr>
                <w:szCs w:val="20"/>
              </w:rPr>
              <w:t>Панкреатит, гастрит, гингивална хиперплазия</w:t>
            </w:r>
          </w:p>
        </w:tc>
      </w:tr>
      <w:tr w:rsidR="001C4124" w14:paraId="1AB74E1B" w14:textId="77777777" w:rsidTr="001C4124">
        <w:tc>
          <w:tcPr>
            <w:tcW w:w="3192" w:type="dxa"/>
            <w:vMerge/>
          </w:tcPr>
          <w:p w14:paraId="16F2D308" w14:textId="77777777" w:rsidR="001C4124" w:rsidRPr="001C4124" w:rsidRDefault="001C4124" w:rsidP="001C4124">
            <w:pPr>
              <w:spacing w:line="240" w:lineRule="auto"/>
              <w:rPr>
                <w:rFonts w:eastAsia="Times New Roman" w:cs="Arial"/>
                <w:szCs w:val="24"/>
              </w:rPr>
            </w:pPr>
          </w:p>
        </w:tc>
        <w:tc>
          <w:tcPr>
            <w:tcW w:w="3192" w:type="dxa"/>
          </w:tcPr>
          <w:p w14:paraId="7C969625" w14:textId="271FEF6D"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380B0B25" w14:textId="0F30F879" w:rsidR="001C4124" w:rsidRPr="001C4124" w:rsidRDefault="001C4124" w:rsidP="001C4124">
            <w:pPr>
              <w:spacing w:line="240" w:lineRule="auto"/>
              <w:rPr>
                <w:rFonts w:eastAsia="Times New Roman" w:cs="Arial"/>
                <w:szCs w:val="24"/>
              </w:rPr>
            </w:pPr>
            <w:r w:rsidRPr="001C4124">
              <w:rPr>
                <w:szCs w:val="20"/>
              </w:rPr>
              <w:t>Хепатит, жълтеница, повишени чернодробни ензими*</w:t>
            </w:r>
          </w:p>
        </w:tc>
      </w:tr>
      <w:tr w:rsidR="001C4124" w14:paraId="7C6D2041" w14:textId="77777777" w:rsidTr="001C4124">
        <w:tc>
          <w:tcPr>
            <w:tcW w:w="3192" w:type="dxa"/>
            <w:vMerge w:val="restart"/>
          </w:tcPr>
          <w:p w14:paraId="053C161D" w14:textId="64B9058F" w:rsidR="001C4124" w:rsidRPr="001C4124" w:rsidRDefault="001C4124" w:rsidP="001C4124">
            <w:pPr>
              <w:spacing w:line="240" w:lineRule="auto"/>
              <w:rPr>
                <w:rFonts w:eastAsia="Times New Roman" w:cs="Arial"/>
                <w:szCs w:val="24"/>
              </w:rPr>
            </w:pPr>
            <w:r w:rsidRPr="001C4124">
              <w:rPr>
                <w:szCs w:val="20"/>
              </w:rPr>
              <w:t>Нарушения на кожата и подкожната тъкан</w:t>
            </w:r>
          </w:p>
        </w:tc>
        <w:tc>
          <w:tcPr>
            <w:tcW w:w="3192" w:type="dxa"/>
          </w:tcPr>
          <w:p w14:paraId="6D2901C4" w14:textId="2917235B"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5935B4FC" w14:textId="77B41CD1" w:rsidR="001C4124" w:rsidRPr="001C4124" w:rsidRDefault="001C4124" w:rsidP="001C4124">
            <w:pPr>
              <w:spacing w:line="240" w:lineRule="auto"/>
              <w:rPr>
                <w:rFonts w:eastAsia="Times New Roman" w:cs="Arial"/>
                <w:szCs w:val="24"/>
              </w:rPr>
            </w:pPr>
            <w:r w:rsidRPr="001C4124">
              <w:rPr>
                <w:szCs w:val="20"/>
              </w:rPr>
              <w:t>Алопеция, пурпура, промяна в цвета на кожата, хиперхидроза, пруритус, обрив, екзантем, утрикария</w:t>
            </w:r>
          </w:p>
        </w:tc>
      </w:tr>
      <w:tr w:rsidR="001C4124" w14:paraId="3E28C0DE" w14:textId="77777777" w:rsidTr="001C4124">
        <w:tc>
          <w:tcPr>
            <w:tcW w:w="3192" w:type="dxa"/>
            <w:vMerge/>
          </w:tcPr>
          <w:p w14:paraId="017B4F5C" w14:textId="77777777" w:rsidR="001C4124" w:rsidRPr="001C4124" w:rsidRDefault="001C4124" w:rsidP="001C4124">
            <w:pPr>
              <w:spacing w:line="240" w:lineRule="auto"/>
              <w:rPr>
                <w:rFonts w:eastAsia="Times New Roman" w:cs="Arial"/>
                <w:szCs w:val="24"/>
              </w:rPr>
            </w:pPr>
          </w:p>
        </w:tc>
        <w:tc>
          <w:tcPr>
            <w:tcW w:w="3192" w:type="dxa"/>
          </w:tcPr>
          <w:p w14:paraId="72A025B4" w14:textId="53C2780F" w:rsidR="001C4124" w:rsidRPr="001C4124" w:rsidRDefault="001C4124" w:rsidP="001C4124">
            <w:pPr>
              <w:spacing w:line="240" w:lineRule="auto"/>
              <w:rPr>
                <w:rFonts w:eastAsia="Times New Roman" w:cs="Arial"/>
                <w:szCs w:val="24"/>
              </w:rPr>
            </w:pPr>
            <w:r w:rsidRPr="001C4124">
              <w:rPr>
                <w:szCs w:val="20"/>
              </w:rPr>
              <w:t>Много редки</w:t>
            </w:r>
          </w:p>
        </w:tc>
        <w:tc>
          <w:tcPr>
            <w:tcW w:w="3192" w:type="dxa"/>
          </w:tcPr>
          <w:p w14:paraId="04D36DD2" w14:textId="6684B449" w:rsidR="001C4124" w:rsidRPr="001C4124" w:rsidRDefault="001C4124" w:rsidP="001C4124">
            <w:pPr>
              <w:spacing w:line="240" w:lineRule="auto"/>
              <w:rPr>
                <w:rFonts w:eastAsia="Times New Roman" w:cs="Arial"/>
                <w:szCs w:val="24"/>
              </w:rPr>
            </w:pPr>
            <w:r w:rsidRPr="001C4124">
              <w:rPr>
                <w:szCs w:val="20"/>
              </w:rPr>
              <w:t xml:space="preserve">Ангиоедем, еритема мултиформе, ексфолиативен дерматит, синдром на </w:t>
            </w:r>
            <w:r w:rsidRPr="001C4124">
              <w:rPr>
                <w:szCs w:val="20"/>
                <w:lang w:val="en-US"/>
              </w:rPr>
              <w:t>Stevens</w:t>
            </w:r>
            <w:r w:rsidRPr="001C4124">
              <w:rPr>
                <w:szCs w:val="20"/>
                <w:lang w:val="ru-RU"/>
              </w:rPr>
              <w:t>-</w:t>
            </w:r>
            <w:r w:rsidRPr="001C4124">
              <w:rPr>
                <w:szCs w:val="20"/>
                <w:lang w:val="en-US"/>
              </w:rPr>
              <w:t>Johnson</w:t>
            </w:r>
            <w:r w:rsidRPr="001C4124">
              <w:rPr>
                <w:szCs w:val="20"/>
                <w:lang w:val="ru-RU"/>
              </w:rPr>
              <w:t xml:space="preserve">, </w:t>
            </w:r>
            <w:r w:rsidRPr="001C4124">
              <w:rPr>
                <w:szCs w:val="20"/>
              </w:rPr>
              <w:t>оток на Квинке, фоточувствителност</w:t>
            </w:r>
          </w:p>
        </w:tc>
      </w:tr>
      <w:tr w:rsidR="001C4124" w14:paraId="489C0F87" w14:textId="77777777" w:rsidTr="001C4124">
        <w:tc>
          <w:tcPr>
            <w:tcW w:w="3192" w:type="dxa"/>
            <w:vMerge/>
          </w:tcPr>
          <w:p w14:paraId="3C7BEB9A" w14:textId="77777777" w:rsidR="001C4124" w:rsidRPr="001C4124" w:rsidRDefault="001C4124" w:rsidP="001C4124">
            <w:pPr>
              <w:spacing w:line="240" w:lineRule="auto"/>
              <w:rPr>
                <w:rFonts w:eastAsia="Times New Roman" w:cs="Arial"/>
                <w:szCs w:val="24"/>
              </w:rPr>
            </w:pPr>
          </w:p>
        </w:tc>
        <w:tc>
          <w:tcPr>
            <w:tcW w:w="3192" w:type="dxa"/>
          </w:tcPr>
          <w:p w14:paraId="790A3C72" w14:textId="0C053063" w:rsidR="001C4124" w:rsidRPr="001C4124" w:rsidRDefault="001C4124" w:rsidP="001C4124">
            <w:pPr>
              <w:spacing w:line="240" w:lineRule="auto"/>
              <w:rPr>
                <w:rFonts w:eastAsia="Times New Roman" w:cs="Arial"/>
                <w:szCs w:val="24"/>
              </w:rPr>
            </w:pPr>
            <w:r w:rsidRPr="001C4124">
              <w:rPr>
                <w:szCs w:val="20"/>
              </w:rPr>
              <w:t>С неизвестна честота</w:t>
            </w:r>
          </w:p>
        </w:tc>
        <w:tc>
          <w:tcPr>
            <w:tcW w:w="3192" w:type="dxa"/>
          </w:tcPr>
          <w:p w14:paraId="18BDE8E3" w14:textId="3E1DED9A" w:rsidR="001C4124" w:rsidRPr="001C4124" w:rsidRDefault="001C4124" w:rsidP="001C4124">
            <w:pPr>
              <w:spacing w:line="240" w:lineRule="auto"/>
              <w:rPr>
                <w:rFonts w:eastAsia="Times New Roman" w:cs="Arial"/>
                <w:szCs w:val="24"/>
              </w:rPr>
            </w:pPr>
            <w:r w:rsidRPr="001C4124">
              <w:rPr>
                <w:szCs w:val="20"/>
              </w:rPr>
              <w:t>Токсична епидермална некролиза</w:t>
            </w:r>
          </w:p>
        </w:tc>
      </w:tr>
      <w:tr w:rsidR="001C4124" w14:paraId="1CF93635" w14:textId="77777777" w:rsidTr="001C4124">
        <w:tc>
          <w:tcPr>
            <w:tcW w:w="3192" w:type="dxa"/>
            <w:vMerge w:val="restart"/>
          </w:tcPr>
          <w:p w14:paraId="260C7753" w14:textId="1D310A29" w:rsidR="001C4124" w:rsidRPr="001C4124" w:rsidRDefault="001C4124" w:rsidP="001C4124">
            <w:pPr>
              <w:spacing w:line="240" w:lineRule="auto"/>
              <w:rPr>
                <w:rFonts w:eastAsia="Times New Roman" w:cs="Arial"/>
                <w:szCs w:val="24"/>
              </w:rPr>
            </w:pPr>
            <w:r w:rsidRPr="001C4124">
              <w:rPr>
                <w:szCs w:val="20"/>
              </w:rPr>
              <w:t>Нарушения на мускулно- скелетната система и съединителната тъкан</w:t>
            </w:r>
          </w:p>
        </w:tc>
        <w:tc>
          <w:tcPr>
            <w:tcW w:w="3192" w:type="dxa"/>
          </w:tcPr>
          <w:p w14:paraId="474A775B" w14:textId="7D5F78DE"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0ED1AD7C" w14:textId="52ACE2C5" w:rsidR="001C4124" w:rsidRPr="001C4124" w:rsidRDefault="001C4124" w:rsidP="001C4124">
            <w:pPr>
              <w:spacing w:line="240" w:lineRule="auto"/>
              <w:rPr>
                <w:rFonts w:eastAsia="Times New Roman" w:cs="Arial"/>
                <w:szCs w:val="24"/>
              </w:rPr>
            </w:pPr>
            <w:r w:rsidRPr="001C4124">
              <w:rPr>
                <w:szCs w:val="20"/>
              </w:rPr>
              <w:t>Подуване на глезените, мускулни спазми</w:t>
            </w:r>
          </w:p>
        </w:tc>
      </w:tr>
      <w:tr w:rsidR="001C4124" w14:paraId="2D5DC8F1" w14:textId="77777777" w:rsidTr="001C4124">
        <w:tc>
          <w:tcPr>
            <w:tcW w:w="3192" w:type="dxa"/>
            <w:vMerge/>
          </w:tcPr>
          <w:p w14:paraId="1FA13FA9" w14:textId="77777777" w:rsidR="001C4124" w:rsidRPr="001C4124" w:rsidRDefault="001C4124" w:rsidP="001C4124">
            <w:pPr>
              <w:spacing w:line="240" w:lineRule="auto"/>
              <w:rPr>
                <w:rFonts w:eastAsia="Times New Roman" w:cs="Arial"/>
                <w:szCs w:val="24"/>
              </w:rPr>
            </w:pPr>
          </w:p>
        </w:tc>
        <w:tc>
          <w:tcPr>
            <w:tcW w:w="3192" w:type="dxa"/>
          </w:tcPr>
          <w:p w14:paraId="0813F6E9" w14:textId="4D847ECD"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00F40B2F" w14:textId="6F015324" w:rsidR="001C4124" w:rsidRPr="001C4124" w:rsidRDefault="001C4124" w:rsidP="001C4124">
            <w:pPr>
              <w:spacing w:line="240" w:lineRule="auto"/>
              <w:rPr>
                <w:rFonts w:eastAsia="Times New Roman" w:cs="Arial"/>
                <w:szCs w:val="24"/>
              </w:rPr>
            </w:pPr>
            <w:r w:rsidRPr="001C4124">
              <w:rPr>
                <w:szCs w:val="20"/>
              </w:rPr>
              <w:t>Артралгия, миалгия, болка в гърба</w:t>
            </w:r>
          </w:p>
        </w:tc>
      </w:tr>
      <w:tr w:rsidR="001C4124" w14:paraId="1FF83F15" w14:textId="77777777" w:rsidTr="001C4124">
        <w:tc>
          <w:tcPr>
            <w:tcW w:w="3192" w:type="dxa"/>
          </w:tcPr>
          <w:p w14:paraId="01F2883E" w14:textId="1AFBA315" w:rsidR="001C4124" w:rsidRPr="001C4124" w:rsidRDefault="001C4124" w:rsidP="001C4124">
            <w:pPr>
              <w:spacing w:line="240" w:lineRule="auto"/>
              <w:rPr>
                <w:rFonts w:eastAsia="Times New Roman" w:cs="Arial"/>
                <w:szCs w:val="24"/>
              </w:rPr>
            </w:pPr>
            <w:r w:rsidRPr="001C4124">
              <w:rPr>
                <w:szCs w:val="20"/>
              </w:rPr>
              <w:t>Нарушения на бъбреците и пикочните пътища</w:t>
            </w:r>
          </w:p>
        </w:tc>
        <w:tc>
          <w:tcPr>
            <w:tcW w:w="3192" w:type="dxa"/>
          </w:tcPr>
          <w:p w14:paraId="50616476" w14:textId="42AC2B4E"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4357F253" w14:textId="62061E89" w:rsidR="001C4124" w:rsidRPr="001C4124" w:rsidRDefault="001C4124" w:rsidP="001C4124">
            <w:pPr>
              <w:spacing w:line="240" w:lineRule="auto"/>
              <w:rPr>
                <w:rFonts w:eastAsia="Times New Roman" w:cs="Arial"/>
                <w:szCs w:val="24"/>
              </w:rPr>
            </w:pPr>
            <w:r w:rsidRPr="001C4124">
              <w:rPr>
                <w:szCs w:val="20"/>
              </w:rPr>
              <w:t>Микционни нарушения, никтурия, по- често уриниране</w:t>
            </w:r>
          </w:p>
        </w:tc>
      </w:tr>
      <w:tr w:rsidR="001C4124" w14:paraId="3A9E75AD" w14:textId="77777777" w:rsidTr="001C4124">
        <w:tc>
          <w:tcPr>
            <w:tcW w:w="3192" w:type="dxa"/>
          </w:tcPr>
          <w:p w14:paraId="1198D5CF" w14:textId="1FCE4763" w:rsidR="001C4124" w:rsidRPr="001C4124" w:rsidRDefault="001C4124" w:rsidP="001C4124">
            <w:pPr>
              <w:spacing w:line="240" w:lineRule="auto"/>
              <w:rPr>
                <w:rFonts w:eastAsia="Times New Roman" w:cs="Arial"/>
                <w:szCs w:val="24"/>
              </w:rPr>
            </w:pPr>
            <w:r w:rsidRPr="001C4124">
              <w:rPr>
                <w:szCs w:val="20"/>
              </w:rPr>
              <w:t>Нарушения на възпроизводителната система и гърдата</w:t>
            </w:r>
          </w:p>
        </w:tc>
        <w:tc>
          <w:tcPr>
            <w:tcW w:w="3192" w:type="dxa"/>
          </w:tcPr>
          <w:p w14:paraId="2F4F1D1F" w14:textId="47955DBB"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091D0D93" w14:textId="4839B4B0" w:rsidR="001C4124" w:rsidRPr="001C4124" w:rsidRDefault="001C4124" w:rsidP="001C4124">
            <w:pPr>
              <w:spacing w:line="240" w:lineRule="auto"/>
              <w:rPr>
                <w:rFonts w:eastAsia="Times New Roman" w:cs="Arial"/>
                <w:szCs w:val="24"/>
              </w:rPr>
            </w:pPr>
            <w:r w:rsidRPr="001C4124">
              <w:rPr>
                <w:szCs w:val="20"/>
              </w:rPr>
              <w:t>Импотентност, гинекомастия</w:t>
            </w:r>
          </w:p>
        </w:tc>
      </w:tr>
      <w:tr w:rsidR="001C4124" w14:paraId="6007811D" w14:textId="77777777" w:rsidTr="001C4124">
        <w:tc>
          <w:tcPr>
            <w:tcW w:w="3192" w:type="dxa"/>
            <w:vMerge w:val="restart"/>
          </w:tcPr>
          <w:p w14:paraId="6C154D4E" w14:textId="68D59109" w:rsidR="001C4124" w:rsidRPr="001C4124" w:rsidRDefault="001C4124" w:rsidP="001C4124">
            <w:pPr>
              <w:spacing w:line="240" w:lineRule="auto"/>
              <w:rPr>
                <w:rFonts w:eastAsia="Times New Roman" w:cs="Arial"/>
                <w:szCs w:val="24"/>
              </w:rPr>
            </w:pPr>
            <w:r w:rsidRPr="001C4124">
              <w:rPr>
                <w:szCs w:val="20"/>
              </w:rPr>
              <w:t>Общи нарушения и ефекти на мястото на приложение</w:t>
            </w:r>
          </w:p>
        </w:tc>
        <w:tc>
          <w:tcPr>
            <w:tcW w:w="3192" w:type="dxa"/>
          </w:tcPr>
          <w:p w14:paraId="084392EA" w14:textId="642A02F3" w:rsidR="001C4124" w:rsidRPr="001C4124" w:rsidRDefault="001C4124" w:rsidP="001C4124">
            <w:pPr>
              <w:spacing w:line="240" w:lineRule="auto"/>
              <w:rPr>
                <w:rFonts w:eastAsia="Times New Roman" w:cs="Arial"/>
                <w:szCs w:val="24"/>
              </w:rPr>
            </w:pPr>
            <w:r w:rsidRPr="001C4124">
              <w:rPr>
                <w:szCs w:val="20"/>
              </w:rPr>
              <w:t>Много чести</w:t>
            </w:r>
          </w:p>
        </w:tc>
        <w:tc>
          <w:tcPr>
            <w:tcW w:w="3192" w:type="dxa"/>
          </w:tcPr>
          <w:p w14:paraId="2367CBF0" w14:textId="3AC007B5" w:rsidR="001C4124" w:rsidRPr="001C4124" w:rsidRDefault="001C4124" w:rsidP="001C4124">
            <w:pPr>
              <w:spacing w:line="240" w:lineRule="auto"/>
              <w:rPr>
                <w:rFonts w:eastAsia="Times New Roman" w:cs="Arial"/>
                <w:szCs w:val="24"/>
              </w:rPr>
            </w:pPr>
            <w:r w:rsidRPr="001C4124">
              <w:rPr>
                <w:szCs w:val="20"/>
              </w:rPr>
              <w:t>Оток</w:t>
            </w:r>
          </w:p>
        </w:tc>
      </w:tr>
      <w:tr w:rsidR="001C4124" w14:paraId="16CC4AFC" w14:textId="77777777" w:rsidTr="001C4124">
        <w:tc>
          <w:tcPr>
            <w:tcW w:w="3192" w:type="dxa"/>
            <w:vMerge/>
          </w:tcPr>
          <w:p w14:paraId="1AF127F4" w14:textId="77777777" w:rsidR="001C4124" w:rsidRPr="001C4124" w:rsidRDefault="001C4124" w:rsidP="001C4124">
            <w:pPr>
              <w:spacing w:line="240" w:lineRule="auto"/>
              <w:rPr>
                <w:rFonts w:eastAsia="Times New Roman" w:cs="Arial"/>
                <w:szCs w:val="24"/>
              </w:rPr>
            </w:pPr>
          </w:p>
        </w:tc>
        <w:tc>
          <w:tcPr>
            <w:tcW w:w="3192" w:type="dxa"/>
          </w:tcPr>
          <w:p w14:paraId="30967D21" w14:textId="73F48604" w:rsidR="001C4124" w:rsidRPr="001C4124" w:rsidRDefault="001C4124" w:rsidP="001C4124">
            <w:pPr>
              <w:spacing w:line="240" w:lineRule="auto"/>
              <w:rPr>
                <w:rFonts w:eastAsia="Times New Roman" w:cs="Arial"/>
                <w:szCs w:val="24"/>
              </w:rPr>
            </w:pPr>
            <w:r w:rsidRPr="001C4124">
              <w:rPr>
                <w:szCs w:val="20"/>
              </w:rPr>
              <w:t>Чести</w:t>
            </w:r>
          </w:p>
        </w:tc>
        <w:tc>
          <w:tcPr>
            <w:tcW w:w="3192" w:type="dxa"/>
          </w:tcPr>
          <w:p w14:paraId="184B2B64" w14:textId="06C62A70" w:rsidR="001C4124" w:rsidRPr="001C4124" w:rsidRDefault="001C4124" w:rsidP="001C4124">
            <w:pPr>
              <w:spacing w:line="240" w:lineRule="auto"/>
              <w:rPr>
                <w:rFonts w:eastAsia="Times New Roman" w:cs="Arial"/>
                <w:szCs w:val="24"/>
              </w:rPr>
            </w:pPr>
            <w:r w:rsidRPr="001C4124">
              <w:rPr>
                <w:szCs w:val="20"/>
              </w:rPr>
              <w:t>Умора, астения</w:t>
            </w:r>
          </w:p>
        </w:tc>
      </w:tr>
      <w:tr w:rsidR="001C4124" w14:paraId="2F8A9F23" w14:textId="77777777" w:rsidTr="001C4124">
        <w:tc>
          <w:tcPr>
            <w:tcW w:w="3192" w:type="dxa"/>
            <w:vMerge/>
          </w:tcPr>
          <w:p w14:paraId="36656D1B" w14:textId="77777777" w:rsidR="001C4124" w:rsidRPr="001C4124" w:rsidRDefault="001C4124" w:rsidP="001C4124">
            <w:pPr>
              <w:spacing w:line="240" w:lineRule="auto"/>
              <w:rPr>
                <w:rFonts w:eastAsia="Times New Roman" w:cs="Arial"/>
                <w:szCs w:val="24"/>
              </w:rPr>
            </w:pPr>
          </w:p>
        </w:tc>
        <w:tc>
          <w:tcPr>
            <w:tcW w:w="3192" w:type="dxa"/>
          </w:tcPr>
          <w:p w14:paraId="6C176A31" w14:textId="7B56BC36"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5951BB48" w14:textId="497F664B" w:rsidR="001C4124" w:rsidRPr="001C4124" w:rsidRDefault="001C4124" w:rsidP="001C4124">
            <w:pPr>
              <w:spacing w:line="240" w:lineRule="auto"/>
              <w:rPr>
                <w:rFonts w:eastAsia="Times New Roman" w:cs="Arial"/>
                <w:szCs w:val="24"/>
              </w:rPr>
            </w:pPr>
            <w:r w:rsidRPr="001C4124">
              <w:rPr>
                <w:szCs w:val="20"/>
              </w:rPr>
              <w:t>Гръдна болка, болка, неразположение</w:t>
            </w:r>
          </w:p>
        </w:tc>
      </w:tr>
      <w:tr w:rsidR="001C4124" w14:paraId="2AC61388" w14:textId="77777777" w:rsidTr="001C4124">
        <w:tc>
          <w:tcPr>
            <w:tcW w:w="3192" w:type="dxa"/>
          </w:tcPr>
          <w:p w14:paraId="7407BD5B" w14:textId="37841CB2" w:rsidR="001C4124" w:rsidRPr="001C4124" w:rsidRDefault="001C4124" w:rsidP="001C4124">
            <w:pPr>
              <w:spacing w:line="240" w:lineRule="auto"/>
              <w:rPr>
                <w:rFonts w:eastAsia="Times New Roman" w:cs="Arial"/>
                <w:szCs w:val="24"/>
              </w:rPr>
            </w:pPr>
            <w:r w:rsidRPr="001C4124">
              <w:rPr>
                <w:szCs w:val="20"/>
              </w:rPr>
              <w:t>Изследвания</w:t>
            </w:r>
          </w:p>
        </w:tc>
        <w:tc>
          <w:tcPr>
            <w:tcW w:w="3192" w:type="dxa"/>
          </w:tcPr>
          <w:p w14:paraId="67F83C60" w14:textId="624D9D26" w:rsidR="001C4124" w:rsidRPr="001C4124" w:rsidRDefault="001C4124" w:rsidP="001C4124">
            <w:pPr>
              <w:spacing w:line="240" w:lineRule="auto"/>
              <w:rPr>
                <w:rFonts w:eastAsia="Times New Roman" w:cs="Arial"/>
                <w:szCs w:val="24"/>
              </w:rPr>
            </w:pPr>
            <w:r w:rsidRPr="001C4124">
              <w:rPr>
                <w:szCs w:val="20"/>
              </w:rPr>
              <w:t>Нечести</w:t>
            </w:r>
          </w:p>
        </w:tc>
        <w:tc>
          <w:tcPr>
            <w:tcW w:w="3192" w:type="dxa"/>
          </w:tcPr>
          <w:p w14:paraId="39311381" w14:textId="56929564" w:rsidR="001C4124" w:rsidRPr="001C4124" w:rsidRDefault="001C4124" w:rsidP="001C4124">
            <w:pPr>
              <w:spacing w:line="240" w:lineRule="auto"/>
              <w:rPr>
                <w:rFonts w:eastAsia="Times New Roman" w:cs="Arial"/>
                <w:szCs w:val="24"/>
              </w:rPr>
            </w:pPr>
            <w:r w:rsidRPr="001C4124">
              <w:rPr>
                <w:szCs w:val="20"/>
              </w:rPr>
              <w:t>Повишено телесно тегло, намалено телесно тегло</w:t>
            </w:r>
          </w:p>
        </w:tc>
      </w:tr>
    </w:tbl>
    <w:p w14:paraId="0AE753F2"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*Главно свързани с холестаза</w:t>
      </w:r>
    </w:p>
    <w:p w14:paraId="527F36DA" w14:textId="77777777" w:rsidR="001C4124" w:rsidRPr="001C4124" w:rsidRDefault="001C4124" w:rsidP="001C4124">
      <w:pPr>
        <w:spacing w:line="240" w:lineRule="auto"/>
        <w:rPr>
          <w:rFonts w:eastAsia="Times New Roman" w:cs="Arial"/>
          <w:color w:val="000000"/>
          <w:u w:val="single"/>
          <w:lang w:eastAsia="bg-BG"/>
        </w:rPr>
      </w:pPr>
    </w:p>
    <w:p w14:paraId="678C3158" w14:textId="317AE3BA" w:rsidR="001C4124" w:rsidRPr="001C4124" w:rsidRDefault="001C4124" w:rsidP="001C4124">
      <w:pPr>
        <w:spacing w:line="240" w:lineRule="auto"/>
        <w:rPr>
          <w:rFonts w:eastAsia="Times New Roman" w:cs="Arial"/>
        </w:rPr>
      </w:pPr>
      <w:r w:rsidRPr="001C4124">
        <w:rPr>
          <w:rFonts w:eastAsia="Times New Roman" w:cs="Arial"/>
          <w:color w:val="000000"/>
          <w:u w:val="single"/>
          <w:lang w:eastAsia="bg-BG"/>
        </w:rPr>
        <w:t>Съобщаване на подозирани нежелани реакции</w:t>
      </w:r>
    </w:p>
    <w:p w14:paraId="084DF349"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lastRenderedPageBreak/>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r w:rsidRPr="001C4124">
        <w:rPr>
          <w:rFonts w:eastAsia="Times New Roman" w:cs="Arial"/>
        </w:rPr>
        <w:fldChar w:fldCharType="begin"/>
      </w:r>
      <w:r w:rsidRPr="001C4124">
        <w:rPr>
          <w:rFonts w:eastAsia="Times New Roman" w:cs="Arial"/>
        </w:rPr>
        <w:instrText xml:space="preserve"> HYPERLINK "http://www.bda.bg" </w:instrText>
      </w:r>
      <w:r w:rsidRPr="001C4124">
        <w:rPr>
          <w:rFonts w:eastAsia="Times New Roman" w:cs="Arial"/>
        </w:rPr>
      </w:r>
      <w:r w:rsidRPr="001C4124">
        <w:rPr>
          <w:rFonts w:eastAsia="Times New Roman" w:cs="Arial"/>
        </w:rPr>
        <w:fldChar w:fldCharType="separate"/>
      </w:r>
      <w:r w:rsidRPr="001C4124">
        <w:rPr>
          <w:rFonts w:eastAsia="Times New Roman" w:cs="Arial"/>
          <w:color w:val="000000"/>
          <w:u w:val="single"/>
          <w:lang w:val="en-US"/>
        </w:rPr>
        <w:t>www.bda.bg</w:t>
      </w:r>
      <w:r w:rsidRPr="001C4124">
        <w:rPr>
          <w:rFonts w:eastAsia="Times New Roman" w:cs="Arial"/>
        </w:rPr>
        <w:fldChar w:fldCharType="end"/>
      </w:r>
      <w:r w:rsidRPr="001C4124">
        <w:rPr>
          <w:rFonts w:eastAsia="Times New Roman" w:cs="Arial"/>
          <w:color w:val="000000"/>
          <w:lang w:val="en-US"/>
        </w:rPr>
        <w:t>.</w:t>
      </w:r>
    </w:p>
    <w:p w14:paraId="651F6D0D" w14:textId="21B75BB9" w:rsidR="001C4124" w:rsidRPr="001C4124" w:rsidRDefault="001C4124" w:rsidP="001C4124"/>
    <w:p w14:paraId="5A87DBA3" w14:textId="12468DBE" w:rsidR="007122AD" w:rsidRDefault="002C50EE" w:rsidP="00936AD0">
      <w:pPr>
        <w:pStyle w:val="Heading2"/>
      </w:pPr>
      <w:r>
        <w:t>4.9. Предозиране</w:t>
      </w:r>
    </w:p>
    <w:p w14:paraId="37B87B14" w14:textId="3B568BED" w:rsidR="001C4124" w:rsidRDefault="001C4124" w:rsidP="001C4124"/>
    <w:p w14:paraId="48258EDB"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Няма информация за предозиране с Приамло 4 </w:t>
      </w:r>
      <w:r w:rsidRPr="001C4124">
        <w:rPr>
          <w:rFonts w:eastAsia="Times New Roman" w:cs="Arial"/>
          <w:color w:val="000000"/>
          <w:szCs w:val="20"/>
          <w:lang w:val="en-US"/>
        </w:rPr>
        <w:t>mg</w:t>
      </w:r>
      <w:r w:rsidRPr="001C4124">
        <w:rPr>
          <w:rFonts w:eastAsia="Times New Roman" w:cs="Arial"/>
          <w:color w:val="000000"/>
          <w:szCs w:val="20"/>
          <w:lang w:val="ru-RU"/>
        </w:rPr>
        <w:t xml:space="preserve">/5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таблетки при хора.</w:t>
      </w:r>
    </w:p>
    <w:p w14:paraId="51510A13" w14:textId="77777777" w:rsidR="001C4124" w:rsidRPr="001C4124" w:rsidRDefault="001C4124" w:rsidP="001C4124">
      <w:pPr>
        <w:spacing w:line="240" w:lineRule="auto"/>
        <w:rPr>
          <w:rFonts w:eastAsia="Times New Roman" w:cs="Arial"/>
          <w:color w:val="000000"/>
          <w:szCs w:val="20"/>
          <w:u w:val="single"/>
          <w:lang w:eastAsia="bg-BG"/>
        </w:rPr>
      </w:pPr>
    </w:p>
    <w:p w14:paraId="63E63E40" w14:textId="7572D48D" w:rsidR="001C4124" w:rsidRPr="001C4124" w:rsidRDefault="001C4124" w:rsidP="001C4124">
      <w:pPr>
        <w:pStyle w:val="Heading3"/>
        <w:rPr>
          <w:rFonts w:eastAsia="Times New Roman"/>
          <w:sz w:val="28"/>
          <w:u w:val="single"/>
        </w:rPr>
      </w:pPr>
      <w:r w:rsidRPr="001C4124">
        <w:rPr>
          <w:rFonts w:eastAsia="Times New Roman"/>
          <w:u w:val="single"/>
          <w:lang w:eastAsia="bg-BG"/>
        </w:rPr>
        <w:t>Симптоми</w:t>
      </w:r>
    </w:p>
    <w:p w14:paraId="0242DEE4" w14:textId="2CFC67A0" w:rsidR="001C4124" w:rsidRPr="001C4124" w:rsidRDefault="001C4124" w:rsidP="001C4124">
      <w:pPr>
        <w:rPr>
          <w:rFonts w:eastAsia="Times New Roman" w:cs="Arial"/>
          <w:color w:val="000000"/>
          <w:szCs w:val="20"/>
          <w:lang w:eastAsia="bg-BG"/>
        </w:rPr>
      </w:pPr>
      <w:r w:rsidRPr="001C4124">
        <w:rPr>
          <w:rFonts w:eastAsia="Times New Roman" w:cs="Arial"/>
          <w:color w:val="000000"/>
          <w:szCs w:val="20"/>
          <w:lang w:eastAsia="bg-BG"/>
        </w:rPr>
        <w:t>Има ограничени данни за предозиране на периндоприл при хора. Симптомите, свързани с предозиране на АСЕ инхибитори може да включват хипотония, циркулаторен шок, електролитни нарушения, бъбречна недостатъчност, хипервентилация, тахикардия, сърцебиене, брадикардия, замайване, тревожност и кашлица.</w:t>
      </w:r>
    </w:p>
    <w:p w14:paraId="6A202E1A" w14:textId="6F959880" w:rsidR="001C4124" w:rsidRPr="001C4124" w:rsidRDefault="001C4124" w:rsidP="001C4124">
      <w:pPr>
        <w:rPr>
          <w:rFonts w:eastAsia="Times New Roman" w:cs="Arial"/>
          <w:color w:val="000000"/>
          <w:szCs w:val="20"/>
          <w:lang w:eastAsia="bg-BG"/>
        </w:rPr>
      </w:pPr>
    </w:p>
    <w:p w14:paraId="0C782E51"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Опитът с умишлено предозиране на амлодипин при хора е ограничен. Наличните данни показват, че значителното предозиране може да доведе до прекомерна периферна вазодилатация и възможна рефлексна тахикардия. Има съобщения за изразена и вероятно продължителна системна хипотония, включително до шок с фатален изход.</w:t>
      </w:r>
    </w:p>
    <w:p w14:paraId="5F20F78E" w14:textId="77777777" w:rsidR="001C4124" w:rsidRPr="001C4124" w:rsidRDefault="001C4124" w:rsidP="001C4124">
      <w:pPr>
        <w:spacing w:line="240" w:lineRule="auto"/>
        <w:rPr>
          <w:rFonts w:eastAsia="Times New Roman" w:cs="Arial"/>
          <w:b/>
          <w:bCs/>
          <w:color w:val="000000"/>
          <w:szCs w:val="20"/>
          <w:lang w:eastAsia="bg-BG"/>
        </w:rPr>
      </w:pPr>
    </w:p>
    <w:p w14:paraId="7995967D" w14:textId="544E690D" w:rsidR="001C4124" w:rsidRPr="001C4124" w:rsidRDefault="001C4124" w:rsidP="001C4124">
      <w:pPr>
        <w:spacing w:line="240" w:lineRule="auto"/>
        <w:rPr>
          <w:rFonts w:eastAsia="Times New Roman" w:cs="Arial"/>
          <w:sz w:val="28"/>
          <w:szCs w:val="24"/>
        </w:rPr>
      </w:pPr>
      <w:r w:rsidRPr="001C4124">
        <w:rPr>
          <w:rFonts w:eastAsia="Times New Roman" w:cs="Arial"/>
          <w:b/>
          <w:bCs/>
          <w:color w:val="000000"/>
          <w:szCs w:val="20"/>
          <w:lang w:eastAsia="bg-BG"/>
        </w:rPr>
        <w:t>Некардиогенен белодробен оток се съобщава рядко като последица от предозиране с амлодипин, който може да се прояви със забавено начало на ефекта (24-48 часа след поглъщане) и да изисква изкуствена вентилация. Ранните реанимационни мерки (включително натоварване с течности) за поддържане на перфузията и сърдечния дебит могат да бъдат ускоряващи фактори.</w:t>
      </w:r>
    </w:p>
    <w:p w14:paraId="597A9E30" w14:textId="77777777" w:rsidR="001C4124" w:rsidRPr="001C4124" w:rsidRDefault="001C4124" w:rsidP="001C4124">
      <w:pPr>
        <w:spacing w:line="240" w:lineRule="auto"/>
        <w:rPr>
          <w:rFonts w:eastAsia="Times New Roman" w:cs="Arial"/>
          <w:color w:val="000000"/>
          <w:szCs w:val="20"/>
          <w:u w:val="single"/>
          <w:lang w:eastAsia="bg-BG"/>
        </w:rPr>
      </w:pPr>
    </w:p>
    <w:p w14:paraId="7ABB3B08" w14:textId="0EC5E8A4" w:rsidR="001C4124" w:rsidRPr="001C4124" w:rsidRDefault="001C4124" w:rsidP="001C4124">
      <w:pPr>
        <w:pStyle w:val="Heading3"/>
        <w:rPr>
          <w:rFonts w:eastAsia="Times New Roman"/>
          <w:sz w:val="28"/>
          <w:u w:val="single"/>
        </w:rPr>
      </w:pPr>
      <w:r w:rsidRPr="001C4124">
        <w:rPr>
          <w:rFonts w:eastAsia="Times New Roman"/>
          <w:u w:val="single"/>
          <w:lang w:eastAsia="bg-BG"/>
        </w:rPr>
        <w:t>Управление</w:t>
      </w:r>
    </w:p>
    <w:p w14:paraId="7BD4AB65"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Препоръчителното лечение на предозирането е интравенозно приложение на 9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ml</w:t>
      </w:r>
      <w:r w:rsidRPr="001C4124">
        <w:rPr>
          <w:rFonts w:eastAsia="Times New Roman" w:cs="Arial"/>
          <w:color w:val="000000"/>
          <w:szCs w:val="20"/>
          <w:lang w:val="ru-RU"/>
        </w:rPr>
        <w:t xml:space="preserve"> </w:t>
      </w:r>
      <w:r w:rsidRPr="001C4124">
        <w:rPr>
          <w:rFonts w:eastAsia="Times New Roman" w:cs="Arial"/>
          <w:color w:val="000000"/>
          <w:szCs w:val="20"/>
          <w:lang w:eastAsia="bg-BG"/>
        </w:rPr>
        <w:t>(0,9%) разтвор на натриев хлорид. Клинично значимата хипотония изисква предприемане на активни мерки за поддържане на сърдечно-съдовата функция, включително често проследяване на сърдечната и дихателна функция, повдигане на крайниците и проследяване на циркулиращия обем и диурезата. Необходимо е непрекъснато следене на жизнените показатели, серумните електролити и концентрациите на креатинин. Може да се обсъди и лечение с инфузия на ангиотензин II и/или катехоламини интравенозно. Поставянето на пейсмейкър е показано при резистентна на лечение брадикардия. Приложението на вазоконстриктор може да е от полза при възстановяване на съдовия тонус и артериалното налягане, при условие че няма противопоказания за употребата му. Интравенозното приложение на калциев глюконат може да е от полза за преодоляване на ефекта от блокадата на калциевите канали.</w:t>
      </w:r>
    </w:p>
    <w:p w14:paraId="17ADC2C8" w14:textId="77777777" w:rsidR="001C4124" w:rsidRPr="001C4124" w:rsidRDefault="001C4124" w:rsidP="001C4124">
      <w:pPr>
        <w:spacing w:line="240" w:lineRule="auto"/>
        <w:rPr>
          <w:rFonts w:eastAsia="Times New Roman" w:cs="Arial"/>
          <w:color w:val="000000"/>
          <w:szCs w:val="20"/>
          <w:lang w:eastAsia="bg-BG"/>
        </w:rPr>
      </w:pPr>
    </w:p>
    <w:p w14:paraId="28C04DE2" w14:textId="501383A2"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В някои случаи може да е полезна стомашна промивка. При здрави доброволци, употребата на активен въглен до 2 часа след приложение на 10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амлодипин намалява скоростта на абсорбция на амлодипин.</w:t>
      </w:r>
    </w:p>
    <w:p w14:paraId="709BABA9" w14:textId="77777777" w:rsidR="001C4124" w:rsidRPr="001C4124" w:rsidRDefault="001C4124" w:rsidP="001C4124">
      <w:pPr>
        <w:spacing w:line="240" w:lineRule="auto"/>
        <w:rPr>
          <w:rFonts w:eastAsia="Times New Roman" w:cs="Arial"/>
          <w:color w:val="000000"/>
          <w:szCs w:val="20"/>
          <w:lang w:eastAsia="bg-BG"/>
        </w:rPr>
      </w:pPr>
    </w:p>
    <w:p w14:paraId="7478AB3E" w14:textId="00163FD6"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Периндоприл може да бъде отстранен от кръвообращението чрез хемодиализа. Тъй като амлодипин се свързва във висока степен с плазмените протеини, диализата не е от полза (вж. точка 4.4).</w:t>
      </w:r>
    </w:p>
    <w:p w14:paraId="59084668" w14:textId="77777777" w:rsidR="001C4124" w:rsidRPr="001C4124" w:rsidRDefault="001C4124" w:rsidP="001C4124"/>
    <w:p w14:paraId="02081B24" w14:textId="36FE76F4" w:rsidR="00395555" w:rsidRPr="00395555" w:rsidRDefault="002C50EE" w:rsidP="008A6AF2">
      <w:pPr>
        <w:pStyle w:val="Heading1"/>
      </w:pPr>
      <w:r>
        <w:t>5. ФАРМАКОЛОГИЧНИ СВОЙСТВА</w:t>
      </w:r>
    </w:p>
    <w:p w14:paraId="6339E404" w14:textId="0492963B" w:rsidR="00875EEC" w:rsidRDefault="002C50EE" w:rsidP="005726E3">
      <w:pPr>
        <w:pStyle w:val="Heading2"/>
      </w:pPr>
      <w:r>
        <w:t>5.1. Фармакодинамични свойства</w:t>
      </w:r>
    </w:p>
    <w:p w14:paraId="0699FB47" w14:textId="5C497BDA" w:rsidR="001C4124" w:rsidRDefault="001C4124" w:rsidP="001C4124"/>
    <w:p w14:paraId="158FA25F"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Фармакотерапевтична група: средства, действащи върху ренин-ангиотензиновата система, АСЕ инхибитори и блокери на калциевите канали АТС код: С09ВВ04</w:t>
      </w:r>
    </w:p>
    <w:p w14:paraId="6DA531A3" w14:textId="77777777" w:rsidR="001C4124" w:rsidRPr="001C4124" w:rsidRDefault="001C4124" w:rsidP="001C4124">
      <w:pPr>
        <w:spacing w:line="240" w:lineRule="auto"/>
        <w:rPr>
          <w:rFonts w:eastAsia="Times New Roman" w:cs="Arial"/>
          <w:color w:val="000000"/>
          <w:lang w:eastAsia="bg-BG"/>
        </w:rPr>
      </w:pPr>
    </w:p>
    <w:p w14:paraId="4254DCCB" w14:textId="44077876"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Приамло 4 </w:t>
      </w:r>
      <w:r w:rsidRPr="001C4124">
        <w:rPr>
          <w:rFonts w:eastAsia="Times New Roman" w:cs="Arial"/>
          <w:color w:val="000000"/>
          <w:lang w:val="en-US"/>
        </w:rPr>
        <w:t>mg</w:t>
      </w:r>
      <w:r w:rsidRPr="001C4124">
        <w:rPr>
          <w:rFonts w:eastAsia="Times New Roman" w:cs="Arial"/>
          <w:color w:val="000000"/>
          <w:lang w:val="ru-RU"/>
        </w:rPr>
        <w:t xml:space="preserve">/5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таблетки съчетава две съставки с антихипертензивно действие, с допълващ се механизъм за контрол на артериалното налягане при пациенти с есенциална хипертония и за намаляване на риска от клинични събития при пациенти с исхемична болест на сърцето (ИБС): амлодипин принадлежи към класа на калциевите антагонисти, а периндоприл към класа на инхибиторите на ангиотензин-конвертиращия ензим. Комбинацията от тези съставки има адитивен антихипертензивен ефект, като понижава кръвното налягане в по-голяма степен, отколкото всяка една от съставките самостоятелно.</w:t>
      </w:r>
    </w:p>
    <w:p w14:paraId="0D6A59E6" w14:textId="77777777" w:rsidR="001C4124" w:rsidRPr="001C4124" w:rsidRDefault="001C4124" w:rsidP="001C4124">
      <w:pPr>
        <w:spacing w:line="240" w:lineRule="auto"/>
        <w:rPr>
          <w:rFonts w:eastAsia="Times New Roman" w:cs="Arial"/>
          <w:color w:val="000000"/>
          <w:u w:val="single"/>
          <w:lang w:eastAsia="bg-BG"/>
        </w:rPr>
      </w:pPr>
    </w:p>
    <w:p w14:paraId="4CA7401F" w14:textId="5AA52ADD" w:rsidR="001C4124" w:rsidRPr="001C4124" w:rsidRDefault="001C4124" w:rsidP="001C4124">
      <w:pPr>
        <w:spacing w:line="240" w:lineRule="auto"/>
        <w:rPr>
          <w:rFonts w:eastAsia="Times New Roman" w:cs="Arial"/>
        </w:rPr>
      </w:pPr>
      <w:r w:rsidRPr="001C4124">
        <w:rPr>
          <w:rFonts w:eastAsia="Times New Roman" w:cs="Arial"/>
          <w:color w:val="000000"/>
          <w:u w:val="single"/>
          <w:lang w:eastAsia="bg-BG"/>
        </w:rPr>
        <w:t>Периндоприл</w:t>
      </w:r>
    </w:p>
    <w:p w14:paraId="2FE35BB6" w14:textId="77777777" w:rsidR="001C4124" w:rsidRPr="001C4124" w:rsidRDefault="001C4124" w:rsidP="001C4124">
      <w:pPr>
        <w:rPr>
          <w:rFonts w:eastAsia="Times New Roman" w:cs="Arial"/>
        </w:rPr>
      </w:pPr>
      <w:r w:rsidRPr="001C4124">
        <w:rPr>
          <w:rFonts w:eastAsia="Times New Roman" w:cs="Arial"/>
          <w:color w:val="000000"/>
          <w:lang w:eastAsia="bg-BG"/>
        </w:rPr>
        <w:t xml:space="preserve">Периндоприл е инхибитор на ензима, който превръща ангиотензин I в ангиотензин II (ангиотензин конвертиращ ензим, АСЕ). Конвертиращия ензим, или киназа, е екзопептидаза, която улеснява превръщането на ангиотензин I във вазоконстриктора ангиотензин </w:t>
      </w:r>
      <w:r w:rsidRPr="001C4124">
        <w:rPr>
          <w:rFonts w:eastAsia="Times New Roman" w:cs="Arial"/>
          <w:color w:val="000000"/>
          <w:lang w:val="en-US"/>
        </w:rPr>
        <w:t>II</w:t>
      </w:r>
      <w:r w:rsidRPr="001C4124">
        <w:rPr>
          <w:rFonts w:eastAsia="Times New Roman" w:cs="Arial"/>
          <w:color w:val="000000"/>
          <w:lang w:val="ru-RU"/>
        </w:rPr>
        <w:t xml:space="preserve">, </w:t>
      </w:r>
      <w:r w:rsidRPr="001C4124">
        <w:rPr>
          <w:rFonts w:eastAsia="Times New Roman" w:cs="Arial"/>
          <w:color w:val="000000"/>
          <w:lang w:eastAsia="bg-BG"/>
        </w:rPr>
        <w:t>и същевременно води до разграждане на вазодилататора брадикинин до неактивен хептапептид Инхибирането на АСЕ намалява нивото на ангиотензин II в плазмата, което води до повишена плазмена ренинова активност (чрез инхибиране на отрицателната обратна връзка на</w:t>
      </w:r>
      <w:r w:rsidRPr="001C4124">
        <w:rPr>
          <w:rFonts w:eastAsia="Times New Roman" w:cs="Arial"/>
          <w:lang w:val="ru-RU"/>
        </w:rPr>
        <w:t xml:space="preserve"> </w:t>
      </w:r>
      <w:r w:rsidRPr="001C4124">
        <w:rPr>
          <w:rFonts w:eastAsia="Times New Roman" w:cs="Arial"/>
          <w:color w:val="000000"/>
          <w:lang w:eastAsia="bg-BG"/>
        </w:rPr>
        <w:t xml:space="preserve">освобождаването на ренин) и намалена секреция на алдостерон. Тъй като </w:t>
      </w:r>
      <w:r w:rsidRPr="001C4124">
        <w:rPr>
          <w:rFonts w:eastAsia="Times New Roman" w:cs="Arial"/>
          <w:color w:val="000000"/>
          <w:lang w:val="en-US"/>
        </w:rPr>
        <w:t>ACE</w:t>
      </w:r>
      <w:r w:rsidRPr="001C4124">
        <w:rPr>
          <w:rFonts w:eastAsia="Times New Roman" w:cs="Arial"/>
          <w:color w:val="000000"/>
          <w:lang w:val="ru-RU"/>
        </w:rPr>
        <w:t xml:space="preserve"> </w:t>
      </w:r>
      <w:r w:rsidRPr="001C4124">
        <w:rPr>
          <w:rFonts w:eastAsia="Times New Roman" w:cs="Arial"/>
          <w:color w:val="000000"/>
          <w:lang w:eastAsia="bg-BG"/>
        </w:rPr>
        <w:t>инактивира</w:t>
      </w:r>
      <w:r w:rsidRPr="001C4124">
        <w:rPr>
          <w:rFonts w:eastAsia="Times New Roman" w:cs="Arial"/>
          <w:color w:val="000000"/>
          <w:lang w:val="ru-RU" w:eastAsia="bg-BG"/>
        </w:rPr>
        <w:t xml:space="preserve"> </w:t>
      </w:r>
      <w:r w:rsidRPr="001C4124">
        <w:rPr>
          <w:rFonts w:eastAsia="Times New Roman" w:cs="Arial"/>
          <w:color w:val="000000"/>
          <w:lang w:eastAsia="bg-BG"/>
        </w:rPr>
        <w:t>брадикинина, инхибирането на АСЕ води също до повишена активност на циркулиращата и локална каликреин-кининова система (и по този начин до активиране на простагландиновата система). Възможно е този механизъм да допринася за хипотензивното действие на АСЕ инхибиторите и да е отговорен отчасти за някои от техните нежелани реакции (напр. кашлица).</w:t>
      </w:r>
    </w:p>
    <w:p w14:paraId="55F1472C" w14:textId="77777777" w:rsidR="001C4124" w:rsidRPr="001C4124" w:rsidRDefault="001C4124" w:rsidP="001C4124">
      <w:pPr>
        <w:spacing w:line="240" w:lineRule="auto"/>
        <w:rPr>
          <w:rFonts w:eastAsia="Times New Roman" w:cs="Arial"/>
          <w:color w:val="000000"/>
          <w:lang w:eastAsia="bg-BG"/>
        </w:rPr>
      </w:pPr>
    </w:p>
    <w:p w14:paraId="404215EE" w14:textId="74B4C4DD"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Периндоприл действа чрез активния си метаболит, периндоприлат. Останалите метаболити не показват </w:t>
      </w:r>
      <w:r w:rsidRPr="001C4124">
        <w:rPr>
          <w:rFonts w:eastAsia="Times New Roman" w:cs="Arial"/>
          <w:i/>
          <w:iCs/>
          <w:color w:val="000000"/>
          <w:lang w:val="en-US"/>
        </w:rPr>
        <w:t>in</w:t>
      </w:r>
      <w:r w:rsidRPr="001C4124">
        <w:rPr>
          <w:rFonts w:eastAsia="Times New Roman" w:cs="Arial"/>
          <w:i/>
          <w:iCs/>
          <w:color w:val="000000"/>
          <w:lang w:val="ru-RU"/>
        </w:rPr>
        <w:t xml:space="preserve"> </w:t>
      </w:r>
      <w:r w:rsidRPr="001C4124">
        <w:rPr>
          <w:rFonts w:eastAsia="Times New Roman" w:cs="Arial"/>
          <w:i/>
          <w:iCs/>
          <w:color w:val="000000"/>
          <w:lang w:val="en-US"/>
        </w:rPr>
        <w:t>vitro</w:t>
      </w:r>
      <w:r w:rsidRPr="001C4124">
        <w:rPr>
          <w:rFonts w:eastAsia="Times New Roman" w:cs="Arial"/>
          <w:color w:val="000000"/>
          <w:lang w:val="ru-RU"/>
        </w:rPr>
        <w:t xml:space="preserve"> </w:t>
      </w:r>
      <w:r w:rsidRPr="001C4124">
        <w:rPr>
          <w:rFonts w:eastAsia="Times New Roman" w:cs="Arial"/>
          <w:color w:val="000000"/>
          <w:lang w:eastAsia="bg-BG"/>
        </w:rPr>
        <w:t>инхибиране на активността на АСЕ.</w:t>
      </w:r>
    </w:p>
    <w:p w14:paraId="54DE717E" w14:textId="77777777" w:rsidR="001C4124" w:rsidRPr="001C4124" w:rsidRDefault="001C4124" w:rsidP="001C4124">
      <w:pPr>
        <w:spacing w:line="240" w:lineRule="auto"/>
        <w:rPr>
          <w:rFonts w:eastAsia="Times New Roman" w:cs="Arial"/>
          <w:i/>
          <w:iCs/>
          <w:color w:val="000000"/>
          <w:lang w:eastAsia="bg-BG"/>
        </w:rPr>
      </w:pPr>
    </w:p>
    <w:p w14:paraId="425029DF" w14:textId="4EF2D4E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Хипертония</w:t>
      </w:r>
    </w:p>
    <w:p w14:paraId="186324C2"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Периндоприл е активен при всички степени на хипертония: лека, умерена, тежка; наблюдава се понижение на систолното и диастолно кръвно налягане в легнало и в изправено положение.</w:t>
      </w:r>
    </w:p>
    <w:p w14:paraId="6AEF2487" w14:textId="77777777" w:rsidR="001C4124" w:rsidRPr="001C4124" w:rsidRDefault="001C4124" w:rsidP="001C4124">
      <w:pPr>
        <w:spacing w:line="240" w:lineRule="auto"/>
        <w:rPr>
          <w:rFonts w:eastAsia="Times New Roman" w:cs="Arial"/>
          <w:color w:val="000000"/>
          <w:lang w:eastAsia="bg-BG"/>
        </w:rPr>
      </w:pPr>
    </w:p>
    <w:p w14:paraId="2E85EAAA" w14:textId="24444A9D" w:rsidR="001C4124" w:rsidRPr="001C4124" w:rsidRDefault="001C4124" w:rsidP="001C4124">
      <w:pPr>
        <w:spacing w:line="240" w:lineRule="auto"/>
        <w:rPr>
          <w:rFonts w:eastAsia="Times New Roman" w:cs="Arial"/>
        </w:rPr>
      </w:pPr>
      <w:r w:rsidRPr="001C4124">
        <w:rPr>
          <w:rFonts w:eastAsia="Times New Roman" w:cs="Arial"/>
          <w:color w:val="000000"/>
          <w:lang w:eastAsia="bg-BG"/>
        </w:rPr>
        <w:t>Периндоприл намалява периферната съдова резистентност, което води до понижение на кръвното налягане. В резултат на това, периферният кръвоток нараства, без ефект върху сърдечната честота.</w:t>
      </w:r>
    </w:p>
    <w:p w14:paraId="62883A79"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Бъбречния кръвоток по правило нараства, докато степента на гломерулна филтрация </w:t>
      </w:r>
      <w:r w:rsidRPr="001C4124">
        <w:rPr>
          <w:rFonts w:eastAsia="Times New Roman" w:cs="Arial"/>
          <w:color w:val="000000"/>
          <w:lang w:val="ru-RU"/>
        </w:rPr>
        <w:t>(</w:t>
      </w:r>
      <w:r w:rsidRPr="001C4124">
        <w:rPr>
          <w:rFonts w:eastAsia="Times New Roman" w:cs="Arial"/>
          <w:color w:val="000000"/>
          <w:lang w:val="en-US"/>
        </w:rPr>
        <w:t>GRF</w:t>
      </w:r>
      <w:r w:rsidRPr="001C4124">
        <w:rPr>
          <w:rFonts w:eastAsia="Times New Roman" w:cs="Arial"/>
          <w:color w:val="000000"/>
          <w:lang w:val="ru-RU"/>
        </w:rPr>
        <w:t xml:space="preserve">) </w:t>
      </w:r>
      <w:r w:rsidRPr="001C4124">
        <w:rPr>
          <w:rFonts w:eastAsia="Times New Roman" w:cs="Arial"/>
          <w:color w:val="000000"/>
          <w:lang w:eastAsia="bg-BG"/>
        </w:rPr>
        <w:t>обикновено не се променя.</w:t>
      </w:r>
    </w:p>
    <w:p w14:paraId="3FC9E91B" w14:textId="77777777" w:rsidR="001C4124" w:rsidRPr="001C4124" w:rsidRDefault="001C4124" w:rsidP="001C4124">
      <w:pPr>
        <w:spacing w:line="240" w:lineRule="auto"/>
        <w:rPr>
          <w:rFonts w:eastAsia="Times New Roman" w:cs="Arial"/>
          <w:color w:val="000000"/>
          <w:lang w:eastAsia="bg-BG"/>
        </w:rPr>
      </w:pPr>
    </w:p>
    <w:p w14:paraId="1F380F12" w14:textId="7359316C" w:rsidR="001C4124" w:rsidRPr="001C4124" w:rsidRDefault="001C4124" w:rsidP="001C4124">
      <w:pPr>
        <w:spacing w:line="240" w:lineRule="auto"/>
        <w:rPr>
          <w:rFonts w:eastAsia="Times New Roman" w:cs="Arial"/>
        </w:rPr>
      </w:pPr>
      <w:r w:rsidRPr="001C4124">
        <w:rPr>
          <w:rFonts w:eastAsia="Times New Roman" w:cs="Arial"/>
          <w:color w:val="000000"/>
          <w:lang w:eastAsia="bg-BG"/>
        </w:rPr>
        <w:t>Антихипертензивното действие е максимално между 4 и 6 часа след еднократна доза и се задържа най-малко 24 часа: минималните ефекти са около 87-100% от максималните ефекти.</w:t>
      </w:r>
    </w:p>
    <w:p w14:paraId="6F6698E3" w14:textId="77777777" w:rsidR="001C4124" w:rsidRPr="001C4124" w:rsidRDefault="001C4124" w:rsidP="001C4124">
      <w:pPr>
        <w:spacing w:line="240" w:lineRule="auto"/>
        <w:rPr>
          <w:rFonts w:eastAsia="Times New Roman" w:cs="Arial"/>
          <w:color w:val="000000"/>
          <w:lang w:eastAsia="bg-BG"/>
        </w:rPr>
      </w:pPr>
    </w:p>
    <w:p w14:paraId="44A6FA95" w14:textId="400087CD" w:rsidR="001C4124" w:rsidRPr="001C4124" w:rsidRDefault="001C4124" w:rsidP="001C4124">
      <w:pPr>
        <w:spacing w:line="240" w:lineRule="auto"/>
        <w:rPr>
          <w:rFonts w:eastAsia="Times New Roman" w:cs="Arial"/>
        </w:rPr>
      </w:pPr>
      <w:r w:rsidRPr="001C4124">
        <w:rPr>
          <w:rFonts w:eastAsia="Times New Roman" w:cs="Arial"/>
          <w:color w:val="000000"/>
          <w:lang w:eastAsia="bg-BG"/>
        </w:rPr>
        <w:lastRenderedPageBreak/>
        <w:t>Намаляването на кръвното налягане настъпва бързо. При повлияващи се пациенти, нормализирането се постига в рамките на един месец и персистира без поява на тахифилаксия.</w:t>
      </w:r>
    </w:p>
    <w:p w14:paraId="13FFB937" w14:textId="77777777" w:rsidR="001C4124" w:rsidRPr="001C4124" w:rsidRDefault="001C4124" w:rsidP="001C4124">
      <w:pPr>
        <w:spacing w:line="240" w:lineRule="auto"/>
        <w:rPr>
          <w:rFonts w:eastAsia="Times New Roman" w:cs="Arial"/>
          <w:color w:val="000000"/>
          <w:lang w:eastAsia="bg-BG"/>
        </w:rPr>
      </w:pPr>
    </w:p>
    <w:p w14:paraId="54E80630" w14:textId="4E043F5D"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Преустановяването на лечението не води до ребаунд ефект.</w:t>
      </w:r>
    </w:p>
    <w:p w14:paraId="159AB422" w14:textId="77777777" w:rsidR="001C4124" w:rsidRPr="001C4124" w:rsidRDefault="001C4124" w:rsidP="001C4124">
      <w:pPr>
        <w:spacing w:line="240" w:lineRule="auto"/>
        <w:rPr>
          <w:rFonts w:eastAsia="Times New Roman" w:cs="Arial"/>
          <w:color w:val="000000"/>
          <w:lang w:eastAsia="bg-BG"/>
        </w:rPr>
      </w:pPr>
    </w:p>
    <w:p w14:paraId="64423408" w14:textId="54713212" w:rsidR="001C4124" w:rsidRPr="001C4124" w:rsidRDefault="001C4124" w:rsidP="001C4124">
      <w:pPr>
        <w:spacing w:line="240" w:lineRule="auto"/>
        <w:rPr>
          <w:rFonts w:eastAsia="Times New Roman" w:cs="Arial"/>
        </w:rPr>
      </w:pPr>
      <w:r w:rsidRPr="001C4124">
        <w:rPr>
          <w:rFonts w:eastAsia="Times New Roman" w:cs="Arial"/>
          <w:color w:val="000000"/>
          <w:lang w:eastAsia="bg-BG"/>
        </w:rPr>
        <w:t>Периндоприл намалява левокамерната хипертрофия.</w:t>
      </w:r>
    </w:p>
    <w:p w14:paraId="5AD2F384"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хора е потвърдено че периндоприл притежава вазодилататорни свойства. Той подобрява еластичността на големите артерии и намалява отношението медия:лумен на малките артерии.</w:t>
      </w:r>
    </w:p>
    <w:p w14:paraId="1011F351" w14:textId="77777777" w:rsidR="001C4124" w:rsidRPr="001C4124" w:rsidRDefault="001C4124" w:rsidP="001C4124">
      <w:pPr>
        <w:spacing w:line="240" w:lineRule="auto"/>
        <w:rPr>
          <w:rFonts w:eastAsia="Times New Roman" w:cs="Arial"/>
          <w:color w:val="000000"/>
          <w:lang w:eastAsia="bg-BG"/>
        </w:rPr>
      </w:pPr>
    </w:p>
    <w:p w14:paraId="69D4FC45" w14:textId="6AFD3CCA" w:rsidR="001C4124" w:rsidRPr="001C4124" w:rsidRDefault="001C4124" w:rsidP="001C4124">
      <w:pPr>
        <w:spacing w:line="240" w:lineRule="auto"/>
        <w:rPr>
          <w:rFonts w:eastAsia="Times New Roman" w:cs="Arial"/>
        </w:rPr>
      </w:pPr>
      <w:r w:rsidRPr="001C4124">
        <w:rPr>
          <w:rFonts w:eastAsia="Times New Roman" w:cs="Arial"/>
          <w:color w:val="000000"/>
          <w:lang w:eastAsia="bg-BG"/>
        </w:rPr>
        <w:t>Допълнителната терапия с тиазиден диуретик води до адитивен синергизъм. Комбинацията от АСЕ инхибитор и тиазиден диуретик намалява също риска от хипокалиемия, предизвикана от диуретичното лечение.</w:t>
      </w:r>
    </w:p>
    <w:p w14:paraId="50CDDDB0" w14:textId="77777777" w:rsidR="001C4124" w:rsidRPr="001C4124" w:rsidRDefault="001C4124" w:rsidP="001C4124">
      <w:pPr>
        <w:spacing w:line="240" w:lineRule="auto"/>
        <w:rPr>
          <w:rFonts w:eastAsia="Times New Roman" w:cs="Arial"/>
          <w:i/>
          <w:iCs/>
          <w:color w:val="000000"/>
          <w:lang w:eastAsia="bg-BG"/>
        </w:rPr>
      </w:pPr>
    </w:p>
    <w:p w14:paraId="2ADEE3CB" w14:textId="1BB02D7D"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Пациенти със стабилна исхемична болест на сърцето</w:t>
      </w:r>
    </w:p>
    <w:p w14:paraId="43D5BED5"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Проучването </w:t>
      </w:r>
      <w:r w:rsidRPr="001C4124">
        <w:rPr>
          <w:rFonts w:eastAsia="Times New Roman" w:cs="Arial"/>
          <w:color w:val="000000"/>
          <w:lang w:val="en-US"/>
        </w:rPr>
        <w:t>EUROPA</w:t>
      </w:r>
      <w:r w:rsidRPr="001C4124">
        <w:rPr>
          <w:rFonts w:eastAsia="Times New Roman" w:cs="Arial"/>
          <w:color w:val="000000"/>
          <w:lang w:val="ru-RU"/>
        </w:rPr>
        <w:t xml:space="preserve"> </w:t>
      </w:r>
      <w:r w:rsidRPr="001C4124">
        <w:rPr>
          <w:rFonts w:eastAsia="Times New Roman" w:cs="Arial"/>
          <w:color w:val="000000"/>
          <w:lang w:eastAsia="bg-BG"/>
        </w:rPr>
        <w:t>е многоцентрово, международно, рандомизирано, двойносляпо, плацебо контролирано клинично изпитване с продължителност 4 години.</w:t>
      </w:r>
    </w:p>
    <w:p w14:paraId="1F60734A" w14:textId="77777777" w:rsidR="001C4124" w:rsidRPr="001C4124" w:rsidRDefault="001C4124" w:rsidP="001C4124">
      <w:pPr>
        <w:spacing w:line="240" w:lineRule="auto"/>
        <w:rPr>
          <w:rFonts w:eastAsia="Times New Roman" w:cs="Arial"/>
          <w:color w:val="000000"/>
          <w:lang w:eastAsia="bg-BG"/>
        </w:rPr>
      </w:pPr>
    </w:p>
    <w:p w14:paraId="7A06D448" w14:textId="04BE9B82"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Общо 12 218 пациенти на възраст над 18 години са били рандомизирани да получават 8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 xml:space="preserve">периндоприл терт-бутиламин (еквивалентни на 10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периндоприл аргинин) (</w:t>
      </w:r>
      <w:r w:rsidRPr="001C4124">
        <w:rPr>
          <w:rFonts w:eastAsia="Times New Roman" w:cs="Arial"/>
          <w:color w:val="000000"/>
          <w:lang w:val="en-US"/>
        </w:rPr>
        <w:t>n</w:t>
      </w:r>
      <w:r w:rsidRPr="001C4124">
        <w:rPr>
          <w:rFonts w:eastAsia="Times New Roman" w:cs="Arial"/>
          <w:color w:val="000000"/>
          <w:lang w:val="ru-RU"/>
        </w:rPr>
        <w:t>=</w:t>
      </w:r>
      <w:r w:rsidRPr="001C4124">
        <w:rPr>
          <w:rFonts w:eastAsia="Times New Roman" w:cs="Arial"/>
          <w:color w:val="000000"/>
          <w:lang w:eastAsia="bg-BG"/>
        </w:rPr>
        <w:t>6 110) или плацебо (</w:t>
      </w:r>
      <w:r w:rsidRPr="001C4124">
        <w:rPr>
          <w:rFonts w:eastAsia="Times New Roman" w:cs="Arial"/>
          <w:color w:val="000000"/>
          <w:lang w:val="en-US"/>
        </w:rPr>
        <w:t>n</w:t>
      </w:r>
      <w:r w:rsidRPr="001C4124">
        <w:rPr>
          <w:rFonts w:eastAsia="Times New Roman" w:cs="Arial"/>
          <w:color w:val="000000"/>
          <w:lang w:val="ru-RU"/>
        </w:rPr>
        <w:t xml:space="preserve">=6 </w:t>
      </w:r>
      <w:r w:rsidRPr="001C4124">
        <w:rPr>
          <w:rFonts w:eastAsia="Times New Roman" w:cs="Arial"/>
          <w:color w:val="000000"/>
          <w:lang w:eastAsia="bg-BG"/>
        </w:rPr>
        <w:t>108).</w:t>
      </w:r>
    </w:p>
    <w:p w14:paraId="730AC55D"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Изпитваната популация е с данни за исхемична болест на сърцето без клинични признаци на сърдечна недостатъчност. Общо, 90% от пациентите са били с предшестващ миокарден инфаркт и/или предшестваща коронарна реваскуларизация. Повечето от пациентите са получавали изпитваното лекарство като част от конвенционална терапия, включваща инхибитори на тромбоцитната агрегация, липидопонижаващи средства и бета-блокери.</w:t>
      </w:r>
    </w:p>
    <w:p w14:paraId="2275A467" w14:textId="77777777" w:rsidR="001C4124" w:rsidRPr="001C4124" w:rsidRDefault="001C4124" w:rsidP="001C4124">
      <w:pPr>
        <w:spacing w:line="240" w:lineRule="auto"/>
        <w:rPr>
          <w:rFonts w:eastAsia="Times New Roman" w:cs="Arial"/>
          <w:color w:val="000000"/>
          <w:lang w:eastAsia="bg-BG"/>
        </w:rPr>
      </w:pPr>
    </w:p>
    <w:p w14:paraId="7F4280AF" w14:textId="5233A60A"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Основният критерий за ефикасност е съставна крайна точка от сърдечносъдова смъртност, нефатален миокарден инфаркт и/или сърдечен арест с успешна ресусцитация. Лечението с 8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 xml:space="preserve">периндоприл терт-бутиламин (еквивалентни на 10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периндоприл аргинин) веднъж дневно е довело до значително абсолютно намаление на първичната крайна точка от 1,9% (редукция на относителния риск с 20%, 95%С</w:t>
      </w:r>
      <w:r w:rsidRPr="001C4124">
        <w:rPr>
          <w:rFonts w:eastAsia="Times New Roman" w:cs="Arial"/>
          <w:color w:val="000000"/>
          <w:lang w:val="en-US"/>
        </w:rPr>
        <w:t>I</w:t>
      </w:r>
      <w:r w:rsidRPr="001C4124">
        <w:rPr>
          <w:rFonts w:eastAsia="Times New Roman" w:cs="Arial"/>
          <w:color w:val="000000"/>
          <w:lang w:eastAsia="bg-BG"/>
        </w:rPr>
        <w:t xml:space="preserve"> [9,4; 28,6] - р&lt;0,001).</w:t>
      </w:r>
    </w:p>
    <w:p w14:paraId="67D96A5C" w14:textId="77777777" w:rsidR="001C4124" w:rsidRPr="001C4124" w:rsidRDefault="001C4124" w:rsidP="001C4124">
      <w:pPr>
        <w:spacing w:line="240" w:lineRule="auto"/>
        <w:rPr>
          <w:rFonts w:eastAsia="Times New Roman" w:cs="Arial"/>
          <w:color w:val="000000"/>
          <w:lang w:eastAsia="bg-BG"/>
        </w:rPr>
      </w:pPr>
    </w:p>
    <w:p w14:paraId="0A2148B8" w14:textId="1AD230A7" w:rsidR="001C4124" w:rsidRPr="001C4124" w:rsidRDefault="001C4124" w:rsidP="001C4124">
      <w:pPr>
        <w:spacing w:line="240" w:lineRule="auto"/>
        <w:rPr>
          <w:rFonts w:eastAsia="Times New Roman" w:cs="Arial"/>
          <w:color w:val="000000"/>
          <w:lang w:val="ru-RU"/>
        </w:rPr>
      </w:pPr>
      <w:r w:rsidRPr="001C4124">
        <w:rPr>
          <w:rFonts w:eastAsia="Times New Roman" w:cs="Arial"/>
          <w:color w:val="000000"/>
          <w:lang w:eastAsia="bg-BG"/>
        </w:rPr>
        <w:t>При пациенти с анамнеза за миокарден инфаркт и/или реваскуларизация е наблюдавано</w:t>
      </w:r>
      <w:r w:rsidRPr="001C4124">
        <w:rPr>
          <w:rFonts w:eastAsia="Times New Roman" w:cs="Arial"/>
          <w:i/>
          <w:iCs/>
          <w:color w:val="000000"/>
          <w:lang w:eastAsia="bg-BG"/>
        </w:rPr>
        <w:t xml:space="preserve"> </w:t>
      </w:r>
      <w:r w:rsidRPr="001C4124">
        <w:rPr>
          <w:rFonts w:eastAsia="Times New Roman" w:cs="Arial"/>
          <w:color w:val="000000"/>
          <w:lang w:eastAsia="bg-BG"/>
        </w:rPr>
        <w:t xml:space="preserve">абсолютно намаление 2,2% на първичната крайна точка, в сравнение с плацебо, което съответства на редукция на относителния риск с 22,4% (95% </w:t>
      </w:r>
      <w:r w:rsidRPr="001C4124">
        <w:rPr>
          <w:rFonts w:eastAsia="Times New Roman" w:cs="Arial"/>
          <w:color w:val="000000"/>
          <w:lang w:val="en-US"/>
        </w:rPr>
        <w:t>CI</w:t>
      </w:r>
      <w:r w:rsidRPr="001C4124">
        <w:rPr>
          <w:rFonts w:eastAsia="Times New Roman" w:cs="Arial"/>
          <w:color w:val="000000"/>
          <w:lang w:val="ru-RU"/>
        </w:rPr>
        <w:t xml:space="preserve"> </w:t>
      </w:r>
      <w:r w:rsidRPr="001C4124">
        <w:rPr>
          <w:rFonts w:eastAsia="Times New Roman" w:cs="Arial"/>
          <w:color w:val="000000"/>
          <w:lang w:eastAsia="bg-BG"/>
        </w:rPr>
        <w:t>[12,0; 31,6] -</w:t>
      </w:r>
      <w:r w:rsidRPr="001C4124">
        <w:rPr>
          <w:rFonts w:eastAsia="Times New Roman" w:cs="Arial"/>
          <w:color w:val="000000"/>
          <w:lang w:val="en-US"/>
        </w:rPr>
        <w:t>p</w:t>
      </w:r>
      <w:r w:rsidRPr="001C4124">
        <w:rPr>
          <w:rFonts w:eastAsia="Times New Roman" w:cs="Arial"/>
          <w:color w:val="000000"/>
          <w:lang w:val="ru-RU"/>
        </w:rPr>
        <w:t>&lt;0,001).</w:t>
      </w:r>
    </w:p>
    <w:p w14:paraId="0CA1395C" w14:textId="202224DD" w:rsidR="001C4124" w:rsidRPr="001C4124" w:rsidRDefault="001C4124" w:rsidP="001C4124">
      <w:pPr>
        <w:spacing w:line="240" w:lineRule="auto"/>
        <w:rPr>
          <w:rFonts w:eastAsia="Times New Roman" w:cs="Arial"/>
          <w:color w:val="000000"/>
          <w:lang w:val="ru-RU"/>
        </w:rPr>
      </w:pPr>
    </w:p>
    <w:p w14:paraId="535BAA53"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Две големи рандомизирани контролирани клинични изпитвания </w:t>
      </w:r>
      <w:r w:rsidRPr="001C4124">
        <w:rPr>
          <w:rFonts w:eastAsia="Times New Roman" w:cs="Arial"/>
          <w:color w:val="000000"/>
          <w:lang w:val="ru-RU"/>
        </w:rPr>
        <w:t>(</w:t>
      </w:r>
      <w:r w:rsidRPr="001C4124">
        <w:rPr>
          <w:rFonts w:eastAsia="Times New Roman" w:cs="Arial"/>
          <w:color w:val="000000"/>
          <w:lang w:val="en-US"/>
        </w:rPr>
        <w:t>ONTARGET</w:t>
      </w:r>
      <w:r w:rsidRPr="001C4124">
        <w:rPr>
          <w:rFonts w:eastAsia="Times New Roman" w:cs="Arial"/>
          <w:color w:val="000000"/>
          <w:lang w:val="ru-RU"/>
        </w:rPr>
        <w:t xml:space="preserve"> </w:t>
      </w:r>
      <w:r w:rsidRPr="001C4124">
        <w:rPr>
          <w:rFonts w:eastAsia="Times New Roman" w:cs="Arial"/>
          <w:color w:val="000000"/>
          <w:lang w:eastAsia="bg-BG"/>
        </w:rPr>
        <w:t xml:space="preserve">(Текушо глобално проучване на крайни точки при приложение на телмисартан самостоятелно и в комбинация с рамиприл) и </w:t>
      </w:r>
      <w:r w:rsidRPr="001C4124">
        <w:rPr>
          <w:rFonts w:eastAsia="Times New Roman" w:cs="Arial"/>
          <w:color w:val="000000"/>
          <w:lang w:val="en-US"/>
        </w:rPr>
        <w:t>VA</w:t>
      </w:r>
      <w:r w:rsidRPr="001C4124">
        <w:rPr>
          <w:rFonts w:eastAsia="Times New Roman" w:cs="Arial"/>
          <w:color w:val="000000"/>
          <w:lang w:val="ru-RU"/>
        </w:rPr>
        <w:t xml:space="preserve"> </w:t>
      </w:r>
      <w:r w:rsidRPr="001C4124">
        <w:rPr>
          <w:rFonts w:eastAsia="Times New Roman" w:cs="Arial"/>
          <w:color w:val="000000"/>
          <w:lang w:val="en-US"/>
        </w:rPr>
        <w:t>NEPHRON</w:t>
      </w:r>
      <w:r w:rsidRPr="001C4124">
        <w:rPr>
          <w:rFonts w:eastAsia="Times New Roman" w:cs="Arial"/>
          <w:color w:val="000000"/>
          <w:lang w:val="ru-RU"/>
        </w:rPr>
        <w:t>-</w:t>
      </w:r>
      <w:r w:rsidRPr="001C4124">
        <w:rPr>
          <w:rFonts w:eastAsia="Times New Roman" w:cs="Arial"/>
          <w:color w:val="000000"/>
          <w:lang w:val="en-US"/>
        </w:rPr>
        <w:t>D</w:t>
      </w:r>
      <w:r w:rsidRPr="001C4124">
        <w:rPr>
          <w:rFonts w:eastAsia="Times New Roman" w:cs="Arial"/>
          <w:color w:val="000000"/>
          <w:lang w:val="ru-RU"/>
        </w:rPr>
        <w:t xml:space="preserve"> </w:t>
      </w:r>
      <w:r w:rsidRPr="001C4124">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проучват употребата на комбинация от АСЕ инхибитор и ангиотензин </w:t>
      </w:r>
      <w:r w:rsidRPr="001C4124">
        <w:rPr>
          <w:rFonts w:eastAsia="Times New Roman" w:cs="Arial"/>
          <w:color w:val="000000"/>
          <w:lang w:val="en-US"/>
        </w:rPr>
        <w:t>II</w:t>
      </w:r>
      <w:r w:rsidRPr="001C4124">
        <w:rPr>
          <w:rFonts w:eastAsia="Times New Roman" w:cs="Arial"/>
          <w:color w:val="000000"/>
          <w:lang w:eastAsia="bg-BG"/>
        </w:rPr>
        <w:t>-рецепторен блокер.</w:t>
      </w:r>
    </w:p>
    <w:p w14:paraId="250C84D4" w14:textId="77777777" w:rsidR="001C4124" w:rsidRPr="001C4124" w:rsidRDefault="001C4124" w:rsidP="001C4124">
      <w:pPr>
        <w:spacing w:line="240" w:lineRule="auto"/>
        <w:rPr>
          <w:rFonts w:eastAsia="Times New Roman" w:cs="Arial"/>
          <w:color w:val="000000"/>
          <w:lang w:val="en-US"/>
        </w:rPr>
      </w:pPr>
    </w:p>
    <w:p w14:paraId="7EA20578" w14:textId="24AD3D11" w:rsidR="001C4124" w:rsidRPr="001C4124" w:rsidRDefault="001C4124" w:rsidP="001C4124">
      <w:pPr>
        <w:spacing w:line="240" w:lineRule="auto"/>
        <w:rPr>
          <w:rFonts w:eastAsia="Times New Roman" w:cs="Arial"/>
        </w:rPr>
      </w:pPr>
      <w:r w:rsidRPr="001C4124">
        <w:rPr>
          <w:rFonts w:eastAsia="Times New Roman" w:cs="Arial"/>
          <w:color w:val="000000"/>
          <w:lang w:val="en-US"/>
        </w:rPr>
        <w:t>ONTARGET</w:t>
      </w:r>
      <w:r w:rsidRPr="001C4124">
        <w:rPr>
          <w:rFonts w:eastAsia="Times New Roman" w:cs="Arial"/>
          <w:color w:val="000000"/>
          <w:lang w:val="ru-RU"/>
        </w:rPr>
        <w:t xml:space="preserve"> </w:t>
      </w:r>
      <w:r w:rsidRPr="001C4124">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 с данни за крайна степен на органно увреждане. </w:t>
      </w:r>
      <w:r w:rsidRPr="001C4124">
        <w:rPr>
          <w:rFonts w:eastAsia="Times New Roman" w:cs="Arial"/>
          <w:color w:val="000000"/>
          <w:lang w:val="en-US"/>
        </w:rPr>
        <w:t>VA</w:t>
      </w:r>
      <w:r w:rsidRPr="001C4124">
        <w:rPr>
          <w:rFonts w:eastAsia="Times New Roman" w:cs="Arial"/>
          <w:color w:val="000000"/>
          <w:lang w:val="ru-RU"/>
        </w:rPr>
        <w:t xml:space="preserve"> </w:t>
      </w:r>
      <w:r w:rsidRPr="001C4124">
        <w:rPr>
          <w:rFonts w:eastAsia="Times New Roman" w:cs="Arial"/>
          <w:color w:val="000000"/>
          <w:lang w:val="en-US"/>
        </w:rPr>
        <w:t>NEPHRON</w:t>
      </w:r>
      <w:r w:rsidRPr="001C4124">
        <w:rPr>
          <w:rFonts w:eastAsia="Times New Roman" w:cs="Arial"/>
          <w:color w:val="000000"/>
          <w:lang w:val="ru-RU"/>
        </w:rPr>
        <w:t>-</w:t>
      </w:r>
      <w:r w:rsidRPr="001C4124">
        <w:rPr>
          <w:rFonts w:eastAsia="Times New Roman" w:cs="Arial"/>
          <w:color w:val="000000"/>
          <w:lang w:val="en-US"/>
        </w:rPr>
        <w:t>D</w:t>
      </w:r>
      <w:r w:rsidRPr="001C4124">
        <w:rPr>
          <w:rFonts w:eastAsia="Times New Roman" w:cs="Arial"/>
          <w:color w:val="000000"/>
          <w:lang w:val="ru-RU"/>
        </w:rPr>
        <w:t xml:space="preserve"> </w:t>
      </w:r>
      <w:r w:rsidRPr="001C4124">
        <w:rPr>
          <w:rFonts w:eastAsia="Times New Roman" w:cs="Arial"/>
          <w:color w:val="000000"/>
          <w:lang w:eastAsia="bg-BG"/>
        </w:rPr>
        <w:t>е проучване при пациенти със захарен диабет тип 2 и диабетна нефропатия.</w:t>
      </w:r>
    </w:p>
    <w:p w14:paraId="64DA89E2" w14:textId="77777777" w:rsidR="001C4124" w:rsidRPr="001C4124" w:rsidRDefault="001C4124" w:rsidP="001C4124">
      <w:pPr>
        <w:spacing w:line="240" w:lineRule="auto"/>
        <w:rPr>
          <w:rFonts w:eastAsia="Times New Roman" w:cs="Arial"/>
          <w:color w:val="000000"/>
          <w:lang w:eastAsia="bg-BG"/>
        </w:rPr>
      </w:pPr>
    </w:p>
    <w:p w14:paraId="28B8CC33" w14:textId="6C506FB6" w:rsidR="001C4124" w:rsidRPr="001C4124" w:rsidRDefault="001C4124" w:rsidP="001C4124">
      <w:pPr>
        <w:spacing w:line="240" w:lineRule="auto"/>
        <w:rPr>
          <w:rFonts w:eastAsia="Times New Roman" w:cs="Arial"/>
        </w:rPr>
      </w:pPr>
      <w:r w:rsidRPr="001C4124">
        <w:rPr>
          <w:rFonts w:eastAsia="Times New Roman" w:cs="Arial"/>
          <w:color w:val="000000"/>
          <w:lang w:eastAsia="bg-BG"/>
        </w:rPr>
        <w:t>Тези проучвания не показват значим благоприятен ефект върху бъбречните и/или сърдечно</w:t>
      </w:r>
      <w:r w:rsidRPr="001C4124">
        <w:rPr>
          <w:rFonts w:eastAsia="Times New Roman" w:cs="Arial"/>
          <w:color w:val="000000"/>
          <w:lang w:eastAsia="bg-BG"/>
        </w:rPr>
        <w:softHyphen/>
        <w:t xml:space="preserve">съдовите последици и смъртността, като същевременно е наблюдаван повишен риск от хиперкалиемия, остро бъбречно увреждане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C4124">
        <w:rPr>
          <w:rFonts w:eastAsia="Times New Roman" w:cs="Arial"/>
          <w:color w:val="000000"/>
          <w:lang w:val="en-US"/>
        </w:rPr>
        <w:t>II</w:t>
      </w:r>
      <w:r w:rsidRPr="001C4124">
        <w:rPr>
          <w:rFonts w:eastAsia="Times New Roman" w:cs="Arial"/>
          <w:color w:val="000000"/>
          <w:lang w:eastAsia="bg-BG"/>
        </w:rPr>
        <w:t>-рецепторни блокери.</w:t>
      </w:r>
    </w:p>
    <w:p w14:paraId="2A3022A7" w14:textId="77777777" w:rsidR="001C4124" w:rsidRPr="001C4124" w:rsidRDefault="001C4124" w:rsidP="001C4124">
      <w:pPr>
        <w:spacing w:line="240" w:lineRule="auto"/>
        <w:rPr>
          <w:rFonts w:eastAsia="Times New Roman" w:cs="Arial"/>
          <w:color w:val="000000"/>
          <w:lang w:eastAsia="bg-BG"/>
        </w:rPr>
      </w:pPr>
    </w:p>
    <w:p w14:paraId="547E80E4" w14:textId="2EE88B2E"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АСЕ инхибитори и ангиотензин </w:t>
      </w:r>
      <w:r w:rsidRPr="001C4124">
        <w:rPr>
          <w:rFonts w:eastAsia="Times New Roman" w:cs="Arial"/>
          <w:color w:val="000000"/>
          <w:lang w:val="en-US"/>
        </w:rPr>
        <w:t>II</w:t>
      </w:r>
      <w:r w:rsidRPr="001C4124">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B9A7AD6" w14:textId="77777777" w:rsidR="001C4124" w:rsidRPr="001C4124" w:rsidRDefault="001C4124" w:rsidP="001C4124">
      <w:pPr>
        <w:spacing w:line="240" w:lineRule="auto"/>
        <w:rPr>
          <w:rFonts w:eastAsia="Times New Roman" w:cs="Arial"/>
          <w:color w:val="000000"/>
          <w:lang w:val="en-US"/>
        </w:rPr>
      </w:pPr>
    </w:p>
    <w:p w14:paraId="142385CB" w14:textId="13AE2A53" w:rsidR="001C4124" w:rsidRPr="001C4124" w:rsidRDefault="001C4124" w:rsidP="001C4124">
      <w:pPr>
        <w:spacing w:line="240" w:lineRule="auto"/>
        <w:rPr>
          <w:rFonts w:eastAsia="Times New Roman" w:cs="Arial"/>
        </w:rPr>
      </w:pPr>
      <w:r w:rsidRPr="001C4124">
        <w:rPr>
          <w:rFonts w:eastAsia="Times New Roman" w:cs="Arial"/>
          <w:color w:val="000000"/>
          <w:lang w:val="en-US"/>
        </w:rPr>
        <w:t>ALTITUDE</w:t>
      </w:r>
      <w:r w:rsidRPr="001C4124">
        <w:rPr>
          <w:rFonts w:eastAsia="Times New Roman" w:cs="Arial"/>
          <w:color w:val="000000"/>
          <w:lang w:val="ru-RU"/>
        </w:rPr>
        <w:t xml:space="preserve"> </w:t>
      </w:r>
      <w:r w:rsidRPr="001C4124">
        <w:rPr>
          <w:rFonts w:eastAsia="Times New Roman" w:cs="Arial"/>
          <w:color w:val="000000"/>
          <w:lang w:eastAsia="bg-BG"/>
        </w:rPr>
        <w:t xml:space="preserve">(Клинично изпитване, проведено с алискирен при пациенти със захарен диабет тип 2 с използване на крайни точки за сърдечно-съдово и бъбречно заболяване) е проучване, предназначено да изследва ползата от добавянето на алискирен към стандартна терапия с АСЕ инхибитор или ангиотензин </w:t>
      </w:r>
      <w:r w:rsidRPr="001C4124">
        <w:rPr>
          <w:rFonts w:eastAsia="Times New Roman" w:cs="Arial"/>
          <w:color w:val="000000"/>
          <w:lang w:val="en-US"/>
        </w:rPr>
        <w:t>II</w:t>
      </w:r>
      <w:r w:rsidRPr="001C4124">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нежелани последици. Както сърдечно</w:t>
      </w:r>
      <w:r w:rsidRPr="001C4124">
        <w:rPr>
          <w:rFonts w:eastAsia="Times New Roman" w:cs="Arial"/>
          <w:color w:val="000000"/>
          <w:lang w:eastAsia="bg-BG"/>
        </w:rPr>
        <w:softHyphen/>
        <w:t>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F0C4457" w14:textId="77777777" w:rsidR="001C4124" w:rsidRPr="001C4124" w:rsidRDefault="001C4124" w:rsidP="001C4124">
      <w:pPr>
        <w:spacing w:line="240" w:lineRule="auto"/>
        <w:rPr>
          <w:rFonts w:eastAsia="Times New Roman" w:cs="Arial"/>
          <w:i/>
          <w:iCs/>
          <w:color w:val="000000"/>
          <w:lang w:eastAsia="bg-BG"/>
        </w:rPr>
      </w:pPr>
    </w:p>
    <w:p w14:paraId="31D083DB" w14:textId="10671E90"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Педиатрична популация</w:t>
      </w:r>
    </w:p>
    <w:p w14:paraId="275F2A7F"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Безопасността и ефикасността на периндоприл при деца и юноши на възраст под 18 години не са установени.</w:t>
      </w:r>
    </w:p>
    <w:p w14:paraId="38B32391" w14:textId="77777777" w:rsidR="001C4124" w:rsidRPr="001C4124" w:rsidRDefault="001C4124" w:rsidP="001C4124">
      <w:pPr>
        <w:spacing w:line="240" w:lineRule="auto"/>
        <w:rPr>
          <w:rFonts w:eastAsia="Times New Roman" w:cs="Arial"/>
          <w:color w:val="000000"/>
          <w:lang w:eastAsia="bg-BG"/>
        </w:rPr>
      </w:pPr>
    </w:p>
    <w:p w14:paraId="08EE1DFC" w14:textId="74A6A920"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В отворено, несравнително клинично изпитване при 62 деца с хипертония на възраст от 2 до 15 години със степен на гломерулна филтрация &gt;30 </w:t>
      </w:r>
      <w:r w:rsidRPr="001C4124">
        <w:rPr>
          <w:rFonts w:eastAsia="Times New Roman" w:cs="Arial"/>
          <w:color w:val="000000"/>
          <w:lang w:val="en-US"/>
        </w:rPr>
        <w:t>ml</w:t>
      </w:r>
      <w:r w:rsidRPr="001C4124">
        <w:rPr>
          <w:rFonts w:eastAsia="Times New Roman" w:cs="Arial"/>
          <w:color w:val="000000"/>
          <w:lang w:val="ru-RU"/>
        </w:rPr>
        <w:t>/</w:t>
      </w:r>
      <w:r w:rsidRPr="001C4124">
        <w:rPr>
          <w:rFonts w:eastAsia="Times New Roman" w:cs="Arial"/>
          <w:color w:val="000000"/>
          <w:lang w:val="en-US"/>
        </w:rPr>
        <w:t>min</w:t>
      </w:r>
      <w:r w:rsidRPr="001C4124">
        <w:rPr>
          <w:rFonts w:eastAsia="Times New Roman" w:cs="Arial"/>
          <w:color w:val="000000"/>
          <w:lang w:val="ru-RU"/>
        </w:rPr>
        <w:t>/</w:t>
      </w:r>
      <w:r w:rsidRPr="001C4124">
        <w:rPr>
          <w:rFonts w:eastAsia="Times New Roman" w:cs="Arial"/>
          <w:color w:val="000000"/>
          <w:lang w:eastAsia="bg-BG"/>
        </w:rPr>
        <w:t xml:space="preserve">1,73 </w:t>
      </w:r>
      <w:r w:rsidRPr="001C4124">
        <w:rPr>
          <w:rFonts w:eastAsia="Times New Roman" w:cs="Arial"/>
          <w:color w:val="000000"/>
          <w:lang w:val="en-US"/>
        </w:rPr>
        <w:t>m</w:t>
      </w:r>
      <w:r w:rsidRPr="001C4124">
        <w:rPr>
          <w:rFonts w:eastAsia="Times New Roman" w:cs="Arial"/>
          <w:color w:val="000000"/>
          <w:vertAlign w:val="superscript"/>
          <w:lang w:val="ru-RU"/>
        </w:rPr>
        <w:t>2</w:t>
      </w:r>
      <w:r w:rsidRPr="001C4124">
        <w:rPr>
          <w:rFonts w:eastAsia="Times New Roman" w:cs="Arial"/>
          <w:color w:val="000000"/>
          <w:lang w:val="ru-RU"/>
        </w:rPr>
        <w:t xml:space="preserve">, </w:t>
      </w:r>
      <w:r w:rsidRPr="001C4124">
        <w:rPr>
          <w:rFonts w:eastAsia="Times New Roman" w:cs="Arial"/>
          <w:color w:val="000000"/>
          <w:lang w:eastAsia="bg-BG"/>
        </w:rPr>
        <w:t xml:space="preserve">пациентите са получавали периндоприл в средна доза 0,07 </w:t>
      </w:r>
      <w:r w:rsidRPr="001C4124">
        <w:rPr>
          <w:rFonts w:eastAsia="Times New Roman" w:cs="Arial"/>
          <w:color w:val="000000"/>
          <w:lang w:val="en-US"/>
        </w:rPr>
        <w:t>mg</w:t>
      </w:r>
      <w:r w:rsidRPr="001C4124">
        <w:rPr>
          <w:rFonts w:eastAsia="Times New Roman" w:cs="Arial"/>
          <w:color w:val="000000"/>
          <w:lang w:val="ru-RU"/>
        </w:rPr>
        <w:t>/</w:t>
      </w:r>
      <w:r w:rsidRPr="001C4124">
        <w:rPr>
          <w:rFonts w:eastAsia="Times New Roman" w:cs="Arial"/>
          <w:color w:val="000000"/>
          <w:lang w:val="en-US"/>
        </w:rPr>
        <w:t>kg</w:t>
      </w:r>
      <w:r w:rsidRPr="001C4124">
        <w:rPr>
          <w:rFonts w:eastAsia="Times New Roman" w:cs="Arial"/>
          <w:color w:val="000000"/>
          <w:lang w:val="ru-RU"/>
        </w:rPr>
        <w:t xml:space="preserve">. </w:t>
      </w:r>
      <w:r w:rsidRPr="001C4124">
        <w:rPr>
          <w:rFonts w:eastAsia="Times New Roman" w:cs="Arial"/>
          <w:color w:val="000000"/>
          <w:lang w:eastAsia="bg-BG"/>
        </w:rPr>
        <w:t xml:space="preserve">Дозата е индивидуализирана според профила на пациента и отговора на кръвното налягане до максимална доза 0,135 </w:t>
      </w:r>
      <w:r w:rsidRPr="001C4124">
        <w:rPr>
          <w:rFonts w:eastAsia="Times New Roman" w:cs="Arial"/>
          <w:color w:val="000000"/>
          <w:lang w:val="en-US"/>
        </w:rPr>
        <w:t>mg</w:t>
      </w:r>
      <w:r w:rsidRPr="001C4124">
        <w:rPr>
          <w:rFonts w:eastAsia="Times New Roman" w:cs="Arial"/>
          <w:color w:val="000000"/>
          <w:lang w:val="ru-RU"/>
        </w:rPr>
        <w:t>/</w:t>
      </w:r>
      <w:r w:rsidRPr="001C4124">
        <w:rPr>
          <w:rFonts w:eastAsia="Times New Roman" w:cs="Arial"/>
          <w:color w:val="000000"/>
          <w:lang w:val="en-US"/>
        </w:rPr>
        <w:t>kg</w:t>
      </w:r>
      <w:r w:rsidRPr="001C4124">
        <w:rPr>
          <w:rFonts w:eastAsia="Times New Roman" w:cs="Arial"/>
          <w:color w:val="000000"/>
          <w:lang w:val="ru-RU"/>
        </w:rPr>
        <w:t>/</w:t>
      </w:r>
      <w:r w:rsidRPr="001C4124">
        <w:rPr>
          <w:rFonts w:eastAsia="Times New Roman" w:cs="Arial"/>
          <w:color w:val="000000"/>
          <w:lang w:eastAsia="bg-BG"/>
        </w:rPr>
        <w:t>дневно.</w:t>
      </w:r>
    </w:p>
    <w:p w14:paraId="7914F06B" w14:textId="77777777" w:rsidR="001C4124" w:rsidRPr="001C4124" w:rsidRDefault="001C4124" w:rsidP="001C4124">
      <w:pPr>
        <w:spacing w:line="240" w:lineRule="auto"/>
        <w:rPr>
          <w:rFonts w:eastAsia="Times New Roman" w:cs="Arial"/>
          <w:color w:val="000000"/>
          <w:lang w:eastAsia="bg-BG"/>
        </w:rPr>
      </w:pPr>
    </w:p>
    <w:p w14:paraId="320109D7" w14:textId="4B683DBA" w:rsidR="001C4124" w:rsidRPr="001C4124" w:rsidRDefault="001C4124" w:rsidP="001C4124">
      <w:pPr>
        <w:spacing w:line="240" w:lineRule="auto"/>
        <w:rPr>
          <w:rFonts w:eastAsia="Times New Roman" w:cs="Arial"/>
        </w:rPr>
      </w:pPr>
      <w:r w:rsidRPr="001C4124">
        <w:rPr>
          <w:rFonts w:eastAsia="Times New Roman" w:cs="Arial"/>
          <w:color w:val="000000"/>
          <w:lang w:eastAsia="bg-BG"/>
        </w:rPr>
        <w:t>59 пациенти са завършили периода от три месеца, а 36 пациенти са завършили периода на разширение на проучването, т.е. били са проследени за период от най-малко 24 месеца (средна продължителност на проучването: 44 месеца).</w:t>
      </w:r>
    </w:p>
    <w:p w14:paraId="59282FF1" w14:textId="77777777" w:rsidR="001C4124" w:rsidRPr="001C4124" w:rsidRDefault="001C4124" w:rsidP="001C4124">
      <w:pPr>
        <w:spacing w:line="240" w:lineRule="auto"/>
        <w:rPr>
          <w:rFonts w:eastAsia="Times New Roman" w:cs="Arial"/>
          <w:color w:val="000000"/>
          <w:lang w:eastAsia="bg-BG"/>
        </w:rPr>
      </w:pPr>
    </w:p>
    <w:p w14:paraId="6CE346E8" w14:textId="33582FA2" w:rsidR="001C4124" w:rsidRPr="001C4124" w:rsidRDefault="001C4124" w:rsidP="001C4124">
      <w:pPr>
        <w:spacing w:line="240" w:lineRule="auto"/>
        <w:rPr>
          <w:rFonts w:eastAsia="Times New Roman" w:cs="Arial"/>
        </w:rPr>
      </w:pPr>
      <w:r w:rsidRPr="001C4124">
        <w:rPr>
          <w:rFonts w:eastAsia="Times New Roman" w:cs="Arial"/>
          <w:color w:val="000000"/>
          <w:lang w:eastAsia="bg-BG"/>
        </w:rPr>
        <w:t>Систолното и диастолното кръвно налягане остава стабилно от включването до последната оценка при пациенти, лекувани преди това с други антихипертензивни средства и намалява при нелекуваните пациенти.</w:t>
      </w:r>
    </w:p>
    <w:p w14:paraId="00DD2151" w14:textId="77777777" w:rsidR="001C4124" w:rsidRPr="001C4124" w:rsidRDefault="001C4124" w:rsidP="001C4124">
      <w:pPr>
        <w:spacing w:line="240" w:lineRule="auto"/>
        <w:rPr>
          <w:rFonts w:eastAsia="Times New Roman" w:cs="Arial"/>
          <w:color w:val="000000"/>
          <w:lang w:eastAsia="bg-BG"/>
        </w:rPr>
      </w:pPr>
    </w:p>
    <w:p w14:paraId="66242F42" w14:textId="75C42570" w:rsidR="001C4124" w:rsidRPr="001C4124" w:rsidRDefault="001C4124" w:rsidP="001C4124">
      <w:pPr>
        <w:spacing w:line="240" w:lineRule="auto"/>
        <w:rPr>
          <w:rFonts w:eastAsia="Times New Roman" w:cs="Arial"/>
        </w:rPr>
      </w:pPr>
      <w:r w:rsidRPr="001C4124">
        <w:rPr>
          <w:rFonts w:eastAsia="Times New Roman" w:cs="Arial"/>
          <w:color w:val="000000"/>
          <w:lang w:eastAsia="bg-BG"/>
        </w:rPr>
        <w:t>Повече от 75% от децата са имали систолно и диастолно налягане под 95-ия персентил при последната си оценка.</w:t>
      </w:r>
    </w:p>
    <w:p w14:paraId="1535F648" w14:textId="0956646A" w:rsidR="001C4124" w:rsidRPr="001C4124" w:rsidRDefault="001C4124" w:rsidP="001C4124">
      <w:pPr>
        <w:spacing w:line="240" w:lineRule="auto"/>
        <w:rPr>
          <w:rFonts w:eastAsia="Times New Roman" w:cs="Arial"/>
        </w:rPr>
      </w:pPr>
      <w:r w:rsidRPr="001C4124">
        <w:rPr>
          <w:rFonts w:eastAsia="Times New Roman" w:cs="Arial"/>
          <w:color w:val="000000"/>
          <w:lang w:eastAsia="bg-BG"/>
        </w:rPr>
        <w:t>Безопасността е в съответствие с известния профил на безопасност на периндоприл.</w:t>
      </w:r>
    </w:p>
    <w:p w14:paraId="6CAB7939" w14:textId="77777777" w:rsidR="001C4124" w:rsidRPr="001C4124" w:rsidRDefault="001C4124" w:rsidP="001C4124">
      <w:pPr>
        <w:spacing w:line="240" w:lineRule="auto"/>
        <w:rPr>
          <w:rFonts w:eastAsia="Times New Roman" w:cs="Arial"/>
          <w:color w:val="000000"/>
          <w:u w:val="single"/>
          <w:lang w:eastAsia="bg-BG"/>
        </w:rPr>
      </w:pPr>
    </w:p>
    <w:p w14:paraId="5235F2EF" w14:textId="4B252FE6" w:rsidR="001C4124" w:rsidRPr="001C4124" w:rsidRDefault="001C4124" w:rsidP="001C4124">
      <w:pPr>
        <w:spacing w:line="240" w:lineRule="auto"/>
        <w:rPr>
          <w:rFonts w:eastAsia="Times New Roman" w:cs="Arial"/>
        </w:rPr>
      </w:pPr>
      <w:r w:rsidRPr="001C4124">
        <w:rPr>
          <w:rFonts w:eastAsia="Times New Roman" w:cs="Arial"/>
          <w:color w:val="000000"/>
          <w:u w:val="single"/>
          <w:lang w:eastAsia="bg-BG"/>
        </w:rPr>
        <w:t>Амлодипин</w:t>
      </w:r>
    </w:p>
    <w:p w14:paraId="58ECECBA" w14:textId="5256EEC7" w:rsidR="001C4124" w:rsidRPr="001C4124" w:rsidRDefault="001C4124" w:rsidP="001C4124">
      <w:pPr>
        <w:spacing w:line="240" w:lineRule="auto"/>
        <w:rPr>
          <w:rFonts w:eastAsia="Times New Roman" w:cs="Arial"/>
          <w:color w:val="000000"/>
          <w:lang w:eastAsia="bg-BG"/>
        </w:rPr>
      </w:pPr>
      <w:r w:rsidRPr="001C4124">
        <w:rPr>
          <w:rFonts w:eastAsia="Times New Roman" w:cs="Arial"/>
          <w:color w:val="000000"/>
          <w:lang w:eastAsia="bg-BG"/>
        </w:rPr>
        <w:t>Амлодипин е инхибитор на калциевия йонен инфлукс от дихидропиридиновата група (блокер на бавните канали или антагонист на калциевите йони) и инхибира трансмембранния инлукс на калциеви йони в сърдечната и съдовата гладка мускулатура.</w:t>
      </w:r>
    </w:p>
    <w:p w14:paraId="6C1331F1" w14:textId="376FC8BD" w:rsidR="001C4124" w:rsidRPr="001C4124" w:rsidRDefault="001C4124" w:rsidP="001C4124">
      <w:pPr>
        <w:spacing w:line="240" w:lineRule="auto"/>
        <w:rPr>
          <w:rFonts w:eastAsia="Times New Roman" w:cs="Arial"/>
          <w:color w:val="000000"/>
          <w:lang w:eastAsia="bg-BG"/>
        </w:rPr>
      </w:pPr>
    </w:p>
    <w:p w14:paraId="315F6AE1"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Механизмът на антихипертензивното действие на амлодипин се дължи на пряк релаксиращ ефект върху съдовата гладка мускулатура. Точният механизъм, по който </w:t>
      </w:r>
      <w:r w:rsidRPr="001C4124">
        <w:rPr>
          <w:rFonts w:eastAsia="Times New Roman" w:cs="Arial"/>
          <w:color w:val="000000"/>
          <w:lang w:eastAsia="bg-BG"/>
        </w:rPr>
        <w:lastRenderedPageBreak/>
        <w:t>амлодипин облекчава стенокардията, не е напълно изяснен, но амлодипин намалява общия исхемичен товар чрез следните две действия:</w:t>
      </w:r>
    </w:p>
    <w:p w14:paraId="3493FC5A"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1) Амлодипин разширява периферните артериоли и по този начин намалява общото периферно съдово съпротивление (след натоварване), срещу което работи сърцето. Тъй като сърдечната честота остава постоянна, това обременяване на сърцето намалява консумацията на енергия и кислород от миокарда.</w:t>
      </w:r>
    </w:p>
    <w:p w14:paraId="2C44CE88" w14:textId="77777777"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2)</w:t>
      </w:r>
      <w:r w:rsidRPr="001C4124">
        <w:rPr>
          <w:rFonts w:eastAsia="Times New Roman" w:cs="Arial"/>
          <w:color w:val="000000"/>
          <w:lang w:eastAsia="bg-BG"/>
        </w:rPr>
        <w:t xml:space="preserve"> Механизмът на действие на амлодипин вероятно включва и дилатация на главните коронарни артерии и коронарни артериоли, в нормалните и исхемични сегменти. Тази дилатация повишава снабдяването с кислород на миокарда при пациенти със спазъм на коронарните артерии (вариантна ангина или ангина на </w:t>
      </w:r>
      <w:proofErr w:type="spellStart"/>
      <w:r w:rsidRPr="001C4124">
        <w:rPr>
          <w:rFonts w:eastAsia="Times New Roman" w:cs="Arial"/>
          <w:color w:val="000000"/>
          <w:lang w:val="en-US"/>
        </w:rPr>
        <w:t>Prinzmetal</w:t>
      </w:r>
      <w:proofErr w:type="spellEnd"/>
      <w:r w:rsidRPr="001C4124">
        <w:rPr>
          <w:rFonts w:eastAsia="Times New Roman" w:cs="Arial"/>
          <w:color w:val="000000"/>
          <w:lang w:val="ru-RU"/>
        </w:rPr>
        <w:t>).</w:t>
      </w:r>
    </w:p>
    <w:p w14:paraId="72F91694" w14:textId="77777777" w:rsidR="001C4124" w:rsidRPr="001C4124" w:rsidRDefault="001C4124" w:rsidP="001C4124">
      <w:pPr>
        <w:spacing w:line="240" w:lineRule="auto"/>
        <w:rPr>
          <w:rFonts w:eastAsia="Times New Roman" w:cs="Arial"/>
          <w:color w:val="000000"/>
          <w:lang w:eastAsia="bg-BG"/>
        </w:rPr>
      </w:pPr>
    </w:p>
    <w:p w14:paraId="66B3F5F8" w14:textId="4284929B" w:rsidR="001C4124" w:rsidRPr="001C4124" w:rsidRDefault="001C4124" w:rsidP="001C4124">
      <w:pPr>
        <w:spacing w:line="240" w:lineRule="auto"/>
        <w:rPr>
          <w:rFonts w:eastAsia="Times New Roman" w:cs="Arial"/>
        </w:rPr>
      </w:pPr>
      <w:r w:rsidRPr="001C4124">
        <w:rPr>
          <w:rFonts w:eastAsia="Times New Roman" w:cs="Arial"/>
          <w:color w:val="000000"/>
          <w:lang w:eastAsia="bg-BG"/>
        </w:rPr>
        <w:t>При пациенти е хипертония, еднократното дневно приложение осигурява клинично значимо намаление на кръвното налягане в легнало и изправено положение за период от 24 часа. Поради бавното начало на действие, острата хипотония не е характерна за приложението на амлодипин.</w:t>
      </w:r>
    </w:p>
    <w:p w14:paraId="41417FD4" w14:textId="77777777" w:rsidR="001C4124" w:rsidRPr="001C4124" w:rsidRDefault="001C4124" w:rsidP="001C4124">
      <w:pPr>
        <w:spacing w:line="240" w:lineRule="auto"/>
        <w:rPr>
          <w:rFonts w:eastAsia="Times New Roman" w:cs="Arial"/>
          <w:color w:val="000000"/>
          <w:lang w:eastAsia="bg-BG"/>
        </w:rPr>
      </w:pPr>
    </w:p>
    <w:p w14:paraId="20F01EA3" w14:textId="58E4168A"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При пациенти със стенокардия, еднократното дневно приложение на амлодипин удължава общото време на натоварване, времето до поява на стенокардия и времето до депресия на </w:t>
      </w:r>
      <w:r w:rsidRPr="001C4124">
        <w:rPr>
          <w:rFonts w:eastAsia="Times New Roman" w:cs="Arial"/>
          <w:color w:val="000000"/>
          <w:lang w:val="en-US"/>
        </w:rPr>
        <w:t>ST</w:t>
      </w:r>
      <w:r w:rsidRPr="001C4124">
        <w:rPr>
          <w:rFonts w:eastAsia="Times New Roman" w:cs="Arial"/>
          <w:color w:val="000000"/>
          <w:lang w:val="ru-RU"/>
        </w:rPr>
        <w:t xml:space="preserve">- </w:t>
      </w:r>
      <w:r w:rsidRPr="001C4124">
        <w:rPr>
          <w:rFonts w:eastAsia="Times New Roman" w:cs="Arial"/>
          <w:color w:val="000000"/>
          <w:lang w:eastAsia="bg-BG"/>
        </w:rPr>
        <w:t>сегмента с 1 мм, и намалява едновременно броя на стенокардиите пристъпи и консумацията на таблетки глицерил тринитрат.</w:t>
      </w:r>
    </w:p>
    <w:p w14:paraId="7168A757" w14:textId="77777777" w:rsidR="001C4124" w:rsidRPr="001C4124" w:rsidRDefault="001C4124" w:rsidP="001C4124">
      <w:pPr>
        <w:spacing w:line="240" w:lineRule="auto"/>
        <w:rPr>
          <w:rFonts w:eastAsia="Times New Roman" w:cs="Arial"/>
          <w:color w:val="000000"/>
          <w:lang w:eastAsia="bg-BG"/>
        </w:rPr>
      </w:pPr>
    </w:p>
    <w:p w14:paraId="36D40A23" w14:textId="7CEA29EF" w:rsidR="001C4124" w:rsidRPr="001C4124" w:rsidRDefault="001C4124" w:rsidP="001C4124">
      <w:pPr>
        <w:spacing w:line="240" w:lineRule="auto"/>
        <w:rPr>
          <w:rFonts w:eastAsia="Times New Roman" w:cs="Arial"/>
        </w:rPr>
      </w:pPr>
      <w:r w:rsidRPr="001C4124">
        <w:rPr>
          <w:rFonts w:eastAsia="Times New Roman" w:cs="Arial"/>
          <w:color w:val="000000"/>
          <w:lang w:eastAsia="bg-BG"/>
        </w:rPr>
        <w:t>Амлодипин не се свързва с неблагоприятни метаболитни ефекти или промени в плазмените липиди и е подходящ за употреба при пациенти с астма, диабет и подагра.</w:t>
      </w:r>
    </w:p>
    <w:p w14:paraId="45BB3E9E" w14:textId="77777777" w:rsidR="001C4124" w:rsidRPr="001C4124" w:rsidRDefault="001C4124" w:rsidP="001C4124">
      <w:pPr>
        <w:spacing w:line="240" w:lineRule="auto"/>
        <w:rPr>
          <w:rFonts w:eastAsia="Times New Roman" w:cs="Arial"/>
          <w:i/>
          <w:iCs/>
          <w:color w:val="000000"/>
          <w:lang w:eastAsia="bg-BG"/>
        </w:rPr>
      </w:pPr>
    </w:p>
    <w:p w14:paraId="7F95C005" w14:textId="3E57B4AE" w:rsidR="001C4124" w:rsidRPr="001C4124" w:rsidRDefault="001C4124" w:rsidP="001C4124">
      <w:pPr>
        <w:spacing w:line="240" w:lineRule="auto"/>
        <w:rPr>
          <w:rFonts w:eastAsia="Times New Roman" w:cs="Arial"/>
        </w:rPr>
      </w:pPr>
      <w:r w:rsidRPr="001C4124">
        <w:rPr>
          <w:rFonts w:eastAsia="Times New Roman" w:cs="Arial"/>
          <w:i/>
          <w:iCs/>
          <w:color w:val="000000"/>
          <w:lang w:eastAsia="bg-BG"/>
        </w:rPr>
        <w:t>Приложение при пациенти с исхемична болест на сърцето (ИБС)</w:t>
      </w:r>
    </w:p>
    <w:p w14:paraId="2EF481D2" w14:textId="77777777" w:rsidR="001C4124" w:rsidRPr="001C4124" w:rsidRDefault="001C4124" w:rsidP="001C4124">
      <w:pPr>
        <w:spacing w:line="240" w:lineRule="auto"/>
        <w:rPr>
          <w:rFonts w:eastAsia="Times New Roman" w:cs="Arial"/>
        </w:rPr>
      </w:pPr>
      <w:r w:rsidRPr="001C4124">
        <w:rPr>
          <w:rFonts w:eastAsia="Times New Roman" w:cs="Arial"/>
          <w:color w:val="000000"/>
          <w:lang w:eastAsia="bg-BG"/>
        </w:rPr>
        <w:t xml:space="preserve">Ефективността на амлодипин за профилактика на клинични събития при пациенти с исхемична болест на сърцето (ИБС) е оценена в независимо, многоцентрово, рандомизирано, двойно сляпо, плацебо контролирано проучване при 1997 пациенти; Сравнение на амлодипин спрямо еналаприл за ограничаване на появата на тромбоза </w:t>
      </w:r>
      <w:r w:rsidRPr="001C4124">
        <w:rPr>
          <w:rFonts w:eastAsia="Times New Roman" w:cs="Arial"/>
          <w:color w:val="000000"/>
          <w:lang w:val="ru-RU"/>
        </w:rPr>
        <w:t>(</w:t>
      </w:r>
      <w:r w:rsidRPr="001C4124">
        <w:rPr>
          <w:rFonts w:eastAsia="Times New Roman" w:cs="Arial"/>
          <w:color w:val="000000"/>
          <w:lang w:val="en-US"/>
        </w:rPr>
        <w:t>CAMELOT</w:t>
      </w:r>
      <w:r w:rsidRPr="001C4124">
        <w:rPr>
          <w:rFonts w:eastAsia="Times New Roman" w:cs="Arial"/>
          <w:color w:val="000000"/>
          <w:lang w:val="ru-RU"/>
        </w:rPr>
        <w:t xml:space="preserve">). </w:t>
      </w:r>
      <w:r w:rsidRPr="001C4124">
        <w:rPr>
          <w:rFonts w:eastAsia="Times New Roman" w:cs="Arial"/>
          <w:color w:val="000000"/>
          <w:lang w:eastAsia="bg-BG"/>
        </w:rPr>
        <w:t xml:space="preserve">От тези пациенти, 663 са лекувани с амлодипин 5-10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 xml:space="preserve">673 пациенти са лекувани с еналаприл 10-20 </w:t>
      </w:r>
      <w:r w:rsidRPr="001C4124">
        <w:rPr>
          <w:rFonts w:eastAsia="Times New Roman" w:cs="Arial"/>
          <w:color w:val="000000"/>
          <w:lang w:val="en-US"/>
        </w:rPr>
        <w:t>mg</w:t>
      </w:r>
      <w:r w:rsidRPr="001C4124">
        <w:rPr>
          <w:rFonts w:eastAsia="Times New Roman" w:cs="Arial"/>
          <w:color w:val="000000"/>
          <w:lang w:val="ru-RU"/>
        </w:rPr>
        <w:t xml:space="preserve"> </w:t>
      </w:r>
      <w:r w:rsidRPr="001C4124">
        <w:rPr>
          <w:rFonts w:eastAsia="Times New Roman" w:cs="Arial"/>
          <w:color w:val="000000"/>
          <w:lang w:eastAsia="bg-BG"/>
        </w:rPr>
        <w:t>а 665 пациенти са лекувани с плацебо, в допълнение към стандартната терапия със статини, бета-блокери, диуретици и аспирин, в продължение на 2 години. Основните резултати за ефикасност са представени в Таблица 1. Резултатите показват, че лечението с амлодипин е свързано с по- малко хоспитализации по повод на стенокардия и реваскуларизационни процедури при пациенти с ИБС.</w:t>
      </w:r>
    </w:p>
    <w:p w14:paraId="22C707FB" w14:textId="77777777" w:rsidR="001C4124" w:rsidRPr="001C4124" w:rsidRDefault="001C4124" w:rsidP="001C4124">
      <w:pPr>
        <w:spacing w:line="240" w:lineRule="auto"/>
        <w:rPr>
          <w:rFonts w:eastAsia="Times New Roman" w:cs="Arial"/>
          <w:color w:val="000000"/>
          <w:lang w:eastAsia="bg-BG"/>
        </w:rPr>
      </w:pPr>
    </w:p>
    <w:p w14:paraId="75250E75" w14:textId="3B5E1136" w:rsidR="001C4124" w:rsidRPr="001C4124" w:rsidRDefault="001C4124" w:rsidP="001C4124">
      <w:pPr>
        <w:spacing w:line="240" w:lineRule="auto"/>
        <w:rPr>
          <w:rFonts w:eastAsia="Times New Roman" w:cs="Arial"/>
        </w:rPr>
      </w:pPr>
      <w:r w:rsidRPr="001C4124">
        <w:rPr>
          <w:rFonts w:eastAsia="Times New Roman" w:cs="Arial"/>
          <w:color w:val="000000"/>
          <w:lang w:eastAsia="bg-BG"/>
        </w:rPr>
        <w:t>Употреба при пациенти с исхемична болест на сърцето (ИБС)</w:t>
      </w:r>
    </w:p>
    <w:p w14:paraId="6D6EC089" w14:textId="77777777" w:rsidR="001C4124" w:rsidRPr="001C4124" w:rsidRDefault="001C4124" w:rsidP="001C4124">
      <w:pPr>
        <w:spacing w:line="240" w:lineRule="auto"/>
        <w:rPr>
          <w:rFonts w:eastAsia="Times New Roman" w:cs="Arial"/>
          <w:b/>
          <w:bCs/>
          <w:color w:val="000000"/>
          <w:lang w:eastAsia="bg-BG"/>
        </w:rPr>
      </w:pPr>
    </w:p>
    <w:p w14:paraId="29A88F0C" w14:textId="4889E6F9" w:rsidR="001C4124" w:rsidRPr="001C4124" w:rsidRDefault="001C4124" w:rsidP="001C4124">
      <w:pPr>
        <w:spacing w:line="240" w:lineRule="auto"/>
        <w:rPr>
          <w:rFonts w:eastAsia="Times New Roman" w:cs="Arial"/>
        </w:rPr>
      </w:pPr>
      <w:r w:rsidRPr="001C4124">
        <w:rPr>
          <w:rFonts w:eastAsia="Times New Roman" w:cs="Arial"/>
          <w:b/>
          <w:bCs/>
          <w:color w:val="000000"/>
          <w:lang w:eastAsia="bg-BG"/>
        </w:rPr>
        <w:t xml:space="preserve">Таблица 1. Честота на значимите клинични събития при </w:t>
      </w:r>
      <w:r w:rsidRPr="001C4124">
        <w:rPr>
          <w:rFonts w:eastAsia="Times New Roman" w:cs="Arial"/>
          <w:b/>
          <w:bCs/>
          <w:color w:val="000000"/>
          <w:lang w:val="en-US"/>
        </w:rPr>
        <w:t>CAMELOT</w:t>
      </w:r>
    </w:p>
    <w:p w14:paraId="03C758A9" w14:textId="5E087B69" w:rsidR="001C4124" w:rsidRDefault="001C4124" w:rsidP="001C4124"/>
    <w:tbl>
      <w:tblPr>
        <w:tblStyle w:val="TableGrid"/>
        <w:tblW w:w="0" w:type="auto"/>
        <w:tblLook w:val="04A0" w:firstRow="1" w:lastRow="0" w:firstColumn="1" w:lastColumn="0" w:noHBand="0" w:noVBand="1"/>
      </w:tblPr>
      <w:tblGrid>
        <w:gridCol w:w="2104"/>
        <w:gridCol w:w="1481"/>
        <w:gridCol w:w="1344"/>
        <w:gridCol w:w="1466"/>
        <w:gridCol w:w="1538"/>
        <w:gridCol w:w="1417"/>
      </w:tblGrid>
      <w:tr w:rsidR="001C4124" w14:paraId="0F66B36C" w14:textId="77777777" w:rsidTr="001C4124">
        <w:tc>
          <w:tcPr>
            <w:tcW w:w="2104" w:type="dxa"/>
          </w:tcPr>
          <w:p w14:paraId="77EECB8A" w14:textId="77777777" w:rsidR="001C4124" w:rsidRDefault="001C4124" w:rsidP="001C4124"/>
        </w:tc>
        <w:tc>
          <w:tcPr>
            <w:tcW w:w="4474" w:type="dxa"/>
            <w:gridSpan w:val="3"/>
            <w:vAlign w:val="bottom"/>
          </w:tcPr>
          <w:p w14:paraId="048ECA4C" w14:textId="12CD2A2E" w:rsidR="001C4124" w:rsidRPr="001C4124" w:rsidRDefault="001C4124" w:rsidP="001C4124">
            <w:pPr>
              <w:rPr>
                <w:b/>
              </w:rPr>
            </w:pPr>
            <w:r w:rsidRPr="001C4124">
              <w:rPr>
                <w:b/>
              </w:rPr>
              <w:t>Честота на сърдечно-съдови събития, Брой (%)</w:t>
            </w:r>
          </w:p>
        </w:tc>
        <w:tc>
          <w:tcPr>
            <w:tcW w:w="2998" w:type="dxa"/>
            <w:gridSpan w:val="2"/>
            <w:vAlign w:val="center"/>
          </w:tcPr>
          <w:p w14:paraId="3AD819E8" w14:textId="63D7DE9B" w:rsidR="001C4124" w:rsidRPr="001C4124" w:rsidRDefault="001C4124" w:rsidP="001C4124">
            <w:pPr>
              <w:rPr>
                <w:b/>
              </w:rPr>
            </w:pPr>
            <w:r w:rsidRPr="001C4124">
              <w:rPr>
                <w:b/>
              </w:rPr>
              <w:t>Амлодипин спрямо плацебо</w:t>
            </w:r>
          </w:p>
        </w:tc>
      </w:tr>
      <w:tr w:rsidR="001C4124" w14:paraId="0B757350" w14:textId="77777777" w:rsidTr="001C4124">
        <w:tc>
          <w:tcPr>
            <w:tcW w:w="2104" w:type="dxa"/>
          </w:tcPr>
          <w:p w14:paraId="71FDFD6A" w14:textId="0B22C9A4" w:rsidR="001C4124" w:rsidRPr="001C4124" w:rsidRDefault="001C4124" w:rsidP="001C4124">
            <w:r w:rsidRPr="001C4124">
              <w:rPr>
                <w:szCs w:val="20"/>
              </w:rPr>
              <w:t>Резултати</w:t>
            </w:r>
          </w:p>
        </w:tc>
        <w:tc>
          <w:tcPr>
            <w:tcW w:w="1523" w:type="dxa"/>
          </w:tcPr>
          <w:p w14:paraId="37EFBAC7" w14:textId="509E5CC3" w:rsidR="001C4124" w:rsidRPr="001C4124" w:rsidRDefault="001C4124" w:rsidP="001C4124">
            <w:r w:rsidRPr="001C4124">
              <w:rPr>
                <w:szCs w:val="20"/>
              </w:rPr>
              <w:t>Амлодипин</w:t>
            </w:r>
          </w:p>
        </w:tc>
        <w:tc>
          <w:tcPr>
            <w:tcW w:w="1437" w:type="dxa"/>
          </w:tcPr>
          <w:p w14:paraId="02DD3418" w14:textId="665989EB" w:rsidR="001C4124" w:rsidRPr="001C4124" w:rsidRDefault="001C4124" w:rsidP="001C4124">
            <w:r w:rsidRPr="001C4124">
              <w:rPr>
                <w:szCs w:val="20"/>
              </w:rPr>
              <w:t>Плацебо</w:t>
            </w:r>
          </w:p>
        </w:tc>
        <w:tc>
          <w:tcPr>
            <w:tcW w:w="1514" w:type="dxa"/>
          </w:tcPr>
          <w:p w14:paraId="7B24415A" w14:textId="140CD77D" w:rsidR="001C4124" w:rsidRPr="001C4124" w:rsidRDefault="001C4124" w:rsidP="001C4124">
            <w:r w:rsidRPr="001C4124">
              <w:rPr>
                <w:szCs w:val="20"/>
              </w:rPr>
              <w:t>Еналаприл</w:t>
            </w:r>
          </w:p>
        </w:tc>
        <w:tc>
          <w:tcPr>
            <w:tcW w:w="1559" w:type="dxa"/>
            <w:vAlign w:val="bottom"/>
          </w:tcPr>
          <w:p w14:paraId="38EC0239" w14:textId="4BB38517" w:rsidR="001C4124" w:rsidRPr="001C4124" w:rsidRDefault="001C4124" w:rsidP="001C4124">
            <w:r w:rsidRPr="001C4124">
              <w:rPr>
                <w:szCs w:val="20"/>
              </w:rPr>
              <w:t xml:space="preserve">Коефициент на риска (95% </w:t>
            </w:r>
            <w:r w:rsidRPr="001C4124">
              <w:rPr>
                <w:szCs w:val="20"/>
                <w:lang w:val="en-US"/>
              </w:rPr>
              <w:t>CI)</w:t>
            </w:r>
          </w:p>
        </w:tc>
        <w:tc>
          <w:tcPr>
            <w:tcW w:w="1439" w:type="dxa"/>
          </w:tcPr>
          <w:p w14:paraId="511E1E19" w14:textId="4105A36A" w:rsidR="001C4124" w:rsidRPr="001C4124" w:rsidRDefault="001C4124" w:rsidP="001C4124">
            <w:r w:rsidRPr="001C4124">
              <w:rPr>
                <w:szCs w:val="20"/>
              </w:rPr>
              <w:t>Р-стойност</w:t>
            </w:r>
          </w:p>
        </w:tc>
      </w:tr>
      <w:tr w:rsidR="001C4124" w14:paraId="5C40B7AF" w14:textId="77777777" w:rsidTr="00054489">
        <w:tc>
          <w:tcPr>
            <w:tcW w:w="9576" w:type="dxa"/>
            <w:gridSpan w:val="6"/>
            <w:vAlign w:val="bottom"/>
          </w:tcPr>
          <w:p w14:paraId="3C77D55A" w14:textId="01672BA3" w:rsidR="001C4124" w:rsidRPr="001C4124" w:rsidRDefault="001C4124" w:rsidP="001C4124">
            <w:r w:rsidRPr="001C4124">
              <w:rPr>
                <w:b/>
                <w:bCs/>
                <w:szCs w:val="20"/>
              </w:rPr>
              <w:t>Първична крайна точка</w:t>
            </w:r>
          </w:p>
        </w:tc>
      </w:tr>
      <w:tr w:rsidR="001C4124" w14:paraId="1DC84662" w14:textId="77777777" w:rsidTr="001C4124">
        <w:tc>
          <w:tcPr>
            <w:tcW w:w="2104" w:type="dxa"/>
            <w:vAlign w:val="bottom"/>
          </w:tcPr>
          <w:p w14:paraId="39D3942F" w14:textId="0B6D380F" w:rsidR="001C4124" w:rsidRPr="001C4124" w:rsidRDefault="001C4124" w:rsidP="001C4124">
            <w:r w:rsidRPr="001C4124">
              <w:rPr>
                <w:szCs w:val="20"/>
              </w:rPr>
              <w:t>Нежелани сърдечно</w:t>
            </w:r>
            <w:r w:rsidRPr="001C4124">
              <w:rPr>
                <w:szCs w:val="20"/>
              </w:rPr>
              <w:softHyphen/>
              <w:t>съдови събития</w:t>
            </w:r>
          </w:p>
        </w:tc>
        <w:tc>
          <w:tcPr>
            <w:tcW w:w="1523" w:type="dxa"/>
          </w:tcPr>
          <w:p w14:paraId="04E8A03A" w14:textId="780C5E67" w:rsidR="001C4124" w:rsidRPr="001C4124" w:rsidRDefault="001C4124" w:rsidP="001C4124">
            <w:r w:rsidRPr="001C4124">
              <w:rPr>
                <w:szCs w:val="20"/>
              </w:rPr>
              <w:t>110(16,6)</w:t>
            </w:r>
          </w:p>
        </w:tc>
        <w:tc>
          <w:tcPr>
            <w:tcW w:w="1437" w:type="dxa"/>
          </w:tcPr>
          <w:p w14:paraId="6B5779AE" w14:textId="0D8E9626" w:rsidR="001C4124" w:rsidRPr="001C4124" w:rsidRDefault="001C4124" w:rsidP="001C4124">
            <w:r w:rsidRPr="001C4124">
              <w:rPr>
                <w:szCs w:val="20"/>
              </w:rPr>
              <w:t>151 (23,1)</w:t>
            </w:r>
          </w:p>
        </w:tc>
        <w:tc>
          <w:tcPr>
            <w:tcW w:w="1514" w:type="dxa"/>
          </w:tcPr>
          <w:p w14:paraId="15E3F349" w14:textId="3222E5AE" w:rsidR="001C4124" w:rsidRPr="001C4124" w:rsidRDefault="001C4124" w:rsidP="001C4124">
            <w:r w:rsidRPr="001C4124">
              <w:rPr>
                <w:szCs w:val="20"/>
              </w:rPr>
              <w:t>136 (20,2)</w:t>
            </w:r>
          </w:p>
        </w:tc>
        <w:tc>
          <w:tcPr>
            <w:tcW w:w="1559" w:type="dxa"/>
            <w:vAlign w:val="bottom"/>
          </w:tcPr>
          <w:p w14:paraId="7FD20EB0" w14:textId="77777777" w:rsidR="001C4124" w:rsidRPr="001C4124" w:rsidRDefault="001C4124" w:rsidP="001C4124">
            <w:r w:rsidRPr="001C4124">
              <w:rPr>
                <w:szCs w:val="20"/>
              </w:rPr>
              <w:t>0,69 (0,54-</w:t>
            </w:r>
          </w:p>
          <w:p w14:paraId="64F900B9" w14:textId="388A64E8" w:rsidR="001C4124" w:rsidRPr="001C4124" w:rsidRDefault="001C4124" w:rsidP="001C4124">
            <w:r w:rsidRPr="001C4124">
              <w:rPr>
                <w:szCs w:val="20"/>
              </w:rPr>
              <w:t>0,88)</w:t>
            </w:r>
          </w:p>
        </w:tc>
        <w:tc>
          <w:tcPr>
            <w:tcW w:w="1439" w:type="dxa"/>
          </w:tcPr>
          <w:p w14:paraId="3F9DA4CE" w14:textId="304DF292" w:rsidR="001C4124" w:rsidRPr="001C4124" w:rsidRDefault="001C4124" w:rsidP="001C4124">
            <w:r w:rsidRPr="001C4124">
              <w:rPr>
                <w:szCs w:val="20"/>
              </w:rPr>
              <w:t>0,003</w:t>
            </w:r>
          </w:p>
        </w:tc>
      </w:tr>
      <w:tr w:rsidR="001C4124" w14:paraId="0568DCCD" w14:textId="77777777" w:rsidTr="00F06D24">
        <w:tc>
          <w:tcPr>
            <w:tcW w:w="9576" w:type="dxa"/>
            <w:gridSpan w:val="6"/>
          </w:tcPr>
          <w:p w14:paraId="21C10851" w14:textId="51947053" w:rsidR="001C4124" w:rsidRPr="001C4124" w:rsidRDefault="001C4124" w:rsidP="001C4124">
            <w:r w:rsidRPr="001C4124">
              <w:rPr>
                <w:b/>
                <w:bCs/>
                <w:szCs w:val="20"/>
              </w:rPr>
              <w:t>Отделни компоненти</w:t>
            </w:r>
          </w:p>
        </w:tc>
      </w:tr>
      <w:tr w:rsidR="001C4124" w14:paraId="0E62838C" w14:textId="77777777" w:rsidTr="001C4124">
        <w:tc>
          <w:tcPr>
            <w:tcW w:w="2104" w:type="dxa"/>
            <w:vAlign w:val="bottom"/>
          </w:tcPr>
          <w:p w14:paraId="22EB61FE" w14:textId="2490058F" w:rsidR="001C4124" w:rsidRPr="001C4124" w:rsidRDefault="001C4124" w:rsidP="001C4124">
            <w:r w:rsidRPr="001C4124">
              <w:rPr>
                <w:szCs w:val="20"/>
              </w:rPr>
              <w:lastRenderedPageBreak/>
              <w:t>Коронарна реваскуларизация</w:t>
            </w:r>
          </w:p>
        </w:tc>
        <w:tc>
          <w:tcPr>
            <w:tcW w:w="1523" w:type="dxa"/>
          </w:tcPr>
          <w:p w14:paraId="3B1B059F" w14:textId="44320F6C" w:rsidR="001C4124" w:rsidRPr="001C4124" w:rsidRDefault="001C4124" w:rsidP="001C4124">
            <w:r w:rsidRPr="001C4124">
              <w:rPr>
                <w:szCs w:val="20"/>
              </w:rPr>
              <w:t>78 (11,8)</w:t>
            </w:r>
          </w:p>
        </w:tc>
        <w:tc>
          <w:tcPr>
            <w:tcW w:w="1437" w:type="dxa"/>
          </w:tcPr>
          <w:p w14:paraId="16B36F05" w14:textId="4F867F38" w:rsidR="001C4124" w:rsidRPr="001C4124" w:rsidRDefault="001C4124" w:rsidP="001C4124">
            <w:r w:rsidRPr="001C4124">
              <w:rPr>
                <w:szCs w:val="20"/>
              </w:rPr>
              <w:t>103 (15,7)</w:t>
            </w:r>
          </w:p>
        </w:tc>
        <w:tc>
          <w:tcPr>
            <w:tcW w:w="1514" w:type="dxa"/>
          </w:tcPr>
          <w:p w14:paraId="7CB6C683" w14:textId="75CB7124" w:rsidR="001C4124" w:rsidRPr="001C4124" w:rsidRDefault="001C4124" w:rsidP="001C4124">
            <w:r w:rsidRPr="001C4124">
              <w:rPr>
                <w:szCs w:val="20"/>
              </w:rPr>
              <w:t>95(14,1)</w:t>
            </w:r>
          </w:p>
        </w:tc>
        <w:tc>
          <w:tcPr>
            <w:tcW w:w="1559" w:type="dxa"/>
            <w:vAlign w:val="bottom"/>
          </w:tcPr>
          <w:p w14:paraId="18C05E34" w14:textId="77777777" w:rsidR="001C4124" w:rsidRPr="001C4124" w:rsidRDefault="001C4124" w:rsidP="001C4124">
            <w:r w:rsidRPr="001C4124">
              <w:rPr>
                <w:szCs w:val="20"/>
              </w:rPr>
              <w:t>0,73 (0,54-</w:t>
            </w:r>
          </w:p>
          <w:p w14:paraId="0AEA9C89" w14:textId="26EAA890" w:rsidR="001C4124" w:rsidRPr="001C4124" w:rsidRDefault="001C4124" w:rsidP="001C4124">
            <w:r w:rsidRPr="001C4124">
              <w:rPr>
                <w:szCs w:val="20"/>
              </w:rPr>
              <w:t>0,98)</w:t>
            </w:r>
          </w:p>
        </w:tc>
        <w:tc>
          <w:tcPr>
            <w:tcW w:w="1439" w:type="dxa"/>
          </w:tcPr>
          <w:p w14:paraId="6583DA81" w14:textId="13517495" w:rsidR="001C4124" w:rsidRPr="001C4124" w:rsidRDefault="001C4124" w:rsidP="001C4124">
            <w:r w:rsidRPr="001C4124">
              <w:rPr>
                <w:szCs w:val="20"/>
                <w:u w:val="single"/>
              </w:rPr>
              <w:t>0,03</w:t>
            </w:r>
          </w:p>
        </w:tc>
      </w:tr>
      <w:tr w:rsidR="001C4124" w14:paraId="76947026" w14:textId="77777777" w:rsidTr="001C4124">
        <w:tc>
          <w:tcPr>
            <w:tcW w:w="2104" w:type="dxa"/>
          </w:tcPr>
          <w:p w14:paraId="745D4EEC" w14:textId="36F22A8E" w:rsidR="001C4124" w:rsidRPr="001C4124" w:rsidRDefault="001C4124" w:rsidP="001C4124">
            <w:r w:rsidRPr="001C4124">
              <w:rPr>
                <w:szCs w:val="20"/>
              </w:rPr>
              <w:t>Хоспитализация по повод стенокардия</w:t>
            </w:r>
          </w:p>
        </w:tc>
        <w:tc>
          <w:tcPr>
            <w:tcW w:w="1523" w:type="dxa"/>
          </w:tcPr>
          <w:p w14:paraId="3AA9B55C" w14:textId="03576CCC" w:rsidR="001C4124" w:rsidRPr="001C4124" w:rsidRDefault="001C4124" w:rsidP="001C4124">
            <w:r w:rsidRPr="001C4124">
              <w:rPr>
                <w:szCs w:val="20"/>
              </w:rPr>
              <w:t>51 (7,7)</w:t>
            </w:r>
          </w:p>
        </w:tc>
        <w:tc>
          <w:tcPr>
            <w:tcW w:w="1437" w:type="dxa"/>
          </w:tcPr>
          <w:p w14:paraId="1B9F6D8E" w14:textId="4BF56E1A" w:rsidR="001C4124" w:rsidRPr="001C4124" w:rsidRDefault="001C4124" w:rsidP="001C4124">
            <w:r w:rsidRPr="001C4124">
              <w:rPr>
                <w:szCs w:val="20"/>
              </w:rPr>
              <w:t>84(12,8)</w:t>
            </w:r>
          </w:p>
        </w:tc>
        <w:tc>
          <w:tcPr>
            <w:tcW w:w="1514" w:type="dxa"/>
          </w:tcPr>
          <w:p w14:paraId="4E3A9FFA" w14:textId="218DCACA" w:rsidR="001C4124" w:rsidRPr="001C4124" w:rsidRDefault="001C4124" w:rsidP="001C4124">
            <w:r w:rsidRPr="001C4124">
              <w:rPr>
                <w:szCs w:val="20"/>
              </w:rPr>
              <w:t>86(12,8)</w:t>
            </w:r>
          </w:p>
        </w:tc>
        <w:tc>
          <w:tcPr>
            <w:tcW w:w="1559" w:type="dxa"/>
          </w:tcPr>
          <w:p w14:paraId="3A1806EC" w14:textId="57A97E13" w:rsidR="001C4124" w:rsidRPr="001C4124" w:rsidRDefault="001C4124" w:rsidP="001C4124">
            <w:r w:rsidRPr="001C4124">
              <w:rPr>
                <w:szCs w:val="20"/>
              </w:rPr>
              <w:t>0,58 (0,41- 0,82)</w:t>
            </w:r>
          </w:p>
        </w:tc>
        <w:tc>
          <w:tcPr>
            <w:tcW w:w="1439" w:type="dxa"/>
          </w:tcPr>
          <w:p w14:paraId="46CE620D" w14:textId="1C567ED0" w:rsidR="001C4124" w:rsidRPr="001C4124" w:rsidRDefault="001C4124" w:rsidP="001C4124">
            <w:r w:rsidRPr="001C4124">
              <w:rPr>
                <w:szCs w:val="20"/>
              </w:rPr>
              <w:t>0,002</w:t>
            </w:r>
          </w:p>
        </w:tc>
      </w:tr>
      <w:tr w:rsidR="001C4124" w14:paraId="57046356" w14:textId="77777777" w:rsidTr="001C4124">
        <w:tc>
          <w:tcPr>
            <w:tcW w:w="2104" w:type="dxa"/>
          </w:tcPr>
          <w:p w14:paraId="379F636E" w14:textId="4ADC05C1" w:rsidR="001C4124" w:rsidRPr="001C4124" w:rsidRDefault="001C4124" w:rsidP="001C4124">
            <w:r w:rsidRPr="001C4124">
              <w:t>Нефатален МИ</w:t>
            </w:r>
          </w:p>
        </w:tc>
        <w:tc>
          <w:tcPr>
            <w:tcW w:w="1523" w:type="dxa"/>
          </w:tcPr>
          <w:p w14:paraId="78B65617" w14:textId="75D5892A" w:rsidR="001C4124" w:rsidRPr="001C4124" w:rsidRDefault="001C4124" w:rsidP="001C4124">
            <w:r w:rsidRPr="001C4124">
              <w:t>14(2,1)</w:t>
            </w:r>
          </w:p>
        </w:tc>
        <w:tc>
          <w:tcPr>
            <w:tcW w:w="1437" w:type="dxa"/>
          </w:tcPr>
          <w:p w14:paraId="0611961D" w14:textId="1BFBF81C" w:rsidR="001C4124" w:rsidRPr="001C4124" w:rsidRDefault="001C4124" w:rsidP="001C4124">
            <w:r w:rsidRPr="001C4124">
              <w:t>19 (2,9)</w:t>
            </w:r>
          </w:p>
        </w:tc>
        <w:tc>
          <w:tcPr>
            <w:tcW w:w="1514" w:type="dxa"/>
          </w:tcPr>
          <w:p w14:paraId="6BB87D6C" w14:textId="2C6A1AB9" w:rsidR="001C4124" w:rsidRPr="001C4124" w:rsidRDefault="001C4124" w:rsidP="001C4124">
            <w:r w:rsidRPr="001C4124">
              <w:t>11(1,6)</w:t>
            </w:r>
          </w:p>
        </w:tc>
        <w:tc>
          <w:tcPr>
            <w:tcW w:w="1559" w:type="dxa"/>
          </w:tcPr>
          <w:p w14:paraId="1FB07C7E" w14:textId="7D8FE8CB" w:rsidR="001C4124" w:rsidRPr="001C4124" w:rsidRDefault="001C4124" w:rsidP="001C4124">
            <w:r w:rsidRPr="001C4124">
              <w:t>0,73 (0,37- 1,46)</w:t>
            </w:r>
          </w:p>
        </w:tc>
        <w:tc>
          <w:tcPr>
            <w:tcW w:w="1439" w:type="dxa"/>
          </w:tcPr>
          <w:p w14:paraId="50A4A2BF" w14:textId="14E2BFCA" w:rsidR="001C4124" w:rsidRPr="001C4124" w:rsidRDefault="001C4124" w:rsidP="001C4124">
            <w:r w:rsidRPr="001C4124">
              <w:t>0,37</w:t>
            </w:r>
          </w:p>
        </w:tc>
      </w:tr>
      <w:tr w:rsidR="001C4124" w14:paraId="464EE8AC" w14:textId="77777777" w:rsidTr="001C4124">
        <w:tc>
          <w:tcPr>
            <w:tcW w:w="2104" w:type="dxa"/>
          </w:tcPr>
          <w:p w14:paraId="5E63ADF0" w14:textId="59E46E97" w:rsidR="001C4124" w:rsidRPr="001C4124" w:rsidRDefault="001C4124" w:rsidP="001C4124">
            <w:r w:rsidRPr="001C4124">
              <w:t>Инсулт или ТИА</w:t>
            </w:r>
          </w:p>
        </w:tc>
        <w:tc>
          <w:tcPr>
            <w:tcW w:w="1523" w:type="dxa"/>
          </w:tcPr>
          <w:p w14:paraId="3114A5E8" w14:textId="2B737844" w:rsidR="001C4124" w:rsidRPr="001C4124" w:rsidRDefault="001C4124" w:rsidP="001C4124">
            <w:r w:rsidRPr="001C4124">
              <w:t>6 (0,9)</w:t>
            </w:r>
          </w:p>
        </w:tc>
        <w:tc>
          <w:tcPr>
            <w:tcW w:w="1437" w:type="dxa"/>
          </w:tcPr>
          <w:p w14:paraId="002D8755" w14:textId="07D98147" w:rsidR="001C4124" w:rsidRPr="001C4124" w:rsidRDefault="001C4124" w:rsidP="001C4124">
            <w:r w:rsidRPr="001C4124">
              <w:t>12(1,8)</w:t>
            </w:r>
          </w:p>
        </w:tc>
        <w:tc>
          <w:tcPr>
            <w:tcW w:w="1514" w:type="dxa"/>
          </w:tcPr>
          <w:p w14:paraId="6DAD7762" w14:textId="3E413997" w:rsidR="001C4124" w:rsidRPr="001C4124" w:rsidRDefault="001C4124" w:rsidP="001C4124">
            <w:r w:rsidRPr="001C4124">
              <w:t>8(1,2)</w:t>
            </w:r>
          </w:p>
        </w:tc>
        <w:tc>
          <w:tcPr>
            <w:tcW w:w="1559" w:type="dxa"/>
          </w:tcPr>
          <w:p w14:paraId="32C9CA96" w14:textId="674B238E" w:rsidR="001C4124" w:rsidRPr="001C4124" w:rsidRDefault="001C4124" w:rsidP="001C4124">
            <w:r w:rsidRPr="001C4124">
              <w:t>0,50 (0,19- 1,32)</w:t>
            </w:r>
          </w:p>
        </w:tc>
        <w:tc>
          <w:tcPr>
            <w:tcW w:w="1439" w:type="dxa"/>
          </w:tcPr>
          <w:p w14:paraId="026DB895" w14:textId="489FE649" w:rsidR="001C4124" w:rsidRPr="001C4124" w:rsidRDefault="001C4124" w:rsidP="001C4124">
            <w:r w:rsidRPr="001C4124">
              <w:t>0,15</w:t>
            </w:r>
          </w:p>
        </w:tc>
      </w:tr>
      <w:tr w:rsidR="001C4124" w14:paraId="513D9BDB" w14:textId="77777777" w:rsidTr="001C4124">
        <w:tc>
          <w:tcPr>
            <w:tcW w:w="2104" w:type="dxa"/>
          </w:tcPr>
          <w:p w14:paraId="5C40DF55" w14:textId="39526758" w:rsidR="001C4124" w:rsidRPr="001C4124" w:rsidRDefault="001C4124" w:rsidP="001C4124">
            <w:r w:rsidRPr="001C4124">
              <w:t>Сърдечно съдова смърт</w:t>
            </w:r>
          </w:p>
        </w:tc>
        <w:tc>
          <w:tcPr>
            <w:tcW w:w="1523" w:type="dxa"/>
          </w:tcPr>
          <w:p w14:paraId="3FC4B059" w14:textId="2953793B" w:rsidR="001C4124" w:rsidRPr="001C4124" w:rsidRDefault="001C4124" w:rsidP="001C4124">
            <w:r w:rsidRPr="001C4124">
              <w:t>5 (0,8)</w:t>
            </w:r>
          </w:p>
        </w:tc>
        <w:tc>
          <w:tcPr>
            <w:tcW w:w="1437" w:type="dxa"/>
          </w:tcPr>
          <w:p w14:paraId="77AE1275" w14:textId="025E933F" w:rsidR="001C4124" w:rsidRPr="001C4124" w:rsidRDefault="001C4124" w:rsidP="001C4124">
            <w:r w:rsidRPr="001C4124">
              <w:t>2 (0,3)</w:t>
            </w:r>
          </w:p>
        </w:tc>
        <w:tc>
          <w:tcPr>
            <w:tcW w:w="1514" w:type="dxa"/>
          </w:tcPr>
          <w:p w14:paraId="6C070152" w14:textId="01437DF4" w:rsidR="001C4124" w:rsidRPr="001C4124" w:rsidRDefault="001C4124" w:rsidP="001C4124">
            <w:r w:rsidRPr="001C4124">
              <w:t>5 (0,7)</w:t>
            </w:r>
          </w:p>
        </w:tc>
        <w:tc>
          <w:tcPr>
            <w:tcW w:w="1559" w:type="dxa"/>
          </w:tcPr>
          <w:p w14:paraId="1543B79D" w14:textId="77777777" w:rsidR="001C4124" w:rsidRPr="001C4124" w:rsidRDefault="001C4124" w:rsidP="001C4124">
            <w:r w:rsidRPr="001C4124">
              <w:t>2,46 (0,48-</w:t>
            </w:r>
          </w:p>
          <w:p w14:paraId="63CA9981" w14:textId="61E7AE76" w:rsidR="001C4124" w:rsidRPr="001C4124" w:rsidRDefault="001C4124" w:rsidP="001C4124">
            <w:r w:rsidRPr="001C4124">
              <w:t>12,7)</w:t>
            </w:r>
          </w:p>
        </w:tc>
        <w:tc>
          <w:tcPr>
            <w:tcW w:w="1439" w:type="dxa"/>
          </w:tcPr>
          <w:p w14:paraId="6E6FC74C" w14:textId="101CC6EF" w:rsidR="001C4124" w:rsidRPr="001C4124" w:rsidRDefault="001C4124" w:rsidP="001C4124">
            <w:r w:rsidRPr="001C4124">
              <w:t>0,27</w:t>
            </w:r>
          </w:p>
        </w:tc>
      </w:tr>
      <w:tr w:rsidR="001C4124" w14:paraId="0C9D5ABC" w14:textId="77777777" w:rsidTr="001C4124">
        <w:tc>
          <w:tcPr>
            <w:tcW w:w="2104" w:type="dxa"/>
          </w:tcPr>
          <w:p w14:paraId="4390F41B" w14:textId="3B087140" w:rsidR="001C4124" w:rsidRPr="001C4124" w:rsidRDefault="001C4124" w:rsidP="001C4124">
            <w:r w:rsidRPr="001C4124">
              <w:t>Хоспитализация по повод на ЗСН</w:t>
            </w:r>
          </w:p>
        </w:tc>
        <w:tc>
          <w:tcPr>
            <w:tcW w:w="1523" w:type="dxa"/>
          </w:tcPr>
          <w:p w14:paraId="2AF17797" w14:textId="4DED8774" w:rsidR="001C4124" w:rsidRPr="001C4124" w:rsidRDefault="001C4124" w:rsidP="001C4124">
            <w:r w:rsidRPr="001C4124">
              <w:t>3 (0,5)</w:t>
            </w:r>
          </w:p>
        </w:tc>
        <w:tc>
          <w:tcPr>
            <w:tcW w:w="1437" w:type="dxa"/>
          </w:tcPr>
          <w:p w14:paraId="0C85B626" w14:textId="2C7259DD" w:rsidR="001C4124" w:rsidRPr="001C4124" w:rsidRDefault="001C4124" w:rsidP="001C4124">
            <w:r w:rsidRPr="001C4124">
              <w:t>5 (0,8)</w:t>
            </w:r>
          </w:p>
        </w:tc>
        <w:tc>
          <w:tcPr>
            <w:tcW w:w="1514" w:type="dxa"/>
          </w:tcPr>
          <w:p w14:paraId="00A97E90" w14:textId="39EE3C44" w:rsidR="001C4124" w:rsidRPr="001C4124" w:rsidRDefault="001C4124" w:rsidP="001C4124">
            <w:r w:rsidRPr="001C4124">
              <w:t>4 (0,6)</w:t>
            </w:r>
          </w:p>
        </w:tc>
        <w:tc>
          <w:tcPr>
            <w:tcW w:w="1559" w:type="dxa"/>
          </w:tcPr>
          <w:p w14:paraId="038AD366" w14:textId="77777777" w:rsidR="001C4124" w:rsidRPr="001C4124" w:rsidRDefault="001C4124" w:rsidP="001C4124">
            <w:r w:rsidRPr="001C4124">
              <w:t>0,59 (0,14-</w:t>
            </w:r>
          </w:p>
          <w:p w14:paraId="01691AFB" w14:textId="7FDCA999" w:rsidR="001C4124" w:rsidRPr="001C4124" w:rsidRDefault="001C4124" w:rsidP="001C4124">
            <w:r w:rsidRPr="001C4124">
              <w:t>2,47)</w:t>
            </w:r>
          </w:p>
        </w:tc>
        <w:tc>
          <w:tcPr>
            <w:tcW w:w="1439" w:type="dxa"/>
          </w:tcPr>
          <w:p w14:paraId="383CB94C" w14:textId="4F633F9A" w:rsidR="001C4124" w:rsidRPr="001C4124" w:rsidRDefault="001C4124" w:rsidP="001C4124">
            <w:r w:rsidRPr="001C4124">
              <w:t>0,46</w:t>
            </w:r>
          </w:p>
        </w:tc>
      </w:tr>
      <w:tr w:rsidR="001C4124" w14:paraId="10FF881F" w14:textId="77777777" w:rsidTr="001C4124">
        <w:tc>
          <w:tcPr>
            <w:tcW w:w="2104" w:type="dxa"/>
          </w:tcPr>
          <w:p w14:paraId="0BAE996B" w14:textId="2D8BDBE0" w:rsidR="001C4124" w:rsidRPr="001C4124" w:rsidRDefault="001C4124" w:rsidP="001C4124">
            <w:r w:rsidRPr="001C4124">
              <w:t>Преживян сърдечен арест</w:t>
            </w:r>
          </w:p>
        </w:tc>
        <w:tc>
          <w:tcPr>
            <w:tcW w:w="1523" w:type="dxa"/>
          </w:tcPr>
          <w:p w14:paraId="44405D69" w14:textId="697EED8D" w:rsidR="001C4124" w:rsidRPr="001C4124" w:rsidRDefault="001C4124" w:rsidP="001C4124">
            <w:r w:rsidRPr="001C4124">
              <w:t>0</w:t>
            </w:r>
          </w:p>
        </w:tc>
        <w:tc>
          <w:tcPr>
            <w:tcW w:w="1437" w:type="dxa"/>
          </w:tcPr>
          <w:p w14:paraId="744C602E" w14:textId="456C1782" w:rsidR="001C4124" w:rsidRPr="001C4124" w:rsidRDefault="001C4124" w:rsidP="001C4124">
            <w:r w:rsidRPr="001C4124">
              <w:t>4 (0,6)</w:t>
            </w:r>
          </w:p>
        </w:tc>
        <w:tc>
          <w:tcPr>
            <w:tcW w:w="1514" w:type="dxa"/>
          </w:tcPr>
          <w:p w14:paraId="3112B927" w14:textId="5ECEB589" w:rsidR="001C4124" w:rsidRPr="001C4124" w:rsidRDefault="001C4124" w:rsidP="001C4124">
            <w:r w:rsidRPr="001C4124">
              <w:t>1 (0,1)</w:t>
            </w:r>
          </w:p>
        </w:tc>
        <w:tc>
          <w:tcPr>
            <w:tcW w:w="1559" w:type="dxa"/>
          </w:tcPr>
          <w:p w14:paraId="3655CB22" w14:textId="3B172468" w:rsidR="001C4124" w:rsidRPr="001C4124" w:rsidRDefault="001C4124" w:rsidP="001C4124">
            <w:r w:rsidRPr="001C4124">
              <w:rPr>
                <w:lang w:val="en-US"/>
              </w:rPr>
              <w:t>NA</w:t>
            </w:r>
          </w:p>
        </w:tc>
        <w:tc>
          <w:tcPr>
            <w:tcW w:w="1439" w:type="dxa"/>
          </w:tcPr>
          <w:p w14:paraId="145EB983" w14:textId="01DC893E" w:rsidR="001C4124" w:rsidRPr="001C4124" w:rsidRDefault="001C4124" w:rsidP="001C4124">
            <w:r w:rsidRPr="001C4124">
              <w:t>0,04</w:t>
            </w:r>
          </w:p>
        </w:tc>
      </w:tr>
      <w:tr w:rsidR="001C4124" w14:paraId="4302D035" w14:textId="77777777" w:rsidTr="001C4124">
        <w:tc>
          <w:tcPr>
            <w:tcW w:w="2104" w:type="dxa"/>
          </w:tcPr>
          <w:p w14:paraId="3615C336" w14:textId="0489D2BD" w:rsidR="001C4124" w:rsidRPr="001C4124" w:rsidRDefault="001C4124" w:rsidP="001C4124">
            <w:r w:rsidRPr="001C4124">
              <w:t>Нововъзникнала периферна съдова болест</w:t>
            </w:r>
          </w:p>
        </w:tc>
        <w:tc>
          <w:tcPr>
            <w:tcW w:w="1523" w:type="dxa"/>
          </w:tcPr>
          <w:p w14:paraId="7BEEC010" w14:textId="36664D84" w:rsidR="001C4124" w:rsidRPr="001C4124" w:rsidRDefault="001C4124" w:rsidP="001C4124">
            <w:r w:rsidRPr="001C4124">
              <w:t>5 (0,8)</w:t>
            </w:r>
          </w:p>
        </w:tc>
        <w:tc>
          <w:tcPr>
            <w:tcW w:w="1437" w:type="dxa"/>
          </w:tcPr>
          <w:p w14:paraId="114B10AA" w14:textId="0DB89BE9" w:rsidR="001C4124" w:rsidRPr="001C4124" w:rsidRDefault="001C4124" w:rsidP="001C4124">
            <w:r w:rsidRPr="001C4124">
              <w:t>2 (0,3)</w:t>
            </w:r>
          </w:p>
        </w:tc>
        <w:tc>
          <w:tcPr>
            <w:tcW w:w="1514" w:type="dxa"/>
          </w:tcPr>
          <w:p w14:paraId="07CAFE23" w14:textId="7E41F176" w:rsidR="001C4124" w:rsidRPr="001C4124" w:rsidRDefault="001C4124" w:rsidP="001C4124">
            <w:r w:rsidRPr="001C4124">
              <w:t>8(1,2)</w:t>
            </w:r>
          </w:p>
        </w:tc>
        <w:tc>
          <w:tcPr>
            <w:tcW w:w="1559" w:type="dxa"/>
          </w:tcPr>
          <w:p w14:paraId="118436EC" w14:textId="42D9486F" w:rsidR="001C4124" w:rsidRPr="001C4124" w:rsidRDefault="001C4124" w:rsidP="001C4124">
            <w:r w:rsidRPr="001C4124">
              <w:t>2,6 (0,50-13,4)</w:t>
            </w:r>
          </w:p>
        </w:tc>
        <w:tc>
          <w:tcPr>
            <w:tcW w:w="1439" w:type="dxa"/>
          </w:tcPr>
          <w:p w14:paraId="183BA3AD" w14:textId="565F2968" w:rsidR="001C4124" w:rsidRPr="001C4124" w:rsidRDefault="001C4124" w:rsidP="001C4124">
            <w:r w:rsidRPr="001C4124">
              <w:tab/>
              <w:t>0,24</w:t>
            </w:r>
          </w:p>
        </w:tc>
      </w:tr>
    </w:tbl>
    <w:p w14:paraId="3DD0CC62"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Съкращения: ЗСН - застойна сърдечна недостатъчност; </w:t>
      </w:r>
      <w:r w:rsidRPr="001C4124">
        <w:rPr>
          <w:rFonts w:eastAsia="Times New Roman" w:cs="Arial"/>
          <w:color w:val="000000"/>
          <w:szCs w:val="20"/>
          <w:lang w:val="en-US"/>
        </w:rPr>
        <w:t>CI</w:t>
      </w:r>
      <w:r w:rsidRPr="001C4124">
        <w:rPr>
          <w:rFonts w:eastAsia="Times New Roman" w:cs="Arial"/>
          <w:color w:val="000000"/>
          <w:szCs w:val="20"/>
          <w:lang w:val="ru-RU"/>
        </w:rPr>
        <w:t xml:space="preserve"> </w:t>
      </w:r>
      <w:r w:rsidRPr="001C4124">
        <w:rPr>
          <w:rFonts w:eastAsia="Times New Roman" w:cs="Arial"/>
          <w:color w:val="000000"/>
          <w:szCs w:val="20"/>
          <w:lang w:eastAsia="bg-BG"/>
        </w:rPr>
        <w:t>- доверителен интервал; МИ - миокарден инфаркт; ТИА - транзиторна исхемична атака.</w:t>
      </w:r>
    </w:p>
    <w:p w14:paraId="042A4B81" w14:textId="77777777" w:rsidR="001C4124" w:rsidRPr="001C4124" w:rsidRDefault="001C4124" w:rsidP="001C4124">
      <w:pPr>
        <w:spacing w:line="240" w:lineRule="auto"/>
        <w:rPr>
          <w:rFonts w:eastAsia="Times New Roman" w:cs="Arial"/>
          <w:i/>
          <w:iCs/>
          <w:color w:val="000000"/>
          <w:szCs w:val="20"/>
          <w:lang w:eastAsia="bg-BG"/>
        </w:rPr>
      </w:pPr>
    </w:p>
    <w:p w14:paraId="0E3DAFC9" w14:textId="59A0AD6E"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 xml:space="preserve">Изпитване за лечение с цел предотвратяване на сърдечен пристъп </w:t>
      </w:r>
      <w:r w:rsidRPr="001C4124">
        <w:rPr>
          <w:rFonts w:eastAsia="Times New Roman" w:cs="Arial"/>
          <w:i/>
          <w:iCs/>
          <w:color w:val="000000"/>
          <w:szCs w:val="20"/>
          <w:lang w:val="ru-RU"/>
        </w:rPr>
        <w:t>(</w:t>
      </w:r>
      <w:r w:rsidRPr="001C4124">
        <w:rPr>
          <w:rFonts w:eastAsia="Times New Roman" w:cs="Arial"/>
          <w:i/>
          <w:iCs/>
          <w:color w:val="000000"/>
          <w:szCs w:val="20"/>
          <w:lang w:val="en-US"/>
        </w:rPr>
        <w:t>ALLHAT</w:t>
      </w:r>
      <w:r w:rsidRPr="001C4124">
        <w:rPr>
          <w:rFonts w:eastAsia="Times New Roman" w:cs="Arial"/>
          <w:i/>
          <w:iCs/>
          <w:color w:val="000000"/>
          <w:szCs w:val="20"/>
          <w:lang w:val="ru-RU"/>
        </w:rPr>
        <w:t>)</w:t>
      </w:r>
    </w:p>
    <w:p w14:paraId="6F8D5FE0"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Проведено е рандомизирано, двойно сляпо проучване за заболеваемост-смъртност, наречено Изпитване за антихипертензивно и липидопонижаващо лечение за предотвратяване на сърдечен пристъп </w:t>
      </w:r>
      <w:r w:rsidRPr="001C4124">
        <w:rPr>
          <w:rFonts w:eastAsia="Times New Roman" w:cs="Arial"/>
          <w:color w:val="000000"/>
          <w:szCs w:val="20"/>
          <w:lang w:val="ru-RU"/>
        </w:rPr>
        <w:t>(</w:t>
      </w:r>
      <w:r w:rsidRPr="001C4124">
        <w:rPr>
          <w:rFonts w:eastAsia="Times New Roman" w:cs="Arial"/>
          <w:color w:val="000000"/>
          <w:szCs w:val="20"/>
          <w:lang w:val="en-US"/>
        </w:rPr>
        <w:t>ALLHAT</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с цел сравнение между по-новите лекарствени терапии: амлодипин 2,5-10 </w:t>
      </w:r>
      <w:r w:rsidRPr="001C4124">
        <w:rPr>
          <w:rFonts w:eastAsia="Times New Roman" w:cs="Arial"/>
          <w:color w:val="000000"/>
          <w:szCs w:val="20"/>
          <w:lang w:val="en-US"/>
        </w:rPr>
        <w:t>mg</w:t>
      </w:r>
      <w:r w:rsidRPr="001C4124">
        <w:rPr>
          <w:rFonts w:eastAsia="Times New Roman" w:cs="Arial"/>
          <w:color w:val="000000"/>
          <w:szCs w:val="20"/>
          <w:lang w:eastAsia="bg-BG"/>
        </w:rPr>
        <w:t xml:space="preserve">/дневно (блокер на калциевите канали) или лизиноприл 10-40 </w:t>
      </w:r>
      <w:r w:rsidRPr="001C4124">
        <w:rPr>
          <w:rFonts w:eastAsia="Times New Roman" w:cs="Arial"/>
          <w:color w:val="000000"/>
          <w:szCs w:val="20"/>
          <w:lang w:val="en-US"/>
        </w:rPr>
        <w:t>mg</w:t>
      </w:r>
      <w:r w:rsidRPr="001C4124">
        <w:rPr>
          <w:rFonts w:eastAsia="Times New Roman" w:cs="Arial"/>
          <w:color w:val="000000"/>
          <w:szCs w:val="20"/>
          <w:lang w:eastAsia="bg-BG"/>
        </w:rPr>
        <w:t xml:space="preserve">/дневно (АСЕ инхибитор) като първа линия на лечение спрямо тази с тиазидния диуретик хлорталидон 12,5-25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eastAsia="bg-BG"/>
        </w:rPr>
        <w:t>дневно при лека до умерена хипертония.</w:t>
      </w:r>
    </w:p>
    <w:p w14:paraId="2A3E8941" w14:textId="77777777" w:rsidR="001C4124" w:rsidRPr="001C4124" w:rsidRDefault="001C4124" w:rsidP="001C4124">
      <w:pPr>
        <w:spacing w:line="240" w:lineRule="auto"/>
        <w:rPr>
          <w:rFonts w:eastAsia="Times New Roman" w:cs="Arial"/>
          <w:color w:val="000000"/>
          <w:szCs w:val="20"/>
          <w:lang w:eastAsia="bg-BG"/>
        </w:rPr>
      </w:pPr>
    </w:p>
    <w:p w14:paraId="1DA3F483" w14:textId="659F459D"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Общо 33 357 пациенти с хипертония на възраст 55 или повече години са рандомизирани и проследени за период средно 4,9 години. Пациентите са имали поне един допълнителен рисков фактор за ИБС, включително: преживян миокарден инфаркт или инсулт (&gt; 6 месеца преди включването) или документация за друга атеросклеротична коронарна съдова болест (общо 51,5%), диабет тип 2 (36,1%), </w:t>
      </w:r>
      <w:r w:rsidRPr="001C4124">
        <w:rPr>
          <w:rFonts w:eastAsia="Times New Roman" w:cs="Arial"/>
          <w:color w:val="000000"/>
          <w:szCs w:val="20"/>
          <w:lang w:val="en-US"/>
        </w:rPr>
        <w:t>HDL</w:t>
      </w:r>
      <w:r w:rsidRPr="001C4124">
        <w:rPr>
          <w:rFonts w:eastAsia="Times New Roman" w:cs="Arial"/>
          <w:color w:val="000000"/>
          <w:szCs w:val="20"/>
          <w:lang w:val="ru-RU"/>
        </w:rPr>
        <w:t>-</w:t>
      </w:r>
      <w:r w:rsidRPr="001C4124">
        <w:rPr>
          <w:rFonts w:eastAsia="Times New Roman" w:cs="Arial"/>
          <w:color w:val="000000"/>
          <w:szCs w:val="20"/>
          <w:lang w:val="en-US"/>
        </w:rPr>
        <w:t>C</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&lt;35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dl</w:t>
      </w:r>
      <w:r w:rsidRPr="001C4124">
        <w:rPr>
          <w:rFonts w:eastAsia="Times New Roman" w:cs="Arial"/>
          <w:color w:val="000000"/>
          <w:szCs w:val="20"/>
          <w:lang w:val="ru-RU"/>
        </w:rPr>
        <w:t xml:space="preserve"> </w:t>
      </w:r>
      <w:r w:rsidRPr="001C4124">
        <w:rPr>
          <w:rFonts w:eastAsia="Times New Roman" w:cs="Arial"/>
          <w:color w:val="000000"/>
          <w:szCs w:val="20"/>
          <w:lang w:eastAsia="bg-BG"/>
        </w:rPr>
        <w:t>(11,6%), левокамерна хипертрофия, диагностицирана чрез електрокардиограма или ехокардиография (20,9%), тютюнопушене (21,9%).</w:t>
      </w:r>
    </w:p>
    <w:p w14:paraId="56DF63A2" w14:textId="77777777" w:rsidR="001C4124" w:rsidRPr="001C4124" w:rsidRDefault="001C4124" w:rsidP="001C4124">
      <w:pPr>
        <w:spacing w:line="240" w:lineRule="auto"/>
        <w:rPr>
          <w:rFonts w:eastAsia="Times New Roman" w:cs="Arial"/>
          <w:color w:val="000000"/>
          <w:szCs w:val="20"/>
          <w:lang w:eastAsia="bg-BG"/>
        </w:rPr>
      </w:pPr>
    </w:p>
    <w:p w14:paraId="35E7FADD" w14:textId="3C2447B3"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Първичната крайна точка е съставна от фатална ИБС или нефатален миокарден инфаркт. Не е установена значима разлика в първичната крайна точка между терапията с амлодипин и терапията с хлорталидон: </w:t>
      </w:r>
      <w:r w:rsidRPr="001C4124">
        <w:rPr>
          <w:rFonts w:eastAsia="Times New Roman" w:cs="Arial"/>
          <w:color w:val="000000"/>
          <w:szCs w:val="20"/>
          <w:lang w:val="en-US"/>
        </w:rPr>
        <w:t>RR</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0,98 95% </w:t>
      </w:r>
      <w:r w:rsidRPr="001C4124">
        <w:rPr>
          <w:rFonts w:eastAsia="Times New Roman" w:cs="Arial"/>
          <w:color w:val="000000"/>
          <w:szCs w:val="20"/>
          <w:lang w:val="en-US"/>
        </w:rPr>
        <w:t>CI</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(0,90-1,07) р=0,65. Сред вторичните крайни точки, честотата на сърдечна недостатъчност (компонент на съставна комбинирана сърдечно съдова крайна точка) е значимо по висока в групата на амлодипин, в сравнение с групата на хлорталидон (10,2% спрямо 7,7%, </w:t>
      </w:r>
      <w:r w:rsidRPr="001C4124">
        <w:rPr>
          <w:rFonts w:eastAsia="Times New Roman" w:cs="Arial"/>
          <w:color w:val="000000"/>
          <w:szCs w:val="20"/>
          <w:lang w:val="en-US"/>
        </w:rPr>
        <w:t>RR</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1,38, 95% </w:t>
      </w:r>
      <w:r w:rsidRPr="001C4124">
        <w:rPr>
          <w:rFonts w:eastAsia="Times New Roman" w:cs="Arial"/>
          <w:color w:val="000000"/>
          <w:szCs w:val="20"/>
          <w:lang w:val="en-US"/>
        </w:rPr>
        <w:t>CI</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[1,25-1,52] р&lt;0,001). По отношение на общата смъртност обаче, няма значима разлика между терапията с амлодипин и терапията с хлорталидон: </w:t>
      </w:r>
      <w:r w:rsidRPr="001C4124">
        <w:rPr>
          <w:rFonts w:eastAsia="Times New Roman" w:cs="Arial"/>
          <w:color w:val="000000"/>
          <w:szCs w:val="20"/>
          <w:lang w:val="en-US"/>
        </w:rPr>
        <w:t>RR</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0,96 95% </w:t>
      </w:r>
      <w:r w:rsidRPr="001C4124">
        <w:rPr>
          <w:rFonts w:eastAsia="Times New Roman" w:cs="Arial"/>
          <w:color w:val="000000"/>
          <w:szCs w:val="20"/>
          <w:lang w:val="en-US"/>
        </w:rPr>
        <w:t>CI</w:t>
      </w:r>
      <w:r w:rsidRPr="001C4124">
        <w:rPr>
          <w:rFonts w:eastAsia="Times New Roman" w:cs="Arial"/>
          <w:color w:val="000000"/>
          <w:szCs w:val="20"/>
          <w:lang w:val="ru-RU"/>
        </w:rPr>
        <w:t xml:space="preserve"> </w:t>
      </w:r>
      <w:r w:rsidRPr="001C4124">
        <w:rPr>
          <w:rFonts w:eastAsia="Times New Roman" w:cs="Arial"/>
          <w:color w:val="000000"/>
          <w:szCs w:val="20"/>
          <w:lang w:eastAsia="bg-BG"/>
        </w:rPr>
        <w:t>[0,89-1,02] р-0,20.</w:t>
      </w:r>
    </w:p>
    <w:p w14:paraId="7D26E1B2" w14:textId="77777777" w:rsidR="001C4124" w:rsidRPr="001C4124" w:rsidRDefault="001C4124" w:rsidP="001C4124">
      <w:pPr>
        <w:spacing w:line="240" w:lineRule="auto"/>
        <w:rPr>
          <w:rFonts w:eastAsia="Times New Roman" w:cs="Arial"/>
          <w:i/>
          <w:iCs/>
          <w:color w:val="000000"/>
          <w:szCs w:val="20"/>
          <w:lang w:eastAsia="bg-BG"/>
        </w:rPr>
      </w:pPr>
    </w:p>
    <w:p w14:paraId="1F8FCFBF" w14:textId="52FE343D"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Употреба при деца (на възраст 6 години и по-големи)</w:t>
      </w:r>
    </w:p>
    <w:p w14:paraId="6B219598"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lastRenderedPageBreak/>
        <w:t xml:space="preserve">В едно проучване, включващо 268 деца на възраст 6-17 години с предимно вторична хипертония, сравняването на дозата от 2,5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и 5,0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на амлодипин с плацебо показва, че двете дози намаляват систолното кръвно налягане значително повече, в сравнение с плацебо. Разликата между двете дози не е статистически значима.</w:t>
      </w:r>
    </w:p>
    <w:p w14:paraId="331C5776" w14:textId="77777777" w:rsidR="001C4124" w:rsidRPr="001C4124" w:rsidRDefault="001C4124" w:rsidP="001C4124">
      <w:pPr>
        <w:spacing w:line="240" w:lineRule="auto"/>
        <w:rPr>
          <w:rFonts w:eastAsia="Times New Roman" w:cs="Arial"/>
          <w:color w:val="000000"/>
          <w:szCs w:val="20"/>
          <w:lang w:eastAsia="bg-BG"/>
        </w:rPr>
      </w:pPr>
    </w:p>
    <w:p w14:paraId="0274E5CD" w14:textId="57AD6C30"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Дългосрочните ефекти на амлодипин върху растежа, пубертета и общото развитие не са изследвани. Дългосрочната ефикасност на амлодипин при терапията в детска възраст за намаляване на сърдечно съдовата заболеваемост и смъртност в зряла възраст също не са установени.</w:t>
      </w:r>
    </w:p>
    <w:p w14:paraId="6A8389FB" w14:textId="06734955" w:rsidR="001C4124" w:rsidRDefault="001C4124" w:rsidP="001C4124"/>
    <w:p w14:paraId="603BC064" w14:textId="6F50A048" w:rsidR="001C4124" w:rsidRDefault="001C4124" w:rsidP="001C4124">
      <w:pPr>
        <w:pStyle w:val="Heading2"/>
      </w:pPr>
      <w:r>
        <w:t>5.2. Фармакокинетични свойства</w:t>
      </w:r>
    </w:p>
    <w:p w14:paraId="0321CFD7" w14:textId="432F0AF3" w:rsidR="001C4124" w:rsidRDefault="001C4124" w:rsidP="001C4124"/>
    <w:p w14:paraId="52E5F3B5"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u w:val="single"/>
          <w:lang w:eastAsia="bg-BG"/>
        </w:rPr>
        <w:t>Периндоприл</w:t>
      </w:r>
    </w:p>
    <w:p w14:paraId="1FFF67EB" w14:textId="77777777" w:rsidR="001C4124" w:rsidRPr="001C4124" w:rsidRDefault="001C4124" w:rsidP="001C4124">
      <w:pPr>
        <w:spacing w:line="240" w:lineRule="auto"/>
        <w:rPr>
          <w:rFonts w:eastAsia="Times New Roman" w:cs="Arial"/>
          <w:i/>
          <w:iCs/>
          <w:color w:val="000000"/>
          <w:szCs w:val="20"/>
          <w:u w:val="single"/>
          <w:lang w:eastAsia="bg-BG"/>
        </w:rPr>
      </w:pPr>
    </w:p>
    <w:p w14:paraId="5AC349F5" w14:textId="419C308D"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u w:val="single"/>
          <w:lang w:eastAsia="bg-BG"/>
        </w:rPr>
        <w:t>Абсорбция/разпределение</w:t>
      </w:r>
    </w:p>
    <w:p w14:paraId="7EC3EDAF" w14:textId="10F928BA" w:rsidR="001C4124" w:rsidRPr="001C4124" w:rsidRDefault="001C4124" w:rsidP="001C4124">
      <w:pPr>
        <w:rPr>
          <w:rFonts w:cs="Arial"/>
          <w:sz w:val="24"/>
        </w:rPr>
      </w:pPr>
      <w:r w:rsidRPr="001C4124">
        <w:rPr>
          <w:rFonts w:eastAsia="Times New Roman" w:cs="Arial"/>
          <w:color w:val="000000"/>
          <w:szCs w:val="20"/>
          <w:lang w:eastAsia="bg-BG"/>
        </w:rPr>
        <w:t>След перорално приложение, абсорбцията на периндоприл е бърза и максимална плазмена концентрация се достига в рамките на 1 час. Плазменият полуживот на периндоприл е 1 час.</w:t>
      </w:r>
    </w:p>
    <w:p w14:paraId="0FD101B9" w14:textId="24425BEB" w:rsidR="001C4124" w:rsidRPr="001C4124" w:rsidRDefault="001C4124" w:rsidP="001C4124">
      <w:pPr>
        <w:rPr>
          <w:rFonts w:cs="Arial"/>
          <w:sz w:val="24"/>
        </w:rPr>
      </w:pPr>
    </w:p>
    <w:p w14:paraId="30183945" w14:textId="77777777"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u w:val="single"/>
          <w:lang w:eastAsia="bg-BG"/>
        </w:rPr>
        <w:t>Биотрансформаиия/елимин иране</w:t>
      </w:r>
    </w:p>
    <w:p w14:paraId="2C59D486"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Периндоприл е предлекарство. Двадесет и седем процента от приложената доза периндоприл достига кръвообращението под формата на активния метаболит периндоприлат. В допълнение към активния периндоприлат, периндоприл се метаболизира до 5 метаболита, всичките неактивни. Максималната плазмена концентрация на периндоприлат се достига за 3 до 4 часа.</w:t>
      </w:r>
    </w:p>
    <w:p w14:paraId="42F2E931" w14:textId="77777777" w:rsidR="001C4124" w:rsidRPr="001C4124" w:rsidRDefault="001C4124" w:rsidP="001C4124">
      <w:pPr>
        <w:spacing w:line="240" w:lineRule="auto"/>
        <w:rPr>
          <w:rFonts w:eastAsia="Times New Roman" w:cs="Arial"/>
          <w:color w:val="000000"/>
          <w:szCs w:val="20"/>
          <w:lang w:eastAsia="bg-BG"/>
        </w:rPr>
      </w:pPr>
    </w:p>
    <w:p w14:paraId="0D3AE4F6" w14:textId="6E1F5453"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Поглъщането на храна намалява конверсията до периндоприлат, а с това и бионаличността; периндоприл трябва да се прилага перорално в еднократна дневна доза сутрин, преди хранене. Обемът на разпределение е приблизително 0,2 </w:t>
      </w:r>
      <w:r w:rsidRPr="001C4124">
        <w:rPr>
          <w:rFonts w:eastAsia="Times New Roman" w:cs="Arial"/>
          <w:color w:val="000000"/>
          <w:szCs w:val="20"/>
          <w:lang w:val="ru-RU"/>
        </w:rPr>
        <w:t>1/</w:t>
      </w:r>
      <w:r w:rsidRPr="001C4124">
        <w:rPr>
          <w:rFonts w:eastAsia="Times New Roman" w:cs="Arial"/>
          <w:color w:val="000000"/>
          <w:szCs w:val="20"/>
          <w:lang w:val="en-US"/>
        </w:rPr>
        <w:t>kg</w:t>
      </w:r>
      <w:r w:rsidRPr="001C4124">
        <w:rPr>
          <w:rFonts w:eastAsia="Times New Roman" w:cs="Arial"/>
          <w:color w:val="000000"/>
          <w:szCs w:val="20"/>
          <w:lang w:val="ru-RU"/>
        </w:rPr>
        <w:t xml:space="preserve"> </w:t>
      </w:r>
      <w:r w:rsidRPr="001C4124">
        <w:rPr>
          <w:rFonts w:eastAsia="Times New Roman" w:cs="Arial"/>
          <w:color w:val="000000"/>
          <w:szCs w:val="20"/>
          <w:lang w:eastAsia="bg-BG"/>
        </w:rPr>
        <w:t>за несвързания периндоприлат. Свързването на периндоприлат с плазмените протеини е 20%, главно с ангиотензин конвертиращия ензим, но е зависимо от концентрацията.</w:t>
      </w:r>
    </w:p>
    <w:p w14:paraId="2CECB55B" w14:textId="77777777" w:rsidR="001C4124" w:rsidRPr="001C4124" w:rsidRDefault="001C4124" w:rsidP="001C4124">
      <w:pPr>
        <w:spacing w:line="240" w:lineRule="auto"/>
        <w:rPr>
          <w:rFonts w:eastAsia="Times New Roman" w:cs="Arial"/>
          <w:color w:val="000000"/>
          <w:szCs w:val="20"/>
          <w:lang w:eastAsia="bg-BG"/>
        </w:rPr>
      </w:pPr>
    </w:p>
    <w:p w14:paraId="276E6166" w14:textId="7BE8CC26"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Периндоприлат се елиминира в урината и терминалният полуживот на несвързаната фракция е приблизително 17 часа, което води до стационарно състояние в рамките на 4 дни.</w:t>
      </w:r>
    </w:p>
    <w:p w14:paraId="07AF246A" w14:textId="77777777" w:rsidR="001C4124" w:rsidRPr="001C4124" w:rsidRDefault="001C4124" w:rsidP="001C4124">
      <w:pPr>
        <w:spacing w:line="240" w:lineRule="auto"/>
        <w:rPr>
          <w:rFonts w:eastAsia="Times New Roman" w:cs="Arial"/>
          <w:color w:val="000000"/>
          <w:szCs w:val="20"/>
          <w:lang w:eastAsia="bg-BG"/>
        </w:rPr>
      </w:pPr>
    </w:p>
    <w:p w14:paraId="509B4A17" w14:textId="3ADE92B6"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Диализният клирънс на периндоприлат е 70 </w:t>
      </w:r>
      <w:r w:rsidRPr="001C4124">
        <w:rPr>
          <w:rFonts w:eastAsia="Times New Roman" w:cs="Arial"/>
          <w:color w:val="000000"/>
          <w:szCs w:val="20"/>
          <w:lang w:val="en-US"/>
        </w:rPr>
        <w:t>ml</w:t>
      </w:r>
      <w:r w:rsidRPr="001C4124">
        <w:rPr>
          <w:rFonts w:eastAsia="Times New Roman" w:cs="Arial"/>
          <w:color w:val="000000"/>
          <w:szCs w:val="20"/>
          <w:lang w:val="ru-RU"/>
        </w:rPr>
        <w:t>/</w:t>
      </w:r>
      <w:r w:rsidRPr="001C4124">
        <w:rPr>
          <w:rFonts w:eastAsia="Times New Roman" w:cs="Arial"/>
          <w:color w:val="000000"/>
          <w:szCs w:val="20"/>
          <w:lang w:val="en-US"/>
        </w:rPr>
        <w:t>min</w:t>
      </w:r>
      <w:r w:rsidRPr="001C4124">
        <w:rPr>
          <w:rFonts w:eastAsia="Times New Roman" w:cs="Arial"/>
          <w:color w:val="000000"/>
          <w:szCs w:val="20"/>
          <w:lang w:val="ru-RU"/>
        </w:rPr>
        <w:t>.</w:t>
      </w:r>
    </w:p>
    <w:p w14:paraId="74DF7028" w14:textId="77777777" w:rsidR="001C4124" w:rsidRPr="001C4124" w:rsidRDefault="001C4124" w:rsidP="001C4124">
      <w:pPr>
        <w:spacing w:line="240" w:lineRule="auto"/>
        <w:rPr>
          <w:rFonts w:eastAsia="Times New Roman" w:cs="Arial"/>
          <w:i/>
          <w:iCs/>
          <w:color w:val="000000"/>
          <w:szCs w:val="20"/>
          <w:u w:val="single"/>
          <w:lang w:eastAsia="bg-BG"/>
        </w:rPr>
      </w:pPr>
    </w:p>
    <w:p w14:paraId="70762B7F" w14:textId="0FF63F1A"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u w:val="single"/>
          <w:lang w:eastAsia="bg-BG"/>
        </w:rPr>
        <w:t>Линейност/нелинейност</w:t>
      </w:r>
    </w:p>
    <w:p w14:paraId="006F8A7F"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Доказана е линейна зависимост между дозата на периндоприл и плазмената му експозиция.</w:t>
      </w:r>
    </w:p>
    <w:p w14:paraId="66C6C353" w14:textId="77777777" w:rsidR="001C4124" w:rsidRPr="001C4124" w:rsidRDefault="001C4124" w:rsidP="001C4124">
      <w:pPr>
        <w:spacing w:line="240" w:lineRule="auto"/>
        <w:rPr>
          <w:rFonts w:eastAsia="Times New Roman" w:cs="Arial"/>
          <w:i/>
          <w:iCs/>
          <w:color w:val="000000"/>
          <w:szCs w:val="20"/>
          <w:u w:val="single"/>
          <w:lang w:eastAsia="bg-BG"/>
        </w:rPr>
      </w:pPr>
    </w:p>
    <w:p w14:paraId="5220D838" w14:textId="6514B73E"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u w:val="single"/>
          <w:lang w:eastAsia="bg-BG"/>
        </w:rPr>
        <w:t>Специални популации</w:t>
      </w:r>
    </w:p>
    <w:p w14:paraId="5113AB05" w14:textId="77777777"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Чернодробно увреждане</w:t>
      </w:r>
    </w:p>
    <w:p w14:paraId="7A94B97A"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Кинетиката на периндоприл се променя при пациенти с цироза: чернодробният клирънс на изходната молекула намалява наполовина. Въпреки това, количеството на образуван периндоприлат не намалява и затова не се налага коригиране на дозата (вж. точки 4.2 и 4.4).</w:t>
      </w:r>
    </w:p>
    <w:p w14:paraId="26D8E16A" w14:textId="77777777" w:rsidR="001C4124" w:rsidRPr="001C4124" w:rsidRDefault="001C4124" w:rsidP="001C4124">
      <w:pPr>
        <w:spacing w:line="240" w:lineRule="auto"/>
        <w:rPr>
          <w:rFonts w:eastAsia="Times New Roman" w:cs="Arial"/>
          <w:i/>
          <w:iCs/>
          <w:color w:val="000000"/>
          <w:szCs w:val="20"/>
          <w:lang w:eastAsia="bg-BG"/>
        </w:rPr>
      </w:pPr>
    </w:p>
    <w:p w14:paraId="369C7548" w14:textId="72404661"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Бъбречно увреждане и в старческа възраст</w:t>
      </w:r>
    </w:p>
    <w:p w14:paraId="2B4C1DA7"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lastRenderedPageBreak/>
        <w:t>Елиминирането на периндоприлат намалява при пациенти в старческа възраст, както и при пациенти със сърдечна или бъбречна недостатъчност. Коригиране на дозата при бъбречна недостатъчност е желателно в зависимост от степента на увреждане (креатининов клирънс).</w:t>
      </w:r>
    </w:p>
    <w:p w14:paraId="3251859D" w14:textId="77777777" w:rsidR="001C4124" w:rsidRPr="001C4124" w:rsidRDefault="001C4124" w:rsidP="001C4124">
      <w:pPr>
        <w:spacing w:line="240" w:lineRule="auto"/>
        <w:rPr>
          <w:rFonts w:eastAsia="Times New Roman" w:cs="Arial"/>
          <w:i/>
          <w:iCs/>
          <w:color w:val="000000"/>
          <w:szCs w:val="20"/>
          <w:lang w:eastAsia="bg-BG"/>
        </w:rPr>
      </w:pPr>
    </w:p>
    <w:p w14:paraId="221A68FC" w14:textId="694C61D1"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Педиатрична популация</w:t>
      </w:r>
    </w:p>
    <w:p w14:paraId="6A3A52CD"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Ефикасността и поносимостта на периндоприл при деца и юноши не е установена.</w:t>
      </w:r>
    </w:p>
    <w:p w14:paraId="4839C2AB" w14:textId="77777777" w:rsidR="001C4124" w:rsidRPr="001C4124" w:rsidRDefault="001C4124" w:rsidP="001C4124">
      <w:pPr>
        <w:spacing w:line="240" w:lineRule="auto"/>
        <w:rPr>
          <w:rFonts w:eastAsia="Times New Roman" w:cs="Arial"/>
          <w:color w:val="000000"/>
          <w:szCs w:val="20"/>
          <w:u w:val="single"/>
          <w:lang w:eastAsia="bg-BG"/>
        </w:rPr>
      </w:pPr>
    </w:p>
    <w:p w14:paraId="5A8778B5" w14:textId="7C7FA715"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u w:val="single"/>
          <w:lang w:eastAsia="bg-BG"/>
        </w:rPr>
        <w:t>Амлодипин</w:t>
      </w:r>
    </w:p>
    <w:p w14:paraId="485B5785" w14:textId="77777777" w:rsidR="001C4124" w:rsidRPr="001C4124" w:rsidRDefault="001C4124" w:rsidP="001C4124">
      <w:pPr>
        <w:spacing w:line="240" w:lineRule="auto"/>
        <w:rPr>
          <w:rFonts w:eastAsia="Times New Roman" w:cs="Arial"/>
          <w:i/>
          <w:iCs/>
          <w:color w:val="000000"/>
          <w:szCs w:val="20"/>
          <w:u w:val="single"/>
          <w:lang w:eastAsia="bg-BG"/>
        </w:rPr>
      </w:pPr>
    </w:p>
    <w:p w14:paraId="1A2EA9B9" w14:textId="6AEE05A4"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u w:val="single"/>
          <w:lang w:eastAsia="bg-BG"/>
        </w:rPr>
        <w:t>Абсорбция/разпределение</w:t>
      </w:r>
    </w:p>
    <w:p w14:paraId="0B31DC40"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След перорално приложение на терапевтични дози, амлодипин се абсорбира добре с максимални плазмени концентрации между 6-12 часа след дозата. Изчислената абсолютна бионаличност е между 64 и 80%. Обемът на разпределение е приблизително 21 </w:t>
      </w:r>
      <w:r w:rsidRPr="001C4124">
        <w:rPr>
          <w:rFonts w:eastAsia="Times New Roman" w:cs="Arial"/>
          <w:color w:val="000000"/>
          <w:szCs w:val="20"/>
          <w:lang w:val="en-US"/>
        </w:rPr>
        <w:t>l</w:t>
      </w:r>
      <w:r w:rsidRPr="001C4124">
        <w:rPr>
          <w:rFonts w:eastAsia="Times New Roman" w:cs="Arial"/>
          <w:color w:val="000000"/>
          <w:szCs w:val="20"/>
          <w:lang w:val="ru-RU"/>
        </w:rPr>
        <w:t>/</w:t>
      </w:r>
      <w:r w:rsidRPr="001C4124">
        <w:rPr>
          <w:rFonts w:eastAsia="Times New Roman" w:cs="Arial"/>
          <w:color w:val="000000"/>
          <w:szCs w:val="20"/>
          <w:lang w:val="en-US"/>
        </w:rPr>
        <w:t>kg</w:t>
      </w:r>
      <w:r w:rsidRPr="001C4124">
        <w:rPr>
          <w:rFonts w:eastAsia="Times New Roman" w:cs="Arial"/>
          <w:color w:val="000000"/>
          <w:szCs w:val="20"/>
          <w:lang w:val="ru-RU"/>
        </w:rPr>
        <w:t xml:space="preserve">. </w:t>
      </w:r>
      <w:r w:rsidRPr="001C4124">
        <w:rPr>
          <w:rFonts w:eastAsia="Times New Roman" w:cs="Arial"/>
          <w:i/>
          <w:iCs/>
          <w:color w:val="000000"/>
          <w:szCs w:val="20"/>
          <w:lang w:val="en-US"/>
        </w:rPr>
        <w:t>In</w:t>
      </w:r>
      <w:r w:rsidRPr="001C4124">
        <w:rPr>
          <w:rFonts w:eastAsia="Times New Roman" w:cs="Arial"/>
          <w:i/>
          <w:iCs/>
          <w:color w:val="000000"/>
          <w:szCs w:val="20"/>
          <w:lang w:val="ru-RU"/>
        </w:rPr>
        <w:t xml:space="preserve"> </w:t>
      </w:r>
      <w:r w:rsidRPr="001C4124">
        <w:rPr>
          <w:rFonts w:eastAsia="Times New Roman" w:cs="Arial"/>
          <w:i/>
          <w:iCs/>
          <w:color w:val="000000"/>
          <w:szCs w:val="20"/>
          <w:lang w:val="en-US"/>
        </w:rPr>
        <w:t>vitro</w:t>
      </w:r>
      <w:r w:rsidRPr="001C4124">
        <w:rPr>
          <w:rFonts w:eastAsia="Times New Roman" w:cs="Arial"/>
          <w:i/>
          <w:iCs/>
          <w:color w:val="000000"/>
          <w:szCs w:val="20"/>
          <w:lang w:val="ru-RU"/>
        </w:rPr>
        <w:t xml:space="preserve"> </w:t>
      </w:r>
      <w:r w:rsidRPr="001C4124">
        <w:rPr>
          <w:rFonts w:eastAsia="Times New Roman" w:cs="Arial"/>
          <w:color w:val="000000"/>
          <w:szCs w:val="20"/>
          <w:lang w:eastAsia="bg-BG"/>
        </w:rPr>
        <w:t>проучвания показват, че приблизително 97</w:t>
      </w:r>
      <w:proofErr w:type="gramStart"/>
      <w:r w:rsidRPr="001C4124">
        <w:rPr>
          <w:rFonts w:eastAsia="Times New Roman" w:cs="Arial"/>
          <w:color w:val="000000"/>
          <w:szCs w:val="20"/>
          <w:lang w:eastAsia="bg-BG"/>
        </w:rPr>
        <w:t>,5</w:t>
      </w:r>
      <w:proofErr w:type="gramEnd"/>
      <w:r w:rsidRPr="001C4124">
        <w:rPr>
          <w:rFonts w:eastAsia="Times New Roman" w:cs="Arial"/>
          <w:color w:val="000000"/>
          <w:szCs w:val="20"/>
          <w:lang w:eastAsia="bg-BG"/>
        </w:rPr>
        <w:t>% от циркулиращия амлодипин е свързан с плазмените протеини.</w:t>
      </w:r>
    </w:p>
    <w:p w14:paraId="12DB4604"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Бионаличността на амлодипин не се повлиява от приема на храна.</w:t>
      </w:r>
    </w:p>
    <w:p w14:paraId="1B08421D" w14:textId="77777777" w:rsidR="001C4124" w:rsidRPr="001C4124" w:rsidRDefault="001C4124" w:rsidP="001C4124">
      <w:pPr>
        <w:spacing w:line="240" w:lineRule="auto"/>
        <w:rPr>
          <w:rFonts w:eastAsia="Times New Roman" w:cs="Arial"/>
          <w:i/>
          <w:iCs/>
          <w:color w:val="000000"/>
          <w:szCs w:val="20"/>
          <w:lang w:eastAsia="bg-BG"/>
        </w:rPr>
      </w:pPr>
    </w:p>
    <w:p w14:paraId="0119B4DD" w14:textId="26E785E4"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Биотрансформация/елиминиране</w:t>
      </w:r>
    </w:p>
    <w:p w14:paraId="523C389B" w14:textId="2C53D38D"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Терминалният елиминационен полуживот е около 35 - 50 часа и е в съответствие с еднократното дневно приложение. Амлодипин се метаболизира екстензивно в черния дроб до неактивни метаболити, като 10% от изходното съединение и 60% от метаболитите се екскретират в урината.</w:t>
      </w:r>
    </w:p>
    <w:p w14:paraId="6B548699"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Амлодипин не се диализира.</w:t>
      </w:r>
    </w:p>
    <w:p w14:paraId="0A6A19AD" w14:textId="77777777" w:rsidR="001C4124" w:rsidRPr="001C4124" w:rsidRDefault="001C4124" w:rsidP="001C4124">
      <w:pPr>
        <w:rPr>
          <w:rFonts w:eastAsia="Times New Roman" w:cs="Arial"/>
          <w:i/>
          <w:iCs/>
          <w:color w:val="000000"/>
          <w:szCs w:val="20"/>
          <w:u w:val="single"/>
          <w:lang w:eastAsia="bg-BG"/>
        </w:rPr>
      </w:pPr>
    </w:p>
    <w:p w14:paraId="5D7E78FE" w14:textId="77777777" w:rsidR="001C4124" w:rsidRPr="001C4124" w:rsidRDefault="001C4124" w:rsidP="001C4124">
      <w:pPr>
        <w:rPr>
          <w:rFonts w:eastAsia="Times New Roman" w:cs="Arial"/>
          <w:i/>
          <w:iCs/>
          <w:color w:val="000000"/>
          <w:szCs w:val="20"/>
          <w:u w:val="single"/>
          <w:lang w:eastAsia="bg-BG"/>
        </w:rPr>
      </w:pPr>
      <w:r w:rsidRPr="001C4124">
        <w:rPr>
          <w:rFonts w:eastAsia="Times New Roman" w:cs="Arial"/>
          <w:i/>
          <w:iCs/>
          <w:color w:val="000000"/>
          <w:szCs w:val="20"/>
          <w:u w:val="single"/>
          <w:lang w:eastAsia="bg-BG"/>
        </w:rPr>
        <w:t xml:space="preserve">Специални популации </w:t>
      </w:r>
    </w:p>
    <w:p w14:paraId="5EED6DA1" w14:textId="77777777" w:rsidR="001C4124" w:rsidRPr="001C4124" w:rsidRDefault="001C4124" w:rsidP="001C4124">
      <w:pPr>
        <w:rPr>
          <w:rFonts w:eastAsia="Times New Roman" w:cs="Arial"/>
          <w:i/>
          <w:iCs/>
          <w:color w:val="000000"/>
          <w:szCs w:val="20"/>
          <w:lang w:eastAsia="bg-BG"/>
        </w:rPr>
      </w:pPr>
      <w:r w:rsidRPr="001C4124">
        <w:rPr>
          <w:rFonts w:eastAsia="Times New Roman" w:cs="Arial"/>
          <w:i/>
          <w:iCs/>
          <w:color w:val="000000"/>
          <w:szCs w:val="20"/>
          <w:lang w:eastAsia="bg-BG"/>
        </w:rPr>
        <w:t xml:space="preserve">Чернодробно увреждане </w:t>
      </w:r>
    </w:p>
    <w:p w14:paraId="284F3EFC" w14:textId="77777777" w:rsidR="001C4124" w:rsidRPr="001C4124" w:rsidRDefault="001C4124" w:rsidP="001C4124">
      <w:pPr>
        <w:rPr>
          <w:rFonts w:eastAsia="Times New Roman" w:cs="Arial"/>
          <w:sz w:val="28"/>
          <w:szCs w:val="24"/>
        </w:rPr>
      </w:pPr>
      <w:r w:rsidRPr="001C4124">
        <w:rPr>
          <w:rFonts w:eastAsia="Times New Roman" w:cs="Arial"/>
          <w:color w:val="000000"/>
          <w:szCs w:val="20"/>
          <w:lang w:eastAsia="bg-BG"/>
        </w:rPr>
        <w:t>Има много ограничени клинични данни относно приложението на амлодипин</w:t>
      </w:r>
      <w:r w:rsidRPr="001C4124">
        <w:rPr>
          <w:rFonts w:eastAsia="Times New Roman" w:cs="Arial"/>
          <w:color w:val="000000"/>
          <w:szCs w:val="20"/>
          <w:lang w:val="ru-RU"/>
        </w:rPr>
        <w:t xml:space="preserve"> </w:t>
      </w:r>
      <w:r w:rsidRPr="001C4124">
        <w:rPr>
          <w:rFonts w:eastAsia="Times New Roman" w:cs="Arial"/>
          <w:color w:val="000000"/>
          <w:szCs w:val="20"/>
          <w:lang w:eastAsia="bg-BG"/>
        </w:rPr>
        <w:t>при пациенти с чернодробно увреждане. Пациенти с чернодробна недостатъчност имат намален клирънс на</w:t>
      </w:r>
      <w:r w:rsidRPr="001C4124">
        <w:rPr>
          <w:rFonts w:eastAsia="Times New Roman" w:cs="Arial"/>
          <w:color w:val="000000"/>
          <w:szCs w:val="20"/>
          <w:lang w:val="ru-RU" w:eastAsia="bg-BG"/>
        </w:rPr>
        <w:t xml:space="preserve"> </w:t>
      </w:r>
      <w:r w:rsidRPr="001C4124">
        <w:rPr>
          <w:rFonts w:eastAsia="Times New Roman" w:cs="Arial"/>
          <w:color w:val="000000"/>
          <w:szCs w:val="20"/>
          <w:lang w:eastAsia="bg-BG"/>
        </w:rPr>
        <w:t xml:space="preserve">амлодипин, което води до по-дълъг плазмен полуживот и приблизително 40-60% повишаване на </w:t>
      </w:r>
      <w:r w:rsidRPr="001C4124">
        <w:rPr>
          <w:rFonts w:eastAsia="Times New Roman" w:cs="Arial"/>
          <w:color w:val="000000"/>
          <w:szCs w:val="20"/>
          <w:lang w:val="en-US"/>
        </w:rPr>
        <w:t>AUC</w:t>
      </w:r>
      <w:r w:rsidRPr="001C4124">
        <w:rPr>
          <w:rFonts w:eastAsia="Times New Roman" w:cs="Arial"/>
          <w:color w:val="000000"/>
          <w:szCs w:val="20"/>
          <w:lang w:val="ru-RU"/>
        </w:rPr>
        <w:t>.</w:t>
      </w:r>
    </w:p>
    <w:p w14:paraId="6A877FCD" w14:textId="77777777" w:rsidR="001C4124" w:rsidRPr="001C4124" w:rsidRDefault="001C4124" w:rsidP="001C4124">
      <w:pPr>
        <w:spacing w:line="240" w:lineRule="auto"/>
        <w:rPr>
          <w:rFonts w:eastAsia="Times New Roman" w:cs="Arial"/>
          <w:i/>
          <w:iCs/>
          <w:color w:val="000000"/>
          <w:szCs w:val="20"/>
          <w:u w:val="single"/>
          <w:lang w:eastAsia="bg-BG"/>
        </w:rPr>
      </w:pPr>
    </w:p>
    <w:p w14:paraId="033015AE" w14:textId="431DD52A"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u w:val="single"/>
          <w:lang w:eastAsia="bg-BG"/>
        </w:rPr>
        <w:t>Бъбречно увреждане и в старческа възраст</w:t>
      </w:r>
    </w:p>
    <w:p w14:paraId="66BC564D" w14:textId="3D42B4C6"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Промените в плазмените концентрации на амлодипин не съответстват на степента на бъбречно увреждане.</w:t>
      </w:r>
    </w:p>
    <w:p w14:paraId="62C98CAF" w14:textId="77777777" w:rsidR="001C4124" w:rsidRPr="001C4124" w:rsidRDefault="001C4124" w:rsidP="001C4124">
      <w:pPr>
        <w:spacing w:line="240" w:lineRule="auto"/>
        <w:rPr>
          <w:rFonts w:eastAsia="Times New Roman" w:cs="Arial"/>
          <w:color w:val="000000"/>
          <w:szCs w:val="20"/>
          <w:lang w:eastAsia="bg-BG"/>
        </w:rPr>
      </w:pPr>
    </w:p>
    <w:p w14:paraId="6247BA9D" w14:textId="6B3EC99D"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Времето за достигане на максимални плазмени концентрации на амлодипин е сходно при лица в старческа възраст и по-млади лица, Клирънсът на амлодипин показва тенденция към по-ниски стойности, което води до повишаване на </w:t>
      </w:r>
      <w:r w:rsidRPr="001C4124">
        <w:rPr>
          <w:rFonts w:eastAsia="Times New Roman" w:cs="Arial"/>
          <w:color w:val="000000"/>
          <w:szCs w:val="20"/>
          <w:lang w:val="en-US"/>
        </w:rPr>
        <w:t>AUC</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и елиминационния полуживот при пациенти в старческа възраст. Повишаването на </w:t>
      </w:r>
      <w:r w:rsidRPr="001C4124">
        <w:rPr>
          <w:rFonts w:eastAsia="Times New Roman" w:cs="Arial"/>
          <w:color w:val="000000"/>
          <w:szCs w:val="20"/>
          <w:lang w:val="en-US"/>
        </w:rPr>
        <w:t>AUC</w:t>
      </w:r>
      <w:r w:rsidRPr="001C4124">
        <w:rPr>
          <w:rFonts w:eastAsia="Times New Roman" w:cs="Arial"/>
          <w:color w:val="000000"/>
          <w:szCs w:val="20"/>
          <w:lang w:val="ru-RU"/>
        </w:rPr>
        <w:t xml:space="preserve"> </w:t>
      </w:r>
      <w:r w:rsidRPr="001C4124">
        <w:rPr>
          <w:rFonts w:eastAsia="Times New Roman" w:cs="Arial"/>
          <w:color w:val="000000"/>
          <w:szCs w:val="20"/>
          <w:lang w:eastAsia="bg-BG"/>
        </w:rPr>
        <w:t>и елиминационния полуживот при пациенти със застойна сърдечна недостатъчност са според очакваното за изпитваната възрастова група пациенти.</w:t>
      </w:r>
    </w:p>
    <w:p w14:paraId="1AC90CFC" w14:textId="77777777" w:rsidR="001C4124" w:rsidRPr="001C4124" w:rsidRDefault="001C4124" w:rsidP="001C4124">
      <w:pPr>
        <w:spacing w:line="240" w:lineRule="auto"/>
        <w:rPr>
          <w:rFonts w:eastAsia="Times New Roman" w:cs="Arial"/>
          <w:i/>
          <w:iCs/>
          <w:color w:val="000000"/>
          <w:szCs w:val="20"/>
          <w:lang w:eastAsia="bg-BG"/>
        </w:rPr>
      </w:pPr>
    </w:p>
    <w:p w14:paraId="74CF066D" w14:textId="69271121"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Педиатрична популация</w:t>
      </w:r>
    </w:p>
    <w:p w14:paraId="45368B4B"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Извършено е популационно ФК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между 1,25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и 20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приложени веднъж или два пъти дневно. При деца на възраст от 6 до 12 години и при юноши на възраст 13-17 години, типичният перорален клирънс </w:t>
      </w:r>
      <w:r w:rsidRPr="001C4124">
        <w:rPr>
          <w:rFonts w:eastAsia="Times New Roman" w:cs="Arial"/>
          <w:color w:val="000000"/>
          <w:szCs w:val="20"/>
          <w:lang w:val="ru-RU"/>
        </w:rPr>
        <w:t>(</w:t>
      </w:r>
      <w:r w:rsidRPr="001C4124">
        <w:rPr>
          <w:rFonts w:eastAsia="Times New Roman" w:cs="Arial"/>
          <w:color w:val="000000"/>
          <w:szCs w:val="20"/>
          <w:lang w:val="en-US"/>
        </w:rPr>
        <w:t>CL</w:t>
      </w:r>
      <w:r w:rsidRPr="001C4124">
        <w:rPr>
          <w:rFonts w:eastAsia="Times New Roman" w:cs="Arial"/>
          <w:color w:val="000000"/>
          <w:szCs w:val="20"/>
          <w:lang w:val="ru-RU"/>
        </w:rPr>
        <w:t>/</w:t>
      </w:r>
      <w:r w:rsidRPr="001C4124">
        <w:rPr>
          <w:rFonts w:eastAsia="Times New Roman" w:cs="Arial"/>
          <w:color w:val="000000"/>
          <w:szCs w:val="20"/>
          <w:lang w:val="en-US"/>
        </w:rPr>
        <w:t>F</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е съответно 22,5 и 27,4 1/час при мъже и 16,4 и 21,3 </w:t>
      </w:r>
      <w:r w:rsidRPr="001C4124">
        <w:rPr>
          <w:rFonts w:eastAsia="Times New Roman" w:cs="Arial"/>
          <w:color w:val="000000"/>
          <w:szCs w:val="20"/>
          <w:lang w:eastAsia="bg-BG"/>
        </w:rPr>
        <w:lastRenderedPageBreak/>
        <w:t>1/час при жени. Наблюдавана е голяма вариабилност в експозицията между индивидите. Данните, съобщени при деца на възраст под 6 години са ограничени.</w:t>
      </w:r>
    </w:p>
    <w:p w14:paraId="20CD0D08" w14:textId="5593AC81" w:rsidR="001C4124" w:rsidRPr="001C4124" w:rsidRDefault="001C4124" w:rsidP="001C4124"/>
    <w:p w14:paraId="4F31844C" w14:textId="47B24F1A" w:rsidR="00875EEC" w:rsidRDefault="002C50EE" w:rsidP="005726E3">
      <w:pPr>
        <w:pStyle w:val="Heading2"/>
      </w:pPr>
      <w:r>
        <w:t>5.3. Предклинични данни за безопасност</w:t>
      </w:r>
    </w:p>
    <w:p w14:paraId="1E917E80" w14:textId="4EAEB71C" w:rsidR="001C4124" w:rsidRDefault="001C4124" w:rsidP="001C4124"/>
    <w:p w14:paraId="165CABB9"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u w:val="single"/>
          <w:lang w:eastAsia="bg-BG"/>
        </w:rPr>
        <w:t>Периндоприл</w:t>
      </w:r>
    </w:p>
    <w:p w14:paraId="39CE3699" w14:textId="77777777" w:rsidR="001C4124" w:rsidRPr="001C4124" w:rsidRDefault="001C4124" w:rsidP="001C4124">
      <w:pPr>
        <w:spacing w:line="240" w:lineRule="auto"/>
        <w:rPr>
          <w:rFonts w:eastAsia="Times New Roman" w:cs="Arial"/>
          <w:i/>
          <w:iCs/>
          <w:color w:val="000000"/>
          <w:szCs w:val="20"/>
          <w:lang w:eastAsia="bg-BG"/>
        </w:rPr>
      </w:pPr>
    </w:p>
    <w:p w14:paraId="7C34A3E2" w14:textId="45D5E565"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Репродуктивна токсичност</w:t>
      </w:r>
    </w:p>
    <w:p w14:paraId="0A80007A"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Проучванията за репродуктивна токсичност (плъхове, мишки, зайци и маймуни) не показват признаци на ембриотоксичност или тератогенност. Въпреки това има данни, че инхибиторите на ангиотензин-конвертиращия ензим като фармакотерапевтичен клас предизвикват нежелани ефекти върху късното фетално развитие, водещи до фетална смърт и вродени дефекти при гризачи и зайци: наблюдавани са бъбречни лезии и повишение на пери- и постнаталната смъртност.</w:t>
      </w:r>
    </w:p>
    <w:p w14:paraId="3013C16D" w14:textId="77777777" w:rsidR="001C4124" w:rsidRPr="001C4124" w:rsidRDefault="001C4124" w:rsidP="001C4124">
      <w:pPr>
        <w:spacing w:line="240" w:lineRule="auto"/>
        <w:rPr>
          <w:rFonts w:eastAsia="Times New Roman" w:cs="Arial"/>
          <w:i/>
          <w:iCs/>
          <w:color w:val="000000"/>
          <w:szCs w:val="20"/>
          <w:lang w:eastAsia="bg-BG"/>
        </w:rPr>
      </w:pPr>
    </w:p>
    <w:p w14:paraId="6B9F0708" w14:textId="37115C6E"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Фертилитет</w:t>
      </w:r>
    </w:p>
    <w:p w14:paraId="4EDDBF62"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Не е наблюдаван ефект върху репродуктивната функция или фертилитета при плъхове, на които е приложена до 30 пъти </w:t>
      </w:r>
      <w:r w:rsidRPr="001C4124">
        <w:rPr>
          <w:rFonts w:eastAsia="Times New Roman" w:cs="Arial"/>
          <w:color w:val="000000"/>
          <w:szCs w:val="20"/>
          <w:lang w:val="ru-RU"/>
        </w:rPr>
        <w:t>(</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kg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или 6 пъти </w:t>
      </w:r>
      <w:r w:rsidRPr="001C4124">
        <w:rPr>
          <w:rFonts w:eastAsia="Times New Roman" w:cs="Arial"/>
          <w:color w:val="000000"/>
          <w:szCs w:val="20"/>
          <w:lang w:val="ru-RU"/>
        </w:rPr>
        <w:t>(</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kg</w:t>
      </w:r>
      <w:r w:rsidRPr="001C4124">
        <w:rPr>
          <w:rFonts w:eastAsia="Times New Roman" w:cs="Arial"/>
          <w:color w:val="000000"/>
          <w:szCs w:val="20"/>
          <w:lang w:val="ru-RU"/>
        </w:rPr>
        <w:t xml:space="preserve">) </w:t>
      </w:r>
      <w:r w:rsidRPr="001C4124">
        <w:rPr>
          <w:rFonts w:eastAsia="Times New Roman" w:cs="Arial"/>
          <w:color w:val="000000"/>
          <w:szCs w:val="20"/>
          <w:lang w:eastAsia="bg-BG"/>
        </w:rPr>
        <w:t>над предложената максимална клинична доза на периндоприл по време на сперматогенезата при мъжките или овогенезата и гестацията при женските.</w:t>
      </w:r>
    </w:p>
    <w:p w14:paraId="1CFEFE61" w14:textId="77777777" w:rsidR="001C4124" w:rsidRPr="001C4124" w:rsidRDefault="001C4124" w:rsidP="001C4124">
      <w:pPr>
        <w:spacing w:line="240" w:lineRule="auto"/>
        <w:rPr>
          <w:rFonts w:eastAsia="Times New Roman" w:cs="Arial"/>
          <w:i/>
          <w:iCs/>
          <w:color w:val="000000"/>
          <w:szCs w:val="20"/>
          <w:lang w:eastAsia="bg-BG"/>
        </w:rPr>
      </w:pPr>
    </w:p>
    <w:p w14:paraId="2C03E7A6" w14:textId="00F047CC"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Карциногенност, мутагенност и органна токсичност</w:t>
      </w:r>
    </w:p>
    <w:p w14:paraId="2CDA8500"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Не е наблюдавана мутагенност при </w:t>
      </w:r>
      <w:r w:rsidRPr="001C4124">
        <w:rPr>
          <w:rFonts w:eastAsia="Times New Roman" w:cs="Arial"/>
          <w:i/>
          <w:iCs/>
          <w:color w:val="000000"/>
          <w:szCs w:val="20"/>
          <w:lang w:val="en-US"/>
        </w:rPr>
        <w:t>in</w:t>
      </w:r>
      <w:r w:rsidRPr="001C4124">
        <w:rPr>
          <w:rFonts w:eastAsia="Times New Roman" w:cs="Arial"/>
          <w:i/>
          <w:iCs/>
          <w:color w:val="000000"/>
          <w:szCs w:val="20"/>
          <w:lang w:val="ru-RU"/>
        </w:rPr>
        <w:t xml:space="preserve"> </w:t>
      </w:r>
      <w:r w:rsidRPr="001C4124">
        <w:rPr>
          <w:rFonts w:eastAsia="Times New Roman" w:cs="Arial"/>
          <w:i/>
          <w:iCs/>
          <w:color w:val="000000"/>
          <w:szCs w:val="20"/>
          <w:lang w:val="en-US"/>
        </w:rPr>
        <w:t>vitro</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или </w:t>
      </w:r>
      <w:r w:rsidRPr="001C4124">
        <w:rPr>
          <w:rFonts w:eastAsia="Times New Roman" w:cs="Arial"/>
          <w:i/>
          <w:iCs/>
          <w:color w:val="000000"/>
          <w:szCs w:val="20"/>
          <w:lang w:val="en-US"/>
        </w:rPr>
        <w:t>in</w:t>
      </w:r>
      <w:r w:rsidRPr="001C4124">
        <w:rPr>
          <w:rFonts w:eastAsia="Times New Roman" w:cs="Arial"/>
          <w:i/>
          <w:iCs/>
          <w:color w:val="000000"/>
          <w:szCs w:val="20"/>
          <w:lang w:val="ru-RU"/>
        </w:rPr>
        <w:t xml:space="preserve"> </w:t>
      </w:r>
      <w:r w:rsidRPr="001C4124">
        <w:rPr>
          <w:rFonts w:eastAsia="Times New Roman" w:cs="Arial"/>
          <w:i/>
          <w:iCs/>
          <w:color w:val="000000"/>
          <w:szCs w:val="20"/>
          <w:lang w:val="en-US"/>
        </w:rPr>
        <w:t>vivo</w:t>
      </w:r>
      <w:r w:rsidRPr="001C4124">
        <w:rPr>
          <w:rFonts w:eastAsia="Times New Roman" w:cs="Arial"/>
          <w:color w:val="000000"/>
          <w:szCs w:val="20"/>
          <w:lang w:val="ru-RU"/>
        </w:rPr>
        <w:t xml:space="preserve"> </w:t>
      </w:r>
      <w:r w:rsidRPr="001C4124">
        <w:rPr>
          <w:rFonts w:eastAsia="Times New Roman" w:cs="Arial"/>
          <w:color w:val="000000"/>
          <w:szCs w:val="20"/>
          <w:lang w:eastAsia="bg-BG"/>
        </w:rPr>
        <w:t>проучвания. Не е наблюдаван карциногенен потенциал при дългосрочни проучвания при плъхове и мишки. При проучвания за токсичност при многократно перорално прилагане (плъхове и маймуни), прицелен орган са бъбреците, с обратими увреждания.</w:t>
      </w:r>
    </w:p>
    <w:p w14:paraId="0A6AD8B9" w14:textId="77777777" w:rsidR="001C4124" w:rsidRPr="001C4124" w:rsidRDefault="001C4124" w:rsidP="001C4124">
      <w:pPr>
        <w:spacing w:line="240" w:lineRule="auto"/>
        <w:rPr>
          <w:rFonts w:eastAsia="Times New Roman" w:cs="Arial"/>
          <w:color w:val="000000"/>
          <w:szCs w:val="20"/>
          <w:u w:val="single"/>
          <w:lang w:eastAsia="bg-BG"/>
        </w:rPr>
      </w:pPr>
    </w:p>
    <w:p w14:paraId="562D2598" w14:textId="7D719B9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u w:val="single"/>
          <w:lang w:eastAsia="bg-BG"/>
        </w:rPr>
        <w:t>Амлодипин</w:t>
      </w:r>
    </w:p>
    <w:p w14:paraId="2E8AB2A5" w14:textId="77777777" w:rsidR="001C4124" w:rsidRPr="001C4124" w:rsidRDefault="001C4124" w:rsidP="001C4124">
      <w:pPr>
        <w:spacing w:line="240" w:lineRule="auto"/>
        <w:rPr>
          <w:rFonts w:eastAsia="Times New Roman" w:cs="Arial"/>
          <w:i/>
          <w:iCs/>
          <w:color w:val="000000"/>
          <w:szCs w:val="20"/>
          <w:lang w:eastAsia="bg-BG"/>
        </w:rPr>
      </w:pPr>
    </w:p>
    <w:p w14:paraId="1D0814D5" w14:textId="4008D972"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Репродуктивна токсичност</w:t>
      </w:r>
    </w:p>
    <w:p w14:paraId="5A13F656"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Проучванията за репродуктивна токсичност при плъхове и мишки показват забавено раждане, удължена продължителност на раждането и намалена преживяемост на потомството при </w:t>
      </w:r>
      <w:r w:rsidRPr="001C4124">
        <w:rPr>
          <w:rFonts w:eastAsia="Times New Roman" w:cs="Arial"/>
          <w:color w:val="000000"/>
          <w:szCs w:val="20"/>
          <w:u w:val="single"/>
          <w:lang w:eastAsia="bg-BG"/>
        </w:rPr>
        <w:t xml:space="preserve">дози, </w:t>
      </w:r>
      <w:r w:rsidRPr="001C4124">
        <w:rPr>
          <w:rFonts w:eastAsia="Times New Roman" w:cs="Arial"/>
          <w:color w:val="000000"/>
          <w:szCs w:val="20"/>
          <w:lang w:eastAsia="bg-BG"/>
        </w:rPr>
        <w:t xml:space="preserve">приблизително 50 пъти по-високи от максималната препоръчителна доза при хора, изчислена на база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kg</w:t>
      </w:r>
      <w:r w:rsidRPr="001C4124">
        <w:rPr>
          <w:rFonts w:eastAsia="Times New Roman" w:cs="Arial"/>
          <w:color w:val="000000"/>
          <w:szCs w:val="20"/>
          <w:lang w:val="ru-RU"/>
        </w:rPr>
        <w:t>.</w:t>
      </w:r>
    </w:p>
    <w:p w14:paraId="4A886C9A" w14:textId="77777777" w:rsidR="001C4124" w:rsidRPr="001C4124" w:rsidRDefault="001C4124" w:rsidP="001C4124">
      <w:pPr>
        <w:rPr>
          <w:rFonts w:eastAsia="Times New Roman" w:cs="Arial"/>
          <w:i/>
          <w:iCs/>
          <w:color w:val="000000"/>
          <w:szCs w:val="20"/>
          <w:lang w:eastAsia="bg-BG"/>
        </w:rPr>
      </w:pPr>
    </w:p>
    <w:p w14:paraId="1FB3995F" w14:textId="6EBB3938" w:rsidR="001C4124" w:rsidRPr="001C4124" w:rsidRDefault="001C4124" w:rsidP="001C4124">
      <w:pPr>
        <w:rPr>
          <w:rFonts w:eastAsia="Times New Roman" w:cs="Arial"/>
          <w:i/>
          <w:iCs/>
          <w:color w:val="000000"/>
          <w:szCs w:val="20"/>
          <w:lang w:eastAsia="bg-BG"/>
        </w:rPr>
      </w:pPr>
      <w:r w:rsidRPr="001C4124">
        <w:rPr>
          <w:rFonts w:eastAsia="Times New Roman" w:cs="Arial"/>
          <w:i/>
          <w:iCs/>
          <w:color w:val="000000"/>
          <w:szCs w:val="20"/>
          <w:lang w:eastAsia="bg-BG"/>
        </w:rPr>
        <w:t>Увреждане на фертилитета</w:t>
      </w:r>
    </w:p>
    <w:p w14:paraId="2B9459D1"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Няма ефект върху фертилитета при плъхове, третирани с амлодипин (мъжките за 64 дни, а женските 14 дни преди оплождането) в дози до 10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kg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дневно, (8 пъти* максималната препоръчителна доза при хора от 10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изчислена на база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m</w:t>
      </w:r>
      <w:r w:rsidRPr="001C4124">
        <w:rPr>
          <w:rFonts w:eastAsia="Times New Roman" w:cs="Arial"/>
          <w:color w:val="000000"/>
          <w:szCs w:val="20"/>
          <w:lang w:val="ru-RU"/>
        </w:rPr>
        <w:t xml:space="preserve">2). </w:t>
      </w:r>
      <w:r w:rsidRPr="001C4124">
        <w:rPr>
          <w:rFonts w:eastAsia="Times New Roman" w:cs="Arial"/>
          <w:color w:val="000000"/>
          <w:szCs w:val="20"/>
          <w:lang w:eastAsia="bg-BG"/>
        </w:rPr>
        <w:t xml:space="preserve">В друго проучване при плъхове, при което мъжки плъхове са третирани с амлодипин безилат за 30 дни в доза, сравнима с дозата при хора, на база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kg</w:t>
      </w:r>
      <w:r w:rsidRPr="001C4124">
        <w:rPr>
          <w:rFonts w:eastAsia="Times New Roman" w:cs="Arial"/>
          <w:color w:val="000000"/>
          <w:szCs w:val="20"/>
          <w:lang w:val="ru-RU"/>
        </w:rPr>
        <w:t xml:space="preserve">, </w:t>
      </w:r>
      <w:r w:rsidRPr="001C4124">
        <w:rPr>
          <w:rFonts w:eastAsia="Times New Roman" w:cs="Arial"/>
          <w:color w:val="000000"/>
          <w:szCs w:val="20"/>
          <w:lang w:eastAsia="bg-BG"/>
        </w:rPr>
        <w:t>е наблюдавано намаляване в плазмата на фоликулостимулиращия хормон и на тестостерона, както и намаляване на гъстотата на спермата и броя на зрелите сперматозоиди и сертолиеви клетки.</w:t>
      </w:r>
    </w:p>
    <w:p w14:paraId="4ED40A11" w14:textId="77777777" w:rsidR="001C4124" w:rsidRPr="001C4124" w:rsidRDefault="001C4124" w:rsidP="001C4124">
      <w:pPr>
        <w:spacing w:line="240" w:lineRule="auto"/>
        <w:rPr>
          <w:rFonts w:eastAsia="Times New Roman" w:cs="Arial"/>
          <w:i/>
          <w:iCs/>
          <w:color w:val="000000"/>
          <w:szCs w:val="20"/>
          <w:lang w:eastAsia="bg-BG"/>
        </w:rPr>
      </w:pPr>
    </w:p>
    <w:p w14:paraId="754662A4" w14:textId="2EA01861" w:rsidR="001C4124" w:rsidRPr="001C4124" w:rsidRDefault="001C4124" w:rsidP="001C4124">
      <w:pPr>
        <w:spacing w:line="240" w:lineRule="auto"/>
        <w:rPr>
          <w:rFonts w:eastAsia="Times New Roman" w:cs="Arial"/>
          <w:sz w:val="28"/>
          <w:szCs w:val="24"/>
        </w:rPr>
      </w:pPr>
      <w:r w:rsidRPr="001C4124">
        <w:rPr>
          <w:rFonts w:eastAsia="Times New Roman" w:cs="Arial"/>
          <w:i/>
          <w:iCs/>
          <w:color w:val="000000"/>
          <w:szCs w:val="20"/>
          <w:lang w:eastAsia="bg-BG"/>
        </w:rPr>
        <w:t>Карциногенност и мутагенност</w:t>
      </w:r>
    </w:p>
    <w:p w14:paraId="284324DE" w14:textId="77777777"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Няма данни за карциногенност при плъхове и мишки, третирани с амлодипин към диетата в продължение на две години, в концентрации, изчислени да осигурят дневни дозови нива от 0,5, 1,25 и 2,5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kg</w:t>
      </w:r>
      <w:r w:rsidRPr="001C4124">
        <w:rPr>
          <w:rFonts w:eastAsia="Times New Roman" w:cs="Arial"/>
          <w:color w:val="000000"/>
          <w:szCs w:val="20"/>
          <w:lang w:eastAsia="bg-BG"/>
        </w:rPr>
        <w:t xml:space="preserve">/дневно. Най-високата доза (за мишки, сходна на, и за плъхове два пъти* максималната препоръчителна клинична доза от 10 </w:t>
      </w:r>
      <w:r w:rsidRPr="001C4124">
        <w:rPr>
          <w:rFonts w:eastAsia="Times New Roman" w:cs="Arial"/>
          <w:color w:val="000000"/>
          <w:szCs w:val="20"/>
          <w:lang w:val="en-US"/>
        </w:rPr>
        <w:t>mg</w:t>
      </w:r>
      <w:r w:rsidRPr="001C4124">
        <w:rPr>
          <w:rFonts w:eastAsia="Times New Roman" w:cs="Arial"/>
          <w:color w:val="000000"/>
          <w:szCs w:val="20"/>
          <w:lang w:val="ru-RU"/>
        </w:rPr>
        <w:t xml:space="preserve">, </w:t>
      </w:r>
      <w:r w:rsidRPr="001C4124">
        <w:rPr>
          <w:rFonts w:eastAsia="Times New Roman" w:cs="Arial"/>
          <w:color w:val="000000"/>
          <w:szCs w:val="20"/>
          <w:lang w:eastAsia="bg-BG"/>
        </w:rPr>
        <w:t xml:space="preserve">изчислена на база </w:t>
      </w:r>
      <w:r w:rsidRPr="001C4124">
        <w:rPr>
          <w:rFonts w:eastAsia="Times New Roman" w:cs="Arial"/>
          <w:color w:val="000000"/>
          <w:szCs w:val="20"/>
          <w:lang w:val="en-US"/>
        </w:rPr>
        <w:t>mg</w:t>
      </w:r>
      <w:r w:rsidRPr="001C4124">
        <w:rPr>
          <w:rFonts w:eastAsia="Times New Roman" w:cs="Arial"/>
          <w:color w:val="000000"/>
          <w:szCs w:val="20"/>
          <w:lang w:val="ru-RU"/>
        </w:rPr>
        <w:t>/</w:t>
      </w:r>
      <w:r w:rsidRPr="001C4124">
        <w:rPr>
          <w:rFonts w:eastAsia="Times New Roman" w:cs="Arial"/>
          <w:color w:val="000000"/>
          <w:szCs w:val="20"/>
          <w:lang w:val="en-US"/>
        </w:rPr>
        <w:t>m</w:t>
      </w:r>
      <w:r w:rsidRPr="001C4124">
        <w:rPr>
          <w:rFonts w:eastAsia="Times New Roman" w:cs="Arial"/>
          <w:color w:val="000000"/>
          <w:szCs w:val="20"/>
          <w:lang w:val="ru-RU"/>
        </w:rPr>
        <w:t xml:space="preserve">2) </w:t>
      </w:r>
      <w:r w:rsidRPr="001C4124">
        <w:rPr>
          <w:rFonts w:eastAsia="Times New Roman" w:cs="Arial"/>
          <w:color w:val="000000"/>
          <w:szCs w:val="20"/>
          <w:lang w:eastAsia="bg-BG"/>
        </w:rPr>
        <w:t>е близка до максималната поносима доза за мишки, но не и за плъхове.</w:t>
      </w:r>
    </w:p>
    <w:p w14:paraId="21D7AE66" w14:textId="77777777" w:rsidR="001C4124" w:rsidRPr="001C4124" w:rsidRDefault="001C4124" w:rsidP="001C4124">
      <w:pPr>
        <w:spacing w:line="240" w:lineRule="auto"/>
        <w:rPr>
          <w:rFonts w:eastAsia="Times New Roman" w:cs="Arial"/>
          <w:color w:val="000000"/>
          <w:szCs w:val="20"/>
          <w:lang w:eastAsia="bg-BG"/>
        </w:rPr>
      </w:pPr>
    </w:p>
    <w:p w14:paraId="32EA12B8" w14:textId="37931D4C"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Проучванията за мутагенност не показват лекарствено обусловени ефекти, нито на генно, нито на хромозомно ниво.</w:t>
      </w:r>
    </w:p>
    <w:p w14:paraId="3E447D44" w14:textId="77777777" w:rsidR="001C4124" w:rsidRPr="001C4124" w:rsidRDefault="001C4124" w:rsidP="001C4124">
      <w:pPr>
        <w:spacing w:line="240" w:lineRule="auto"/>
        <w:rPr>
          <w:rFonts w:eastAsia="Times New Roman" w:cs="Arial"/>
          <w:color w:val="000000"/>
          <w:szCs w:val="20"/>
          <w:lang w:eastAsia="bg-BG"/>
        </w:rPr>
      </w:pPr>
    </w:p>
    <w:p w14:paraId="58DCEDEA" w14:textId="6A4A44F6" w:rsidR="001C4124" w:rsidRPr="001C4124" w:rsidRDefault="001C4124" w:rsidP="001C4124">
      <w:pPr>
        <w:spacing w:line="240" w:lineRule="auto"/>
        <w:rPr>
          <w:rFonts w:eastAsia="Times New Roman" w:cs="Arial"/>
          <w:sz w:val="28"/>
          <w:szCs w:val="24"/>
        </w:rPr>
      </w:pPr>
      <w:r w:rsidRPr="001C4124">
        <w:rPr>
          <w:rFonts w:eastAsia="Times New Roman" w:cs="Arial"/>
          <w:color w:val="000000"/>
          <w:szCs w:val="20"/>
          <w:lang w:eastAsia="bg-BG"/>
        </w:rPr>
        <w:t xml:space="preserve">*Въз основа на телесно тегло на пациента 50 </w:t>
      </w:r>
      <w:r w:rsidRPr="001C4124">
        <w:rPr>
          <w:rFonts w:eastAsia="Times New Roman" w:cs="Arial"/>
          <w:color w:val="000000"/>
          <w:szCs w:val="20"/>
          <w:lang w:val="en-US"/>
        </w:rPr>
        <w:t>kg</w:t>
      </w:r>
    </w:p>
    <w:p w14:paraId="18E4CF8B" w14:textId="24AE75A6" w:rsidR="001C4124" w:rsidRPr="001C4124" w:rsidRDefault="001C4124" w:rsidP="001C4124"/>
    <w:p w14:paraId="1BA6531D" w14:textId="53E41E38" w:rsidR="00B6672E" w:rsidRDefault="002C50EE" w:rsidP="00936AD0">
      <w:pPr>
        <w:pStyle w:val="Heading1"/>
      </w:pPr>
      <w:r>
        <w:t>7. ПРИТЕЖАТЕЛ НА РАЗРЕШЕНИЕТО ЗА УПОТРЕБА</w:t>
      </w:r>
    </w:p>
    <w:p w14:paraId="71683E08" w14:textId="4720A421" w:rsidR="001C4124" w:rsidRDefault="001C4124" w:rsidP="001C4124"/>
    <w:p w14:paraId="40CBB515" w14:textId="77777777" w:rsidR="001C4124" w:rsidRPr="001C4124" w:rsidRDefault="001C4124" w:rsidP="001C4124">
      <w:pPr>
        <w:rPr>
          <w:sz w:val="24"/>
          <w:szCs w:val="24"/>
          <w:lang w:val="en-US"/>
        </w:rPr>
      </w:pPr>
      <w:proofErr w:type="spellStart"/>
      <w:r w:rsidRPr="001C4124">
        <w:rPr>
          <w:lang w:val="en-US"/>
        </w:rPr>
        <w:t>Zentiva</w:t>
      </w:r>
      <w:proofErr w:type="spellEnd"/>
      <w:r w:rsidRPr="001C4124">
        <w:rPr>
          <w:lang w:val="en-US"/>
        </w:rPr>
        <w:t xml:space="preserve"> </w:t>
      </w:r>
      <w:proofErr w:type="spellStart"/>
      <w:r w:rsidRPr="001C4124">
        <w:rPr>
          <w:lang w:val="en-US"/>
        </w:rPr>
        <w:t>k.s</w:t>
      </w:r>
      <w:proofErr w:type="spellEnd"/>
      <w:r w:rsidRPr="001C4124">
        <w:rPr>
          <w:lang w:val="en-US"/>
        </w:rPr>
        <w:t>.</w:t>
      </w:r>
    </w:p>
    <w:p w14:paraId="74347FA5" w14:textId="77777777" w:rsidR="001C4124" w:rsidRDefault="001C4124" w:rsidP="001C4124">
      <w:pPr>
        <w:rPr>
          <w:lang w:val="en-US"/>
        </w:rPr>
      </w:pPr>
      <w:r w:rsidRPr="001C4124">
        <w:rPr>
          <w:lang w:val="en-US"/>
        </w:rPr>
        <w:t xml:space="preserve">U </w:t>
      </w:r>
      <w:proofErr w:type="spellStart"/>
      <w:r w:rsidRPr="001C4124">
        <w:rPr>
          <w:lang w:val="en-US"/>
        </w:rPr>
        <w:t>kabelovny</w:t>
      </w:r>
      <w:proofErr w:type="spellEnd"/>
      <w:r w:rsidRPr="001C4124">
        <w:rPr>
          <w:lang w:val="en-US"/>
        </w:rPr>
        <w:t xml:space="preserve"> 130, </w:t>
      </w:r>
    </w:p>
    <w:p w14:paraId="50918F4B" w14:textId="77777777" w:rsidR="001C4124" w:rsidRPr="001C4124" w:rsidRDefault="001C4124" w:rsidP="001C4124">
      <w:pPr>
        <w:rPr>
          <w:lang w:val="ru-RU"/>
        </w:rPr>
      </w:pPr>
      <w:proofErr w:type="spellStart"/>
      <w:r w:rsidRPr="001C4124">
        <w:rPr>
          <w:lang w:val="en-US"/>
        </w:rPr>
        <w:t>Dolni</w:t>
      </w:r>
      <w:proofErr w:type="spellEnd"/>
      <w:r w:rsidRPr="001C4124">
        <w:rPr>
          <w:lang w:val="ru-RU"/>
        </w:rPr>
        <w:t xml:space="preserve"> </w:t>
      </w:r>
      <w:proofErr w:type="spellStart"/>
      <w:r w:rsidRPr="001C4124">
        <w:rPr>
          <w:lang w:val="en-US"/>
        </w:rPr>
        <w:t>Mecholupy</w:t>
      </w:r>
      <w:proofErr w:type="spellEnd"/>
      <w:r w:rsidRPr="001C4124">
        <w:rPr>
          <w:lang w:val="ru-RU"/>
        </w:rPr>
        <w:t xml:space="preserve">, </w:t>
      </w:r>
    </w:p>
    <w:p w14:paraId="73A036EC" w14:textId="77777777" w:rsidR="001C4124" w:rsidRPr="001C4124" w:rsidRDefault="001C4124" w:rsidP="001C4124">
      <w:pPr>
        <w:rPr>
          <w:lang w:val="ru-RU"/>
        </w:rPr>
      </w:pPr>
      <w:r w:rsidRPr="001C4124">
        <w:rPr>
          <w:lang w:val="ru-RU"/>
        </w:rPr>
        <w:t xml:space="preserve">102 37 </w:t>
      </w:r>
      <w:r w:rsidRPr="001C4124">
        <w:rPr>
          <w:lang w:val="en-US"/>
        </w:rPr>
        <w:t>Prague</w:t>
      </w:r>
      <w:r w:rsidRPr="001C4124">
        <w:rPr>
          <w:lang w:val="ru-RU"/>
        </w:rPr>
        <w:t xml:space="preserve"> 10, </w:t>
      </w:r>
    </w:p>
    <w:p w14:paraId="4A455D21" w14:textId="7B3321AF" w:rsidR="001C4124" w:rsidRPr="001C4124" w:rsidRDefault="001C4124" w:rsidP="001C4124">
      <w:r w:rsidRPr="001C4124">
        <w:rPr>
          <w:lang w:eastAsia="bg-BG"/>
        </w:rPr>
        <w:t>Чешка република</w:t>
      </w:r>
    </w:p>
    <w:p w14:paraId="508F3A54" w14:textId="646801C7" w:rsidR="00B6672E" w:rsidRDefault="00936AD0" w:rsidP="00936AD0">
      <w:pPr>
        <w:pStyle w:val="Heading1"/>
      </w:pPr>
      <w:r>
        <w:t>8.</w:t>
      </w:r>
      <w:r w:rsidR="002C50EE">
        <w:t>НОМЕР НА РАЗРЕШЕНИЕТО ЗА УПОТРЕБА</w:t>
      </w:r>
    </w:p>
    <w:p w14:paraId="05192DDA" w14:textId="3200AFA8" w:rsidR="001C4124" w:rsidRDefault="001C4124" w:rsidP="001C4124"/>
    <w:p w14:paraId="5F5F80FE" w14:textId="2F0BCD9F" w:rsidR="001C4124" w:rsidRPr="001C4124" w:rsidRDefault="001C4124" w:rsidP="001C4124">
      <w:r>
        <w:t>Per. №20150280</w:t>
      </w:r>
    </w:p>
    <w:p w14:paraId="3BC5EC53" w14:textId="72DC2BFE" w:rsidR="00875EEC" w:rsidRDefault="002C50EE" w:rsidP="005726E3">
      <w:pPr>
        <w:pStyle w:val="Heading1"/>
      </w:pPr>
      <w:r>
        <w:t>9. ДАТА НА ПЪРВО РАЗРЕШАВАНЕ/ПОДНОВЯВАНЕ НА РАЗРЕШЕНИЕТО ЗА УПОТРЕБА</w:t>
      </w:r>
    </w:p>
    <w:p w14:paraId="0390AA4F" w14:textId="5FE25610" w:rsidR="001C4124" w:rsidRDefault="001C4124" w:rsidP="001C4124"/>
    <w:p w14:paraId="363BB143" w14:textId="77777777" w:rsidR="001C4124" w:rsidRPr="001C4124" w:rsidRDefault="001C4124" w:rsidP="001C4124">
      <w:pPr>
        <w:rPr>
          <w:sz w:val="24"/>
          <w:szCs w:val="24"/>
        </w:rPr>
      </w:pPr>
      <w:r w:rsidRPr="001C4124">
        <w:rPr>
          <w:lang w:eastAsia="bg-BG"/>
        </w:rPr>
        <w:t>Дата на първо разрешаване: 12.08.2015 г.</w:t>
      </w:r>
    </w:p>
    <w:p w14:paraId="2B0C1ED3" w14:textId="77777777" w:rsidR="001C4124" w:rsidRPr="001C4124" w:rsidRDefault="001C4124" w:rsidP="001C4124">
      <w:pPr>
        <w:rPr>
          <w:sz w:val="24"/>
          <w:szCs w:val="24"/>
        </w:rPr>
      </w:pPr>
      <w:r w:rsidRPr="001C4124">
        <w:rPr>
          <w:lang w:eastAsia="bg-BG"/>
        </w:rPr>
        <w:t>Дата на последно подновяване: 25.05.2021 г.</w:t>
      </w:r>
    </w:p>
    <w:p w14:paraId="090C9AF4" w14:textId="77777777" w:rsidR="001C4124" w:rsidRPr="001C4124" w:rsidRDefault="001C4124" w:rsidP="001C4124"/>
    <w:p w14:paraId="43FB38A2" w14:textId="0B074312" w:rsidR="007C605B" w:rsidRDefault="002C50EE" w:rsidP="005726E3">
      <w:pPr>
        <w:pStyle w:val="Heading1"/>
      </w:pPr>
      <w:r>
        <w:t>10. ДАТА НА АКТУАЛИЗИРАНЕ НА ТЕКСТА</w:t>
      </w:r>
      <w:bookmarkEnd w:id="0"/>
    </w:p>
    <w:p w14:paraId="30A4C8C8" w14:textId="425ECA33" w:rsidR="001C4124" w:rsidRPr="001C4124" w:rsidRDefault="001C4124" w:rsidP="001C4124">
      <w:r>
        <w:t>15.06.2022 г.</w:t>
      </w:r>
      <w:bookmarkStart w:id="1" w:name="_GoBack"/>
      <w:bookmarkEnd w:id="1"/>
    </w:p>
    <w:sectPr w:rsidR="001C4124" w:rsidRPr="001C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E2F0E"/>
    <w:multiLevelType w:val="hybridMultilevel"/>
    <w:tmpl w:val="0EC29958"/>
    <w:lvl w:ilvl="0" w:tplc="BA2CA38E">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C4124"/>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10089</Words>
  <Characters>57512</Characters>
  <Application>Microsoft Office Word</Application>
  <DocSecurity>0</DocSecurity>
  <Lines>479</Lines>
  <Paragraphs>134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2022-10-29T07:35:00Z</dcterms:created>
  <dcterms:modified xsi:type="dcterms:W3CDTF">2022-10-29T07:35:00Z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