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77448EA" w:rsidR="00AA23EC" w:rsidRDefault="00DD466D" w:rsidP="00DD466D">
      <w:pPr>
        <w:pStyle w:val="Heading1"/>
      </w:pPr>
      <w:r>
        <w:t>1.ИМЕ НА ЛЕКАРСТВЕНИЯ ПРОДУКТ</w:t>
      </w:r>
    </w:p>
    <w:p w14:paraId="731E19F6" w14:textId="64D6F437" w:rsidR="007662DD" w:rsidRDefault="007662DD" w:rsidP="007662DD"/>
    <w:p w14:paraId="7EBCADBF" w14:textId="77777777" w:rsidR="007662DD" w:rsidRPr="007662DD" w:rsidRDefault="007662DD" w:rsidP="007662DD">
      <w:pPr>
        <w:rPr>
          <w:sz w:val="24"/>
          <w:szCs w:val="24"/>
          <w:lang w:val="ru-RU"/>
        </w:rPr>
      </w:pPr>
      <w:r w:rsidRPr="007662DD">
        <w:rPr>
          <w:lang w:eastAsia="bg-BG"/>
        </w:rPr>
        <w:t xml:space="preserve">Примолут-Нор 5 </w:t>
      </w:r>
      <w:r w:rsidRPr="007662DD">
        <w:rPr>
          <w:lang w:val="en-US"/>
        </w:rPr>
        <w:t>mg</w:t>
      </w:r>
      <w:r w:rsidRPr="007662DD">
        <w:rPr>
          <w:lang w:val="ru-RU"/>
        </w:rPr>
        <w:t xml:space="preserve"> </w:t>
      </w:r>
      <w:r w:rsidRPr="007662DD">
        <w:rPr>
          <w:lang w:eastAsia="bg-BG"/>
        </w:rPr>
        <w:t>таблетки</w:t>
      </w:r>
    </w:p>
    <w:p w14:paraId="2563D9F1" w14:textId="27626FD3" w:rsidR="007662DD" w:rsidRPr="007662DD" w:rsidRDefault="007662DD" w:rsidP="007662DD">
      <w:proofErr w:type="spellStart"/>
      <w:r w:rsidRPr="007662DD">
        <w:rPr>
          <w:lang w:val="en-US"/>
        </w:rPr>
        <w:t>Primolut</w:t>
      </w:r>
      <w:proofErr w:type="spellEnd"/>
      <w:r w:rsidRPr="007662DD">
        <w:rPr>
          <w:lang w:val="ru-RU"/>
        </w:rPr>
        <w:t>-</w:t>
      </w:r>
      <w:r w:rsidRPr="007662DD">
        <w:rPr>
          <w:lang w:val="en-US"/>
        </w:rPr>
        <w:t>Nor</w:t>
      </w:r>
      <w:r w:rsidRPr="007662DD">
        <w:rPr>
          <w:lang w:val="ru-RU"/>
        </w:rPr>
        <w:t xml:space="preserve"> </w:t>
      </w:r>
      <w:r w:rsidRPr="007662DD">
        <w:rPr>
          <w:lang w:eastAsia="bg-BG"/>
        </w:rPr>
        <w:t xml:space="preserve">5 </w:t>
      </w:r>
      <w:r w:rsidRPr="007662DD">
        <w:rPr>
          <w:lang w:val="en-US"/>
        </w:rPr>
        <w:t>mg</w:t>
      </w:r>
      <w:r w:rsidRPr="007662DD">
        <w:rPr>
          <w:lang w:val="ru-RU"/>
        </w:rPr>
        <w:t xml:space="preserve"> </w:t>
      </w:r>
      <w:r w:rsidRPr="007662DD">
        <w:rPr>
          <w:lang w:val="en-US"/>
        </w:rPr>
        <w:t>tablets</w:t>
      </w:r>
    </w:p>
    <w:p w14:paraId="0A368469" w14:textId="0668B9D0" w:rsidR="00C0049F" w:rsidRDefault="00DD466D" w:rsidP="009F1313">
      <w:pPr>
        <w:pStyle w:val="Heading1"/>
      </w:pPr>
      <w:r>
        <w:t>2. КАЧЕСТВЕН И КОЛИЧЕСТВЕН СЪСТАВ</w:t>
      </w:r>
    </w:p>
    <w:p w14:paraId="7AAD10F7" w14:textId="5C70BA9B" w:rsidR="007662DD" w:rsidRDefault="007662DD" w:rsidP="007662DD"/>
    <w:p w14:paraId="646A7374" w14:textId="77777777"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 xml:space="preserve">Всяка таблетка Примолут-Нор съдържа 5 </w:t>
      </w:r>
      <w:r w:rsidRPr="007662DD">
        <w:rPr>
          <w:rFonts w:eastAsia="Times New Roman" w:cs="Arial"/>
          <w:color w:val="000000"/>
          <w:lang w:val="en-US"/>
        </w:rPr>
        <w:t>mg</w:t>
      </w:r>
      <w:r w:rsidRPr="007662DD">
        <w:rPr>
          <w:rFonts w:eastAsia="Times New Roman" w:cs="Arial"/>
          <w:color w:val="000000"/>
        </w:rPr>
        <w:t xml:space="preserve"> </w:t>
      </w:r>
      <w:r w:rsidRPr="007662DD">
        <w:rPr>
          <w:rFonts w:eastAsia="Times New Roman" w:cs="Arial"/>
          <w:color w:val="000000"/>
          <w:lang w:eastAsia="bg-BG"/>
        </w:rPr>
        <w:t>норетистеронов ацетат (</w:t>
      </w:r>
      <w:proofErr w:type="spellStart"/>
      <w:r w:rsidRPr="007662DD">
        <w:rPr>
          <w:rFonts w:eastAsia="Times New Roman" w:cs="Arial"/>
          <w:i/>
          <w:iCs/>
          <w:color w:val="000000"/>
          <w:lang w:val="en-US"/>
        </w:rPr>
        <w:t>norethisterone</w:t>
      </w:r>
      <w:proofErr w:type="spellEnd"/>
      <w:r w:rsidRPr="007662DD">
        <w:rPr>
          <w:rFonts w:eastAsia="Times New Roman" w:cs="Arial"/>
          <w:i/>
          <w:iCs/>
          <w:color w:val="000000"/>
        </w:rPr>
        <w:t xml:space="preserve"> </w:t>
      </w:r>
      <w:r w:rsidRPr="007662DD">
        <w:rPr>
          <w:rFonts w:eastAsia="Times New Roman" w:cs="Arial"/>
          <w:i/>
          <w:iCs/>
          <w:color w:val="000000"/>
          <w:lang w:val="en-US"/>
        </w:rPr>
        <w:t>acetate</w:t>
      </w:r>
      <w:r w:rsidRPr="007662DD">
        <w:rPr>
          <w:rFonts w:eastAsia="Times New Roman" w:cs="Arial"/>
          <w:i/>
          <w:iCs/>
          <w:color w:val="000000"/>
        </w:rPr>
        <w:t>).</w:t>
      </w:r>
    </w:p>
    <w:p w14:paraId="62DC054D" w14:textId="77777777" w:rsidR="007662DD" w:rsidRPr="007662DD" w:rsidRDefault="007662DD" w:rsidP="007662DD">
      <w:pPr>
        <w:spacing w:line="240" w:lineRule="auto"/>
        <w:rPr>
          <w:rFonts w:eastAsia="Times New Roman" w:cs="Arial"/>
          <w:sz w:val="24"/>
          <w:szCs w:val="24"/>
        </w:rPr>
      </w:pPr>
      <w:r w:rsidRPr="007662DD">
        <w:rPr>
          <w:rFonts w:eastAsia="Times New Roman" w:cs="Arial"/>
          <w:color w:val="000000"/>
          <w:u w:val="single"/>
          <w:lang w:eastAsia="bg-BG"/>
        </w:rPr>
        <w:t>Помощно вещество с известно действие</w:t>
      </w:r>
      <w:r w:rsidRPr="007662DD">
        <w:rPr>
          <w:rFonts w:eastAsia="Times New Roman" w:cs="Arial"/>
          <w:color w:val="000000"/>
          <w:lang w:eastAsia="bg-BG"/>
        </w:rPr>
        <w:t>: лактоза монохидрат и др.</w:t>
      </w:r>
    </w:p>
    <w:p w14:paraId="6BB3B548" w14:textId="77777777" w:rsidR="007662DD" w:rsidRPr="007662DD" w:rsidRDefault="007662DD" w:rsidP="007662DD"/>
    <w:p w14:paraId="614984C4" w14:textId="0D7FCF0F" w:rsidR="008A6AF2" w:rsidRDefault="00DD466D" w:rsidP="002C50EE">
      <w:pPr>
        <w:pStyle w:val="Heading1"/>
      </w:pPr>
      <w:r>
        <w:t>3. ЛЕКАРСТВЕНА ФОРМА</w:t>
      </w:r>
    </w:p>
    <w:p w14:paraId="7B372579" w14:textId="0DA5878D" w:rsidR="007662DD" w:rsidRDefault="007662DD" w:rsidP="007662DD"/>
    <w:p w14:paraId="224DD19D" w14:textId="622BF3F6" w:rsidR="007662DD" w:rsidRPr="007662DD" w:rsidRDefault="007662DD" w:rsidP="007662DD">
      <w:r>
        <w:t>Таблетки.</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B3B04F3" w:rsidR="00395555" w:rsidRDefault="00395555" w:rsidP="00395555"/>
    <w:p w14:paraId="38BB419F" w14:textId="77777777" w:rsidR="007662DD" w:rsidRPr="007662DD" w:rsidRDefault="007662DD" w:rsidP="007662DD">
      <w:pPr>
        <w:rPr>
          <w:sz w:val="24"/>
          <w:szCs w:val="24"/>
        </w:rPr>
      </w:pPr>
      <w:r w:rsidRPr="007662DD">
        <w:rPr>
          <w:lang w:eastAsia="bg-BG"/>
        </w:rPr>
        <w:t>Дисфункционално кървене, първична и вторична аменорея, предменструален синдром, циклична мастопатия, отлагане на менструацията, ендометриоза.</w:t>
      </w:r>
    </w:p>
    <w:p w14:paraId="3239BD4A" w14:textId="77777777" w:rsidR="007662DD" w:rsidRPr="00395555" w:rsidRDefault="007662DD" w:rsidP="00395555"/>
    <w:p w14:paraId="7C0CA5EB" w14:textId="02D14463" w:rsidR="00C0049F" w:rsidRDefault="002C50EE" w:rsidP="009F1313">
      <w:pPr>
        <w:pStyle w:val="Heading2"/>
      </w:pPr>
      <w:r>
        <w:t>4.2. Дозировка и начин на приложение</w:t>
      </w:r>
    </w:p>
    <w:p w14:paraId="3139325A" w14:textId="7A4D7CDD" w:rsidR="007662DD" w:rsidRDefault="007662DD" w:rsidP="007662DD"/>
    <w:p w14:paraId="347A6778" w14:textId="77777777" w:rsidR="007662DD" w:rsidRPr="007662DD" w:rsidRDefault="007662DD" w:rsidP="007662DD">
      <w:pPr>
        <w:pStyle w:val="Heading3"/>
        <w:rPr>
          <w:rFonts w:eastAsia="Times New Roman"/>
          <w:u w:val="single"/>
        </w:rPr>
      </w:pPr>
      <w:r w:rsidRPr="007662DD">
        <w:rPr>
          <w:rFonts w:eastAsia="Times New Roman"/>
          <w:u w:val="single"/>
          <w:lang w:eastAsia="bg-BG"/>
        </w:rPr>
        <w:t>Начин на приложение</w:t>
      </w:r>
    </w:p>
    <w:p w14:paraId="23F26531" w14:textId="77777777" w:rsidR="007662DD" w:rsidRPr="007662DD" w:rsidRDefault="007662DD" w:rsidP="007662DD">
      <w:pPr>
        <w:spacing w:line="240" w:lineRule="auto"/>
        <w:rPr>
          <w:rFonts w:eastAsia="Times New Roman" w:cs="Arial"/>
          <w:color w:val="000000"/>
          <w:lang w:eastAsia="bg-BG"/>
        </w:rPr>
      </w:pPr>
    </w:p>
    <w:p w14:paraId="56E0265B" w14:textId="29C9208C"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Перорално приложение</w:t>
      </w:r>
    </w:p>
    <w:p w14:paraId="0140B0BE" w14:textId="77777777" w:rsidR="007662DD" w:rsidRPr="007662DD" w:rsidRDefault="007662DD" w:rsidP="007662DD">
      <w:pPr>
        <w:spacing w:line="240" w:lineRule="auto"/>
        <w:rPr>
          <w:rFonts w:eastAsia="Times New Roman" w:cs="Arial"/>
          <w:color w:val="000000"/>
          <w:lang w:eastAsia="bg-BG"/>
        </w:rPr>
      </w:pPr>
    </w:p>
    <w:p w14:paraId="702C6100" w14:textId="65FBA047"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Таблетките трябва да се приемат цели с малко течност.</w:t>
      </w:r>
    </w:p>
    <w:p w14:paraId="64993E65" w14:textId="77777777" w:rsidR="007662DD" w:rsidRPr="007662DD" w:rsidRDefault="007662DD" w:rsidP="007662DD">
      <w:pPr>
        <w:spacing w:line="240" w:lineRule="auto"/>
        <w:rPr>
          <w:rFonts w:eastAsia="Times New Roman" w:cs="Arial"/>
          <w:color w:val="000000"/>
          <w:lang w:eastAsia="bg-BG"/>
        </w:rPr>
      </w:pPr>
    </w:p>
    <w:p w14:paraId="71922513" w14:textId="01DF0A42"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Ефикасността на Примолут-Нор може да бъде намалена, ако пациентката забрави да вземе таблетка, както е указано. Жената трябва да приеме само последната пропусната таблетка, веднага щом се сети и да продължи приема на таблетки на следващия ден в обичайното време.</w:t>
      </w:r>
    </w:p>
    <w:p w14:paraId="4FC98ACF" w14:textId="77777777" w:rsidR="007662DD" w:rsidRPr="007662DD" w:rsidRDefault="007662DD" w:rsidP="007662DD">
      <w:pPr>
        <w:spacing w:line="240" w:lineRule="auto"/>
        <w:rPr>
          <w:rFonts w:eastAsia="Times New Roman" w:cs="Arial"/>
          <w:color w:val="000000"/>
          <w:lang w:eastAsia="bg-BG"/>
        </w:rPr>
      </w:pPr>
    </w:p>
    <w:p w14:paraId="0EA52F49" w14:textId="2D55CDEB"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Ако е необходима контрацептивна защита, трябва да се използват допълнителни нехормонални (бариерни) методи.</w:t>
      </w:r>
    </w:p>
    <w:p w14:paraId="6B1C076D" w14:textId="77777777" w:rsidR="007662DD" w:rsidRPr="007662DD" w:rsidRDefault="007662DD" w:rsidP="007662DD">
      <w:pPr>
        <w:spacing w:line="240" w:lineRule="auto"/>
        <w:rPr>
          <w:rFonts w:eastAsia="Times New Roman" w:cs="Arial"/>
          <w:color w:val="000000"/>
          <w:u w:val="single"/>
          <w:lang w:eastAsia="bg-BG"/>
        </w:rPr>
      </w:pPr>
    </w:p>
    <w:p w14:paraId="7213ADDA" w14:textId="78017615" w:rsidR="007662DD" w:rsidRPr="007662DD" w:rsidRDefault="007662DD" w:rsidP="007662DD">
      <w:pPr>
        <w:pStyle w:val="Heading3"/>
        <w:rPr>
          <w:rFonts w:eastAsia="Times New Roman"/>
          <w:u w:val="single"/>
        </w:rPr>
      </w:pPr>
      <w:r w:rsidRPr="007662DD">
        <w:rPr>
          <w:rFonts w:eastAsia="Times New Roman"/>
          <w:u w:val="single"/>
          <w:lang w:eastAsia="bg-BG"/>
        </w:rPr>
        <w:t>Дозировка</w:t>
      </w:r>
    </w:p>
    <w:p w14:paraId="09BC16C9" w14:textId="7D21FF56" w:rsidR="007662DD" w:rsidRDefault="007662DD" w:rsidP="007662DD"/>
    <w:p w14:paraId="116A642B" w14:textId="3040D085" w:rsidR="007662DD" w:rsidRPr="007662DD" w:rsidRDefault="007662DD" w:rsidP="007662DD">
      <w:pPr>
        <w:pStyle w:val="Heading3"/>
        <w:rPr>
          <w:rFonts w:eastAsia="Times New Roman"/>
        </w:rPr>
      </w:pPr>
      <w:r w:rsidRPr="007662DD">
        <w:rPr>
          <w:rFonts w:eastAsia="Times New Roman"/>
          <w:lang w:val="en-US" w:eastAsia="bg-BG"/>
        </w:rPr>
        <w:t>4.2.1</w:t>
      </w:r>
      <w:r>
        <w:rPr>
          <w:rFonts w:eastAsia="Times New Roman"/>
          <w:lang w:val="en-US" w:eastAsia="bg-BG"/>
        </w:rPr>
        <w:t xml:space="preserve"> </w:t>
      </w:r>
      <w:r w:rsidRPr="007662DD">
        <w:rPr>
          <w:rFonts w:eastAsia="Times New Roman"/>
          <w:lang w:eastAsia="bg-BG"/>
        </w:rPr>
        <w:t>Дисфункционално кървене</w:t>
      </w:r>
    </w:p>
    <w:p w14:paraId="04DE8921" w14:textId="77777777" w:rsidR="007662DD" w:rsidRPr="007662DD" w:rsidRDefault="007662DD" w:rsidP="007662DD">
      <w:pPr>
        <w:spacing w:line="240" w:lineRule="auto"/>
        <w:rPr>
          <w:rFonts w:eastAsia="Times New Roman" w:cs="Arial"/>
          <w:color w:val="000000"/>
          <w:lang w:eastAsia="bg-BG"/>
        </w:rPr>
      </w:pPr>
    </w:p>
    <w:p w14:paraId="39918888" w14:textId="3FA3AADC"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lastRenderedPageBreak/>
        <w:t xml:space="preserve">Една таблетка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 xml:space="preserve">се взема 3 пъти дневно в продължение на 10 дни. В повечето случаи това ще доведе до спиране на маточното кървене, което не се дължи на органични увреждания, в рамките на 1 до 3 дни, като независимо от това, за да се осигури лечебен ефект,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трябва да се приема цели 10 дни. Около 2 до 4 дни след приключване на лечението, ще се появи отпадно кървене с интензитет и продължителност на нормална менструация.</w:t>
      </w:r>
      <w:bookmarkStart w:id="1" w:name="bookmark0"/>
      <w:bookmarkEnd w:id="1"/>
    </w:p>
    <w:p w14:paraId="037BFDBE" w14:textId="77777777" w:rsidR="007662DD" w:rsidRPr="007662DD" w:rsidRDefault="007662DD" w:rsidP="007662DD">
      <w:pPr>
        <w:rPr>
          <w:rFonts w:eastAsia="Times New Roman" w:cs="Arial"/>
          <w:sz w:val="24"/>
          <w:szCs w:val="24"/>
        </w:rPr>
      </w:pPr>
    </w:p>
    <w:p w14:paraId="1C4D8BB1" w14:textId="2583CA5B" w:rsidR="007662DD" w:rsidRPr="007662DD" w:rsidRDefault="007662DD" w:rsidP="007662DD">
      <w:pPr>
        <w:pStyle w:val="ListParagraph"/>
        <w:numPr>
          <w:ilvl w:val="0"/>
          <w:numId w:val="32"/>
        </w:numPr>
        <w:rPr>
          <w:rFonts w:ascii="Times New Roman" w:eastAsia="Times New Roman" w:hAnsi="Times New Roman" w:cs="Times New Roman"/>
          <w:color w:val="000000"/>
          <w:lang w:eastAsia="bg-BG"/>
        </w:rPr>
      </w:pPr>
      <w:r w:rsidRPr="007662DD">
        <w:rPr>
          <w:rFonts w:eastAsia="Times New Roman" w:cs="Arial"/>
          <w:color w:val="000000"/>
          <w:lang w:eastAsia="bg-BG"/>
        </w:rPr>
        <w:t>Леко кървене в периода на приемане на таблетките</w:t>
      </w:r>
    </w:p>
    <w:p w14:paraId="3DDBBC7F" w14:textId="33B84721" w:rsidR="007662DD" w:rsidRPr="007662DD" w:rsidRDefault="007662DD" w:rsidP="007662DD">
      <w:pPr>
        <w:spacing w:line="240" w:lineRule="auto"/>
        <w:rPr>
          <w:rFonts w:eastAsia="Times New Roman" w:cs="Arial"/>
          <w:color w:val="000000"/>
          <w:lang w:eastAsia="bg-BG"/>
        </w:rPr>
      </w:pPr>
      <w:r w:rsidRPr="007662DD">
        <w:rPr>
          <w:rFonts w:eastAsia="Times New Roman" w:cs="Arial"/>
          <w:color w:val="000000"/>
          <w:lang w:eastAsia="bg-BG"/>
        </w:rPr>
        <w:t>Понякога, може да се появи слабо прокървяване след първоначалното спиране на кървенето. В тези случаи приемът на таблетките също не трябва да се прекъсва или спира.</w:t>
      </w:r>
    </w:p>
    <w:p w14:paraId="79F7D521" w14:textId="77777777" w:rsidR="007662DD" w:rsidRPr="007662DD" w:rsidRDefault="007662DD" w:rsidP="007662DD">
      <w:pPr>
        <w:spacing w:line="240" w:lineRule="auto"/>
        <w:rPr>
          <w:rFonts w:eastAsia="Times New Roman" w:cs="Arial"/>
          <w:sz w:val="24"/>
          <w:szCs w:val="24"/>
        </w:rPr>
      </w:pPr>
    </w:p>
    <w:p w14:paraId="31DB3B9D" w14:textId="7497EDE0" w:rsidR="007662DD" w:rsidRPr="007662DD" w:rsidRDefault="007662DD" w:rsidP="007662DD">
      <w:pPr>
        <w:pStyle w:val="ListParagraph"/>
        <w:numPr>
          <w:ilvl w:val="0"/>
          <w:numId w:val="32"/>
        </w:numPr>
        <w:spacing w:line="240" w:lineRule="auto"/>
        <w:rPr>
          <w:rFonts w:eastAsia="Times New Roman" w:cs="Arial"/>
          <w:sz w:val="24"/>
          <w:szCs w:val="24"/>
        </w:rPr>
      </w:pPr>
      <w:r w:rsidRPr="007662DD">
        <w:rPr>
          <w:rFonts w:eastAsia="Times New Roman" w:cs="Arial"/>
          <w:color w:val="000000"/>
          <w:lang w:eastAsia="bg-BG"/>
        </w:rPr>
        <w:t>Неспираща хеморагия, тежко пробивно кървене</w:t>
      </w:r>
    </w:p>
    <w:p w14:paraId="755A1EB2" w14:textId="77777777" w:rsidR="007662DD" w:rsidRDefault="007662DD" w:rsidP="007662DD">
      <w:pPr>
        <w:spacing w:line="240" w:lineRule="auto"/>
        <w:rPr>
          <w:rFonts w:eastAsia="Times New Roman" w:cs="Arial"/>
          <w:color w:val="000000"/>
          <w:lang w:eastAsia="bg-BG"/>
        </w:rPr>
      </w:pPr>
    </w:p>
    <w:p w14:paraId="428AC9F4" w14:textId="00B686B3" w:rsidR="007662DD" w:rsidRPr="007662DD" w:rsidRDefault="007662DD" w:rsidP="007662DD">
      <w:pPr>
        <w:spacing w:line="240" w:lineRule="auto"/>
        <w:rPr>
          <w:rFonts w:eastAsia="Times New Roman" w:cs="Arial"/>
          <w:color w:val="000000"/>
          <w:lang w:eastAsia="bg-BG"/>
        </w:rPr>
      </w:pPr>
      <w:r w:rsidRPr="007662DD">
        <w:rPr>
          <w:rFonts w:eastAsia="Times New Roman" w:cs="Arial"/>
          <w:color w:val="000000"/>
          <w:lang w:eastAsia="bg-BG"/>
        </w:rPr>
        <w:t>Ако вагиналното кървене не спира въпреки правилното приемане на таблетките, трябва да се има предвид органична причина или извънгенитален фактор (напр. полипи, карцином на шийката на матката или на ендометриума, миома, резидуален аборт, извънматочна бременност, или коагулационни нарушения), така че да са по-наложителни други мерки. Това се отнася също и за случаите, когато след първоначално спиране на кървенето, сравнително тежко кървене се появява отново по време на приема на таблетки.</w:t>
      </w:r>
    </w:p>
    <w:p w14:paraId="2DA8AE6D" w14:textId="77777777" w:rsidR="007662DD" w:rsidRPr="007662DD" w:rsidRDefault="007662DD" w:rsidP="007662DD">
      <w:pPr>
        <w:spacing w:line="240" w:lineRule="auto"/>
        <w:rPr>
          <w:rFonts w:eastAsia="Times New Roman" w:cs="Arial"/>
          <w:sz w:val="24"/>
          <w:szCs w:val="24"/>
        </w:rPr>
      </w:pPr>
    </w:p>
    <w:p w14:paraId="61728043" w14:textId="6411CE15" w:rsidR="007662DD" w:rsidRPr="007662DD" w:rsidRDefault="007662DD" w:rsidP="007662DD">
      <w:pPr>
        <w:pStyle w:val="ListParagraph"/>
        <w:numPr>
          <w:ilvl w:val="0"/>
          <w:numId w:val="32"/>
        </w:numPr>
        <w:spacing w:line="240" w:lineRule="auto"/>
        <w:rPr>
          <w:rFonts w:eastAsia="Times New Roman" w:cs="Arial"/>
          <w:sz w:val="24"/>
          <w:szCs w:val="24"/>
        </w:rPr>
      </w:pPr>
      <w:r w:rsidRPr="007662DD">
        <w:rPr>
          <w:rFonts w:eastAsia="Times New Roman" w:cs="Arial"/>
          <w:color w:val="000000"/>
          <w:lang w:eastAsia="bg-BG"/>
        </w:rPr>
        <w:t>Предотвратяване на рецидивиращо кървене</w:t>
      </w:r>
    </w:p>
    <w:p w14:paraId="699FB096" w14:textId="77777777" w:rsidR="007662DD" w:rsidRDefault="007662DD" w:rsidP="007662DD">
      <w:pPr>
        <w:spacing w:line="240" w:lineRule="auto"/>
        <w:rPr>
          <w:rFonts w:eastAsia="Times New Roman" w:cs="Arial"/>
          <w:color w:val="000000"/>
          <w:lang w:eastAsia="bg-BG"/>
        </w:rPr>
      </w:pPr>
    </w:p>
    <w:p w14:paraId="00AF7664" w14:textId="1D58902C"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 xml:space="preserve">За да се предотврати повторение на дисфункционалното кървене, при пациентки с ановулаторни цикли може да се назначи профилактично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- 1 таблетка 1 до 2 пъти дневно от 16- тия до 25-тия ден от цикъла (първият ден на цикъла = първия ден на последното кървене). Отпадното кървене възниква няколко дни след приема на последната таблетка.</w:t>
      </w:r>
    </w:p>
    <w:p w14:paraId="7A2DAEF6" w14:textId="77777777" w:rsidR="007662DD" w:rsidRPr="007662DD" w:rsidRDefault="007662DD" w:rsidP="007662DD">
      <w:pPr>
        <w:rPr>
          <w:rFonts w:ascii="Times New Roman" w:eastAsia="Times New Roman" w:hAnsi="Times New Roman" w:cs="Times New Roman"/>
          <w:color w:val="000000"/>
          <w:lang w:eastAsia="bg-BG"/>
        </w:rPr>
      </w:pPr>
    </w:p>
    <w:p w14:paraId="18C90B51" w14:textId="7AA09B0D" w:rsidR="007662DD" w:rsidRPr="007662DD" w:rsidRDefault="007662DD" w:rsidP="007662DD">
      <w:pPr>
        <w:pStyle w:val="Heading3"/>
        <w:rPr>
          <w:rFonts w:eastAsia="Times New Roman"/>
        </w:rPr>
      </w:pPr>
      <w:r w:rsidRPr="007662DD">
        <w:rPr>
          <w:rFonts w:eastAsia="Times New Roman"/>
          <w:lang w:val="en-US" w:eastAsia="bg-BG"/>
        </w:rPr>
        <w:t>4.2.2</w:t>
      </w:r>
      <w:r>
        <w:rPr>
          <w:rFonts w:eastAsia="Times New Roman"/>
          <w:lang w:val="en-US" w:eastAsia="bg-BG"/>
        </w:rPr>
        <w:t xml:space="preserve"> </w:t>
      </w:r>
      <w:r w:rsidRPr="007662DD">
        <w:rPr>
          <w:rFonts w:eastAsia="Times New Roman"/>
          <w:lang w:eastAsia="bg-BG"/>
        </w:rPr>
        <w:t>Първична и вторична аменорея</w:t>
      </w:r>
    </w:p>
    <w:p w14:paraId="5555C4F0" w14:textId="77777777" w:rsidR="007662DD" w:rsidRPr="007662DD" w:rsidRDefault="007662DD" w:rsidP="007662DD">
      <w:pPr>
        <w:spacing w:line="240" w:lineRule="auto"/>
        <w:rPr>
          <w:rFonts w:eastAsia="Times New Roman" w:cs="Arial"/>
          <w:color w:val="000000"/>
          <w:lang w:eastAsia="bg-BG"/>
        </w:rPr>
      </w:pPr>
    </w:p>
    <w:p w14:paraId="73C3ED20" w14:textId="4C7F93CC"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Хормоналното лечение на вторична аменорея може да се извърши само след изключване на бременност.</w:t>
      </w:r>
    </w:p>
    <w:p w14:paraId="05E20FAA" w14:textId="77777777" w:rsidR="007662DD" w:rsidRPr="007662DD" w:rsidRDefault="007662DD" w:rsidP="007662DD">
      <w:pPr>
        <w:spacing w:line="240" w:lineRule="auto"/>
        <w:rPr>
          <w:rFonts w:eastAsia="Times New Roman" w:cs="Arial"/>
          <w:color w:val="000000"/>
          <w:lang w:eastAsia="bg-BG"/>
        </w:rPr>
      </w:pPr>
    </w:p>
    <w:p w14:paraId="3E6CE880" w14:textId="5CBE26C4"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Преди да се започне лечението на първична или вторична аменорея трябва да се изключи наличието на пролактин-продуциращ хипофизен тумор. Не може да се изключи възможността от нарастване на макроаденомите, когато са под въздействието на високи дози естроген за продължителен период от време.</w:t>
      </w:r>
    </w:p>
    <w:p w14:paraId="261708ED" w14:textId="77777777" w:rsidR="007662DD" w:rsidRPr="007662DD" w:rsidRDefault="007662DD" w:rsidP="007662DD">
      <w:pPr>
        <w:spacing w:line="240" w:lineRule="auto"/>
        <w:rPr>
          <w:rFonts w:eastAsia="Times New Roman" w:cs="Arial"/>
          <w:color w:val="000000"/>
          <w:lang w:eastAsia="bg-BG"/>
        </w:rPr>
      </w:pPr>
    </w:p>
    <w:p w14:paraId="73204459" w14:textId="346F1F78"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 xml:space="preserve">Трябва да се проведе подготовка на ендометриума с естроген (напр. за 14 дни) преди започване на лечението с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 xml:space="preserve">След това 1 таблетка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се дава 1 до 2 пъти дневно за 10 дни. Отпадно кървене се появява в рамките на няколко дни след приема на последната таблетка.</w:t>
      </w:r>
    </w:p>
    <w:p w14:paraId="109B649A" w14:textId="77777777" w:rsidR="007662DD" w:rsidRPr="007662DD" w:rsidRDefault="007662DD" w:rsidP="007662DD">
      <w:pPr>
        <w:rPr>
          <w:rFonts w:eastAsia="Times New Roman" w:cs="Arial"/>
          <w:color w:val="000000"/>
          <w:lang w:eastAsia="bg-BG"/>
        </w:rPr>
      </w:pPr>
    </w:p>
    <w:p w14:paraId="01DD0AD7" w14:textId="48322F2F" w:rsidR="007662DD" w:rsidRDefault="007662DD" w:rsidP="007662DD">
      <w:pPr>
        <w:rPr>
          <w:rFonts w:eastAsia="Times New Roman" w:cs="Arial"/>
          <w:color w:val="000000"/>
          <w:lang w:eastAsia="bg-BG"/>
        </w:rPr>
      </w:pPr>
      <w:r w:rsidRPr="007662DD">
        <w:rPr>
          <w:rFonts w:eastAsia="Times New Roman" w:cs="Arial"/>
          <w:color w:val="000000"/>
          <w:lang w:eastAsia="bg-BG"/>
        </w:rPr>
        <w:t xml:space="preserve">При пациентки, при които е достигната достатъчна ендогенна естрогенова продукция, може да се направи опит за спиране на лечението с естрогени и да се индуцира циклично кървене чрез приложение на 1 таблетка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 xml:space="preserve">два пъти дневно </w:t>
      </w:r>
      <w:r>
        <w:rPr>
          <w:rFonts w:eastAsia="Times New Roman" w:cs="Arial"/>
          <w:color w:val="000000"/>
          <w:lang w:eastAsia="bg-BG"/>
        </w:rPr>
        <w:t>от 16-ти до 25-ти ден от цикъла.</w:t>
      </w:r>
    </w:p>
    <w:p w14:paraId="484901F4" w14:textId="33DCCC5A" w:rsidR="007662DD" w:rsidRDefault="007662DD" w:rsidP="007662DD">
      <w:pPr>
        <w:rPr>
          <w:rFonts w:eastAsia="Times New Roman" w:cs="Arial"/>
          <w:color w:val="000000"/>
          <w:lang w:eastAsia="bg-BG"/>
        </w:rPr>
      </w:pPr>
    </w:p>
    <w:p w14:paraId="3FB43975" w14:textId="5413613E" w:rsidR="007662DD" w:rsidRPr="007662DD" w:rsidRDefault="007662DD" w:rsidP="007662DD">
      <w:pPr>
        <w:pStyle w:val="Heading3"/>
        <w:rPr>
          <w:rFonts w:eastAsia="Times New Roman"/>
          <w:lang w:eastAsia="bg-BG"/>
        </w:rPr>
      </w:pPr>
      <w:r w:rsidRPr="007662DD">
        <w:rPr>
          <w:rFonts w:eastAsia="Times New Roman"/>
          <w:bCs/>
          <w:lang w:eastAsia="bg-BG"/>
        </w:rPr>
        <w:t xml:space="preserve">4.2.3 </w:t>
      </w:r>
      <w:r w:rsidRPr="007662DD">
        <w:rPr>
          <w:rFonts w:eastAsia="Times New Roman"/>
          <w:lang w:eastAsia="bg-BG"/>
        </w:rPr>
        <w:t>Предменструален синдром, свързана с цикъла мастопатия</w:t>
      </w:r>
    </w:p>
    <w:p w14:paraId="06865D52" w14:textId="77777777" w:rsidR="007662DD" w:rsidRPr="007662DD" w:rsidRDefault="007662DD" w:rsidP="007662DD">
      <w:pPr>
        <w:spacing w:line="240" w:lineRule="auto"/>
        <w:rPr>
          <w:rFonts w:eastAsia="Times New Roman" w:cs="Arial"/>
          <w:sz w:val="24"/>
          <w:szCs w:val="24"/>
        </w:rPr>
      </w:pPr>
    </w:p>
    <w:p w14:paraId="000D14CD" w14:textId="77777777"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 xml:space="preserve">Една таблетка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приемана 1 до 3 пъти дневно по време на лутеалната фаза на цикъла, може да облекчи или подобри предменструални симптоми като главоболие, депресивни настроения, задържане на течности и чувство на напрежение в гърдите.</w:t>
      </w:r>
    </w:p>
    <w:p w14:paraId="207B3149" w14:textId="77777777" w:rsidR="007662DD" w:rsidRPr="007662DD" w:rsidRDefault="007662DD" w:rsidP="007662DD">
      <w:pPr>
        <w:spacing w:line="240" w:lineRule="auto"/>
        <w:rPr>
          <w:rFonts w:eastAsia="Times New Roman" w:cs="Arial"/>
          <w:b/>
          <w:bCs/>
          <w:color w:val="000000"/>
          <w:lang w:eastAsia="bg-BG"/>
        </w:rPr>
      </w:pPr>
    </w:p>
    <w:p w14:paraId="10E3A10A" w14:textId="5A4BD813" w:rsidR="007662DD" w:rsidRPr="007662DD" w:rsidRDefault="007662DD" w:rsidP="007662DD">
      <w:pPr>
        <w:pStyle w:val="Heading3"/>
        <w:rPr>
          <w:rFonts w:eastAsia="Times New Roman"/>
          <w:lang w:eastAsia="bg-BG"/>
        </w:rPr>
      </w:pPr>
      <w:r w:rsidRPr="007662DD">
        <w:rPr>
          <w:rFonts w:eastAsia="Times New Roman"/>
          <w:bCs/>
          <w:lang w:eastAsia="bg-BG"/>
        </w:rPr>
        <w:t xml:space="preserve">4.2.4 </w:t>
      </w:r>
      <w:r w:rsidRPr="007662DD">
        <w:rPr>
          <w:rFonts w:eastAsia="Times New Roman"/>
          <w:lang w:eastAsia="bg-BG"/>
        </w:rPr>
        <w:t>Отлагане на менструацията</w:t>
      </w:r>
    </w:p>
    <w:p w14:paraId="2AAD43EB" w14:textId="77777777" w:rsidR="007662DD" w:rsidRPr="007662DD" w:rsidRDefault="007662DD" w:rsidP="007662DD">
      <w:pPr>
        <w:spacing w:line="240" w:lineRule="auto"/>
        <w:rPr>
          <w:rFonts w:eastAsia="Times New Roman" w:cs="Arial"/>
          <w:sz w:val="24"/>
          <w:szCs w:val="24"/>
        </w:rPr>
      </w:pPr>
    </w:p>
    <w:p w14:paraId="07A5C8B1" w14:textId="77777777"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 xml:space="preserve">Месечното кървене може да се отложи е приложение на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Обаче, този метод трябва да се ограничи само за пациенти, при които няма риск от бременност по време на лечебния цикъл.</w:t>
      </w:r>
    </w:p>
    <w:p w14:paraId="7BD86AA7" w14:textId="77777777" w:rsidR="007662DD" w:rsidRPr="007662DD" w:rsidRDefault="007662DD" w:rsidP="007662DD">
      <w:pPr>
        <w:rPr>
          <w:rFonts w:eastAsia="Times New Roman" w:cs="Arial"/>
          <w:color w:val="000000"/>
          <w:lang w:eastAsia="bg-BG"/>
        </w:rPr>
      </w:pPr>
    </w:p>
    <w:p w14:paraId="389862F3" w14:textId="6BB6C570" w:rsidR="007662DD" w:rsidRDefault="007662DD" w:rsidP="007662DD">
      <w:pPr>
        <w:rPr>
          <w:rFonts w:eastAsia="Times New Roman" w:cs="Arial"/>
          <w:color w:val="000000"/>
          <w:lang w:eastAsia="bg-BG"/>
        </w:rPr>
      </w:pPr>
      <w:r w:rsidRPr="007662DD">
        <w:rPr>
          <w:rFonts w:eastAsia="Times New Roman" w:cs="Arial"/>
          <w:color w:val="000000"/>
          <w:lang w:eastAsia="bg-BG"/>
        </w:rPr>
        <w:t xml:space="preserve">Дозировка: 1 таблетка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2 до 3 пъти дневно, за не повече от 10-14 дни, започвайки 3 дни преди очакваната менструация. Кървенето ще се появи 2до 3 дни след спиране на лекарствения продукт.</w:t>
      </w:r>
    </w:p>
    <w:p w14:paraId="5DC151CC" w14:textId="5C6BDF8A" w:rsidR="007662DD" w:rsidRDefault="007662DD" w:rsidP="007662DD">
      <w:pPr>
        <w:rPr>
          <w:rFonts w:eastAsia="Times New Roman" w:cs="Arial"/>
          <w:color w:val="000000"/>
          <w:lang w:eastAsia="bg-BG"/>
        </w:rPr>
      </w:pPr>
    </w:p>
    <w:p w14:paraId="6C83158C" w14:textId="77777777" w:rsidR="007662DD" w:rsidRPr="007662DD" w:rsidRDefault="007662DD" w:rsidP="007662DD">
      <w:pPr>
        <w:pStyle w:val="Heading3"/>
        <w:rPr>
          <w:rFonts w:eastAsia="Times New Roman"/>
        </w:rPr>
      </w:pPr>
      <w:r w:rsidRPr="007662DD">
        <w:rPr>
          <w:rFonts w:eastAsia="Times New Roman"/>
          <w:iCs/>
          <w:lang w:val="ru-RU"/>
        </w:rPr>
        <w:t>4.2.5</w:t>
      </w:r>
      <w:r w:rsidRPr="007662DD">
        <w:rPr>
          <w:rFonts w:eastAsia="Times New Roman"/>
          <w:lang w:eastAsia="bg-BG"/>
        </w:rPr>
        <w:tab/>
        <w:t>Ендометриоза</w:t>
      </w:r>
    </w:p>
    <w:p w14:paraId="688DD8EF" w14:textId="77777777" w:rsidR="007662DD" w:rsidRPr="007662DD" w:rsidRDefault="007662DD" w:rsidP="007662DD">
      <w:pPr>
        <w:spacing w:line="240" w:lineRule="auto"/>
        <w:rPr>
          <w:rFonts w:eastAsia="Times New Roman" w:cs="Arial"/>
          <w:color w:val="000000"/>
          <w:lang w:eastAsia="bg-BG"/>
        </w:rPr>
      </w:pPr>
    </w:p>
    <w:p w14:paraId="7BDE92EB" w14:textId="23394EB9"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 xml:space="preserve">Лечението трябва да започне между първия и петия ден от цикъла с 1 таблетка Примолут-Нор 5 </w:t>
      </w:r>
      <w:r w:rsidRPr="007662DD">
        <w:rPr>
          <w:rFonts w:eastAsia="Times New Roman" w:cs="Arial"/>
          <w:color w:val="000000"/>
          <w:lang w:val="en-US"/>
        </w:rPr>
        <w:t>mg</w:t>
      </w:r>
      <w:r w:rsidRPr="007662DD">
        <w:rPr>
          <w:rFonts w:eastAsia="Times New Roman" w:cs="Arial"/>
          <w:color w:val="000000"/>
          <w:lang w:val="ru-RU"/>
        </w:rPr>
        <w:t xml:space="preserve"> </w:t>
      </w:r>
      <w:r w:rsidRPr="007662DD">
        <w:rPr>
          <w:rFonts w:eastAsia="Times New Roman" w:cs="Arial"/>
          <w:color w:val="000000"/>
          <w:lang w:eastAsia="bg-BG"/>
        </w:rPr>
        <w:t>два пъти дневно. В случай, че се появи зацапващо кървене, дозата може да се увеличи до 2 таблетки два пъти дневно. Ако кървенето спре, може да се обсъди намаляване на дозата до първоначалната. Лечението продължава най-малко от 4 до 6 месеца. При непрекъснат ежедневен прием, овулация и менструация обикновенно не настъпват.</w:t>
      </w:r>
    </w:p>
    <w:p w14:paraId="311F74CE" w14:textId="77777777" w:rsidR="007662DD" w:rsidRPr="007662DD" w:rsidRDefault="007662DD" w:rsidP="007662DD">
      <w:pPr>
        <w:spacing w:line="240" w:lineRule="auto"/>
        <w:rPr>
          <w:rFonts w:eastAsia="Times New Roman" w:cs="Arial"/>
          <w:color w:val="000000"/>
          <w:lang w:eastAsia="bg-BG"/>
        </w:rPr>
      </w:pPr>
    </w:p>
    <w:p w14:paraId="24B73357" w14:textId="24C83ED7" w:rsidR="007662DD" w:rsidRPr="007662DD" w:rsidRDefault="007662DD" w:rsidP="007662DD">
      <w:pPr>
        <w:spacing w:line="240" w:lineRule="auto"/>
        <w:rPr>
          <w:rFonts w:eastAsia="Times New Roman" w:cs="Arial"/>
          <w:sz w:val="24"/>
          <w:szCs w:val="24"/>
        </w:rPr>
      </w:pPr>
      <w:r w:rsidRPr="007662DD">
        <w:rPr>
          <w:rFonts w:eastAsia="Times New Roman" w:cs="Arial"/>
          <w:color w:val="000000"/>
          <w:lang w:eastAsia="bg-BG"/>
        </w:rPr>
        <w:t>След прекратяване на хормоналното лечение настъпва отпадно кървене.</w:t>
      </w:r>
    </w:p>
    <w:p w14:paraId="316BA892" w14:textId="77777777" w:rsidR="007662DD" w:rsidRPr="007662DD" w:rsidRDefault="007662DD" w:rsidP="007662DD">
      <w:pPr>
        <w:rPr>
          <w:rFonts w:eastAsia="Times New Roman" w:cs="Arial"/>
          <w:color w:val="000000"/>
          <w:lang w:eastAsia="bg-BG"/>
        </w:rPr>
      </w:pPr>
    </w:p>
    <w:p w14:paraId="62B13D0B" w14:textId="58B66531" w:rsidR="00395555" w:rsidRDefault="002C50EE" w:rsidP="008A6AF2">
      <w:pPr>
        <w:pStyle w:val="Heading2"/>
      </w:pPr>
      <w:r>
        <w:t>4.3. Противопоказания</w:t>
      </w:r>
    </w:p>
    <w:p w14:paraId="6854EE54" w14:textId="1D47EB14" w:rsidR="00546F12" w:rsidRDefault="00546F12" w:rsidP="00546F12"/>
    <w:p w14:paraId="133D54DD" w14:textId="1032DB56"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Примолут-Нор не трябва да се приема при наличие на някои от изброените по-долу състояния, данни за които са получени и от информация за съдържащи само прогестоген лекарства и комбинирани перорални контрацептиви (КОК). Ако се появи някое от следните състояния по време на употребата на Примолут-Нор, употребата на лекарството трябва да бъде спряна незабавно.</w:t>
      </w:r>
    </w:p>
    <w:p w14:paraId="0A153502" w14:textId="77777777" w:rsidR="00546F12" w:rsidRPr="00546F12" w:rsidRDefault="00546F12" w:rsidP="00546F12">
      <w:pPr>
        <w:spacing w:line="240" w:lineRule="auto"/>
        <w:rPr>
          <w:rFonts w:eastAsia="Times New Roman" w:cs="Arial"/>
          <w:sz w:val="24"/>
          <w:szCs w:val="24"/>
        </w:rPr>
      </w:pPr>
    </w:p>
    <w:p w14:paraId="32ED5649" w14:textId="7F7E127B"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Съществуваща или предполагаема бременност</w:t>
      </w:r>
    </w:p>
    <w:p w14:paraId="56140A9B" w14:textId="38B74E72"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Кърмене</w:t>
      </w:r>
    </w:p>
    <w:p w14:paraId="59E7BF36" w14:textId="5F6FB8E6"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Наличие или анамнеза за венозни или артериални тромботични/тромбоемболични събития (напр. дълбока венозна тромбоза, белодробна емболия, миокарден инфаркт) или мозъчно- съдов инцидент</w:t>
      </w:r>
    </w:p>
    <w:p w14:paraId="2A9F71D4" w14:textId="2681BB2D"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Наличие или анамнеза за продромални състояния на тромбоза (напр. преходна исхемична атака, стенокардия)</w:t>
      </w:r>
    </w:p>
    <w:p w14:paraId="41DEAB7B" w14:textId="09F2DAD8"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Висок риск за венозна или артериална тромбоза (вж. точка 4.4 Специални предупреждения и предпазни мерки при употреба)</w:t>
      </w:r>
    </w:p>
    <w:p w14:paraId="166562E1" w14:textId="00AD7D43"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Анамнеза за мигрена с огнищна неврологична симптоматика</w:t>
      </w:r>
    </w:p>
    <w:p w14:paraId="4A8F195F" w14:textId="07734F32"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Захарен диабет със засягане на съдовете</w:t>
      </w:r>
    </w:p>
    <w:p w14:paraId="6ECD1DDC" w14:textId="24E1B7AB"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lastRenderedPageBreak/>
        <w:t>Съществуващо или анамнестично тежко чернодробно заболяване при положение, че чернодробните функционални стойности не са се върнали към норма</w:t>
      </w:r>
    </w:p>
    <w:p w14:paraId="4DFF84A5" w14:textId="30E77C9F"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Съществуващи или анамнестични чернодробни тумори (доброкачествени или злокачествени)</w:t>
      </w:r>
    </w:p>
    <w:p w14:paraId="5E90945E" w14:textId="17E91F36"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Известни или подозирани хормонозависими злокачествени заболявания (напр. на половите органи или гърдите)</w:t>
      </w:r>
    </w:p>
    <w:p w14:paraId="6B98BF99" w14:textId="0712C0C8" w:rsidR="00546F12" w:rsidRPr="00546F12" w:rsidRDefault="00546F12" w:rsidP="00546F12">
      <w:pPr>
        <w:pStyle w:val="ListParagraph"/>
        <w:numPr>
          <w:ilvl w:val="0"/>
          <w:numId w:val="32"/>
        </w:numPr>
        <w:spacing w:line="240" w:lineRule="auto"/>
        <w:rPr>
          <w:rFonts w:eastAsia="Times New Roman" w:cs="Arial"/>
          <w:sz w:val="24"/>
          <w:szCs w:val="24"/>
        </w:rPr>
      </w:pPr>
      <w:r w:rsidRPr="00546F12">
        <w:rPr>
          <w:rFonts w:eastAsia="Times New Roman" w:cs="Arial"/>
          <w:color w:val="000000"/>
          <w:lang w:eastAsia="bg-BG"/>
        </w:rPr>
        <w:t xml:space="preserve">Свръхчувствителност към активното вещество или към някое от помощните вещества, изброени </w:t>
      </w:r>
      <w:r w:rsidRPr="00546F12">
        <w:rPr>
          <w:rFonts w:eastAsia="Times New Roman" w:cs="Arial"/>
          <w:i/>
          <w:iCs/>
          <w:color w:val="000000"/>
          <w:lang w:eastAsia="bg-BG"/>
        </w:rPr>
        <w:t>в</w:t>
      </w:r>
      <w:r w:rsidRPr="00546F12">
        <w:rPr>
          <w:rFonts w:eastAsia="Times New Roman" w:cs="Arial"/>
          <w:color w:val="000000"/>
          <w:lang w:eastAsia="bg-BG"/>
        </w:rPr>
        <w:t xml:space="preserve"> точка 6.1</w:t>
      </w:r>
    </w:p>
    <w:p w14:paraId="7184D6D7" w14:textId="77777777" w:rsidR="00546F12" w:rsidRPr="00546F12" w:rsidRDefault="00546F12" w:rsidP="00546F12">
      <w:pPr>
        <w:spacing w:line="240" w:lineRule="auto"/>
        <w:rPr>
          <w:rFonts w:eastAsia="Times New Roman" w:cs="Arial"/>
          <w:color w:val="000000"/>
          <w:lang w:eastAsia="bg-BG"/>
        </w:rPr>
      </w:pPr>
    </w:p>
    <w:p w14:paraId="5DFB4E89" w14:textId="0D00C4A6"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Примолут-Нор е противопоказан за едновременна употреба с лекарствените продукти, съдържащи омбитасвир/паритапревир/ритонавир и дасабувир (вж. точки 4.4 и 4.5).</w:t>
      </w:r>
    </w:p>
    <w:p w14:paraId="6B121A95" w14:textId="77777777" w:rsidR="00546F12" w:rsidRPr="00546F12" w:rsidRDefault="00546F12" w:rsidP="00546F12"/>
    <w:p w14:paraId="5A4AC413" w14:textId="11C62BA4" w:rsidR="00395555" w:rsidRDefault="002C50EE" w:rsidP="008A6AF2">
      <w:pPr>
        <w:pStyle w:val="Heading2"/>
      </w:pPr>
      <w:r>
        <w:t>4.4. Специални предупреждения и предпазни мерки при употреба</w:t>
      </w:r>
    </w:p>
    <w:p w14:paraId="7A84EF45" w14:textId="58DC145A" w:rsidR="00546F12" w:rsidRDefault="00546F12" w:rsidP="00546F12"/>
    <w:p w14:paraId="14E7BEE6" w14:textId="603E87EC"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Ако съществува или настъпи влошаване на някое от условията/рисковите фактори споменати по- долу, трябва да се направи индивидуална преценка на съотношението полза/риск преди да започне или продължи приема на Примолут-Нор.</w:t>
      </w:r>
    </w:p>
    <w:p w14:paraId="59F14C50" w14:textId="77777777" w:rsidR="00546F12" w:rsidRPr="00546F12" w:rsidRDefault="00546F12" w:rsidP="00546F12">
      <w:pPr>
        <w:spacing w:line="240" w:lineRule="auto"/>
        <w:rPr>
          <w:rFonts w:eastAsia="Times New Roman" w:cs="Arial"/>
          <w:sz w:val="24"/>
          <w:szCs w:val="24"/>
        </w:rPr>
      </w:pPr>
    </w:p>
    <w:p w14:paraId="1993354E" w14:textId="59575005" w:rsidR="00546F12" w:rsidRPr="00546F12" w:rsidRDefault="00546F12" w:rsidP="00546F12">
      <w:pPr>
        <w:pStyle w:val="ListParagraph"/>
        <w:numPr>
          <w:ilvl w:val="0"/>
          <w:numId w:val="33"/>
        </w:numPr>
        <w:spacing w:line="240" w:lineRule="auto"/>
        <w:rPr>
          <w:rFonts w:eastAsia="Times New Roman" w:cs="Arial"/>
          <w:color w:val="000000"/>
          <w:lang w:eastAsia="bg-BG"/>
        </w:rPr>
      </w:pPr>
      <w:r w:rsidRPr="00546F12">
        <w:rPr>
          <w:rFonts w:eastAsia="Times New Roman" w:cs="Arial"/>
          <w:color w:val="000000"/>
          <w:lang w:eastAsia="bg-BG"/>
        </w:rPr>
        <w:t>Циркулаторни нарушения</w:t>
      </w:r>
    </w:p>
    <w:p w14:paraId="1CD71F15" w14:textId="77777777" w:rsidR="00546F12" w:rsidRPr="00546F12" w:rsidRDefault="00546F12" w:rsidP="00546F12">
      <w:pPr>
        <w:spacing w:line="240" w:lineRule="auto"/>
        <w:rPr>
          <w:rFonts w:eastAsia="Times New Roman" w:cs="Arial"/>
          <w:sz w:val="24"/>
          <w:szCs w:val="24"/>
        </w:rPr>
      </w:pPr>
    </w:p>
    <w:p w14:paraId="0E05A0AF" w14:textId="03D01AD6" w:rsidR="00546F12" w:rsidRPr="00546F12" w:rsidRDefault="00546F12" w:rsidP="00546F12">
      <w:pPr>
        <w:rPr>
          <w:rFonts w:eastAsia="Times New Roman" w:cs="Arial"/>
          <w:color w:val="000000"/>
          <w:lang w:eastAsia="bg-BG"/>
        </w:rPr>
      </w:pPr>
      <w:r w:rsidRPr="00546F12">
        <w:rPr>
          <w:rFonts w:eastAsia="Times New Roman" w:cs="Arial"/>
          <w:color w:val="000000"/>
          <w:lang w:eastAsia="bg-BG"/>
        </w:rPr>
        <w:t>Резултатите от епидемиологични проучвания показват, че използването на перорални естроген/прогестоген съдържащи инхибитори на овулацията се съпътства с увеличена честота на тромбоемболични заболявания. Поради това, трябва да се има предвид възможността за повишен риск от тромбоемболия, особено при анамнеза за тромбоемболични заболявания. Обикновено рисковите фактори за венозен тромбемболизъм (ВТЕ) включват данни за индивидуална или семейна анамнеза (ВТЕ при брат/сестра или родител в относително ранна възраст), напреднала възраст, затлъстяване, продължително обездвижване, голяма операция или голяма травма.</w:t>
      </w:r>
    </w:p>
    <w:p w14:paraId="61A22BAD" w14:textId="257284EF" w:rsidR="00546F12" w:rsidRPr="00546F12" w:rsidRDefault="00546F12" w:rsidP="00546F12">
      <w:pPr>
        <w:rPr>
          <w:rFonts w:eastAsia="Times New Roman" w:cs="Arial"/>
          <w:color w:val="000000"/>
          <w:lang w:eastAsia="bg-BG"/>
        </w:rPr>
      </w:pPr>
    </w:p>
    <w:p w14:paraId="0072AA6D"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Трябва да се има предвид повишения риск от тромбоемболизъм в периода след раждането.</w:t>
      </w:r>
    </w:p>
    <w:p w14:paraId="7BE9FA0B" w14:textId="77777777" w:rsidR="00546F12" w:rsidRPr="00546F12" w:rsidRDefault="00546F12" w:rsidP="00546F12">
      <w:pPr>
        <w:spacing w:line="240" w:lineRule="auto"/>
        <w:rPr>
          <w:rFonts w:eastAsia="Times New Roman" w:cs="Arial"/>
          <w:color w:val="000000"/>
          <w:lang w:eastAsia="bg-BG"/>
        </w:rPr>
      </w:pPr>
    </w:p>
    <w:p w14:paraId="4A00D1D1" w14:textId="30F32BF4"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Лечението трябва да бъде спряно веднага, ако се появят симтоми на артериален или венозен тромбоемболичен инцидент или при съмнение за такъв.</w:t>
      </w:r>
    </w:p>
    <w:p w14:paraId="7A4E2E48" w14:textId="77777777" w:rsidR="00546F12" w:rsidRPr="00546F12" w:rsidRDefault="00546F12" w:rsidP="00546F12">
      <w:pPr>
        <w:spacing w:line="240" w:lineRule="auto"/>
        <w:rPr>
          <w:rFonts w:eastAsia="Times New Roman" w:cs="Arial"/>
          <w:sz w:val="24"/>
          <w:szCs w:val="24"/>
        </w:rPr>
      </w:pPr>
    </w:p>
    <w:p w14:paraId="1C7E1DF0" w14:textId="2113D256" w:rsidR="00546F12" w:rsidRPr="00546F12" w:rsidRDefault="00546F12" w:rsidP="00546F12">
      <w:pPr>
        <w:pStyle w:val="ListParagraph"/>
        <w:numPr>
          <w:ilvl w:val="0"/>
          <w:numId w:val="33"/>
        </w:numPr>
        <w:spacing w:line="240" w:lineRule="auto"/>
        <w:rPr>
          <w:rFonts w:eastAsia="Times New Roman" w:cs="Arial"/>
          <w:color w:val="000000"/>
          <w:lang w:eastAsia="bg-BG"/>
        </w:rPr>
      </w:pPr>
      <w:r w:rsidRPr="00546F12">
        <w:rPr>
          <w:rFonts w:eastAsia="Times New Roman" w:cs="Arial"/>
          <w:color w:val="000000"/>
          <w:lang w:eastAsia="bg-BG"/>
        </w:rPr>
        <w:t>Тумори</w:t>
      </w:r>
    </w:p>
    <w:p w14:paraId="09E85435" w14:textId="77777777" w:rsidR="00546F12" w:rsidRPr="00546F12" w:rsidRDefault="00546F12" w:rsidP="00546F12">
      <w:pPr>
        <w:spacing w:line="240" w:lineRule="auto"/>
        <w:rPr>
          <w:rFonts w:eastAsia="Times New Roman" w:cs="Arial"/>
          <w:sz w:val="24"/>
          <w:szCs w:val="24"/>
        </w:rPr>
      </w:pPr>
    </w:p>
    <w:p w14:paraId="2D4F4B6B" w14:textId="043192CB"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В редки случаи са наблюдавани доброкачествени чернодробни тумори, а още по-рядко и злокачествени чернодробни тумори след използване на хормонални вещества, подобни на това, съдържащо се в Примолут-Нор. В изолирани случаи тези тумори са довели до животозастрашаващи коремни кръвоизливи. Чернодробен тумор трябва да се има предвид в диференциалната диагноза на появила се силна болка в горната част на корема, увеличение на черния дроб или признаци на интраабдоминално кървене при пациентки приемащи Примолут-Нор.</w:t>
      </w:r>
    </w:p>
    <w:p w14:paraId="2615CDB5" w14:textId="77777777" w:rsid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ab/>
      </w:r>
    </w:p>
    <w:p w14:paraId="560D096F" w14:textId="60CFFC7A" w:rsidR="00546F12" w:rsidRPr="00546F12" w:rsidRDefault="00546F12" w:rsidP="00546F12">
      <w:pPr>
        <w:pStyle w:val="ListParagraph"/>
        <w:numPr>
          <w:ilvl w:val="0"/>
          <w:numId w:val="33"/>
        </w:numPr>
        <w:spacing w:line="240" w:lineRule="auto"/>
        <w:rPr>
          <w:rFonts w:eastAsia="Times New Roman" w:cs="Arial"/>
          <w:color w:val="000000"/>
          <w:lang w:eastAsia="bg-BG"/>
        </w:rPr>
      </w:pPr>
      <w:r w:rsidRPr="00546F12">
        <w:rPr>
          <w:rFonts w:eastAsia="Times New Roman" w:cs="Arial"/>
          <w:color w:val="000000"/>
          <w:lang w:eastAsia="bg-BG"/>
        </w:rPr>
        <w:t>Други предупреждения</w:t>
      </w:r>
    </w:p>
    <w:p w14:paraId="7A4A01BC" w14:textId="77777777" w:rsidR="00546F12" w:rsidRPr="00546F12" w:rsidRDefault="00546F12" w:rsidP="00546F12">
      <w:pPr>
        <w:spacing w:line="240" w:lineRule="auto"/>
        <w:rPr>
          <w:rFonts w:eastAsia="Times New Roman" w:cs="Arial"/>
          <w:color w:val="000000"/>
          <w:lang w:eastAsia="bg-BG"/>
        </w:rPr>
      </w:pPr>
    </w:p>
    <w:p w14:paraId="4D2FBEB1" w14:textId="722115B0"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Стриктно лекарско наблюдение е необходимо при пациенти страдащи от диабет.</w:t>
      </w:r>
    </w:p>
    <w:p w14:paraId="28CD96DB" w14:textId="77777777" w:rsidR="00546F12" w:rsidRPr="00546F12" w:rsidRDefault="00546F12" w:rsidP="00546F12">
      <w:pPr>
        <w:spacing w:line="240" w:lineRule="auto"/>
        <w:rPr>
          <w:rFonts w:eastAsia="Times New Roman" w:cs="Arial"/>
          <w:color w:val="000000"/>
          <w:lang w:eastAsia="bg-BG"/>
        </w:rPr>
      </w:pPr>
    </w:p>
    <w:p w14:paraId="3BB35E33" w14:textId="51EA6911"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Понякога може да се появи хлоазма, особено при жени с анамнеза за хлоазма на бременността. Жени със склонност към хлоазма трябва да избягват излагане на слънчеви или ултравиолетови лъчи, когато приемат Примолут-Нор.</w:t>
      </w:r>
    </w:p>
    <w:p w14:paraId="23676DC2" w14:textId="77777777" w:rsidR="00546F12" w:rsidRPr="00546F12" w:rsidRDefault="00546F12" w:rsidP="00546F12">
      <w:pPr>
        <w:spacing w:line="240" w:lineRule="auto"/>
        <w:rPr>
          <w:rFonts w:eastAsia="Times New Roman" w:cs="Arial"/>
          <w:color w:val="000000"/>
          <w:lang w:eastAsia="bg-BG"/>
        </w:rPr>
      </w:pPr>
    </w:p>
    <w:p w14:paraId="6B319275" w14:textId="130434BA"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Пациентки с анамнеза за психична депресия трябва да бъдат внимателно наблюдавани и лекарството да бъде спряно, ако депресията се появи отново в сериозна степен.</w:t>
      </w:r>
    </w:p>
    <w:p w14:paraId="705BF649" w14:textId="77777777" w:rsidR="00546F12" w:rsidRPr="00546F12" w:rsidRDefault="00546F12" w:rsidP="00546F12">
      <w:pPr>
        <w:spacing w:line="240" w:lineRule="auto"/>
        <w:rPr>
          <w:rFonts w:eastAsia="Times New Roman" w:cs="Arial"/>
          <w:color w:val="000000"/>
          <w:u w:val="single"/>
          <w:lang w:eastAsia="bg-BG"/>
        </w:rPr>
      </w:pPr>
    </w:p>
    <w:p w14:paraId="67CC7ABA" w14:textId="095A82E3" w:rsidR="00546F12" w:rsidRPr="00546F12" w:rsidRDefault="00546F12" w:rsidP="00546F12">
      <w:pPr>
        <w:spacing w:line="240" w:lineRule="auto"/>
        <w:rPr>
          <w:rFonts w:eastAsia="Times New Roman" w:cs="Arial"/>
          <w:sz w:val="24"/>
          <w:szCs w:val="24"/>
        </w:rPr>
      </w:pPr>
      <w:r w:rsidRPr="00546F12">
        <w:rPr>
          <w:rFonts w:eastAsia="Times New Roman" w:cs="Arial"/>
          <w:color w:val="000000"/>
          <w:u w:val="single"/>
          <w:lang w:eastAsia="bg-BG"/>
        </w:rPr>
        <w:t>Повишаване на АЛАТ</w:t>
      </w:r>
    </w:p>
    <w:p w14:paraId="2F48726D" w14:textId="77777777" w:rsidR="00546F12" w:rsidRPr="00546F12" w:rsidRDefault="00546F12" w:rsidP="00546F12">
      <w:pPr>
        <w:spacing w:line="240" w:lineRule="auto"/>
        <w:rPr>
          <w:rFonts w:eastAsia="Times New Roman" w:cs="Arial"/>
          <w:color w:val="000000"/>
          <w:lang w:eastAsia="bg-BG"/>
        </w:rPr>
      </w:pPr>
    </w:p>
    <w:p w14:paraId="2A8D24E3" w14:textId="2E23D252"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 xml:space="preserve">По време на клинични проучвания при пациенти с хепатит С вирусни </w:t>
      </w:r>
      <w:r w:rsidRPr="00546F12">
        <w:rPr>
          <w:rFonts w:eastAsia="Times New Roman" w:cs="Arial"/>
          <w:color w:val="000000"/>
          <w:lang w:val="ru-RU"/>
        </w:rPr>
        <w:t>(</w:t>
      </w:r>
      <w:r w:rsidRPr="00546F12">
        <w:rPr>
          <w:rFonts w:eastAsia="Times New Roman" w:cs="Arial"/>
          <w:color w:val="000000"/>
          <w:lang w:val="en-US"/>
        </w:rPr>
        <w:t>hepatitis</w:t>
      </w:r>
      <w:r w:rsidRPr="00546F12">
        <w:rPr>
          <w:rFonts w:eastAsia="Times New Roman" w:cs="Arial"/>
          <w:color w:val="000000"/>
          <w:lang w:val="ru-RU"/>
        </w:rPr>
        <w:t xml:space="preserve"> </w:t>
      </w:r>
      <w:r w:rsidRPr="00546F12">
        <w:rPr>
          <w:rFonts w:eastAsia="Times New Roman" w:cs="Arial"/>
          <w:color w:val="000000"/>
          <w:lang w:eastAsia="bg-BG"/>
        </w:rPr>
        <w:t xml:space="preserve">С </w:t>
      </w:r>
      <w:r w:rsidRPr="00546F12">
        <w:rPr>
          <w:rFonts w:eastAsia="Times New Roman" w:cs="Arial"/>
          <w:color w:val="000000"/>
          <w:lang w:val="en-US"/>
        </w:rPr>
        <w:t>virus</w:t>
      </w:r>
      <w:r w:rsidRPr="00546F12">
        <w:rPr>
          <w:rFonts w:eastAsia="Times New Roman" w:cs="Arial"/>
          <w:color w:val="000000"/>
          <w:lang w:val="ru-RU"/>
        </w:rPr>
        <w:t xml:space="preserve">, </w:t>
      </w:r>
      <w:r w:rsidRPr="00546F12">
        <w:rPr>
          <w:rFonts w:eastAsia="Times New Roman" w:cs="Arial"/>
          <w:color w:val="000000"/>
          <w:lang w:val="en-US"/>
        </w:rPr>
        <w:t>HCV</w:t>
      </w:r>
      <w:r w:rsidRPr="00546F12">
        <w:rPr>
          <w:rFonts w:eastAsia="Times New Roman" w:cs="Arial"/>
          <w:color w:val="000000"/>
          <w:lang w:val="ru-RU"/>
        </w:rPr>
        <w:t xml:space="preserve">) </w:t>
      </w:r>
      <w:r w:rsidRPr="00546F12">
        <w:rPr>
          <w:rFonts w:eastAsia="Times New Roman" w:cs="Arial"/>
          <w:color w:val="000000"/>
          <w:lang w:eastAsia="bg-BG"/>
        </w:rPr>
        <w:t xml:space="preserve">инфекции, лекувани с лекарствени продукти, съдържащи омбитасвир/паритапревир/ритонавир и дасабувир с или без рибавирин, се наблюдава значително повишаване на трансаминазите (АЛАТ) повече от 5 пъти над горната граница на нормата </w:t>
      </w:r>
      <w:r w:rsidRPr="00546F12">
        <w:rPr>
          <w:rFonts w:eastAsia="Times New Roman" w:cs="Arial"/>
          <w:color w:val="000000"/>
          <w:lang w:val="ru-RU"/>
        </w:rPr>
        <w:t>(</w:t>
      </w:r>
      <w:r w:rsidRPr="00546F12">
        <w:rPr>
          <w:rFonts w:eastAsia="Times New Roman" w:cs="Arial"/>
          <w:color w:val="000000"/>
          <w:lang w:val="en-US"/>
        </w:rPr>
        <w:t>upper</w:t>
      </w:r>
      <w:r w:rsidRPr="00546F12">
        <w:rPr>
          <w:rFonts w:eastAsia="Times New Roman" w:cs="Arial"/>
          <w:color w:val="000000"/>
          <w:lang w:val="ru-RU"/>
        </w:rPr>
        <w:t xml:space="preserve"> </w:t>
      </w:r>
      <w:r w:rsidRPr="00546F12">
        <w:rPr>
          <w:rFonts w:eastAsia="Times New Roman" w:cs="Arial"/>
          <w:color w:val="000000"/>
          <w:lang w:val="en-US"/>
        </w:rPr>
        <w:t>limit</w:t>
      </w:r>
      <w:r w:rsidRPr="00546F12">
        <w:rPr>
          <w:rFonts w:eastAsia="Times New Roman" w:cs="Arial"/>
          <w:color w:val="000000"/>
          <w:lang w:val="ru-RU"/>
        </w:rPr>
        <w:t xml:space="preserve"> </w:t>
      </w:r>
      <w:r w:rsidRPr="00546F12">
        <w:rPr>
          <w:rFonts w:eastAsia="Times New Roman" w:cs="Arial"/>
          <w:color w:val="000000"/>
          <w:lang w:val="en-US"/>
        </w:rPr>
        <w:t>of</w:t>
      </w:r>
      <w:r w:rsidRPr="00546F12">
        <w:rPr>
          <w:rFonts w:eastAsia="Times New Roman" w:cs="Arial"/>
          <w:color w:val="000000"/>
          <w:lang w:val="ru-RU"/>
        </w:rPr>
        <w:t xml:space="preserve"> </w:t>
      </w:r>
      <w:r w:rsidRPr="00546F12">
        <w:rPr>
          <w:rFonts w:eastAsia="Times New Roman" w:cs="Arial"/>
          <w:color w:val="000000"/>
          <w:lang w:val="en-US"/>
        </w:rPr>
        <w:t>normal</w:t>
      </w:r>
      <w:r w:rsidRPr="00546F12">
        <w:rPr>
          <w:rFonts w:eastAsia="Times New Roman" w:cs="Arial"/>
          <w:color w:val="000000"/>
          <w:lang w:val="ru-RU"/>
        </w:rPr>
        <w:t xml:space="preserve">, </w:t>
      </w:r>
      <w:r w:rsidRPr="00546F12">
        <w:rPr>
          <w:rFonts w:eastAsia="Times New Roman" w:cs="Arial"/>
          <w:color w:val="000000"/>
          <w:lang w:val="en-US"/>
        </w:rPr>
        <w:t>ULN</w:t>
      </w:r>
      <w:r w:rsidRPr="00546F12">
        <w:rPr>
          <w:rFonts w:eastAsia="Times New Roman" w:cs="Arial"/>
          <w:color w:val="000000"/>
          <w:lang w:val="ru-RU"/>
        </w:rPr>
        <w:t xml:space="preserve">), </w:t>
      </w:r>
      <w:r w:rsidRPr="00546F12">
        <w:rPr>
          <w:rFonts w:eastAsia="Times New Roman" w:cs="Arial"/>
          <w:color w:val="000000"/>
          <w:lang w:eastAsia="bg-BG"/>
        </w:rPr>
        <w:t>което се случва значително по-често при жени, употребяващи лекарства, съдържащи етинилестрадиол, такива като комбинирани хормонални контрацептиви (КХК). Тъй като норетистерон частично се метаболизира до етинилестрадиол, това предупреждение важи за жени, които използват норетистерон (вж. точки 4.3 и 4.5).</w:t>
      </w:r>
    </w:p>
    <w:p w14:paraId="7EC6DD46" w14:textId="77777777" w:rsidR="00546F12" w:rsidRPr="00546F12" w:rsidRDefault="00546F12" w:rsidP="00546F12">
      <w:pPr>
        <w:spacing w:line="240" w:lineRule="auto"/>
        <w:rPr>
          <w:rFonts w:eastAsia="Times New Roman" w:cs="Arial"/>
          <w:sz w:val="24"/>
          <w:szCs w:val="24"/>
        </w:rPr>
      </w:pPr>
    </w:p>
    <w:p w14:paraId="03CCE0D9" w14:textId="3EA2043D"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Медицински преглед/консултация</w:t>
      </w:r>
    </w:p>
    <w:p w14:paraId="6846B465" w14:textId="77777777" w:rsidR="00546F12" w:rsidRPr="00546F12" w:rsidRDefault="00546F12" w:rsidP="00546F12">
      <w:pPr>
        <w:spacing w:line="240" w:lineRule="auto"/>
        <w:rPr>
          <w:rFonts w:eastAsia="Times New Roman" w:cs="Arial"/>
          <w:color w:val="000000"/>
          <w:lang w:eastAsia="bg-BG"/>
        </w:rPr>
      </w:pPr>
    </w:p>
    <w:p w14:paraId="65DAAA24" w14:textId="17DBD9FE"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Трябва да се снеме пълна медицинска анамнеза и да се проведат физикален и гинекологичен преглед преди да се започне или поднови употребата на Примолут-Нор, като се вземат предвид противопоказанията (вж. точка 4.3) и предупрежденията (вж. точка 4.4), и всичко това трябва да повтори по време на приема на Примолут-Нор. Честотота и вида на тези изследвания трябва да се адаптират за всяка отделна жена, но най-общо трябва да включват кръвно налягане, млечните жлези, коремни и тазови органи и цервикална цитология.</w:t>
      </w:r>
    </w:p>
    <w:p w14:paraId="14592DE1" w14:textId="77777777" w:rsidR="00546F12" w:rsidRPr="00546F12" w:rsidRDefault="00546F12" w:rsidP="00546F12">
      <w:pPr>
        <w:spacing w:line="240" w:lineRule="auto"/>
        <w:rPr>
          <w:rFonts w:eastAsia="Times New Roman" w:cs="Arial"/>
          <w:sz w:val="24"/>
          <w:szCs w:val="24"/>
        </w:rPr>
      </w:pPr>
    </w:p>
    <w:p w14:paraId="10BE0198" w14:textId="70B5622B"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Причини за незабавно прекратяване приема на таблетките са:</w:t>
      </w:r>
    </w:p>
    <w:p w14:paraId="40F1D096" w14:textId="77777777" w:rsidR="00546F12" w:rsidRPr="00546F12" w:rsidRDefault="00546F12" w:rsidP="00546F12">
      <w:pPr>
        <w:spacing w:line="240" w:lineRule="auto"/>
        <w:rPr>
          <w:rFonts w:eastAsia="Times New Roman" w:cs="Arial"/>
          <w:color w:val="000000"/>
          <w:lang w:eastAsia="bg-BG"/>
        </w:rPr>
      </w:pPr>
    </w:p>
    <w:p w14:paraId="35628CAE" w14:textId="3B7FF500" w:rsid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Появяване за първи път на мигренозно главоболие или учестяване на необичайно тежко главоболие, внезапни нарушения във възприятието (напр. зрителни или слухови нарушения), първи признаци на тромбофлебит или симптоми на тромбоемболия (напр. необичайни болки и подуване на краката пронизващи болки при дишане или кашляне без видима причина), чувство на болка и стягане в гръдния кош, предстоящи операции (6 седмици предварително), обездвижване (напр. след злополука), поява на жълтеница, поява на аниктеричен хепатит, генерализиран пруристус, значително</w:t>
      </w:r>
      <w:r w:rsidRPr="00546F12">
        <w:rPr>
          <w:rFonts w:eastAsia="Times New Roman" w:cs="Arial"/>
          <w:sz w:val="24"/>
          <w:szCs w:val="24"/>
          <w:lang w:val="ru-RU"/>
        </w:rPr>
        <w:t xml:space="preserve"> </w:t>
      </w:r>
      <w:r w:rsidRPr="00546F12">
        <w:rPr>
          <w:rFonts w:eastAsia="Times New Roman" w:cs="Arial"/>
          <w:color w:val="000000"/>
          <w:lang w:eastAsia="bg-BG"/>
        </w:rPr>
        <w:t>покачване на кръвното налягане, бременност.</w:t>
      </w:r>
    </w:p>
    <w:p w14:paraId="36E6C51C" w14:textId="4E24A148" w:rsidR="00546F12" w:rsidRDefault="00546F12" w:rsidP="00546F12">
      <w:pPr>
        <w:spacing w:line="240" w:lineRule="auto"/>
        <w:rPr>
          <w:rFonts w:eastAsia="Times New Roman" w:cs="Arial"/>
          <w:color w:val="000000"/>
          <w:lang w:eastAsia="bg-BG"/>
        </w:rPr>
      </w:pPr>
    </w:p>
    <w:p w14:paraId="2F325E7B" w14:textId="61AF228C" w:rsidR="00546F12" w:rsidRPr="00546F12" w:rsidRDefault="00546F12" w:rsidP="00546F12">
      <w:pPr>
        <w:pStyle w:val="Heading3"/>
        <w:rPr>
          <w:rFonts w:eastAsia="Times New Roman"/>
          <w:b/>
        </w:rPr>
      </w:pPr>
      <w:r w:rsidRPr="00546F12">
        <w:rPr>
          <w:rFonts w:eastAsia="Times New Roman"/>
          <w:b/>
          <w:lang w:val="ru-RU" w:eastAsia="bg-BG"/>
        </w:rPr>
        <w:t xml:space="preserve">4.4.1 </w:t>
      </w:r>
      <w:r w:rsidRPr="00546F12">
        <w:rPr>
          <w:rFonts w:eastAsia="Times New Roman"/>
          <w:b/>
          <w:lang w:eastAsia="bg-BG"/>
        </w:rPr>
        <w:t>Допълнителни предупреждения, базирани на частичното метаболизиране на</w:t>
      </w:r>
      <w:r w:rsidRPr="00546F12">
        <w:rPr>
          <w:rFonts w:eastAsia="Times New Roman"/>
          <w:b/>
          <w:lang w:val="ru-RU"/>
        </w:rPr>
        <w:t xml:space="preserve"> </w:t>
      </w:r>
      <w:r w:rsidRPr="00546F12">
        <w:rPr>
          <w:rFonts w:eastAsia="Times New Roman"/>
          <w:b/>
          <w:lang w:eastAsia="bg-BG"/>
        </w:rPr>
        <w:t>норетистерон в етинилестрадиол</w:t>
      </w:r>
    </w:p>
    <w:p w14:paraId="2790593E" w14:textId="77777777" w:rsidR="00546F12" w:rsidRPr="00546F12" w:rsidRDefault="00546F12" w:rsidP="00546F12">
      <w:pPr>
        <w:spacing w:line="240" w:lineRule="auto"/>
        <w:rPr>
          <w:rFonts w:eastAsia="Times New Roman" w:cs="Arial"/>
          <w:color w:val="000000"/>
          <w:lang w:eastAsia="bg-BG"/>
        </w:rPr>
      </w:pPr>
    </w:p>
    <w:p w14:paraId="3A5F5E44" w14:textId="1451F77E"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След перорално приложение норетистерон се метаболизира частично до етинилестрадиол, което се равнява на доза от около 4-6 </w:t>
      </w:r>
      <w:proofErr w:type="spellStart"/>
      <w:r w:rsidRPr="00546F12">
        <w:rPr>
          <w:rFonts w:eastAsia="Times New Roman" w:cs="Arial"/>
          <w:color w:val="000000"/>
          <w:lang w:val="en-US"/>
        </w:rPr>
        <w:t>μg</w:t>
      </w:r>
      <w:proofErr w:type="spellEnd"/>
      <w:r w:rsidRPr="00546F12">
        <w:rPr>
          <w:rFonts w:eastAsia="Times New Roman" w:cs="Arial"/>
          <w:color w:val="000000"/>
          <w:lang w:val="ru-RU"/>
        </w:rPr>
        <w:t xml:space="preserve"> </w:t>
      </w:r>
      <w:r w:rsidRPr="00546F12">
        <w:rPr>
          <w:rFonts w:eastAsia="Times New Roman" w:cs="Arial"/>
          <w:color w:val="000000"/>
          <w:lang w:eastAsia="bg-BG"/>
        </w:rPr>
        <w:t xml:space="preserve">етинилестрадиол от 1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перорално приложен норетистерон/ норетистеронов ацетат (вж. точка 5.2 Фармакокинетични свойства).</w:t>
      </w:r>
    </w:p>
    <w:p w14:paraId="42247201" w14:textId="77777777" w:rsidR="00546F12" w:rsidRPr="00546F12" w:rsidRDefault="00546F12" w:rsidP="00546F12">
      <w:pPr>
        <w:spacing w:line="240" w:lineRule="auto"/>
        <w:rPr>
          <w:rFonts w:eastAsia="Times New Roman" w:cs="Arial"/>
          <w:color w:val="000000"/>
          <w:lang w:eastAsia="bg-BG"/>
        </w:rPr>
      </w:pPr>
    </w:p>
    <w:p w14:paraId="77B0186A" w14:textId="0B366530"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lastRenderedPageBreak/>
        <w:t>Поради частичното преобразуване на норетистерон в етинилестрадиол, приложението на Примолут- Нор, се очаква да доведе до подобни фармакологични ефекти, които се наблюдават при КОК. Затова следните общи предупреждения, свързани с употребата на КОК трябва да се разгледат допълнително:</w:t>
      </w:r>
    </w:p>
    <w:p w14:paraId="40D4873A" w14:textId="77777777" w:rsidR="00546F12" w:rsidRPr="00546F12" w:rsidRDefault="00546F12" w:rsidP="00546F12">
      <w:pPr>
        <w:spacing w:line="240" w:lineRule="auto"/>
        <w:rPr>
          <w:rFonts w:eastAsia="Times New Roman" w:cs="Arial"/>
          <w:sz w:val="24"/>
          <w:szCs w:val="24"/>
        </w:rPr>
      </w:pPr>
    </w:p>
    <w:p w14:paraId="39A57FD0" w14:textId="1246B21F" w:rsidR="00546F12" w:rsidRPr="00546F12" w:rsidRDefault="00546F12" w:rsidP="00546F12">
      <w:pPr>
        <w:pStyle w:val="ListParagraph"/>
        <w:numPr>
          <w:ilvl w:val="0"/>
          <w:numId w:val="33"/>
        </w:numPr>
        <w:spacing w:line="240" w:lineRule="auto"/>
        <w:rPr>
          <w:rFonts w:eastAsia="Times New Roman" w:cs="Arial"/>
          <w:color w:val="000000"/>
          <w:lang w:eastAsia="bg-BG"/>
        </w:rPr>
      </w:pPr>
      <w:r w:rsidRPr="00546F12">
        <w:rPr>
          <w:rFonts w:eastAsia="Times New Roman" w:cs="Arial"/>
          <w:color w:val="000000"/>
          <w:lang w:eastAsia="bg-BG"/>
        </w:rPr>
        <w:t>Циркулаторни нарушения</w:t>
      </w:r>
    </w:p>
    <w:p w14:paraId="2D18F108" w14:textId="77777777" w:rsidR="00546F12" w:rsidRPr="00546F12" w:rsidRDefault="00546F12" w:rsidP="00546F12">
      <w:pPr>
        <w:spacing w:line="240" w:lineRule="auto"/>
        <w:rPr>
          <w:rFonts w:eastAsia="Times New Roman" w:cs="Arial"/>
          <w:sz w:val="24"/>
          <w:szCs w:val="24"/>
        </w:rPr>
      </w:pPr>
    </w:p>
    <w:p w14:paraId="1D251838"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Използването на който и да е комбиниран (пер)орален контрацептив (КОК) носи повишен риск от венозен тромбоемболизъм (ВТЕ) в сравнение с неизползването. Повишеният риск от ВТЕ е най- висок през първата година, в която жената започва употребата на КОК или когато възобновява приема на КОК след интервал без прием на хапче от най-малко един месец.</w:t>
      </w:r>
    </w:p>
    <w:p w14:paraId="5912ADD3" w14:textId="77777777" w:rsidR="00546F12" w:rsidRPr="00546F12" w:rsidRDefault="00546F12" w:rsidP="00546F12">
      <w:pPr>
        <w:spacing w:line="240" w:lineRule="auto"/>
        <w:rPr>
          <w:rFonts w:eastAsia="Times New Roman" w:cs="Arial"/>
          <w:color w:val="000000"/>
          <w:lang w:eastAsia="bg-BG"/>
        </w:rPr>
      </w:pPr>
    </w:p>
    <w:p w14:paraId="4344F85D" w14:textId="1533EAC2"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Общият риск от венозен тромбемболизъм (ВТЕ) при използващите КОК с ниска доза естроген (&lt;50</w:t>
      </w:r>
      <w:r w:rsidRPr="00546F12">
        <w:rPr>
          <w:rFonts w:eastAsia="Times New Roman" w:cs="Arial"/>
          <w:sz w:val="24"/>
          <w:szCs w:val="24"/>
          <w:lang w:val="ru-RU"/>
        </w:rPr>
        <w:t xml:space="preserve"> </w:t>
      </w:r>
      <w:proofErr w:type="spellStart"/>
      <w:r w:rsidRPr="00546F12">
        <w:rPr>
          <w:rFonts w:eastAsia="Times New Roman" w:cs="Arial"/>
          <w:color w:val="000000"/>
          <w:lang w:val="en-US"/>
        </w:rPr>
        <w:t>μg</w:t>
      </w:r>
      <w:proofErr w:type="spellEnd"/>
      <w:r w:rsidRPr="00546F12">
        <w:rPr>
          <w:rFonts w:eastAsia="Times New Roman" w:cs="Arial"/>
          <w:color w:val="000000"/>
          <w:lang w:val="ru-RU"/>
        </w:rPr>
        <w:t xml:space="preserve"> </w:t>
      </w:r>
      <w:r w:rsidRPr="00546F12">
        <w:rPr>
          <w:rFonts w:eastAsia="Times New Roman" w:cs="Arial"/>
          <w:color w:val="000000"/>
          <w:lang w:eastAsia="bg-BG"/>
        </w:rPr>
        <w:t>етинилестрадиол) е два до три пъти по-висок, отколкото за неизползващите КОК, които не са бременни и остава по-нисък в сравнение с риска, свързан с бременността и раждането.</w:t>
      </w:r>
    </w:p>
    <w:p w14:paraId="254EF46A" w14:textId="77777777" w:rsidR="00546F12" w:rsidRPr="00546F12" w:rsidRDefault="00546F12" w:rsidP="00546F12">
      <w:pPr>
        <w:spacing w:line="240" w:lineRule="auto"/>
        <w:rPr>
          <w:rFonts w:eastAsia="Times New Roman" w:cs="Arial"/>
          <w:color w:val="000000"/>
          <w:lang w:eastAsia="bg-BG"/>
        </w:rPr>
      </w:pPr>
    </w:p>
    <w:p w14:paraId="47F8D1D0" w14:textId="30E3916E"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ВТЕ може да бъде животозастрашаващ или може да има фатален изход (при 1-2% от случаите).</w:t>
      </w:r>
    </w:p>
    <w:p w14:paraId="3B06F9FD" w14:textId="77777777" w:rsidR="00546F12" w:rsidRPr="00546F12" w:rsidRDefault="00546F12" w:rsidP="00546F12">
      <w:pPr>
        <w:spacing w:line="240" w:lineRule="auto"/>
        <w:rPr>
          <w:rFonts w:eastAsia="Times New Roman" w:cs="Arial"/>
          <w:color w:val="000000"/>
          <w:lang w:eastAsia="bg-BG"/>
        </w:rPr>
      </w:pPr>
    </w:p>
    <w:p w14:paraId="2F960416" w14:textId="03C1C09D"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Венозен тромбемболизъм (ВТЕ), може да се прояви като дълбока венозна тромбоза и/или белодробна емболия, при употребата на всеки КОК.</w:t>
      </w:r>
    </w:p>
    <w:p w14:paraId="4B4BA510" w14:textId="77777777" w:rsidR="00546F12" w:rsidRPr="00546F12" w:rsidRDefault="00546F12" w:rsidP="00546F12">
      <w:pPr>
        <w:spacing w:line="240" w:lineRule="auto"/>
        <w:rPr>
          <w:rFonts w:eastAsia="Times New Roman" w:cs="Arial"/>
          <w:color w:val="000000"/>
          <w:lang w:eastAsia="bg-BG"/>
        </w:rPr>
      </w:pPr>
    </w:p>
    <w:p w14:paraId="29278C92" w14:textId="77E946BC"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Извънредно редки са съобщенията за поява на тромбоза в други кръвоносни съдове например в чернодробни, мезентериални, бъбречни, церебрални или ретинални вени и артерии при жените използващи КОК.</w:t>
      </w:r>
    </w:p>
    <w:p w14:paraId="48120F7F" w14:textId="77777777" w:rsidR="00546F12" w:rsidRPr="00546F12" w:rsidRDefault="00546F12" w:rsidP="00546F12">
      <w:pPr>
        <w:spacing w:line="240" w:lineRule="auto"/>
        <w:rPr>
          <w:rFonts w:eastAsia="Times New Roman" w:cs="Arial"/>
          <w:color w:val="000000"/>
          <w:lang w:eastAsia="bg-BG"/>
        </w:rPr>
      </w:pPr>
    </w:p>
    <w:p w14:paraId="6D4888F0" w14:textId="15B1262B"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Симптомите на дълбока венозна тромбоза (ДВТ), могат да включват: едностранно подуване на крака или по протежение на вената на крака; болка или слабост в краката, която може да се усети само при изправено положение или ходене, повишена температура в засегнатия крак, зачервена или обезцветена кожа на крака.</w:t>
      </w:r>
    </w:p>
    <w:p w14:paraId="4789ADF5" w14:textId="77777777" w:rsidR="00546F12" w:rsidRPr="00546F12" w:rsidRDefault="00546F12" w:rsidP="00546F12">
      <w:pPr>
        <w:spacing w:line="240" w:lineRule="auto"/>
        <w:rPr>
          <w:rFonts w:eastAsia="Times New Roman" w:cs="Arial"/>
          <w:color w:val="000000"/>
          <w:lang w:eastAsia="bg-BG"/>
        </w:rPr>
      </w:pPr>
    </w:p>
    <w:p w14:paraId="12BA5F78" w14:textId="30083FF0"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Симптомите на белодробна емболия (БЕ) могат да включват: внезапна поява на необясним недостиг на въздух или учестено дишане; внезапна кашлица, която може да доведе до кръвохрачене; остра болка в гърдите, която може да се увеличи при дълбоко дишане; чувство на тревожност; тежко прималяване или замаяност; бърз или неравномерен сърдечен ритъм. Някои от тези симптоми (напр. „задух“, „кашлица“) не са специфични и могат да бъдат изтълкувани погрешно като по-общи или по- малко тежки събития (напр. инфекции на дихателните пътища).</w:t>
      </w:r>
    </w:p>
    <w:p w14:paraId="02AAF487" w14:textId="77777777" w:rsidR="00546F12" w:rsidRPr="00546F12" w:rsidRDefault="00546F12" w:rsidP="00546F12">
      <w:pPr>
        <w:spacing w:line="240" w:lineRule="auto"/>
        <w:rPr>
          <w:rFonts w:eastAsia="Times New Roman" w:cs="Arial"/>
          <w:color w:val="000000"/>
          <w:lang w:eastAsia="bg-BG"/>
        </w:rPr>
      </w:pPr>
    </w:p>
    <w:p w14:paraId="12ED30E0" w14:textId="7B22D74F"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Артериалното тромбоемболично събитие може да включва мозъчно-съдов инцидент, съдова оклузия или миокарден инфаркт (МИ). Симптомите на мозъчно-съдов инцидент могат да включват: внезапно изтръпване или слабост на лицето, ръката или крака, особено от едната страна на тялото; внезапно объркване, затруднен говор или разбиране; внезапен проблем със зрението с едното или двете очи; внезапно затруднение при ходене, замаяност, загуба на равновесие или координация; внезапно, тежко или продължително главоболие с неизвестна причина; загуба на съзнание или припадъци, със или без гърчове. Други признаци на съдова оклузия могат да включват: внезапна болка, оток и леко оцветяване в синьо на крайниците; остър корем.</w:t>
      </w:r>
    </w:p>
    <w:p w14:paraId="3ACD903A" w14:textId="77777777" w:rsidR="00546F12" w:rsidRPr="00546F12" w:rsidRDefault="00546F12" w:rsidP="00546F12">
      <w:pPr>
        <w:spacing w:line="240" w:lineRule="auto"/>
        <w:rPr>
          <w:rFonts w:eastAsia="Times New Roman" w:cs="Arial"/>
          <w:color w:val="000000"/>
          <w:lang w:eastAsia="bg-BG"/>
        </w:rPr>
      </w:pPr>
    </w:p>
    <w:p w14:paraId="606C1A12" w14:textId="77777777" w:rsidR="00546F12" w:rsidRPr="00546F12" w:rsidRDefault="00546F12" w:rsidP="00546F12">
      <w:pPr>
        <w:rPr>
          <w:rFonts w:eastAsia="Times New Roman" w:cs="Arial"/>
          <w:sz w:val="24"/>
          <w:szCs w:val="24"/>
        </w:rPr>
      </w:pPr>
      <w:r w:rsidRPr="00546F12">
        <w:rPr>
          <w:rFonts w:eastAsia="Times New Roman" w:cs="Arial"/>
          <w:color w:val="000000"/>
          <w:lang w:eastAsia="bg-BG"/>
        </w:rPr>
        <w:t>Симптомите на МИ могат да включват: болка, дискомфорт, напрежение, тежест, усещане за натиск</w:t>
      </w:r>
      <w:r w:rsidRPr="00546F12">
        <w:rPr>
          <w:rFonts w:eastAsia="Times New Roman" w:cs="Arial"/>
          <w:sz w:val="24"/>
          <w:szCs w:val="24"/>
          <w:lang w:val="ru-RU"/>
        </w:rPr>
        <w:t xml:space="preserve"> </w:t>
      </w:r>
      <w:r w:rsidRPr="00546F12">
        <w:rPr>
          <w:rFonts w:eastAsia="Times New Roman" w:cs="Arial"/>
          <w:color w:val="000000"/>
          <w:lang w:eastAsia="bg-BG"/>
        </w:rPr>
        <w:t>или тежест в гърдите, ръката или под гръдната кост, дискомфорт разпространяващ се към гърба,челюстта, гърлото, ръката, стомаха; пълнота, лошо храносмилане или чувство на задавяне;</w:t>
      </w:r>
      <w:r w:rsidRPr="00546F12">
        <w:rPr>
          <w:rFonts w:eastAsia="Times New Roman" w:cs="Arial"/>
          <w:color w:val="000000"/>
          <w:lang w:val="ru-RU" w:eastAsia="bg-BG"/>
        </w:rPr>
        <w:t xml:space="preserve"> </w:t>
      </w:r>
      <w:r w:rsidRPr="00546F12">
        <w:rPr>
          <w:rFonts w:eastAsia="Times New Roman" w:cs="Arial"/>
          <w:color w:val="000000"/>
          <w:lang w:eastAsia="bg-BG"/>
        </w:rPr>
        <w:t>изпотяване, гадене, повръщане или световъртеж; крайна слабост, тревожност или недостиг на въздух; бърз или неравномерен пулс.</w:t>
      </w:r>
    </w:p>
    <w:p w14:paraId="3F6E957C" w14:textId="77777777" w:rsidR="00546F12" w:rsidRPr="00546F12" w:rsidRDefault="00546F12" w:rsidP="00546F12">
      <w:pPr>
        <w:spacing w:line="240" w:lineRule="auto"/>
        <w:rPr>
          <w:rFonts w:eastAsia="Times New Roman" w:cs="Arial"/>
          <w:color w:val="000000"/>
          <w:lang w:eastAsia="bg-BG"/>
        </w:rPr>
      </w:pPr>
    </w:p>
    <w:p w14:paraId="2E311AB4" w14:textId="03967E0E"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Артериалните тромбоемболични събития могат да бъдат животозастрашаващи или могат да имат фатален изход.</w:t>
      </w:r>
    </w:p>
    <w:p w14:paraId="08320FD8" w14:textId="77777777" w:rsidR="00546F12" w:rsidRPr="00546F12" w:rsidRDefault="00546F12" w:rsidP="00546F12">
      <w:pPr>
        <w:spacing w:line="240" w:lineRule="auto"/>
        <w:rPr>
          <w:rFonts w:eastAsia="Times New Roman" w:cs="Arial"/>
          <w:color w:val="000000"/>
          <w:lang w:eastAsia="bg-BG"/>
        </w:rPr>
      </w:pPr>
    </w:p>
    <w:p w14:paraId="2CDA3007" w14:textId="6003ADDE"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Потенциалът за увеличен синергичен риск от тромбоза трябва да се вземе предвид при жени, които притежават комбинация от рискови фактори, или проявяват по-голяма тежест на даден индивидуален рисков фактор. Този повишен риск може да бъде по-голям от обикновен кумулативен риск от фактори. КОК не трябва да се предписват в случай на отрицателна оценка на риска и ползите, (вж. точка 4.4 Противопоказания).</w:t>
      </w:r>
    </w:p>
    <w:p w14:paraId="51846AD7" w14:textId="77777777" w:rsidR="00546F12" w:rsidRPr="00546F12" w:rsidRDefault="00546F12" w:rsidP="00546F12">
      <w:pPr>
        <w:spacing w:line="240" w:lineRule="auto"/>
        <w:rPr>
          <w:rFonts w:eastAsia="Times New Roman" w:cs="Arial"/>
          <w:color w:val="000000"/>
          <w:lang w:eastAsia="bg-BG"/>
        </w:rPr>
      </w:pPr>
    </w:p>
    <w:p w14:paraId="49713EB4" w14:textId="4925FDBF"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Рискът от развитие на венозни или артериални тромботични/тромбоемболични събития или мозъчно- съдов инцидент се увеличава с:</w:t>
      </w:r>
    </w:p>
    <w:p w14:paraId="187F6825" w14:textId="78124595"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Възрастта</w:t>
      </w:r>
    </w:p>
    <w:p w14:paraId="6ACB045E" w14:textId="57903C90"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 xml:space="preserve">Затлъстяване (индекс на телесна маса над 30 </w:t>
      </w:r>
      <w:r w:rsidRPr="00546F12">
        <w:rPr>
          <w:rFonts w:eastAsia="Times New Roman" w:cs="Arial"/>
          <w:color w:val="000000"/>
          <w:lang w:val="en-US"/>
        </w:rPr>
        <w:t>kg</w:t>
      </w:r>
      <w:r w:rsidRPr="00546F12">
        <w:rPr>
          <w:rFonts w:eastAsia="Times New Roman" w:cs="Arial"/>
          <w:color w:val="000000"/>
          <w:lang w:val="ru-RU"/>
        </w:rPr>
        <w:t>/</w:t>
      </w:r>
      <w:r w:rsidRPr="00546F12">
        <w:rPr>
          <w:rFonts w:eastAsia="Times New Roman" w:cs="Arial"/>
          <w:color w:val="000000"/>
          <w:lang w:val="en-US"/>
        </w:rPr>
        <w:t>m</w:t>
      </w:r>
      <w:r w:rsidRPr="00546F12">
        <w:rPr>
          <w:rFonts w:eastAsia="Times New Roman" w:cs="Arial"/>
          <w:color w:val="000000"/>
          <w:lang w:val="ru-RU"/>
        </w:rPr>
        <w:t>2)</w:t>
      </w:r>
    </w:p>
    <w:p w14:paraId="09737B72" w14:textId="459ED7AE"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Положителна фамилна анамнеза (напр. венозен или артериален тромбоемболизъм при брат/сестра или родител в относително ранна възраст). Ако наследственото предразположение е известно или подозирано, жената трябва да бъде насочена към специалист за съвет, преди да вземе решение за всяка употребата на какъвто и да е КОК.</w:t>
      </w:r>
    </w:p>
    <w:p w14:paraId="2E536A1B" w14:textId="5A47370C"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Продължително обездвижване, голяма операция, всяка операция на краката или голяма травма. В тези случаи е препоръчително да се прекрати употребата на КОК (в случай на планова операция най-малко четири седмици предварително) и да не се подновява до две седмици след пълната ремобилизация.</w:t>
      </w:r>
    </w:p>
    <w:p w14:paraId="511A4F4C" w14:textId="58AA89A9"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Тютюнопушене (при интензивно тютюнопушене и увеличаване на възрастта рискът нараства, особено при жени над 35-годишна възраст)</w:t>
      </w:r>
    </w:p>
    <w:p w14:paraId="7960E701" w14:textId="19360422"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Дислипопротеинемия</w:t>
      </w:r>
    </w:p>
    <w:p w14:paraId="158B0DBF" w14:textId="6A972BFC"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Хипертония</w:t>
      </w:r>
    </w:p>
    <w:p w14:paraId="129B1FF2" w14:textId="314EE4D8"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Мигрена</w:t>
      </w:r>
    </w:p>
    <w:p w14:paraId="64254C4C" w14:textId="13B6D908"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Клапна болест на сърцето</w:t>
      </w:r>
    </w:p>
    <w:p w14:paraId="05ECE118" w14:textId="316B7565" w:rsidR="00546F12" w:rsidRPr="00546F12" w:rsidRDefault="00546F12" w:rsidP="00546F12">
      <w:pPr>
        <w:pStyle w:val="ListParagraph"/>
        <w:numPr>
          <w:ilvl w:val="0"/>
          <w:numId w:val="33"/>
        </w:numPr>
        <w:spacing w:line="240" w:lineRule="auto"/>
        <w:rPr>
          <w:rFonts w:eastAsia="Times New Roman" w:cs="Arial"/>
          <w:sz w:val="24"/>
          <w:szCs w:val="24"/>
        </w:rPr>
      </w:pPr>
      <w:r w:rsidRPr="00546F12">
        <w:rPr>
          <w:rFonts w:eastAsia="Times New Roman" w:cs="Arial"/>
          <w:color w:val="000000"/>
          <w:lang w:eastAsia="bg-BG"/>
        </w:rPr>
        <w:t>Предсърдно мъждене</w:t>
      </w:r>
    </w:p>
    <w:p w14:paraId="0242280D" w14:textId="77777777" w:rsidR="00546F12" w:rsidRPr="00546F12" w:rsidRDefault="00546F12" w:rsidP="00546F12">
      <w:pPr>
        <w:spacing w:line="240" w:lineRule="auto"/>
        <w:rPr>
          <w:rFonts w:eastAsia="Times New Roman" w:cs="Arial"/>
          <w:color w:val="000000"/>
          <w:lang w:eastAsia="bg-BG"/>
        </w:rPr>
      </w:pPr>
    </w:p>
    <w:p w14:paraId="6B841541" w14:textId="61973E69"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Няма единно становище относно възможната роля на варикозните вени и повърхностния тромбофлебит за венозния тромбоемболизъм.</w:t>
      </w:r>
    </w:p>
    <w:p w14:paraId="4BD265C6" w14:textId="77777777" w:rsidR="00546F12" w:rsidRPr="00546F12" w:rsidRDefault="00546F12" w:rsidP="00546F12">
      <w:pPr>
        <w:spacing w:line="240" w:lineRule="auto"/>
        <w:rPr>
          <w:rFonts w:eastAsia="Times New Roman" w:cs="Arial"/>
          <w:color w:val="000000"/>
          <w:lang w:eastAsia="bg-BG"/>
        </w:rPr>
      </w:pPr>
    </w:p>
    <w:p w14:paraId="45306004" w14:textId="2C7CD3B4"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Други медицински състояния, които са били свързани с нежелани циркулаторни събития включват захарен диабет, системен лупус еритематозус, хемолитично-уремичен синдром, хронично възпалително заболяване на червата (болест на Крон или улцерозен колит) и сърповидно-клетъчна анемия.</w:t>
      </w:r>
    </w:p>
    <w:p w14:paraId="163C9069" w14:textId="77777777" w:rsidR="00546F12" w:rsidRPr="00546F12" w:rsidRDefault="00546F12" w:rsidP="00546F12">
      <w:pPr>
        <w:spacing w:line="240" w:lineRule="auto"/>
        <w:rPr>
          <w:rFonts w:eastAsia="Times New Roman" w:cs="Arial"/>
          <w:color w:val="000000"/>
          <w:lang w:eastAsia="bg-BG"/>
        </w:rPr>
      </w:pPr>
    </w:p>
    <w:p w14:paraId="6BE0479A" w14:textId="5679B5B4"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Повишаването на честотата или тежестта на мигрената по време на използването на КОК (която може да бъде продромален симптом на мозъчно-съдово събитие) може да бъде причина за незабавно преустановяване на КОК.</w:t>
      </w:r>
    </w:p>
    <w:p w14:paraId="34B9C9A6" w14:textId="77777777" w:rsidR="00546F12" w:rsidRPr="00546F12" w:rsidRDefault="00546F12" w:rsidP="00546F12">
      <w:pPr>
        <w:spacing w:line="240" w:lineRule="auto"/>
        <w:rPr>
          <w:rFonts w:eastAsia="Times New Roman" w:cs="Arial"/>
          <w:color w:val="000000"/>
          <w:lang w:eastAsia="bg-BG"/>
        </w:rPr>
      </w:pPr>
    </w:p>
    <w:p w14:paraId="1627CA18" w14:textId="69AD343C"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lastRenderedPageBreak/>
        <w:t>Биохимичните фактори, които могат да бъдат показателни за наследствено или придобито предразположение към венозна или артериална тромбоза включват резистентност към активиран протеин С (АРС), хиперхомоцистеинемия, дефицит на антитромбин-</w:t>
      </w:r>
      <w:r w:rsidRPr="00546F12">
        <w:rPr>
          <w:rFonts w:eastAsia="Times New Roman" w:cs="Arial"/>
          <w:color w:val="000000"/>
          <w:lang w:val="en-US"/>
        </w:rPr>
        <w:t>III</w:t>
      </w:r>
      <w:r w:rsidRPr="00546F12">
        <w:rPr>
          <w:rFonts w:eastAsia="Times New Roman" w:cs="Arial"/>
          <w:color w:val="000000"/>
          <w:lang w:eastAsia="bg-BG"/>
        </w:rPr>
        <w:t xml:space="preserve">, дефицит на протеин С, дефицит на протеин </w:t>
      </w:r>
      <w:r w:rsidRPr="00546F12">
        <w:rPr>
          <w:rFonts w:eastAsia="Times New Roman" w:cs="Arial"/>
          <w:color w:val="000000"/>
          <w:lang w:val="en-US"/>
        </w:rPr>
        <w:t>S</w:t>
      </w:r>
      <w:r w:rsidRPr="00546F12">
        <w:rPr>
          <w:rFonts w:eastAsia="Times New Roman" w:cs="Arial"/>
          <w:color w:val="000000"/>
          <w:lang w:val="ru-RU"/>
        </w:rPr>
        <w:t xml:space="preserve">, </w:t>
      </w:r>
      <w:r w:rsidRPr="00546F12">
        <w:rPr>
          <w:rFonts w:eastAsia="Times New Roman" w:cs="Arial"/>
          <w:color w:val="000000"/>
          <w:lang w:eastAsia="bg-BG"/>
        </w:rPr>
        <w:t>антифосфолипидни антитела (антикардиолипинови антитела, лупус антикоагулант).</w:t>
      </w:r>
    </w:p>
    <w:p w14:paraId="07C347FC" w14:textId="77777777" w:rsidR="00546F12" w:rsidRPr="00546F12" w:rsidRDefault="00546F12" w:rsidP="00546F12">
      <w:pPr>
        <w:spacing w:line="240" w:lineRule="auto"/>
        <w:rPr>
          <w:rFonts w:eastAsia="Times New Roman" w:cs="Arial"/>
          <w:color w:val="000000"/>
          <w:lang w:eastAsia="bg-BG"/>
        </w:rPr>
      </w:pPr>
    </w:p>
    <w:p w14:paraId="0F80CAF8" w14:textId="3406E671" w:rsidR="00546F12" w:rsidRPr="00546F12" w:rsidRDefault="00546F12" w:rsidP="00546F12">
      <w:pPr>
        <w:spacing w:line="240" w:lineRule="auto"/>
        <w:rPr>
          <w:rFonts w:eastAsia="Times New Roman" w:cs="Arial"/>
          <w:color w:val="000000"/>
          <w:lang w:val="ru-RU" w:eastAsia="bg-BG"/>
        </w:rPr>
      </w:pPr>
      <w:r w:rsidRPr="00546F12">
        <w:rPr>
          <w:rFonts w:eastAsia="Times New Roman" w:cs="Arial"/>
          <w:color w:val="000000"/>
          <w:lang w:eastAsia="bg-BG"/>
        </w:rPr>
        <w:t>При оценяване на съотношението полза/риск, лекарят трябва да вземе предвид, че</w:t>
      </w:r>
      <w:r w:rsidRPr="00546F12">
        <w:rPr>
          <w:rFonts w:eastAsia="Times New Roman" w:cs="Arial"/>
          <w:color w:val="000000"/>
          <w:lang w:val="ru-RU"/>
        </w:rPr>
        <w:t xml:space="preserve"> </w:t>
      </w:r>
      <w:r w:rsidRPr="00546F12">
        <w:rPr>
          <w:rFonts w:eastAsia="Times New Roman" w:cs="Arial"/>
          <w:color w:val="000000"/>
          <w:lang w:eastAsia="bg-BG"/>
        </w:rPr>
        <w:t xml:space="preserve">адекватното лечение на дадено състояние, може да намали свързания с това риск от тромбоза и не рискът, свързан с бременността е по-висок от този, свързан с ниско-дозивите КОК (&lt;0,05 </w:t>
      </w:r>
      <w:r w:rsidRPr="00546F12">
        <w:rPr>
          <w:rFonts w:eastAsia="Times New Roman" w:cs="Arial"/>
          <w:color w:val="000000"/>
          <w:lang w:val="en-US"/>
        </w:rPr>
        <w:t>mg</w:t>
      </w:r>
      <w:r w:rsidRPr="00546F12">
        <w:rPr>
          <w:rFonts w:eastAsia="Times New Roman" w:cs="Arial"/>
          <w:color w:val="000000"/>
          <w:lang w:eastAsia="bg-BG"/>
        </w:rPr>
        <w:t xml:space="preserve"> етинилестрадиол</w:t>
      </w:r>
      <w:r w:rsidRPr="00546F12">
        <w:rPr>
          <w:rFonts w:eastAsia="Times New Roman" w:cs="Arial"/>
          <w:color w:val="000000"/>
          <w:lang w:val="ru-RU" w:eastAsia="bg-BG"/>
        </w:rPr>
        <w:t>).</w:t>
      </w:r>
    </w:p>
    <w:p w14:paraId="09760071" w14:textId="77777777" w:rsidR="00546F12" w:rsidRPr="00546F12" w:rsidRDefault="00546F12" w:rsidP="00546F12">
      <w:pPr>
        <w:spacing w:line="240" w:lineRule="auto"/>
        <w:rPr>
          <w:rFonts w:eastAsia="Times New Roman" w:cs="Arial"/>
          <w:sz w:val="24"/>
          <w:szCs w:val="24"/>
        </w:rPr>
      </w:pPr>
    </w:p>
    <w:p w14:paraId="6BFE42B5" w14:textId="7CE5EABD" w:rsidR="00546F12" w:rsidRPr="00546F12" w:rsidRDefault="00546F12" w:rsidP="00546F12">
      <w:pPr>
        <w:pStyle w:val="ListParagraph"/>
        <w:numPr>
          <w:ilvl w:val="0"/>
          <w:numId w:val="34"/>
        </w:numPr>
        <w:spacing w:line="240" w:lineRule="auto"/>
        <w:rPr>
          <w:rFonts w:eastAsia="Times New Roman" w:cs="Arial"/>
          <w:sz w:val="24"/>
          <w:szCs w:val="24"/>
          <w:lang w:val="ru-RU"/>
        </w:rPr>
      </w:pPr>
      <w:r w:rsidRPr="00546F12">
        <w:rPr>
          <w:rFonts w:eastAsia="Times New Roman" w:cs="Arial"/>
          <w:color w:val="000000"/>
          <w:lang w:eastAsia="bg-BG"/>
        </w:rPr>
        <w:t>Тумори</w:t>
      </w:r>
    </w:p>
    <w:p w14:paraId="6E4C2663" w14:textId="08F005C4" w:rsidR="00546F12" w:rsidRDefault="00546F12" w:rsidP="00546F12">
      <w:pPr>
        <w:spacing w:line="240" w:lineRule="auto"/>
        <w:rPr>
          <w:rFonts w:eastAsia="Times New Roman" w:cs="Arial"/>
          <w:sz w:val="24"/>
          <w:szCs w:val="24"/>
        </w:rPr>
      </w:pPr>
    </w:p>
    <w:p w14:paraId="145716B2"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Най-важният рисков фактор за рак на шийката на матката е персистираща </w:t>
      </w:r>
      <w:r w:rsidRPr="00546F12">
        <w:rPr>
          <w:rFonts w:eastAsia="Times New Roman" w:cs="Arial"/>
          <w:color w:val="000000"/>
          <w:lang w:val="en-US"/>
        </w:rPr>
        <w:t>HPV</w:t>
      </w:r>
      <w:r w:rsidRPr="00546F12">
        <w:rPr>
          <w:rFonts w:eastAsia="Times New Roman" w:cs="Arial"/>
          <w:color w:val="000000"/>
          <w:lang w:val="ru-RU"/>
        </w:rPr>
        <w:t xml:space="preserve"> </w:t>
      </w:r>
      <w:r w:rsidRPr="00546F12">
        <w:rPr>
          <w:rFonts w:eastAsia="Times New Roman" w:cs="Arial"/>
          <w:color w:val="000000"/>
          <w:lang w:eastAsia="bg-BG"/>
        </w:rPr>
        <w:t>инфекция. Някои епидемиологични проучвания показват, че дългосрочната употреба на КОК може допълнително да допринесе за този повишен риск, но продължават да съществуват противоречия относно степента, до която тази находка се дължи на съпътстващи ефекти, например, цервикален скрининг и сексуално поведение, включително използване на бариерни контрацептиви.</w:t>
      </w:r>
    </w:p>
    <w:p w14:paraId="3640F3C3" w14:textId="77777777" w:rsidR="00546F12" w:rsidRPr="00546F12" w:rsidRDefault="00546F12" w:rsidP="00546F12">
      <w:pPr>
        <w:spacing w:line="240" w:lineRule="auto"/>
        <w:rPr>
          <w:rFonts w:eastAsia="Times New Roman" w:cs="Arial"/>
          <w:color w:val="000000"/>
          <w:lang w:eastAsia="bg-BG"/>
        </w:rPr>
      </w:pPr>
    </w:p>
    <w:p w14:paraId="6C0E5D03" w14:textId="57E2E390"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Мета-анализ на 54 епидемиологични проучвания показва, че съществува леко увеличен относителен риск </w:t>
      </w:r>
      <w:r w:rsidRPr="00546F12">
        <w:rPr>
          <w:rFonts w:eastAsia="Times New Roman" w:cs="Arial"/>
          <w:color w:val="000000"/>
          <w:lang w:val="ru-RU"/>
        </w:rPr>
        <w:t>(</w:t>
      </w:r>
      <w:r w:rsidRPr="00546F12">
        <w:rPr>
          <w:rFonts w:eastAsia="Times New Roman" w:cs="Arial"/>
          <w:color w:val="000000"/>
          <w:lang w:val="en-US"/>
        </w:rPr>
        <w:t>RR</w:t>
      </w:r>
      <w:r w:rsidRPr="00546F12">
        <w:rPr>
          <w:rFonts w:eastAsia="Times New Roman" w:cs="Arial"/>
          <w:color w:val="000000"/>
          <w:lang w:val="ru-RU"/>
        </w:rPr>
        <w:t xml:space="preserve"> </w:t>
      </w:r>
      <w:r w:rsidRPr="00546F12">
        <w:rPr>
          <w:rFonts w:eastAsia="Times New Roman" w:cs="Arial"/>
          <w:color w:val="000000"/>
          <w:lang w:eastAsia="bg-BG"/>
        </w:rPr>
        <w:t>= 1,24) за установяване рак на гърдата при жени, използващи КОК. Рискът постепенно изчезва в продължение на 10 години след прекратяване употребата на КОК. Тъй като рак на гърдата се среща рядко при жени под 40 години, увеличения брой на диагноза на рак на гърдата при жени, употребяващи или употребявали КОК е малък в сравнение с общия риск от рак на гърдата. Тези проучвания не дават доказателство за причинна връзка. Наблюдаваното увеличение на риска може да се дължи на по-ранна диагноза на рак на гърдата при жени използващи КОК, на биологичните ефекти на КОК или на комбинация от двете. Ракът на гърдата, диагностициран при употребяващите КОК, е в по-ранен стадий, отколкото този диагностициран при жени, които никога не са използвали КОК.</w:t>
      </w:r>
    </w:p>
    <w:p w14:paraId="47A31ED6" w14:textId="77777777" w:rsidR="00546F12" w:rsidRPr="00546F12" w:rsidRDefault="00546F12" w:rsidP="00546F12">
      <w:pPr>
        <w:spacing w:line="240" w:lineRule="auto"/>
        <w:rPr>
          <w:rFonts w:eastAsia="Times New Roman" w:cs="Arial"/>
          <w:color w:val="000000"/>
          <w:lang w:eastAsia="bg-BG"/>
        </w:rPr>
      </w:pPr>
    </w:p>
    <w:p w14:paraId="7E133EB0" w14:textId="26ACA0D7" w:rsidR="00546F12" w:rsidRP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Злокачествени заболявания могат да бъдат животозастрашаващи или могат да има фатален изход.</w:t>
      </w:r>
    </w:p>
    <w:p w14:paraId="67C90AB5" w14:textId="77777777" w:rsidR="00546F12" w:rsidRPr="00546F12" w:rsidRDefault="00546F12" w:rsidP="00546F12">
      <w:pPr>
        <w:spacing w:line="240" w:lineRule="auto"/>
        <w:rPr>
          <w:rFonts w:eastAsia="Times New Roman" w:cs="Arial"/>
          <w:sz w:val="24"/>
          <w:szCs w:val="24"/>
        </w:rPr>
      </w:pPr>
    </w:p>
    <w:p w14:paraId="4358D6DB" w14:textId="0D1FB4DF" w:rsidR="00546F12" w:rsidRPr="00546F12" w:rsidRDefault="00546F12" w:rsidP="00546F12">
      <w:pPr>
        <w:pStyle w:val="ListParagraph"/>
        <w:numPr>
          <w:ilvl w:val="0"/>
          <w:numId w:val="34"/>
        </w:numPr>
        <w:spacing w:line="240" w:lineRule="auto"/>
        <w:rPr>
          <w:rFonts w:eastAsia="Times New Roman" w:cs="Arial"/>
          <w:sz w:val="24"/>
          <w:szCs w:val="24"/>
        </w:rPr>
      </w:pPr>
      <w:r w:rsidRPr="00546F12">
        <w:rPr>
          <w:rFonts w:eastAsia="Times New Roman" w:cs="Arial"/>
          <w:color w:val="000000"/>
          <w:lang w:eastAsia="bg-BG"/>
        </w:rPr>
        <w:t>Други състояния</w:t>
      </w:r>
    </w:p>
    <w:p w14:paraId="2AB12A98" w14:textId="77777777" w:rsidR="00546F12" w:rsidRPr="00546F12" w:rsidRDefault="00546F12" w:rsidP="00546F12">
      <w:pPr>
        <w:spacing w:line="240" w:lineRule="auto"/>
        <w:rPr>
          <w:rFonts w:eastAsia="Times New Roman" w:cs="Arial"/>
          <w:color w:val="000000"/>
          <w:lang w:eastAsia="bg-BG"/>
        </w:rPr>
      </w:pPr>
    </w:p>
    <w:p w14:paraId="42375F35" w14:textId="182DA8CB"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Жени с хипертриглицеридемия или фамилна анамнеза за такава може да са изложени на по-висок риск от панкреатит, когато приемат КОК.</w:t>
      </w:r>
    </w:p>
    <w:p w14:paraId="66DBC551" w14:textId="77777777" w:rsidR="00546F12" w:rsidRPr="00546F12" w:rsidRDefault="00546F12" w:rsidP="00546F12">
      <w:pPr>
        <w:spacing w:line="240" w:lineRule="auto"/>
        <w:rPr>
          <w:rFonts w:eastAsia="Times New Roman" w:cs="Arial"/>
          <w:color w:val="000000"/>
          <w:lang w:eastAsia="bg-BG"/>
        </w:rPr>
      </w:pPr>
    </w:p>
    <w:p w14:paraId="614C5150" w14:textId="4B646DF9"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Въпреки че при много жени приемащи КОК се съобщава за случаи на леко повишение на стойностите на кръвното налягане, клинично значимо повишение се наблюдава рядко.</w:t>
      </w:r>
    </w:p>
    <w:p w14:paraId="450AD399" w14:textId="77777777" w:rsidR="00546F12" w:rsidRPr="00546F12" w:rsidRDefault="00546F12" w:rsidP="00546F12">
      <w:pPr>
        <w:spacing w:line="240" w:lineRule="auto"/>
        <w:rPr>
          <w:rFonts w:eastAsia="Times New Roman" w:cs="Arial"/>
          <w:color w:val="000000"/>
          <w:lang w:eastAsia="bg-BG"/>
        </w:rPr>
      </w:pPr>
    </w:p>
    <w:p w14:paraId="47D85AD4" w14:textId="000E70D2"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Въпреки това, ако се развие продължителна клинично значима хипертония по време на употребата на КОК, разумно е лекарят да прекрати КОК и да започне лечение на хипертонията. Където е целесъобразно, употребата на КОК може да бъде възобновена, ако нормални стойности на кръвното налягане могат да бъдат постигнати с антихипертензивна терапия.</w:t>
      </w:r>
    </w:p>
    <w:p w14:paraId="49954F42" w14:textId="77777777" w:rsidR="00546F12" w:rsidRPr="00546F12" w:rsidRDefault="00546F12" w:rsidP="00546F12">
      <w:pPr>
        <w:spacing w:line="240" w:lineRule="auto"/>
        <w:rPr>
          <w:rFonts w:eastAsia="Times New Roman" w:cs="Arial"/>
          <w:color w:val="000000"/>
          <w:lang w:eastAsia="bg-BG"/>
        </w:rPr>
      </w:pPr>
    </w:p>
    <w:p w14:paraId="52215F04" w14:textId="6C887249"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lastRenderedPageBreak/>
        <w:t>Има съобщения за следните състояния, които се появяват или влошават както при бременност, така и при приемане на КОК, но доказателствата за връзката с прилагането на КОК са недостатъчни: жълтеница и/или пруритус свързани с холестаза; жлъчни камъни; порфирия; системен лупус еритематозус; хемолитичен уремичен синдром; хорея на Сиденхайм; гестационен херпес; свързана с отосклероза загуба на слуха.</w:t>
      </w:r>
    </w:p>
    <w:p w14:paraId="68C1C3FB" w14:textId="77777777" w:rsidR="00546F12" w:rsidRPr="00546F12" w:rsidRDefault="00546F12" w:rsidP="00546F12">
      <w:pPr>
        <w:spacing w:line="240" w:lineRule="auto"/>
        <w:rPr>
          <w:rFonts w:eastAsia="Times New Roman" w:cs="Arial"/>
          <w:color w:val="000000"/>
          <w:lang w:eastAsia="bg-BG"/>
        </w:rPr>
      </w:pPr>
    </w:p>
    <w:p w14:paraId="6546FAC9" w14:textId="76104206"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При жени с наследствен ангиоедем екзогенните естрогени могат да индуцират или обострят симптомите на ангиоедем.</w:t>
      </w:r>
    </w:p>
    <w:p w14:paraId="172809E5" w14:textId="77777777" w:rsidR="00546F12" w:rsidRPr="00546F12" w:rsidRDefault="00546F12" w:rsidP="00546F12">
      <w:pPr>
        <w:spacing w:line="240" w:lineRule="auto"/>
        <w:rPr>
          <w:rFonts w:eastAsia="Times New Roman" w:cs="Arial"/>
          <w:color w:val="000000"/>
          <w:lang w:eastAsia="bg-BG"/>
        </w:rPr>
      </w:pPr>
    </w:p>
    <w:p w14:paraId="6F0FE528" w14:textId="2712CBFA"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Остро или хронично нарушение на чернодробната функция може да наложи преустановяване употребата на КОК, докато маркерите на чернодробната функция не се възвърнат към нормалното. Рецидив на холестатична жълтеница, която се появява за първи път по време на бременност или предишна употреба на полови хормони, налага прекратяване на КОК.</w:t>
      </w:r>
    </w:p>
    <w:p w14:paraId="32BA105F" w14:textId="77777777" w:rsidR="00546F12" w:rsidRPr="00546F12" w:rsidRDefault="00546F12" w:rsidP="00546F12">
      <w:pPr>
        <w:spacing w:line="240" w:lineRule="auto"/>
        <w:rPr>
          <w:rFonts w:eastAsia="Times New Roman" w:cs="Arial"/>
          <w:color w:val="000000"/>
          <w:lang w:eastAsia="bg-BG"/>
        </w:rPr>
      </w:pPr>
    </w:p>
    <w:p w14:paraId="4FD71E33" w14:textId="5590E550"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Болестта на Крон и улцерозния колит се свързват с употребата на КОК.</w:t>
      </w:r>
    </w:p>
    <w:p w14:paraId="4CFE5F0A" w14:textId="77777777" w:rsidR="00546F12" w:rsidRPr="00546F12" w:rsidRDefault="00546F12" w:rsidP="00546F12">
      <w:pPr>
        <w:spacing w:line="240" w:lineRule="auto"/>
        <w:rPr>
          <w:rFonts w:eastAsia="Times New Roman" w:cs="Arial"/>
          <w:color w:val="000000"/>
          <w:lang w:eastAsia="bg-BG"/>
        </w:rPr>
      </w:pPr>
    </w:p>
    <w:p w14:paraId="0AAE6F4F" w14:textId="152524B8"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Всяка таблетка Примолут-Нор 5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 xml:space="preserve">съдържа 67.375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лактоза монохидрат.</w:t>
      </w:r>
    </w:p>
    <w:p w14:paraId="7B19F5E2" w14:textId="1B888C16" w:rsidR="00546F12" w:rsidRDefault="00546F12" w:rsidP="00546F12">
      <w:pPr>
        <w:spacing w:line="240" w:lineRule="auto"/>
        <w:rPr>
          <w:rFonts w:eastAsia="Times New Roman" w:cs="Arial"/>
          <w:color w:val="000000"/>
          <w:lang w:eastAsia="bg-BG"/>
        </w:rPr>
      </w:pPr>
      <w:r w:rsidRPr="00546F12">
        <w:rPr>
          <w:rFonts w:eastAsia="Times New Roman" w:cs="Arial"/>
          <w:color w:val="000000"/>
          <w:lang w:eastAsia="bg-BG"/>
        </w:rPr>
        <w:t xml:space="preserve">Пациенти с редки наследствени проблеми на галактозна непоносимост, </w:t>
      </w:r>
      <w:r w:rsidRPr="00546F12">
        <w:rPr>
          <w:rFonts w:eastAsia="Times New Roman" w:cs="Arial"/>
          <w:color w:val="000000"/>
          <w:lang w:val="en-US"/>
        </w:rPr>
        <w:t>Lapp</w:t>
      </w:r>
      <w:r w:rsidRPr="00546F12">
        <w:rPr>
          <w:rFonts w:eastAsia="Times New Roman" w:cs="Arial"/>
          <w:color w:val="000000"/>
          <w:lang w:val="ru-RU"/>
        </w:rPr>
        <w:t xml:space="preserve"> </w:t>
      </w:r>
      <w:r w:rsidRPr="00546F12">
        <w:rPr>
          <w:rFonts w:eastAsia="Times New Roman" w:cs="Arial"/>
          <w:color w:val="000000"/>
          <w:lang w:eastAsia="bg-BG"/>
        </w:rPr>
        <w:t>лактазен дефицит или глюкозо-галактозна малабсорбция не трябва да приемат това лекарство.</w:t>
      </w:r>
    </w:p>
    <w:p w14:paraId="6072F7A4" w14:textId="77777777" w:rsidR="00546F12" w:rsidRPr="00546F12" w:rsidRDefault="00546F12" w:rsidP="00546F12">
      <w:pPr>
        <w:spacing w:line="240" w:lineRule="auto"/>
        <w:rPr>
          <w:rFonts w:eastAsia="Times New Roman" w:cs="Arial"/>
          <w:sz w:val="24"/>
          <w:szCs w:val="24"/>
        </w:rPr>
      </w:pPr>
    </w:p>
    <w:p w14:paraId="1244F76A" w14:textId="35932BA4" w:rsidR="00395555" w:rsidRDefault="002C50EE" w:rsidP="008A6AF2">
      <w:pPr>
        <w:pStyle w:val="Heading2"/>
      </w:pPr>
      <w:r>
        <w:t>4.5. Взаимодействие с други лекарствени продукти и други форми на взаимодействие</w:t>
      </w:r>
    </w:p>
    <w:p w14:paraId="69FDFCFB" w14:textId="4FDF112F" w:rsidR="00546F12" w:rsidRDefault="00546F12" w:rsidP="00546F12"/>
    <w:p w14:paraId="22C9172C" w14:textId="77777777" w:rsidR="00546F12" w:rsidRPr="00546F12" w:rsidRDefault="00546F12" w:rsidP="00546F12">
      <w:pPr>
        <w:rPr>
          <w:rFonts w:eastAsia="Times New Roman" w:cs="Arial"/>
          <w:sz w:val="24"/>
          <w:szCs w:val="24"/>
        </w:rPr>
      </w:pPr>
      <w:r w:rsidRPr="00546F12">
        <w:rPr>
          <w:rFonts w:cs="Arial"/>
        </w:rPr>
        <w:t>Забележка: Следва да се направи справка с лекарствената информация за прилаганите едновременно</w:t>
      </w:r>
      <w:r w:rsidRPr="00546F12">
        <w:rPr>
          <w:rFonts w:cs="Arial"/>
          <w:lang w:val="ru-RU"/>
        </w:rPr>
        <w:t xml:space="preserve"> </w:t>
      </w:r>
      <w:r w:rsidRPr="00546F12">
        <w:rPr>
          <w:rFonts w:eastAsia="Times New Roman" w:cs="Arial"/>
          <w:color w:val="000000"/>
          <w:lang w:eastAsia="bg-BG"/>
        </w:rPr>
        <w:t>лекарства, за да се установи възможността за евентуални взаимодействия.</w:t>
      </w:r>
    </w:p>
    <w:p w14:paraId="6FE56545" w14:textId="77777777" w:rsidR="00546F12" w:rsidRPr="00546F12" w:rsidRDefault="00546F12" w:rsidP="00546F12">
      <w:pPr>
        <w:spacing w:line="240" w:lineRule="auto"/>
        <w:rPr>
          <w:rFonts w:eastAsia="Times New Roman" w:cs="Arial"/>
          <w:b/>
          <w:bCs/>
          <w:i/>
          <w:iCs/>
          <w:color w:val="000000"/>
          <w:lang w:eastAsia="bg-BG"/>
        </w:rPr>
      </w:pPr>
    </w:p>
    <w:p w14:paraId="178AB7FF" w14:textId="28EB8F4E" w:rsidR="00546F12" w:rsidRPr="00546F12" w:rsidRDefault="00546F12" w:rsidP="00546F12">
      <w:pPr>
        <w:spacing w:line="240" w:lineRule="auto"/>
        <w:rPr>
          <w:rFonts w:eastAsia="Times New Roman" w:cs="Arial"/>
          <w:sz w:val="24"/>
          <w:szCs w:val="24"/>
        </w:rPr>
      </w:pPr>
      <w:r w:rsidRPr="00546F12">
        <w:rPr>
          <w:rFonts w:eastAsia="Times New Roman" w:cs="Arial"/>
          <w:b/>
          <w:bCs/>
          <w:i/>
          <w:iCs/>
          <w:color w:val="000000"/>
          <w:lang w:eastAsia="bg-BG"/>
        </w:rPr>
        <w:t>Ефекти на други лекарствени продукти върху Примолут-Нор</w:t>
      </w:r>
    </w:p>
    <w:p w14:paraId="42FAC1DA" w14:textId="77777777" w:rsidR="00546F12" w:rsidRPr="00546F12" w:rsidRDefault="00546F12" w:rsidP="00546F12">
      <w:pPr>
        <w:spacing w:line="240" w:lineRule="auto"/>
        <w:rPr>
          <w:rFonts w:eastAsia="Times New Roman" w:cs="Arial"/>
          <w:color w:val="000000"/>
          <w:lang w:eastAsia="bg-BG"/>
        </w:rPr>
      </w:pPr>
    </w:p>
    <w:p w14:paraId="3FC17047" w14:textId="7A58FD4F"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Могат да се възникнат взаимодействия с лекарства, които индуцират микрозомални ензими, което може да доведе до повишаване клирънса на половите хормонии и може да доведе до промянава в профила на кървене от матката и/или намаляване на терапевтичния ефект. Това е установено при много лекарства, индуциращи чернодробните ензимни системи (включително фенитоин, барбитурати, примидон, карбамазепин, рифампицин, окскарбазепин, жълт кантарион и рифабутин); гризеофулвин също трябва да се има предвид.</w:t>
      </w:r>
    </w:p>
    <w:p w14:paraId="61F475D3" w14:textId="77777777" w:rsidR="00546F12" w:rsidRPr="00546F12" w:rsidRDefault="00546F12" w:rsidP="00546F12">
      <w:pPr>
        <w:spacing w:line="240" w:lineRule="auto"/>
        <w:rPr>
          <w:rFonts w:eastAsia="Times New Roman" w:cs="Arial"/>
          <w:color w:val="000000"/>
          <w:lang w:eastAsia="bg-BG"/>
        </w:rPr>
      </w:pPr>
    </w:p>
    <w:p w14:paraId="7AFD27EF" w14:textId="14036989"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Ензимна индукция може да се наблюдава след няколко дни лечение. Обикновено максималната ензимна индукция протича в рамките на няколко седмици. След спиране на лекарствената терапия ензимната индукция може да продължи до около 4 седмици.</w:t>
      </w:r>
    </w:p>
    <w:p w14:paraId="32D3660B" w14:textId="77777777" w:rsidR="00546F12" w:rsidRPr="00546F12" w:rsidRDefault="00546F12" w:rsidP="00546F12">
      <w:pPr>
        <w:spacing w:line="240" w:lineRule="auto"/>
        <w:rPr>
          <w:rFonts w:eastAsia="Times New Roman" w:cs="Arial"/>
          <w:i/>
          <w:iCs/>
          <w:color w:val="000000"/>
          <w:lang w:eastAsia="bg-BG"/>
        </w:rPr>
      </w:pPr>
    </w:p>
    <w:p w14:paraId="5CF1FB5A" w14:textId="1BDAC565" w:rsidR="00546F12" w:rsidRPr="00546F12" w:rsidRDefault="00546F12" w:rsidP="00546F12">
      <w:pPr>
        <w:spacing w:line="240" w:lineRule="auto"/>
        <w:rPr>
          <w:rFonts w:eastAsia="Times New Roman" w:cs="Arial"/>
          <w:sz w:val="24"/>
          <w:szCs w:val="24"/>
        </w:rPr>
      </w:pPr>
      <w:r w:rsidRPr="00546F12">
        <w:rPr>
          <w:rFonts w:eastAsia="Times New Roman" w:cs="Arial"/>
          <w:i/>
          <w:iCs/>
          <w:color w:val="000000"/>
          <w:lang w:eastAsia="bg-BG"/>
        </w:rPr>
        <w:t>Вещества повишаващи клирънса на половите хормони (понижена ефикасност, поради ензимна индукция), напр.:</w:t>
      </w:r>
    </w:p>
    <w:p w14:paraId="2AF01847" w14:textId="77777777" w:rsidR="00546F12" w:rsidRPr="00546F12" w:rsidRDefault="00546F12" w:rsidP="00546F12">
      <w:pPr>
        <w:spacing w:line="240" w:lineRule="auto"/>
        <w:rPr>
          <w:rFonts w:eastAsia="Times New Roman" w:cs="Arial"/>
          <w:color w:val="000000"/>
          <w:lang w:eastAsia="bg-BG"/>
        </w:rPr>
      </w:pPr>
    </w:p>
    <w:p w14:paraId="4A448B87" w14:textId="539EF3FF"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Фенитоин, барбитурати, бозентан, примидон, карбамазепин, рифампицин и лекарствата за ХИВ </w:t>
      </w:r>
      <w:r w:rsidRPr="00546F12">
        <w:rPr>
          <w:rFonts w:eastAsia="Times New Roman" w:cs="Arial"/>
          <w:color w:val="000000"/>
        </w:rPr>
        <w:t>(</w:t>
      </w:r>
      <w:r w:rsidRPr="00546F12">
        <w:rPr>
          <w:rFonts w:eastAsia="Times New Roman" w:cs="Arial"/>
          <w:color w:val="000000"/>
          <w:lang w:val="en-US"/>
        </w:rPr>
        <w:t>HIV</w:t>
      </w:r>
      <w:r w:rsidRPr="00546F12">
        <w:rPr>
          <w:rFonts w:eastAsia="Times New Roman" w:cs="Arial"/>
          <w:color w:val="000000"/>
        </w:rPr>
        <w:t xml:space="preserve">) </w:t>
      </w:r>
      <w:r w:rsidRPr="00546F12">
        <w:rPr>
          <w:rFonts w:eastAsia="Times New Roman" w:cs="Arial"/>
          <w:color w:val="000000"/>
          <w:lang w:eastAsia="bg-BG"/>
        </w:rPr>
        <w:t xml:space="preserve">ритонавир, невирапин и ефавиренц, а също така е възможно и окскарбазепин, топирамат, фелбамат, гризеофулвин и продукти, съдържащи растението </w:t>
      </w:r>
      <w:r w:rsidRPr="00546F12">
        <w:rPr>
          <w:rFonts w:eastAsia="Times New Roman" w:cs="Arial"/>
          <w:color w:val="000000"/>
          <w:lang w:val="en-US"/>
        </w:rPr>
        <w:t>St</w:t>
      </w:r>
      <w:r w:rsidRPr="00546F12">
        <w:rPr>
          <w:rFonts w:eastAsia="Times New Roman" w:cs="Arial"/>
          <w:color w:val="000000"/>
        </w:rPr>
        <w:t xml:space="preserve">. </w:t>
      </w:r>
      <w:r w:rsidRPr="00546F12">
        <w:rPr>
          <w:rFonts w:eastAsia="Times New Roman" w:cs="Arial"/>
          <w:color w:val="000000"/>
          <w:lang w:val="en-US"/>
        </w:rPr>
        <w:t>John</w:t>
      </w:r>
      <w:r w:rsidRPr="00546F12">
        <w:rPr>
          <w:rFonts w:eastAsia="Times New Roman" w:cs="Arial"/>
          <w:color w:val="000000"/>
        </w:rPr>
        <w:t xml:space="preserve"> </w:t>
      </w:r>
      <w:r w:rsidRPr="00546F12">
        <w:rPr>
          <w:rFonts w:eastAsia="Times New Roman" w:cs="Arial"/>
          <w:color w:val="000000"/>
          <w:lang w:eastAsia="bg-BG"/>
        </w:rPr>
        <w:t>(жълт кантарион).</w:t>
      </w:r>
    </w:p>
    <w:p w14:paraId="30BE9EB1" w14:textId="77777777" w:rsidR="00546F12" w:rsidRPr="00546F12" w:rsidRDefault="00546F12" w:rsidP="00546F12">
      <w:pPr>
        <w:spacing w:line="240" w:lineRule="auto"/>
        <w:rPr>
          <w:rFonts w:eastAsia="Times New Roman" w:cs="Arial"/>
          <w:i/>
          <w:iCs/>
          <w:color w:val="000000"/>
          <w:lang w:eastAsia="bg-BG"/>
        </w:rPr>
      </w:pPr>
    </w:p>
    <w:p w14:paraId="42A9A018" w14:textId="04E3C30E" w:rsidR="00546F12" w:rsidRPr="00546F12" w:rsidRDefault="00546F12" w:rsidP="00546F12">
      <w:pPr>
        <w:spacing w:line="240" w:lineRule="auto"/>
        <w:rPr>
          <w:rFonts w:eastAsia="Times New Roman" w:cs="Arial"/>
          <w:sz w:val="24"/>
          <w:szCs w:val="24"/>
        </w:rPr>
      </w:pPr>
      <w:r w:rsidRPr="00546F12">
        <w:rPr>
          <w:rFonts w:eastAsia="Times New Roman" w:cs="Arial"/>
          <w:i/>
          <w:iCs/>
          <w:color w:val="000000"/>
          <w:lang w:eastAsia="bg-BG"/>
        </w:rPr>
        <w:lastRenderedPageBreak/>
        <w:t>Вещества с различни ефекти върху клирънса на половите хормони, напр.:</w:t>
      </w:r>
    </w:p>
    <w:p w14:paraId="6A880F55" w14:textId="77777777" w:rsidR="00546F12" w:rsidRPr="00546F12" w:rsidRDefault="00546F12" w:rsidP="00546F12">
      <w:pPr>
        <w:spacing w:line="240" w:lineRule="auto"/>
        <w:rPr>
          <w:rFonts w:eastAsia="Times New Roman" w:cs="Arial"/>
          <w:color w:val="000000"/>
          <w:lang w:eastAsia="bg-BG"/>
        </w:rPr>
      </w:pPr>
    </w:p>
    <w:p w14:paraId="006FA1B3" w14:textId="69413038"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При едновременно приложение с полови хормони, много </w:t>
      </w:r>
      <w:r w:rsidRPr="00546F12">
        <w:rPr>
          <w:rFonts w:eastAsia="Times New Roman" w:cs="Arial"/>
          <w:color w:val="000000"/>
          <w:lang w:val="en-US"/>
        </w:rPr>
        <w:t>HIV</w:t>
      </w:r>
      <w:r w:rsidRPr="00546F12">
        <w:rPr>
          <w:rFonts w:eastAsia="Times New Roman" w:cs="Arial"/>
          <w:color w:val="000000"/>
          <w:lang w:val="ru-RU"/>
        </w:rPr>
        <w:t>/</w:t>
      </w:r>
      <w:r w:rsidRPr="00546F12">
        <w:rPr>
          <w:rFonts w:eastAsia="Times New Roman" w:cs="Arial"/>
          <w:color w:val="000000"/>
          <w:lang w:val="en-US"/>
        </w:rPr>
        <w:t>HCV</w:t>
      </w:r>
      <w:r w:rsidRPr="00546F12">
        <w:rPr>
          <w:rFonts w:eastAsia="Times New Roman" w:cs="Arial"/>
          <w:color w:val="000000"/>
          <w:lang w:val="ru-RU"/>
        </w:rPr>
        <w:t xml:space="preserve"> </w:t>
      </w:r>
      <w:r w:rsidRPr="00546F12">
        <w:rPr>
          <w:rFonts w:eastAsia="Times New Roman" w:cs="Arial"/>
          <w:color w:val="000000"/>
          <w:lang w:eastAsia="bg-BG"/>
        </w:rPr>
        <w:t>протеазни инхибитори и ненуклеозидни инхибитори на обратната транскриптаза може да повишат или намалят плазмените концентрации на естроген или прогестин. Тези промени може да бъдат клинично значими в някои случаи.</w:t>
      </w:r>
    </w:p>
    <w:p w14:paraId="120C1DC1" w14:textId="77777777" w:rsidR="00546F12" w:rsidRPr="00546F12" w:rsidRDefault="00546F12" w:rsidP="00546F12">
      <w:pPr>
        <w:spacing w:line="240" w:lineRule="auto"/>
        <w:rPr>
          <w:rFonts w:eastAsia="Times New Roman" w:cs="Arial"/>
          <w:i/>
          <w:iCs/>
          <w:color w:val="000000"/>
          <w:lang w:eastAsia="bg-BG"/>
        </w:rPr>
      </w:pPr>
    </w:p>
    <w:p w14:paraId="559AEF7F" w14:textId="54491088" w:rsidR="00546F12" w:rsidRPr="00546F12" w:rsidRDefault="00546F12" w:rsidP="00546F12">
      <w:pPr>
        <w:spacing w:line="240" w:lineRule="auto"/>
        <w:rPr>
          <w:rFonts w:eastAsia="Times New Roman" w:cs="Arial"/>
          <w:sz w:val="24"/>
          <w:szCs w:val="24"/>
        </w:rPr>
      </w:pPr>
      <w:r w:rsidRPr="00546F12">
        <w:rPr>
          <w:rFonts w:eastAsia="Times New Roman" w:cs="Arial"/>
          <w:i/>
          <w:iCs/>
          <w:color w:val="000000"/>
          <w:lang w:eastAsia="bg-BG"/>
        </w:rPr>
        <w:t>Вещества, понижаващи клирънса на половите хормони (ензимни инхибитори)</w:t>
      </w:r>
    </w:p>
    <w:p w14:paraId="33E2C011"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Клиничното значение на потенциалните взаимодействия с ензимните инхибитори остава неизвестно. Силни и умерено силни инхибитори на </w:t>
      </w:r>
      <w:r w:rsidRPr="00546F12">
        <w:rPr>
          <w:rFonts w:eastAsia="Times New Roman" w:cs="Arial"/>
          <w:color w:val="000000"/>
          <w:lang w:val="en-US"/>
        </w:rPr>
        <w:t>CYP</w:t>
      </w:r>
      <w:r w:rsidRPr="00546F12">
        <w:rPr>
          <w:rFonts w:eastAsia="Times New Roman" w:cs="Arial"/>
          <w:color w:val="000000"/>
          <w:lang w:val="ru-RU"/>
        </w:rPr>
        <w:t>3</w:t>
      </w:r>
      <w:r w:rsidRPr="00546F12">
        <w:rPr>
          <w:rFonts w:eastAsia="Times New Roman" w:cs="Arial"/>
          <w:color w:val="000000"/>
          <w:lang w:val="en-US"/>
        </w:rPr>
        <w:t>A</w:t>
      </w:r>
      <w:r w:rsidRPr="00546F12">
        <w:rPr>
          <w:rFonts w:eastAsia="Times New Roman" w:cs="Arial"/>
          <w:color w:val="000000"/>
          <w:lang w:val="ru-RU"/>
        </w:rPr>
        <w:t xml:space="preserve">4 </w:t>
      </w:r>
      <w:r w:rsidRPr="00546F12">
        <w:rPr>
          <w:rFonts w:eastAsia="Times New Roman" w:cs="Arial"/>
          <w:color w:val="000000"/>
          <w:lang w:eastAsia="bg-BG"/>
        </w:rPr>
        <w:t>като азоловите антимикотици (напр. итраконазол, вориконазол, флуконазол), верапамил, макролиди (напр. кларитромицин, еритромицин), дилтиазем и сок от грейпфрут могат да повишат плазмените концентрации на естроген или прогестин, или и двете.</w:t>
      </w:r>
    </w:p>
    <w:p w14:paraId="1CEF24D2"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Приложението на еторикоксиб в дози от 60 до 120 </w:t>
      </w:r>
      <w:r w:rsidRPr="00546F12">
        <w:rPr>
          <w:rFonts w:eastAsia="Times New Roman" w:cs="Arial"/>
          <w:color w:val="000000"/>
          <w:lang w:val="en-US"/>
        </w:rPr>
        <w:t>mg</w:t>
      </w:r>
      <w:r w:rsidRPr="00546F12">
        <w:rPr>
          <w:rFonts w:eastAsia="Times New Roman" w:cs="Arial"/>
          <w:color w:val="000000"/>
          <w:lang w:eastAsia="bg-BG"/>
        </w:rPr>
        <w:t xml:space="preserve">/ден показва повишаване на плазмените концентрации на етинилестрадиол 1,4- до 1,6 пъти, съответно когато се приема едновременно с комбиниран хормонален контрацептив, съдържащ 0,035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етинилестрадиол.</w:t>
      </w:r>
    </w:p>
    <w:p w14:paraId="5F5F9B4A" w14:textId="77777777" w:rsidR="00546F12" w:rsidRPr="00546F12" w:rsidRDefault="00546F12" w:rsidP="00546F12">
      <w:pPr>
        <w:spacing w:line="240" w:lineRule="auto"/>
        <w:rPr>
          <w:rFonts w:eastAsia="Times New Roman" w:cs="Arial"/>
          <w:b/>
          <w:bCs/>
          <w:i/>
          <w:iCs/>
          <w:color w:val="000000"/>
          <w:lang w:eastAsia="bg-BG"/>
        </w:rPr>
      </w:pPr>
    </w:p>
    <w:p w14:paraId="1D643B32" w14:textId="16874B47" w:rsidR="00546F12" w:rsidRPr="00546F12" w:rsidRDefault="00546F12" w:rsidP="00546F12">
      <w:pPr>
        <w:spacing w:line="240" w:lineRule="auto"/>
        <w:rPr>
          <w:rFonts w:eastAsia="Times New Roman" w:cs="Arial"/>
          <w:sz w:val="24"/>
          <w:szCs w:val="24"/>
        </w:rPr>
      </w:pPr>
      <w:r w:rsidRPr="00546F12">
        <w:rPr>
          <w:rFonts w:eastAsia="Times New Roman" w:cs="Arial"/>
          <w:b/>
          <w:bCs/>
          <w:i/>
          <w:iCs/>
          <w:color w:val="000000"/>
          <w:lang w:eastAsia="bg-BG"/>
        </w:rPr>
        <w:t>Ефекти на Примолут-Нор върху другите лекарствени продукти</w:t>
      </w:r>
    </w:p>
    <w:p w14:paraId="1CBB30BA" w14:textId="77777777" w:rsidR="00546F12" w:rsidRPr="00546F12" w:rsidRDefault="00546F12" w:rsidP="00546F12">
      <w:pPr>
        <w:spacing w:line="240" w:lineRule="auto"/>
        <w:rPr>
          <w:rFonts w:eastAsia="Times New Roman" w:cs="Arial"/>
          <w:color w:val="000000"/>
          <w:lang w:eastAsia="bg-BG"/>
        </w:rPr>
      </w:pPr>
    </w:p>
    <w:p w14:paraId="293FBBC4" w14:textId="71D53E12"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Прогестогените могат да повлияят метаболизма на други лекарства. Съответно, плазмените и тьканните им концентрации може да бъдат или увеличени (напр. циклоспорин) или намалени (напр. ламотригин).</w:t>
      </w:r>
    </w:p>
    <w:p w14:paraId="0D131670"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Клиничните данни показват, че етинилестрадиол инхибира клирънса на </w:t>
      </w:r>
      <w:r w:rsidRPr="00546F12">
        <w:rPr>
          <w:rFonts w:eastAsia="Times New Roman" w:cs="Arial"/>
          <w:color w:val="000000"/>
          <w:lang w:val="en-US"/>
        </w:rPr>
        <w:t>CYP</w:t>
      </w:r>
      <w:r w:rsidRPr="00546F12">
        <w:rPr>
          <w:rFonts w:eastAsia="Times New Roman" w:cs="Arial"/>
          <w:color w:val="000000"/>
          <w:lang w:val="ru-RU"/>
        </w:rPr>
        <w:t>1</w:t>
      </w:r>
      <w:r w:rsidRPr="00546F12">
        <w:rPr>
          <w:rFonts w:eastAsia="Times New Roman" w:cs="Arial"/>
          <w:color w:val="000000"/>
          <w:lang w:val="en-US"/>
        </w:rPr>
        <w:t>A</w:t>
      </w:r>
      <w:r w:rsidRPr="00546F12">
        <w:rPr>
          <w:rFonts w:eastAsia="Times New Roman" w:cs="Arial"/>
          <w:color w:val="000000"/>
          <w:lang w:val="ru-RU"/>
        </w:rPr>
        <w:t xml:space="preserve">2 </w:t>
      </w:r>
      <w:r w:rsidRPr="00546F12">
        <w:rPr>
          <w:rFonts w:eastAsia="Times New Roman" w:cs="Arial"/>
          <w:color w:val="000000"/>
          <w:lang w:eastAsia="bg-BG"/>
        </w:rPr>
        <w:t>субстратите, което води до слабо (напр. теофилин) или умерено (напр.тизанидин) повишаване на плазмената концентрация.</w:t>
      </w:r>
    </w:p>
    <w:p w14:paraId="36FCFE40" w14:textId="77777777" w:rsidR="00546F12" w:rsidRPr="00546F12" w:rsidRDefault="00546F12" w:rsidP="00546F12">
      <w:pPr>
        <w:spacing w:line="240" w:lineRule="auto"/>
        <w:rPr>
          <w:rFonts w:eastAsia="Times New Roman" w:cs="Arial"/>
          <w:b/>
          <w:bCs/>
          <w:i/>
          <w:iCs/>
          <w:color w:val="000000"/>
          <w:lang w:eastAsia="bg-BG"/>
        </w:rPr>
      </w:pPr>
    </w:p>
    <w:p w14:paraId="30507E10" w14:textId="18E57D1A" w:rsidR="00546F12" w:rsidRPr="00546F12" w:rsidRDefault="00546F12" w:rsidP="00546F12">
      <w:pPr>
        <w:spacing w:line="240" w:lineRule="auto"/>
        <w:rPr>
          <w:rFonts w:eastAsia="Times New Roman" w:cs="Arial"/>
          <w:sz w:val="24"/>
          <w:szCs w:val="24"/>
        </w:rPr>
      </w:pPr>
      <w:r w:rsidRPr="00546F12">
        <w:rPr>
          <w:rFonts w:eastAsia="Times New Roman" w:cs="Arial"/>
          <w:b/>
          <w:bCs/>
          <w:i/>
          <w:iCs/>
          <w:color w:val="000000"/>
          <w:lang w:eastAsia="bg-BG"/>
        </w:rPr>
        <w:t>Фармакодинамични взаимодействия</w:t>
      </w:r>
    </w:p>
    <w:p w14:paraId="3C800687" w14:textId="77777777" w:rsidR="00546F12" w:rsidRPr="00546F12" w:rsidRDefault="00546F12" w:rsidP="00546F12">
      <w:pPr>
        <w:spacing w:line="240" w:lineRule="auto"/>
        <w:rPr>
          <w:rFonts w:eastAsia="Times New Roman" w:cs="Arial"/>
          <w:color w:val="000000"/>
          <w:lang w:eastAsia="bg-BG"/>
        </w:rPr>
      </w:pPr>
    </w:p>
    <w:p w14:paraId="1B00E835" w14:textId="22B2B2BF"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Едновременната употреба с лекарствени продукти, съдържащи омбитасвир/паритапревир/ритонавир и дасабувир, със или без рибавирин може да увеличи риска от повишаване на АЛАТ (вж.точка 4.3 и 4.4). Приемът на Примолут-Нор може да се започне отново 2 седмици след завършване на този комбиниран режим на лечение.</w:t>
      </w:r>
    </w:p>
    <w:p w14:paraId="161AB02D" w14:textId="77777777" w:rsidR="00546F12" w:rsidRPr="00546F12" w:rsidRDefault="00546F12" w:rsidP="00546F12">
      <w:pPr>
        <w:rPr>
          <w:rFonts w:eastAsia="Times New Roman" w:cs="Arial"/>
          <w:b/>
          <w:bCs/>
          <w:i/>
          <w:iCs/>
          <w:color w:val="000000"/>
          <w:lang w:eastAsia="bg-BG"/>
        </w:rPr>
      </w:pPr>
    </w:p>
    <w:p w14:paraId="27E9C756" w14:textId="7B75C4AA" w:rsidR="00546F12" w:rsidRDefault="00546F12" w:rsidP="00546F12">
      <w:pPr>
        <w:rPr>
          <w:rFonts w:eastAsia="Times New Roman" w:cs="Arial"/>
          <w:b/>
          <w:bCs/>
          <w:i/>
          <w:iCs/>
          <w:color w:val="000000"/>
          <w:lang w:eastAsia="bg-BG"/>
        </w:rPr>
      </w:pPr>
      <w:r w:rsidRPr="00546F12">
        <w:rPr>
          <w:rFonts w:eastAsia="Times New Roman" w:cs="Arial"/>
          <w:b/>
          <w:bCs/>
          <w:i/>
          <w:iCs/>
          <w:color w:val="000000"/>
          <w:lang w:eastAsia="bg-BG"/>
        </w:rPr>
        <w:t>Други форми на взаимодействие</w:t>
      </w:r>
    </w:p>
    <w:p w14:paraId="7006A6C4" w14:textId="4A389487" w:rsidR="00546F12" w:rsidRDefault="00546F12" w:rsidP="00546F12">
      <w:pPr>
        <w:rPr>
          <w:rFonts w:eastAsia="Times New Roman" w:cs="Arial"/>
          <w:b/>
          <w:bCs/>
          <w:i/>
          <w:iCs/>
          <w:color w:val="000000"/>
          <w:lang w:eastAsia="bg-BG"/>
        </w:rPr>
      </w:pPr>
    </w:p>
    <w:p w14:paraId="5B1AC8C0" w14:textId="701AB950" w:rsidR="00546F12" w:rsidRPr="00546F12" w:rsidRDefault="00546F12" w:rsidP="00546F12">
      <w:pPr>
        <w:pStyle w:val="ListParagraph"/>
        <w:numPr>
          <w:ilvl w:val="0"/>
          <w:numId w:val="34"/>
        </w:numPr>
        <w:rPr>
          <w:sz w:val="24"/>
          <w:szCs w:val="24"/>
        </w:rPr>
      </w:pPr>
      <w:r w:rsidRPr="00546F12">
        <w:rPr>
          <w:lang w:eastAsia="bg-BG"/>
        </w:rPr>
        <w:t>Лабораторни изследвания</w:t>
      </w:r>
    </w:p>
    <w:p w14:paraId="13CE0FFE" w14:textId="77777777" w:rsidR="00546F12" w:rsidRDefault="00546F12" w:rsidP="00546F12">
      <w:pPr>
        <w:rPr>
          <w:lang w:eastAsia="bg-BG"/>
        </w:rPr>
      </w:pPr>
    </w:p>
    <w:p w14:paraId="2D945A66" w14:textId="2F5CBD11" w:rsidR="00546F12" w:rsidRPr="00546F12" w:rsidRDefault="00546F12" w:rsidP="00546F12">
      <w:pPr>
        <w:rPr>
          <w:sz w:val="24"/>
          <w:szCs w:val="24"/>
        </w:rPr>
      </w:pPr>
      <w:r w:rsidRPr="00546F12">
        <w:rPr>
          <w:lang w:eastAsia="bg-BG"/>
        </w:rPr>
        <w:t>Използването на прогестогени може да промени резултатите от определени лабораторни изследвания, включително биохимични параметри на чернодробна, щитовидна, надбъбречна и бъбречна функция, плазмените нива на (транспортните) протеини, напр. кортикостероид-свързващия глобулин и липидни/липопротеинни фракции, параметри на въглехидратния метаболизъм и параметри на кръвосъсирването и фибринолизата. Промените обикновено остават в нормалните лабораторни граници.</w:t>
      </w:r>
    </w:p>
    <w:p w14:paraId="77A6EB76" w14:textId="77777777" w:rsidR="00546F12" w:rsidRPr="00546F12" w:rsidRDefault="00546F12" w:rsidP="00546F12">
      <w:pPr>
        <w:rPr>
          <w:rFonts w:cs="Arial"/>
        </w:rPr>
      </w:pPr>
    </w:p>
    <w:p w14:paraId="6EADE4D6" w14:textId="13BA1ACB" w:rsidR="00395555" w:rsidRDefault="002C50EE" w:rsidP="008A6AF2">
      <w:pPr>
        <w:pStyle w:val="Heading2"/>
      </w:pPr>
      <w:r>
        <w:t>4.6. Фертилитет, бременност и кърмене</w:t>
      </w:r>
    </w:p>
    <w:p w14:paraId="65A2A706" w14:textId="2BEE83BF" w:rsidR="00546F12" w:rsidRDefault="00546F12" w:rsidP="00546F12"/>
    <w:p w14:paraId="41B5DF19" w14:textId="77777777" w:rsidR="00546F12" w:rsidRPr="00546F12" w:rsidRDefault="00546F12" w:rsidP="00546F12">
      <w:pPr>
        <w:pStyle w:val="Heading3"/>
        <w:rPr>
          <w:rFonts w:eastAsia="Times New Roman"/>
          <w:u w:val="single"/>
        </w:rPr>
      </w:pPr>
      <w:r w:rsidRPr="00546F12">
        <w:rPr>
          <w:rFonts w:eastAsia="Times New Roman"/>
          <w:u w:val="single"/>
          <w:lang w:eastAsia="bg-BG"/>
        </w:rPr>
        <w:lastRenderedPageBreak/>
        <w:t>Бременност</w:t>
      </w:r>
    </w:p>
    <w:p w14:paraId="793C8CBF" w14:textId="77777777" w:rsidR="00546F12" w:rsidRPr="00546F12" w:rsidRDefault="00546F12" w:rsidP="00546F12">
      <w:pPr>
        <w:rPr>
          <w:sz w:val="24"/>
          <w:szCs w:val="24"/>
        </w:rPr>
      </w:pPr>
      <w:r w:rsidRPr="00546F12">
        <w:rPr>
          <w:lang w:eastAsia="bg-BG"/>
        </w:rPr>
        <w:t>Употребата на Примолут-Нор по време на бременност е противопоказана.</w:t>
      </w:r>
    </w:p>
    <w:p w14:paraId="71042E2E" w14:textId="77777777" w:rsidR="00546F12" w:rsidRDefault="00546F12" w:rsidP="00546F12">
      <w:pPr>
        <w:rPr>
          <w:lang w:eastAsia="bg-BG"/>
        </w:rPr>
      </w:pPr>
    </w:p>
    <w:p w14:paraId="22F068A2" w14:textId="7CFC2AD5" w:rsidR="00546F12" w:rsidRPr="00546F12" w:rsidRDefault="00546F12" w:rsidP="00546F12">
      <w:pPr>
        <w:pStyle w:val="Heading3"/>
        <w:rPr>
          <w:rFonts w:eastAsia="Times New Roman"/>
          <w:u w:val="single"/>
        </w:rPr>
      </w:pPr>
      <w:r w:rsidRPr="00546F12">
        <w:rPr>
          <w:rFonts w:eastAsia="Times New Roman"/>
          <w:u w:val="single"/>
          <w:lang w:eastAsia="bg-BG"/>
        </w:rPr>
        <w:t>Кърмене</w:t>
      </w:r>
    </w:p>
    <w:p w14:paraId="7BEAE265" w14:textId="77777777" w:rsidR="00546F12" w:rsidRPr="00546F12" w:rsidRDefault="00546F12" w:rsidP="00546F12">
      <w:pPr>
        <w:rPr>
          <w:sz w:val="24"/>
          <w:szCs w:val="24"/>
        </w:rPr>
      </w:pPr>
      <w:r w:rsidRPr="00546F12">
        <w:rPr>
          <w:lang w:eastAsia="bg-BG"/>
        </w:rPr>
        <w:t>Примолут-Нор не трябва да се използва по време на кърмене.</w:t>
      </w:r>
    </w:p>
    <w:p w14:paraId="784105CF" w14:textId="77777777" w:rsidR="00546F12" w:rsidRPr="00546F12" w:rsidRDefault="00546F12" w:rsidP="00546F12"/>
    <w:p w14:paraId="5766770B" w14:textId="486C7DD7" w:rsidR="00395555" w:rsidRDefault="002C50EE" w:rsidP="008A6AF2">
      <w:pPr>
        <w:pStyle w:val="Heading2"/>
      </w:pPr>
      <w:r>
        <w:t>4.7. Ефекти върху способността за шофиране и работа с машини</w:t>
      </w:r>
    </w:p>
    <w:p w14:paraId="052486F0" w14:textId="655952E4" w:rsidR="00546F12" w:rsidRDefault="00546F12" w:rsidP="00546F12"/>
    <w:p w14:paraId="2ECDED64" w14:textId="11D25E46" w:rsidR="00546F12" w:rsidRDefault="00546F12" w:rsidP="00546F12">
      <w:r>
        <w:t>Не са известни.</w:t>
      </w:r>
    </w:p>
    <w:p w14:paraId="4E77643E" w14:textId="77777777" w:rsidR="00546F12" w:rsidRPr="00546F12" w:rsidRDefault="00546F12" w:rsidP="00546F12"/>
    <w:p w14:paraId="4FE16E21" w14:textId="554D7CEF" w:rsidR="00395555" w:rsidRDefault="002C50EE" w:rsidP="008A6AF2">
      <w:pPr>
        <w:pStyle w:val="Heading2"/>
      </w:pPr>
      <w:r>
        <w:t>4.8. Нежелани лекарствени реакции</w:t>
      </w:r>
    </w:p>
    <w:p w14:paraId="18BEB192" w14:textId="66AEF239" w:rsidR="00546F12" w:rsidRDefault="00546F12" w:rsidP="00546F12"/>
    <w:p w14:paraId="2FFF8CF1" w14:textId="77777777" w:rsidR="00546F12" w:rsidRPr="00546F12" w:rsidRDefault="00546F12" w:rsidP="00546F12">
      <w:pPr>
        <w:rPr>
          <w:sz w:val="24"/>
          <w:szCs w:val="24"/>
        </w:rPr>
      </w:pPr>
      <w:r w:rsidRPr="00546F12">
        <w:rPr>
          <w:lang w:eastAsia="bg-BG"/>
        </w:rPr>
        <w:t>Нежеланите лекарствени реакции са по-чести през първите месеци след началото на приема на Примолут-Нор и намаляват с продължение на терапията. В допълнение към нежеланите реакции изброени в точка 4.4 “Специални предупреждения и предпазни мерки при употреба” при приемащите Примолут-Нор, са наблюдавани следните нежелани реакции, въпреки че причинно-следствената връзка не винаги може да бъде потвърдена.</w:t>
      </w:r>
    </w:p>
    <w:p w14:paraId="6B216618" w14:textId="77777777" w:rsidR="00546F12" w:rsidRDefault="00546F12" w:rsidP="00546F12">
      <w:pPr>
        <w:rPr>
          <w:lang w:eastAsia="bg-BG"/>
        </w:rPr>
      </w:pPr>
    </w:p>
    <w:p w14:paraId="608F59C9" w14:textId="1C8FC3E3" w:rsidR="00546F12" w:rsidRDefault="00546F12" w:rsidP="00546F12">
      <w:pPr>
        <w:rPr>
          <w:lang w:eastAsia="bg-BG"/>
        </w:rPr>
      </w:pPr>
      <w:r w:rsidRPr="00546F12">
        <w:rPr>
          <w:lang w:eastAsia="bg-BG"/>
        </w:rPr>
        <w:t xml:space="preserve">В таблицата по-долу са представени нежелани реакции по </w:t>
      </w:r>
      <w:proofErr w:type="spellStart"/>
      <w:r w:rsidRPr="00546F12">
        <w:rPr>
          <w:lang w:val="en-US"/>
        </w:rPr>
        <w:t>MedDRA</w:t>
      </w:r>
      <w:proofErr w:type="spellEnd"/>
      <w:r w:rsidRPr="00546F12">
        <w:rPr>
          <w:lang w:val="ru-RU"/>
        </w:rPr>
        <w:t xml:space="preserve"> (</w:t>
      </w:r>
      <w:proofErr w:type="spellStart"/>
      <w:r w:rsidRPr="00546F12">
        <w:rPr>
          <w:lang w:val="en-US"/>
        </w:rPr>
        <w:t>MedDRA</w:t>
      </w:r>
      <w:proofErr w:type="spellEnd"/>
      <w:r w:rsidRPr="00546F12">
        <w:rPr>
          <w:lang w:val="ru-RU"/>
        </w:rPr>
        <w:t xml:space="preserve"> </w:t>
      </w:r>
      <w:r w:rsidRPr="00546F12">
        <w:rPr>
          <w:lang w:val="en-US"/>
        </w:rPr>
        <w:t>SOC</w:t>
      </w:r>
      <w:r w:rsidRPr="00546F12">
        <w:rPr>
          <w:lang w:val="ru-RU"/>
        </w:rPr>
        <w:t xml:space="preserve">) </w:t>
      </w:r>
      <w:r w:rsidRPr="00546F12">
        <w:rPr>
          <w:lang w:eastAsia="bg-BG"/>
        </w:rPr>
        <w:t>системо-органни класове. Честотата е основана на постмаркетингов опит и литературни данни.</w:t>
      </w:r>
    </w:p>
    <w:p w14:paraId="525AA7D1" w14:textId="7AE4DA48" w:rsidR="00546F12" w:rsidRDefault="00546F12" w:rsidP="00546F12">
      <w:pPr>
        <w:rPr>
          <w:lang w:eastAsia="bg-BG"/>
        </w:rPr>
      </w:pPr>
    </w:p>
    <w:tbl>
      <w:tblPr>
        <w:tblStyle w:val="TableGrid"/>
        <w:tblW w:w="0" w:type="auto"/>
        <w:tblLook w:val="04A0" w:firstRow="1" w:lastRow="0" w:firstColumn="1" w:lastColumn="0" w:noHBand="0" w:noVBand="1"/>
      </w:tblPr>
      <w:tblGrid>
        <w:gridCol w:w="2042"/>
        <w:gridCol w:w="1695"/>
        <w:gridCol w:w="1500"/>
        <w:gridCol w:w="1284"/>
        <w:gridCol w:w="1679"/>
        <w:gridCol w:w="1376"/>
      </w:tblGrid>
      <w:tr w:rsidR="00546F12" w14:paraId="36ACA08D" w14:textId="77777777" w:rsidTr="00546F12">
        <w:tc>
          <w:tcPr>
            <w:tcW w:w="2042" w:type="dxa"/>
          </w:tcPr>
          <w:p w14:paraId="1C4DA89E" w14:textId="498055BA" w:rsidR="00546F12" w:rsidRDefault="00546F12" w:rsidP="00546F12">
            <w:r>
              <w:rPr>
                <w:b/>
                <w:bCs/>
              </w:rPr>
              <w:t xml:space="preserve">Системо- органен клас </w:t>
            </w:r>
            <w:r>
              <w:rPr>
                <w:b/>
                <w:bCs/>
                <w:lang w:val="en-US"/>
              </w:rPr>
              <w:t>(</w:t>
            </w:r>
            <w:proofErr w:type="spellStart"/>
            <w:r>
              <w:rPr>
                <w:b/>
                <w:bCs/>
                <w:lang w:val="en-US"/>
              </w:rPr>
              <w:t>MedDRA</w:t>
            </w:r>
            <w:proofErr w:type="spellEnd"/>
            <w:r>
              <w:rPr>
                <w:b/>
                <w:bCs/>
                <w:lang w:val="en-US"/>
              </w:rPr>
              <w:t>)</w:t>
            </w:r>
          </w:p>
        </w:tc>
        <w:tc>
          <w:tcPr>
            <w:tcW w:w="1695" w:type="dxa"/>
          </w:tcPr>
          <w:p w14:paraId="6A4A6E57" w14:textId="5B65AA11" w:rsidR="00546F12" w:rsidRDefault="00546F12" w:rsidP="00546F12">
            <w:r>
              <w:rPr>
                <w:b/>
                <w:bCs/>
              </w:rPr>
              <w:t>Много чести (</w:t>
            </w:r>
            <w:r>
              <w:rPr>
                <w:b/>
                <w:bCs/>
                <w:lang w:val="en-US"/>
              </w:rPr>
              <w:t>≥</w:t>
            </w:r>
            <w:r>
              <w:rPr>
                <w:b/>
                <w:bCs/>
              </w:rPr>
              <w:t xml:space="preserve"> 1/ 10)</w:t>
            </w:r>
          </w:p>
        </w:tc>
        <w:tc>
          <w:tcPr>
            <w:tcW w:w="1500" w:type="dxa"/>
          </w:tcPr>
          <w:p w14:paraId="663A44C9" w14:textId="77777777" w:rsidR="00546F12" w:rsidRDefault="00546F12" w:rsidP="00546F12">
            <w:r>
              <w:rPr>
                <w:b/>
                <w:bCs/>
              </w:rPr>
              <w:t>Чести (</w:t>
            </w:r>
            <w:r>
              <w:rPr>
                <w:b/>
                <w:bCs/>
                <w:lang w:val="en-US"/>
              </w:rPr>
              <w:t>≥</w:t>
            </w:r>
            <w:r>
              <w:rPr>
                <w:b/>
                <w:bCs/>
              </w:rPr>
              <w:t xml:space="preserve"> 1/100 до</w:t>
            </w:r>
          </w:p>
          <w:p w14:paraId="4478019B" w14:textId="646DC176" w:rsidR="00546F12" w:rsidRDefault="00546F12" w:rsidP="00546F12">
            <w:r>
              <w:rPr>
                <w:b/>
                <w:bCs/>
              </w:rPr>
              <w:t>&lt;1/10)</w:t>
            </w:r>
          </w:p>
        </w:tc>
        <w:tc>
          <w:tcPr>
            <w:tcW w:w="1284" w:type="dxa"/>
          </w:tcPr>
          <w:p w14:paraId="61A3C207" w14:textId="77777777" w:rsidR="00546F12" w:rsidRDefault="00546F12" w:rsidP="00546F12">
            <w:r>
              <w:rPr>
                <w:b/>
                <w:bCs/>
              </w:rPr>
              <w:t>Нечести (</w:t>
            </w:r>
            <w:r>
              <w:rPr>
                <w:b/>
                <w:bCs/>
                <w:lang w:val="en-US"/>
              </w:rPr>
              <w:t>≥</w:t>
            </w:r>
            <w:r>
              <w:rPr>
                <w:b/>
                <w:bCs/>
              </w:rPr>
              <w:t>1/1 000 до</w:t>
            </w:r>
          </w:p>
          <w:p w14:paraId="4AE276C4" w14:textId="6257718A" w:rsidR="00546F12" w:rsidRDefault="00546F12" w:rsidP="00546F12">
            <w:r>
              <w:rPr>
                <w:b/>
                <w:bCs/>
              </w:rPr>
              <w:t>&lt;1/100)</w:t>
            </w:r>
          </w:p>
        </w:tc>
        <w:tc>
          <w:tcPr>
            <w:tcW w:w="1679" w:type="dxa"/>
          </w:tcPr>
          <w:p w14:paraId="6CF326C6" w14:textId="4FABA3A8" w:rsidR="00546F12" w:rsidRDefault="00546F12" w:rsidP="00546F12">
            <w:r>
              <w:rPr>
                <w:b/>
                <w:bCs/>
              </w:rPr>
              <w:t>Редки (</w:t>
            </w:r>
            <w:r>
              <w:rPr>
                <w:lang w:val="en-US"/>
              </w:rPr>
              <w:t>≥</w:t>
            </w:r>
            <w:r>
              <w:rPr>
                <w:b/>
                <w:bCs/>
              </w:rPr>
              <w:t>1/10 000 до &lt;1 000)</w:t>
            </w:r>
          </w:p>
        </w:tc>
        <w:tc>
          <w:tcPr>
            <w:tcW w:w="1376" w:type="dxa"/>
          </w:tcPr>
          <w:p w14:paraId="47237782" w14:textId="06B24CC9" w:rsidR="00546F12" w:rsidRDefault="00546F12" w:rsidP="00546F12">
            <w:r>
              <w:rPr>
                <w:b/>
                <w:bCs/>
              </w:rPr>
              <w:t>Много редки (&lt;1/10 000)</w:t>
            </w:r>
          </w:p>
        </w:tc>
      </w:tr>
      <w:tr w:rsidR="00546F12" w14:paraId="5985D8E2" w14:textId="77777777" w:rsidTr="00546F12">
        <w:tc>
          <w:tcPr>
            <w:tcW w:w="2042" w:type="dxa"/>
          </w:tcPr>
          <w:p w14:paraId="17981166" w14:textId="01386BF4" w:rsidR="00546F12" w:rsidRDefault="00546F12" w:rsidP="00546F12">
            <w:r>
              <w:rPr>
                <w:b/>
                <w:bCs/>
              </w:rPr>
              <w:t>Нарушения на имунната система</w:t>
            </w:r>
          </w:p>
        </w:tc>
        <w:tc>
          <w:tcPr>
            <w:tcW w:w="1695" w:type="dxa"/>
          </w:tcPr>
          <w:p w14:paraId="3FE0372B" w14:textId="77777777" w:rsidR="00546F12" w:rsidRDefault="00546F12" w:rsidP="00546F12"/>
        </w:tc>
        <w:tc>
          <w:tcPr>
            <w:tcW w:w="1500" w:type="dxa"/>
          </w:tcPr>
          <w:p w14:paraId="17B1408B" w14:textId="77777777" w:rsidR="00546F12" w:rsidRDefault="00546F12" w:rsidP="00546F12"/>
        </w:tc>
        <w:tc>
          <w:tcPr>
            <w:tcW w:w="1284" w:type="dxa"/>
          </w:tcPr>
          <w:p w14:paraId="0605D8C2" w14:textId="77777777" w:rsidR="00546F12" w:rsidRDefault="00546F12" w:rsidP="00546F12"/>
        </w:tc>
        <w:tc>
          <w:tcPr>
            <w:tcW w:w="1679" w:type="dxa"/>
          </w:tcPr>
          <w:p w14:paraId="29595029" w14:textId="6C921434" w:rsidR="00546F12" w:rsidRDefault="00546F12" w:rsidP="00546F12">
            <w:r>
              <w:t>Реакции на свръхчувстви</w:t>
            </w:r>
            <w:r>
              <w:softHyphen/>
              <w:t>телност</w:t>
            </w:r>
          </w:p>
        </w:tc>
        <w:tc>
          <w:tcPr>
            <w:tcW w:w="1376" w:type="dxa"/>
          </w:tcPr>
          <w:p w14:paraId="62650BE2" w14:textId="77777777" w:rsidR="00546F12" w:rsidRDefault="00546F12" w:rsidP="00546F12"/>
        </w:tc>
      </w:tr>
      <w:tr w:rsidR="00546F12" w14:paraId="43680F03" w14:textId="77777777" w:rsidTr="00546F12">
        <w:tc>
          <w:tcPr>
            <w:tcW w:w="2042" w:type="dxa"/>
          </w:tcPr>
          <w:p w14:paraId="7EDE32A2" w14:textId="3B1E014F" w:rsidR="00546F12" w:rsidRDefault="00546F12" w:rsidP="00546F12">
            <w:r>
              <w:rPr>
                <w:b/>
                <w:bCs/>
              </w:rPr>
              <w:t>Нарушения на нервната система</w:t>
            </w:r>
          </w:p>
        </w:tc>
        <w:tc>
          <w:tcPr>
            <w:tcW w:w="1695" w:type="dxa"/>
          </w:tcPr>
          <w:p w14:paraId="2D497D92" w14:textId="77777777" w:rsidR="00546F12" w:rsidRDefault="00546F12" w:rsidP="00546F12"/>
        </w:tc>
        <w:tc>
          <w:tcPr>
            <w:tcW w:w="1500" w:type="dxa"/>
          </w:tcPr>
          <w:p w14:paraId="7763024F" w14:textId="092500CE" w:rsidR="00546F12" w:rsidRDefault="00546F12" w:rsidP="00546F12">
            <w:r>
              <w:t>Главоболие</w:t>
            </w:r>
          </w:p>
        </w:tc>
        <w:tc>
          <w:tcPr>
            <w:tcW w:w="1284" w:type="dxa"/>
          </w:tcPr>
          <w:p w14:paraId="2C5C7A5A" w14:textId="6B9C8ECA" w:rsidR="00546F12" w:rsidRDefault="00546F12" w:rsidP="00546F12">
            <w:r>
              <w:t>Мигрена</w:t>
            </w:r>
          </w:p>
        </w:tc>
        <w:tc>
          <w:tcPr>
            <w:tcW w:w="1679" w:type="dxa"/>
          </w:tcPr>
          <w:p w14:paraId="72CE86AA" w14:textId="77777777" w:rsidR="00546F12" w:rsidRDefault="00546F12" w:rsidP="00546F12"/>
        </w:tc>
        <w:tc>
          <w:tcPr>
            <w:tcW w:w="1376" w:type="dxa"/>
          </w:tcPr>
          <w:p w14:paraId="78111BE5" w14:textId="77777777" w:rsidR="00546F12" w:rsidRDefault="00546F12" w:rsidP="00546F12"/>
        </w:tc>
      </w:tr>
      <w:tr w:rsidR="00546F12" w14:paraId="57DA0AAF" w14:textId="77777777" w:rsidTr="00546F12">
        <w:tc>
          <w:tcPr>
            <w:tcW w:w="2042" w:type="dxa"/>
          </w:tcPr>
          <w:p w14:paraId="0A14B272" w14:textId="701EBECF" w:rsidR="00546F12" w:rsidRDefault="00546F12" w:rsidP="00546F12">
            <w:r>
              <w:rPr>
                <w:b/>
                <w:bCs/>
              </w:rPr>
              <w:t>Нарушения на очите</w:t>
            </w:r>
          </w:p>
        </w:tc>
        <w:tc>
          <w:tcPr>
            <w:tcW w:w="1695" w:type="dxa"/>
          </w:tcPr>
          <w:p w14:paraId="570E7669" w14:textId="77777777" w:rsidR="00546F12" w:rsidRDefault="00546F12" w:rsidP="00546F12"/>
        </w:tc>
        <w:tc>
          <w:tcPr>
            <w:tcW w:w="1500" w:type="dxa"/>
          </w:tcPr>
          <w:p w14:paraId="60E1806C" w14:textId="77777777" w:rsidR="00546F12" w:rsidRDefault="00546F12" w:rsidP="00546F12"/>
        </w:tc>
        <w:tc>
          <w:tcPr>
            <w:tcW w:w="1284" w:type="dxa"/>
          </w:tcPr>
          <w:p w14:paraId="460886C0" w14:textId="77777777" w:rsidR="00546F12" w:rsidRDefault="00546F12" w:rsidP="00546F12"/>
        </w:tc>
        <w:tc>
          <w:tcPr>
            <w:tcW w:w="1679" w:type="dxa"/>
          </w:tcPr>
          <w:p w14:paraId="50265395" w14:textId="77777777" w:rsidR="00546F12" w:rsidRDefault="00546F12" w:rsidP="00546F12"/>
        </w:tc>
        <w:tc>
          <w:tcPr>
            <w:tcW w:w="1376" w:type="dxa"/>
          </w:tcPr>
          <w:p w14:paraId="6961612E" w14:textId="668B0CE6" w:rsidR="00546F12" w:rsidRDefault="00546F12" w:rsidP="00546F12">
            <w:r>
              <w:t>Зрителни смущения</w:t>
            </w:r>
          </w:p>
        </w:tc>
      </w:tr>
      <w:tr w:rsidR="00546F12" w14:paraId="6950C570" w14:textId="77777777" w:rsidTr="00546F12">
        <w:tc>
          <w:tcPr>
            <w:tcW w:w="2042" w:type="dxa"/>
          </w:tcPr>
          <w:p w14:paraId="62D8C7C5" w14:textId="7F7ABD93" w:rsidR="00546F12" w:rsidRDefault="00546F12" w:rsidP="00546F12">
            <w:r>
              <w:rPr>
                <w:b/>
                <w:bCs/>
              </w:rPr>
              <w:t>Респираторни, гръдни и мед настинал ни нарушения</w:t>
            </w:r>
          </w:p>
        </w:tc>
        <w:tc>
          <w:tcPr>
            <w:tcW w:w="1695" w:type="dxa"/>
          </w:tcPr>
          <w:p w14:paraId="3174B57F" w14:textId="77777777" w:rsidR="00546F12" w:rsidRDefault="00546F12" w:rsidP="00546F12"/>
        </w:tc>
        <w:tc>
          <w:tcPr>
            <w:tcW w:w="1500" w:type="dxa"/>
          </w:tcPr>
          <w:p w14:paraId="65639650" w14:textId="77777777" w:rsidR="00546F12" w:rsidRDefault="00546F12" w:rsidP="00546F12"/>
        </w:tc>
        <w:tc>
          <w:tcPr>
            <w:tcW w:w="1284" w:type="dxa"/>
          </w:tcPr>
          <w:p w14:paraId="388A5859" w14:textId="77777777" w:rsidR="00546F12" w:rsidRDefault="00546F12" w:rsidP="00546F12"/>
        </w:tc>
        <w:tc>
          <w:tcPr>
            <w:tcW w:w="1679" w:type="dxa"/>
          </w:tcPr>
          <w:p w14:paraId="2E6C2DA4" w14:textId="77777777" w:rsidR="00546F12" w:rsidRDefault="00546F12" w:rsidP="00546F12"/>
        </w:tc>
        <w:tc>
          <w:tcPr>
            <w:tcW w:w="1376" w:type="dxa"/>
          </w:tcPr>
          <w:p w14:paraId="071FC838" w14:textId="22C7B16E" w:rsidR="00546F12" w:rsidRDefault="00546F12" w:rsidP="00546F12">
            <w:r>
              <w:t>Диспнея</w:t>
            </w:r>
          </w:p>
        </w:tc>
      </w:tr>
      <w:tr w:rsidR="00546F12" w14:paraId="715960DD" w14:textId="77777777" w:rsidTr="00546F12">
        <w:tc>
          <w:tcPr>
            <w:tcW w:w="2042" w:type="dxa"/>
          </w:tcPr>
          <w:p w14:paraId="5AB34343" w14:textId="61EE9AB5" w:rsidR="00546F12" w:rsidRDefault="00546F12" w:rsidP="00546F12">
            <w:r>
              <w:rPr>
                <w:b/>
                <w:bCs/>
              </w:rPr>
              <w:t>Стомашно- чревни нарушения</w:t>
            </w:r>
          </w:p>
        </w:tc>
        <w:tc>
          <w:tcPr>
            <w:tcW w:w="1695" w:type="dxa"/>
          </w:tcPr>
          <w:p w14:paraId="2A28388F" w14:textId="77777777" w:rsidR="00546F12" w:rsidRDefault="00546F12" w:rsidP="00546F12"/>
        </w:tc>
        <w:tc>
          <w:tcPr>
            <w:tcW w:w="1500" w:type="dxa"/>
          </w:tcPr>
          <w:p w14:paraId="640E89E8" w14:textId="19B1F21D" w:rsidR="00546F12" w:rsidRDefault="00546F12" w:rsidP="00546F12">
            <w:r>
              <w:t>Гадене</w:t>
            </w:r>
          </w:p>
        </w:tc>
        <w:tc>
          <w:tcPr>
            <w:tcW w:w="1284" w:type="dxa"/>
          </w:tcPr>
          <w:p w14:paraId="1CCD7FD2" w14:textId="77777777" w:rsidR="00546F12" w:rsidRDefault="00546F12" w:rsidP="00546F12"/>
        </w:tc>
        <w:tc>
          <w:tcPr>
            <w:tcW w:w="1679" w:type="dxa"/>
          </w:tcPr>
          <w:p w14:paraId="12AD5C68" w14:textId="77777777" w:rsidR="00546F12" w:rsidRDefault="00546F12" w:rsidP="00546F12"/>
        </w:tc>
        <w:tc>
          <w:tcPr>
            <w:tcW w:w="1376" w:type="dxa"/>
          </w:tcPr>
          <w:p w14:paraId="1FBEAF57" w14:textId="77777777" w:rsidR="00546F12" w:rsidRDefault="00546F12" w:rsidP="00546F12"/>
        </w:tc>
      </w:tr>
      <w:tr w:rsidR="00546F12" w14:paraId="6296AF1F" w14:textId="77777777" w:rsidTr="00546F12">
        <w:tc>
          <w:tcPr>
            <w:tcW w:w="2042" w:type="dxa"/>
          </w:tcPr>
          <w:p w14:paraId="0CE5EA56" w14:textId="49BB2DA1" w:rsidR="00546F12" w:rsidRDefault="00546F12" w:rsidP="00546F12">
            <w:r>
              <w:rPr>
                <w:b/>
                <w:bCs/>
              </w:rPr>
              <w:t>Нарушения на кожата и подкожната тъкан</w:t>
            </w:r>
          </w:p>
        </w:tc>
        <w:tc>
          <w:tcPr>
            <w:tcW w:w="1695" w:type="dxa"/>
          </w:tcPr>
          <w:p w14:paraId="6B5B9605" w14:textId="77777777" w:rsidR="00546F12" w:rsidRDefault="00546F12" w:rsidP="00546F12"/>
        </w:tc>
        <w:tc>
          <w:tcPr>
            <w:tcW w:w="1500" w:type="dxa"/>
          </w:tcPr>
          <w:p w14:paraId="3397212C" w14:textId="77777777" w:rsidR="00546F12" w:rsidRDefault="00546F12" w:rsidP="00546F12"/>
        </w:tc>
        <w:tc>
          <w:tcPr>
            <w:tcW w:w="1284" w:type="dxa"/>
          </w:tcPr>
          <w:p w14:paraId="47E0696E" w14:textId="77777777" w:rsidR="00546F12" w:rsidRDefault="00546F12" w:rsidP="00546F12"/>
        </w:tc>
        <w:tc>
          <w:tcPr>
            <w:tcW w:w="1679" w:type="dxa"/>
          </w:tcPr>
          <w:p w14:paraId="07396FA4" w14:textId="2CD2526E" w:rsidR="00546F12" w:rsidRDefault="00546F12" w:rsidP="00546F12">
            <w:r>
              <w:t>Уртикария Обрив</w:t>
            </w:r>
          </w:p>
        </w:tc>
        <w:tc>
          <w:tcPr>
            <w:tcW w:w="1376" w:type="dxa"/>
          </w:tcPr>
          <w:p w14:paraId="417C8F6A" w14:textId="77777777" w:rsidR="00546F12" w:rsidRDefault="00546F12" w:rsidP="00546F12"/>
        </w:tc>
      </w:tr>
      <w:tr w:rsidR="00546F12" w14:paraId="7CB9FFEF" w14:textId="77777777" w:rsidTr="00546F12">
        <w:tc>
          <w:tcPr>
            <w:tcW w:w="2042" w:type="dxa"/>
          </w:tcPr>
          <w:p w14:paraId="49C91B64" w14:textId="1BB110BE" w:rsidR="00546F12" w:rsidRDefault="00546F12" w:rsidP="00546F12">
            <w:r>
              <w:rPr>
                <w:b/>
                <w:bCs/>
              </w:rPr>
              <w:t xml:space="preserve">Нарушения на </w:t>
            </w:r>
            <w:r>
              <w:rPr>
                <w:b/>
                <w:bCs/>
              </w:rPr>
              <w:lastRenderedPageBreak/>
              <w:t>възпроизводите лната система и гърдата</w:t>
            </w:r>
          </w:p>
        </w:tc>
        <w:tc>
          <w:tcPr>
            <w:tcW w:w="1695" w:type="dxa"/>
          </w:tcPr>
          <w:p w14:paraId="432CB115" w14:textId="72DC0723" w:rsidR="00546F12" w:rsidRDefault="00546F12" w:rsidP="00546F12">
            <w:r>
              <w:lastRenderedPageBreak/>
              <w:t xml:space="preserve">Маточно/ </w:t>
            </w:r>
            <w:r>
              <w:lastRenderedPageBreak/>
              <w:t>Вагинално кървене включително Зацапване* Хипоменорея*</w:t>
            </w:r>
          </w:p>
        </w:tc>
        <w:tc>
          <w:tcPr>
            <w:tcW w:w="1500" w:type="dxa"/>
          </w:tcPr>
          <w:p w14:paraId="24923FBB" w14:textId="7E0AB9CE" w:rsidR="00546F12" w:rsidRDefault="00546F12" w:rsidP="00546F12">
            <w:r>
              <w:lastRenderedPageBreak/>
              <w:t>Аменорея*</w:t>
            </w:r>
          </w:p>
        </w:tc>
        <w:tc>
          <w:tcPr>
            <w:tcW w:w="1284" w:type="dxa"/>
          </w:tcPr>
          <w:p w14:paraId="19A3BF41" w14:textId="77777777" w:rsidR="00546F12" w:rsidRDefault="00546F12" w:rsidP="00546F12"/>
        </w:tc>
        <w:tc>
          <w:tcPr>
            <w:tcW w:w="1679" w:type="dxa"/>
          </w:tcPr>
          <w:p w14:paraId="39ECDDAE" w14:textId="77777777" w:rsidR="00546F12" w:rsidRDefault="00546F12" w:rsidP="00546F12"/>
        </w:tc>
        <w:tc>
          <w:tcPr>
            <w:tcW w:w="1376" w:type="dxa"/>
          </w:tcPr>
          <w:p w14:paraId="4F013779" w14:textId="77777777" w:rsidR="00546F12" w:rsidRDefault="00546F12" w:rsidP="00546F12"/>
        </w:tc>
      </w:tr>
      <w:tr w:rsidR="00546F12" w14:paraId="4FD2C8D5" w14:textId="77777777" w:rsidTr="00546F12">
        <w:tc>
          <w:tcPr>
            <w:tcW w:w="2042" w:type="dxa"/>
          </w:tcPr>
          <w:p w14:paraId="069C7202" w14:textId="7C8709D8" w:rsidR="00546F12" w:rsidRDefault="00546F12" w:rsidP="00546F12">
            <w:r>
              <w:rPr>
                <w:b/>
                <w:bCs/>
              </w:rPr>
              <w:t>Обши нарушения и ефекти на мястото на приложение</w:t>
            </w:r>
          </w:p>
        </w:tc>
        <w:tc>
          <w:tcPr>
            <w:tcW w:w="1695" w:type="dxa"/>
          </w:tcPr>
          <w:p w14:paraId="3ACE65B5" w14:textId="77777777" w:rsidR="00546F12" w:rsidRDefault="00546F12" w:rsidP="00546F12"/>
        </w:tc>
        <w:tc>
          <w:tcPr>
            <w:tcW w:w="1500" w:type="dxa"/>
          </w:tcPr>
          <w:p w14:paraId="1B20A653" w14:textId="6391A6F7" w:rsidR="00546F12" w:rsidRDefault="00546F12" w:rsidP="00546F12">
            <w:r>
              <w:t>Едем</w:t>
            </w:r>
          </w:p>
        </w:tc>
        <w:tc>
          <w:tcPr>
            <w:tcW w:w="1284" w:type="dxa"/>
          </w:tcPr>
          <w:p w14:paraId="4E998243" w14:textId="77777777" w:rsidR="00546F12" w:rsidRDefault="00546F12" w:rsidP="00546F12"/>
        </w:tc>
        <w:tc>
          <w:tcPr>
            <w:tcW w:w="1679" w:type="dxa"/>
          </w:tcPr>
          <w:p w14:paraId="72272272" w14:textId="77777777" w:rsidR="00546F12" w:rsidRDefault="00546F12" w:rsidP="00546F12"/>
        </w:tc>
        <w:tc>
          <w:tcPr>
            <w:tcW w:w="1376" w:type="dxa"/>
          </w:tcPr>
          <w:p w14:paraId="62617502" w14:textId="77777777" w:rsidR="00546F12" w:rsidRDefault="00546F12" w:rsidP="00546F12"/>
        </w:tc>
      </w:tr>
    </w:tbl>
    <w:p w14:paraId="197C90AC" w14:textId="77777777" w:rsidR="00546F12" w:rsidRPr="00546F12" w:rsidRDefault="00546F12" w:rsidP="00546F12">
      <w:pPr>
        <w:spacing w:line="240" w:lineRule="auto"/>
        <w:rPr>
          <w:rFonts w:eastAsia="Times New Roman" w:cs="Arial"/>
        </w:rPr>
      </w:pPr>
      <w:r w:rsidRPr="00546F12">
        <w:rPr>
          <w:rFonts w:eastAsia="Times New Roman" w:cs="Arial"/>
          <w:color w:val="000000"/>
          <w:lang w:val="en-US"/>
        </w:rPr>
        <w:t xml:space="preserve">* </w:t>
      </w:r>
      <w:r w:rsidRPr="00546F12">
        <w:rPr>
          <w:rFonts w:eastAsia="Times New Roman" w:cs="Arial"/>
          <w:color w:val="000000"/>
          <w:lang w:eastAsia="bg-BG"/>
        </w:rPr>
        <w:t>При показание Ендометриоза</w:t>
      </w:r>
    </w:p>
    <w:p w14:paraId="378E2E73" w14:textId="77777777" w:rsidR="00546F12" w:rsidRPr="00546F12" w:rsidRDefault="00546F12" w:rsidP="00546F12">
      <w:pPr>
        <w:spacing w:line="240" w:lineRule="auto"/>
        <w:rPr>
          <w:rFonts w:eastAsia="Times New Roman" w:cs="Arial"/>
          <w:color w:val="000000"/>
          <w:lang w:eastAsia="bg-BG"/>
        </w:rPr>
      </w:pPr>
    </w:p>
    <w:p w14:paraId="5AC6E814" w14:textId="1C926735" w:rsidR="00546F12" w:rsidRPr="00546F12" w:rsidRDefault="00546F12" w:rsidP="00546F12">
      <w:pPr>
        <w:spacing w:line="240" w:lineRule="auto"/>
        <w:rPr>
          <w:rFonts w:eastAsia="Times New Roman" w:cs="Arial"/>
        </w:rPr>
      </w:pPr>
      <w:r w:rsidRPr="00546F12">
        <w:rPr>
          <w:rFonts w:eastAsia="Times New Roman" w:cs="Arial"/>
          <w:color w:val="000000"/>
          <w:lang w:eastAsia="bg-BG"/>
        </w:rPr>
        <w:t xml:space="preserve">Използван е най-подходящият </w:t>
      </w:r>
      <w:proofErr w:type="spellStart"/>
      <w:r w:rsidRPr="00546F12">
        <w:rPr>
          <w:rFonts w:eastAsia="Times New Roman" w:cs="Arial"/>
          <w:color w:val="000000"/>
          <w:lang w:val="en-US"/>
        </w:rPr>
        <w:t>MedDRA</w:t>
      </w:r>
      <w:proofErr w:type="spellEnd"/>
      <w:r w:rsidRPr="00546F12">
        <w:rPr>
          <w:rFonts w:eastAsia="Times New Roman" w:cs="Arial"/>
          <w:color w:val="000000"/>
          <w:lang w:val="ru-RU"/>
        </w:rPr>
        <w:t xml:space="preserve"> </w:t>
      </w:r>
      <w:r w:rsidRPr="00546F12">
        <w:rPr>
          <w:rFonts w:eastAsia="Times New Roman" w:cs="Arial"/>
          <w:color w:val="000000"/>
          <w:lang w:eastAsia="bg-BG"/>
        </w:rPr>
        <w:t>термин за описание на определена реакция и нейните синоними и свързани състояния.</w:t>
      </w:r>
    </w:p>
    <w:p w14:paraId="445218E8" w14:textId="77777777" w:rsidR="00546F12" w:rsidRPr="00546F12" w:rsidRDefault="00546F12" w:rsidP="00546F12">
      <w:pPr>
        <w:spacing w:line="240" w:lineRule="auto"/>
        <w:rPr>
          <w:rFonts w:eastAsia="Times New Roman" w:cs="Arial"/>
          <w:color w:val="000000"/>
          <w:u w:val="single"/>
          <w:lang w:eastAsia="bg-BG"/>
        </w:rPr>
      </w:pPr>
    </w:p>
    <w:p w14:paraId="1BC2400D" w14:textId="01DE32DE" w:rsidR="00546F12" w:rsidRPr="00546F12" w:rsidRDefault="00546F12" w:rsidP="00546F12">
      <w:pPr>
        <w:spacing w:line="240" w:lineRule="auto"/>
        <w:rPr>
          <w:rFonts w:eastAsia="Times New Roman" w:cs="Arial"/>
        </w:rPr>
      </w:pPr>
      <w:r w:rsidRPr="00546F12">
        <w:rPr>
          <w:rFonts w:eastAsia="Times New Roman" w:cs="Arial"/>
          <w:color w:val="000000"/>
          <w:u w:val="single"/>
          <w:lang w:eastAsia="bg-BG"/>
        </w:rPr>
        <w:t>Съобщаване на подозирани нежелани реакции</w:t>
      </w:r>
    </w:p>
    <w:p w14:paraId="06200513" w14:textId="77777777" w:rsidR="00546F12" w:rsidRPr="00546F12" w:rsidRDefault="00546F12" w:rsidP="00546F12">
      <w:pPr>
        <w:spacing w:line="240" w:lineRule="auto"/>
        <w:rPr>
          <w:rFonts w:eastAsia="Times New Roman" w:cs="Arial"/>
        </w:rPr>
      </w:pPr>
      <w:r w:rsidRPr="00546F1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56F4EEB" w14:textId="77777777" w:rsidR="00546F12" w:rsidRPr="00546F12" w:rsidRDefault="00546F12" w:rsidP="00546F12">
      <w:pPr>
        <w:spacing w:line="240" w:lineRule="auto"/>
        <w:rPr>
          <w:rFonts w:eastAsia="Times New Roman" w:cs="Arial"/>
        </w:rPr>
      </w:pPr>
      <w:r w:rsidRPr="00546F12">
        <w:rPr>
          <w:rFonts w:eastAsia="Times New Roman" w:cs="Arial"/>
          <w:color w:val="000000"/>
          <w:lang w:eastAsia="bg-BG"/>
        </w:rPr>
        <w:t>Изпълнителна агенция по лекарствата</w:t>
      </w:r>
    </w:p>
    <w:p w14:paraId="6A335CDE" w14:textId="77777777" w:rsidR="00546F12" w:rsidRPr="00546F12" w:rsidRDefault="00546F12" w:rsidP="00546F12">
      <w:pPr>
        <w:spacing w:line="240" w:lineRule="auto"/>
        <w:rPr>
          <w:rFonts w:eastAsia="Times New Roman" w:cs="Arial"/>
        </w:rPr>
      </w:pPr>
      <w:r w:rsidRPr="00546F12">
        <w:rPr>
          <w:rFonts w:eastAsia="Times New Roman" w:cs="Arial"/>
          <w:color w:val="000000"/>
          <w:lang w:eastAsia="bg-BG"/>
        </w:rPr>
        <w:t>ул. „Дамян Груев” № 8</w:t>
      </w:r>
    </w:p>
    <w:p w14:paraId="4F7EA623" w14:textId="77777777" w:rsidR="00546F12" w:rsidRPr="00546F12" w:rsidRDefault="00546F12" w:rsidP="00546F12">
      <w:pPr>
        <w:spacing w:line="240" w:lineRule="auto"/>
        <w:rPr>
          <w:rFonts w:eastAsia="Times New Roman" w:cs="Arial"/>
        </w:rPr>
      </w:pPr>
      <w:r w:rsidRPr="00546F12">
        <w:rPr>
          <w:rFonts w:eastAsia="Times New Roman" w:cs="Arial"/>
          <w:color w:val="000000"/>
          <w:lang w:eastAsia="bg-BG"/>
        </w:rPr>
        <w:t>1303 София</w:t>
      </w:r>
    </w:p>
    <w:p w14:paraId="48B85F5C" w14:textId="77777777" w:rsidR="00546F12" w:rsidRPr="00546F12" w:rsidRDefault="00546F12" w:rsidP="00546F12">
      <w:pPr>
        <w:spacing w:line="240" w:lineRule="auto"/>
        <w:rPr>
          <w:rFonts w:eastAsia="Times New Roman" w:cs="Arial"/>
        </w:rPr>
      </w:pPr>
      <w:r w:rsidRPr="00546F12">
        <w:rPr>
          <w:rFonts w:eastAsia="Times New Roman" w:cs="Arial"/>
          <w:color w:val="000000"/>
          <w:lang w:eastAsia="bg-BG"/>
        </w:rPr>
        <w:t>Тел.:+359 2 8903417</w:t>
      </w:r>
    </w:p>
    <w:p w14:paraId="389708CC" w14:textId="3553891C" w:rsidR="00546F12" w:rsidRDefault="00546F12" w:rsidP="00546F12">
      <w:pPr>
        <w:rPr>
          <w:rFonts w:eastAsia="Times New Roman" w:cs="Arial"/>
        </w:rPr>
      </w:pPr>
      <w:r w:rsidRPr="00546F12">
        <w:rPr>
          <w:rFonts w:eastAsia="Times New Roman" w:cs="Arial"/>
          <w:color w:val="000000"/>
          <w:lang w:eastAsia="bg-BG"/>
        </w:rPr>
        <w:t xml:space="preserve">уебсайт: </w:t>
      </w:r>
      <w:hyperlink r:id="rId5" w:history="1">
        <w:r w:rsidRPr="00546F12">
          <w:rPr>
            <w:rFonts w:eastAsia="Times New Roman" w:cs="Arial"/>
            <w:color w:val="000000"/>
            <w:u w:val="single"/>
            <w:lang w:val="en-US"/>
          </w:rPr>
          <w:t>www.bda.bg</w:t>
        </w:r>
      </w:hyperlink>
    </w:p>
    <w:p w14:paraId="60BFCA57" w14:textId="77777777" w:rsidR="00546F12" w:rsidRPr="00546F12" w:rsidRDefault="00546F12" w:rsidP="00546F12">
      <w:pPr>
        <w:rPr>
          <w:rFonts w:cs="Arial"/>
        </w:rPr>
      </w:pPr>
    </w:p>
    <w:p w14:paraId="4ED30546" w14:textId="48BA5CE9" w:rsidR="007C605B" w:rsidRDefault="002C50EE" w:rsidP="009F1313">
      <w:pPr>
        <w:pStyle w:val="Heading2"/>
      </w:pPr>
      <w:r>
        <w:t>4.9. Предозиране</w:t>
      </w:r>
    </w:p>
    <w:p w14:paraId="308B41B8" w14:textId="6964F8F9" w:rsidR="00546F12" w:rsidRDefault="00546F12" w:rsidP="00546F12"/>
    <w:p w14:paraId="61B04D16" w14:textId="0CAFCA9C" w:rsidR="00546F12" w:rsidRPr="00546F12" w:rsidRDefault="00546F12" w:rsidP="00546F12">
      <w:r>
        <w:t>Проучванията върху остра токсичност, проведени при животни с норетистеронов ацетат, не показват риск от остри нежелани реакции в случаите на непреднамерен прием, многократно надвишаващ дневна терапевтична доза.</w:t>
      </w:r>
    </w:p>
    <w:p w14:paraId="02081B24" w14:textId="1F46E296" w:rsidR="00395555" w:rsidRPr="00395555" w:rsidRDefault="002C50EE" w:rsidP="008A6AF2">
      <w:pPr>
        <w:pStyle w:val="Heading1"/>
      </w:pPr>
      <w:r>
        <w:t>5. ФАРМАКОЛОГИЧНИ СВОЙСТВА</w:t>
      </w:r>
    </w:p>
    <w:p w14:paraId="5350637D" w14:textId="4EFC6F1B" w:rsidR="00395555" w:rsidRDefault="002C50EE" w:rsidP="008A6AF2">
      <w:pPr>
        <w:pStyle w:val="Heading2"/>
      </w:pPr>
      <w:r>
        <w:t>5.1. Фармакодинамични свойства</w:t>
      </w:r>
    </w:p>
    <w:p w14:paraId="453F2DA2" w14:textId="23C67CFD" w:rsidR="00546F12" w:rsidRDefault="00546F12" w:rsidP="00546F12"/>
    <w:p w14:paraId="517C1CDD"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Фармакотерапевтична група (АТС): Полови хормони и препарати, повлияващи половата система; Прогестогени; Естренови производни</w:t>
      </w:r>
    </w:p>
    <w:p w14:paraId="216C29F9"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АТС код: </w:t>
      </w:r>
      <w:r w:rsidRPr="00546F12">
        <w:rPr>
          <w:rFonts w:eastAsia="Times New Roman" w:cs="Arial"/>
          <w:color w:val="000000"/>
          <w:lang w:val="en-US"/>
        </w:rPr>
        <w:t>G03DC02</w:t>
      </w:r>
    </w:p>
    <w:p w14:paraId="4123600B" w14:textId="77777777" w:rsidR="00546F12" w:rsidRPr="00546F12" w:rsidRDefault="00546F12" w:rsidP="00546F12">
      <w:pPr>
        <w:rPr>
          <w:rFonts w:eastAsia="Times New Roman" w:cs="Arial"/>
          <w:color w:val="000000"/>
          <w:lang w:eastAsia="bg-BG"/>
        </w:rPr>
      </w:pPr>
    </w:p>
    <w:p w14:paraId="10B5C749" w14:textId="05284B9C" w:rsidR="00546F12" w:rsidRPr="00546F12" w:rsidRDefault="00546F12" w:rsidP="00546F12">
      <w:pPr>
        <w:rPr>
          <w:rFonts w:eastAsia="Times New Roman" w:cs="Arial"/>
          <w:color w:val="000000"/>
          <w:lang w:eastAsia="bg-BG"/>
        </w:rPr>
      </w:pPr>
      <w:r w:rsidRPr="00546F12">
        <w:rPr>
          <w:rFonts w:eastAsia="Times New Roman" w:cs="Arial"/>
          <w:color w:val="000000"/>
          <w:lang w:eastAsia="bg-BG"/>
        </w:rPr>
        <w:t xml:space="preserve">Норетистерон е силен прогестоген. Пълната трансформация на ендометриума от пролиферативна в секреторна фаза може да се постигне, при подготвени с естроген жени, с перорално приложена доза от 100-150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норетистерон на цикъл. Прогестогенните ефекти на норетистерон върху ендометриума са основата на лечението с Примолут-Нор на дисфункционално кървене, първична и вторична аменорея и ендометриоза.</w:t>
      </w:r>
    </w:p>
    <w:p w14:paraId="75E94954" w14:textId="11AF1B6C" w:rsidR="00546F12" w:rsidRPr="00546F12" w:rsidRDefault="00546F12" w:rsidP="00546F12">
      <w:pPr>
        <w:rPr>
          <w:rFonts w:eastAsia="Times New Roman" w:cs="Arial"/>
          <w:color w:val="000000"/>
          <w:lang w:eastAsia="bg-BG"/>
        </w:rPr>
      </w:pPr>
    </w:p>
    <w:p w14:paraId="2C0E6965"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lastRenderedPageBreak/>
        <w:t xml:space="preserve">Инхибиране на секрецията на гонадотропин и ановулация може да се постигне с дневна доза от 0,5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норетистеронов ацетат. Положителните ефекти на Примолут-Нор върху пременструалните симптоми може да се дължат на потискане на овариалната функция.</w:t>
      </w:r>
    </w:p>
    <w:p w14:paraId="6C56631B" w14:textId="77777777" w:rsidR="00546F12" w:rsidRPr="00546F12" w:rsidRDefault="00546F12" w:rsidP="00546F12">
      <w:pPr>
        <w:spacing w:line="240" w:lineRule="auto"/>
        <w:rPr>
          <w:rFonts w:eastAsia="Times New Roman" w:cs="Arial"/>
          <w:color w:val="000000"/>
          <w:lang w:eastAsia="bg-BG"/>
        </w:rPr>
      </w:pPr>
    </w:p>
    <w:p w14:paraId="3FEE195D" w14:textId="03BFB383"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В резултат на стабилизиращите ефекти на норетистерон върху ендометриума, прилагането на Примолут-Нор може да се използва за промяна в настъпването на менструацията.</w:t>
      </w:r>
    </w:p>
    <w:p w14:paraId="3B9FFD28" w14:textId="77777777" w:rsidR="00546F12" w:rsidRPr="00546F12" w:rsidRDefault="00546F12" w:rsidP="00546F12">
      <w:pPr>
        <w:rPr>
          <w:rFonts w:eastAsia="Times New Roman" w:cs="Arial"/>
          <w:color w:val="000000"/>
          <w:lang w:eastAsia="bg-BG"/>
        </w:rPr>
      </w:pPr>
    </w:p>
    <w:p w14:paraId="05BBB41D" w14:textId="4FD2C2FE" w:rsidR="00546F12" w:rsidRDefault="00546F12" w:rsidP="00546F12">
      <w:pPr>
        <w:rPr>
          <w:rFonts w:eastAsia="Times New Roman" w:cs="Arial"/>
          <w:color w:val="000000"/>
          <w:lang w:eastAsia="bg-BG"/>
        </w:rPr>
      </w:pPr>
      <w:r w:rsidRPr="00546F12">
        <w:rPr>
          <w:rFonts w:eastAsia="Times New Roman" w:cs="Arial"/>
          <w:color w:val="000000"/>
          <w:lang w:eastAsia="bg-BG"/>
        </w:rPr>
        <w:t>Подобно на прогестерон, норетистерон е термогенен и променя базалната телесна температура.</w:t>
      </w:r>
    </w:p>
    <w:p w14:paraId="638F6443" w14:textId="77777777" w:rsidR="00546F12" w:rsidRPr="00546F12" w:rsidRDefault="00546F12" w:rsidP="00546F12">
      <w:pPr>
        <w:rPr>
          <w:rFonts w:cs="Arial"/>
        </w:rPr>
      </w:pPr>
    </w:p>
    <w:p w14:paraId="26535098" w14:textId="0F063DF4" w:rsidR="00395555" w:rsidRDefault="002C50EE" w:rsidP="008A6AF2">
      <w:pPr>
        <w:pStyle w:val="Heading2"/>
      </w:pPr>
      <w:r>
        <w:t>5.2. Фармакокинетични свойства</w:t>
      </w:r>
    </w:p>
    <w:p w14:paraId="7D83646C" w14:textId="34B07893" w:rsidR="00546F12" w:rsidRDefault="00546F12" w:rsidP="00546F12"/>
    <w:p w14:paraId="00C8C15F" w14:textId="77777777" w:rsidR="00546F12" w:rsidRPr="00546F12" w:rsidRDefault="00546F12" w:rsidP="00546F12">
      <w:pPr>
        <w:pStyle w:val="Heading3"/>
        <w:rPr>
          <w:rFonts w:eastAsia="Times New Roman"/>
          <w:u w:val="single"/>
        </w:rPr>
      </w:pPr>
      <w:r w:rsidRPr="00546F12">
        <w:rPr>
          <w:rFonts w:eastAsia="Times New Roman"/>
          <w:u w:val="single"/>
          <w:lang w:eastAsia="bg-BG"/>
        </w:rPr>
        <w:t>Абсорбция</w:t>
      </w:r>
    </w:p>
    <w:p w14:paraId="30AEFE61"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Перорално приложения норетистеронов ацетат </w:t>
      </w:r>
      <w:r w:rsidRPr="00546F12">
        <w:rPr>
          <w:rFonts w:eastAsia="Times New Roman" w:cs="Arial"/>
          <w:color w:val="000000"/>
          <w:lang w:val="ru-RU"/>
        </w:rPr>
        <w:t>(</w:t>
      </w:r>
      <w:r w:rsidRPr="00546F12">
        <w:rPr>
          <w:rFonts w:eastAsia="Times New Roman" w:cs="Arial"/>
          <w:color w:val="000000"/>
          <w:lang w:val="en-US"/>
        </w:rPr>
        <w:t>NETA</w:t>
      </w:r>
      <w:r w:rsidRPr="00546F12">
        <w:rPr>
          <w:rFonts w:eastAsia="Times New Roman" w:cs="Arial"/>
          <w:color w:val="000000"/>
          <w:lang w:val="ru-RU"/>
        </w:rPr>
        <w:t xml:space="preserve">) </w:t>
      </w:r>
      <w:r w:rsidRPr="00546F12">
        <w:rPr>
          <w:rFonts w:eastAsia="Times New Roman" w:cs="Arial"/>
          <w:color w:val="000000"/>
          <w:lang w:eastAsia="bg-BG"/>
        </w:rPr>
        <w:t xml:space="preserve">бързо и напълно се абсорбира в широки дозови интервали. Още по време на абсорбцията и първичното преминаване през черния дроб норетистеронов ацетат се хидролизира в норетистерон, активното лекарствено вещество и оцетна киселина. Максимални серумни концентрации на норетистерон от 18 </w:t>
      </w:r>
      <w:r w:rsidRPr="00546F12">
        <w:rPr>
          <w:rFonts w:eastAsia="Times New Roman" w:cs="Arial"/>
          <w:color w:val="000000"/>
          <w:lang w:val="en-US"/>
        </w:rPr>
        <w:t>ng</w:t>
      </w:r>
      <w:r w:rsidRPr="00546F12">
        <w:rPr>
          <w:rFonts w:eastAsia="Times New Roman" w:cs="Arial"/>
          <w:color w:val="000000"/>
          <w:lang w:val="ru-RU"/>
        </w:rPr>
        <w:t>/</w:t>
      </w:r>
      <w:r w:rsidRPr="00546F12">
        <w:rPr>
          <w:rFonts w:eastAsia="Times New Roman" w:cs="Arial"/>
          <w:color w:val="000000"/>
          <w:lang w:val="en-US"/>
        </w:rPr>
        <w:t>ml</w:t>
      </w:r>
      <w:r w:rsidRPr="00546F12">
        <w:rPr>
          <w:rFonts w:eastAsia="Times New Roman" w:cs="Arial"/>
          <w:color w:val="000000"/>
          <w:lang w:val="ru-RU"/>
        </w:rPr>
        <w:t xml:space="preserve"> </w:t>
      </w:r>
      <w:r w:rsidRPr="00546F12">
        <w:rPr>
          <w:rFonts w:eastAsia="Times New Roman" w:cs="Arial"/>
          <w:color w:val="000000"/>
          <w:lang w:eastAsia="bg-BG"/>
        </w:rPr>
        <w:t xml:space="preserve">(след прием на 5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val="en-US"/>
        </w:rPr>
        <w:t>NETA</w:t>
      </w:r>
      <w:r w:rsidRPr="00546F12">
        <w:rPr>
          <w:rFonts w:eastAsia="Times New Roman" w:cs="Arial"/>
          <w:color w:val="000000"/>
          <w:lang w:val="ru-RU"/>
        </w:rPr>
        <w:t xml:space="preserve">) </w:t>
      </w:r>
      <w:r w:rsidRPr="00546F12">
        <w:rPr>
          <w:rFonts w:eastAsia="Times New Roman" w:cs="Arial"/>
          <w:color w:val="000000"/>
          <w:lang w:eastAsia="bg-BG"/>
        </w:rPr>
        <w:t xml:space="preserve">се достигат в рамките на 2 часа след приема на една таблетка Примолут-Нор 5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Въз основа на проучване, свързано с бионаличността, лекарството напълно се освобождава от таблетката.</w:t>
      </w:r>
    </w:p>
    <w:p w14:paraId="00981F75" w14:textId="77777777" w:rsidR="00546F12" w:rsidRPr="00546F12" w:rsidRDefault="00546F12" w:rsidP="00546F12">
      <w:pPr>
        <w:spacing w:line="240" w:lineRule="auto"/>
        <w:rPr>
          <w:rFonts w:eastAsia="Times New Roman" w:cs="Arial"/>
          <w:color w:val="000000"/>
          <w:u w:val="single"/>
          <w:lang w:eastAsia="bg-BG"/>
        </w:rPr>
      </w:pPr>
    </w:p>
    <w:p w14:paraId="446190CD" w14:textId="42CE54CD" w:rsidR="00546F12" w:rsidRPr="00546F12" w:rsidRDefault="00546F12" w:rsidP="00546F12">
      <w:pPr>
        <w:pStyle w:val="Heading3"/>
        <w:rPr>
          <w:rFonts w:eastAsia="Times New Roman"/>
          <w:u w:val="single"/>
        </w:rPr>
      </w:pPr>
      <w:r w:rsidRPr="00546F12">
        <w:rPr>
          <w:rFonts w:eastAsia="Times New Roman"/>
          <w:u w:val="single"/>
          <w:lang w:eastAsia="bg-BG"/>
        </w:rPr>
        <w:t>Разпределение</w:t>
      </w:r>
    </w:p>
    <w:p w14:paraId="6DFCEB57"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Норетистерон се свързва със серумния албумин и с глобулина свързващ полови хормони </w:t>
      </w:r>
      <w:r w:rsidRPr="00546F12">
        <w:rPr>
          <w:rFonts w:eastAsia="Times New Roman" w:cs="Arial"/>
          <w:color w:val="000000"/>
          <w:lang w:val="ru-RU"/>
        </w:rPr>
        <w:t>(</w:t>
      </w:r>
      <w:r w:rsidRPr="00546F12">
        <w:rPr>
          <w:rFonts w:eastAsia="Times New Roman" w:cs="Arial"/>
          <w:color w:val="000000"/>
          <w:lang w:val="en-US"/>
        </w:rPr>
        <w:t>SHBG</w:t>
      </w:r>
      <w:r w:rsidRPr="00546F12">
        <w:rPr>
          <w:rFonts w:eastAsia="Times New Roman" w:cs="Arial"/>
          <w:color w:val="000000"/>
          <w:lang w:val="ru-RU"/>
        </w:rPr>
        <w:t xml:space="preserve">). </w:t>
      </w:r>
      <w:r w:rsidRPr="00546F12">
        <w:rPr>
          <w:rFonts w:eastAsia="Times New Roman" w:cs="Arial"/>
          <w:color w:val="000000"/>
          <w:lang w:eastAsia="bg-BG"/>
        </w:rPr>
        <w:t xml:space="preserve">Само около 3-4 % от общата лекарствена концентрация в серума присъства под формата на свободен стероид, около 35% и 61% са свързани съответно със </w:t>
      </w:r>
      <w:r w:rsidRPr="00546F12">
        <w:rPr>
          <w:rFonts w:eastAsia="Times New Roman" w:cs="Arial"/>
          <w:color w:val="000000"/>
          <w:lang w:val="en-US"/>
        </w:rPr>
        <w:t>SHBG</w:t>
      </w:r>
      <w:r w:rsidRPr="00546F12">
        <w:rPr>
          <w:rFonts w:eastAsia="Times New Roman" w:cs="Arial"/>
          <w:color w:val="000000"/>
          <w:lang w:val="ru-RU"/>
        </w:rPr>
        <w:t xml:space="preserve"> </w:t>
      </w:r>
      <w:r w:rsidRPr="00546F12">
        <w:rPr>
          <w:rFonts w:eastAsia="Times New Roman" w:cs="Arial"/>
          <w:color w:val="000000"/>
          <w:lang w:eastAsia="bg-BG"/>
        </w:rPr>
        <w:t xml:space="preserve">и с албумин. Наблюдаваният обем на разпределение на норетистерон е 4,4 ± 1,3 </w:t>
      </w:r>
      <w:r w:rsidRPr="00546F12">
        <w:rPr>
          <w:rFonts w:eastAsia="Times New Roman" w:cs="Arial"/>
          <w:color w:val="000000"/>
          <w:lang w:val="ru-RU"/>
        </w:rPr>
        <w:t>1/</w:t>
      </w:r>
      <w:r w:rsidRPr="00546F12">
        <w:rPr>
          <w:rFonts w:eastAsia="Times New Roman" w:cs="Arial"/>
          <w:color w:val="000000"/>
          <w:lang w:val="en-US"/>
        </w:rPr>
        <w:t>kg</w:t>
      </w:r>
      <w:r w:rsidRPr="00546F12">
        <w:rPr>
          <w:rFonts w:eastAsia="Times New Roman" w:cs="Arial"/>
          <w:color w:val="000000"/>
          <w:lang w:val="ru-RU"/>
        </w:rPr>
        <w:t xml:space="preserve">. </w:t>
      </w:r>
      <w:r w:rsidRPr="00546F12">
        <w:rPr>
          <w:rFonts w:eastAsia="Times New Roman" w:cs="Arial"/>
          <w:color w:val="000000"/>
          <w:lang w:eastAsia="bg-BG"/>
        </w:rPr>
        <w:t>След перорално приложение, серумната концентрация на лекарственото вещество има двуфазен ход. Двете фази се характеризират съответно с 1-3 и около 5-13 часа полуживот.</w:t>
      </w:r>
    </w:p>
    <w:p w14:paraId="7F358222" w14:textId="77777777" w:rsidR="00546F12" w:rsidRPr="00546F12" w:rsidRDefault="00546F12" w:rsidP="00546F12">
      <w:pPr>
        <w:spacing w:line="240" w:lineRule="auto"/>
        <w:rPr>
          <w:rFonts w:eastAsia="Times New Roman" w:cs="Arial"/>
          <w:color w:val="000000"/>
          <w:lang w:eastAsia="bg-BG"/>
        </w:rPr>
      </w:pPr>
    </w:p>
    <w:p w14:paraId="1ADD491E" w14:textId="1AC47E7F"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Норетистерон се отделя в млякото и е установено, че лекарствените нива в кърмата са около 10% от тези в майчината плазма, независимо от начина на приложение. При средно максимално лекарствено ниво в серума на майката около 16 </w:t>
      </w:r>
      <w:r w:rsidRPr="00546F12">
        <w:rPr>
          <w:rFonts w:eastAsia="Times New Roman" w:cs="Arial"/>
          <w:color w:val="000000"/>
          <w:lang w:val="en-US"/>
        </w:rPr>
        <w:t>ng</w:t>
      </w:r>
      <w:r w:rsidRPr="00546F12">
        <w:rPr>
          <w:rFonts w:eastAsia="Times New Roman" w:cs="Arial"/>
          <w:color w:val="000000"/>
          <w:lang w:val="ru-RU"/>
        </w:rPr>
        <w:t>/</w:t>
      </w:r>
      <w:r w:rsidRPr="00546F12">
        <w:rPr>
          <w:rFonts w:eastAsia="Times New Roman" w:cs="Arial"/>
          <w:color w:val="000000"/>
          <w:lang w:val="en-US"/>
        </w:rPr>
        <w:t>ml</w:t>
      </w:r>
      <w:r w:rsidRPr="00546F12">
        <w:rPr>
          <w:rFonts w:eastAsia="Times New Roman" w:cs="Arial"/>
          <w:color w:val="000000"/>
          <w:lang w:val="ru-RU"/>
        </w:rPr>
        <w:t xml:space="preserve"> </w:t>
      </w:r>
      <w:r w:rsidRPr="00546F12">
        <w:rPr>
          <w:rFonts w:eastAsia="Times New Roman" w:cs="Arial"/>
          <w:color w:val="000000"/>
          <w:lang w:eastAsia="bg-BG"/>
        </w:rPr>
        <w:t xml:space="preserve">и изчислен дневен прием от 600 </w:t>
      </w:r>
      <w:r w:rsidRPr="00546F12">
        <w:rPr>
          <w:rFonts w:eastAsia="Times New Roman" w:cs="Arial"/>
          <w:color w:val="000000"/>
          <w:lang w:val="en-US"/>
        </w:rPr>
        <w:t>ml</w:t>
      </w:r>
      <w:r w:rsidRPr="00546F12">
        <w:rPr>
          <w:rFonts w:eastAsia="Times New Roman" w:cs="Arial"/>
          <w:color w:val="000000"/>
          <w:lang w:val="ru-RU"/>
        </w:rPr>
        <w:t xml:space="preserve"> </w:t>
      </w:r>
      <w:r w:rsidRPr="00546F12">
        <w:rPr>
          <w:rFonts w:eastAsia="Times New Roman" w:cs="Arial"/>
          <w:color w:val="000000"/>
          <w:lang w:eastAsia="bg-BG"/>
        </w:rPr>
        <w:t>кърма от детето, максимално около 1 микрограм (0,02% от майчината доза) може да се приеме от детето.</w:t>
      </w:r>
    </w:p>
    <w:p w14:paraId="7C3A9F91" w14:textId="77777777" w:rsidR="00546F12" w:rsidRPr="00546F12" w:rsidRDefault="00546F12" w:rsidP="00546F12">
      <w:pPr>
        <w:spacing w:line="240" w:lineRule="auto"/>
        <w:rPr>
          <w:rFonts w:eastAsia="Times New Roman" w:cs="Arial"/>
          <w:color w:val="000000"/>
          <w:u w:val="single"/>
          <w:lang w:eastAsia="bg-BG"/>
        </w:rPr>
      </w:pPr>
    </w:p>
    <w:p w14:paraId="364AB594" w14:textId="2B6C7E6B" w:rsidR="00546F12" w:rsidRPr="00546F12" w:rsidRDefault="00546F12" w:rsidP="00546F12">
      <w:pPr>
        <w:pStyle w:val="Heading3"/>
        <w:rPr>
          <w:rFonts w:eastAsia="Times New Roman"/>
          <w:u w:val="single"/>
        </w:rPr>
      </w:pPr>
      <w:r w:rsidRPr="00546F12">
        <w:rPr>
          <w:rFonts w:eastAsia="Times New Roman"/>
          <w:u w:val="single"/>
          <w:lang w:eastAsia="bg-BG"/>
        </w:rPr>
        <w:t>Биотрансформация</w:t>
      </w:r>
    </w:p>
    <w:p w14:paraId="6B24B2A6" w14:textId="6A431AEA"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Норетистерон основно се метаболизира чрез насищане на двойната връзка в пръстен А и редукция на 3-та кето група в хидроксилна група, последвано от конюгация към съответните сулфати и глюкурониди. Някои от тези метаболити се елиминират доста бавно от плазмата, с полуживот около 67 часа. Следователно по време на продължително лечние с ежедневен перорален прием на норетистерон, някои от тези метаболити акумулират в плазмата.</w:t>
      </w:r>
    </w:p>
    <w:p w14:paraId="0EACEB1D" w14:textId="77777777" w:rsidR="00546F12" w:rsidRPr="00546F12" w:rsidRDefault="00546F12" w:rsidP="00546F12">
      <w:pPr>
        <w:spacing w:line="240" w:lineRule="auto"/>
        <w:rPr>
          <w:rFonts w:eastAsia="Times New Roman" w:cs="Arial"/>
          <w:color w:val="000000"/>
          <w:lang w:eastAsia="bg-BG"/>
        </w:rPr>
      </w:pPr>
    </w:p>
    <w:p w14:paraId="79E679DF" w14:textId="70086F90"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 xml:space="preserve">Норетистерон частично се метаболизира в етинилестрадиол след перорално приложение на норетистерон или норетистеронов ацетат при хора. Това превръщане се отразява в еквивалентна доза от около 4-6 </w:t>
      </w:r>
      <w:proofErr w:type="spellStart"/>
      <w:r w:rsidRPr="00546F12">
        <w:rPr>
          <w:rFonts w:eastAsia="Times New Roman" w:cs="Arial"/>
          <w:color w:val="000000"/>
          <w:lang w:val="en-US"/>
        </w:rPr>
        <w:t>μg</w:t>
      </w:r>
      <w:proofErr w:type="spellEnd"/>
      <w:r w:rsidRPr="00546F12">
        <w:rPr>
          <w:rFonts w:eastAsia="Times New Roman" w:cs="Arial"/>
          <w:color w:val="000000"/>
          <w:lang w:val="ru-RU"/>
        </w:rPr>
        <w:t xml:space="preserve"> </w:t>
      </w:r>
      <w:r w:rsidRPr="00546F12">
        <w:rPr>
          <w:rFonts w:eastAsia="Times New Roman" w:cs="Arial"/>
          <w:color w:val="000000"/>
          <w:lang w:eastAsia="bg-BG"/>
        </w:rPr>
        <w:t xml:space="preserve">етинилестрадиол на 1 </w:t>
      </w:r>
      <w:r w:rsidRPr="00546F12">
        <w:rPr>
          <w:rFonts w:eastAsia="Times New Roman" w:cs="Arial"/>
          <w:color w:val="000000"/>
          <w:lang w:val="en-US"/>
        </w:rPr>
        <w:t>mg</w:t>
      </w:r>
      <w:r w:rsidRPr="00546F12">
        <w:rPr>
          <w:rFonts w:eastAsia="Times New Roman" w:cs="Arial"/>
          <w:color w:val="000000"/>
          <w:lang w:val="ru-RU"/>
        </w:rPr>
        <w:t xml:space="preserve"> </w:t>
      </w:r>
      <w:r w:rsidRPr="00546F12">
        <w:rPr>
          <w:rFonts w:eastAsia="Times New Roman" w:cs="Arial"/>
          <w:color w:val="000000"/>
          <w:lang w:eastAsia="bg-BG"/>
        </w:rPr>
        <w:t>перорално приложен норетистерон/ норетистеронов ацетат.</w:t>
      </w:r>
    </w:p>
    <w:p w14:paraId="7FF09AEA" w14:textId="77777777" w:rsidR="00546F12" w:rsidRPr="00546F12" w:rsidRDefault="00546F12" w:rsidP="00546F12">
      <w:pPr>
        <w:spacing w:line="240" w:lineRule="auto"/>
        <w:rPr>
          <w:rFonts w:eastAsia="Times New Roman" w:cs="Arial"/>
          <w:color w:val="000000"/>
          <w:u w:val="single"/>
          <w:lang w:eastAsia="bg-BG"/>
        </w:rPr>
      </w:pPr>
    </w:p>
    <w:p w14:paraId="19DE4BB0" w14:textId="2389FE61" w:rsidR="00546F12" w:rsidRPr="00546F12" w:rsidRDefault="00546F12" w:rsidP="00546F12">
      <w:pPr>
        <w:pStyle w:val="Heading3"/>
        <w:rPr>
          <w:rFonts w:eastAsia="Times New Roman"/>
          <w:u w:val="single"/>
        </w:rPr>
      </w:pPr>
      <w:r w:rsidRPr="00546F12">
        <w:rPr>
          <w:rFonts w:eastAsia="Times New Roman"/>
          <w:u w:val="single"/>
          <w:lang w:eastAsia="bg-BG"/>
        </w:rPr>
        <w:t>Елиминиране</w:t>
      </w:r>
    </w:p>
    <w:p w14:paraId="000A532B" w14:textId="77777777" w:rsidR="00546F12" w:rsidRPr="00546F12" w:rsidRDefault="00546F12" w:rsidP="00546F12">
      <w:pPr>
        <w:spacing w:line="240" w:lineRule="auto"/>
        <w:rPr>
          <w:rFonts w:eastAsia="Times New Roman" w:cs="Arial"/>
          <w:sz w:val="24"/>
          <w:szCs w:val="24"/>
        </w:rPr>
      </w:pPr>
      <w:r w:rsidRPr="00546F12">
        <w:rPr>
          <w:rFonts w:eastAsia="Times New Roman" w:cs="Arial"/>
          <w:color w:val="000000"/>
          <w:lang w:eastAsia="bg-BG"/>
        </w:rPr>
        <w:t>Норетистерон не се екскретира непроменен в значителна степен. Предимно А-пръстен-редуцирани и хидроксилирани метаболити, както и техни съединения (глюкорониди и сулфати) се екскретират чрез урината и изпражненията в съотношение 7:3. По-голямата част от бъбречно екскретираните метаболити се излъчва в рамките на 24 часа с полуживот от около 19 часа.</w:t>
      </w:r>
    </w:p>
    <w:p w14:paraId="067DCF65" w14:textId="77777777" w:rsidR="00546F12" w:rsidRPr="00546F12" w:rsidRDefault="00546F12" w:rsidP="00546F12">
      <w:pPr>
        <w:spacing w:line="240" w:lineRule="auto"/>
        <w:rPr>
          <w:rFonts w:eastAsia="Times New Roman" w:cs="Arial"/>
          <w:color w:val="000000"/>
          <w:u w:val="single"/>
          <w:lang w:eastAsia="bg-BG"/>
        </w:rPr>
      </w:pPr>
    </w:p>
    <w:p w14:paraId="27253CE3" w14:textId="6D1CD755" w:rsidR="00546F12" w:rsidRPr="00546F12" w:rsidRDefault="00546F12" w:rsidP="00546F12">
      <w:pPr>
        <w:pStyle w:val="Heading3"/>
        <w:rPr>
          <w:rFonts w:eastAsia="Times New Roman"/>
          <w:u w:val="single"/>
        </w:rPr>
      </w:pPr>
      <w:r w:rsidRPr="00546F12">
        <w:rPr>
          <w:rFonts w:eastAsia="Times New Roman"/>
          <w:u w:val="single"/>
          <w:lang w:eastAsia="bg-BG"/>
        </w:rPr>
        <w:t>Стационарни състояния</w:t>
      </w:r>
    </w:p>
    <w:p w14:paraId="710E6442" w14:textId="60E26F5D" w:rsidR="00546F12" w:rsidRDefault="00546F12" w:rsidP="00546F12">
      <w:pPr>
        <w:rPr>
          <w:rFonts w:eastAsia="Times New Roman" w:cs="Arial"/>
          <w:color w:val="000000"/>
          <w:lang w:val="ru-RU"/>
        </w:rPr>
      </w:pPr>
      <w:r w:rsidRPr="00546F12">
        <w:rPr>
          <w:rFonts w:eastAsia="Times New Roman" w:cs="Arial"/>
          <w:color w:val="000000"/>
          <w:lang w:eastAsia="bg-BG"/>
        </w:rPr>
        <w:t xml:space="preserve">При приложение на многокрани дневни дози на норетистерон, акумулиране на лекарството е малко вероятно, поради относително краткия полуживот на лекарственото вещество. Ако обаче едновременно са приложени </w:t>
      </w:r>
      <w:r w:rsidRPr="00546F12">
        <w:rPr>
          <w:rFonts w:eastAsia="Times New Roman" w:cs="Arial"/>
          <w:color w:val="000000"/>
          <w:lang w:val="en-US"/>
        </w:rPr>
        <w:t>SHBG</w:t>
      </w:r>
      <w:r w:rsidRPr="00546F12">
        <w:rPr>
          <w:rFonts w:eastAsia="Times New Roman" w:cs="Arial"/>
          <w:color w:val="000000"/>
          <w:lang w:eastAsia="bg-BG"/>
        </w:rPr>
        <w:t xml:space="preserve">-индуциращи агенти, като етинилестрадиол може да настъпи увеличение на серумните нива на норетистерон, поради свързването му с </w:t>
      </w:r>
      <w:r w:rsidRPr="00546F12">
        <w:rPr>
          <w:rFonts w:eastAsia="Times New Roman" w:cs="Arial"/>
          <w:color w:val="000000"/>
          <w:lang w:val="en-US"/>
        </w:rPr>
        <w:t>SHBG</w:t>
      </w:r>
      <w:r w:rsidRPr="00546F12">
        <w:rPr>
          <w:rFonts w:eastAsia="Times New Roman" w:cs="Arial"/>
          <w:color w:val="000000"/>
          <w:lang w:val="ru-RU"/>
        </w:rPr>
        <w:t>.</w:t>
      </w:r>
    </w:p>
    <w:p w14:paraId="69D7253D" w14:textId="77777777" w:rsidR="00546F12" w:rsidRPr="00546F12" w:rsidRDefault="00546F12" w:rsidP="00546F12">
      <w:pPr>
        <w:rPr>
          <w:lang w:val="ru-RU"/>
        </w:rPr>
      </w:pPr>
    </w:p>
    <w:p w14:paraId="028E658A" w14:textId="7DBC88EC" w:rsidR="00395555" w:rsidRDefault="002C50EE" w:rsidP="008A6AF2">
      <w:pPr>
        <w:pStyle w:val="Heading2"/>
      </w:pPr>
      <w:r>
        <w:t>5.3. Предклинични данни за безопасност</w:t>
      </w:r>
    </w:p>
    <w:p w14:paraId="44DDB7ED" w14:textId="08E5D20C" w:rsidR="00546F12" w:rsidRDefault="00546F12" w:rsidP="00546F12"/>
    <w:p w14:paraId="402394DD" w14:textId="77777777" w:rsidR="00546F12" w:rsidRPr="00546F12" w:rsidRDefault="00546F12" w:rsidP="00546F12">
      <w:pPr>
        <w:rPr>
          <w:sz w:val="24"/>
          <w:szCs w:val="24"/>
        </w:rPr>
      </w:pPr>
      <w:r w:rsidRPr="00546F12">
        <w:rPr>
          <w:lang w:eastAsia="bg-BG"/>
        </w:rPr>
        <w:t>Неклиничните данни за норетистерон и неговите естери не показват особен риск за хора на базата на конвенционалните проучвания за токсичност при многократно прилагане, генотоксичност и канцерогенен потенциал. Все пак, трябва да се има предвид, че половите стероиди могат да стимулират растежа на хормоно-зависими тъкани и тумори.</w:t>
      </w:r>
    </w:p>
    <w:p w14:paraId="7CBC244C" w14:textId="77777777" w:rsidR="00546F12" w:rsidRDefault="00546F12" w:rsidP="00546F12">
      <w:pPr>
        <w:rPr>
          <w:lang w:eastAsia="bg-BG"/>
        </w:rPr>
      </w:pPr>
    </w:p>
    <w:p w14:paraId="3012C425" w14:textId="5AFB7B75" w:rsidR="00546F12" w:rsidRPr="00546F12" w:rsidRDefault="00546F12" w:rsidP="00546F12">
      <w:pPr>
        <w:rPr>
          <w:sz w:val="24"/>
          <w:szCs w:val="24"/>
        </w:rPr>
      </w:pPr>
      <w:r w:rsidRPr="00546F12">
        <w:rPr>
          <w:lang w:eastAsia="bg-BG"/>
        </w:rPr>
        <w:t>Изследвания върху репродуктивната токсичност, показват риск от маскулинизиране на женския зародиш, когато се прилагат големи дози по време на формиране на външните гениталии. Тъй като епидемологичните изследвания показаха, че този ефект е съпоставим с ефекта при хора след високи дози, трябва да се отбележи, че Примолут-Нор може да предизвика белези на вирилизация в женския зародиш, ако се употребява по време на хормоно-чувствителния стадий на соматичната полова диференциация (от 45-тия ден на бременноста нататък). Освен това, няма данни за тератогенни ефекти получени от тези изследвания.</w:t>
      </w:r>
    </w:p>
    <w:p w14:paraId="73B7CCC1" w14:textId="77777777" w:rsidR="00546F12" w:rsidRPr="00546F12" w:rsidRDefault="00546F12" w:rsidP="00546F12"/>
    <w:p w14:paraId="6A7820AB" w14:textId="58C96DEC" w:rsidR="008A6AF2" w:rsidRDefault="002C50EE" w:rsidP="00395555">
      <w:pPr>
        <w:pStyle w:val="Heading1"/>
      </w:pPr>
      <w:r>
        <w:t>7. ПРИТЕЖАТЕЛ НА РАЗРЕШЕНИЕТО ЗА УПОТРЕБА</w:t>
      </w:r>
    </w:p>
    <w:p w14:paraId="428AC961" w14:textId="615C757D" w:rsidR="00546F12" w:rsidRDefault="00546F12" w:rsidP="00546F12"/>
    <w:p w14:paraId="6923223D" w14:textId="77777777" w:rsidR="00546F12" w:rsidRPr="00546F12" w:rsidRDefault="00546F12" w:rsidP="00546F12">
      <w:pPr>
        <w:rPr>
          <w:sz w:val="24"/>
          <w:szCs w:val="24"/>
          <w:lang w:val="en-US"/>
        </w:rPr>
      </w:pPr>
      <w:r w:rsidRPr="00546F12">
        <w:rPr>
          <w:lang w:val="en-US"/>
        </w:rPr>
        <w:t>Bayer AG</w:t>
      </w:r>
    </w:p>
    <w:p w14:paraId="03E57680" w14:textId="77777777" w:rsidR="00546F12" w:rsidRPr="00546F12" w:rsidRDefault="00546F12" w:rsidP="00546F12">
      <w:pPr>
        <w:rPr>
          <w:sz w:val="24"/>
          <w:szCs w:val="24"/>
          <w:lang w:val="en-US"/>
        </w:rPr>
      </w:pPr>
      <w:r w:rsidRPr="00546F12">
        <w:rPr>
          <w:lang w:val="en-US"/>
        </w:rPr>
        <w:t>Kaiser-Wilhelm-</w:t>
      </w:r>
      <w:proofErr w:type="spellStart"/>
      <w:r w:rsidRPr="00546F12">
        <w:rPr>
          <w:lang w:val="en-US"/>
        </w:rPr>
        <w:t>Allee</w:t>
      </w:r>
      <w:proofErr w:type="spellEnd"/>
      <w:r w:rsidRPr="00546F12">
        <w:rPr>
          <w:lang w:val="en-US"/>
        </w:rPr>
        <w:t xml:space="preserve"> </w:t>
      </w:r>
      <w:r w:rsidRPr="00546F12">
        <w:rPr>
          <w:lang w:eastAsia="bg-BG"/>
        </w:rPr>
        <w:t>1</w:t>
      </w:r>
    </w:p>
    <w:p w14:paraId="331421CA" w14:textId="14FFB50A" w:rsidR="00546F12" w:rsidRPr="00546F12" w:rsidRDefault="00546F12" w:rsidP="00546F12">
      <w:r w:rsidRPr="00546F12">
        <w:rPr>
          <w:lang w:eastAsia="bg-BG"/>
        </w:rPr>
        <w:t xml:space="preserve">51373 </w:t>
      </w:r>
      <w:r w:rsidRPr="00546F12">
        <w:rPr>
          <w:lang w:val="en-US"/>
        </w:rPr>
        <w:t>Leverkusen</w:t>
      </w:r>
      <w:r w:rsidRPr="00546F12">
        <w:rPr>
          <w:lang w:val="ru-RU"/>
        </w:rPr>
        <w:t xml:space="preserve">, </w:t>
      </w:r>
      <w:r w:rsidRPr="00546F12">
        <w:rPr>
          <w:lang w:eastAsia="bg-BG"/>
        </w:rPr>
        <w:t>Германия</w:t>
      </w:r>
    </w:p>
    <w:p w14:paraId="04840D59" w14:textId="30D0FE60" w:rsidR="002C50EE" w:rsidRDefault="002C50EE" w:rsidP="00395555">
      <w:pPr>
        <w:pStyle w:val="Heading1"/>
      </w:pPr>
      <w:r>
        <w:t>8. НОМЕР НА РАЗРЕШЕНИЕТО ЗА УПОТРЕБА</w:t>
      </w:r>
    </w:p>
    <w:p w14:paraId="5CBB7620" w14:textId="1EAF8DE2" w:rsidR="00546F12" w:rsidRDefault="00546F12" w:rsidP="00546F12"/>
    <w:p w14:paraId="4FE2CBED" w14:textId="0FBFAB47" w:rsidR="00546F12" w:rsidRPr="00546F12" w:rsidRDefault="00546F12" w:rsidP="00546F12">
      <w:r>
        <w:t xml:space="preserve">II-10164/02.07.2010 г. </w:t>
      </w:r>
      <w:r w:rsidRPr="00546F12">
        <w:rPr>
          <w:lang w:val="ru-RU"/>
        </w:rPr>
        <w:t>(</w:t>
      </w:r>
      <w:r>
        <w:rPr>
          <w:lang w:val="en-US"/>
        </w:rPr>
        <w:t>per</w:t>
      </w:r>
      <w:r w:rsidRPr="00546F12">
        <w:rPr>
          <w:lang w:val="ru-RU"/>
        </w:rPr>
        <w:t xml:space="preserve"> </w:t>
      </w:r>
      <w:r>
        <w:t>№ 9900329)</w:t>
      </w:r>
    </w:p>
    <w:p w14:paraId="2CCB5832" w14:textId="471A8D92" w:rsidR="007C605B" w:rsidRDefault="002C50EE" w:rsidP="007C605B">
      <w:pPr>
        <w:pStyle w:val="Heading1"/>
      </w:pPr>
      <w:r>
        <w:t>9. ДАТА НА ПЪРВО РАЗРЕШАВАНЕ/ПОДНОВЯВАНЕ НА РАЗРЕШЕНИЕТО ЗА УПОТРЕБА</w:t>
      </w:r>
    </w:p>
    <w:p w14:paraId="60B5FE84" w14:textId="40F1FE0C" w:rsidR="00546F12" w:rsidRDefault="00546F12" w:rsidP="00546F12"/>
    <w:p w14:paraId="26E942A8" w14:textId="77777777" w:rsidR="00546F12" w:rsidRPr="00546F12" w:rsidRDefault="00546F12" w:rsidP="00546F12">
      <w:pPr>
        <w:rPr>
          <w:sz w:val="24"/>
          <w:szCs w:val="24"/>
        </w:rPr>
      </w:pPr>
      <w:r w:rsidRPr="00546F12">
        <w:rPr>
          <w:lang w:eastAsia="bg-BG"/>
        </w:rPr>
        <w:t>Дата на първо разрешаване: 26.10.1999 г</w:t>
      </w:r>
    </w:p>
    <w:p w14:paraId="1EABE203" w14:textId="5DAEFF72" w:rsidR="00546F12" w:rsidRPr="00546F12" w:rsidRDefault="00546F12" w:rsidP="00546F12">
      <w:r w:rsidRPr="00546F12">
        <w:rPr>
          <w:lang w:eastAsia="bg-BG"/>
        </w:rPr>
        <w:lastRenderedPageBreak/>
        <w:t>Дата на последно подновяване: 02.07.2010 г.</w:t>
      </w:r>
    </w:p>
    <w:p w14:paraId="0E9D0119" w14:textId="0245C6D7" w:rsidR="002C50EE" w:rsidRDefault="002C50EE" w:rsidP="002C50EE">
      <w:pPr>
        <w:pStyle w:val="Heading1"/>
      </w:pPr>
      <w:r>
        <w:t>10. ДАТА НА АКТУАЛИЗИРАНЕ НА ТЕКСТА</w:t>
      </w:r>
    </w:p>
    <w:bookmarkEnd w:id="0"/>
    <w:p w14:paraId="43FB38A2" w14:textId="1D8A9F25" w:rsidR="007C605B" w:rsidRDefault="007C605B" w:rsidP="00395555"/>
    <w:p w14:paraId="6A08030A" w14:textId="15AEDF8C" w:rsidR="00546F12" w:rsidRPr="003E3126" w:rsidRDefault="00546F12" w:rsidP="00546F12">
      <w:r>
        <w:t>10/2019</w:t>
      </w:r>
      <w:bookmarkStart w:id="2" w:name="_GoBack"/>
      <w:bookmarkEnd w:id="2"/>
    </w:p>
    <w:sectPr w:rsidR="00546F12"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A540ED"/>
    <w:multiLevelType w:val="hybridMultilevel"/>
    <w:tmpl w:val="27C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B7C27"/>
    <w:multiLevelType w:val="hybridMultilevel"/>
    <w:tmpl w:val="9886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F1A85"/>
    <w:multiLevelType w:val="hybridMultilevel"/>
    <w:tmpl w:val="EAF2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10"/>
  </w:num>
  <w:num w:numId="25">
    <w:abstractNumId w:val="23"/>
  </w:num>
  <w:num w:numId="26">
    <w:abstractNumId w:val="22"/>
  </w:num>
  <w:num w:numId="27">
    <w:abstractNumId w:val="32"/>
  </w:num>
  <w:num w:numId="28">
    <w:abstractNumId w:val="7"/>
  </w:num>
  <w:num w:numId="29">
    <w:abstractNumId w:val="21"/>
  </w:num>
  <w:num w:numId="30">
    <w:abstractNumId w:val="33"/>
  </w:num>
  <w:num w:numId="31">
    <w:abstractNumId w:val="6"/>
  </w:num>
  <w:num w:numId="32">
    <w:abstractNumId w:val="29"/>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46F12"/>
    <w:rsid w:val="00593A00"/>
    <w:rsid w:val="005A66D9"/>
    <w:rsid w:val="00605BCA"/>
    <w:rsid w:val="006158A1"/>
    <w:rsid w:val="00617B1F"/>
    <w:rsid w:val="00672487"/>
    <w:rsid w:val="00672600"/>
    <w:rsid w:val="00681D4A"/>
    <w:rsid w:val="00685882"/>
    <w:rsid w:val="0075649D"/>
    <w:rsid w:val="007662D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4717</Words>
  <Characters>26890</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2021-11-26T16:53:00Z</dcterms:created>
  <dcterms:modified xsi:type="dcterms:W3CDTF">2021-11-26T16:53:00Z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