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347A67ED" w:rsidR="00DF4C8E" w:rsidRDefault="00DD466D" w:rsidP="00F44498">
      <w:pPr>
        <w:pStyle w:val="Heading1"/>
      </w:pPr>
      <w:r>
        <w:t>1.ИМЕ НА ЛЕКАРСТВЕНИЯ ПРОДУКТ</w:t>
      </w:r>
    </w:p>
    <w:p w14:paraId="56F1D0A7" w14:textId="15DE838B" w:rsidR="00E6547D" w:rsidRDefault="00E6547D" w:rsidP="00E6547D"/>
    <w:p w14:paraId="3D709550" w14:textId="77777777" w:rsidR="00E6547D" w:rsidRPr="00E6547D" w:rsidRDefault="00E6547D" w:rsidP="00E6547D">
      <w:pPr>
        <w:rPr>
          <w:sz w:val="24"/>
          <w:szCs w:val="24"/>
        </w:rPr>
      </w:pPr>
      <w:r w:rsidRPr="00E6547D">
        <w:rPr>
          <w:lang w:eastAsia="bg-BG"/>
        </w:rPr>
        <w:t xml:space="preserve">Профеннд </w:t>
      </w:r>
      <w:r w:rsidRPr="00E6547D">
        <w:rPr>
          <w:lang w:val="en-US"/>
        </w:rPr>
        <w:t>LP</w:t>
      </w:r>
      <w:r w:rsidRPr="00E6547D">
        <w:rPr>
          <w:lang w:val="ru-RU"/>
        </w:rPr>
        <w:t xml:space="preserve"> </w:t>
      </w:r>
      <w:r w:rsidRPr="00E6547D">
        <w:rPr>
          <w:lang w:eastAsia="bg-BG"/>
        </w:rPr>
        <w:t xml:space="preserve">200 </w:t>
      </w:r>
      <w:r w:rsidRPr="00E6547D">
        <w:rPr>
          <w:lang w:val="en-US"/>
        </w:rPr>
        <w:t>mg</w:t>
      </w:r>
      <w:r w:rsidRPr="00E6547D">
        <w:rPr>
          <w:lang w:val="ru-RU"/>
        </w:rPr>
        <w:t xml:space="preserve"> </w:t>
      </w:r>
      <w:r w:rsidRPr="00E6547D">
        <w:rPr>
          <w:lang w:eastAsia="bg-BG"/>
        </w:rPr>
        <w:t>таблетки с удължено освобождаване</w:t>
      </w:r>
    </w:p>
    <w:p w14:paraId="14691C0D" w14:textId="295E5BAB" w:rsidR="00E6547D" w:rsidRPr="00E6547D" w:rsidRDefault="00E6547D" w:rsidP="00E6547D">
      <w:pPr>
        <w:rPr>
          <w:sz w:val="24"/>
          <w:szCs w:val="24"/>
        </w:rPr>
      </w:pPr>
      <w:proofErr w:type="spellStart"/>
      <w:r w:rsidRPr="00E6547D">
        <w:rPr>
          <w:lang w:val="en-US"/>
        </w:rPr>
        <w:t>Profenid</w:t>
      </w:r>
      <w:proofErr w:type="spellEnd"/>
      <w:r w:rsidRPr="00E6547D">
        <w:rPr>
          <w:lang w:val="en-US"/>
        </w:rPr>
        <w:t xml:space="preserve"> LP </w:t>
      </w:r>
      <w:r w:rsidRPr="00E6547D">
        <w:rPr>
          <w:lang w:eastAsia="bg-BG"/>
        </w:rPr>
        <w:t xml:space="preserve">200 </w:t>
      </w:r>
      <w:r w:rsidRPr="00E6547D">
        <w:rPr>
          <w:lang w:val="en-US"/>
        </w:rPr>
        <w:t>mg prolonged-release tablets</w:t>
      </w:r>
    </w:p>
    <w:p w14:paraId="2BF7ACB1" w14:textId="23EF787A" w:rsidR="00DF4C8E" w:rsidRDefault="00DD466D" w:rsidP="00F44498">
      <w:pPr>
        <w:pStyle w:val="Heading1"/>
      </w:pPr>
      <w:r>
        <w:t>2. КАЧЕСТВЕН И КОЛИЧЕСТВЕН СЪСТАВ</w:t>
      </w:r>
    </w:p>
    <w:p w14:paraId="34EDB37E" w14:textId="1E0BB414" w:rsidR="00E6547D" w:rsidRDefault="00E6547D" w:rsidP="00E6547D"/>
    <w:p w14:paraId="42082BCC" w14:textId="1ECC8948" w:rsidR="00E6547D" w:rsidRPr="00E6547D" w:rsidRDefault="00E6547D" w:rsidP="00E6547D">
      <w:r>
        <w:t xml:space="preserve">1 таблетка съдържа 200 </w:t>
      </w:r>
      <w:r>
        <w:rPr>
          <w:lang w:val="en-US"/>
        </w:rPr>
        <w:t>mg</w:t>
      </w:r>
      <w:r w:rsidRPr="00E6547D">
        <w:t xml:space="preserve"> </w:t>
      </w:r>
      <w:r>
        <w:t xml:space="preserve">кетопрофен </w:t>
      </w:r>
      <w:r w:rsidRPr="00E6547D">
        <w:t>(</w:t>
      </w:r>
      <w:proofErr w:type="spellStart"/>
      <w:r>
        <w:rPr>
          <w:lang w:val="en-US"/>
        </w:rPr>
        <w:t>ketoprofen</w:t>
      </w:r>
      <w:proofErr w:type="spellEnd"/>
      <w:r w:rsidRPr="00E6547D">
        <w:t>).</w:t>
      </w:r>
    </w:p>
    <w:p w14:paraId="614984C4" w14:textId="27BB4BB3" w:rsidR="008A6AF2" w:rsidRDefault="00DD466D" w:rsidP="002C50EE">
      <w:pPr>
        <w:pStyle w:val="Heading1"/>
      </w:pPr>
      <w:r>
        <w:t>3. ЛЕКАРСТВЕНА ФОРМА</w:t>
      </w:r>
    </w:p>
    <w:p w14:paraId="5753E2E0" w14:textId="483384D7" w:rsidR="00E6547D" w:rsidRDefault="00E6547D" w:rsidP="00E6547D"/>
    <w:p w14:paraId="47C88CEB" w14:textId="77777777" w:rsidR="00E6547D" w:rsidRPr="00E6547D" w:rsidRDefault="00E6547D" w:rsidP="00E6547D">
      <w:pPr>
        <w:rPr>
          <w:sz w:val="24"/>
          <w:szCs w:val="24"/>
        </w:rPr>
      </w:pPr>
      <w:r w:rsidRPr="00E6547D">
        <w:rPr>
          <w:lang w:eastAsia="bg-BG"/>
        </w:rPr>
        <w:t>Таблетка с удължено освобождаване</w:t>
      </w:r>
    </w:p>
    <w:p w14:paraId="73D2DB73" w14:textId="77777777" w:rsidR="00E6547D" w:rsidRPr="00E6547D" w:rsidRDefault="00E6547D" w:rsidP="00E6547D">
      <w:pPr>
        <w:rPr>
          <w:sz w:val="24"/>
          <w:szCs w:val="24"/>
        </w:rPr>
      </w:pPr>
      <w:r w:rsidRPr="00E6547D">
        <w:rPr>
          <w:lang w:eastAsia="bg-BG"/>
        </w:rPr>
        <w:t xml:space="preserve">Таблетките са бели, двойноизпъкнали, филмирани таблетки, гравирани от едната страна с </w:t>
      </w:r>
      <w:r w:rsidRPr="00E6547D">
        <w:rPr>
          <w:lang w:val="ru-RU"/>
        </w:rPr>
        <w:t>„</w:t>
      </w:r>
      <w:r w:rsidRPr="00E6547D">
        <w:rPr>
          <w:lang w:val="en-US"/>
        </w:rPr>
        <w:t>RPR</w:t>
      </w:r>
      <w:r w:rsidRPr="00E6547D">
        <w:rPr>
          <w:lang w:val="ru-RU"/>
        </w:rPr>
        <w:t xml:space="preserve"> </w:t>
      </w:r>
      <w:r w:rsidRPr="00E6547D">
        <w:rPr>
          <w:lang w:eastAsia="bg-BG"/>
        </w:rPr>
        <w:t>110”.</w:t>
      </w:r>
    </w:p>
    <w:p w14:paraId="7B7C014C" w14:textId="77777777" w:rsidR="00E6547D" w:rsidRPr="00E6547D" w:rsidRDefault="00E6547D" w:rsidP="00E6547D"/>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7B39C0F0" w:rsidR="00DF4C8E" w:rsidRDefault="00DF4C8E" w:rsidP="00DF4C8E">
      <w:pPr>
        <w:rPr>
          <w:rFonts w:cs="Arial"/>
          <w:sz w:val="24"/>
        </w:rPr>
      </w:pPr>
    </w:p>
    <w:p w14:paraId="2A1A992B" w14:textId="389BC53C" w:rsidR="00E6547D" w:rsidRDefault="00E6547D" w:rsidP="00E6547D">
      <w:r>
        <w:t xml:space="preserve">За продължително симптоматично лечение на хронични ревматоидни възпалителни заболявания, особено ревматоиден полиартрит, анкилозиращ спондилоартрит, псориатичен артрит, синдром на </w:t>
      </w:r>
      <w:r>
        <w:rPr>
          <w:lang w:val="en-US"/>
        </w:rPr>
        <w:t>Reiter</w:t>
      </w:r>
      <w:r w:rsidRPr="00E6547D">
        <w:rPr>
          <w:lang w:val="ru-RU"/>
        </w:rPr>
        <w:t xml:space="preserve">, </w:t>
      </w:r>
      <w:r>
        <w:t>болезнени инвалидизиращи артрози.</w:t>
      </w:r>
    </w:p>
    <w:p w14:paraId="4AEA64BD" w14:textId="77777777" w:rsidR="00E6547D" w:rsidRPr="00DF4C8E" w:rsidRDefault="00E6547D" w:rsidP="00E6547D">
      <w:pPr>
        <w:rPr>
          <w:rFonts w:cs="Arial"/>
          <w:sz w:val="24"/>
        </w:rPr>
      </w:pPr>
    </w:p>
    <w:p w14:paraId="778B4979" w14:textId="67D0B150" w:rsidR="00DF4C8E" w:rsidRDefault="002C50EE" w:rsidP="00F44498">
      <w:pPr>
        <w:pStyle w:val="Heading2"/>
      </w:pPr>
      <w:r>
        <w:t>4.2. Дозировка и начин на приложение</w:t>
      </w:r>
    </w:p>
    <w:p w14:paraId="4C2F2972" w14:textId="1D278D9D" w:rsidR="00E6547D" w:rsidRDefault="00E6547D" w:rsidP="00E6547D"/>
    <w:p w14:paraId="6BEC2ABC" w14:textId="77777777"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Най-ниската ефективна доза трябва да се използва за възможно най-краткото време, необходимо за облекчаване на симптомите (вж. точка 4.4).</w:t>
      </w:r>
    </w:p>
    <w:p w14:paraId="5229EB00" w14:textId="77777777" w:rsidR="00E6547D" w:rsidRPr="00A45199" w:rsidRDefault="00E6547D" w:rsidP="00E6547D">
      <w:pPr>
        <w:spacing w:line="240" w:lineRule="auto"/>
        <w:rPr>
          <w:rFonts w:eastAsia="Times New Roman" w:cs="Arial"/>
          <w:color w:val="000000"/>
          <w:szCs w:val="20"/>
          <w:u w:val="single"/>
          <w:lang w:eastAsia="bg-BG"/>
        </w:rPr>
      </w:pPr>
    </w:p>
    <w:p w14:paraId="5E30613C" w14:textId="37BFBFB2" w:rsidR="00E6547D" w:rsidRPr="00A45199" w:rsidRDefault="00E6547D" w:rsidP="00A45199">
      <w:pPr>
        <w:pStyle w:val="Heading3"/>
        <w:rPr>
          <w:rFonts w:eastAsia="Times New Roman"/>
          <w:sz w:val="28"/>
          <w:u w:val="single"/>
        </w:rPr>
      </w:pPr>
      <w:r w:rsidRPr="00A45199">
        <w:rPr>
          <w:rFonts w:eastAsia="Times New Roman"/>
          <w:u w:val="single"/>
          <w:lang w:eastAsia="bg-BG"/>
        </w:rPr>
        <w:t>Дозировка</w:t>
      </w:r>
    </w:p>
    <w:p w14:paraId="23E065F9" w14:textId="77777777" w:rsidR="00E6547D" w:rsidRPr="00A45199" w:rsidRDefault="00E6547D" w:rsidP="00E6547D">
      <w:pPr>
        <w:spacing w:line="240" w:lineRule="auto"/>
        <w:rPr>
          <w:rFonts w:eastAsia="Times New Roman" w:cs="Arial"/>
          <w:color w:val="000000"/>
          <w:szCs w:val="20"/>
          <w:lang w:eastAsia="bg-BG"/>
        </w:rPr>
      </w:pPr>
    </w:p>
    <w:p w14:paraId="010F2D37" w14:textId="2D2948F3"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Лекарственият продукт е предназначен за възрастни и деца над 15 години.</w:t>
      </w:r>
    </w:p>
    <w:p w14:paraId="3E465878" w14:textId="77777777"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1 таблетка дневно на един прием.</w:t>
      </w:r>
    </w:p>
    <w:p w14:paraId="1EAFAB66" w14:textId="77777777" w:rsidR="00E6547D" w:rsidRPr="00A45199" w:rsidRDefault="00E6547D" w:rsidP="00E6547D">
      <w:pPr>
        <w:spacing w:line="240" w:lineRule="auto"/>
        <w:rPr>
          <w:rFonts w:eastAsia="Times New Roman" w:cs="Arial"/>
          <w:color w:val="000000"/>
          <w:szCs w:val="20"/>
          <w:lang w:eastAsia="bg-BG"/>
        </w:rPr>
      </w:pPr>
    </w:p>
    <w:p w14:paraId="2BBCC3FF" w14:textId="72B4D72C"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Пациенти с нарушена бъбречна функция и в старческа възраст:</w:t>
      </w:r>
    </w:p>
    <w:p w14:paraId="03B7C8C2" w14:textId="77777777"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Препоръчва се да се намали началната доза и такива пациенти да се поддържат на минимална ефективна доза. Индивидуално коригиране на дозата може да се има предвид само след установяване на индивидуалната поносимост на пациента.</w:t>
      </w:r>
    </w:p>
    <w:p w14:paraId="794A88CD" w14:textId="77777777" w:rsidR="00E6547D" w:rsidRPr="00A45199" w:rsidRDefault="00E6547D" w:rsidP="00E6547D">
      <w:pPr>
        <w:spacing w:line="240" w:lineRule="auto"/>
        <w:rPr>
          <w:rFonts w:eastAsia="Times New Roman" w:cs="Arial"/>
          <w:color w:val="000000"/>
          <w:szCs w:val="20"/>
          <w:lang w:eastAsia="bg-BG"/>
        </w:rPr>
      </w:pPr>
    </w:p>
    <w:p w14:paraId="3C9D7A04" w14:textId="544F17A2"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Пациенти с нарушена чернодробна функция:</w:t>
      </w:r>
    </w:p>
    <w:p w14:paraId="005EC67F" w14:textId="77777777"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Тези пациенти трябва внимателно да се наблюдават и да се придържат към минималната ефективна дневна доза (виж точка 4.4)</w:t>
      </w:r>
    </w:p>
    <w:p w14:paraId="2ED2BACA" w14:textId="77777777" w:rsidR="00E6547D" w:rsidRPr="00A45199" w:rsidRDefault="00E6547D" w:rsidP="00E6547D">
      <w:pPr>
        <w:spacing w:line="240" w:lineRule="auto"/>
        <w:rPr>
          <w:rFonts w:eastAsia="Times New Roman" w:cs="Arial"/>
          <w:color w:val="000000"/>
          <w:szCs w:val="20"/>
          <w:lang w:eastAsia="bg-BG"/>
        </w:rPr>
      </w:pPr>
    </w:p>
    <w:p w14:paraId="4EF19DD9" w14:textId="3B6F1057"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Деца</w:t>
      </w:r>
    </w:p>
    <w:p w14:paraId="26417204" w14:textId="6554A169" w:rsidR="00E6547D" w:rsidRPr="00A45199" w:rsidRDefault="00E6547D" w:rsidP="00E6547D">
      <w:pPr>
        <w:spacing w:line="240" w:lineRule="auto"/>
        <w:rPr>
          <w:rFonts w:eastAsia="Times New Roman" w:cs="Arial"/>
          <w:color w:val="000000"/>
          <w:szCs w:val="20"/>
          <w:lang w:eastAsia="bg-BG"/>
        </w:rPr>
      </w:pPr>
      <w:r w:rsidRPr="00E6547D">
        <w:rPr>
          <w:rFonts w:eastAsia="Times New Roman" w:cs="Arial"/>
          <w:color w:val="000000"/>
          <w:szCs w:val="20"/>
          <w:lang w:eastAsia="bg-BG"/>
        </w:rPr>
        <w:lastRenderedPageBreak/>
        <w:t>Безопасността и ефективността на кетопрофен таблетки, капсули и супозитории не е била установена при деца.</w:t>
      </w:r>
    </w:p>
    <w:p w14:paraId="7AC124AA" w14:textId="5EA880B2" w:rsidR="00E6547D" w:rsidRPr="00A45199" w:rsidRDefault="00E6547D" w:rsidP="00E6547D">
      <w:pPr>
        <w:spacing w:line="240" w:lineRule="auto"/>
        <w:rPr>
          <w:rFonts w:eastAsia="Times New Roman" w:cs="Arial"/>
          <w:color w:val="000000"/>
          <w:szCs w:val="20"/>
          <w:lang w:eastAsia="bg-BG"/>
        </w:rPr>
      </w:pPr>
    </w:p>
    <w:p w14:paraId="76D02288" w14:textId="77777777"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Нежеланите лекарствени реакции могат да бъдат намалени, като за контролиране на симптомите се употребява възможно най-ниската ефективна доза за възможно най-кратък срок от време (вижте точка 4.4).</w:t>
      </w:r>
    </w:p>
    <w:p w14:paraId="70DCED11" w14:textId="77777777" w:rsidR="00E6547D" w:rsidRPr="00A45199" w:rsidRDefault="00E6547D" w:rsidP="00E6547D">
      <w:pPr>
        <w:spacing w:line="240" w:lineRule="auto"/>
        <w:rPr>
          <w:rFonts w:eastAsia="Times New Roman" w:cs="Arial"/>
          <w:color w:val="000000"/>
          <w:szCs w:val="20"/>
          <w:u w:val="single"/>
          <w:lang w:eastAsia="bg-BG"/>
        </w:rPr>
      </w:pPr>
    </w:p>
    <w:p w14:paraId="29C9AEDF" w14:textId="5F5F94D1" w:rsidR="00E6547D" w:rsidRPr="00A45199" w:rsidRDefault="00E6547D" w:rsidP="00A45199">
      <w:pPr>
        <w:pStyle w:val="Heading3"/>
        <w:rPr>
          <w:rFonts w:eastAsia="Times New Roman"/>
          <w:sz w:val="28"/>
          <w:u w:val="single"/>
        </w:rPr>
      </w:pPr>
      <w:r w:rsidRPr="00A45199">
        <w:rPr>
          <w:rFonts w:eastAsia="Times New Roman"/>
          <w:u w:val="single"/>
          <w:lang w:eastAsia="bg-BG"/>
        </w:rPr>
        <w:t>Начин на приложение</w:t>
      </w:r>
    </w:p>
    <w:p w14:paraId="39467768" w14:textId="77777777" w:rsidR="00E6547D" w:rsidRPr="00E6547D" w:rsidRDefault="00E6547D" w:rsidP="00E6547D">
      <w:pPr>
        <w:spacing w:line="240" w:lineRule="auto"/>
        <w:rPr>
          <w:rFonts w:eastAsia="Times New Roman" w:cs="Arial"/>
          <w:sz w:val="28"/>
          <w:szCs w:val="24"/>
        </w:rPr>
      </w:pPr>
      <w:r w:rsidRPr="00E6547D">
        <w:rPr>
          <w:rFonts w:eastAsia="Times New Roman" w:cs="Arial"/>
          <w:color w:val="000000"/>
          <w:szCs w:val="20"/>
          <w:lang w:eastAsia="bg-BG"/>
        </w:rPr>
        <w:t>Таблетката се поглъща цяла, с пълна чаша вода по време на хранене.</w:t>
      </w:r>
    </w:p>
    <w:p w14:paraId="1170898B" w14:textId="2D69154F" w:rsidR="00E6547D" w:rsidRPr="00301663" w:rsidRDefault="00E6547D" w:rsidP="00E6547D">
      <w:pPr>
        <w:rPr>
          <w:lang w:val="ru-RU"/>
        </w:rPr>
      </w:pPr>
    </w:p>
    <w:p w14:paraId="6A85390E" w14:textId="50E8D1B8" w:rsidR="00DF4C8E" w:rsidRDefault="002C50EE" w:rsidP="00F44498">
      <w:pPr>
        <w:pStyle w:val="Heading2"/>
      </w:pPr>
      <w:r>
        <w:t>4.3. Противопоказания</w:t>
      </w:r>
    </w:p>
    <w:p w14:paraId="0EC27183" w14:textId="5489771F" w:rsidR="00301663" w:rsidRDefault="00301663" w:rsidP="00301663"/>
    <w:p w14:paraId="34900D67" w14:textId="77777777" w:rsidR="00301663" w:rsidRPr="00301663" w:rsidRDefault="00301663" w:rsidP="00301663">
      <w:pPr>
        <w:spacing w:line="240" w:lineRule="auto"/>
        <w:rPr>
          <w:rFonts w:eastAsia="Times New Roman" w:cs="Arial"/>
          <w:sz w:val="28"/>
          <w:szCs w:val="24"/>
        </w:rPr>
      </w:pPr>
      <w:r w:rsidRPr="00301663">
        <w:rPr>
          <w:rFonts w:eastAsia="Times New Roman" w:cs="Arial"/>
          <w:color w:val="000000"/>
          <w:szCs w:val="20"/>
          <w:lang w:eastAsia="bg-BG"/>
        </w:rPr>
        <w:t xml:space="preserve">Кетопрофен е противопоказан при пациенти с изявени в миналото реакции на свръхчувствителност като спазъм на бронхите, астматични </w:t>
      </w:r>
      <w:r w:rsidRPr="00301663">
        <w:rPr>
          <w:rFonts w:eastAsia="Times New Roman" w:cs="Arial"/>
          <w:i/>
          <w:iCs/>
          <w:color w:val="000000"/>
          <w:szCs w:val="20"/>
          <w:lang w:eastAsia="bg-BG"/>
        </w:rPr>
        <w:t>пристъпи,</w:t>
      </w:r>
      <w:r w:rsidRPr="00301663">
        <w:rPr>
          <w:rFonts w:eastAsia="Times New Roman" w:cs="Arial"/>
          <w:color w:val="000000"/>
          <w:szCs w:val="20"/>
          <w:lang w:eastAsia="bg-BG"/>
        </w:rPr>
        <w:t xml:space="preserve"> ринит, уртикария или други алергични реакции към кетопрофен, ацетилсалицилова киселина или други нестероидни противовъзпалителни лекарствени средства (НСПВС).</w:t>
      </w:r>
    </w:p>
    <w:p w14:paraId="155EEA82" w14:textId="77777777" w:rsidR="00301663" w:rsidRPr="00301663" w:rsidRDefault="00301663" w:rsidP="00301663">
      <w:pPr>
        <w:spacing w:line="240" w:lineRule="auto"/>
        <w:rPr>
          <w:rFonts w:eastAsia="Times New Roman" w:cs="Arial"/>
          <w:sz w:val="28"/>
          <w:szCs w:val="24"/>
        </w:rPr>
      </w:pPr>
      <w:r w:rsidRPr="00301663">
        <w:rPr>
          <w:rFonts w:eastAsia="Times New Roman" w:cs="Arial"/>
          <w:color w:val="000000"/>
          <w:szCs w:val="20"/>
          <w:lang w:eastAsia="bg-BG"/>
        </w:rPr>
        <w:t>Тежки, рядко с фатален изход, анафилактични реакции са били докладвани при такива пациенти (вж. точка 4.8).</w:t>
      </w:r>
    </w:p>
    <w:p w14:paraId="755738A4" w14:textId="6B6862DE" w:rsidR="00301663" w:rsidRPr="00301663" w:rsidRDefault="00301663" w:rsidP="00301663">
      <w:pPr>
        <w:spacing w:line="240" w:lineRule="auto"/>
        <w:rPr>
          <w:rFonts w:eastAsia="Times New Roman" w:cs="Arial"/>
          <w:sz w:val="28"/>
          <w:szCs w:val="24"/>
        </w:rPr>
      </w:pPr>
      <w:r w:rsidRPr="00301663">
        <w:rPr>
          <w:rFonts w:eastAsia="Times New Roman" w:cs="Arial"/>
          <w:color w:val="000000"/>
          <w:szCs w:val="20"/>
          <w:lang w:eastAsia="bg-BG"/>
        </w:rPr>
        <w:t>Кетопрофен е противопоказан при пациенти със свръхчувствителност към някое от помощните вещества на лекарствения продукт.</w:t>
      </w:r>
    </w:p>
    <w:p w14:paraId="2E24ED5B" w14:textId="12C3FB52" w:rsidR="00301663" w:rsidRPr="00301663" w:rsidRDefault="00301663" w:rsidP="00301663">
      <w:pPr>
        <w:spacing w:line="240" w:lineRule="auto"/>
        <w:rPr>
          <w:rFonts w:eastAsia="Times New Roman" w:cs="Arial"/>
          <w:sz w:val="28"/>
          <w:szCs w:val="24"/>
        </w:rPr>
      </w:pPr>
      <w:r w:rsidRPr="00301663">
        <w:rPr>
          <w:rFonts w:eastAsia="Times New Roman" w:cs="Arial"/>
          <w:color w:val="000000"/>
          <w:szCs w:val="20"/>
          <w:lang w:eastAsia="bg-BG"/>
        </w:rPr>
        <w:t>Кетопрофен е също противопоказан в третото тримесечие на бременността.</w:t>
      </w:r>
    </w:p>
    <w:p w14:paraId="5AF3337F" w14:textId="77777777" w:rsidR="00301663" w:rsidRPr="00301663" w:rsidRDefault="00301663" w:rsidP="00301663">
      <w:pPr>
        <w:spacing w:line="240" w:lineRule="auto"/>
        <w:rPr>
          <w:rFonts w:eastAsia="Times New Roman" w:cs="Arial"/>
          <w:color w:val="000000"/>
          <w:szCs w:val="20"/>
          <w:lang w:eastAsia="bg-BG"/>
        </w:rPr>
      </w:pPr>
    </w:p>
    <w:p w14:paraId="59B2869C" w14:textId="1EA5D543" w:rsidR="00301663" w:rsidRPr="00301663" w:rsidRDefault="00301663" w:rsidP="00301663">
      <w:pPr>
        <w:spacing w:line="240" w:lineRule="auto"/>
        <w:rPr>
          <w:rFonts w:eastAsia="Times New Roman" w:cs="Arial"/>
          <w:sz w:val="28"/>
          <w:szCs w:val="24"/>
        </w:rPr>
      </w:pPr>
      <w:r w:rsidRPr="00301663">
        <w:rPr>
          <w:rFonts w:eastAsia="Times New Roman" w:cs="Arial"/>
          <w:color w:val="000000"/>
          <w:szCs w:val="20"/>
          <w:lang w:eastAsia="bg-BG"/>
        </w:rPr>
        <w:t>Кетопрофен е противопоказан и при следните случаи:</w:t>
      </w:r>
    </w:p>
    <w:p w14:paraId="1F11412E" w14:textId="77777777" w:rsidR="00301663" w:rsidRPr="00301663" w:rsidRDefault="00301663" w:rsidP="00301663">
      <w:pPr>
        <w:pStyle w:val="ListParagraph"/>
        <w:numPr>
          <w:ilvl w:val="0"/>
          <w:numId w:val="34"/>
        </w:numPr>
        <w:spacing w:line="240" w:lineRule="auto"/>
        <w:rPr>
          <w:rFonts w:eastAsia="Times New Roman" w:cs="Arial"/>
          <w:sz w:val="28"/>
          <w:szCs w:val="24"/>
        </w:rPr>
      </w:pPr>
      <w:r w:rsidRPr="00301663">
        <w:rPr>
          <w:rFonts w:eastAsia="Times New Roman" w:cs="Arial"/>
          <w:color w:val="000000"/>
          <w:szCs w:val="20"/>
          <w:lang w:eastAsia="bg-BG"/>
        </w:rPr>
        <w:t>Тежка сърдечна недостатъчност;</w:t>
      </w:r>
    </w:p>
    <w:p w14:paraId="442B1C45" w14:textId="77777777" w:rsidR="00301663" w:rsidRPr="00301663" w:rsidRDefault="00301663" w:rsidP="00301663">
      <w:pPr>
        <w:pStyle w:val="ListParagraph"/>
        <w:numPr>
          <w:ilvl w:val="0"/>
          <w:numId w:val="34"/>
        </w:numPr>
        <w:spacing w:line="240" w:lineRule="auto"/>
        <w:rPr>
          <w:rFonts w:eastAsia="Times New Roman" w:cs="Arial"/>
          <w:sz w:val="28"/>
          <w:szCs w:val="24"/>
        </w:rPr>
      </w:pPr>
      <w:r w:rsidRPr="00301663">
        <w:rPr>
          <w:rFonts w:eastAsia="Times New Roman" w:cs="Arial"/>
          <w:color w:val="000000"/>
          <w:szCs w:val="20"/>
          <w:lang w:eastAsia="bg-BG"/>
        </w:rPr>
        <w:t>Активна стомашна язва или всяка анамнеза за стомашно-чревно кървене, язва или перфорация;</w:t>
      </w:r>
    </w:p>
    <w:p w14:paraId="0375F4C6" w14:textId="77777777" w:rsidR="00301663" w:rsidRPr="00301663" w:rsidRDefault="00301663" w:rsidP="00301663">
      <w:pPr>
        <w:pStyle w:val="ListParagraph"/>
        <w:numPr>
          <w:ilvl w:val="0"/>
          <w:numId w:val="34"/>
        </w:numPr>
        <w:spacing w:line="240" w:lineRule="auto"/>
        <w:rPr>
          <w:rFonts w:eastAsia="Times New Roman" w:cs="Arial"/>
          <w:sz w:val="28"/>
          <w:szCs w:val="24"/>
        </w:rPr>
      </w:pPr>
      <w:r w:rsidRPr="00301663">
        <w:rPr>
          <w:rFonts w:eastAsia="Times New Roman" w:cs="Arial"/>
          <w:color w:val="000000"/>
          <w:szCs w:val="20"/>
          <w:lang w:eastAsia="bg-BG"/>
        </w:rPr>
        <w:t>Хеморагична диатеза;</w:t>
      </w:r>
    </w:p>
    <w:p w14:paraId="72A0F6BA" w14:textId="77777777" w:rsidR="00301663" w:rsidRPr="00301663" w:rsidRDefault="00301663" w:rsidP="00301663">
      <w:pPr>
        <w:pStyle w:val="ListParagraph"/>
        <w:numPr>
          <w:ilvl w:val="0"/>
          <w:numId w:val="34"/>
        </w:numPr>
        <w:spacing w:line="240" w:lineRule="auto"/>
        <w:rPr>
          <w:rFonts w:eastAsia="Times New Roman" w:cs="Arial"/>
          <w:sz w:val="28"/>
          <w:szCs w:val="24"/>
        </w:rPr>
      </w:pPr>
      <w:r w:rsidRPr="00301663">
        <w:rPr>
          <w:rFonts w:eastAsia="Times New Roman" w:cs="Arial"/>
          <w:color w:val="000000"/>
          <w:szCs w:val="20"/>
          <w:lang w:eastAsia="bg-BG"/>
        </w:rPr>
        <w:t>Тежка чернодробна недостатъчност;</w:t>
      </w:r>
    </w:p>
    <w:p w14:paraId="249C5206" w14:textId="09789962" w:rsidR="00301663" w:rsidRPr="00301663" w:rsidRDefault="00301663" w:rsidP="00301663">
      <w:pPr>
        <w:pStyle w:val="ListParagraph"/>
        <w:numPr>
          <w:ilvl w:val="0"/>
          <w:numId w:val="34"/>
        </w:numPr>
        <w:spacing w:line="240" w:lineRule="auto"/>
        <w:rPr>
          <w:rFonts w:eastAsia="Times New Roman" w:cs="Arial"/>
          <w:sz w:val="28"/>
          <w:szCs w:val="24"/>
        </w:rPr>
      </w:pPr>
      <w:r w:rsidRPr="00301663">
        <w:rPr>
          <w:rFonts w:eastAsia="Times New Roman" w:cs="Arial"/>
          <w:color w:val="000000"/>
          <w:szCs w:val="20"/>
          <w:lang w:eastAsia="bg-BG"/>
        </w:rPr>
        <w:t>Тежка бъбречна недостатъчност.</w:t>
      </w:r>
    </w:p>
    <w:p w14:paraId="38ABB382" w14:textId="77777777" w:rsidR="00301663" w:rsidRPr="00301663" w:rsidRDefault="00301663" w:rsidP="00301663"/>
    <w:p w14:paraId="115C9528" w14:textId="4CF79B35" w:rsidR="00DF4C8E" w:rsidRDefault="002C50EE" w:rsidP="00F44498">
      <w:pPr>
        <w:pStyle w:val="Heading2"/>
      </w:pPr>
      <w:r>
        <w:t>4.4. Специални предупреждения и предпазни мерки при употреба</w:t>
      </w:r>
    </w:p>
    <w:p w14:paraId="520A167F" w14:textId="680DE299" w:rsidR="00301663" w:rsidRPr="00301663" w:rsidRDefault="00301663" w:rsidP="00301663">
      <w:pPr>
        <w:rPr>
          <w:rFonts w:cs="Arial"/>
        </w:rPr>
      </w:pPr>
    </w:p>
    <w:p w14:paraId="6901C3F0" w14:textId="77777777"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Предупреждения</w:t>
      </w:r>
    </w:p>
    <w:p w14:paraId="03C6AC3A"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Нежеланите лекарствени реакции могат да бъдат намалени като за контролиране на симптомите се употребява възможно най-ниската ефективна доза за възможно най-кратък срок от време (вж. точка 4.2 и по-долу посочените стомашно-чревни и сърдечно-съдови рискове).</w:t>
      </w:r>
    </w:p>
    <w:p w14:paraId="0BA4CA0C" w14:textId="77777777" w:rsidR="00301663" w:rsidRPr="00301663" w:rsidRDefault="00301663" w:rsidP="00301663">
      <w:pPr>
        <w:spacing w:line="240" w:lineRule="auto"/>
        <w:rPr>
          <w:rFonts w:eastAsia="Times New Roman" w:cs="Arial"/>
          <w:color w:val="000000"/>
          <w:lang w:eastAsia="bg-BG"/>
        </w:rPr>
      </w:pPr>
    </w:p>
    <w:p w14:paraId="77C9DEF8" w14:textId="423879C8" w:rsidR="00301663" w:rsidRPr="00301663" w:rsidRDefault="00301663" w:rsidP="00301663">
      <w:pPr>
        <w:spacing w:line="240" w:lineRule="auto"/>
        <w:rPr>
          <w:rFonts w:eastAsia="Times New Roman" w:cs="Arial"/>
        </w:rPr>
      </w:pPr>
      <w:r w:rsidRPr="00301663">
        <w:rPr>
          <w:rFonts w:eastAsia="Times New Roman" w:cs="Arial"/>
          <w:color w:val="000000"/>
          <w:lang w:eastAsia="bg-BG"/>
        </w:rPr>
        <w:t>Особено внимание трябва да се обръща на пациенти с комбинирано лечение, поради увеличен риск от язва или кървене, като перорални кортикостероиди, антикоагуланти като варфарин, селективни инхибитори на обратното захващане на серотонина или антитромбоцитни продукти като ацетилсалициловата киселина (вж. точка 4.5).</w:t>
      </w:r>
    </w:p>
    <w:p w14:paraId="1BA42B56" w14:textId="77777777" w:rsidR="00301663" w:rsidRPr="00301663" w:rsidRDefault="00301663" w:rsidP="00301663">
      <w:pPr>
        <w:spacing w:line="240" w:lineRule="auto"/>
        <w:rPr>
          <w:rFonts w:eastAsia="Times New Roman" w:cs="Arial"/>
          <w:color w:val="000000"/>
          <w:lang w:eastAsia="bg-BG"/>
        </w:rPr>
      </w:pPr>
    </w:p>
    <w:p w14:paraId="167BCF40" w14:textId="32BD9CDD" w:rsidR="00301663" w:rsidRPr="00301663" w:rsidRDefault="00301663" w:rsidP="00301663">
      <w:pPr>
        <w:spacing w:line="240" w:lineRule="auto"/>
        <w:rPr>
          <w:rFonts w:eastAsia="Times New Roman" w:cs="Arial"/>
          <w:color w:val="000000"/>
          <w:lang w:eastAsia="bg-BG"/>
        </w:rPr>
      </w:pPr>
      <w:r w:rsidRPr="00301663">
        <w:rPr>
          <w:rFonts w:eastAsia="Times New Roman" w:cs="Arial"/>
          <w:color w:val="000000"/>
          <w:lang w:eastAsia="bg-BG"/>
        </w:rPr>
        <w:t>Използването на кетопрофен в комбинация с нестероидни противовъзпалителни средства, включително и циклооксигеназа-2 селективни инхибитори трябва да се избягва.</w:t>
      </w:r>
    </w:p>
    <w:p w14:paraId="2F37A64C" w14:textId="77777777" w:rsidR="00301663" w:rsidRPr="00301663" w:rsidRDefault="00301663" w:rsidP="00301663">
      <w:pPr>
        <w:spacing w:line="240" w:lineRule="auto"/>
        <w:rPr>
          <w:rFonts w:eastAsia="Times New Roman" w:cs="Arial"/>
        </w:rPr>
      </w:pPr>
    </w:p>
    <w:p w14:paraId="26CA872B" w14:textId="52A9E98E" w:rsidR="00301663" w:rsidRPr="00301663" w:rsidRDefault="00301663" w:rsidP="00301663">
      <w:pPr>
        <w:pStyle w:val="ListParagraph"/>
        <w:numPr>
          <w:ilvl w:val="0"/>
          <w:numId w:val="36"/>
        </w:numPr>
        <w:spacing w:line="240" w:lineRule="auto"/>
        <w:rPr>
          <w:rFonts w:eastAsia="Times New Roman" w:cs="Arial"/>
        </w:rPr>
      </w:pPr>
      <w:r w:rsidRPr="00301663">
        <w:rPr>
          <w:rFonts w:eastAsia="Times New Roman" w:cs="Arial"/>
          <w:color w:val="000000"/>
          <w:lang w:eastAsia="bg-BG"/>
        </w:rPr>
        <w:t>Стомашно-чревни нарушения</w:t>
      </w:r>
    </w:p>
    <w:p w14:paraId="0E8A08D5" w14:textId="77777777" w:rsidR="00301663" w:rsidRPr="00301663" w:rsidRDefault="00301663" w:rsidP="00301663">
      <w:pPr>
        <w:spacing w:line="240" w:lineRule="auto"/>
        <w:rPr>
          <w:rFonts w:eastAsia="Times New Roman" w:cs="Arial"/>
          <w:color w:val="000000"/>
          <w:lang w:eastAsia="bg-BG"/>
        </w:rPr>
      </w:pPr>
    </w:p>
    <w:p w14:paraId="42B049F2" w14:textId="04F38D8D" w:rsidR="00301663" w:rsidRPr="00301663" w:rsidRDefault="00301663" w:rsidP="00301663">
      <w:pPr>
        <w:spacing w:line="240" w:lineRule="auto"/>
        <w:rPr>
          <w:rFonts w:eastAsia="Times New Roman" w:cs="Arial"/>
        </w:rPr>
      </w:pPr>
      <w:r w:rsidRPr="00301663">
        <w:rPr>
          <w:rFonts w:eastAsia="Times New Roman" w:cs="Arial"/>
          <w:color w:val="000000"/>
          <w:lang w:eastAsia="bg-BG"/>
        </w:rPr>
        <w:lastRenderedPageBreak/>
        <w:t xml:space="preserve">Препоръчва се повишено внимание при пациенти, приемащи едновременно лекарства, които могат да повишат риска от язва или кървене, като перорални кортикостероиди, антикоагуланти като варфарин, селективни инхибитори на обратното поемане на серотонин </w:t>
      </w:r>
      <w:r w:rsidRPr="00301663">
        <w:rPr>
          <w:rFonts w:eastAsia="Times New Roman" w:cs="Arial"/>
          <w:color w:val="000000"/>
          <w:lang w:val="ru-RU"/>
        </w:rPr>
        <w:t>(</w:t>
      </w:r>
      <w:r w:rsidRPr="00301663">
        <w:rPr>
          <w:rFonts w:eastAsia="Times New Roman" w:cs="Arial"/>
          <w:color w:val="000000"/>
          <w:lang w:val="en-US"/>
        </w:rPr>
        <w:t>SSRIs</w:t>
      </w:r>
      <w:r w:rsidRPr="00301663">
        <w:rPr>
          <w:rFonts w:eastAsia="Times New Roman" w:cs="Arial"/>
          <w:color w:val="000000"/>
          <w:lang w:val="ru-RU"/>
        </w:rPr>
        <w:t xml:space="preserve">), </w:t>
      </w:r>
      <w:r w:rsidRPr="00301663">
        <w:rPr>
          <w:rFonts w:eastAsia="Times New Roman" w:cs="Arial"/>
          <w:color w:val="000000"/>
          <w:lang w:eastAsia="bg-BG"/>
        </w:rPr>
        <w:t>антитромбоцитни средства като аспирин или никорандил.</w:t>
      </w:r>
    </w:p>
    <w:p w14:paraId="64029286" w14:textId="77777777" w:rsidR="00301663" w:rsidRPr="00301663" w:rsidRDefault="00301663" w:rsidP="00301663">
      <w:pPr>
        <w:rPr>
          <w:rFonts w:eastAsia="Times New Roman" w:cs="Arial"/>
          <w:color w:val="000000"/>
          <w:lang w:eastAsia="bg-BG"/>
        </w:rPr>
      </w:pPr>
    </w:p>
    <w:p w14:paraId="0C003EB5" w14:textId="77777777" w:rsidR="00301663" w:rsidRPr="00301663" w:rsidRDefault="00301663" w:rsidP="00301663">
      <w:pPr>
        <w:rPr>
          <w:rFonts w:eastAsia="Times New Roman" w:cs="Arial"/>
        </w:rPr>
      </w:pPr>
      <w:r w:rsidRPr="00301663">
        <w:rPr>
          <w:rFonts w:eastAsia="Times New Roman" w:cs="Arial"/>
          <w:color w:val="000000"/>
          <w:lang w:eastAsia="bg-BG"/>
        </w:rPr>
        <w:t>Стомашно-чревно кървене, язва и перфорация: стомашно-чревно кървене, язва или перфорация, които могат да са с фатален изход, са били докладвани при всички нестероидни</w:t>
      </w:r>
      <w:r w:rsidRPr="00301663">
        <w:rPr>
          <w:rFonts w:eastAsia="Times New Roman" w:cs="Arial"/>
          <w:color w:val="000000"/>
          <w:lang w:val="ru-RU" w:eastAsia="bg-BG"/>
        </w:rPr>
        <w:t xml:space="preserve"> </w:t>
      </w:r>
      <w:r w:rsidRPr="00301663">
        <w:rPr>
          <w:rFonts w:eastAsia="Times New Roman" w:cs="Arial"/>
          <w:color w:val="000000"/>
          <w:lang w:eastAsia="bg-BG"/>
        </w:rPr>
        <w:t>противовъзпалителни средства по всяко време на лечението, с или без предшестващи симптоми или с предишна анамнеза за сериозни стомашно-чревни събития.</w:t>
      </w:r>
    </w:p>
    <w:p w14:paraId="71792695" w14:textId="77777777" w:rsidR="00301663" w:rsidRPr="00301663" w:rsidRDefault="00301663" w:rsidP="00301663">
      <w:pPr>
        <w:spacing w:line="240" w:lineRule="auto"/>
        <w:rPr>
          <w:rFonts w:eastAsia="Times New Roman" w:cs="Arial"/>
          <w:color w:val="000000"/>
          <w:lang w:eastAsia="bg-BG"/>
        </w:rPr>
      </w:pPr>
    </w:p>
    <w:p w14:paraId="00726718" w14:textId="3225DC17" w:rsidR="00301663" w:rsidRPr="00301663" w:rsidRDefault="00301663" w:rsidP="00301663">
      <w:pPr>
        <w:spacing w:line="240" w:lineRule="auto"/>
        <w:rPr>
          <w:rFonts w:eastAsia="Times New Roman" w:cs="Arial"/>
        </w:rPr>
      </w:pPr>
      <w:r w:rsidRPr="00301663">
        <w:rPr>
          <w:rFonts w:eastAsia="Times New Roman" w:cs="Arial"/>
          <w:color w:val="000000"/>
          <w:lang w:eastAsia="bg-BG"/>
        </w:rPr>
        <w:t>Някои епидемиологични доказателства показват, че кетопрофен може да е асоцииран с висок риск от сериозна стомашно-чревна токсичност, сравнима с тази при някои други НСПВС, особено във високи дози.</w:t>
      </w:r>
    </w:p>
    <w:p w14:paraId="192961E7" w14:textId="77777777" w:rsidR="00301663" w:rsidRPr="00301663" w:rsidRDefault="00301663" w:rsidP="00301663">
      <w:pPr>
        <w:spacing w:line="240" w:lineRule="auto"/>
        <w:rPr>
          <w:rFonts w:eastAsia="Times New Roman" w:cs="Arial"/>
          <w:color w:val="000000"/>
          <w:lang w:eastAsia="bg-BG"/>
        </w:rPr>
      </w:pPr>
    </w:p>
    <w:p w14:paraId="3FE9C62E" w14:textId="4FCA263A" w:rsidR="00301663" w:rsidRPr="00301663" w:rsidRDefault="00301663" w:rsidP="00301663">
      <w:pPr>
        <w:spacing w:line="240" w:lineRule="auto"/>
        <w:rPr>
          <w:rFonts w:eastAsia="Times New Roman" w:cs="Arial"/>
        </w:rPr>
      </w:pPr>
      <w:r w:rsidRPr="00301663">
        <w:rPr>
          <w:rFonts w:eastAsia="Times New Roman" w:cs="Arial"/>
          <w:color w:val="000000"/>
          <w:lang w:eastAsia="bg-BG"/>
        </w:rPr>
        <w:t>Рискът от стомашно-чревно кървене, язва или перфорация е по-висок с увеличаване на дозите на НСПВС, при пациенти с анамнеза за язва, особено при усложнения с хеморагия или перфорация (вж. точка 4.3) и при пациенти в старческа възраст. Тези пациенти трябва да започнат лечение с най-ниските възможни дози.</w:t>
      </w:r>
    </w:p>
    <w:p w14:paraId="0664B0FA"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Комбинирана терапия с протективни продукти (например мизопростол или инхибитори на протонната помпа), трябва да се обмисли за тези пациенти, а също и за пациенти нуждаещи се едновременно да приемат и ниски дози ацетилсалицилова киселина, или други лекарствени продукти, увеличаващи стомашно-чревния риск (вж. по-надолу и точка 4.5).</w:t>
      </w:r>
    </w:p>
    <w:p w14:paraId="31C803B2" w14:textId="77777777" w:rsidR="00301663" w:rsidRPr="00301663" w:rsidRDefault="00301663" w:rsidP="00301663">
      <w:pPr>
        <w:spacing w:line="240" w:lineRule="auto"/>
        <w:rPr>
          <w:rFonts w:eastAsia="Times New Roman" w:cs="Arial"/>
          <w:color w:val="000000"/>
          <w:lang w:eastAsia="bg-BG"/>
        </w:rPr>
      </w:pPr>
    </w:p>
    <w:p w14:paraId="5FE612BA" w14:textId="639DA4CC" w:rsidR="00301663" w:rsidRPr="00301663" w:rsidRDefault="00301663" w:rsidP="00301663">
      <w:pPr>
        <w:spacing w:line="240" w:lineRule="auto"/>
        <w:rPr>
          <w:rFonts w:eastAsia="Times New Roman" w:cs="Arial"/>
        </w:rPr>
      </w:pPr>
      <w:r w:rsidRPr="00301663">
        <w:rPr>
          <w:rFonts w:eastAsia="Times New Roman" w:cs="Arial"/>
          <w:color w:val="000000"/>
          <w:lang w:eastAsia="bg-BG"/>
        </w:rPr>
        <w:t>Пациенти с анамнеза за стомашно-чревна токсичност, особено в старческа възраст, трябва да докладват всички необичайни абдоминални симптоми (особено стомашно-чревно кървене), особено в началото на лечението.</w:t>
      </w:r>
    </w:p>
    <w:p w14:paraId="52E09833" w14:textId="77777777" w:rsidR="00301663" w:rsidRPr="00301663" w:rsidRDefault="00301663" w:rsidP="00301663">
      <w:pPr>
        <w:spacing w:line="240" w:lineRule="auto"/>
        <w:rPr>
          <w:rFonts w:eastAsia="Times New Roman" w:cs="Arial"/>
          <w:color w:val="000000"/>
          <w:u w:val="single"/>
          <w:lang w:eastAsia="bg-BG"/>
        </w:rPr>
      </w:pPr>
    </w:p>
    <w:p w14:paraId="18695459" w14:textId="6142987B"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Пациенти в старческа възраст</w:t>
      </w:r>
    </w:p>
    <w:p w14:paraId="1BD58797"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При пациентите в старческа възраст честотата на нежеланите лекарствени реакции към НСПВС е увеличена, особено стомашно-чревно кървене и перфорация, които могат да са с фатален изход.</w:t>
      </w:r>
    </w:p>
    <w:p w14:paraId="47E11989" w14:textId="77777777" w:rsidR="00301663" w:rsidRPr="00301663" w:rsidRDefault="00301663" w:rsidP="00301663">
      <w:pPr>
        <w:spacing w:line="240" w:lineRule="auto"/>
        <w:rPr>
          <w:rFonts w:eastAsia="Times New Roman" w:cs="Arial"/>
          <w:color w:val="000000"/>
          <w:lang w:eastAsia="bg-BG"/>
        </w:rPr>
      </w:pPr>
    </w:p>
    <w:p w14:paraId="69BF7A9A" w14:textId="5518B5B4" w:rsidR="00301663" w:rsidRPr="00301663" w:rsidRDefault="00301663" w:rsidP="00301663">
      <w:pPr>
        <w:spacing w:line="240" w:lineRule="auto"/>
        <w:rPr>
          <w:rFonts w:eastAsia="Times New Roman" w:cs="Arial"/>
          <w:color w:val="000000"/>
          <w:lang w:eastAsia="bg-BG"/>
        </w:rPr>
      </w:pPr>
      <w:r w:rsidRPr="00301663">
        <w:rPr>
          <w:rFonts w:eastAsia="Times New Roman" w:cs="Arial"/>
          <w:color w:val="000000"/>
          <w:lang w:eastAsia="bg-BG"/>
        </w:rPr>
        <w:t>Когато се появи стомашно-чревно кървене или язва при пациенти приемащи кетопрофен, лечението трябва да се прекрати.</w:t>
      </w:r>
    </w:p>
    <w:p w14:paraId="2FFF9D39" w14:textId="77777777" w:rsidR="00301663" w:rsidRPr="00301663" w:rsidRDefault="00301663" w:rsidP="00301663">
      <w:pPr>
        <w:spacing w:line="240" w:lineRule="auto"/>
        <w:rPr>
          <w:rFonts w:eastAsia="Times New Roman" w:cs="Arial"/>
        </w:rPr>
      </w:pPr>
    </w:p>
    <w:p w14:paraId="71CF6279" w14:textId="34E3EF7F" w:rsidR="00301663" w:rsidRPr="00301663" w:rsidRDefault="00301663" w:rsidP="00301663">
      <w:pPr>
        <w:pStyle w:val="ListParagraph"/>
        <w:numPr>
          <w:ilvl w:val="0"/>
          <w:numId w:val="36"/>
        </w:numPr>
        <w:spacing w:line="240" w:lineRule="auto"/>
        <w:rPr>
          <w:rFonts w:eastAsia="Times New Roman" w:cs="Arial"/>
        </w:rPr>
      </w:pPr>
      <w:r w:rsidRPr="00301663">
        <w:rPr>
          <w:rFonts w:eastAsia="Times New Roman" w:cs="Arial"/>
          <w:color w:val="000000"/>
          <w:lang w:eastAsia="bg-BG"/>
        </w:rPr>
        <w:t>Сърдечно-съдови реакции</w:t>
      </w:r>
    </w:p>
    <w:p w14:paraId="3C01B7D0" w14:textId="7C3F5D95" w:rsidR="00301663" w:rsidRPr="00301663" w:rsidRDefault="00301663" w:rsidP="00301663">
      <w:pPr>
        <w:spacing w:line="240" w:lineRule="auto"/>
        <w:rPr>
          <w:rFonts w:eastAsia="Times New Roman" w:cs="Arial"/>
        </w:rPr>
      </w:pPr>
      <w:r w:rsidRPr="00301663">
        <w:rPr>
          <w:rFonts w:eastAsia="Times New Roman" w:cs="Arial"/>
          <w:color w:val="000000"/>
          <w:lang w:eastAsia="bg-BG"/>
        </w:rPr>
        <w:t>Клинични проучвания и епидемиологични данни показват, че употребата на някои НСПВС (особено във високи дози и при продължително приложение) може да бъде свързана с леко повишен риск от артериални тромботични събития (например миокарден инфаркт или инсулт).</w:t>
      </w:r>
    </w:p>
    <w:p w14:paraId="6E5FD128" w14:textId="77777777" w:rsidR="00301663" w:rsidRPr="00301663" w:rsidRDefault="00301663" w:rsidP="00301663">
      <w:pPr>
        <w:spacing w:line="240" w:lineRule="auto"/>
        <w:rPr>
          <w:rFonts w:eastAsia="Times New Roman" w:cs="Arial"/>
          <w:color w:val="000000"/>
          <w:lang w:eastAsia="bg-BG"/>
        </w:rPr>
      </w:pPr>
    </w:p>
    <w:p w14:paraId="28F58A25" w14:textId="25F62114" w:rsidR="00301663" w:rsidRPr="00301663" w:rsidRDefault="00301663" w:rsidP="00301663">
      <w:pPr>
        <w:spacing w:line="240" w:lineRule="auto"/>
        <w:rPr>
          <w:rFonts w:eastAsia="Times New Roman" w:cs="Arial"/>
        </w:rPr>
      </w:pPr>
      <w:r w:rsidRPr="00301663">
        <w:rPr>
          <w:rFonts w:eastAsia="Times New Roman" w:cs="Arial"/>
          <w:color w:val="000000"/>
          <w:lang w:eastAsia="bg-BG"/>
        </w:rPr>
        <w:t>Както при всички НСПВС, трябва внимателно да се обмисли приложението на кетопрофен при лечение на пациенти със съществуваща неконтролирана хипертония, конгестивна сърдечна недостатъчност, установена исхемична болест на сърцето, периферна артериална болест и / или мозъчно-съдова болест, както и преди започване на дългосрочно лечение на пациенти с рискови фактори за сърдечно-съдови заболявания (например хипертония, хиперлипидемия, захарен диабет, тютюнопушене).</w:t>
      </w:r>
    </w:p>
    <w:p w14:paraId="6F225141" w14:textId="77777777" w:rsidR="00301663" w:rsidRPr="00301663" w:rsidRDefault="00301663" w:rsidP="00301663">
      <w:pPr>
        <w:spacing w:line="240" w:lineRule="auto"/>
        <w:rPr>
          <w:rFonts w:eastAsia="Times New Roman" w:cs="Arial"/>
          <w:color w:val="000000"/>
          <w:lang w:eastAsia="bg-BG"/>
        </w:rPr>
      </w:pPr>
    </w:p>
    <w:p w14:paraId="6EC17046" w14:textId="12942A12" w:rsidR="00301663" w:rsidRPr="00301663" w:rsidRDefault="00301663" w:rsidP="00301663">
      <w:pPr>
        <w:spacing w:line="240" w:lineRule="auto"/>
        <w:rPr>
          <w:rFonts w:eastAsia="Times New Roman" w:cs="Arial"/>
          <w:color w:val="000000"/>
          <w:lang w:val="ru-RU"/>
        </w:rPr>
      </w:pPr>
      <w:r w:rsidRPr="00301663">
        <w:rPr>
          <w:rFonts w:eastAsia="Times New Roman" w:cs="Arial"/>
          <w:color w:val="000000"/>
          <w:lang w:eastAsia="bg-BG"/>
        </w:rPr>
        <w:lastRenderedPageBreak/>
        <w:t xml:space="preserve">Повишен риск за артериални </w:t>
      </w:r>
      <w:r w:rsidRPr="00301663">
        <w:rPr>
          <w:rFonts w:eastAsia="Times New Roman" w:cs="Arial"/>
          <w:i/>
          <w:iCs/>
          <w:color w:val="000000"/>
          <w:lang w:eastAsia="bg-BG"/>
        </w:rPr>
        <w:t>тромботични</w:t>
      </w:r>
      <w:r w:rsidRPr="00301663">
        <w:rPr>
          <w:rFonts w:eastAsia="Times New Roman" w:cs="Arial"/>
          <w:color w:val="000000"/>
          <w:lang w:eastAsia="bg-BG"/>
        </w:rPr>
        <w:t xml:space="preserve"> събития са съобщавани при пациенти, лекувани с неаспиринови НСПВС за периоперативна болка при поставянето на аорто-коронарен байпас </w:t>
      </w:r>
      <w:r w:rsidRPr="00301663">
        <w:rPr>
          <w:rFonts w:eastAsia="Times New Roman" w:cs="Arial"/>
          <w:color w:val="000000"/>
          <w:lang w:val="ru-RU"/>
        </w:rPr>
        <w:t>(</w:t>
      </w:r>
      <w:r w:rsidRPr="00301663">
        <w:rPr>
          <w:rFonts w:eastAsia="Times New Roman" w:cs="Arial"/>
          <w:color w:val="000000"/>
          <w:lang w:val="en-US"/>
        </w:rPr>
        <w:t>CABG</w:t>
      </w:r>
      <w:r w:rsidRPr="00301663">
        <w:rPr>
          <w:rFonts w:eastAsia="Times New Roman" w:cs="Arial"/>
          <w:color w:val="000000"/>
          <w:lang w:val="ru-RU"/>
        </w:rPr>
        <w:t>)</w:t>
      </w:r>
    </w:p>
    <w:p w14:paraId="591EA6F7" w14:textId="77777777" w:rsidR="00301663" w:rsidRPr="00301663" w:rsidRDefault="00301663" w:rsidP="00301663">
      <w:pPr>
        <w:spacing w:line="240" w:lineRule="auto"/>
        <w:rPr>
          <w:rFonts w:eastAsia="Times New Roman" w:cs="Arial"/>
        </w:rPr>
      </w:pPr>
    </w:p>
    <w:p w14:paraId="0DFD2E89"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w:t>
      </w:r>
      <w:r w:rsidRPr="00301663">
        <w:rPr>
          <w:rFonts w:eastAsia="Times New Roman" w:cs="Arial"/>
          <w:color w:val="000000"/>
          <w:lang w:eastAsia="bg-BG"/>
        </w:rPr>
        <w:tab/>
        <w:t>Кожни реакции</w:t>
      </w:r>
    </w:p>
    <w:p w14:paraId="5813A18B" w14:textId="77777777" w:rsidR="00301663" w:rsidRPr="00301663" w:rsidRDefault="00301663" w:rsidP="00301663">
      <w:pPr>
        <w:spacing w:line="240" w:lineRule="auto"/>
        <w:rPr>
          <w:rFonts w:eastAsia="Times New Roman" w:cs="Arial"/>
          <w:color w:val="000000"/>
          <w:lang w:eastAsia="bg-BG"/>
        </w:rPr>
      </w:pPr>
    </w:p>
    <w:p w14:paraId="44EEF00C" w14:textId="07F834F0" w:rsidR="00301663" w:rsidRPr="00301663" w:rsidRDefault="00301663" w:rsidP="00301663">
      <w:pPr>
        <w:spacing w:line="240" w:lineRule="auto"/>
        <w:rPr>
          <w:rFonts w:eastAsia="Times New Roman" w:cs="Arial"/>
        </w:rPr>
      </w:pPr>
      <w:r w:rsidRPr="00301663">
        <w:rPr>
          <w:rFonts w:eastAsia="Times New Roman" w:cs="Arial"/>
          <w:color w:val="000000"/>
          <w:lang w:eastAsia="bg-BG"/>
        </w:rPr>
        <w:t xml:space="preserve">Тежки кожни реакции, някои от тях с фатален изход, включително ексфолиативен дерматит, синдром на </w:t>
      </w:r>
      <w:r w:rsidRPr="00301663">
        <w:rPr>
          <w:rFonts w:eastAsia="Times New Roman" w:cs="Arial"/>
          <w:color w:val="000000"/>
          <w:lang w:val="en-US"/>
        </w:rPr>
        <w:t>Stevens</w:t>
      </w:r>
      <w:r w:rsidRPr="00301663">
        <w:rPr>
          <w:rFonts w:eastAsia="Times New Roman" w:cs="Arial"/>
          <w:color w:val="000000"/>
          <w:lang w:val="ru-RU"/>
        </w:rPr>
        <w:t>-</w:t>
      </w:r>
      <w:r w:rsidRPr="00301663">
        <w:rPr>
          <w:rFonts w:eastAsia="Times New Roman" w:cs="Arial"/>
          <w:color w:val="000000"/>
          <w:lang w:val="en-US"/>
        </w:rPr>
        <w:t>Johnson</w:t>
      </w:r>
      <w:r w:rsidRPr="00301663">
        <w:rPr>
          <w:rFonts w:eastAsia="Times New Roman" w:cs="Arial"/>
          <w:color w:val="000000"/>
          <w:lang w:val="ru-RU"/>
        </w:rPr>
        <w:t xml:space="preserve">, </w:t>
      </w:r>
      <w:r w:rsidRPr="00301663">
        <w:rPr>
          <w:rFonts w:eastAsia="Times New Roman" w:cs="Arial"/>
          <w:color w:val="000000"/>
          <w:lang w:eastAsia="bg-BG"/>
        </w:rPr>
        <w:t>и токсична епидермална некролиза са били докладвани много рядко в комбинация с НСПВС (вж. точка 4.8). Пациентите са изложени на най-голям риск в начало на лечението, както и повечето случаи на поява на такива реакции са през първия месец на лечението. Кетопрофен трябва да бъде спрян при първата поява на обрив по кожата, мукозни лезии или някакъв друг знак за свръхчувствителност.</w:t>
      </w:r>
    </w:p>
    <w:p w14:paraId="17234A4B" w14:textId="77777777" w:rsidR="00301663" w:rsidRPr="00301663" w:rsidRDefault="00301663" w:rsidP="00301663">
      <w:pPr>
        <w:spacing w:line="240" w:lineRule="auto"/>
        <w:rPr>
          <w:rFonts w:eastAsia="Times New Roman" w:cs="Arial"/>
          <w:color w:val="000000"/>
          <w:u w:val="single"/>
          <w:lang w:eastAsia="bg-BG"/>
        </w:rPr>
      </w:pPr>
    </w:p>
    <w:p w14:paraId="1D7BD1A1" w14:textId="6CE7E403"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Предпазни мерки при употреба</w:t>
      </w:r>
    </w:p>
    <w:p w14:paraId="29EE9596"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НСПВС трябва да се дават особено внимателно на пациенти с анамнеза за стомашно-чревно заболяване (улцерозен колит, болест на Крон), тъй като тези състояния могат да се влошат (вж. точка 4.8).</w:t>
      </w:r>
    </w:p>
    <w:p w14:paraId="5C736DF6" w14:textId="77777777" w:rsidR="00301663" w:rsidRPr="00301663" w:rsidRDefault="00301663" w:rsidP="00301663">
      <w:pPr>
        <w:spacing w:line="240" w:lineRule="auto"/>
        <w:rPr>
          <w:rFonts w:eastAsia="Times New Roman" w:cs="Arial"/>
          <w:color w:val="000000"/>
          <w:lang w:eastAsia="bg-BG"/>
        </w:rPr>
      </w:pPr>
    </w:p>
    <w:p w14:paraId="40ED5676" w14:textId="7472354B" w:rsidR="00301663" w:rsidRPr="00301663" w:rsidRDefault="00301663" w:rsidP="00301663">
      <w:pPr>
        <w:spacing w:line="240" w:lineRule="auto"/>
        <w:rPr>
          <w:rFonts w:eastAsia="Times New Roman" w:cs="Arial"/>
        </w:rPr>
      </w:pPr>
      <w:r w:rsidRPr="00301663">
        <w:rPr>
          <w:rFonts w:eastAsia="Times New Roman" w:cs="Arial"/>
          <w:color w:val="000000"/>
          <w:lang w:eastAsia="bg-BG"/>
        </w:rPr>
        <w:t>В начало на лечението, бъбречната функция трябва внимателно да се наблюдава при пациенти със сърдечна недостатъчност, цироза и нефроза, при пациенти получаващи диуретична терапия, при пациенти с хронична бъбречна недостатъчност, особено ако пациентът е в старческа възраст. При тези пациенти, употребата на кетопрофен може да предизвика намаляване на бъбречния кръвоток, причинено от инхибиране на простагландините и води до бъбречна недостатъчност.</w:t>
      </w:r>
    </w:p>
    <w:p w14:paraId="032A9C18" w14:textId="77777777" w:rsidR="00301663" w:rsidRPr="00301663" w:rsidRDefault="00301663" w:rsidP="00301663">
      <w:pPr>
        <w:spacing w:line="240" w:lineRule="auto"/>
        <w:rPr>
          <w:rFonts w:eastAsia="Times New Roman" w:cs="Arial"/>
          <w:color w:val="000000"/>
          <w:lang w:eastAsia="bg-BG"/>
        </w:rPr>
      </w:pPr>
    </w:p>
    <w:p w14:paraId="6C1AC4D5" w14:textId="534E6FFA" w:rsidR="00301663" w:rsidRPr="00301663" w:rsidRDefault="00301663" w:rsidP="00301663">
      <w:pPr>
        <w:spacing w:line="240" w:lineRule="auto"/>
        <w:rPr>
          <w:rFonts w:eastAsia="Times New Roman" w:cs="Arial"/>
        </w:rPr>
      </w:pPr>
      <w:r w:rsidRPr="00301663">
        <w:rPr>
          <w:rFonts w:eastAsia="Times New Roman" w:cs="Arial"/>
          <w:color w:val="000000"/>
          <w:lang w:eastAsia="bg-BG"/>
        </w:rPr>
        <w:t>Необходимо е повишено внимание при пациенти с анамнеза за хипертония и/или лека до умерена застойна сърдечна недостатъчност, тъй като има съобщения за отоци и задръжка на течности, свързани с лечението с НСПВС.</w:t>
      </w:r>
    </w:p>
    <w:p w14:paraId="33720A9D" w14:textId="77777777" w:rsidR="00301663" w:rsidRPr="00301663" w:rsidRDefault="00301663" w:rsidP="00301663">
      <w:pPr>
        <w:spacing w:line="240" w:lineRule="auto"/>
        <w:rPr>
          <w:rFonts w:eastAsia="Times New Roman" w:cs="Arial"/>
          <w:color w:val="000000"/>
          <w:lang w:eastAsia="bg-BG"/>
        </w:rPr>
      </w:pPr>
    </w:p>
    <w:p w14:paraId="59FE02A8" w14:textId="14B30922" w:rsidR="00301663" w:rsidRPr="00301663" w:rsidRDefault="00301663" w:rsidP="00301663">
      <w:pPr>
        <w:spacing w:line="240" w:lineRule="auto"/>
        <w:rPr>
          <w:rFonts w:eastAsia="Times New Roman" w:cs="Arial"/>
        </w:rPr>
      </w:pPr>
      <w:r w:rsidRPr="00301663">
        <w:rPr>
          <w:rFonts w:eastAsia="Times New Roman" w:cs="Arial"/>
          <w:color w:val="000000"/>
          <w:lang w:eastAsia="bg-BG"/>
        </w:rPr>
        <w:t>Пациенти с неконтролирана хипертония, застойна сърдечна недостатъчност, установена исхемична болест на сърцето, заболяване на периферните артерии и/или мозъчно-съдова болест трябва да се лекуват с кетопрофен само след внимателно обмисляне. Такова обмисляне трябва да се направи и преди започване на дългосрочно лечение на пациенти с рискови фактори за сърдечно-съдови събития (например хипертония, хиперлипидимия, захарен диабет, тютюнопушене).</w:t>
      </w:r>
    </w:p>
    <w:p w14:paraId="659A6AB2" w14:textId="77777777" w:rsidR="00301663" w:rsidRPr="00301663" w:rsidRDefault="00301663" w:rsidP="00301663">
      <w:pPr>
        <w:spacing w:line="240" w:lineRule="auto"/>
        <w:rPr>
          <w:rFonts w:eastAsia="Times New Roman" w:cs="Arial"/>
          <w:color w:val="000000"/>
          <w:lang w:eastAsia="bg-BG"/>
        </w:rPr>
      </w:pPr>
    </w:p>
    <w:p w14:paraId="00B8DACD" w14:textId="390DE86D" w:rsidR="00301663" w:rsidRPr="00301663" w:rsidRDefault="00301663" w:rsidP="00301663">
      <w:pPr>
        <w:spacing w:line="240" w:lineRule="auto"/>
        <w:rPr>
          <w:rFonts w:eastAsia="Times New Roman" w:cs="Arial"/>
        </w:rPr>
      </w:pPr>
      <w:r w:rsidRPr="00301663">
        <w:rPr>
          <w:rFonts w:eastAsia="Times New Roman" w:cs="Arial"/>
          <w:color w:val="000000"/>
          <w:lang w:eastAsia="bg-BG"/>
        </w:rPr>
        <w:t>Повишен риск от предсърдно мъждене е докладвано във връзка с употребата на НСПВС.</w:t>
      </w:r>
    </w:p>
    <w:p w14:paraId="3817B266" w14:textId="77777777" w:rsidR="00301663" w:rsidRPr="00301663" w:rsidRDefault="00301663" w:rsidP="00301663">
      <w:pPr>
        <w:spacing w:line="240" w:lineRule="auto"/>
        <w:rPr>
          <w:rFonts w:eastAsia="Times New Roman" w:cs="Arial"/>
          <w:color w:val="000000"/>
          <w:lang w:eastAsia="bg-BG"/>
        </w:rPr>
      </w:pPr>
    </w:p>
    <w:p w14:paraId="4EAE8FF0" w14:textId="6FFC2B58" w:rsidR="00301663" w:rsidRPr="00301663" w:rsidRDefault="00301663" w:rsidP="00301663">
      <w:pPr>
        <w:spacing w:line="240" w:lineRule="auto"/>
        <w:rPr>
          <w:rFonts w:eastAsia="Times New Roman" w:cs="Arial"/>
        </w:rPr>
      </w:pPr>
      <w:r w:rsidRPr="00301663">
        <w:rPr>
          <w:rFonts w:eastAsia="Times New Roman" w:cs="Arial"/>
          <w:color w:val="000000"/>
          <w:lang w:eastAsia="bg-BG"/>
        </w:rPr>
        <w:t>Хиперкалиемия може да възникне, особено при пациенти с диабет, с бъбречна недостатъчност, и /или съпътстващо лечение с лекарствени вещества водещи до хиперкалиемия (виж.т.4.5). Нивата на калий, трябва да бъдат изследвани при тези обстоятелства.</w:t>
      </w:r>
    </w:p>
    <w:p w14:paraId="78B1BC46" w14:textId="77777777" w:rsidR="00301663" w:rsidRPr="00301663" w:rsidRDefault="00301663" w:rsidP="00301663">
      <w:pPr>
        <w:spacing w:line="240" w:lineRule="auto"/>
        <w:rPr>
          <w:rFonts w:eastAsia="Times New Roman" w:cs="Arial"/>
          <w:color w:val="000000"/>
          <w:lang w:eastAsia="bg-BG"/>
        </w:rPr>
      </w:pPr>
    </w:p>
    <w:p w14:paraId="19D4BD23" w14:textId="0023CE66" w:rsidR="00301663" w:rsidRPr="00301663" w:rsidRDefault="00301663" w:rsidP="00301663">
      <w:pPr>
        <w:spacing w:line="240" w:lineRule="auto"/>
        <w:rPr>
          <w:rFonts w:eastAsia="Times New Roman" w:cs="Arial"/>
        </w:rPr>
      </w:pPr>
      <w:r w:rsidRPr="00301663">
        <w:rPr>
          <w:rFonts w:eastAsia="Times New Roman" w:cs="Arial"/>
          <w:color w:val="000000"/>
          <w:lang w:eastAsia="bg-BG"/>
        </w:rPr>
        <w:t>Подобно на другите НСПВС при наличието на инфекциозно заболяване, трябва да се отбележи, че противовъзпалителните, аналгетичните и антипиретичните свойства на кетопрофен могат да замаскират обичайните признаци за развитието на инфекция, например треска.</w:t>
      </w:r>
    </w:p>
    <w:p w14:paraId="2DA87697" w14:textId="77777777" w:rsidR="00301663" w:rsidRPr="00301663" w:rsidRDefault="00301663" w:rsidP="00301663">
      <w:pPr>
        <w:spacing w:line="240" w:lineRule="auto"/>
        <w:rPr>
          <w:rFonts w:eastAsia="Times New Roman" w:cs="Arial"/>
          <w:color w:val="000000"/>
          <w:lang w:eastAsia="bg-BG"/>
        </w:rPr>
      </w:pPr>
    </w:p>
    <w:p w14:paraId="1168A994" w14:textId="5590C37D" w:rsidR="00301663" w:rsidRPr="00301663" w:rsidRDefault="00301663" w:rsidP="00301663">
      <w:pPr>
        <w:spacing w:line="240" w:lineRule="auto"/>
        <w:rPr>
          <w:rFonts w:eastAsia="Times New Roman" w:cs="Arial"/>
        </w:rPr>
      </w:pPr>
      <w:r w:rsidRPr="00301663">
        <w:rPr>
          <w:rFonts w:eastAsia="Times New Roman" w:cs="Arial"/>
          <w:color w:val="000000"/>
          <w:lang w:eastAsia="bg-BG"/>
        </w:rPr>
        <w:t>Маскиране на симптомите на подлежащите инфекции</w:t>
      </w:r>
    </w:p>
    <w:p w14:paraId="773E5FA4"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lastRenderedPageBreak/>
        <w:t xml:space="preserve">Профеннд </w:t>
      </w:r>
      <w:r w:rsidRPr="00301663">
        <w:rPr>
          <w:rFonts w:eastAsia="Times New Roman" w:cs="Arial"/>
          <w:color w:val="000000"/>
          <w:lang w:val="en-US"/>
        </w:rPr>
        <w:t>LP</w:t>
      </w:r>
      <w:r w:rsidRPr="00301663">
        <w:rPr>
          <w:rFonts w:eastAsia="Times New Roman" w:cs="Arial"/>
          <w:color w:val="000000"/>
          <w:lang w:val="ru-RU"/>
        </w:rPr>
        <w:t xml:space="preserve"> </w:t>
      </w:r>
      <w:r w:rsidRPr="00301663">
        <w:rPr>
          <w:rFonts w:eastAsia="Times New Roman" w:cs="Arial"/>
          <w:color w:val="000000"/>
          <w:lang w:eastAsia="bg-BG"/>
        </w:rPr>
        <w:t xml:space="preserve">200 </w:t>
      </w:r>
      <w:r w:rsidRPr="00301663">
        <w:rPr>
          <w:rFonts w:eastAsia="Times New Roman" w:cs="Arial"/>
          <w:color w:val="000000"/>
          <w:lang w:val="en-US"/>
        </w:rPr>
        <w:t>mg</w:t>
      </w:r>
      <w:r w:rsidRPr="00301663">
        <w:rPr>
          <w:rFonts w:eastAsia="Times New Roman" w:cs="Arial"/>
          <w:color w:val="000000"/>
          <w:lang w:val="ru-RU"/>
        </w:rPr>
        <w:t xml:space="preserve"> </w:t>
      </w:r>
      <w:r w:rsidRPr="00301663">
        <w:rPr>
          <w:rFonts w:eastAsia="Times New Roman" w:cs="Arial"/>
          <w:color w:val="000000"/>
          <w:lang w:eastAsia="bg-BG"/>
        </w:rPr>
        <w:t xml:space="preserve">таблетки с удължено освобождаване може да маскира симптомите на инфекция, което може да доведе до забавяне на започване на подходящо лечение и по този начин да влоши изхода от инфекцията. Това се наблюдава при бактериална пневмония, придобита в обществото, както и при бактериалните усложнения на варицела. Когато Профеннд </w:t>
      </w:r>
      <w:r w:rsidRPr="00301663">
        <w:rPr>
          <w:rFonts w:eastAsia="Times New Roman" w:cs="Arial"/>
          <w:color w:val="000000"/>
          <w:lang w:val="en-US"/>
        </w:rPr>
        <w:t>LP</w:t>
      </w:r>
      <w:r w:rsidRPr="00301663">
        <w:rPr>
          <w:rFonts w:eastAsia="Times New Roman" w:cs="Arial"/>
          <w:color w:val="000000"/>
          <w:lang w:val="ru-RU"/>
        </w:rPr>
        <w:t xml:space="preserve"> </w:t>
      </w:r>
      <w:r w:rsidRPr="00301663">
        <w:rPr>
          <w:rFonts w:eastAsia="Times New Roman" w:cs="Arial"/>
          <w:color w:val="000000"/>
          <w:lang w:eastAsia="bg-BG"/>
        </w:rPr>
        <w:t xml:space="preserve">200 </w:t>
      </w:r>
      <w:r w:rsidRPr="00301663">
        <w:rPr>
          <w:rFonts w:eastAsia="Times New Roman" w:cs="Arial"/>
          <w:color w:val="000000"/>
          <w:lang w:val="en-US"/>
        </w:rPr>
        <w:t>mg</w:t>
      </w:r>
      <w:r w:rsidRPr="00301663">
        <w:rPr>
          <w:rFonts w:eastAsia="Times New Roman" w:cs="Arial"/>
          <w:color w:val="000000"/>
          <w:lang w:eastAsia="bg-BG"/>
        </w:rPr>
        <w:t xml:space="preserve"> таблетки с удължено освобождаване се прилага за лечение на повишена температура или за облекчаване на болката във връзка с инфекция, се препоръчва наблюдение на инфекцията. При извънболнични условия пациентът трябва да се консултира с лекар, ако симптомите персистират или се влошават.</w:t>
      </w:r>
    </w:p>
    <w:p w14:paraId="7CB1E008" w14:textId="77777777" w:rsidR="00301663" w:rsidRPr="00301663" w:rsidRDefault="00301663" w:rsidP="00301663">
      <w:pPr>
        <w:spacing w:line="240" w:lineRule="auto"/>
        <w:rPr>
          <w:rFonts w:eastAsia="Times New Roman" w:cs="Arial"/>
          <w:color w:val="000000"/>
          <w:lang w:eastAsia="bg-BG"/>
        </w:rPr>
      </w:pPr>
    </w:p>
    <w:p w14:paraId="2EE7FE5B" w14:textId="32DA5313" w:rsidR="00301663" w:rsidRPr="00301663" w:rsidRDefault="00301663" w:rsidP="00301663">
      <w:pPr>
        <w:spacing w:line="240" w:lineRule="auto"/>
        <w:rPr>
          <w:rFonts w:eastAsia="Times New Roman" w:cs="Arial"/>
        </w:rPr>
      </w:pPr>
      <w:r w:rsidRPr="00301663">
        <w:rPr>
          <w:rFonts w:eastAsia="Times New Roman" w:cs="Arial"/>
          <w:color w:val="000000"/>
          <w:lang w:eastAsia="bg-BG"/>
        </w:rPr>
        <w:t>При пациенти с изразено нарушение на чернодробните функции или с анамнеза за чернодробно заболяване, се препоръчва периодично изследване нивата на аминотрансферазите, особено по време на продължително лечение. Редки случаи на жълтеница и хепатит са били описани с кетопрофен.</w:t>
      </w:r>
    </w:p>
    <w:p w14:paraId="65168804" w14:textId="77777777" w:rsidR="00301663" w:rsidRPr="00301663" w:rsidRDefault="00301663" w:rsidP="00301663">
      <w:pPr>
        <w:spacing w:line="240" w:lineRule="auto"/>
        <w:rPr>
          <w:rFonts w:eastAsia="Times New Roman" w:cs="Arial"/>
          <w:color w:val="000000"/>
          <w:lang w:eastAsia="bg-BG"/>
        </w:rPr>
      </w:pPr>
    </w:p>
    <w:p w14:paraId="1515B291" w14:textId="4EEC94D5" w:rsidR="00301663" w:rsidRPr="00301663" w:rsidRDefault="00301663" w:rsidP="00301663">
      <w:pPr>
        <w:spacing w:line="240" w:lineRule="auto"/>
        <w:rPr>
          <w:rFonts w:eastAsia="Times New Roman" w:cs="Arial"/>
        </w:rPr>
      </w:pPr>
      <w:r w:rsidRPr="00301663">
        <w:rPr>
          <w:rFonts w:eastAsia="Times New Roman" w:cs="Arial"/>
          <w:color w:val="000000"/>
          <w:lang w:eastAsia="bg-BG"/>
        </w:rPr>
        <w:t>Употребата на НСПВС може да наруши фертилитета при жени и затова не се препоръчва при жени, желаещи да забременеят. Жени, които не могат да забременеят или провеждат изследвания за стерилност, трябва да преустановят приемането на НСПВС.</w:t>
      </w:r>
    </w:p>
    <w:p w14:paraId="6C360397" w14:textId="77777777" w:rsidR="00301663" w:rsidRPr="00301663" w:rsidRDefault="00301663" w:rsidP="00301663">
      <w:pPr>
        <w:spacing w:line="240" w:lineRule="auto"/>
        <w:rPr>
          <w:rFonts w:eastAsia="Times New Roman" w:cs="Arial"/>
          <w:color w:val="000000"/>
          <w:lang w:eastAsia="bg-BG"/>
        </w:rPr>
      </w:pPr>
    </w:p>
    <w:p w14:paraId="74A428F4" w14:textId="77777777" w:rsidR="00301663" w:rsidRPr="00301663" w:rsidRDefault="00301663" w:rsidP="00301663">
      <w:pPr>
        <w:rPr>
          <w:rFonts w:eastAsia="Times New Roman" w:cs="Arial"/>
        </w:rPr>
      </w:pPr>
      <w:r w:rsidRPr="00301663">
        <w:rPr>
          <w:rFonts w:eastAsia="Times New Roman" w:cs="Arial"/>
          <w:color w:val="000000"/>
          <w:lang w:eastAsia="bg-BG"/>
        </w:rPr>
        <w:t>Пациенти, страдащи от астма, свързана с хроничен ринит и/или с хроничен</w:t>
      </w:r>
      <w:r w:rsidRPr="00301663">
        <w:rPr>
          <w:rFonts w:eastAsia="Times New Roman" w:cs="Arial"/>
          <w:color w:val="000000"/>
          <w:lang w:val="ru-RU"/>
        </w:rPr>
        <w:t xml:space="preserve"> </w:t>
      </w:r>
      <w:r w:rsidRPr="00301663">
        <w:rPr>
          <w:rFonts w:eastAsia="Times New Roman" w:cs="Arial"/>
          <w:color w:val="000000"/>
          <w:lang w:eastAsia="bg-BG"/>
        </w:rPr>
        <w:t>синузит и/или с назална полипоза, рискуват повече от останалите да получат алергична реакция ои време на</w:t>
      </w:r>
      <w:r w:rsidRPr="00301663">
        <w:rPr>
          <w:rFonts w:eastAsia="Times New Roman" w:cs="Arial"/>
          <w:color w:val="000000"/>
          <w:lang w:val="ru-RU" w:eastAsia="bg-BG"/>
        </w:rPr>
        <w:t xml:space="preserve"> </w:t>
      </w:r>
      <w:r w:rsidRPr="00301663">
        <w:rPr>
          <w:rFonts w:eastAsia="Times New Roman" w:cs="Arial"/>
          <w:color w:val="000000"/>
          <w:lang w:eastAsia="bg-BG"/>
        </w:rPr>
        <w:t>приема на ацетилсалицилова киселина и/или други НСПВС. Прилагането на този лекарствен продукт може да доведе до астматичен пристъп или спазъм на бронхите, особено при хора, алергични към ацетилсалицилова киселина или към НСПВС.</w:t>
      </w:r>
    </w:p>
    <w:p w14:paraId="688182AC" w14:textId="77777777" w:rsidR="00301663" w:rsidRPr="00301663" w:rsidRDefault="00301663" w:rsidP="00301663">
      <w:pPr>
        <w:spacing w:line="240" w:lineRule="auto"/>
        <w:rPr>
          <w:rFonts w:eastAsia="Times New Roman" w:cs="Arial"/>
          <w:color w:val="000000"/>
          <w:lang w:eastAsia="bg-BG"/>
        </w:rPr>
      </w:pPr>
    </w:p>
    <w:p w14:paraId="58C400A4" w14:textId="3629467A" w:rsidR="00301663" w:rsidRPr="00301663" w:rsidRDefault="00301663" w:rsidP="00301663">
      <w:pPr>
        <w:spacing w:line="240" w:lineRule="auto"/>
        <w:rPr>
          <w:rFonts w:eastAsia="Times New Roman" w:cs="Arial"/>
        </w:rPr>
      </w:pPr>
      <w:r w:rsidRPr="00301663">
        <w:rPr>
          <w:rFonts w:eastAsia="Times New Roman" w:cs="Arial"/>
          <w:color w:val="000000"/>
          <w:lang w:eastAsia="bg-BG"/>
        </w:rPr>
        <w:t>Ако се появят зрителни нарушения като замъглено виждане, лечението трябва да се преустанови.</w:t>
      </w:r>
    </w:p>
    <w:p w14:paraId="5D118DBF" w14:textId="77777777" w:rsidR="00301663" w:rsidRPr="00301663" w:rsidRDefault="00301663" w:rsidP="00301663">
      <w:pPr>
        <w:spacing w:line="240" w:lineRule="auto"/>
        <w:rPr>
          <w:rFonts w:eastAsia="Times New Roman" w:cs="Arial"/>
          <w:color w:val="000000"/>
          <w:lang w:eastAsia="bg-BG"/>
        </w:rPr>
      </w:pPr>
    </w:p>
    <w:p w14:paraId="725971E9" w14:textId="4B7EDDD8" w:rsidR="00301663" w:rsidRPr="00301663" w:rsidRDefault="00301663" w:rsidP="00301663">
      <w:pPr>
        <w:spacing w:line="240" w:lineRule="auto"/>
        <w:rPr>
          <w:rFonts w:eastAsia="Times New Roman" w:cs="Arial"/>
        </w:rPr>
      </w:pPr>
      <w:r w:rsidRPr="00301663">
        <w:rPr>
          <w:rFonts w:eastAsia="Times New Roman" w:cs="Arial"/>
          <w:color w:val="000000"/>
          <w:lang w:eastAsia="bg-BG"/>
        </w:rPr>
        <w:t>Пациентите с данни за реакции на фоточувствителност или фототоксичност трябва да се следят внимателно.</w:t>
      </w:r>
    </w:p>
    <w:p w14:paraId="5BA410C0" w14:textId="77777777" w:rsidR="00301663" w:rsidRPr="00301663" w:rsidRDefault="00301663" w:rsidP="00301663">
      <w:pPr>
        <w:spacing w:line="240" w:lineRule="auto"/>
        <w:rPr>
          <w:rFonts w:eastAsia="Times New Roman" w:cs="Arial"/>
          <w:color w:val="000000"/>
          <w:lang w:eastAsia="bg-BG"/>
        </w:rPr>
      </w:pPr>
    </w:p>
    <w:p w14:paraId="6C73EBC8" w14:textId="0577AFE8" w:rsidR="00301663" w:rsidRPr="00301663" w:rsidRDefault="00301663" w:rsidP="00301663">
      <w:pPr>
        <w:spacing w:line="240" w:lineRule="auto"/>
        <w:rPr>
          <w:rFonts w:eastAsia="Times New Roman" w:cs="Arial"/>
        </w:rPr>
      </w:pPr>
      <w:r w:rsidRPr="00301663">
        <w:rPr>
          <w:rFonts w:eastAsia="Times New Roman" w:cs="Arial"/>
          <w:color w:val="000000"/>
          <w:lang w:eastAsia="bg-BG"/>
        </w:rPr>
        <w:t>По време на продължително лечение се препоръчва да се контролират кръвните показатели, чернодробните и бъбречните функции.</w:t>
      </w:r>
    </w:p>
    <w:p w14:paraId="2E4FDC0B" w14:textId="079F59A4" w:rsidR="00301663" w:rsidRPr="00301663" w:rsidRDefault="00301663" w:rsidP="00301663"/>
    <w:p w14:paraId="070777EC" w14:textId="5DF14B1F" w:rsidR="00DF4C8E" w:rsidRDefault="002C50EE" w:rsidP="00F44498">
      <w:pPr>
        <w:pStyle w:val="Heading2"/>
      </w:pPr>
      <w:r>
        <w:t>4.5. Взаимодействие с други лекарствени продукти и други форми на взаимодействие</w:t>
      </w:r>
    </w:p>
    <w:p w14:paraId="0CDBC1B3" w14:textId="073E9697" w:rsidR="00301663" w:rsidRDefault="00301663" w:rsidP="00301663"/>
    <w:p w14:paraId="1EE907DF" w14:textId="77777777"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Не се препоръчва комбинирането с:</w:t>
      </w:r>
    </w:p>
    <w:p w14:paraId="06F2FE53" w14:textId="77777777" w:rsidR="00301663" w:rsidRPr="00301663" w:rsidRDefault="00301663" w:rsidP="00301663">
      <w:pPr>
        <w:spacing w:line="240" w:lineRule="auto"/>
        <w:rPr>
          <w:rFonts w:eastAsia="Times New Roman" w:cs="Arial"/>
          <w:color w:val="000000"/>
          <w:lang w:eastAsia="bg-BG"/>
        </w:rPr>
      </w:pPr>
    </w:p>
    <w:p w14:paraId="6CDFC043" w14:textId="3D55282C" w:rsidR="00301663" w:rsidRPr="00301663" w:rsidRDefault="00301663" w:rsidP="00301663">
      <w:pPr>
        <w:spacing w:line="240" w:lineRule="auto"/>
        <w:rPr>
          <w:rFonts w:eastAsia="Times New Roman" w:cs="Arial"/>
        </w:rPr>
      </w:pPr>
      <w:r w:rsidRPr="00301663">
        <w:rPr>
          <w:rFonts w:eastAsia="Times New Roman" w:cs="Arial"/>
          <w:color w:val="000000"/>
          <w:lang w:eastAsia="bg-BG"/>
        </w:rPr>
        <w:t>Други НСПВС (включително циклооксигеназа-2 селективни инхибитори) и високи дози салицилати: увеличен риск от стомашно-чревна язва и кървене.</w:t>
      </w:r>
    </w:p>
    <w:p w14:paraId="1425DFBC" w14:textId="77777777" w:rsidR="00301663" w:rsidRPr="00301663" w:rsidRDefault="00301663" w:rsidP="00301663">
      <w:pPr>
        <w:spacing w:line="240" w:lineRule="auto"/>
        <w:rPr>
          <w:rFonts w:eastAsia="Times New Roman" w:cs="Arial"/>
          <w:color w:val="000000"/>
          <w:lang w:eastAsia="bg-BG"/>
        </w:rPr>
      </w:pPr>
    </w:p>
    <w:p w14:paraId="5EDFCAC4" w14:textId="08C8A31A" w:rsidR="00301663" w:rsidRPr="00301663" w:rsidRDefault="00301663" w:rsidP="00301663">
      <w:pPr>
        <w:spacing w:line="240" w:lineRule="auto"/>
        <w:rPr>
          <w:rFonts w:eastAsia="Times New Roman" w:cs="Arial"/>
        </w:rPr>
      </w:pPr>
      <w:r w:rsidRPr="00301663">
        <w:rPr>
          <w:rFonts w:eastAsia="Times New Roman" w:cs="Arial"/>
          <w:color w:val="000000"/>
          <w:lang w:eastAsia="bg-BG"/>
        </w:rPr>
        <w:t>Антикоагуланти (:</w:t>
      </w:r>
    </w:p>
    <w:p w14:paraId="4A72A7EE" w14:textId="5EE4C0E3" w:rsidR="00301663" w:rsidRPr="00301663" w:rsidRDefault="00301663" w:rsidP="00301663">
      <w:pPr>
        <w:spacing w:line="240" w:lineRule="auto"/>
        <w:rPr>
          <w:rFonts w:eastAsia="Times New Roman" w:cs="Arial"/>
        </w:rPr>
      </w:pPr>
      <w:r w:rsidRPr="00301663">
        <w:rPr>
          <w:rFonts w:eastAsia="Times New Roman" w:cs="Arial"/>
          <w:color w:val="000000"/>
          <w:lang w:eastAsia="bg-BG"/>
        </w:rPr>
        <w:t>Повишен риск от кървене (вж. точка 4.4):</w:t>
      </w:r>
    </w:p>
    <w:p w14:paraId="2F70738A" w14:textId="77777777" w:rsidR="00301663" w:rsidRPr="00301663" w:rsidRDefault="00301663" w:rsidP="00301663">
      <w:pPr>
        <w:pStyle w:val="ListParagraph"/>
        <w:numPr>
          <w:ilvl w:val="0"/>
          <w:numId w:val="34"/>
        </w:numPr>
        <w:spacing w:line="240" w:lineRule="auto"/>
        <w:rPr>
          <w:rFonts w:eastAsia="Times New Roman" w:cs="Arial"/>
        </w:rPr>
      </w:pPr>
      <w:r w:rsidRPr="00301663">
        <w:rPr>
          <w:rFonts w:eastAsia="Times New Roman" w:cs="Arial"/>
          <w:color w:val="000000"/>
          <w:lang w:eastAsia="bg-BG"/>
        </w:rPr>
        <w:t>Хепарин</w:t>
      </w:r>
    </w:p>
    <w:p w14:paraId="3ADE65A9" w14:textId="77777777" w:rsidR="00301663" w:rsidRPr="00301663" w:rsidRDefault="00301663" w:rsidP="00301663">
      <w:pPr>
        <w:pStyle w:val="ListParagraph"/>
        <w:numPr>
          <w:ilvl w:val="0"/>
          <w:numId w:val="34"/>
        </w:numPr>
        <w:spacing w:line="240" w:lineRule="auto"/>
        <w:rPr>
          <w:rFonts w:eastAsia="Times New Roman" w:cs="Arial"/>
        </w:rPr>
      </w:pPr>
      <w:r w:rsidRPr="00301663">
        <w:rPr>
          <w:rFonts w:eastAsia="Times New Roman" w:cs="Arial"/>
          <w:color w:val="000000"/>
          <w:lang w:eastAsia="bg-BG"/>
        </w:rPr>
        <w:t>Антагонисти на витамин К</w:t>
      </w:r>
    </w:p>
    <w:p w14:paraId="1ED936CC" w14:textId="77777777" w:rsidR="00301663" w:rsidRPr="00301663" w:rsidRDefault="00301663" w:rsidP="00301663">
      <w:pPr>
        <w:pStyle w:val="ListParagraph"/>
        <w:numPr>
          <w:ilvl w:val="0"/>
          <w:numId w:val="34"/>
        </w:numPr>
        <w:spacing w:line="240" w:lineRule="auto"/>
        <w:rPr>
          <w:rFonts w:eastAsia="Times New Roman" w:cs="Arial"/>
        </w:rPr>
      </w:pPr>
      <w:r w:rsidRPr="00301663">
        <w:rPr>
          <w:rFonts w:eastAsia="Times New Roman" w:cs="Arial"/>
          <w:color w:val="000000"/>
          <w:lang w:eastAsia="bg-BG"/>
        </w:rPr>
        <w:t xml:space="preserve">Антагонисти на тромбоцитната агрегация (такива като тиклопидин, клопидогрел) </w:t>
      </w:r>
    </w:p>
    <w:p w14:paraId="6F9AAECE" w14:textId="1C30FFFC" w:rsidR="00301663" w:rsidRPr="00301663" w:rsidRDefault="00301663" w:rsidP="00301663">
      <w:pPr>
        <w:pStyle w:val="ListParagraph"/>
        <w:numPr>
          <w:ilvl w:val="0"/>
          <w:numId w:val="34"/>
        </w:numPr>
        <w:spacing w:line="240" w:lineRule="auto"/>
        <w:rPr>
          <w:rFonts w:eastAsia="Times New Roman" w:cs="Arial"/>
        </w:rPr>
      </w:pPr>
      <w:r w:rsidRPr="00301663">
        <w:rPr>
          <w:rFonts w:eastAsia="Times New Roman" w:cs="Arial"/>
          <w:color w:val="000000"/>
          <w:lang w:eastAsia="bg-BG"/>
        </w:rPr>
        <w:t>Тромбинови инхибитори (такива като дабигатран)</w:t>
      </w:r>
    </w:p>
    <w:p w14:paraId="3476A9EC" w14:textId="526108C7" w:rsidR="00301663" w:rsidRPr="00301663" w:rsidRDefault="00301663" w:rsidP="00301663">
      <w:pPr>
        <w:pStyle w:val="ListParagraph"/>
        <w:numPr>
          <w:ilvl w:val="0"/>
          <w:numId w:val="34"/>
        </w:numPr>
        <w:spacing w:line="240" w:lineRule="auto"/>
        <w:rPr>
          <w:rFonts w:eastAsia="Times New Roman" w:cs="Arial"/>
        </w:rPr>
      </w:pPr>
      <w:r w:rsidRPr="00301663">
        <w:rPr>
          <w:rFonts w:eastAsia="Times New Roman" w:cs="Arial"/>
          <w:color w:val="000000"/>
          <w:lang w:eastAsia="bg-BG"/>
        </w:rPr>
        <w:t xml:space="preserve">Директни инхибитори на фактор Ха (такива като апиксабан, ривароксабан, едоксабан). </w:t>
      </w:r>
    </w:p>
    <w:p w14:paraId="67370325" w14:textId="30F7FB76" w:rsidR="00301663" w:rsidRPr="00301663" w:rsidRDefault="00301663" w:rsidP="00301663">
      <w:pPr>
        <w:spacing w:line="240" w:lineRule="auto"/>
        <w:rPr>
          <w:rFonts w:eastAsia="Times New Roman" w:cs="Arial"/>
        </w:rPr>
      </w:pPr>
      <w:r w:rsidRPr="00301663">
        <w:rPr>
          <w:rFonts w:eastAsia="Times New Roman" w:cs="Arial"/>
          <w:color w:val="000000"/>
          <w:lang w:eastAsia="bg-BG"/>
        </w:rPr>
        <w:lastRenderedPageBreak/>
        <w:t>Ако едновременното им приложение не може да се избегне, пациентът трябва стриктно да се наблюдава.</w:t>
      </w:r>
    </w:p>
    <w:p w14:paraId="48993F99" w14:textId="77777777" w:rsidR="00301663" w:rsidRPr="00301663" w:rsidRDefault="00301663" w:rsidP="00301663">
      <w:pPr>
        <w:spacing w:line="240" w:lineRule="auto"/>
        <w:rPr>
          <w:rFonts w:eastAsia="Times New Roman" w:cs="Arial"/>
          <w:color w:val="000000"/>
          <w:lang w:eastAsia="bg-BG"/>
        </w:rPr>
      </w:pPr>
    </w:p>
    <w:p w14:paraId="44808619" w14:textId="0E17F832" w:rsidR="00301663" w:rsidRPr="00301663" w:rsidRDefault="00301663" w:rsidP="00301663">
      <w:pPr>
        <w:spacing w:line="240" w:lineRule="auto"/>
        <w:rPr>
          <w:rFonts w:eastAsia="Times New Roman" w:cs="Arial"/>
        </w:rPr>
      </w:pPr>
      <w:r w:rsidRPr="00301663">
        <w:rPr>
          <w:rFonts w:eastAsia="Times New Roman" w:cs="Arial"/>
          <w:color w:val="000000"/>
          <w:lang w:eastAsia="bg-BG"/>
        </w:rPr>
        <w:t>Литий:</w:t>
      </w:r>
    </w:p>
    <w:p w14:paraId="11A536E4"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Риск от повишаване нивото на лития в кръвта, понякога може да достигне токсични нива поради намаляване на бъбречната екскреция. При необходимост, нивото на лития в кръвта трябва строго да се следи и дозата на лития да се коригира по време на, и след спиране на терапията с НСПВС.</w:t>
      </w:r>
    </w:p>
    <w:p w14:paraId="6E0E054A" w14:textId="77777777" w:rsidR="00301663" w:rsidRPr="00301663" w:rsidRDefault="00301663" w:rsidP="00301663">
      <w:pPr>
        <w:spacing w:line="240" w:lineRule="auto"/>
        <w:rPr>
          <w:rFonts w:eastAsia="Times New Roman" w:cs="Arial"/>
          <w:color w:val="000000"/>
          <w:lang w:eastAsia="bg-BG"/>
        </w:rPr>
      </w:pPr>
    </w:p>
    <w:p w14:paraId="0A377916" w14:textId="3A29BB95" w:rsidR="00301663" w:rsidRPr="00301663" w:rsidRDefault="00301663" w:rsidP="00301663">
      <w:pPr>
        <w:spacing w:line="240" w:lineRule="auto"/>
        <w:rPr>
          <w:rFonts w:eastAsia="Times New Roman" w:cs="Arial"/>
        </w:rPr>
      </w:pPr>
      <w:r w:rsidRPr="00301663">
        <w:rPr>
          <w:rFonts w:eastAsia="Times New Roman" w:cs="Arial"/>
          <w:color w:val="000000"/>
          <w:lang w:eastAsia="bg-BG"/>
        </w:rPr>
        <w:t xml:space="preserve">Метотрексат в доза над 15 </w:t>
      </w:r>
      <w:r w:rsidRPr="00301663">
        <w:rPr>
          <w:rFonts w:eastAsia="Times New Roman" w:cs="Arial"/>
          <w:color w:val="000000"/>
          <w:lang w:val="en-US"/>
        </w:rPr>
        <w:t>mg</w:t>
      </w:r>
      <w:r w:rsidRPr="00301663">
        <w:rPr>
          <w:rFonts w:eastAsia="Times New Roman" w:cs="Arial"/>
          <w:color w:val="000000"/>
          <w:lang w:eastAsia="bg-BG"/>
        </w:rPr>
        <w:t>/седмично:</w:t>
      </w:r>
    </w:p>
    <w:p w14:paraId="0D2CF392"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 xml:space="preserve">Увеличен риск от хематологична токсичност на метотрексат, особено ако се прилага във високи дози (&gt;15 </w:t>
      </w:r>
      <w:r w:rsidRPr="00301663">
        <w:rPr>
          <w:rFonts w:eastAsia="Times New Roman" w:cs="Arial"/>
          <w:color w:val="000000"/>
          <w:lang w:val="en-US"/>
        </w:rPr>
        <w:t>mg</w:t>
      </w:r>
      <w:r w:rsidRPr="00301663">
        <w:rPr>
          <w:rFonts w:eastAsia="Times New Roman" w:cs="Arial"/>
          <w:color w:val="000000"/>
          <w:lang w:eastAsia="bg-BG"/>
        </w:rPr>
        <w:t>/седмично), вероятно дължащ се на изместване от свързания с плазмените протеини метотрексат и намален бъбречен клирънс.</w:t>
      </w:r>
    </w:p>
    <w:p w14:paraId="0069AE4C" w14:textId="77777777" w:rsidR="00301663" w:rsidRPr="00301663" w:rsidRDefault="00301663" w:rsidP="00301663">
      <w:pPr>
        <w:spacing w:line="240" w:lineRule="auto"/>
        <w:rPr>
          <w:rFonts w:eastAsia="Times New Roman" w:cs="Arial"/>
          <w:color w:val="000000"/>
          <w:u w:val="single"/>
          <w:lang w:eastAsia="bg-BG"/>
        </w:rPr>
      </w:pPr>
    </w:p>
    <w:p w14:paraId="1088F2D2" w14:textId="2AEDD0A2"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Комбинации, изискващи предпазни мерки при употреба</w:t>
      </w:r>
    </w:p>
    <w:p w14:paraId="70D82067"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Лекарствените продукти и терапевтични групи, които могат да доведат до хиперкалиемия (т.е. калиеви соли, калий-съхраняващи диуретици, АСЕ инхибитори и ангиотензин II антагонисти, нестероидни противовъзпалителни средства (НСПВС), хепарин (с ниско молекулно тегло или нефракциониран, циклоспорин, такролимус и триметоприм):</w:t>
      </w:r>
    </w:p>
    <w:p w14:paraId="2E5FFF83"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Рискът от хиперкалиемия може да се повиши, когато лекарствата, споменати по-горе се прилагат едновременно (виж. т. 4.4).</w:t>
      </w:r>
    </w:p>
    <w:p w14:paraId="3164A16F" w14:textId="77777777" w:rsidR="00301663" w:rsidRPr="00301663" w:rsidRDefault="00301663" w:rsidP="00301663">
      <w:pPr>
        <w:spacing w:line="240" w:lineRule="auto"/>
        <w:rPr>
          <w:rFonts w:eastAsia="Times New Roman" w:cs="Arial"/>
          <w:color w:val="000000"/>
          <w:lang w:eastAsia="bg-BG"/>
        </w:rPr>
      </w:pPr>
    </w:p>
    <w:p w14:paraId="33DA143D" w14:textId="6EA0FF07" w:rsidR="00301663" w:rsidRPr="00301663" w:rsidRDefault="00301663" w:rsidP="00301663">
      <w:pPr>
        <w:spacing w:line="240" w:lineRule="auto"/>
        <w:rPr>
          <w:rFonts w:eastAsia="Times New Roman" w:cs="Arial"/>
        </w:rPr>
      </w:pPr>
      <w:r w:rsidRPr="00301663">
        <w:rPr>
          <w:rFonts w:eastAsia="Times New Roman" w:cs="Arial"/>
          <w:color w:val="000000"/>
          <w:lang w:eastAsia="bg-BG"/>
        </w:rPr>
        <w:t>Кортикостероиди: увеличен риск от стомашно-чревна язва или кървене (вж точка 4.4)</w:t>
      </w:r>
    </w:p>
    <w:p w14:paraId="3084B859" w14:textId="77777777" w:rsidR="00301663" w:rsidRPr="00301663" w:rsidRDefault="00301663" w:rsidP="00301663">
      <w:pPr>
        <w:spacing w:line="240" w:lineRule="auto"/>
        <w:rPr>
          <w:rFonts w:eastAsia="Times New Roman" w:cs="Arial"/>
          <w:color w:val="000000"/>
          <w:lang w:eastAsia="bg-BG"/>
        </w:rPr>
      </w:pPr>
    </w:p>
    <w:p w14:paraId="50474538" w14:textId="71504C1C" w:rsidR="00301663" w:rsidRPr="00301663" w:rsidRDefault="00301663" w:rsidP="00301663">
      <w:pPr>
        <w:spacing w:line="240" w:lineRule="auto"/>
        <w:rPr>
          <w:rFonts w:eastAsia="Times New Roman" w:cs="Arial"/>
        </w:rPr>
      </w:pPr>
      <w:r w:rsidRPr="00301663">
        <w:rPr>
          <w:rFonts w:eastAsia="Times New Roman" w:cs="Arial"/>
          <w:color w:val="000000"/>
          <w:lang w:eastAsia="bg-BG"/>
        </w:rPr>
        <w:t>Диуретици:</w:t>
      </w:r>
    </w:p>
    <w:p w14:paraId="7B4D0070" w14:textId="77777777" w:rsidR="00301663" w:rsidRPr="00301663" w:rsidRDefault="00301663" w:rsidP="00301663">
      <w:pPr>
        <w:rPr>
          <w:rFonts w:eastAsia="Times New Roman" w:cs="Arial"/>
        </w:rPr>
      </w:pPr>
      <w:r w:rsidRPr="00301663">
        <w:rPr>
          <w:rFonts w:eastAsia="Times New Roman" w:cs="Arial"/>
          <w:color w:val="000000"/>
          <w:lang w:eastAsia="bg-BG"/>
        </w:rPr>
        <w:t>Пациенти и особено дехидратирани пациенти, вземащи диуретици са с най-голям риск за развитие на бъбречна недостатъчност и вторично намаляване на гломерулната филтрация</w:t>
      </w:r>
      <w:r w:rsidRPr="00301663">
        <w:rPr>
          <w:rFonts w:eastAsia="Times New Roman" w:cs="Arial"/>
          <w:color w:val="000000"/>
          <w:lang w:val="ru-RU" w:eastAsia="bg-BG"/>
        </w:rPr>
        <w:t xml:space="preserve"> </w:t>
      </w:r>
      <w:r w:rsidRPr="00301663">
        <w:rPr>
          <w:rFonts w:eastAsia="Times New Roman" w:cs="Arial"/>
          <w:color w:val="000000"/>
          <w:lang w:eastAsia="bg-BG"/>
        </w:rPr>
        <w:t xml:space="preserve">поради намаляване синтезата на бъбречните простагландини. Такива пациенти трябва да се хидратират и да се изследва бъбречната им функция преди започване на комбинираното лечение (вж. точка </w:t>
      </w:r>
      <w:r w:rsidRPr="00301663">
        <w:rPr>
          <w:rFonts w:eastAsia="Times New Roman" w:cs="Arial"/>
          <w:i/>
          <w:iCs/>
          <w:color w:val="000000"/>
          <w:lang w:eastAsia="bg-BG"/>
        </w:rPr>
        <w:t>4.4).</w:t>
      </w:r>
    </w:p>
    <w:p w14:paraId="61B61643" w14:textId="77777777" w:rsidR="00301663" w:rsidRPr="00301663" w:rsidRDefault="00301663" w:rsidP="00301663">
      <w:pPr>
        <w:spacing w:line="240" w:lineRule="auto"/>
        <w:rPr>
          <w:rFonts w:eastAsia="Times New Roman" w:cs="Arial"/>
          <w:color w:val="000000"/>
          <w:lang w:eastAsia="bg-BG"/>
        </w:rPr>
      </w:pPr>
    </w:p>
    <w:p w14:paraId="5416C8AA" w14:textId="0EA4C213" w:rsidR="00301663" w:rsidRPr="00301663" w:rsidRDefault="00301663" w:rsidP="00301663">
      <w:pPr>
        <w:spacing w:line="240" w:lineRule="auto"/>
        <w:rPr>
          <w:rFonts w:eastAsia="Times New Roman" w:cs="Arial"/>
        </w:rPr>
      </w:pPr>
      <w:r w:rsidRPr="00301663">
        <w:rPr>
          <w:rFonts w:eastAsia="Times New Roman" w:cs="Arial"/>
          <w:color w:val="000000"/>
          <w:lang w:eastAsia="bg-BG"/>
        </w:rPr>
        <w:t>АСЕ инхибитори и инхибитори на ангиотензин II рецепторите:</w:t>
      </w:r>
    </w:p>
    <w:p w14:paraId="091D04E4"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При пациенти с нарушена бъбречна функция (напр. дехидратирани пациенти или при пациенти в старческа възраст, едновременната употреба на АСЕ инхибитори и инхибитори на ангиотензин II рецепторите и агенти, които подтискат циклооксигеназата може да предизвика нарушение на бъбречната функция, включително остра бъбречна недостатъчност.</w:t>
      </w:r>
    </w:p>
    <w:p w14:paraId="6A23DCDA" w14:textId="77777777" w:rsidR="00301663" w:rsidRPr="00301663" w:rsidRDefault="00301663" w:rsidP="00301663">
      <w:pPr>
        <w:spacing w:line="240" w:lineRule="auto"/>
        <w:rPr>
          <w:rFonts w:eastAsia="Times New Roman" w:cs="Arial"/>
          <w:color w:val="000000"/>
          <w:lang w:eastAsia="bg-BG"/>
        </w:rPr>
      </w:pPr>
    </w:p>
    <w:p w14:paraId="39515E38" w14:textId="2180ED7F" w:rsidR="00301663" w:rsidRPr="00301663" w:rsidRDefault="00301663" w:rsidP="00301663">
      <w:pPr>
        <w:spacing w:line="240" w:lineRule="auto"/>
        <w:rPr>
          <w:rFonts w:eastAsia="Times New Roman" w:cs="Arial"/>
        </w:rPr>
      </w:pPr>
      <w:r w:rsidRPr="00301663">
        <w:rPr>
          <w:rFonts w:eastAsia="Times New Roman" w:cs="Arial"/>
          <w:color w:val="000000"/>
          <w:lang w:eastAsia="bg-BG"/>
        </w:rPr>
        <w:t xml:space="preserve">Метотрексат в дози по-ниски от 15 </w:t>
      </w:r>
      <w:r w:rsidRPr="00301663">
        <w:rPr>
          <w:rFonts w:eastAsia="Times New Roman" w:cs="Arial"/>
          <w:color w:val="000000"/>
          <w:lang w:val="en-US"/>
        </w:rPr>
        <w:t>mg</w:t>
      </w:r>
      <w:r w:rsidRPr="00301663">
        <w:rPr>
          <w:rFonts w:eastAsia="Times New Roman" w:cs="Arial"/>
          <w:color w:val="000000"/>
          <w:lang w:eastAsia="bg-BG"/>
        </w:rPr>
        <w:t>/седмично:</w:t>
      </w:r>
    </w:p>
    <w:p w14:paraId="01985773"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През първите седмици на комбинираното лечение, веднъж седмично се прави пълна кръвна картина. Ако има някакво отклонение от бъбречната функция или пациентът е в старческа възраст, наблюдението се извършва по-често.</w:t>
      </w:r>
    </w:p>
    <w:p w14:paraId="3452E51E" w14:textId="77777777" w:rsidR="00301663" w:rsidRPr="00301663" w:rsidRDefault="00301663" w:rsidP="00301663">
      <w:pPr>
        <w:spacing w:line="240" w:lineRule="auto"/>
        <w:rPr>
          <w:rFonts w:eastAsia="Times New Roman" w:cs="Arial"/>
          <w:color w:val="000000"/>
          <w:lang w:eastAsia="bg-BG"/>
        </w:rPr>
      </w:pPr>
    </w:p>
    <w:p w14:paraId="4C5F86BB" w14:textId="7CDC8E7A" w:rsidR="00301663" w:rsidRPr="00301663" w:rsidRDefault="00301663" w:rsidP="00301663">
      <w:pPr>
        <w:spacing w:line="240" w:lineRule="auto"/>
        <w:rPr>
          <w:rFonts w:eastAsia="Times New Roman" w:cs="Arial"/>
        </w:rPr>
      </w:pPr>
      <w:r w:rsidRPr="00301663">
        <w:rPr>
          <w:rFonts w:eastAsia="Times New Roman" w:cs="Arial"/>
          <w:color w:val="000000"/>
          <w:lang w:eastAsia="bg-BG"/>
        </w:rPr>
        <w:t>Пентоксифилин:</w:t>
      </w:r>
    </w:p>
    <w:p w14:paraId="07C0975E"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Има увеличен риск от кървене. Изисква се по-често клинично наблюдение и проследяване на времето на кървене.</w:t>
      </w:r>
    </w:p>
    <w:p w14:paraId="255F7856" w14:textId="77777777" w:rsidR="00301663" w:rsidRPr="00301663" w:rsidRDefault="00301663" w:rsidP="00301663">
      <w:pPr>
        <w:spacing w:line="240" w:lineRule="auto"/>
        <w:rPr>
          <w:rFonts w:eastAsia="Times New Roman" w:cs="Arial"/>
          <w:color w:val="000000"/>
          <w:lang w:eastAsia="bg-BG"/>
        </w:rPr>
      </w:pPr>
    </w:p>
    <w:p w14:paraId="027BB184" w14:textId="6B2C810B" w:rsidR="00301663" w:rsidRPr="00301663" w:rsidRDefault="00301663" w:rsidP="00301663">
      <w:pPr>
        <w:spacing w:line="240" w:lineRule="auto"/>
        <w:rPr>
          <w:rFonts w:eastAsia="Times New Roman" w:cs="Arial"/>
        </w:rPr>
      </w:pPr>
      <w:r w:rsidRPr="00301663">
        <w:rPr>
          <w:rFonts w:eastAsia="Times New Roman" w:cs="Arial"/>
          <w:color w:val="000000"/>
          <w:lang w:eastAsia="bg-BG"/>
        </w:rPr>
        <w:t>Тенофовир:</w:t>
      </w:r>
    </w:p>
    <w:p w14:paraId="5E55C98D"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Едновременното приложение на тенофовир дизопроксил фумарат и НСПВС може да увеличи риска от бъбречни нарушения.</w:t>
      </w:r>
    </w:p>
    <w:p w14:paraId="1DDFFC84" w14:textId="77777777" w:rsidR="00301663" w:rsidRPr="00301663" w:rsidRDefault="00301663" w:rsidP="00301663">
      <w:pPr>
        <w:spacing w:line="240" w:lineRule="auto"/>
        <w:rPr>
          <w:rFonts w:eastAsia="Times New Roman" w:cs="Arial"/>
          <w:color w:val="000000"/>
          <w:lang w:eastAsia="bg-BG"/>
        </w:rPr>
      </w:pPr>
    </w:p>
    <w:p w14:paraId="1C2213B3" w14:textId="5A98401A" w:rsidR="00301663" w:rsidRPr="00301663" w:rsidRDefault="00301663" w:rsidP="00301663">
      <w:pPr>
        <w:spacing w:line="240" w:lineRule="auto"/>
        <w:rPr>
          <w:rFonts w:eastAsia="Times New Roman" w:cs="Arial"/>
        </w:rPr>
      </w:pPr>
      <w:r w:rsidRPr="00301663">
        <w:rPr>
          <w:rFonts w:eastAsia="Times New Roman" w:cs="Arial"/>
          <w:color w:val="000000"/>
          <w:lang w:eastAsia="bg-BG"/>
        </w:rPr>
        <w:t>Никорандил:</w:t>
      </w:r>
    </w:p>
    <w:p w14:paraId="625A6C9A"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При пациенти, получаващи едновременно никорандил и НСПВС, е налице повишен риск от тежки усложнения като язва, перфорация или кръвоизлив на храносмилателния тракт.</w:t>
      </w:r>
    </w:p>
    <w:p w14:paraId="1E76943D" w14:textId="77777777" w:rsidR="00301663" w:rsidRPr="00301663" w:rsidRDefault="00301663" w:rsidP="00301663">
      <w:pPr>
        <w:spacing w:line="240" w:lineRule="auto"/>
        <w:rPr>
          <w:rFonts w:eastAsia="Times New Roman" w:cs="Arial"/>
          <w:color w:val="000000"/>
          <w:lang w:eastAsia="bg-BG"/>
        </w:rPr>
      </w:pPr>
    </w:p>
    <w:p w14:paraId="42054116" w14:textId="34E709FA" w:rsidR="00301663" w:rsidRPr="00301663" w:rsidRDefault="00301663" w:rsidP="00301663">
      <w:pPr>
        <w:spacing w:line="240" w:lineRule="auto"/>
        <w:rPr>
          <w:rFonts w:eastAsia="Times New Roman" w:cs="Arial"/>
        </w:rPr>
      </w:pPr>
      <w:r w:rsidRPr="00301663">
        <w:rPr>
          <w:rFonts w:eastAsia="Times New Roman" w:cs="Arial"/>
          <w:color w:val="000000"/>
          <w:lang w:eastAsia="bg-BG"/>
        </w:rPr>
        <w:t>Сърдечни гликозиди:</w:t>
      </w:r>
    </w:p>
    <w:p w14:paraId="5E9ECD78"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Фармакокинетичното взаимодействие между кетопрофен и дигоксин не е доказана. Въпреки това, препоръчва се повишено внимание, особено при пациенти с бъбречно увреждане, тъй като НСПВС могат да намалят бъбречната функция и намаляват бъбречния клирънс на сърдечни гликозиди.</w:t>
      </w:r>
    </w:p>
    <w:p w14:paraId="144AF7A5" w14:textId="77777777" w:rsidR="00301663" w:rsidRPr="00301663" w:rsidRDefault="00301663" w:rsidP="00301663">
      <w:pPr>
        <w:spacing w:line="240" w:lineRule="auto"/>
        <w:rPr>
          <w:rFonts w:eastAsia="Times New Roman" w:cs="Arial"/>
          <w:color w:val="000000"/>
          <w:lang w:eastAsia="bg-BG"/>
        </w:rPr>
      </w:pPr>
    </w:p>
    <w:p w14:paraId="0D3D64B1" w14:textId="4621A886" w:rsidR="00301663" w:rsidRPr="00301663" w:rsidRDefault="00301663" w:rsidP="00301663">
      <w:pPr>
        <w:spacing w:line="240" w:lineRule="auto"/>
        <w:rPr>
          <w:rFonts w:eastAsia="Times New Roman" w:cs="Arial"/>
        </w:rPr>
      </w:pPr>
      <w:r w:rsidRPr="00301663">
        <w:rPr>
          <w:rFonts w:eastAsia="Times New Roman" w:cs="Arial"/>
          <w:color w:val="000000"/>
          <w:lang w:eastAsia="bg-BG"/>
        </w:rPr>
        <w:t>Циклоспорин: Повишен риск от нефротоксичност.</w:t>
      </w:r>
    </w:p>
    <w:p w14:paraId="190B80AA" w14:textId="77777777" w:rsidR="00301663" w:rsidRPr="00301663" w:rsidRDefault="00301663" w:rsidP="00301663">
      <w:pPr>
        <w:spacing w:line="240" w:lineRule="auto"/>
        <w:rPr>
          <w:rFonts w:eastAsia="Times New Roman" w:cs="Arial"/>
          <w:color w:val="000000"/>
          <w:lang w:eastAsia="bg-BG"/>
        </w:rPr>
      </w:pPr>
    </w:p>
    <w:p w14:paraId="074C8397" w14:textId="1B0B3C0D" w:rsidR="00301663" w:rsidRPr="00301663" w:rsidRDefault="00301663" w:rsidP="00301663">
      <w:pPr>
        <w:spacing w:line="240" w:lineRule="auto"/>
        <w:rPr>
          <w:rFonts w:eastAsia="Times New Roman" w:cs="Arial"/>
        </w:rPr>
      </w:pPr>
      <w:r w:rsidRPr="00301663">
        <w:rPr>
          <w:rFonts w:eastAsia="Times New Roman" w:cs="Arial"/>
          <w:color w:val="000000"/>
          <w:lang w:eastAsia="bg-BG"/>
        </w:rPr>
        <w:t>Такролимус: Повишен риск от нефротоксичност.</w:t>
      </w:r>
    </w:p>
    <w:p w14:paraId="4943B2D1" w14:textId="77777777" w:rsidR="00301663" w:rsidRPr="00301663" w:rsidRDefault="00301663" w:rsidP="00301663">
      <w:pPr>
        <w:spacing w:line="240" w:lineRule="auto"/>
        <w:rPr>
          <w:rFonts w:eastAsia="Times New Roman" w:cs="Arial"/>
          <w:color w:val="000000"/>
          <w:u w:val="single"/>
          <w:lang w:eastAsia="bg-BG"/>
        </w:rPr>
      </w:pPr>
    </w:p>
    <w:p w14:paraId="1D60EE8E" w14:textId="6953A73D"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Да се вземе под внимание комбинирането с</w:t>
      </w:r>
    </w:p>
    <w:p w14:paraId="2AAC87FE"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Антихипертензивни продукти (бета-блокери, инхибитори на ангиотензин конвертиращия ензим, диуретици):</w:t>
      </w:r>
    </w:p>
    <w:p w14:paraId="37E9DCE9"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Риск от намален антихипертензивен ефект (инхибиране на съдо-разширяващите простагландини от НСПВС).</w:t>
      </w:r>
    </w:p>
    <w:p w14:paraId="54C16D8D" w14:textId="77777777" w:rsidR="00301663" w:rsidRPr="00301663" w:rsidRDefault="00301663" w:rsidP="00301663">
      <w:pPr>
        <w:spacing w:line="240" w:lineRule="auto"/>
        <w:rPr>
          <w:rFonts w:eastAsia="Times New Roman" w:cs="Arial"/>
          <w:color w:val="000000"/>
          <w:lang w:eastAsia="bg-BG"/>
        </w:rPr>
      </w:pPr>
    </w:p>
    <w:p w14:paraId="21CCB4FB" w14:textId="452FC5BB" w:rsidR="00301663" w:rsidRPr="00301663" w:rsidRDefault="00301663" w:rsidP="00301663">
      <w:pPr>
        <w:spacing w:line="240" w:lineRule="auto"/>
        <w:rPr>
          <w:rFonts w:eastAsia="Times New Roman" w:cs="Arial"/>
        </w:rPr>
      </w:pPr>
      <w:r w:rsidRPr="00301663">
        <w:rPr>
          <w:rFonts w:eastAsia="Times New Roman" w:cs="Arial"/>
          <w:color w:val="000000"/>
          <w:lang w:eastAsia="bg-BG"/>
        </w:rPr>
        <w:t>Тромболитици:</w:t>
      </w:r>
    </w:p>
    <w:p w14:paraId="4547CEF6"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Увеличен риск от кървене.</w:t>
      </w:r>
    </w:p>
    <w:p w14:paraId="2DDE7D0A" w14:textId="77777777" w:rsidR="00301663" w:rsidRPr="00301663" w:rsidRDefault="00301663" w:rsidP="00301663">
      <w:pPr>
        <w:spacing w:line="240" w:lineRule="auto"/>
        <w:rPr>
          <w:rFonts w:eastAsia="Times New Roman" w:cs="Arial"/>
          <w:color w:val="000000"/>
          <w:lang w:eastAsia="bg-BG"/>
        </w:rPr>
      </w:pPr>
    </w:p>
    <w:p w14:paraId="6EDB7BAC" w14:textId="1B94932A" w:rsidR="00301663" w:rsidRPr="00301663" w:rsidRDefault="00301663" w:rsidP="00301663">
      <w:pPr>
        <w:spacing w:line="240" w:lineRule="auto"/>
        <w:rPr>
          <w:rFonts w:eastAsia="Times New Roman" w:cs="Arial"/>
        </w:rPr>
      </w:pPr>
      <w:r w:rsidRPr="00301663">
        <w:rPr>
          <w:rFonts w:eastAsia="Times New Roman" w:cs="Arial"/>
          <w:color w:val="000000"/>
          <w:lang w:eastAsia="bg-BG"/>
        </w:rPr>
        <w:t>Пробенецид:</w:t>
      </w:r>
    </w:p>
    <w:p w14:paraId="75245A2F" w14:textId="4B6FA6BF" w:rsidR="00301663" w:rsidRPr="00301663" w:rsidRDefault="00301663" w:rsidP="00301663">
      <w:pPr>
        <w:spacing w:line="240" w:lineRule="auto"/>
        <w:rPr>
          <w:rFonts w:eastAsia="Times New Roman" w:cs="Arial"/>
          <w:color w:val="000000"/>
          <w:lang w:eastAsia="bg-BG"/>
        </w:rPr>
      </w:pPr>
      <w:r w:rsidRPr="00301663">
        <w:rPr>
          <w:rFonts w:eastAsia="Times New Roman" w:cs="Arial"/>
          <w:color w:val="000000"/>
          <w:lang w:eastAsia="bg-BG"/>
        </w:rPr>
        <w:t>Едновременното приложение на пробенецид може значително да намали плазмения клирънс на кетопрофен.</w:t>
      </w:r>
    </w:p>
    <w:p w14:paraId="155CDD7B" w14:textId="26A98756" w:rsidR="00301663" w:rsidRPr="00301663" w:rsidRDefault="00301663" w:rsidP="00301663">
      <w:pPr>
        <w:spacing w:line="240" w:lineRule="auto"/>
        <w:rPr>
          <w:rFonts w:eastAsia="Times New Roman" w:cs="Arial"/>
          <w:color w:val="000000"/>
          <w:lang w:eastAsia="bg-BG"/>
        </w:rPr>
      </w:pPr>
    </w:p>
    <w:p w14:paraId="50B9A4F0" w14:textId="199F71AD" w:rsidR="00301663" w:rsidRPr="00301663" w:rsidRDefault="00301663" w:rsidP="00301663">
      <w:pPr>
        <w:spacing w:line="240" w:lineRule="auto"/>
        <w:rPr>
          <w:rFonts w:eastAsia="Times New Roman" w:cs="Arial"/>
        </w:rPr>
      </w:pPr>
      <w:r w:rsidRPr="00301663">
        <w:rPr>
          <w:rFonts w:cs="Arial"/>
        </w:rPr>
        <w:t xml:space="preserve">Селективни инхибитори на обратното захващане на серотонина </w:t>
      </w:r>
      <w:r w:rsidRPr="00301663">
        <w:rPr>
          <w:rFonts w:cs="Arial"/>
          <w:lang w:val="ru-RU"/>
        </w:rPr>
        <w:t>(</w:t>
      </w:r>
      <w:r w:rsidRPr="00301663">
        <w:rPr>
          <w:rFonts w:cs="Arial"/>
          <w:lang w:val="en-US"/>
        </w:rPr>
        <w:t>SSRIs</w:t>
      </w:r>
      <w:r w:rsidRPr="00301663">
        <w:rPr>
          <w:rFonts w:cs="Arial"/>
          <w:lang w:val="ru-RU"/>
        </w:rPr>
        <w:t xml:space="preserve">): </w:t>
      </w:r>
      <w:r w:rsidRPr="00301663">
        <w:rPr>
          <w:rFonts w:cs="Arial"/>
        </w:rPr>
        <w:t>Увеличен риск от стомашно-чревно кървене (вж. точка 4.4).</w:t>
      </w:r>
    </w:p>
    <w:p w14:paraId="7399AACE" w14:textId="693A9041" w:rsidR="00301663" w:rsidRPr="00301663" w:rsidRDefault="00301663" w:rsidP="00301663"/>
    <w:p w14:paraId="29D2BD58" w14:textId="57B53D2D" w:rsidR="00DF4C8E" w:rsidRDefault="002C50EE" w:rsidP="00F44498">
      <w:pPr>
        <w:pStyle w:val="Heading2"/>
      </w:pPr>
      <w:r>
        <w:t>4.6. Фертилитет, бременност и кърмене</w:t>
      </w:r>
    </w:p>
    <w:p w14:paraId="5EF8D5B7" w14:textId="06BCEB5A" w:rsidR="00301663" w:rsidRDefault="00301663" w:rsidP="00301663"/>
    <w:p w14:paraId="67FFD89F" w14:textId="77777777" w:rsidR="00301663" w:rsidRPr="00301663" w:rsidRDefault="00301663" w:rsidP="00301663">
      <w:pPr>
        <w:pStyle w:val="Heading3"/>
        <w:rPr>
          <w:rFonts w:eastAsia="Times New Roman"/>
          <w:sz w:val="28"/>
          <w:u w:val="single"/>
        </w:rPr>
      </w:pPr>
      <w:r w:rsidRPr="00301663">
        <w:rPr>
          <w:rFonts w:eastAsia="Times New Roman"/>
          <w:u w:val="single"/>
          <w:lang w:eastAsia="bg-BG"/>
        </w:rPr>
        <w:t>Бременност:</w:t>
      </w:r>
    </w:p>
    <w:p w14:paraId="5D2629A5" w14:textId="77777777" w:rsidR="00301663" w:rsidRPr="00301663" w:rsidRDefault="00301663" w:rsidP="00301663">
      <w:pPr>
        <w:spacing w:line="240" w:lineRule="auto"/>
        <w:rPr>
          <w:rFonts w:eastAsia="Times New Roman" w:cs="Arial"/>
          <w:sz w:val="28"/>
          <w:szCs w:val="24"/>
        </w:rPr>
      </w:pPr>
      <w:r w:rsidRPr="00301663">
        <w:rPr>
          <w:rFonts w:eastAsia="Times New Roman" w:cs="Arial"/>
          <w:color w:val="000000"/>
          <w:szCs w:val="20"/>
          <w:lang w:eastAsia="bg-BG"/>
        </w:rPr>
        <w:t>Инхибирането на синтеза на простагландините може да повлияе неблагоприятно бременността и/или развитието на ембриона/плода. Данни от епидемиологични изследвания показват повишен риск от спонтанен аборт, от сърдечни малформации и от гастросхиза след използването на инхибитори на синтеза на простагландините през ранната бременност. Абсолютният риск от кардиоваскуларни малформации е увеличен от под 1% до около 1,5%. Счита се, че риска се увеличава с увеличаване на дозата и продължителността на терапията. При животни, прилагането на инхибитори на синтеза на простагландините е показало увеличаване на загубата преди и след имплантиране и на смъртността на ембриона/плода. В допълнение, увеличена честота на различни малформации, включително кардиоваскуларни, са били докладвани при животни, на които са били давани инхибитори на синтеза на простагландините по време на органогенезисния период. По време на първото и второто тримесечие на бременността, кетопрофен не трябва да се използва, освен ако не е крайно наложително. Ако кетопрофен се използва от жена, желаеща да забременее, или по време на първото и второто тримесечие на бременността, то дозата трябва да е възможно най-ниска и продължителността на лечението възможно най-кратко.</w:t>
      </w:r>
    </w:p>
    <w:p w14:paraId="0C59C85C" w14:textId="77777777" w:rsidR="00301663" w:rsidRPr="00301663" w:rsidRDefault="00301663" w:rsidP="00301663">
      <w:pPr>
        <w:spacing w:line="240" w:lineRule="auto"/>
        <w:rPr>
          <w:rFonts w:eastAsia="Times New Roman" w:cs="Arial"/>
          <w:color w:val="000000"/>
          <w:szCs w:val="20"/>
          <w:lang w:eastAsia="bg-BG"/>
        </w:rPr>
      </w:pPr>
    </w:p>
    <w:p w14:paraId="1C188FA3" w14:textId="1C268219" w:rsidR="00301663" w:rsidRPr="00301663" w:rsidRDefault="00301663" w:rsidP="00301663">
      <w:pPr>
        <w:spacing w:line="240" w:lineRule="auto"/>
        <w:rPr>
          <w:rFonts w:eastAsia="Times New Roman" w:cs="Arial"/>
          <w:sz w:val="28"/>
          <w:szCs w:val="24"/>
        </w:rPr>
      </w:pPr>
      <w:r w:rsidRPr="00301663">
        <w:rPr>
          <w:rFonts w:eastAsia="Times New Roman" w:cs="Arial"/>
          <w:color w:val="000000"/>
          <w:szCs w:val="20"/>
          <w:lang w:eastAsia="bg-BG"/>
        </w:rPr>
        <w:t>По време на третото тримесечие, всички инхибитори на синтеза на простагландините могат да изложат плода на:</w:t>
      </w:r>
    </w:p>
    <w:p w14:paraId="79CACE4A" w14:textId="77777777" w:rsidR="00301663" w:rsidRPr="00301663" w:rsidRDefault="00301663" w:rsidP="00301663">
      <w:pPr>
        <w:pStyle w:val="ListParagraph"/>
        <w:numPr>
          <w:ilvl w:val="0"/>
          <w:numId w:val="34"/>
        </w:numPr>
        <w:spacing w:line="240" w:lineRule="auto"/>
        <w:rPr>
          <w:rFonts w:eastAsia="Times New Roman" w:cs="Arial"/>
          <w:sz w:val="28"/>
          <w:szCs w:val="24"/>
        </w:rPr>
      </w:pPr>
      <w:r w:rsidRPr="00301663">
        <w:rPr>
          <w:rFonts w:eastAsia="Times New Roman" w:cs="Arial"/>
          <w:color w:val="000000"/>
          <w:szCs w:val="20"/>
          <w:lang w:eastAsia="bg-BG"/>
        </w:rPr>
        <w:t xml:space="preserve">кардио-пулмонална токсичност (с преждевременно затваряне на </w:t>
      </w:r>
      <w:r w:rsidRPr="00301663">
        <w:rPr>
          <w:rFonts w:eastAsia="Times New Roman" w:cs="Arial"/>
          <w:color w:val="000000"/>
          <w:szCs w:val="20"/>
          <w:lang w:val="en-US"/>
        </w:rPr>
        <w:t>ductus</w:t>
      </w:r>
      <w:r w:rsidRPr="00301663">
        <w:rPr>
          <w:rFonts w:eastAsia="Times New Roman" w:cs="Arial"/>
          <w:color w:val="000000"/>
          <w:szCs w:val="20"/>
          <w:lang w:val="ru-RU"/>
        </w:rPr>
        <w:t xml:space="preserve"> </w:t>
      </w:r>
      <w:r w:rsidRPr="00301663">
        <w:rPr>
          <w:rFonts w:eastAsia="Times New Roman" w:cs="Arial"/>
          <w:color w:val="000000"/>
          <w:szCs w:val="20"/>
          <w:lang w:val="en-US"/>
        </w:rPr>
        <w:t>arteriosus</w:t>
      </w:r>
      <w:r w:rsidRPr="00301663">
        <w:rPr>
          <w:rFonts w:eastAsia="Times New Roman" w:cs="Arial"/>
          <w:color w:val="000000"/>
          <w:szCs w:val="20"/>
          <w:lang w:val="ru-RU"/>
        </w:rPr>
        <w:t xml:space="preserve"> </w:t>
      </w:r>
      <w:r w:rsidRPr="00301663">
        <w:rPr>
          <w:rFonts w:eastAsia="Times New Roman" w:cs="Arial"/>
          <w:color w:val="000000"/>
          <w:szCs w:val="20"/>
          <w:lang w:eastAsia="bg-BG"/>
        </w:rPr>
        <w:t>и белодробна хипертензия);</w:t>
      </w:r>
    </w:p>
    <w:p w14:paraId="5D53328E" w14:textId="6F96731B" w:rsidR="00301663" w:rsidRPr="00301663" w:rsidRDefault="00301663" w:rsidP="00301663">
      <w:pPr>
        <w:pStyle w:val="ListParagraph"/>
        <w:numPr>
          <w:ilvl w:val="0"/>
          <w:numId w:val="34"/>
        </w:numPr>
        <w:spacing w:line="240" w:lineRule="auto"/>
        <w:rPr>
          <w:rFonts w:eastAsia="Times New Roman" w:cs="Arial"/>
          <w:sz w:val="28"/>
          <w:szCs w:val="24"/>
        </w:rPr>
      </w:pPr>
      <w:r w:rsidRPr="00301663">
        <w:rPr>
          <w:rFonts w:eastAsia="Times New Roman" w:cs="Arial"/>
          <w:color w:val="000000"/>
          <w:szCs w:val="20"/>
          <w:lang w:eastAsia="bg-BG"/>
        </w:rPr>
        <w:t>бъбречна дисфункция, която може да доведе до бъбречна недостатъчност с олигохидрамнион.</w:t>
      </w:r>
    </w:p>
    <w:p w14:paraId="3304FA3B" w14:textId="77777777" w:rsidR="00301663" w:rsidRPr="00301663" w:rsidRDefault="00301663" w:rsidP="00301663">
      <w:pPr>
        <w:spacing w:line="240" w:lineRule="auto"/>
        <w:rPr>
          <w:rFonts w:eastAsia="Times New Roman" w:cs="Arial"/>
          <w:color w:val="000000"/>
          <w:szCs w:val="20"/>
          <w:lang w:val="ru-RU" w:eastAsia="bg-BG"/>
        </w:rPr>
      </w:pPr>
      <w:r w:rsidRPr="00301663">
        <w:rPr>
          <w:rFonts w:eastAsia="Times New Roman" w:cs="Arial"/>
          <w:color w:val="000000"/>
          <w:szCs w:val="20"/>
          <w:lang w:eastAsia="bg-BG"/>
        </w:rPr>
        <w:t xml:space="preserve">В края на бременността майката и детето могат да бъдат изложени на: евентуално удължаване на времето на </w:t>
      </w:r>
    </w:p>
    <w:p w14:paraId="67FB26FF" w14:textId="77777777" w:rsidR="00301663" w:rsidRPr="00301663" w:rsidRDefault="00301663" w:rsidP="00301663">
      <w:pPr>
        <w:pStyle w:val="ListParagraph"/>
        <w:numPr>
          <w:ilvl w:val="0"/>
          <w:numId w:val="34"/>
        </w:numPr>
        <w:spacing w:line="240" w:lineRule="auto"/>
        <w:rPr>
          <w:rFonts w:eastAsia="Times New Roman" w:cs="Arial"/>
          <w:sz w:val="28"/>
          <w:szCs w:val="24"/>
        </w:rPr>
      </w:pPr>
      <w:r w:rsidRPr="00301663">
        <w:rPr>
          <w:rFonts w:eastAsia="Times New Roman" w:cs="Arial"/>
          <w:color w:val="000000"/>
          <w:szCs w:val="20"/>
          <w:lang w:eastAsia="bg-BG"/>
        </w:rPr>
        <w:t xml:space="preserve">кървене, антиагрегантен ефект който може да се появи дори и при много ниски дози; </w:t>
      </w:r>
    </w:p>
    <w:p w14:paraId="26DD1023" w14:textId="086A102C" w:rsidR="00301663" w:rsidRPr="00301663" w:rsidRDefault="00301663" w:rsidP="00301663">
      <w:pPr>
        <w:pStyle w:val="ListParagraph"/>
        <w:numPr>
          <w:ilvl w:val="0"/>
          <w:numId w:val="34"/>
        </w:numPr>
        <w:spacing w:line="240" w:lineRule="auto"/>
        <w:rPr>
          <w:rFonts w:eastAsia="Times New Roman" w:cs="Arial"/>
          <w:sz w:val="28"/>
          <w:szCs w:val="24"/>
        </w:rPr>
      </w:pPr>
      <w:r w:rsidRPr="00301663">
        <w:rPr>
          <w:rFonts w:eastAsia="Times New Roman" w:cs="Arial"/>
          <w:color w:val="000000"/>
          <w:szCs w:val="20"/>
          <w:lang w:eastAsia="bg-BG"/>
        </w:rPr>
        <w:t>отложено или удължено раждане в резултат на потискане на контракциите на матката.</w:t>
      </w:r>
    </w:p>
    <w:p w14:paraId="3E0607E7" w14:textId="77777777" w:rsidR="00301663" w:rsidRPr="00301663" w:rsidRDefault="00301663" w:rsidP="00301663">
      <w:pPr>
        <w:spacing w:line="240" w:lineRule="auto"/>
        <w:rPr>
          <w:rFonts w:eastAsia="Times New Roman" w:cs="Arial"/>
          <w:color w:val="000000"/>
          <w:szCs w:val="20"/>
          <w:lang w:eastAsia="bg-BG"/>
        </w:rPr>
      </w:pPr>
    </w:p>
    <w:p w14:paraId="0B8DB945" w14:textId="507BF22A" w:rsidR="00301663" w:rsidRPr="00301663" w:rsidRDefault="00301663" w:rsidP="00301663">
      <w:pPr>
        <w:spacing w:line="240" w:lineRule="auto"/>
        <w:rPr>
          <w:rFonts w:eastAsia="Times New Roman" w:cs="Arial"/>
          <w:sz w:val="28"/>
          <w:szCs w:val="24"/>
        </w:rPr>
      </w:pPr>
      <w:r w:rsidRPr="00301663">
        <w:rPr>
          <w:rFonts w:eastAsia="Times New Roman" w:cs="Arial"/>
          <w:color w:val="000000"/>
          <w:szCs w:val="20"/>
          <w:lang w:eastAsia="bg-BG"/>
        </w:rPr>
        <w:t>Следователно, кетопрофен е противопоказан през третото тримесечие на бременността.</w:t>
      </w:r>
    </w:p>
    <w:p w14:paraId="7EA8EDAE" w14:textId="77777777" w:rsidR="00301663" w:rsidRPr="00301663" w:rsidRDefault="00301663" w:rsidP="00301663">
      <w:pPr>
        <w:spacing w:line="240" w:lineRule="auto"/>
        <w:rPr>
          <w:rFonts w:eastAsia="Times New Roman" w:cs="Arial"/>
          <w:color w:val="000000"/>
          <w:szCs w:val="20"/>
          <w:u w:val="single"/>
          <w:lang w:eastAsia="bg-BG"/>
        </w:rPr>
      </w:pPr>
    </w:p>
    <w:p w14:paraId="57093068" w14:textId="2913FBA0" w:rsidR="00301663" w:rsidRPr="00301663" w:rsidRDefault="00301663" w:rsidP="00301663">
      <w:pPr>
        <w:pStyle w:val="Heading3"/>
        <w:rPr>
          <w:rFonts w:eastAsia="Times New Roman"/>
          <w:sz w:val="28"/>
          <w:u w:val="single"/>
        </w:rPr>
      </w:pPr>
      <w:r w:rsidRPr="00301663">
        <w:rPr>
          <w:rFonts w:eastAsia="Times New Roman"/>
          <w:u w:val="single"/>
          <w:lang w:eastAsia="bg-BG"/>
        </w:rPr>
        <w:t>Кърмене:</w:t>
      </w:r>
    </w:p>
    <w:p w14:paraId="0CFF0257" w14:textId="77777777" w:rsidR="00301663" w:rsidRPr="00301663" w:rsidRDefault="00301663" w:rsidP="00301663">
      <w:pPr>
        <w:spacing w:line="240" w:lineRule="auto"/>
        <w:rPr>
          <w:rFonts w:eastAsia="Times New Roman" w:cs="Arial"/>
          <w:color w:val="000000"/>
          <w:szCs w:val="20"/>
          <w:lang w:eastAsia="bg-BG"/>
        </w:rPr>
      </w:pPr>
    </w:p>
    <w:p w14:paraId="42E3C302" w14:textId="36BD0895" w:rsidR="00301663" w:rsidRPr="00301663" w:rsidRDefault="00301663" w:rsidP="00301663">
      <w:pPr>
        <w:spacing w:line="240" w:lineRule="auto"/>
        <w:rPr>
          <w:rFonts w:eastAsia="Times New Roman" w:cs="Arial"/>
          <w:color w:val="000000"/>
          <w:szCs w:val="20"/>
          <w:lang w:eastAsia="bg-BG"/>
        </w:rPr>
      </w:pPr>
      <w:r w:rsidRPr="00301663">
        <w:rPr>
          <w:rFonts w:eastAsia="Times New Roman" w:cs="Arial"/>
          <w:color w:val="000000"/>
          <w:szCs w:val="20"/>
          <w:lang w:eastAsia="bg-BG"/>
        </w:rPr>
        <w:t xml:space="preserve">Няма налични данни за преминаването на кетопрофен в майчиното мляко. Кетопрофен не се препоръчва при </w:t>
      </w:r>
    </w:p>
    <w:p w14:paraId="1692E34B" w14:textId="31B33422" w:rsidR="00301663" w:rsidRPr="00301663" w:rsidRDefault="00301663" w:rsidP="00301663">
      <w:pPr>
        <w:spacing w:line="240" w:lineRule="auto"/>
        <w:rPr>
          <w:rFonts w:eastAsia="Times New Roman" w:cs="Arial"/>
          <w:sz w:val="28"/>
          <w:szCs w:val="24"/>
        </w:rPr>
      </w:pPr>
      <w:r w:rsidRPr="00301663">
        <w:rPr>
          <w:rFonts w:eastAsia="Times New Roman" w:cs="Arial"/>
          <w:color w:val="000000"/>
          <w:szCs w:val="20"/>
          <w:lang w:eastAsia="bg-BG"/>
        </w:rPr>
        <w:t>кърмачки.</w:t>
      </w:r>
    </w:p>
    <w:p w14:paraId="189D9817" w14:textId="77777777" w:rsidR="00301663" w:rsidRPr="00301663" w:rsidRDefault="00301663" w:rsidP="00301663"/>
    <w:p w14:paraId="4DF5A2E7" w14:textId="078CF21D" w:rsidR="00DF4C8E" w:rsidRDefault="002C50EE" w:rsidP="00F44498">
      <w:pPr>
        <w:pStyle w:val="Heading2"/>
      </w:pPr>
      <w:r>
        <w:t>4.7. Ефекти върху способността за шофиране и работа с машини</w:t>
      </w:r>
    </w:p>
    <w:p w14:paraId="453104FF" w14:textId="049988E7" w:rsidR="00301663" w:rsidRDefault="00301663" w:rsidP="00301663"/>
    <w:p w14:paraId="1125A65D" w14:textId="2AFA308F" w:rsidR="00301663" w:rsidRDefault="00301663" w:rsidP="00301663">
      <w:r>
        <w:t>Пациентите да бъдат предупреждавани за възможна поява на световъртеж, сънливост, замаяност, конвулсии или зрителни смущения и да бъдат съветвани да не шофират или да не работят с машини, ако един от тези симптоми се прояви.</w:t>
      </w:r>
    </w:p>
    <w:p w14:paraId="086C1CC5" w14:textId="36987155" w:rsidR="00301663" w:rsidRPr="00301663" w:rsidRDefault="00301663" w:rsidP="00301663"/>
    <w:p w14:paraId="28229498" w14:textId="4BD5ADEF" w:rsidR="00DF4C8E" w:rsidRDefault="002C50EE" w:rsidP="00F44498">
      <w:pPr>
        <w:pStyle w:val="Heading2"/>
      </w:pPr>
      <w:r>
        <w:t>4.8. Нежелани лекарствени реакции</w:t>
      </w:r>
    </w:p>
    <w:p w14:paraId="5F7E7919" w14:textId="11409376" w:rsidR="00301663" w:rsidRDefault="00301663" w:rsidP="00301663"/>
    <w:p w14:paraId="535C3467"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Класификация на очакваните честоти:</w:t>
      </w:r>
    </w:p>
    <w:p w14:paraId="383F193F"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Много чести (≥1/10); чести (≥1/100 до &lt;1/10); нечести (≥1/1000 до &lt;1/100); редки (≥1/10000 до &lt;1/1000); много редки (&lt;1/10000), с неизвестна честота (от наличните данни не може да бъде направена оценка).</w:t>
      </w:r>
    </w:p>
    <w:p w14:paraId="4B0BC7B6" w14:textId="77777777" w:rsidR="00301663" w:rsidRPr="00EA4374" w:rsidRDefault="00301663" w:rsidP="00301663">
      <w:pPr>
        <w:spacing w:line="240" w:lineRule="auto"/>
        <w:rPr>
          <w:rFonts w:eastAsia="Times New Roman" w:cs="Arial"/>
          <w:color w:val="000000"/>
          <w:lang w:eastAsia="bg-BG"/>
        </w:rPr>
      </w:pPr>
    </w:p>
    <w:p w14:paraId="67B845E0" w14:textId="3D10DD6F" w:rsidR="00301663" w:rsidRPr="00301663" w:rsidRDefault="00301663" w:rsidP="00301663">
      <w:pPr>
        <w:spacing w:line="240" w:lineRule="auto"/>
        <w:rPr>
          <w:rFonts w:eastAsia="Times New Roman" w:cs="Arial"/>
        </w:rPr>
      </w:pPr>
      <w:r w:rsidRPr="00301663">
        <w:rPr>
          <w:rFonts w:eastAsia="Times New Roman" w:cs="Arial"/>
          <w:color w:val="000000"/>
          <w:lang w:eastAsia="bg-BG"/>
        </w:rPr>
        <w:t>Следващите нежелани реакции са били докладвани с кетопрофен при възрастни:</w:t>
      </w:r>
    </w:p>
    <w:p w14:paraId="19F73DF7" w14:textId="77777777" w:rsidR="00301663" w:rsidRPr="00EA4374" w:rsidRDefault="00301663" w:rsidP="00301663">
      <w:pPr>
        <w:spacing w:line="240" w:lineRule="auto"/>
        <w:rPr>
          <w:rFonts w:eastAsia="Times New Roman" w:cs="Arial"/>
          <w:color w:val="000000"/>
          <w:lang w:eastAsia="bg-BG"/>
        </w:rPr>
      </w:pPr>
    </w:p>
    <w:p w14:paraId="235D80DD" w14:textId="3ECB57E2" w:rsidR="00301663" w:rsidRPr="00301663" w:rsidRDefault="00301663" w:rsidP="00301663">
      <w:pPr>
        <w:spacing w:line="240" w:lineRule="auto"/>
        <w:rPr>
          <w:rFonts w:eastAsia="Times New Roman" w:cs="Arial"/>
        </w:rPr>
      </w:pPr>
      <w:r w:rsidRPr="00301663">
        <w:rPr>
          <w:rFonts w:eastAsia="Times New Roman" w:cs="Arial"/>
          <w:color w:val="000000"/>
          <w:lang w:eastAsia="bg-BG"/>
        </w:rPr>
        <w:t>Нарушения на кръвта и лимфната система:</w:t>
      </w:r>
    </w:p>
    <w:p w14:paraId="42D11EA9" w14:textId="77777777"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редки: анемия дължаща се на кръвоизливи;</w:t>
      </w:r>
    </w:p>
    <w:p w14:paraId="14065448" w14:textId="3C7A81C4"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тромбоцитопения, агранулоцитоза, костно-мозъчна аплазия, левкопения, хемолитична анемия.</w:t>
      </w:r>
    </w:p>
    <w:p w14:paraId="377E5B9E" w14:textId="77777777" w:rsidR="00301663" w:rsidRPr="00EA4374" w:rsidRDefault="00301663" w:rsidP="00301663">
      <w:pPr>
        <w:spacing w:line="240" w:lineRule="auto"/>
        <w:rPr>
          <w:rFonts w:eastAsia="Times New Roman" w:cs="Arial"/>
          <w:color w:val="000000"/>
          <w:u w:val="single"/>
          <w:lang w:eastAsia="bg-BG"/>
        </w:rPr>
      </w:pPr>
    </w:p>
    <w:p w14:paraId="51DC0D3F" w14:textId="494D59E4"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Нарушения на имунната система:</w:t>
      </w:r>
    </w:p>
    <w:p w14:paraId="154B384E" w14:textId="77777777"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много редки: едем на Квинке;</w:t>
      </w:r>
    </w:p>
    <w:p w14:paraId="2F468C20" w14:textId="783E9E48"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анафилактични реакции (включително шок).</w:t>
      </w:r>
    </w:p>
    <w:p w14:paraId="20F7F44C" w14:textId="77777777" w:rsidR="00301663" w:rsidRPr="00EA4374" w:rsidRDefault="00301663" w:rsidP="00301663">
      <w:pPr>
        <w:spacing w:line="240" w:lineRule="auto"/>
        <w:rPr>
          <w:rFonts w:eastAsia="Times New Roman" w:cs="Arial"/>
          <w:color w:val="000000"/>
          <w:u w:val="single"/>
          <w:lang w:eastAsia="bg-BG"/>
        </w:rPr>
      </w:pPr>
    </w:p>
    <w:p w14:paraId="407A6332" w14:textId="058D836F"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Психични нарушения:</w:t>
      </w:r>
    </w:p>
    <w:p w14:paraId="323C4F27" w14:textId="7620ACC8"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депресия, халюцинации, объркване, промени в настроението.</w:t>
      </w:r>
    </w:p>
    <w:p w14:paraId="03C52FE7" w14:textId="77777777" w:rsidR="00301663" w:rsidRPr="00EA4374" w:rsidRDefault="00301663" w:rsidP="00301663">
      <w:pPr>
        <w:spacing w:line="240" w:lineRule="auto"/>
        <w:rPr>
          <w:rFonts w:eastAsia="Times New Roman" w:cs="Arial"/>
          <w:color w:val="000000"/>
          <w:u w:val="single"/>
          <w:lang w:eastAsia="bg-BG"/>
        </w:rPr>
      </w:pPr>
    </w:p>
    <w:p w14:paraId="4EB56AC7" w14:textId="6363B936"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Нарушения на нервната система:</w:t>
      </w:r>
    </w:p>
    <w:p w14:paraId="7D5B9BC9" w14:textId="77777777"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нечести: главоболие, замаяност, сънливост;</w:t>
      </w:r>
    </w:p>
    <w:p w14:paraId="09F0E7DC" w14:textId="77777777"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редки: парестезия;</w:t>
      </w:r>
    </w:p>
    <w:p w14:paraId="6D3BE440" w14:textId="0E23AEAD"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асептичен менингит, конвулсии, дисгеузия, световъртеж.</w:t>
      </w:r>
    </w:p>
    <w:p w14:paraId="4571E575" w14:textId="77777777" w:rsidR="00301663" w:rsidRPr="00EA4374" w:rsidRDefault="00301663" w:rsidP="00301663">
      <w:pPr>
        <w:spacing w:line="240" w:lineRule="auto"/>
        <w:rPr>
          <w:rFonts w:eastAsia="Times New Roman" w:cs="Arial"/>
          <w:color w:val="000000"/>
          <w:lang w:eastAsia="bg-BG"/>
        </w:rPr>
      </w:pPr>
    </w:p>
    <w:p w14:paraId="2DB05ABF" w14:textId="79FBA18F" w:rsidR="00301663" w:rsidRPr="00301663" w:rsidRDefault="00301663" w:rsidP="00301663">
      <w:pPr>
        <w:spacing w:line="240" w:lineRule="auto"/>
        <w:rPr>
          <w:rFonts w:eastAsia="Times New Roman" w:cs="Arial"/>
        </w:rPr>
      </w:pPr>
      <w:r w:rsidRPr="00301663">
        <w:rPr>
          <w:rFonts w:eastAsia="Times New Roman" w:cs="Arial"/>
          <w:color w:val="000000"/>
          <w:lang w:eastAsia="bg-BG"/>
        </w:rPr>
        <w:t>Нарушения на очите:</w:t>
      </w:r>
    </w:p>
    <w:p w14:paraId="61960FA7" w14:textId="49E0E5D8"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редки: нарушена зрителна острота (вж. точка 4.4).</w:t>
      </w:r>
    </w:p>
    <w:p w14:paraId="52F9B6C7" w14:textId="77777777" w:rsidR="00301663" w:rsidRPr="00EA4374" w:rsidRDefault="00301663" w:rsidP="00301663">
      <w:pPr>
        <w:spacing w:line="240" w:lineRule="auto"/>
        <w:rPr>
          <w:rFonts w:eastAsia="Times New Roman" w:cs="Arial"/>
          <w:color w:val="000000"/>
          <w:lang w:eastAsia="bg-BG"/>
        </w:rPr>
      </w:pPr>
    </w:p>
    <w:p w14:paraId="21FA865C" w14:textId="77777777" w:rsidR="00301663" w:rsidRPr="00EA4374" w:rsidRDefault="00301663" w:rsidP="00301663">
      <w:pPr>
        <w:spacing w:line="240" w:lineRule="auto"/>
        <w:rPr>
          <w:rFonts w:eastAsia="Times New Roman" w:cs="Arial"/>
          <w:color w:val="000000"/>
          <w:lang w:eastAsia="bg-BG"/>
        </w:rPr>
      </w:pPr>
      <w:r w:rsidRPr="00301663">
        <w:rPr>
          <w:rFonts w:eastAsia="Times New Roman" w:cs="Arial"/>
          <w:color w:val="000000"/>
          <w:lang w:eastAsia="bg-BG"/>
        </w:rPr>
        <w:t xml:space="preserve">Нарушения на ухото и лабиринта: </w:t>
      </w:r>
    </w:p>
    <w:p w14:paraId="54E35155" w14:textId="22001F8B"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редки: шум в ушите.</w:t>
      </w:r>
    </w:p>
    <w:p w14:paraId="1A183112" w14:textId="77777777" w:rsidR="00301663" w:rsidRPr="00EA4374" w:rsidRDefault="00301663" w:rsidP="00301663">
      <w:pPr>
        <w:spacing w:line="240" w:lineRule="auto"/>
        <w:rPr>
          <w:rFonts w:eastAsia="Times New Roman" w:cs="Arial"/>
          <w:color w:val="000000"/>
          <w:u w:val="single"/>
          <w:lang w:eastAsia="bg-BG"/>
        </w:rPr>
      </w:pPr>
    </w:p>
    <w:p w14:paraId="2FB417A6" w14:textId="50E5C736"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Сърдечни нарушения:</w:t>
      </w:r>
    </w:p>
    <w:p w14:paraId="2AFC191E" w14:textId="75C260F0"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обостряне на сърдечната недостатъчност, предсърдно мъждене;</w:t>
      </w:r>
    </w:p>
    <w:p w14:paraId="7C162682" w14:textId="77777777" w:rsidR="00301663" w:rsidRPr="00EA4374" w:rsidRDefault="00301663" w:rsidP="00301663">
      <w:pPr>
        <w:spacing w:line="240" w:lineRule="auto"/>
        <w:rPr>
          <w:rFonts w:eastAsia="Times New Roman" w:cs="Arial"/>
          <w:color w:val="000000"/>
          <w:u w:val="single"/>
          <w:lang w:eastAsia="bg-BG"/>
        </w:rPr>
      </w:pPr>
    </w:p>
    <w:p w14:paraId="245C5743" w14:textId="4E6E6499"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Съдови нарушения:</w:t>
      </w:r>
    </w:p>
    <w:p w14:paraId="058C6422" w14:textId="71C8B7D3"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хипертония, вазодилатация, васкулити (включително левкоцитокластни васкулити).</w:t>
      </w:r>
    </w:p>
    <w:p w14:paraId="595C6070" w14:textId="77777777" w:rsidR="00301663" w:rsidRPr="00EA4374" w:rsidRDefault="00301663" w:rsidP="00301663">
      <w:pPr>
        <w:spacing w:line="240" w:lineRule="auto"/>
        <w:rPr>
          <w:rFonts w:eastAsia="Times New Roman" w:cs="Arial"/>
          <w:color w:val="000000"/>
          <w:u w:val="single"/>
          <w:lang w:eastAsia="bg-BG"/>
        </w:rPr>
      </w:pPr>
    </w:p>
    <w:p w14:paraId="75EA2811" w14:textId="48755C22"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 xml:space="preserve">Респираторни, гръдни и медиастинални нарушения: </w:t>
      </w:r>
      <w:r w:rsidRPr="00301663">
        <w:rPr>
          <w:rFonts w:eastAsia="Times New Roman" w:cs="Arial"/>
          <w:color w:val="000000"/>
          <w:lang w:eastAsia="bg-BG"/>
        </w:rPr>
        <w:t>редки: астма;</w:t>
      </w:r>
    </w:p>
    <w:p w14:paraId="33100B76" w14:textId="465C0F43"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спазъм на бронхите (особено при пациенти, алергични към ацетилсалициловата киселина и към други НСПВС).</w:t>
      </w:r>
    </w:p>
    <w:p w14:paraId="58B41711" w14:textId="77777777" w:rsidR="00301663" w:rsidRPr="00EA4374" w:rsidRDefault="00301663" w:rsidP="00301663">
      <w:pPr>
        <w:spacing w:line="240" w:lineRule="auto"/>
        <w:rPr>
          <w:rFonts w:eastAsia="Times New Roman" w:cs="Arial"/>
          <w:color w:val="000000"/>
          <w:u w:val="single"/>
          <w:lang w:eastAsia="bg-BG"/>
        </w:rPr>
      </w:pPr>
    </w:p>
    <w:p w14:paraId="09948E4E" w14:textId="47EC8B98"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Стомашно-чревни нарушения:</w:t>
      </w:r>
    </w:p>
    <w:p w14:paraId="25926E60" w14:textId="77777777"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чести: диспепсия, коремна болка, гадене, повръщане;</w:t>
      </w:r>
    </w:p>
    <w:p w14:paraId="0D80FE74" w14:textId="77777777"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нечести: диария, запек, флатуленция, гастрит;</w:t>
      </w:r>
    </w:p>
    <w:p w14:paraId="5CAE9020" w14:textId="77777777"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редки: стоматит, язва на стомаха;</w:t>
      </w:r>
    </w:p>
    <w:p w14:paraId="459AF4F0" w14:textId="2905C04A"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обострен колит и болест на Крон, стомашно-чревна хеморагия и перфорация, стомашна болка, затруднено храносмилане, панкреатит.</w:t>
      </w:r>
    </w:p>
    <w:p w14:paraId="7C1C28C5" w14:textId="77777777" w:rsidR="00301663" w:rsidRPr="00EA4374" w:rsidRDefault="00301663" w:rsidP="00301663">
      <w:pPr>
        <w:spacing w:line="240" w:lineRule="auto"/>
        <w:rPr>
          <w:rFonts w:eastAsia="Times New Roman" w:cs="Arial"/>
          <w:color w:val="000000"/>
          <w:u w:val="single"/>
          <w:lang w:eastAsia="bg-BG"/>
        </w:rPr>
      </w:pPr>
    </w:p>
    <w:p w14:paraId="64B38356" w14:textId="0FE5C0A5"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Хепато-билиарни нарушения:</w:t>
      </w:r>
    </w:p>
    <w:p w14:paraId="55C26683" w14:textId="5975EF02"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редки: хепатит, увеличаване на нивото на трансаминазите. п</w:t>
      </w:r>
    </w:p>
    <w:p w14:paraId="5A438FAA" w14:textId="77777777" w:rsidR="00301663" w:rsidRPr="00EA4374" w:rsidRDefault="00301663" w:rsidP="00301663">
      <w:pPr>
        <w:spacing w:line="240" w:lineRule="auto"/>
        <w:rPr>
          <w:rFonts w:eastAsia="Times New Roman" w:cs="Arial"/>
          <w:color w:val="000000"/>
          <w:u w:val="single"/>
          <w:lang w:eastAsia="bg-BG"/>
        </w:rPr>
      </w:pPr>
    </w:p>
    <w:p w14:paraId="1DE39B7D" w14:textId="5F54FB8F"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Нарушения на кожата и подкожната тъкан:</w:t>
      </w:r>
    </w:p>
    <w:p w14:paraId="24DC2B6D" w14:textId="77777777"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нечести: обрив, силен сърбеж;</w:t>
      </w:r>
    </w:p>
    <w:p w14:paraId="18C604DF" w14:textId="733A7660"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фоточувствителност, алопеция, уртикария, ангиоедем, булозни дерматози като синдром на Стивънс - Джонсън и токсична епидермална некролиза, остра генерализирана екзантематозна пустулоза.</w:t>
      </w:r>
    </w:p>
    <w:p w14:paraId="57439EEA" w14:textId="77777777" w:rsidR="00301663" w:rsidRPr="00EA4374" w:rsidRDefault="00301663" w:rsidP="00301663">
      <w:pPr>
        <w:spacing w:line="240" w:lineRule="auto"/>
        <w:rPr>
          <w:rFonts w:eastAsia="Times New Roman" w:cs="Arial"/>
          <w:color w:val="000000"/>
          <w:u w:val="single"/>
          <w:lang w:eastAsia="bg-BG"/>
        </w:rPr>
      </w:pPr>
    </w:p>
    <w:p w14:paraId="7FB590B0" w14:textId="2D7AB377"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Нарушения на бъбреците и пикочните пътиша:</w:t>
      </w:r>
    </w:p>
    <w:p w14:paraId="737C9A2F" w14:textId="5E770B4C"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остра бъбречна недостатъчност, особено при данни за предхождащо бъбречно увреждане и/или хиповолемия, интерстициален нефрит, нефрозен синдром, необичайни тестове на бъбречната функция.</w:t>
      </w:r>
    </w:p>
    <w:p w14:paraId="1378D7C7" w14:textId="77777777" w:rsidR="00301663" w:rsidRPr="00EA4374" w:rsidRDefault="00301663" w:rsidP="00301663">
      <w:pPr>
        <w:spacing w:line="240" w:lineRule="auto"/>
        <w:rPr>
          <w:rFonts w:eastAsia="Times New Roman" w:cs="Arial"/>
          <w:color w:val="000000"/>
          <w:u w:val="single"/>
          <w:lang w:eastAsia="bg-BG"/>
        </w:rPr>
      </w:pPr>
    </w:p>
    <w:p w14:paraId="0E33ECCC" w14:textId="60A77679"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 xml:space="preserve">Общи нарушения и ефекти на мястото на приложение: </w:t>
      </w:r>
      <w:r w:rsidRPr="00301663">
        <w:rPr>
          <w:rFonts w:eastAsia="Times New Roman" w:cs="Arial"/>
          <w:color w:val="000000"/>
          <w:lang w:eastAsia="bg-BG"/>
        </w:rPr>
        <w:t>нечести: оток;</w:t>
      </w:r>
    </w:p>
    <w:p w14:paraId="790FFAFD" w14:textId="5BC8671C"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 умора.</w:t>
      </w:r>
    </w:p>
    <w:p w14:paraId="00ED4A3D" w14:textId="77777777" w:rsidR="00301663" w:rsidRPr="00EA4374" w:rsidRDefault="00301663" w:rsidP="00301663">
      <w:pPr>
        <w:spacing w:line="240" w:lineRule="auto"/>
        <w:rPr>
          <w:rFonts w:eastAsia="Times New Roman" w:cs="Arial"/>
          <w:color w:val="000000"/>
          <w:u w:val="single"/>
          <w:lang w:eastAsia="bg-BG"/>
        </w:rPr>
      </w:pPr>
    </w:p>
    <w:p w14:paraId="751CB48B" w14:textId="4A0A1C52"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t>Нарушения на метаболизма и храненето</w:t>
      </w:r>
    </w:p>
    <w:p w14:paraId="6947236B" w14:textId="426B2613"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с неизвестна честота:хипонатриемия, хиперкалемия.</w:t>
      </w:r>
    </w:p>
    <w:p w14:paraId="4E432728" w14:textId="77777777" w:rsidR="00301663" w:rsidRPr="00EA4374" w:rsidRDefault="00301663" w:rsidP="00301663">
      <w:pPr>
        <w:spacing w:line="240" w:lineRule="auto"/>
        <w:rPr>
          <w:rFonts w:eastAsia="Times New Roman" w:cs="Arial"/>
          <w:color w:val="000000"/>
          <w:u w:val="single"/>
          <w:lang w:eastAsia="bg-BG"/>
        </w:rPr>
      </w:pPr>
    </w:p>
    <w:p w14:paraId="6926A180" w14:textId="2A45AE79" w:rsidR="00301663" w:rsidRPr="00301663" w:rsidRDefault="00301663" w:rsidP="00301663">
      <w:pPr>
        <w:spacing w:line="240" w:lineRule="auto"/>
        <w:rPr>
          <w:rFonts w:eastAsia="Times New Roman" w:cs="Arial"/>
        </w:rPr>
      </w:pPr>
      <w:r w:rsidRPr="00301663">
        <w:rPr>
          <w:rFonts w:eastAsia="Times New Roman" w:cs="Arial"/>
          <w:color w:val="000000"/>
          <w:u w:val="single"/>
          <w:lang w:eastAsia="bg-BG"/>
        </w:rPr>
        <w:lastRenderedPageBreak/>
        <w:t>Изследвания:</w:t>
      </w:r>
    </w:p>
    <w:p w14:paraId="0A0E9F58" w14:textId="2B2DFE34" w:rsidR="00301663" w:rsidRPr="00EA4374" w:rsidRDefault="00301663" w:rsidP="00301663">
      <w:pPr>
        <w:pStyle w:val="ListParagraph"/>
        <w:numPr>
          <w:ilvl w:val="0"/>
          <w:numId w:val="34"/>
        </w:numPr>
        <w:spacing w:line="240" w:lineRule="auto"/>
        <w:rPr>
          <w:rFonts w:eastAsia="Times New Roman" w:cs="Arial"/>
        </w:rPr>
      </w:pPr>
      <w:r w:rsidRPr="00EA4374">
        <w:rPr>
          <w:rFonts w:eastAsia="Times New Roman" w:cs="Arial"/>
          <w:color w:val="000000"/>
          <w:lang w:eastAsia="bg-BG"/>
        </w:rPr>
        <w:t>редки: увеличаване на телесното тегло.</w:t>
      </w:r>
    </w:p>
    <w:p w14:paraId="6E039F66" w14:textId="77777777" w:rsidR="00301663" w:rsidRPr="00301663" w:rsidRDefault="00301663" w:rsidP="00301663">
      <w:pPr>
        <w:spacing w:line="240" w:lineRule="auto"/>
        <w:rPr>
          <w:rFonts w:eastAsia="Times New Roman" w:cs="Arial"/>
        </w:rPr>
      </w:pPr>
      <w:r w:rsidRPr="00301663">
        <w:rPr>
          <w:rFonts w:eastAsia="Times New Roman" w:cs="Arial"/>
          <w:color w:val="000000"/>
          <w:lang w:eastAsia="bg-BG"/>
        </w:rPr>
        <w:t xml:space="preserve">При доза от 200 </w:t>
      </w:r>
      <w:r w:rsidRPr="00301663">
        <w:rPr>
          <w:rFonts w:eastAsia="Times New Roman" w:cs="Arial"/>
          <w:color w:val="000000"/>
          <w:lang w:val="en-US"/>
        </w:rPr>
        <w:t>mg</w:t>
      </w:r>
      <w:r w:rsidRPr="00301663">
        <w:rPr>
          <w:rFonts w:eastAsia="Times New Roman" w:cs="Arial"/>
          <w:color w:val="000000"/>
          <w:lang w:val="ru-RU"/>
        </w:rPr>
        <w:t xml:space="preserve"> </w:t>
      </w:r>
      <w:r w:rsidRPr="00301663">
        <w:rPr>
          <w:rFonts w:eastAsia="Times New Roman" w:cs="Arial"/>
          <w:color w:val="000000"/>
          <w:lang w:eastAsia="bg-BG"/>
        </w:rPr>
        <w:t>на ден, при перорален прием, кетопрофен предизвиква увеличаване на окултни (скрити) кръвотечения на храносмилателния тракт: последните зачестяват с увеличаване на дозата.</w:t>
      </w:r>
    </w:p>
    <w:p w14:paraId="289F7C59" w14:textId="77777777" w:rsidR="00301663" w:rsidRPr="00EA4374" w:rsidRDefault="00301663" w:rsidP="00301663">
      <w:pPr>
        <w:spacing w:line="240" w:lineRule="auto"/>
        <w:rPr>
          <w:rFonts w:eastAsia="Times New Roman" w:cs="Arial"/>
          <w:b/>
          <w:bCs/>
          <w:color w:val="000000"/>
          <w:u w:val="single"/>
          <w:lang w:eastAsia="bg-BG"/>
        </w:rPr>
      </w:pPr>
      <w:bookmarkStart w:id="1" w:name="bookmark0"/>
    </w:p>
    <w:p w14:paraId="1C07013F" w14:textId="4AA149F8" w:rsidR="00301663" w:rsidRPr="00301663" w:rsidRDefault="00301663" w:rsidP="00301663">
      <w:pPr>
        <w:spacing w:line="240" w:lineRule="auto"/>
        <w:rPr>
          <w:rFonts w:eastAsia="Times New Roman" w:cs="Arial"/>
        </w:rPr>
      </w:pPr>
      <w:r w:rsidRPr="00301663">
        <w:rPr>
          <w:rFonts w:eastAsia="Times New Roman" w:cs="Arial"/>
          <w:b/>
          <w:bCs/>
          <w:color w:val="000000"/>
          <w:u w:val="single"/>
          <w:lang w:eastAsia="bg-BG"/>
        </w:rPr>
        <w:t>Съобщаване на подозирани нежелани реакции</w:t>
      </w:r>
      <w:bookmarkEnd w:id="1"/>
    </w:p>
    <w:p w14:paraId="16817077" w14:textId="08042383" w:rsidR="00301663" w:rsidRPr="00EA4374" w:rsidRDefault="00301663" w:rsidP="00301663">
      <w:pPr>
        <w:rPr>
          <w:rFonts w:eastAsia="Times New Roman" w:cs="Arial"/>
          <w:color w:val="000000"/>
          <w:lang w:val="en-US"/>
        </w:rPr>
      </w:pPr>
      <w:r w:rsidRPr="00EA4374">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+35 928903417, уебсайт: </w:t>
      </w:r>
      <w:hyperlink r:id="rId5" w:history="1">
        <w:r w:rsidRPr="00EA4374">
          <w:rPr>
            <w:rFonts w:eastAsia="Times New Roman" w:cs="Arial"/>
            <w:color w:val="000000"/>
            <w:u w:val="single"/>
            <w:lang w:val="en-US"/>
          </w:rPr>
          <w:t>www.bda.bg</w:t>
        </w:r>
      </w:hyperlink>
      <w:r w:rsidRPr="00EA4374">
        <w:rPr>
          <w:rFonts w:eastAsia="Times New Roman" w:cs="Arial"/>
          <w:color w:val="000000"/>
          <w:lang w:val="en-US"/>
        </w:rPr>
        <w:t>.</w:t>
      </w:r>
    </w:p>
    <w:p w14:paraId="21D317FB" w14:textId="77777777" w:rsidR="00EA4374" w:rsidRPr="00301663" w:rsidRDefault="00EA4374" w:rsidP="00301663"/>
    <w:p w14:paraId="07687653" w14:textId="58B06DBC" w:rsidR="00DF4C8E" w:rsidRDefault="002C50EE" w:rsidP="00F44498">
      <w:pPr>
        <w:pStyle w:val="Heading2"/>
      </w:pPr>
      <w:r>
        <w:t>4.9. Предозиране</w:t>
      </w:r>
    </w:p>
    <w:p w14:paraId="036EAE80" w14:textId="482918E0" w:rsidR="00EA4374" w:rsidRDefault="00EA4374" w:rsidP="00EA4374"/>
    <w:p w14:paraId="1F46F57D"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 xml:space="preserve">Случаи на предозиране са докладвани с дози над 2,5 </w:t>
      </w:r>
      <w:r w:rsidRPr="00EA4374">
        <w:rPr>
          <w:rFonts w:eastAsia="Times New Roman" w:cs="Arial"/>
          <w:color w:val="000000"/>
          <w:szCs w:val="20"/>
          <w:lang w:val="en-US"/>
        </w:rPr>
        <w:t>g</w:t>
      </w:r>
      <w:r w:rsidRPr="00EA4374">
        <w:rPr>
          <w:rFonts w:eastAsia="Times New Roman" w:cs="Arial"/>
          <w:color w:val="000000"/>
          <w:szCs w:val="20"/>
          <w:lang w:val="ru-RU"/>
        </w:rPr>
        <w:t xml:space="preserve"> </w:t>
      </w:r>
      <w:r w:rsidRPr="00EA4374">
        <w:rPr>
          <w:rFonts w:eastAsia="Times New Roman" w:cs="Arial"/>
          <w:color w:val="000000"/>
          <w:szCs w:val="20"/>
          <w:lang w:eastAsia="bg-BG"/>
        </w:rPr>
        <w:t>кетопрофен. В повечето случаи, наблюдаваните симптоми са били в лека форма и са се ограничили до летаргия, сънливост, гадене, повръщане и коремни болки.</w:t>
      </w:r>
    </w:p>
    <w:p w14:paraId="56861BF6" w14:textId="77777777" w:rsidR="00EA4374" w:rsidRPr="00EA4374" w:rsidRDefault="00EA4374" w:rsidP="00EA4374">
      <w:pPr>
        <w:spacing w:line="240" w:lineRule="auto"/>
        <w:rPr>
          <w:rFonts w:eastAsia="Times New Roman" w:cs="Arial"/>
          <w:color w:val="000000"/>
          <w:szCs w:val="20"/>
          <w:lang w:eastAsia="bg-BG"/>
        </w:rPr>
      </w:pPr>
    </w:p>
    <w:p w14:paraId="004473C9" w14:textId="61D57F6B"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Няма специфични антидоти при предозиране на кетопрофен. В случай на подозирана тежка интоксикация се препоръчва да се извърши стомашна промивка, симптоматично и поддържащо лечение, за да се компенсира дехидратацията, да се наблюдава отделянето на урината и да се предприемат корективни мерки в случай на ацидоза.</w:t>
      </w:r>
    </w:p>
    <w:p w14:paraId="77C1404C" w14:textId="77777777" w:rsidR="00EA4374" w:rsidRPr="00EA4374" w:rsidRDefault="00EA4374" w:rsidP="00EA4374">
      <w:pPr>
        <w:rPr>
          <w:rFonts w:eastAsia="Times New Roman" w:cs="Arial"/>
          <w:b/>
          <w:bCs/>
          <w:color w:val="000000"/>
          <w:szCs w:val="20"/>
          <w:lang w:eastAsia="bg-BG"/>
        </w:rPr>
      </w:pPr>
    </w:p>
    <w:p w14:paraId="6BAC21F0" w14:textId="71EBA260" w:rsidR="00EA4374" w:rsidRPr="00EA4374" w:rsidRDefault="00EA4374" w:rsidP="00EA4374">
      <w:pPr>
        <w:rPr>
          <w:rFonts w:cs="Arial"/>
          <w:sz w:val="24"/>
        </w:rPr>
      </w:pPr>
      <w:r w:rsidRPr="00EA4374">
        <w:rPr>
          <w:rFonts w:eastAsia="Times New Roman" w:cs="Arial"/>
          <w:b/>
          <w:bCs/>
          <w:color w:val="000000"/>
          <w:szCs w:val="20"/>
          <w:lang w:eastAsia="bg-BG"/>
        </w:rPr>
        <w:t>В случаи на бъбречна недостатъчност, хемодналнза би могла да бъде от полза, за да бъде премахнат циркулиращия лекарствен продукт.</w:t>
      </w:r>
    </w:p>
    <w:p w14:paraId="02081B24" w14:textId="1F46E296" w:rsidR="00395555" w:rsidRPr="00395555" w:rsidRDefault="002C50EE" w:rsidP="008A6AF2">
      <w:pPr>
        <w:pStyle w:val="Heading1"/>
      </w:pPr>
      <w:r>
        <w:t>5. ФАРМАКОЛОГИЧНИ СВОЙСТВА</w:t>
      </w:r>
    </w:p>
    <w:p w14:paraId="4D47A490" w14:textId="60FDFD9F" w:rsidR="00DF4C8E" w:rsidRDefault="002C50EE" w:rsidP="00F44498">
      <w:pPr>
        <w:pStyle w:val="Heading2"/>
      </w:pPr>
      <w:r>
        <w:t>5.1. Фармакодинамични свойства</w:t>
      </w:r>
    </w:p>
    <w:p w14:paraId="0AF7B540" w14:textId="5BF10EB9" w:rsidR="00EA4374" w:rsidRDefault="00EA4374" w:rsidP="00EA4374"/>
    <w:p w14:paraId="77AE5879"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Фармакотерапевтична група: Нестероидно противовъзпалително (М : мускулно-скелетна система).</w:t>
      </w:r>
    </w:p>
    <w:p w14:paraId="76851B0E"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АТС код МО1 АЕ03</w:t>
      </w:r>
    </w:p>
    <w:p w14:paraId="49CEAB12" w14:textId="6B6BE716" w:rsidR="00EA4374" w:rsidRPr="00EA4374" w:rsidRDefault="00EA4374" w:rsidP="00EA4374">
      <w:pPr>
        <w:rPr>
          <w:rFonts w:cs="Arial"/>
          <w:sz w:val="24"/>
        </w:rPr>
      </w:pPr>
    </w:p>
    <w:p w14:paraId="6F00D359"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Кетопрофен е нестероидно противовъзпалително, производно на арил карбоксиловата киселина от групата на пропионатите.</w:t>
      </w:r>
    </w:p>
    <w:p w14:paraId="0DB8F047"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Той притежава следните свойства:</w:t>
      </w:r>
    </w:p>
    <w:p w14:paraId="3F5600DE" w14:textId="77777777" w:rsidR="00EA4374" w:rsidRPr="00EA4374" w:rsidRDefault="00EA4374" w:rsidP="00EA4374">
      <w:pPr>
        <w:pStyle w:val="ListParagraph"/>
        <w:numPr>
          <w:ilvl w:val="0"/>
          <w:numId w:val="36"/>
        </w:numPr>
        <w:spacing w:line="240" w:lineRule="auto"/>
        <w:rPr>
          <w:rFonts w:eastAsia="Times New Roman" w:cs="Arial"/>
          <w:sz w:val="28"/>
          <w:szCs w:val="24"/>
        </w:rPr>
      </w:pPr>
      <w:r w:rsidRPr="00EA4374">
        <w:rPr>
          <w:rFonts w:eastAsia="Times New Roman" w:cs="Arial"/>
          <w:color w:val="000000"/>
          <w:szCs w:val="20"/>
          <w:lang w:eastAsia="bg-BG"/>
        </w:rPr>
        <w:t>Централно и периферно аналгетично,</w:t>
      </w:r>
    </w:p>
    <w:p w14:paraId="0D4E9F07" w14:textId="77777777" w:rsidR="00EA4374" w:rsidRPr="00EA4374" w:rsidRDefault="00EA4374" w:rsidP="00EA4374">
      <w:pPr>
        <w:pStyle w:val="ListParagraph"/>
        <w:numPr>
          <w:ilvl w:val="0"/>
          <w:numId w:val="36"/>
        </w:numPr>
        <w:spacing w:line="240" w:lineRule="auto"/>
        <w:rPr>
          <w:rFonts w:eastAsia="Times New Roman" w:cs="Arial"/>
          <w:sz w:val="28"/>
          <w:szCs w:val="24"/>
        </w:rPr>
      </w:pPr>
      <w:r w:rsidRPr="00EA4374">
        <w:rPr>
          <w:rFonts w:eastAsia="Times New Roman" w:cs="Arial"/>
          <w:color w:val="000000"/>
          <w:szCs w:val="20"/>
          <w:lang w:eastAsia="bg-BG"/>
        </w:rPr>
        <w:t>Антипиретично,</w:t>
      </w:r>
    </w:p>
    <w:p w14:paraId="20251A9D" w14:textId="77777777" w:rsidR="00EA4374" w:rsidRPr="00EA4374" w:rsidRDefault="00EA4374" w:rsidP="00EA4374">
      <w:pPr>
        <w:pStyle w:val="ListParagraph"/>
        <w:numPr>
          <w:ilvl w:val="0"/>
          <w:numId w:val="36"/>
        </w:numPr>
        <w:spacing w:line="240" w:lineRule="auto"/>
        <w:rPr>
          <w:rFonts w:eastAsia="Times New Roman" w:cs="Arial"/>
          <w:sz w:val="28"/>
          <w:szCs w:val="24"/>
        </w:rPr>
      </w:pPr>
      <w:r w:rsidRPr="00EA4374">
        <w:rPr>
          <w:rFonts w:eastAsia="Times New Roman" w:cs="Arial"/>
          <w:color w:val="000000"/>
          <w:szCs w:val="20"/>
          <w:lang w:eastAsia="bg-BG"/>
        </w:rPr>
        <w:t>Противовъзпалително,</w:t>
      </w:r>
    </w:p>
    <w:p w14:paraId="624C8BD3" w14:textId="77777777" w:rsidR="00EA4374" w:rsidRPr="00EA4374" w:rsidRDefault="00EA4374" w:rsidP="00EA4374">
      <w:pPr>
        <w:pStyle w:val="ListParagraph"/>
        <w:numPr>
          <w:ilvl w:val="0"/>
          <w:numId w:val="36"/>
        </w:numPr>
        <w:spacing w:line="240" w:lineRule="auto"/>
        <w:rPr>
          <w:rFonts w:eastAsia="Times New Roman" w:cs="Arial"/>
          <w:sz w:val="28"/>
          <w:szCs w:val="24"/>
        </w:rPr>
      </w:pPr>
      <w:r w:rsidRPr="00EA4374">
        <w:rPr>
          <w:rFonts w:eastAsia="Times New Roman" w:cs="Arial"/>
          <w:color w:val="000000"/>
          <w:szCs w:val="20"/>
          <w:lang w:eastAsia="bg-BG"/>
        </w:rPr>
        <w:t xml:space="preserve">Краткотрайно инхибиране на тромбоцитната функция. </w:t>
      </w:r>
    </w:p>
    <w:p w14:paraId="016122A5" w14:textId="4A7AC10A"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Начинът му на действие не е напълно обяснен.</w:t>
      </w:r>
    </w:p>
    <w:p w14:paraId="258D32B3" w14:textId="6929ACD0" w:rsidR="00EA4374" w:rsidRDefault="00EA4374" w:rsidP="00EA4374">
      <w:pPr>
        <w:rPr>
          <w:rFonts w:eastAsia="Times New Roman" w:cs="Arial"/>
          <w:color w:val="000000"/>
          <w:szCs w:val="20"/>
          <w:lang w:eastAsia="bg-BG"/>
        </w:rPr>
      </w:pPr>
      <w:r w:rsidRPr="00EA4374">
        <w:rPr>
          <w:rFonts w:eastAsia="Times New Roman" w:cs="Arial"/>
          <w:color w:val="000000"/>
          <w:szCs w:val="20"/>
          <w:lang w:eastAsia="bg-BG"/>
        </w:rPr>
        <w:t>Той инхибира простагландиновата синтетаза и тромбоцитната агрегация.</w:t>
      </w:r>
    </w:p>
    <w:p w14:paraId="58C91369" w14:textId="34FA9A48" w:rsidR="00EA4374" w:rsidRPr="00EA4374" w:rsidRDefault="00EA4374" w:rsidP="00EA4374">
      <w:pPr>
        <w:rPr>
          <w:rFonts w:cs="Arial"/>
          <w:sz w:val="24"/>
        </w:rPr>
      </w:pPr>
    </w:p>
    <w:p w14:paraId="79643DB7" w14:textId="00F1D748" w:rsidR="00DF4C8E" w:rsidRDefault="002C50EE" w:rsidP="00F44498">
      <w:pPr>
        <w:pStyle w:val="Heading2"/>
      </w:pPr>
      <w:r>
        <w:t>5.2. Фармакокинетични свойства</w:t>
      </w:r>
    </w:p>
    <w:p w14:paraId="58DC9256" w14:textId="20E6DB64" w:rsidR="00EA4374" w:rsidRDefault="00EA4374" w:rsidP="00EA4374"/>
    <w:p w14:paraId="570B371E"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u w:val="single"/>
          <w:lang w:eastAsia="bg-BG"/>
        </w:rPr>
        <w:lastRenderedPageBreak/>
        <w:t>Абсорбция:</w:t>
      </w:r>
    </w:p>
    <w:p w14:paraId="644E61D2"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 xml:space="preserve">Таблетка с удължено освобождаване </w:t>
      </w:r>
      <w:r w:rsidRPr="00EA4374">
        <w:rPr>
          <w:rFonts w:eastAsia="Times New Roman" w:cs="Arial"/>
          <w:color w:val="000000"/>
          <w:szCs w:val="20"/>
          <w:lang w:val="en-US"/>
        </w:rPr>
        <w:t>LP</w:t>
      </w:r>
      <w:r w:rsidRPr="00EA4374">
        <w:rPr>
          <w:rFonts w:eastAsia="Times New Roman" w:cs="Arial"/>
          <w:color w:val="000000"/>
          <w:szCs w:val="20"/>
          <w:lang w:val="ru-RU"/>
        </w:rPr>
        <w:t xml:space="preserve"> </w:t>
      </w:r>
      <w:r w:rsidRPr="00EA4374">
        <w:rPr>
          <w:rFonts w:eastAsia="Times New Roman" w:cs="Arial"/>
          <w:color w:val="000000"/>
          <w:szCs w:val="20"/>
          <w:lang w:eastAsia="bg-BG"/>
        </w:rPr>
        <w:t xml:space="preserve">от 200 </w:t>
      </w:r>
      <w:r w:rsidRPr="00EA4374">
        <w:rPr>
          <w:rFonts w:eastAsia="Times New Roman" w:cs="Arial"/>
          <w:color w:val="000000"/>
          <w:szCs w:val="20"/>
          <w:lang w:val="en-US"/>
        </w:rPr>
        <w:t>mg</w:t>
      </w:r>
      <w:r w:rsidRPr="00EA4374">
        <w:rPr>
          <w:rFonts w:eastAsia="Times New Roman" w:cs="Arial"/>
          <w:color w:val="000000"/>
          <w:szCs w:val="20"/>
          <w:lang w:val="ru-RU"/>
        </w:rPr>
        <w:t>:</w:t>
      </w:r>
    </w:p>
    <w:p w14:paraId="2E0BB305"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 xml:space="preserve">Профенид </w:t>
      </w:r>
      <w:r w:rsidRPr="00EA4374">
        <w:rPr>
          <w:rFonts w:eastAsia="Times New Roman" w:cs="Arial"/>
          <w:color w:val="000000"/>
          <w:szCs w:val="20"/>
          <w:lang w:val="en-US"/>
        </w:rPr>
        <w:t>LP</w:t>
      </w:r>
      <w:r w:rsidRPr="00EA4374">
        <w:rPr>
          <w:rFonts w:eastAsia="Times New Roman" w:cs="Arial"/>
          <w:color w:val="000000"/>
          <w:szCs w:val="20"/>
          <w:lang w:val="ru-RU"/>
        </w:rPr>
        <w:t xml:space="preserve"> </w:t>
      </w:r>
      <w:r w:rsidRPr="00EA4374">
        <w:rPr>
          <w:rFonts w:eastAsia="Times New Roman" w:cs="Arial"/>
          <w:color w:val="000000"/>
          <w:szCs w:val="20"/>
          <w:lang w:eastAsia="bg-BG"/>
        </w:rPr>
        <w:t xml:space="preserve">от 200 </w:t>
      </w:r>
      <w:r w:rsidRPr="00EA4374">
        <w:rPr>
          <w:rFonts w:eastAsia="Times New Roman" w:cs="Arial"/>
          <w:color w:val="000000"/>
          <w:szCs w:val="20"/>
          <w:lang w:val="en-US"/>
        </w:rPr>
        <w:t>mg</w:t>
      </w:r>
      <w:r w:rsidRPr="00EA4374">
        <w:rPr>
          <w:rFonts w:eastAsia="Times New Roman" w:cs="Arial"/>
          <w:color w:val="000000"/>
          <w:szCs w:val="20"/>
          <w:lang w:val="ru-RU"/>
        </w:rPr>
        <w:t xml:space="preserve"> </w:t>
      </w:r>
      <w:r w:rsidRPr="00EA4374">
        <w:rPr>
          <w:rFonts w:eastAsia="Times New Roman" w:cs="Arial"/>
          <w:color w:val="000000"/>
          <w:szCs w:val="20"/>
          <w:lang w:eastAsia="bg-BG"/>
        </w:rPr>
        <w:t xml:space="preserve">таблетка осигурява редовно и продължително насищане с кетопрофен. Под тази галенова форма, кетопрофенът се свързва с хидрофилна форма (хидроксипропилцелулоза), която има свойството да се хидратира като образува гел, през който активната съставка разпространява равномерно действието си. Постепенното разпадане на слоевете довежда до пълното освобождаване на активното вещество. Максималната плазмена концентрация се достига към 3-тия час след приложението на таблетките </w:t>
      </w:r>
      <w:r w:rsidRPr="00EA4374">
        <w:rPr>
          <w:rFonts w:eastAsia="Times New Roman" w:cs="Arial"/>
          <w:color w:val="000000"/>
          <w:szCs w:val="20"/>
          <w:lang w:val="en-US"/>
        </w:rPr>
        <w:t>LP</w:t>
      </w:r>
      <w:r w:rsidRPr="00EA4374">
        <w:rPr>
          <w:rFonts w:eastAsia="Times New Roman" w:cs="Arial"/>
          <w:color w:val="000000"/>
          <w:szCs w:val="20"/>
          <w:lang w:val="ru-RU"/>
        </w:rPr>
        <w:t xml:space="preserve">. </w:t>
      </w:r>
      <w:r w:rsidRPr="00EA4374">
        <w:rPr>
          <w:rFonts w:eastAsia="Times New Roman" w:cs="Arial"/>
          <w:color w:val="000000"/>
          <w:szCs w:val="20"/>
          <w:lang w:eastAsia="bg-BG"/>
        </w:rPr>
        <w:t>До 18 час се наблюдава устойчиво плато и значителни нива се откриват до 24-тия час. Повтарянето на дозите по време на курса на лечение не води до натрупване на лекарството.</w:t>
      </w:r>
    </w:p>
    <w:p w14:paraId="11DF98B7"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Когато кетопрофен се приема с храна, нивото на абсорбция намалява като провокира закъснение на пика на плазмената концентрация (С</w:t>
      </w:r>
      <w:r w:rsidRPr="00EA4374">
        <w:rPr>
          <w:rFonts w:eastAsia="Times New Roman" w:cs="Arial"/>
          <w:color w:val="000000"/>
          <w:szCs w:val="20"/>
          <w:lang w:val="en-US"/>
        </w:rPr>
        <w:t>max</w:t>
      </w:r>
      <w:r w:rsidRPr="00EA4374">
        <w:rPr>
          <w:rFonts w:eastAsia="Times New Roman" w:cs="Arial"/>
          <w:color w:val="000000"/>
          <w:szCs w:val="20"/>
          <w:lang w:eastAsia="bg-BG"/>
        </w:rPr>
        <w:t>). Въпреки това общата бионаличност остава непроменена.</w:t>
      </w:r>
    </w:p>
    <w:p w14:paraId="197F439D" w14:textId="77777777" w:rsidR="00EA4374" w:rsidRPr="00EA4374" w:rsidRDefault="00EA4374" w:rsidP="00EA4374">
      <w:pPr>
        <w:spacing w:line="240" w:lineRule="auto"/>
        <w:rPr>
          <w:rFonts w:eastAsia="Times New Roman" w:cs="Arial"/>
          <w:color w:val="000000"/>
          <w:szCs w:val="20"/>
          <w:u w:val="single"/>
          <w:lang w:eastAsia="bg-BG"/>
        </w:rPr>
      </w:pPr>
    </w:p>
    <w:p w14:paraId="49F26C69" w14:textId="69B32AD6"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u w:val="single"/>
          <w:lang w:eastAsia="bg-BG"/>
        </w:rPr>
        <w:t>Разпределение:</w:t>
      </w:r>
    </w:p>
    <w:p w14:paraId="7435E05E"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Кетопрофен се свързва до 99% с плазмените протеини.</w:t>
      </w:r>
    </w:p>
    <w:p w14:paraId="51ED6963"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Кетопрофен преминава в синовиалната течност и там се открива в по-високи нива от плазмените на 4-тия час след орален прием. Той преминава плацентарната и хемато-енцефалната бариера. Обемът на разпределение е около 71.</w:t>
      </w:r>
    </w:p>
    <w:p w14:paraId="1BF0E2E5"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Времето на полуживот е приблизително 2 часа.</w:t>
      </w:r>
    </w:p>
    <w:p w14:paraId="2E56CED4" w14:textId="77777777" w:rsidR="00EA4374" w:rsidRPr="00EA4374" w:rsidRDefault="00EA4374" w:rsidP="00EA4374">
      <w:pPr>
        <w:spacing w:line="240" w:lineRule="auto"/>
        <w:rPr>
          <w:rFonts w:eastAsia="Times New Roman" w:cs="Arial"/>
          <w:color w:val="000000"/>
          <w:szCs w:val="20"/>
          <w:u w:val="single"/>
          <w:lang w:eastAsia="bg-BG"/>
        </w:rPr>
      </w:pPr>
    </w:p>
    <w:p w14:paraId="033D1C33" w14:textId="08B8A321"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u w:val="single"/>
          <w:lang w:eastAsia="bg-BG"/>
        </w:rPr>
        <w:t>Биотрансформапия:</w:t>
      </w:r>
    </w:p>
    <w:p w14:paraId="5A6F7C0F"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Биотрансформацията на кетопрофен се извършва по два начина: единият в незначителна степен (хидроксилиране), другият значително доминиращ (конюгация с глюкуронова киселина).</w:t>
      </w:r>
    </w:p>
    <w:p w14:paraId="01F739C0"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По-малко от 1% от приложената доза кетопрофен се намира в непроменена форма в урината, докато свързаната с глюкуронова киселина представлява около 65 -85% .</w:t>
      </w:r>
    </w:p>
    <w:p w14:paraId="4F5EF3B7" w14:textId="77777777" w:rsidR="00EA4374" w:rsidRPr="00EA4374" w:rsidRDefault="00EA4374" w:rsidP="00EA4374">
      <w:pPr>
        <w:spacing w:line="240" w:lineRule="auto"/>
        <w:rPr>
          <w:rFonts w:eastAsia="Times New Roman" w:cs="Arial"/>
          <w:color w:val="000000"/>
          <w:szCs w:val="20"/>
          <w:u w:val="single"/>
          <w:lang w:eastAsia="bg-BG"/>
        </w:rPr>
      </w:pPr>
    </w:p>
    <w:p w14:paraId="046F2D41" w14:textId="425198C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u w:val="single"/>
          <w:lang w:eastAsia="bg-BG"/>
        </w:rPr>
        <w:t>Елиминиране:</w:t>
      </w:r>
    </w:p>
    <w:p w14:paraId="3827DA6D"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Отделянето, изключително чрез урината е бързо, защото 50% от приложената доза се елиминира по време на първите 6 часа след приема, независимо от начина на приложение. Формата с постепенно освобождаване не променя процеса на бъбречното елиминиране на кетопрофен.</w:t>
      </w:r>
    </w:p>
    <w:p w14:paraId="6BF360D3"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5 дни след оралното приложение, 75 до 90% от дозата се елиминират чрез бъбреците и 1 до 8% чрез изпражненията.</w:t>
      </w:r>
    </w:p>
    <w:p w14:paraId="42853935" w14:textId="77777777" w:rsidR="00EA4374" w:rsidRPr="00EA4374" w:rsidRDefault="00EA4374" w:rsidP="00EA4374">
      <w:pPr>
        <w:spacing w:line="240" w:lineRule="auto"/>
        <w:rPr>
          <w:rFonts w:eastAsia="Times New Roman" w:cs="Arial"/>
          <w:color w:val="000000"/>
          <w:szCs w:val="20"/>
          <w:u w:val="single"/>
          <w:lang w:eastAsia="bg-BG"/>
        </w:rPr>
      </w:pPr>
    </w:p>
    <w:p w14:paraId="72D67C61" w14:textId="53496A70"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u w:val="single"/>
          <w:lang w:eastAsia="bg-BG"/>
        </w:rPr>
        <w:t>Хора в старческа възраст:</w:t>
      </w:r>
    </w:p>
    <w:p w14:paraId="296E8DA6"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 xml:space="preserve">при хора в старческа възраст, абсорбцията на кетопрофен не е променена, но за сметка на това времето на полуживот е удължено </w:t>
      </w:r>
      <w:r w:rsidRPr="00EA4374">
        <w:rPr>
          <w:rFonts w:eastAsia="Times New Roman" w:cs="Arial"/>
          <w:color w:val="000000"/>
          <w:szCs w:val="20"/>
          <w:lang w:val="ru-RU"/>
        </w:rPr>
        <w:t>(3</w:t>
      </w:r>
      <w:r w:rsidRPr="00EA4374">
        <w:rPr>
          <w:rFonts w:eastAsia="Times New Roman" w:cs="Arial"/>
          <w:color w:val="000000"/>
          <w:szCs w:val="20"/>
          <w:lang w:val="en-US"/>
        </w:rPr>
        <w:t>h</w:t>
      </w:r>
      <w:r w:rsidRPr="00EA4374">
        <w:rPr>
          <w:rFonts w:eastAsia="Times New Roman" w:cs="Arial"/>
          <w:color w:val="000000"/>
          <w:szCs w:val="20"/>
          <w:lang w:val="ru-RU"/>
        </w:rPr>
        <w:t>).</w:t>
      </w:r>
    </w:p>
    <w:p w14:paraId="23F90FB2" w14:textId="77777777" w:rsidR="00EA4374" w:rsidRPr="00EA4374" w:rsidRDefault="00EA4374" w:rsidP="00EA4374">
      <w:pPr>
        <w:spacing w:line="240" w:lineRule="auto"/>
        <w:rPr>
          <w:rFonts w:eastAsia="Times New Roman" w:cs="Arial"/>
          <w:color w:val="000000"/>
          <w:szCs w:val="20"/>
          <w:u w:val="single"/>
          <w:lang w:eastAsia="bg-BG"/>
        </w:rPr>
      </w:pPr>
    </w:p>
    <w:p w14:paraId="113CEF40" w14:textId="0BF07D06"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u w:val="single"/>
          <w:lang w:eastAsia="bg-BG"/>
        </w:rPr>
        <w:t>Хора с бъбречна недостатъчност:</w:t>
      </w:r>
    </w:p>
    <w:p w14:paraId="597CF28D" w14:textId="77777777" w:rsidR="00EA4374" w:rsidRPr="00EA4374" w:rsidRDefault="00EA4374" w:rsidP="00EA4374">
      <w:pPr>
        <w:spacing w:line="240" w:lineRule="auto"/>
        <w:rPr>
          <w:rFonts w:eastAsia="Times New Roman" w:cs="Arial"/>
          <w:sz w:val="28"/>
          <w:szCs w:val="24"/>
        </w:rPr>
      </w:pPr>
      <w:r w:rsidRPr="00EA4374">
        <w:rPr>
          <w:rFonts w:eastAsia="Times New Roman" w:cs="Arial"/>
          <w:color w:val="000000"/>
          <w:szCs w:val="20"/>
          <w:lang w:eastAsia="bg-BG"/>
        </w:rPr>
        <w:t>при тези пациенти, тоталния клирънс се удължава пропорционално на степента на бъбречна недостатъчност.</w:t>
      </w:r>
    </w:p>
    <w:p w14:paraId="537B4AB7" w14:textId="77777777" w:rsidR="00EA4374" w:rsidRPr="00EA4374" w:rsidRDefault="00EA4374" w:rsidP="00EA4374"/>
    <w:p w14:paraId="028E658A" w14:textId="0CFD8EA8" w:rsidR="00395555" w:rsidRDefault="002C50EE" w:rsidP="008A6AF2">
      <w:pPr>
        <w:pStyle w:val="Heading2"/>
      </w:pPr>
      <w:r>
        <w:t>5.3. Предклинични данни за безопасност</w:t>
      </w:r>
    </w:p>
    <w:p w14:paraId="765675FB" w14:textId="6DF90BCD" w:rsidR="00EA4374" w:rsidRDefault="00EA4374" w:rsidP="00EA4374"/>
    <w:p w14:paraId="0646ADCA" w14:textId="4049DD30" w:rsidR="00EA4374" w:rsidRPr="00EA4374" w:rsidRDefault="00EA4374" w:rsidP="00EA4374">
      <w:r>
        <w:t>Няма данни</w:t>
      </w:r>
    </w:p>
    <w:p w14:paraId="6A7820AB" w14:textId="6CB74B48" w:rsidR="008A6AF2" w:rsidRDefault="002C50EE" w:rsidP="00395555">
      <w:pPr>
        <w:pStyle w:val="Heading1"/>
      </w:pPr>
      <w:r>
        <w:lastRenderedPageBreak/>
        <w:t>7. ПРИТЕЖАТЕЛ НА РАЗРЕШЕНИЕТО ЗА УПОТРЕБА</w:t>
      </w:r>
    </w:p>
    <w:p w14:paraId="4ED008FC" w14:textId="1DF580E5" w:rsidR="00EA4374" w:rsidRDefault="00EA4374" w:rsidP="00EA4374"/>
    <w:p w14:paraId="277A8895" w14:textId="77777777" w:rsidR="00EA4374" w:rsidRPr="00EA4374" w:rsidRDefault="00EA4374" w:rsidP="00EA4374">
      <w:pPr>
        <w:rPr>
          <w:sz w:val="24"/>
          <w:szCs w:val="24"/>
        </w:rPr>
      </w:pPr>
      <w:r w:rsidRPr="00EA4374">
        <w:rPr>
          <w:lang w:eastAsia="bg-BG"/>
        </w:rPr>
        <w:t>САНОФИ БЪЛГАРИЯ ЕООД</w:t>
      </w:r>
    </w:p>
    <w:p w14:paraId="22D67933" w14:textId="77777777" w:rsidR="00EA4374" w:rsidRPr="00EA4374" w:rsidRDefault="00EA4374" w:rsidP="00EA4374">
      <w:pPr>
        <w:rPr>
          <w:sz w:val="24"/>
          <w:szCs w:val="24"/>
        </w:rPr>
      </w:pPr>
      <w:r w:rsidRPr="00EA4374">
        <w:rPr>
          <w:lang w:eastAsia="bg-BG"/>
        </w:rPr>
        <w:t>бул. „Цариградско шосе“ 90</w:t>
      </w:r>
    </w:p>
    <w:p w14:paraId="18F44E6E" w14:textId="77777777" w:rsidR="00EA4374" w:rsidRPr="00EA4374" w:rsidRDefault="00EA4374" w:rsidP="00EA4374">
      <w:pPr>
        <w:rPr>
          <w:sz w:val="24"/>
          <w:szCs w:val="24"/>
        </w:rPr>
      </w:pPr>
      <w:r w:rsidRPr="00EA4374">
        <w:rPr>
          <w:lang w:eastAsia="bg-BG"/>
        </w:rPr>
        <w:t>гр. София 1784</w:t>
      </w:r>
    </w:p>
    <w:p w14:paraId="6E5E8065" w14:textId="6F718E93" w:rsidR="00EA4374" w:rsidRPr="00EA4374" w:rsidRDefault="00EA4374" w:rsidP="00EA4374">
      <w:r w:rsidRPr="00EA4374">
        <w:rPr>
          <w:lang w:eastAsia="bg-BG"/>
        </w:rPr>
        <w:t>България</w:t>
      </w:r>
    </w:p>
    <w:p w14:paraId="04840D59" w14:textId="72779B94" w:rsidR="002C50EE" w:rsidRDefault="002C50EE" w:rsidP="00395555">
      <w:pPr>
        <w:pStyle w:val="Heading1"/>
      </w:pPr>
      <w:r>
        <w:t>8. НОМЕР НА РАЗРЕШЕНИЕТО ЗА УПОТРЕБА</w:t>
      </w:r>
    </w:p>
    <w:p w14:paraId="71987878" w14:textId="01528F9B" w:rsidR="00EA4374" w:rsidRDefault="00EA4374" w:rsidP="00EA4374"/>
    <w:p w14:paraId="575BD219" w14:textId="19102F0F" w:rsidR="00EA4374" w:rsidRPr="00EA4374" w:rsidRDefault="00EA4374" w:rsidP="00EA4374">
      <w:r>
        <w:rPr>
          <w:lang w:val="en-US"/>
        </w:rPr>
        <w:t>Per</w:t>
      </w:r>
      <w:r w:rsidRPr="00EA4374">
        <w:rPr>
          <w:lang w:val="ru-RU"/>
        </w:rPr>
        <w:t xml:space="preserve">. </w:t>
      </w:r>
      <w:r>
        <w:t>№: 9700090</w:t>
      </w:r>
    </w:p>
    <w:p w14:paraId="2CCB5832" w14:textId="1CEA1F54" w:rsidR="007C605B" w:rsidRDefault="002C50EE" w:rsidP="007C605B">
      <w:pPr>
        <w:pStyle w:val="Heading1"/>
      </w:pPr>
      <w:r>
        <w:t>9. ДАТА НА ПЪРВО РАЗРЕШАВАНЕ/ПОДНОВЯВАНЕ НА РАЗРЕШЕНИЕТО ЗА УПОТРЕБА</w:t>
      </w:r>
    </w:p>
    <w:p w14:paraId="5CC09AED" w14:textId="640465E4" w:rsidR="00EA4374" w:rsidRDefault="00EA4374" w:rsidP="00EA4374"/>
    <w:p w14:paraId="078C7506" w14:textId="77777777" w:rsidR="00EA4374" w:rsidRPr="00EA4374" w:rsidRDefault="00EA4374" w:rsidP="00EA4374">
      <w:pPr>
        <w:rPr>
          <w:sz w:val="24"/>
          <w:szCs w:val="24"/>
        </w:rPr>
      </w:pPr>
      <w:r w:rsidRPr="00EA4374">
        <w:rPr>
          <w:lang w:eastAsia="bg-BG"/>
        </w:rPr>
        <w:t>Дата на първо разрешаване: 27.03.1997г.</w:t>
      </w:r>
    </w:p>
    <w:p w14:paraId="17C5B5F8" w14:textId="32722ED0" w:rsidR="00EA4374" w:rsidRPr="00EA4374" w:rsidRDefault="00EA4374" w:rsidP="00EA4374">
      <w:r w:rsidRPr="00EA4374">
        <w:rPr>
          <w:lang w:eastAsia="bg-BG"/>
        </w:rPr>
        <w:t>Дата на последно подновяване: 10.04.2009г.</w:t>
      </w:r>
    </w:p>
    <w:p w14:paraId="0E9D0119" w14:textId="0245C6D7" w:rsidR="002C50EE" w:rsidRDefault="002C50EE" w:rsidP="002C50EE">
      <w:pPr>
        <w:pStyle w:val="Heading1"/>
      </w:pPr>
      <w:r>
        <w:t>10. ДАТА НА АКТУАЛИЗИРАНЕ НА ТЕКСТА</w:t>
      </w:r>
    </w:p>
    <w:bookmarkEnd w:id="0"/>
    <w:p w14:paraId="43FB38A2" w14:textId="2DAD0F61" w:rsidR="007C605B" w:rsidRPr="00EA4374" w:rsidRDefault="00EA4374" w:rsidP="00EA4374">
      <w:pPr>
        <w:rPr>
          <w:sz w:val="24"/>
          <w:szCs w:val="24"/>
        </w:rPr>
      </w:pPr>
      <w:r w:rsidRPr="00EA4374">
        <w:rPr>
          <w:lang w:eastAsia="bg-BG"/>
        </w:rPr>
        <w:t>23 октомври 2020</w:t>
      </w:r>
      <w:bookmarkStart w:id="2" w:name="_GoBack"/>
      <w:bookmarkEnd w:id="2"/>
    </w:p>
    <w:sectPr w:rsidR="007C605B" w:rsidRPr="00EA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F5569"/>
    <w:multiLevelType w:val="hybridMultilevel"/>
    <w:tmpl w:val="2848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E2C5E"/>
    <w:multiLevelType w:val="hybridMultilevel"/>
    <w:tmpl w:val="CE1CA058"/>
    <w:lvl w:ilvl="0" w:tplc="198425A6">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13759"/>
    <w:multiLevelType w:val="hybridMultilevel"/>
    <w:tmpl w:val="3D4283F0"/>
    <w:lvl w:ilvl="0" w:tplc="198425A6">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3"/>
  </w:num>
  <w:num w:numId="4">
    <w:abstractNumId w:val="3"/>
  </w:num>
  <w:num w:numId="5">
    <w:abstractNumId w:val="1"/>
  </w:num>
  <w:num w:numId="6">
    <w:abstractNumId w:val="18"/>
  </w:num>
  <w:num w:numId="7">
    <w:abstractNumId w:val="11"/>
  </w:num>
  <w:num w:numId="8">
    <w:abstractNumId w:val="17"/>
  </w:num>
  <w:num w:numId="9">
    <w:abstractNumId w:val="2"/>
  </w:num>
  <w:num w:numId="10">
    <w:abstractNumId w:val="4"/>
  </w:num>
  <w:num w:numId="11">
    <w:abstractNumId w:val="32"/>
  </w:num>
  <w:num w:numId="12">
    <w:abstractNumId w:val="15"/>
  </w:num>
  <w:num w:numId="13">
    <w:abstractNumId w:val="21"/>
  </w:num>
  <w:num w:numId="14">
    <w:abstractNumId w:val="12"/>
  </w:num>
  <w:num w:numId="15">
    <w:abstractNumId w:val="31"/>
  </w:num>
  <w:num w:numId="16">
    <w:abstractNumId w:val="10"/>
  </w:num>
  <w:num w:numId="17">
    <w:abstractNumId w:val="26"/>
  </w:num>
  <w:num w:numId="18">
    <w:abstractNumId w:val="7"/>
  </w:num>
  <w:num w:numId="19">
    <w:abstractNumId w:val="28"/>
  </w:num>
  <w:num w:numId="20">
    <w:abstractNumId w:val="25"/>
  </w:num>
  <w:num w:numId="21">
    <w:abstractNumId w:val="19"/>
  </w:num>
  <w:num w:numId="22">
    <w:abstractNumId w:val="27"/>
  </w:num>
  <w:num w:numId="23">
    <w:abstractNumId w:val="20"/>
  </w:num>
  <w:num w:numId="24">
    <w:abstractNumId w:val="8"/>
  </w:num>
  <w:num w:numId="25">
    <w:abstractNumId w:val="24"/>
  </w:num>
  <w:num w:numId="26">
    <w:abstractNumId w:val="23"/>
  </w:num>
  <w:num w:numId="27">
    <w:abstractNumId w:val="34"/>
  </w:num>
  <w:num w:numId="28">
    <w:abstractNumId w:val="6"/>
  </w:num>
  <w:num w:numId="29">
    <w:abstractNumId w:val="22"/>
  </w:num>
  <w:num w:numId="30">
    <w:abstractNumId w:val="35"/>
  </w:num>
  <w:num w:numId="31">
    <w:abstractNumId w:val="5"/>
  </w:num>
  <w:num w:numId="32">
    <w:abstractNumId w:val="16"/>
  </w:num>
  <w:num w:numId="33">
    <w:abstractNumId w:val="33"/>
  </w:num>
  <w:num w:numId="34">
    <w:abstractNumId w:val="14"/>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01663"/>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45199"/>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6547D"/>
    <w:rsid w:val="00EA4374"/>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3673</Words>
  <Characters>20939</Characters>
  <Application>Microsoft Office Word</Application>
  <DocSecurity>0</DocSecurity>
  <Lines>174</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2023-03-08T13:28:00Z</dcterms:created>
  <dcterms:modified xsi:type="dcterms:W3CDTF">2023-03-08T13:28:00Z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