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60CDA9CB" w14:textId="77777777" w:rsidR="004C62AE" w:rsidRDefault="004C62AE" w:rsidP="004C62AE"/>
    <w:p w14:paraId="76B72864" w14:textId="77777777" w:rsidR="002C4021" w:rsidRPr="002C4021" w:rsidRDefault="002C4021" w:rsidP="002C4021">
      <w:pPr>
        <w:rPr>
          <w:sz w:val="24"/>
          <w:szCs w:val="24"/>
          <w:lang w:eastAsia="bg-BG"/>
        </w:rPr>
      </w:pPr>
      <w:r w:rsidRPr="002C4021">
        <w:rPr>
          <w:lang w:eastAsia="bg-BG"/>
        </w:rPr>
        <w:t xml:space="preserve">Профикс 500 </w:t>
      </w:r>
      <w:r w:rsidRPr="002C4021">
        <w:rPr>
          <w:lang w:val="en-US"/>
        </w:rPr>
        <w:t xml:space="preserve">mg </w:t>
      </w:r>
      <w:r w:rsidRPr="002C4021">
        <w:rPr>
          <w:lang w:eastAsia="bg-BG"/>
        </w:rPr>
        <w:t>филмирани таблетки</w:t>
      </w:r>
    </w:p>
    <w:p w14:paraId="58C77B14" w14:textId="6B957D09" w:rsidR="004C62AE" w:rsidRPr="004C62AE" w:rsidRDefault="002C4021" w:rsidP="002C4021">
      <w:proofErr w:type="spellStart"/>
      <w:r w:rsidRPr="002C4021">
        <w:rPr>
          <w:lang w:val="en-US"/>
        </w:rPr>
        <w:t>Profix</w:t>
      </w:r>
      <w:proofErr w:type="spellEnd"/>
      <w:r w:rsidRPr="002C4021">
        <w:rPr>
          <w:lang w:val="en-US"/>
        </w:rPr>
        <w:t xml:space="preserve"> </w:t>
      </w:r>
      <w:r w:rsidRPr="002C4021">
        <w:rPr>
          <w:lang w:eastAsia="bg-BG"/>
        </w:rPr>
        <w:t xml:space="preserve">500 </w:t>
      </w:r>
      <w:r w:rsidRPr="002C4021">
        <w:rPr>
          <w:lang w:val="en-US"/>
        </w:rPr>
        <w:t>mg film-coated tablets</w:t>
      </w:r>
    </w:p>
    <w:p w14:paraId="0DF202EC" w14:textId="10882A08" w:rsidR="00F53FB7" w:rsidRDefault="00DD466D" w:rsidP="00A93499">
      <w:pPr>
        <w:pStyle w:val="Heading1"/>
      </w:pPr>
      <w:r>
        <w:t>2. КАЧЕСТВЕН И КОЛИЧЕСТВЕН СЪСТАВ</w:t>
      </w:r>
    </w:p>
    <w:p w14:paraId="5B176F5D" w14:textId="77777777" w:rsidR="002C4021" w:rsidRDefault="002C4021" w:rsidP="002C4021"/>
    <w:p w14:paraId="06ABA7C2" w14:textId="77777777" w:rsidR="002C4021" w:rsidRPr="002C4021" w:rsidRDefault="002C4021" w:rsidP="002C4021">
      <w:pPr>
        <w:rPr>
          <w:sz w:val="24"/>
          <w:szCs w:val="24"/>
          <w:lang w:eastAsia="bg-BG"/>
        </w:rPr>
      </w:pPr>
      <w:r w:rsidRPr="002C4021">
        <w:rPr>
          <w:lang w:eastAsia="bg-BG"/>
        </w:rPr>
        <w:t xml:space="preserve">Всяка филмирана таблетка съдържа </w:t>
      </w:r>
      <w:r w:rsidRPr="002C4021">
        <w:rPr>
          <w:i/>
          <w:iCs/>
          <w:lang w:eastAsia="bg-BG"/>
        </w:rPr>
        <w:t>523</w:t>
      </w:r>
      <w:r w:rsidRPr="002C4021">
        <w:rPr>
          <w:lang w:eastAsia="bg-BG"/>
        </w:rPr>
        <w:t xml:space="preserve">,13 </w:t>
      </w:r>
      <w:r w:rsidRPr="002C4021">
        <w:rPr>
          <w:lang w:val="en-US"/>
        </w:rPr>
        <w:t xml:space="preserve">mg </w:t>
      </w:r>
      <w:r w:rsidRPr="002C4021">
        <w:rPr>
          <w:lang w:eastAsia="bg-BG"/>
        </w:rPr>
        <w:t xml:space="preserve">цефпрозил монохидрат </w:t>
      </w:r>
      <w:r w:rsidRPr="002C4021">
        <w:rPr>
          <w:i/>
          <w:iCs/>
          <w:lang w:val="en-US"/>
        </w:rPr>
        <w:t>(</w:t>
      </w:r>
      <w:proofErr w:type="spellStart"/>
      <w:r w:rsidRPr="002C4021">
        <w:rPr>
          <w:i/>
          <w:iCs/>
          <w:lang w:val="en-US"/>
        </w:rPr>
        <w:t>cejprozil</w:t>
      </w:r>
      <w:proofErr w:type="spellEnd"/>
      <w:r w:rsidRPr="002C4021">
        <w:rPr>
          <w:i/>
          <w:iCs/>
          <w:lang w:val="en-US"/>
        </w:rPr>
        <w:t xml:space="preserve"> monohydrate), </w:t>
      </w:r>
      <w:r w:rsidRPr="002C4021">
        <w:rPr>
          <w:lang w:eastAsia="bg-BG"/>
        </w:rPr>
        <w:t xml:space="preserve">еквивалентен на 500 </w:t>
      </w:r>
      <w:r w:rsidRPr="002C4021">
        <w:rPr>
          <w:lang w:val="en-US"/>
        </w:rPr>
        <w:t xml:space="preserve">mg </w:t>
      </w:r>
      <w:r w:rsidRPr="002C4021">
        <w:rPr>
          <w:lang w:eastAsia="bg-BG"/>
        </w:rPr>
        <w:t xml:space="preserve">цефпрозил </w:t>
      </w:r>
      <w:r w:rsidRPr="002C4021">
        <w:rPr>
          <w:i/>
          <w:iCs/>
          <w:lang w:val="en-US"/>
        </w:rPr>
        <w:t>(</w:t>
      </w:r>
      <w:proofErr w:type="spellStart"/>
      <w:r w:rsidRPr="002C4021">
        <w:rPr>
          <w:i/>
          <w:iCs/>
          <w:lang w:val="en-US"/>
        </w:rPr>
        <w:t>cejprozil</w:t>
      </w:r>
      <w:proofErr w:type="spellEnd"/>
      <w:r w:rsidRPr="002C4021">
        <w:rPr>
          <w:i/>
          <w:iCs/>
          <w:lang w:val="en-US"/>
        </w:rPr>
        <w:t>)</w:t>
      </w:r>
    </w:p>
    <w:p w14:paraId="15DA6094" w14:textId="77777777" w:rsidR="002C4021" w:rsidRPr="002C4021" w:rsidRDefault="002C4021" w:rsidP="002C4021"/>
    <w:p w14:paraId="4CABB9ED" w14:textId="2740FB4D" w:rsidR="00F53FB7" w:rsidRDefault="00DD466D" w:rsidP="00A93499">
      <w:pPr>
        <w:pStyle w:val="Heading1"/>
      </w:pPr>
      <w:r>
        <w:t>3. ЛЕКАРСТВЕНА ФОРМА</w:t>
      </w:r>
    </w:p>
    <w:p w14:paraId="5B4D285E" w14:textId="77777777" w:rsidR="002C4021" w:rsidRDefault="002C4021" w:rsidP="002C4021"/>
    <w:p w14:paraId="5BDABCC9" w14:textId="77777777" w:rsidR="002C4021" w:rsidRPr="002C4021" w:rsidRDefault="002C4021" w:rsidP="002C4021">
      <w:pPr>
        <w:rPr>
          <w:sz w:val="24"/>
          <w:szCs w:val="24"/>
          <w:lang w:eastAsia="bg-BG"/>
        </w:rPr>
      </w:pPr>
      <w:r w:rsidRPr="002C4021">
        <w:rPr>
          <w:lang w:eastAsia="bg-BG"/>
        </w:rPr>
        <w:t>Филмирана таблетка.</w:t>
      </w:r>
    </w:p>
    <w:p w14:paraId="71895245" w14:textId="77777777" w:rsidR="002C4021" w:rsidRPr="002C4021" w:rsidRDefault="002C4021" w:rsidP="002C4021">
      <w:pPr>
        <w:rPr>
          <w:sz w:val="24"/>
          <w:szCs w:val="24"/>
          <w:lang w:eastAsia="bg-BG"/>
        </w:rPr>
      </w:pPr>
      <w:r w:rsidRPr="002C4021">
        <w:rPr>
          <w:lang w:eastAsia="bg-BG"/>
        </w:rPr>
        <w:t>Бели овални филмирани таблетки с делителна черта от едната страна.</w:t>
      </w:r>
    </w:p>
    <w:p w14:paraId="7388FFF2" w14:textId="3261FF9A" w:rsidR="002C4021" w:rsidRPr="002C4021" w:rsidRDefault="002C4021" w:rsidP="002C4021">
      <w:pPr>
        <w:rPr>
          <w:sz w:val="24"/>
          <w:szCs w:val="24"/>
          <w:lang w:eastAsia="bg-BG"/>
        </w:rPr>
      </w:pPr>
      <w:r w:rsidRPr="002C4021">
        <w:rPr>
          <w:lang w:eastAsia="bg-BG"/>
        </w:rPr>
        <w:t>Таблетката може да бъде разделена на две равни дози.</w:t>
      </w:r>
    </w:p>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1CD7F067" w14:textId="77777777" w:rsidR="002C4021" w:rsidRDefault="002C4021" w:rsidP="002C4021"/>
    <w:p w14:paraId="726F8A0A" w14:textId="77777777" w:rsidR="002C4021" w:rsidRPr="002C4021" w:rsidRDefault="002C4021" w:rsidP="002C4021">
      <w:pPr>
        <w:spacing w:line="240" w:lineRule="auto"/>
        <w:rPr>
          <w:rFonts w:eastAsia="Times New Roman" w:cs="Arial"/>
          <w:sz w:val="28"/>
          <w:szCs w:val="28"/>
          <w:lang w:eastAsia="bg-BG"/>
        </w:rPr>
      </w:pPr>
      <w:r w:rsidRPr="002C4021">
        <w:rPr>
          <w:rFonts w:eastAsia="Times New Roman" w:cs="Arial"/>
          <w:color w:val="000000"/>
          <w:lang w:eastAsia="bg-BG"/>
        </w:rPr>
        <w:t>Профикс е показан за лечение на леки до умерени инфекции, причинени от чувствителни към цефпрозил щамове на микроорганизми:</w:t>
      </w:r>
    </w:p>
    <w:p w14:paraId="0A39CBD5" w14:textId="77777777" w:rsidR="002C4021" w:rsidRP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 xml:space="preserve">Инфекции на горните дихателни пътища - фарингит, тонзилит причинени от </w:t>
      </w:r>
      <w:r w:rsidRPr="002C4021">
        <w:rPr>
          <w:rFonts w:eastAsia="Times New Roman" w:cs="Arial"/>
          <w:i/>
          <w:iCs/>
          <w:color w:val="000000"/>
          <w:lang w:val="en-US"/>
        </w:rPr>
        <w:t>Streptococcus pyogenes;</w:t>
      </w:r>
    </w:p>
    <w:p w14:paraId="29B0469C" w14:textId="77777777" w:rsidR="002C4021" w:rsidRP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 xml:space="preserve">Среден отит причинен от </w:t>
      </w:r>
      <w:r w:rsidRPr="002C4021">
        <w:rPr>
          <w:rFonts w:eastAsia="Times New Roman" w:cs="Arial"/>
          <w:i/>
          <w:iCs/>
          <w:color w:val="000000"/>
          <w:lang w:val="en-US"/>
        </w:rPr>
        <w:t xml:space="preserve">Streptococcus pneumoniae, </w:t>
      </w:r>
      <w:proofErr w:type="spellStart"/>
      <w:r w:rsidRPr="002C4021">
        <w:rPr>
          <w:rFonts w:eastAsia="Times New Roman" w:cs="Arial"/>
          <w:i/>
          <w:iCs/>
          <w:color w:val="000000"/>
          <w:lang w:val="en-US"/>
        </w:rPr>
        <w:t>Haemophilus</w:t>
      </w:r>
      <w:proofErr w:type="spellEnd"/>
      <w:r w:rsidRPr="002C4021">
        <w:rPr>
          <w:rFonts w:eastAsia="Times New Roman" w:cs="Arial"/>
          <w:i/>
          <w:iCs/>
          <w:color w:val="000000"/>
          <w:lang w:val="en-US"/>
        </w:rPr>
        <w:t xml:space="preserve"> influenzae</w:t>
      </w:r>
      <w:r w:rsidRPr="002C4021">
        <w:rPr>
          <w:rFonts w:eastAsia="Times New Roman" w:cs="Arial"/>
          <w:color w:val="000000"/>
          <w:lang w:val="en-US"/>
        </w:rPr>
        <w:t xml:space="preserve"> </w:t>
      </w:r>
      <w:r w:rsidRPr="002C4021">
        <w:rPr>
          <w:rFonts w:eastAsia="Times New Roman" w:cs="Arial"/>
          <w:color w:val="000000"/>
          <w:lang w:eastAsia="bg-BG"/>
        </w:rPr>
        <w:t>(включително β</w:t>
      </w:r>
      <w:r w:rsidRPr="002C4021">
        <w:rPr>
          <w:rFonts w:eastAsia="Times New Roman" w:cs="Arial"/>
          <w:color w:val="000000"/>
          <w:lang w:val="en-US"/>
        </w:rPr>
        <w:t xml:space="preserve">- </w:t>
      </w:r>
      <w:r w:rsidRPr="002C4021">
        <w:rPr>
          <w:rFonts w:eastAsia="Times New Roman" w:cs="Arial"/>
          <w:color w:val="000000"/>
          <w:lang w:eastAsia="bg-BG"/>
        </w:rPr>
        <w:t xml:space="preserve">лактамаза продуциращи щамове) и </w:t>
      </w:r>
      <w:r w:rsidRPr="002C4021">
        <w:rPr>
          <w:rFonts w:eastAsia="Times New Roman" w:cs="Arial"/>
          <w:i/>
          <w:iCs/>
          <w:color w:val="000000"/>
          <w:lang w:val="en-US"/>
        </w:rPr>
        <w:t>Moraxella (</w:t>
      </w:r>
      <w:proofErr w:type="spellStart"/>
      <w:r w:rsidRPr="002C4021">
        <w:rPr>
          <w:rFonts w:eastAsia="Times New Roman" w:cs="Arial"/>
          <w:i/>
          <w:iCs/>
          <w:color w:val="000000"/>
          <w:lang w:val="en-US"/>
        </w:rPr>
        <w:t>Branhamella</w:t>
      </w:r>
      <w:proofErr w:type="spellEnd"/>
      <w:r w:rsidRPr="002C4021">
        <w:rPr>
          <w:rFonts w:eastAsia="Times New Roman" w:cs="Arial"/>
          <w:i/>
          <w:iCs/>
          <w:color w:val="000000"/>
          <w:lang w:val="en-US"/>
        </w:rPr>
        <w:t>) catarrhalis</w:t>
      </w:r>
      <w:r w:rsidRPr="002C4021">
        <w:rPr>
          <w:rFonts w:eastAsia="Times New Roman" w:cs="Arial"/>
          <w:color w:val="000000"/>
          <w:lang w:val="en-US"/>
        </w:rPr>
        <w:t xml:space="preserve"> </w:t>
      </w:r>
      <w:r w:rsidRPr="002C4021">
        <w:rPr>
          <w:rFonts w:eastAsia="Times New Roman" w:cs="Arial"/>
          <w:color w:val="000000"/>
          <w:lang w:eastAsia="bg-BG"/>
        </w:rPr>
        <w:t>(включително β</w:t>
      </w:r>
      <w:r w:rsidRPr="002C4021">
        <w:rPr>
          <w:rFonts w:eastAsia="Times New Roman" w:cs="Arial"/>
          <w:color w:val="000000"/>
          <w:lang w:val="en-US"/>
        </w:rPr>
        <w:t xml:space="preserve">- </w:t>
      </w:r>
      <w:r w:rsidRPr="002C4021">
        <w:rPr>
          <w:rFonts w:eastAsia="Times New Roman" w:cs="Arial"/>
          <w:color w:val="000000"/>
          <w:lang w:eastAsia="bg-BG"/>
        </w:rPr>
        <w:t>лактамаза продуциращи щамове);</w:t>
      </w:r>
    </w:p>
    <w:p w14:paraId="5603DF97" w14:textId="77777777" w:rsidR="002C4021" w:rsidRP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 xml:space="preserve">Синузити причинени от </w:t>
      </w:r>
      <w:r w:rsidRPr="002C4021">
        <w:rPr>
          <w:rFonts w:eastAsia="Times New Roman" w:cs="Arial"/>
          <w:i/>
          <w:iCs/>
          <w:color w:val="000000"/>
          <w:lang w:val="en-US"/>
        </w:rPr>
        <w:t xml:space="preserve">Streptococcus pneumoniae, </w:t>
      </w:r>
      <w:proofErr w:type="spellStart"/>
      <w:r w:rsidRPr="002C4021">
        <w:rPr>
          <w:rFonts w:eastAsia="Times New Roman" w:cs="Arial"/>
          <w:i/>
          <w:iCs/>
          <w:color w:val="000000"/>
          <w:lang w:val="en-US"/>
        </w:rPr>
        <w:t>Haemophilus</w:t>
      </w:r>
      <w:proofErr w:type="spellEnd"/>
      <w:r w:rsidRPr="002C4021">
        <w:rPr>
          <w:rFonts w:eastAsia="Times New Roman" w:cs="Arial"/>
          <w:i/>
          <w:iCs/>
          <w:color w:val="000000"/>
          <w:lang w:val="en-US"/>
        </w:rPr>
        <w:t xml:space="preserve"> influenzae</w:t>
      </w:r>
      <w:r w:rsidRPr="002C4021">
        <w:rPr>
          <w:rFonts w:eastAsia="Times New Roman" w:cs="Arial"/>
          <w:color w:val="000000"/>
          <w:lang w:val="en-US"/>
        </w:rPr>
        <w:t xml:space="preserve"> </w:t>
      </w:r>
      <w:r w:rsidRPr="002C4021">
        <w:rPr>
          <w:rFonts w:eastAsia="Times New Roman" w:cs="Arial"/>
          <w:color w:val="000000"/>
          <w:lang w:eastAsia="bg-BG"/>
        </w:rPr>
        <w:t>(включително β</w:t>
      </w:r>
      <w:r w:rsidRPr="002C4021">
        <w:rPr>
          <w:rFonts w:eastAsia="Times New Roman" w:cs="Arial"/>
          <w:color w:val="000000"/>
          <w:lang w:val="en-US"/>
        </w:rPr>
        <w:t xml:space="preserve">- </w:t>
      </w:r>
      <w:r w:rsidRPr="002C4021">
        <w:rPr>
          <w:rFonts w:eastAsia="Times New Roman" w:cs="Arial"/>
          <w:color w:val="000000"/>
          <w:lang w:eastAsia="bg-BG"/>
        </w:rPr>
        <w:t xml:space="preserve">лактамаза продуциращи щамове) и </w:t>
      </w:r>
      <w:r w:rsidRPr="002C4021">
        <w:rPr>
          <w:rFonts w:eastAsia="Times New Roman" w:cs="Arial"/>
          <w:i/>
          <w:iCs/>
          <w:color w:val="000000"/>
          <w:lang w:val="en-US"/>
        </w:rPr>
        <w:t>Moraxella (</w:t>
      </w:r>
      <w:proofErr w:type="spellStart"/>
      <w:r w:rsidRPr="002C4021">
        <w:rPr>
          <w:rFonts w:eastAsia="Times New Roman" w:cs="Arial"/>
          <w:i/>
          <w:iCs/>
          <w:color w:val="000000"/>
          <w:lang w:val="en-US"/>
        </w:rPr>
        <w:t>Branhamella</w:t>
      </w:r>
      <w:proofErr w:type="spellEnd"/>
      <w:r w:rsidRPr="002C4021">
        <w:rPr>
          <w:rFonts w:eastAsia="Times New Roman" w:cs="Arial"/>
          <w:i/>
          <w:iCs/>
          <w:color w:val="000000"/>
          <w:lang w:val="en-US"/>
        </w:rPr>
        <w:t>) catarrhalis</w:t>
      </w:r>
      <w:r w:rsidRPr="002C4021">
        <w:rPr>
          <w:rFonts w:eastAsia="Times New Roman" w:cs="Arial"/>
          <w:color w:val="000000"/>
          <w:lang w:val="en-US"/>
        </w:rPr>
        <w:t xml:space="preserve"> </w:t>
      </w:r>
      <w:r w:rsidRPr="002C4021">
        <w:rPr>
          <w:rFonts w:eastAsia="Times New Roman" w:cs="Arial"/>
          <w:color w:val="000000"/>
          <w:lang w:eastAsia="bg-BG"/>
        </w:rPr>
        <w:t>(включително β</w:t>
      </w:r>
      <w:r w:rsidRPr="002C4021">
        <w:rPr>
          <w:rFonts w:eastAsia="Times New Roman" w:cs="Arial"/>
          <w:color w:val="000000"/>
          <w:lang w:val="en-US"/>
        </w:rPr>
        <w:t xml:space="preserve">- </w:t>
      </w:r>
      <w:r w:rsidRPr="002C4021">
        <w:rPr>
          <w:rFonts w:eastAsia="Times New Roman" w:cs="Arial"/>
          <w:color w:val="000000"/>
          <w:lang w:eastAsia="bg-BG"/>
        </w:rPr>
        <w:t>лактамаза продуциращи щамове);</w:t>
      </w:r>
    </w:p>
    <w:p w14:paraId="2D95384D" w14:textId="77777777" w:rsidR="002C4021" w:rsidRP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 xml:space="preserve">Инфекции на долните дихателни пътища, включващи вторични бактериални инфекции на бронхите и хронични бронхити причинени от </w:t>
      </w:r>
      <w:r w:rsidRPr="002C4021">
        <w:rPr>
          <w:rFonts w:eastAsia="Times New Roman" w:cs="Arial"/>
          <w:i/>
          <w:iCs/>
          <w:color w:val="000000"/>
          <w:lang w:val="en-US"/>
        </w:rPr>
        <w:t xml:space="preserve">Streptococcus pneumoniae, </w:t>
      </w:r>
      <w:proofErr w:type="spellStart"/>
      <w:r w:rsidRPr="002C4021">
        <w:rPr>
          <w:rFonts w:eastAsia="Times New Roman" w:cs="Arial"/>
          <w:i/>
          <w:iCs/>
          <w:color w:val="000000"/>
          <w:lang w:val="en-US"/>
        </w:rPr>
        <w:t>Haemophilus</w:t>
      </w:r>
      <w:proofErr w:type="spellEnd"/>
      <w:r w:rsidRPr="002C4021">
        <w:rPr>
          <w:rFonts w:eastAsia="Times New Roman" w:cs="Arial"/>
          <w:i/>
          <w:iCs/>
          <w:color w:val="000000"/>
          <w:lang w:val="en-US"/>
        </w:rPr>
        <w:t xml:space="preserve"> influenzae</w:t>
      </w:r>
      <w:r w:rsidRPr="002C4021">
        <w:rPr>
          <w:rFonts w:eastAsia="Times New Roman" w:cs="Arial"/>
          <w:color w:val="000000"/>
          <w:lang w:val="en-US"/>
        </w:rPr>
        <w:t xml:space="preserve"> </w:t>
      </w:r>
      <w:r w:rsidRPr="002C4021">
        <w:rPr>
          <w:rFonts w:eastAsia="Times New Roman" w:cs="Arial"/>
          <w:color w:val="000000"/>
          <w:lang w:eastAsia="bg-BG"/>
        </w:rPr>
        <w:t>(включително</w:t>
      </w:r>
      <w:r w:rsidRPr="002C4021">
        <w:rPr>
          <w:rFonts w:eastAsia="Times New Roman" w:cs="Arial"/>
          <w:color w:val="000000"/>
          <w:lang w:val="en-US"/>
        </w:rPr>
        <w:t xml:space="preserve"> </w:t>
      </w:r>
      <w:r w:rsidRPr="002C4021">
        <w:rPr>
          <w:rFonts w:eastAsia="Times New Roman" w:cs="Arial"/>
          <w:color w:val="000000"/>
          <w:lang w:eastAsia="bg-BG"/>
        </w:rPr>
        <w:t xml:space="preserve">β- лактамаза продуциращи щамове) и </w:t>
      </w:r>
      <w:r w:rsidRPr="002C4021">
        <w:rPr>
          <w:rFonts w:eastAsia="Times New Roman" w:cs="Arial"/>
          <w:i/>
          <w:iCs/>
          <w:color w:val="000000"/>
          <w:lang w:val="en-US"/>
        </w:rPr>
        <w:t>Moraxella (</w:t>
      </w:r>
      <w:proofErr w:type="spellStart"/>
      <w:r w:rsidRPr="002C4021">
        <w:rPr>
          <w:rFonts w:eastAsia="Times New Roman" w:cs="Arial"/>
          <w:i/>
          <w:iCs/>
          <w:color w:val="000000"/>
          <w:lang w:val="en-US"/>
        </w:rPr>
        <w:t>Branhamella</w:t>
      </w:r>
      <w:proofErr w:type="spellEnd"/>
      <w:r w:rsidRPr="002C4021">
        <w:rPr>
          <w:rFonts w:eastAsia="Times New Roman" w:cs="Arial"/>
          <w:i/>
          <w:iCs/>
          <w:color w:val="000000"/>
          <w:lang w:val="en-US"/>
        </w:rPr>
        <w:t>) catarrhalis</w:t>
      </w:r>
      <w:r w:rsidRPr="002C4021">
        <w:rPr>
          <w:rFonts w:eastAsia="Times New Roman" w:cs="Arial"/>
          <w:color w:val="000000"/>
          <w:lang w:val="en-US"/>
        </w:rPr>
        <w:t xml:space="preserve"> </w:t>
      </w:r>
      <w:r w:rsidRPr="002C4021">
        <w:rPr>
          <w:rFonts w:eastAsia="Times New Roman" w:cs="Arial"/>
          <w:color w:val="000000"/>
          <w:lang w:eastAsia="bg-BG"/>
        </w:rPr>
        <w:t>(включително β</w:t>
      </w:r>
      <w:r w:rsidRPr="002C4021">
        <w:rPr>
          <w:rFonts w:eastAsia="Times New Roman" w:cs="Arial"/>
          <w:color w:val="000000"/>
          <w:lang w:val="en-US"/>
        </w:rPr>
        <w:t xml:space="preserve">- </w:t>
      </w:r>
      <w:r w:rsidRPr="002C4021">
        <w:rPr>
          <w:rFonts w:eastAsia="Times New Roman" w:cs="Arial"/>
          <w:color w:val="000000"/>
          <w:lang w:eastAsia="bg-BG"/>
        </w:rPr>
        <w:t>лактамаза продуциращи щамове);</w:t>
      </w:r>
    </w:p>
    <w:p w14:paraId="09020D0B" w14:textId="77777777" w:rsidR="002C4021" w:rsidRP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 xml:space="preserve">Неусложненн инфекции на кожата и меките тъкани - абцеси, язви, инфектирани рани, целулит, причинени от </w:t>
      </w:r>
      <w:r w:rsidRPr="002C4021">
        <w:rPr>
          <w:rFonts w:eastAsia="Times New Roman" w:cs="Arial"/>
          <w:i/>
          <w:iCs/>
          <w:color w:val="000000"/>
          <w:lang w:val="en-US"/>
        </w:rPr>
        <w:t>Staphylococcus aureus</w:t>
      </w:r>
      <w:r w:rsidRPr="002C4021">
        <w:rPr>
          <w:rFonts w:eastAsia="Times New Roman" w:cs="Arial"/>
          <w:color w:val="000000"/>
          <w:lang w:val="en-US"/>
        </w:rPr>
        <w:t xml:space="preserve"> </w:t>
      </w:r>
      <w:r w:rsidRPr="002C4021">
        <w:rPr>
          <w:rFonts w:eastAsia="Times New Roman" w:cs="Arial"/>
          <w:color w:val="000000"/>
          <w:lang w:eastAsia="bg-BG"/>
        </w:rPr>
        <w:t xml:space="preserve">(включително пеницилин продуциращи щамове), </w:t>
      </w:r>
      <w:r w:rsidRPr="002C4021">
        <w:rPr>
          <w:rFonts w:eastAsia="Times New Roman" w:cs="Arial"/>
          <w:i/>
          <w:iCs/>
          <w:color w:val="000000"/>
          <w:lang w:val="en-US"/>
        </w:rPr>
        <w:t>Streptococcus pyogenes.</w:t>
      </w:r>
      <w:r w:rsidRPr="002C4021">
        <w:rPr>
          <w:rFonts w:eastAsia="Times New Roman" w:cs="Arial"/>
          <w:color w:val="000000"/>
          <w:lang w:val="en-US"/>
        </w:rPr>
        <w:t xml:space="preserve"> </w:t>
      </w:r>
      <w:r w:rsidRPr="002C4021">
        <w:rPr>
          <w:rFonts w:eastAsia="Times New Roman" w:cs="Arial"/>
          <w:color w:val="000000"/>
          <w:lang w:eastAsia="bg-BG"/>
        </w:rPr>
        <w:t>Абцесите обикновено изискват хирургичен дренаж;</w:t>
      </w:r>
    </w:p>
    <w:p w14:paraId="450C22E6" w14:textId="45C09ADE" w:rsidR="002C4021" w:rsidRDefault="002C4021" w:rsidP="002C4021">
      <w:pPr>
        <w:pStyle w:val="ListParagraph"/>
        <w:numPr>
          <w:ilvl w:val="0"/>
          <w:numId w:val="40"/>
        </w:numPr>
        <w:spacing w:line="240" w:lineRule="auto"/>
        <w:rPr>
          <w:rFonts w:eastAsia="Times New Roman" w:cs="Arial"/>
          <w:color w:val="000000"/>
          <w:lang w:eastAsia="bg-BG"/>
        </w:rPr>
      </w:pPr>
      <w:r w:rsidRPr="002C4021">
        <w:rPr>
          <w:rFonts w:eastAsia="Times New Roman" w:cs="Arial"/>
          <w:color w:val="000000"/>
          <w:lang w:eastAsia="bg-BG"/>
        </w:rPr>
        <w:t>Неусложнени инфекции на пикочните пътища, включващи остър цистит.</w:t>
      </w:r>
    </w:p>
    <w:p w14:paraId="1EFDEDE2" w14:textId="77777777" w:rsidR="00B220B6" w:rsidRPr="00B220B6" w:rsidRDefault="00B220B6" w:rsidP="00B220B6">
      <w:pPr>
        <w:spacing w:line="240" w:lineRule="auto"/>
        <w:rPr>
          <w:rFonts w:eastAsia="Times New Roman" w:cs="Arial"/>
          <w:color w:val="000000"/>
          <w:lang w:eastAsia="bg-BG"/>
        </w:rPr>
      </w:pPr>
    </w:p>
    <w:p w14:paraId="31744E5A" w14:textId="29FBB145" w:rsidR="009F77A4" w:rsidRDefault="002C50EE" w:rsidP="00387A66">
      <w:pPr>
        <w:pStyle w:val="Heading2"/>
      </w:pPr>
      <w:r>
        <w:t>4.2. Дозировка и начин на приложение</w:t>
      </w:r>
    </w:p>
    <w:p w14:paraId="6C5FA030" w14:textId="77777777" w:rsidR="00B220B6" w:rsidRDefault="00B220B6" w:rsidP="00B220B6"/>
    <w:p w14:paraId="1413BD36" w14:textId="27ED4C02" w:rsidR="00B220B6" w:rsidRPr="00B220B6" w:rsidRDefault="00B220B6" w:rsidP="00B220B6">
      <w:pPr>
        <w:pStyle w:val="Heading3"/>
        <w:rPr>
          <w:u w:val="single"/>
        </w:rPr>
      </w:pPr>
      <w:r w:rsidRPr="00B220B6">
        <w:rPr>
          <w:u w:val="single"/>
        </w:rPr>
        <w:lastRenderedPageBreak/>
        <w:t>Дозировка</w:t>
      </w:r>
    </w:p>
    <w:tbl>
      <w:tblPr>
        <w:tblStyle w:val="TableGrid"/>
        <w:tblW w:w="0" w:type="auto"/>
        <w:tblLook w:val="04A0" w:firstRow="1" w:lastRow="0" w:firstColumn="1" w:lastColumn="0" w:noHBand="0" w:noVBand="1"/>
      </w:tblPr>
      <w:tblGrid>
        <w:gridCol w:w="4375"/>
        <w:gridCol w:w="2076"/>
        <w:gridCol w:w="2899"/>
      </w:tblGrid>
      <w:tr w:rsidR="00B220B6" w14:paraId="55A835F3" w14:textId="77777777" w:rsidTr="00B220B6">
        <w:tc>
          <w:tcPr>
            <w:tcW w:w="4503" w:type="dxa"/>
            <w:vAlign w:val="center"/>
          </w:tcPr>
          <w:p w14:paraId="59AADCEC" w14:textId="6B4108B3" w:rsidR="00B220B6" w:rsidRPr="00B220B6" w:rsidRDefault="00B220B6" w:rsidP="00B220B6">
            <w:r w:rsidRPr="00B220B6">
              <w:rPr>
                <w:b/>
                <w:bCs/>
              </w:rPr>
              <w:t>Популация/Инфекция</w:t>
            </w:r>
          </w:p>
        </w:tc>
        <w:tc>
          <w:tcPr>
            <w:tcW w:w="2126" w:type="dxa"/>
            <w:vAlign w:val="center"/>
          </w:tcPr>
          <w:p w14:paraId="63DB3692" w14:textId="38F79F48" w:rsidR="00B220B6" w:rsidRPr="00B220B6" w:rsidRDefault="00B220B6" w:rsidP="00B220B6">
            <w:r w:rsidRPr="00B220B6">
              <w:rPr>
                <w:b/>
                <w:bCs/>
              </w:rPr>
              <w:t>Дозировка</w:t>
            </w:r>
          </w:p>
        </w:tc>
        <w:tc>
          <w:tcPr>
            <w:tcW w:w="2947" w:type="dxa"/>
            <w:vAlign w:val="center"/>
          </w:tcPr>
          <w:p w14:paraId="0EA6687F" w14:textId="77777777" w:rsidR="00B220B6" w:rsidRPr="00B220B6" w:rsidRDefault="00B220B6" w:rsidP="00B220B6">
            <w:r w:rsidRPr="00B220B6">
              <w:rPr>
                <w:b/>
                <w:bCs/>
              </w:rPr>
              <w:t>Продължителност на</w:t>
            </w:r>
          </w:p>
          <w:p w14:paraId="0AEA32B6" w14:textId="210393B9" w:rsidR="00B220B6" w:rsidRPr="00B220B6" w:rsidRDefault="00B220B6" w:rsidP="00B220B6">
            <w:r w:rsidRPr="00B220B6">
              <w:rPr>
                <w:b/>
                <w:bCs/>
              </w:rPr>
              <w:t>лечението с</w:t>
            </w:r>
          </w:p>
        </w:tc>
      </w:tr>
      <w:tr w:rsidR="00B220B6" w14:paraId="7C956F3E" w14:textId="77777777" w:rsidTr="00B220B6">
        <w:tc>
          <w:tcPr>
            <w:tcW w:w="4503" w:type="dxa"/>
          </w:tcPr>
          <w:p w14:paraId="2146F3E7" w14:textId="77777777" w:rsidR="00B220B6" w:rsidRPr="00B220B6" w:rsidRDefault="00B220B6" w:rsidP="00B220B6">
            <w:r w:rsidRPr="00B220B6">
              <w:rPr>
                <w:i/>
                <w:iCs/>
                <w:u w:val="single"/>
              </w:rPr>
              <w:t>Възрастни и деца над 12 години</w:t>
            </w:r>
          </w:p>
          <w:p w14:paraId="312A9035" w14:textId="3A07BAA3" w:rsidR="00B220B6" w:rsidRPr="00B220B6" w:rsidRDefault="00B220B6" w:rsidP="00B220B6">
            <w:r w:rsidRPr="00B220B6">
              <w:rPr>
                <w:b/>
                <w:bCs/>
              </w:rPr>
              <w:t>Инфекции на горните дихателни пътища</w:t>
            </w:r>
          </w:p>
        </w:tc>
        <w:tc>
          <w:tcPr>
            <w:tcW w:w="2126" w:type="dxa"/>
          </w:tcPr>
          <w:p w14:paraId="28A5476B" w14:textId="77777777" w:rsidR="00B220B6" w:rsidRPr="00B220B6" w:rsidRDefault="00B220B6" w:rsidP="00B220B6"/>
        </w:tc>
        <w:tc>
          <w:tcPr>
            <w:tcW w:w="2947" w:type="dxa"/>
          </w:tcPr>
          <w:p w14:paraId="48EB0E6E" w14:textId="6BC967F0" w:rsidR="00B220B6" w:rsidRPr="00B220B6" w:rsidRDefault="00B220B6" w:rsidP="00B220B6"/>
        </w:tc>
      </w:tr>
      <w:tr w:rsidR="00B220B6" w14:paraId="0EFDE7EF" w14:textId="77777777" w:rsidTr="00B220B6">
        <w:tc>
          <w:tcPr>
            <w:tcW w:w="4503" w:type="dxa"/>
            <w:vAlign w:val="center"/>
          </w:tcPr>
          <w:p w14:paraId="0BD9A333" w14:textId="4EB8AC11" w:rsidR="00B220B6" w:rsidRPr="00B220B6" w:rsidRDefault="00B220B6" w:rsidP="00B220B6">
            <w:pPr>
              <w:rPr>
                <w:rFonts w:cs="Arial"/>
              </w:rPr>
            </w:pPr>
            <w:r w:rsidRPr="00B220B6">
              <w:rPr>
                <w:rFonts w:cs="Arial"/>
              </w:rPr>
              <w:t>Фарингити, тонзилити</w:t>
            </w:r>
          </w:p>
        </w:tc>
        <w:tc>
          <w:tcPr>
            <w:tcW w:w="2126" w:type="dxa"/>
            <w:vAlign w:val="center"/>
          </w:tcPr>
          <w:p w14:paraId="22EC98A0" w14:textId="1DADDD86" w:rsidR="00B220B6" w:rsidRPr="00B220B6" w:rsidRDefault="00B220B6" w:rsidP="00B220B6">
            <w:pPr>
              <w:tabs>
                <w:tab w:val="left" w:pos="1440"/>
              </w:tabs>
              <w:rPr>
                <w:rFonts w:cs="Arial"/>
              </w:rPr>
            </w:pPr>
            <w:r w:rsidRPr="00B220B6">
              <w:rPr>
                <w:rFonts w:cs="Arial"/>
              </w:rPr>
              <w:t xml:space="preserve">500 </w:t>
            </w:r>
            <w:r w:rsidRPr="00B220B6">
              <w:rPr>
                <w:rFonts w:cs="Arial"/>
                <w:lang w:val="en-US"/>
              </w:rPr>
              <w:t xml:space="preserve">mg </w:t>
            </w:r>
            <w:r w:rsidRPr="00B220B6">
              <w:rPr>
                <w:rFonts w:cs="Arial"/>
              </w:rPr>
              <w:t>на 24 часа</w:t>
            </w:r>
          </w:p>
        </w:tc>
        <w:tc>
          <w:tcPr>
            <w:tcW w:w="2947" w:type="dxa"/>
            <w:vAlign w:val="center"/>
          </w:tcPr>
          <w:p w14:paraId="375690CD" w14:textId="5FB32493" w:rsidR="00B220B6" w:rsidRPr="00B220B6" w:rsidRDefault="00B220B6" w:rsidP="00B220B6">
            <w:pPr>
              <w:tabs>
                <w:tab w:val="left" w:pos="1440"/>
              </w:tabs>
              <w:rPr>
                <w:rFonts w:cs="Arial"/>
              </w:rPr>
            </w:pPr>
            <w:r w:rsidRPr="00B220B6">
              <w:rPr>
                <w:rFonts w:cs="Arial"/>
              </w:rPr>
              <w:t>10 дни*</w:t>
            </w:r>
          </w:p>
        </w:tc>
      </w:tr>
      <w:tr w:rsidR="00B220B6" w14:paraId="393CA65F" w14:textId="77777777" w:rsidTr="00B220B6">
        <w:tc>
          <w:tcPr>
            <w:tcW w:w="4503" w:type="dxa"/>
          </w:tcPr>
          <w:p w14:paraId="3DB77F09" w14:textId="768EF982" w:rsidR="00B220B6" w:rsidRPr="00B220B6" w:rsidRDefault="00B220B6" w:rsidP="00B220B6">
            <w:pPr>
              <w:rPr>
                <w:rFonts w:cs="Arial"/>
              </w:rPr>
            </w:pPr>
            <w:r w:rsidRPr="00B220B6">
              <w:rPr>
                <w:rFonts w:cs="Arial"/>
              </w:rPr>
              <w:t>Синузит</w:t>
            </w:r>
          </w:p>
        </w:tc>
        <w:tc>
          <w:tcPr>
            <w:tcW w:w="2126" w:type="dxa"/>
            <w:vAlign w:val="bottom"/>
          </w:tcPr>
          <w:p w14:paraId="6606F5D2" w14:textId="77777777"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12 часа или</w:t>
            </w:r>
          </w:p>
          <w:p w14:paraId="698D51B3" w14:textId="34117466" w:rsidR="00B220B6" w:rsidRPr="00B220B6" w:rsidRDefault="00B220B6" w:rsidP="00B220B6">
            <w:pPr>
              <w:rPr>
                <w:rFonts w:cs="Arial"/>
              </w:rPr>
            </w:pPr>
            <w:r w:rsidRPr="00B220B6">
              <w:rPr>
                <w:rFonts w:cs="Arial"/>
              </w:rPr>
              <w:t xml:space="preserve">250 </w:t>
            </w:r>
            <w:r w:rsidRPr="00B220B6">
              <w:rPr>
                <w:rFonts w:cs="Arial"/>
                <w:lang w:val="en-US"/>
              </w:rPr>
              <w:t xml:space="preserve">mg </w:t>
            </w:r>
            <w:r w:rsidRPr="00B220B6">
              <w:rPr>
                <w:rFonts w:cs="Arial"/>
              </w:rPr>
              <w:t>на 12 часа</w:t>
            </w:r>
          </w:p>
        </w:tc>
        <w:tc>
          <w:tcPr>
            <w:tcW w:w="2947" w:type="dxa"/>
            <w:vAlign w:val="bottom"/>
          </w:tcPr>
          <w:p w14:paraId="4391537C" w14:textId="1CAB313E" w:rsidR="00B220B6" w:rsidRPr="00B220B6" w:rsidRDefault="00B220B6" w:rsidP="00B220B6">
            <w:pPr>
              <w:rPr>
                <w:rFonts w:cs="Arial"/>
              </w:rPr>
            </w:pPr>
            <w:r w:rsidRPr="00B220B6">
              <w:rPr>
                <w:rFonts w:cs="Arial"/>
              </w:rPr>
              <w:t>10 дни</w:t>
            </w:r>
          </w:p>
        </w:tc>
      </w:tr>
      <w:tr w:rsidR="00B220B6" w14:paraId="4D236DA4" w14:textId="77777777" w:rsidTr="00B220B6">
        <w:tc>
          <w:tcPr>
            <w:tcW w:w="4503" w:type="dxa"/>
            <w:vAlign w:val="bottom"/>
          </w:tcPr>
          <w:p w14:paraId="66C75AAF" w14:textId="6E8CD63C" w:rsidR="00B220B6" w:rsidRPr="00B220B6" w:rsidRDefault="00B220B6" w:rsidP="00B220B6">
            <w:pPr>
              <w:rPr>
                <w:rFonts w:cs="Arial"/>
              </w:rPr>
            </w:pPr>
            <w:r w:rsidRPr="00B220B6">
              <w:rPr>
                <w:rFonts w:cs="Arial"/>
              </w:rPr>
              <w:t>(При умерена до тежка инфекция трябва да се използва по-висока доза)</w:t>
            </w:r>
          </w:p>
        </w:tc>
        <w:tc>
          <w:tcPr>
            <w:tcW w:w="2126" w:type="dxa"/>
          </w:tcPr>
          <w:p w14:paraId="0516EF51" w14:textId="2C03BD46"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12 часа</w:t>
            </w:r>
          </w:p>
        </w:tc>
        <w:tc>
          <w:tcPr>
            <w:tcW w:w="2947" w:type="dxa"/>
          </w:tcPr>
          <w:p w14:paraId="08EED30E" w14:textId="6D843CA1" w:rsidR="00B220B6" w:rsidRPr="00B220B6" w:rsidRDefault="00B220B6" w:rsidP="00B220B6">
            <w:pPr>
              <w:rPr>
                <w:rFonts w:cs="Arial"/>
              </w:rPr>
            </w:pPr>
          </w:p>
        </w:tc>
      </w:tr>
      <w:tr w:rsidR="00B220B6" w14:paraId="054A3D66" w14:textId="77777777" w:rsidTr="001E638E">
        <w:tc>
          <w:tcPr>
            <w:tcW w:w="9576" w:type="dxa"/>
            <w:gridSpan w:val="3"/>
          </w:tcPr>
          <w:p w14:paraId="13B0EB94" w14:textId="6E2EEF7C" w:rsidR="00B220B6" w:rsidRPr="00B220B6" w:rsidRDefault="00B220B6" w:rsidP="00B220B6">
            <w:pPr>
              <w:rPr>
                <w:rFonts w:cs="Arial"/>
              </w:rPr>
            </w:pPr>
            <w:r w:rsidRPr="00B220B6">
              <w:rPr>
                <w:rFonts w:cs="Arial"/>
                <w:b/>
                <w:bCs/>
              </w:rPr>
              <w:t>Инфекции на долните дихателни пътища</w:t>
            </w:r>
          </w:p>
        </w:tc>
      </w:tr>
      <w:tr w:rsidR="00B220B6" w14:paraId="5097051B" w14:textId="77777777" w:rsidTr="00B220B6">
        <w:tc>
          <w:tcPr>
            <w:tcW w:w="4503" w:type="dxa"/>
            <w:vAlign w:val="center"/>
          </w:tcPr>
          <w:p w14:paraId="0C22211D" w14:textId="3D3C3104" w:rsidR="00B220B6" w:rsidRPr="00B220B6" w:rsidRDefault="00B220B6" w:rsidP="00B220B6">
            <w:pPr>
              <w:rPr>
                <w:rFonts w:cs="Arial"/>
              </w:rPr>
            </w:pPr>
            <w:r w:rsidRPr="00B220B6">
              <w:rPr>
                <w:rFonts w:cs="Arial"/>
              </w:rPr>
              <w:t>Вторични бактериални инфекции на бронхите и хронични бронхити</w:t>
            </w:r>
          </w:p>
        </w:tc>
        <w:tc>
          <w:tcPr>
            <w:tcW w:w="2126" w:type="dxa"/>
            <w:vAlign w:val="center"/>
          </w:tcPr>
          <w:p w14:paraId="767CD485" w14:textId="49313B0C"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12 часа</w:t>
            </w:r>
          </w:p>
        </w:tc>
        <w:tc>
          <w:tcPr>
            <w:tcW w:w="2947" w:type="dxa"/>
            <w:vAlign w:val="center"/>
          </w:tcPr>
          <w:p w14:paraId="145D0BB6" w14:textId="00B317FA" w:rsidR="00B220B6" w:rsidRPr="00B220B6" w:rsidRDefault="00B220B6" w:rsidP="00B220B6">
            <w:pPr>
              <w:rPr>
                <w:rFonts w:cs="Arial"/>
              </w:rPr>
            </w:pPr>
            <w:r w:rsidRPr="00B220B6">
              <w:rPr>
                <w:rFonts w:cs="Arial"/>
              </w:rPr>
              <w:t>10 днн</w:t>
            </w:r>
          </w:p>
        </w:tc>
      </w:tr>
      <w:tr w:rsidR="00B220B6" w14:paraId="0767286F" w14:textId="77777777" w:rsidTr="00131712">
        <w:tc>
          <w:tcPr>
            <w:tcW w:w="9576" w:type="dxa"/>
            <w:gridSpan w:val="3"/>
            <w:vAlign w:val="center"/>
          </w:tcPr>
          <w:p w14:paraId="733D07F5" w14:textId="52D6332C" w:rsidR="00B220B6" w:rsidRPr="00B220B6" w:rsidRDefault="00B220B6" w:rsidP="00B220B6">
            <w:pPr>
              <w:rPr>
                <w:rFonts w:cs="Arial"/>
              </w:rPr>
            </w:pPr>
            <w:r w:rsidRPr="00B220B6">
              <w:rPr>
                <w:rFonts w:cs="Arial"/>
                <w:b/>
                <w:bCs/>
              </w:rPr>
              <w:t xml:space="preserve">Инфекции на кожата </w:t>
            </w:r>
            <w:r w:rsidRPr="00B220B6">
              <w:rPr>
                <w:rFonts w:cs="Arial"/>
                <w:b/>
                <w:bCs/>
                <w:i/>
                <w:iCs/>
              </w:rPr>
              <w:t>и</w:t>
            </w:r>
            <w:r w:rsidRPr="00B220B6">
              <w:rPr>
                <w:rFonts w:cs="Arial"/>
                <w:b/>
                <w:bCs/>
              </w:rPr>
              <w:t xml:space="preserve"> меките тъкани</w:t>
            </w:r>
          </w:p>
        </w:tc>
      </w:tr>
      <w:tr w:rsidR="00B220B6" w14:paraId="345492C6" w14:textId="77777777" w:rsidTr="00B220B6">
        <w:tc>
          <w:tcPr>
            <w:tcW w:w="4503" w:type="dxa"/>
          </w:tcPr>
          <w:p w14:paraId="1B86E97E" w14:textId="595126DF" w:rsidR="00B220B6" w:rsidRPr="00B220B6" w:rsidRDefault="00B220B6" w:rsidP="00B220B6">
            <w:pPr>
              <w:rPr>
                <w:rFonts w:cs="Arial"/>
              </w:rPr>
            </w:pPr>
            <w:r w:rsidRPr="00B220B6">
              <w:rPr>
                <w:rFonts w:cs="Arial"/>
              </w:rPr>
              <w:t>Неусложненн инфекции на кожата и меките тъкани</w:t>
            </w:r>
          </w:p>
        </w:tc>
        <w:tc>
          <w:tcPr>
            <w:tcW w:w="2126" w:type="dxa"/>
          </w:tcPr>
          <w:p w14:paraId="194D20A4" w14:textId="77777777" w:rsidR="00B220B6" w:rsidRPr="00B220B6" w:rsidRDefault="00B220B6" w:rsidP="00B220B6">
            <w:pPr>
              <w:rPr>
                <w:rFonts w:cs="Arial"/>
              </w:rPr>
            </w:pPr>
            <w:r w:rsidRPr="00B220B6">
              <w:rPr>
                <w:rFonts w:cs="Arial"/>
              </w:rPr>
              <w:t xml:space="preserve">250 </w:t>
            </w:r>
            <w:r w:rsidRPr="00B220B6">
              <w:rPr>
                <w:rFonts w:cs="Arial"/>
                <w:lang w:val="en-US"/>
              </w:rPr>
              <w:t xml:space="preserve">mg </w:t>
            </w:r>
            <w:r w:rsidRPr="00B220B6">
              <w:rPr>
                <w:rFonts w:cs="Arial"/>
              </w:rPr>
              <w:t>на 12 часа</w:t>
            </w:r>
          </w:p>
          <w:p w14:paraId="3EE9EF12" w14:textId="77777777"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24 часа или</w:t>
            </w:r>
          </w:p>
          <w:p w14:paraId="0ACD2668" w14:textId="2F8567EC"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12 часа</w:t>
            </w:r>
          </w:p>
        </w:tc>
        <w:tc>
          <w:tcPr>
            <w:tcW w:w="2947" w:type="dxa"/>
          </w:tcPr>
          <w:p w14:paraId="21B83EF9" w14:textId="2BF08F2B" w:rsidR="00B220B6" w:rsidRPr="00B220B6" w:rsidRDefault="00B220B6" w:rsidP="00B220B6">
            <w:pPr>
              <w:rPr>
                <w:rFonts w:cs="Arial"/>
              </w:rPr>
            </w:pPr>
            <w:r w:rsidRPr="00B220B6">
              <w:rPr>
                <w:rFonts w:cs="Arial"/>
              </w:rPr>
              <w:t>10 дни</w:t>
            </w:r>
          </w:p>
        </w:tc>
      </w:tr>
      <w:tr w:rsidR="00B220B6" w14:paraId="50C09D32" w14:textId="77777777" w:rsidTr="00B220B6">
        <w:tc>
          <w:tcPr>
            <w:tcW w:w="4503" w:type="dxa"/>
            <w:vAlign w:val="center"/>
          </w:tcPr>
          <w:p w14:paraId="2B8F983D" w14:textId="46B13492" w:rsidR="00B220B6" w:rsidRPr="00B220B6" w:rsidRDefault="00B220B6" w:rsidP="00B220B6">
            <w:pPr>
              <w:rPr>
                <w:rFonts w:cs="Arial"/>
              </w:rPr>
            </w:pPr>
            <w:r w:rsidRPr="00B220B6">
              <w:rPr>
                <w:rFonts w:cs="Arial"/>
                <w:b/>
                <w:bCs/>
              </w:rPr>
              <w:t>Неусложненн инфекции на пикочните пътища</w:t>
            </w:r>
          </w:p>
        </w:tc>
        <w:tc>
          <w:tcPr>
            <w:tcW w:w="2126" w:type="dxa"/>
          </w:tcPr>
          <w:p w14:paraId="702BFDF7" w14:textId="173A979D" w:rsidR="00B220B6" w:rsidRPr="00B220B6" w:rsidRDefault="00B220B6" w:rsidP="00B220B6">
            <w:pPr>
              <w:rPr>
                <w:rFonts w:cs="Arial"/>
              </w:rPr>
            </w:pPr>
            <w:r w:rsidRPr="00B220B6">
              <w:rPr>
                <w:rFonts w:cs="Arial"/>
              </w:rPr>
              <w:t xml:space="preserve">500 </w:t>
            </w:r>
            <w:r w:rsidRPr="00B220B6">
              <w:rPr>
                <w:rFonts w:cs="Arial"/>
                <w:lang w:val="en-US"/>
              </w:rPr>
              <w:t xml:space="preserve">mg </w:t>
            </w:r>
            <w:r w:rsidRPr="00B220B6">
              <w:rPr>
                <w:rFonts w:cs="Arial"/>
              </w:rPr>
              <w:t>на 24 часа</w:t>
            </w:r>
          </w:p>
        </w:tc>
        <w:tc>
          <w:tcPr>
            <w:tcW w:w="2947" w:type="dxa"/>
          </w:tcPr>
          <w:p w14:paraId="3ED01BA0" w14:textId="3DD71BF5" w:rsidR="00B220B6" w:rsidRPr="00B220B6" w:rsidRDefault="00B220B6" w:rsidP="00B220B6">
            <w:pPr>
              <w:rPr>
                <w:rFonts w:cs="Arial"/>
              </w:rPr>
            </w:pPr>
            <w:r w:rsidRPr="00B220B6">
              <w:rPr>
                <w:rFonts w:cs="Arial"/>
              </w:rPr>
              <w:t>10 дни</w:t>
            </w:r>
          </w:p>
        </w:tc>
      </w:tr>
      <w:tr w:rsidR="00B220B6" w14:paraId="50E242D0" w14:textId="77777777" w:rsidTr="00B220B6">
        <w:tc>
          <w:tcPr>
            <w:tcW w:w="4503" w:type="dxa"/>
          </w:tcPr>
          <w:p w14:paraId="085B595D" w14:textId="00584925" w:rsidR="00B220B6" w:rsidRPr="00B220B6" w:rsidRDefault="00B220B6" w:rsidP="00B220B6">
            <w:pPr>
              <w:rPr>
                <w:rFonts w:cs="Arial"/>
              </w:rPr>
            </w:pPr>
            <w:r w:rsidRPr="00B220B6">
              <w:rPr>
                <w:rFonts w:cs="Arial"/>
                <w:i/>
                <w:iCs/>
                <w:u w:val="single"/>
              </w:rPr>
              <w:t>Деца от 2 до 12 годишна възраст</w:t>
            </w:r>
          </w:p>
        </w:tc>
        <w:tc>
          <w:tcPr>
            <w:tcW w:w="2126" w:type="dxa"/>
          </w:tcPr>
          <w:p w14:paraId="3870DAF3" w14:textId="77777777" w:rsidR="00B220B6" w:rsidRPr="00B220B6" w:rsidRDefault="00B220B6" w:rsidP="00B220B6">
            <w:pPr>
              <w:rPr>
                <w:rFonts w:cs="Arial"/>
              </w:rPr>
            </w:pPr>
          </w:p>
        </w:tc>
        <w:tc>
          <w:tcPr>
            <w:tcW w:w="2947" w:type="dxa"/>
          </w:tcPr>
          <w:p w14:paraId="3380023A" w14:textId="62BAEF07" w:rsidR="00B220B6" w:rsidRPr="00B220B6" w:rsidRDefault="00B220B6" w:rsidP="00B220B6">
            <w:pPr>
              <w:rPr>
                <w:rFonts w:cs="Arial"/>
              </w:rPr>
            </w:pPr>
          </w:p>
        </w:tc>
      </w:tr>
      <w:tr w:rsidR="00B220B6" w14:paraId="0C20D67A" w14:textId="77777777" w:rsidTr="00B220B6">
        <w:tc>
          <w:tcPr>
            <w:tcW w:w="4503" w:type="dxa"/>
            <w:vAlign w:val="center"/>
          </w:tcPr>
          <w:p w14:paraId="1329F3F1" w14:textId="55FABA53" w:rsidR="00B220B6" w:rsidRPr="00B220B6" w:rsidRDefault="00B220B6" w:rsidP="00B220B6">
            <w:pPr>
              <w:rPr>
                <w:rFonts w:cs="Arial"/>
              </w:rPr>
            </w:pPr>
            <w:r w:rsidRPr="00B220B6">
              <w:rPr>
                <w:rFonts w:cs="Arial"/>
                <w:b/>
                <w:bCs/>
              </w:rPr>
              <w:t>Инфекции на горните дихателни пътища**</w:t>
            </w:r>
          </w:p>
        </w:tc>
        <w:tc>
          <w:tcPr>
            <w:tcW w:w="2126" w:type="dxa"/>
          </w:tcPr>
          <w:p w14:paraId="148AC3D7" w14:textId="77777777" w:rsidR="00B220B6" w:rsidRPr="00B220B6" w:rsidRDefault="00B220B6" w:rsidP="00B220B6">
            <w:pPr>
              <w:rPr>
                <w:rFonts w:cs="Arial"/>
              </w:rPr>
            </w:pPr>
          </w:p>
        </w:tc>
        <w:tc>
          <w:tcPr>
            <w:tcW w:w="2947" w:type="dxa"/>
          </w:tcPr>
          <w:p w14:paraId="4B8017E0" w14:textId="5C8C7C56" w:rsidR="00B220B6" w:rsidRPr="00B220B6" w:rsidRDefault="00B220B6" w:rsidP="00B220B6">
            <w:pPr>
              <w:rPr>
                <w:rFonts w:cs="Arial"/>
              </w:rPr>
            </w:pPr>
          </w:p>
        </w:tc>
      </w:tr>
      <w:tr w:rsidR="00B220B6" w14:paraId="6CB10EAC" w14:textId="77777777" w:rsidTr="00B220B6">
        <w:tc>
          <w:tcPr>
            <w:tcW w:w="4503" w:type="dxa"/>
            <w:vAlign w:val="bottom"/>
          </w:tcPr>
          <w:p w14:paraId="62D0C196" w14:textId="0ECAF09A" w:rsidR="00B220B6" w:rsidRPr="00B220B6" w:rsidRDefault="00B220B6" w:rsidP="00B220B6">
            <w:pPr>
              <w:rPr>
                <w:rFonts w:cs="Arial"/>
              </w:rPr>
            </w:pPr>
            <w:r w:rsidRPr="00B220B6">
              <w:rPr>
                <w:rFonts w:cs="Arial"/>
              </w:rPr>
              <w:t>Фарингити, тонзилити</w:t>
            </w:r>
          </w:p>
        </w:tc>
        <w:tc>
          <w:tcPr>
            <w:tcW w:w="2126" w:type="dxa"/>
            <w:vAlign w:val="bottom"/>
          </w:tcPr>
          <w:p w14:paraId="35AAFB04" w14:textId="1A7CFBC5" w:rsidR="00B220B6" w:rsidRPr="00B220B6" w:rsidRDefault="00B220B6" w:rsidP="00B220B6">
            <w:pPr>
              <w:rPr>
                <w:rFonts w:cs="Arial"/>
              </w:rPr>
            </w:pPr>
            <w:r w:rsidRPr="00B220B6">
              <w:rPr>
                <w:rFonts w:cs="Arial"/>
              </w:rPr>
              <w:t xml:space="preserve">7,5 </w:t>
            </w:r>
            <w:r w:rsidRPr="00B220B6">
              <w:rPr>
                <w:rFonts w:cs="Arial"/>
                <w:lang w:val="en-US"/>
              </w:rPr>
              <w:t xml:space="preserve">mg /kg </w:t>
            </w:r>
            <w:r w:rsidRPr="00B220B6">
              <w:rPr>
                <w:rFonts w:cs="Arial"/>
              </w:rPr>
              <w:t>на 12 часа</w:t>
            </w:r>
          </w:p>
        </w:tc>
        <w:tc>
          <w:tcPr>
            <w:tcW w:w="2947" w:type="dxa"/>
            <w:vAlign w:val="bottom"/>
          </w:tcPr>
          <w:p w14:paraId="7D9F8B54" w14:textId="47D37468" w:rsidR="00B220B6" w:rsidRPr="00B220B6" w:rsidRDefault="00B220B6" w:rsidP="00B220B6">
            <w:pPr>
              <w:rPr>
                <w:rFonts w:cs="Arial"/>
              </w:rPr>
            </w:pPr>
            <w:r w:rsidRPr="00B220B6">
              <w:rPr>
                <w:rFonts w:cs="Arial"/>
              </w:rPr>
              <w:t>10* дни</w:t>
            </w:r>
          </w:p>
        </w:tc>
      </w:tr>
      <w:tr w:rsidR="00B220B6" w14:paraId="0D863EE6" w14:textId="77777777" w:rsidTr="00B220B6">
        <w:tc>
          <w:tcPr>
            <w:tcW w:w="4503" w:type="dxa"/>
            <w:vAlign w:val="center"/>
          </w:tcPr>
          <w:p w14:paraId="5F8CD1BF" w14:textId="16258A55" w:rsidR="00B220B6" w:rsidRPr="00B220B6" w:rsidRDefault="00B220B6" w:rsidP="00B220B6">
            <w:pPr>
              <w:rPr>
                <w:rFonts w:cs="Arial"/>
              </w:rPr>
            </w:pPr>
            <w:r w:rsidRPr="00B220B6">
              <w:rPr>
                <w:rFonts w:cs="Arial"/>
                <w:b/>
                <w:bCs/>
              </w:rPr>
              <w:t>Инфекции на кожата и меките тъкани **</w:t>
            </w:r>
          </w:p>
        </w:tc>
        <w:tc>
          <w:tcPr>
            <w:tcW w:w="2126" w:type="dxa"/>
          </w:tcPr>
          <w:p w14:paraId="11AF0804" w14:textId="77777777" w:rsidR="00B220B6" w:rsidRPr="00B220B6" w:rsidRDefault="00B220B6" w:rsidP="00B220B6">
            <w:pPr>
              <w:rPr>
                <w:rFonts w:cs="Arial"/>
              </w:rPr>
            </w:pPr>
          </w:p>
        </w:tc>
        <w:tc>
          <w:tcPr>
            <w:tcW w:w="2947" w:type="dxa"/>
          </w:tcPr>
          <w:p w14:paraId="38577091" w14:textId="7B6CA2D0" w:rsidR="00B220B6" w:rsidRPr="00B220B6" w:rsidRDefault="00B220B6" w:rsidP="00B220B6">
            <w:pPr>
              <w:rPr>
                <w:rFonts w:cs="Arial"/>
              </w:rPr>
            </w:pPr>
          </w:p>
        </w:tc>
      </w:tr>
      <w:tr w:rsidR="00B220B6" w14:paraId="30C4331F" w14:textId="77777777" w:rsidTr="00B220B6">
        <w:tc>
          <w:tcPr>
            <w:tcW w:w="4503" w:type="dxa"/>
            <w:vAlign w:val="center"/>
          </w:tcPr>
          <w:p w14:paraId="7227B752" w14:textId="39389C79" w:rsidR="00B220B6" w:rsidRPr="00B220B6" w:rsidRDefault="00B220B6" w:rsidP="00B220B6">
            <w:pPr>
              <w:rPr>
                <w:rFonts w:cs="Arial"/>
              </w:rPr>
            </w:pPr>
            <w:r w:rsidRPr="00B220B6">
              <w:rPr>
                <w:rFonts w:cs="Arial"/>
              </w:rPr>
              <w:t>Неусложненн инфекции на кожата и меките тъкани</w:t>
            </w:r>
          </w:p>
        </w:tc>
        <w:tc>
          <w:tcPr>
            <w:tcW w:w="2126" w:type="dxa"/>
            <w:vAlign w:val="center"/>
          </w:tcPr>
          <w:p w14:paraId="7D01105A" w14:textId="4BD78D45" w:rsidR="00B220B6" w:rsidRPr="00B220B6" w:rsidRDefault="00B220B6" w:rsidP="00B220B6">
            <w:pPr>
              <w:rPr>
                <w:rFonts w:cs="Arial"/>
              </w:rPr>
            </w:pPr>
            <w:r w:rsidRPr="00B220B6">
              <w:rPr>
                <w:rFonts w:cs="Arial"/>
              </w:rPr>
              <w:t xml:space="preserve">20 </w:t>
            </w:r>
            <w:r w:rsidRPr="00B220B6">
              <w:rPr>
                <w:rFonts w:cs="Arial"/>
                <w:lang w:val="en-US"/>
              </w:rPr>
              <w:t xml:space="preserve">mg/kg </w:t>
            </w:r>
            <w:r w:rsidRPr="00B220B6">
              <w:rPr>
                <w:rFonts w:cs="Arial"/>
              </w:rPr>
              <w:t>на 24 часа</w:t>
            </w:r>
          </w:p>
        </w:tc>
        <w:tc>
          <w:tcPr>
            <w:tcW w:w="2947" w:type="dxa"/>
            <w:vAlign w:val="center"/>
          </w:tcPr>
          <w:p w14:paraId="78B0C6B6" w14:textId="27537C90" w:rsidR="00B220B6" w:rsidRPr="00B220B6" w:rsidRDefault="00B220B6" w:rsidP="00B220B6">
            <w:pPr>
              <w:rPr>
                <w:rFonts w:cs="Arial"/>
              </w:rPr>
            </w:pPr>
            <w:r w:rsidRPr="00B220B6">
              <w:rPr>
                <w:rFonts w:cs="Arial"/>
              </w:rPr>
              <w:t>10 дни</w:t>
            </w:r>
          </w:p>
        </w:tc>
      </w:tr>
      <w:tr w:rsidR="00B220B6" w14:paraId="43F9B7FF" w14:textId="77777777" w:rsidTr="00B220B6">
        <w:tc>
          <w:tcPr>
            <w:tcW w:w="4503" w:type="dxa"/>
            <w:vAlign w:val="center"/>
          </w:tcPr>
          <w:p w14:paraId="71EA019A" w14:textId="48DE7AC0" w:rsidR="00B220B6" w:rsidRPr="00B220B6" w:rsidRDefault="00B220B6" w:rsidP="00B220B6">
            <w:pPr>
              <w:rPr>
                <w:rFonts w:cs="Arial"/>
              </w:rPr>
            </w:pPr>
            <w:r w:rsidRPr="00B220B6">
              <w:rPr>
                <w:rFonts w:cs="Arial"/>
                <w:i/>
                <w:iCs/>
              </w:rPr>
              <w:t>Бебета и деиа (от 6 месеца до 12 годишна</w:t>
            </w:r>
            <w:r w:rsidRPr="00B220B6">
              <w:rPr>
                <w:rFonts w:cs="Arial"/>
              </w:rPr>
              <w:t xml:space="preserve"> възраст)</w:t>
            </w:r>
          </w:p>
        </w:tc>
        <w:tc>
          <w:tcPr>
            <w:tcW w:w="2126" w:type="dxa"/>
            <w:vAlign w:val="center"/>
          </w:tcPr>
          <w:p w14:paraId="402F83FD" w14:textId="77777777" w:rsidR="00B220B6" w:rsidRPr="00B220B6" w:rsidRDefault="00B220B6" w:rsidP="00B220B6">
            <w:pPr>
              <w:rPr>
                <w:rFonts w:cs="Arial"/>
              </w:rPr>
            </w:pPr>
          </w:p>
        </w:tc>
        <w:tc>
          <w:tcPr>
            <w:tcW w:w="2947" w:type="dxa"/>
          </w:tcPr>
          <w:p w14:paraId="394C6CE1" w14:textId="2CDD4868" w:rsidR="00B220B6" w:rsidRPr="00B220B6" w:rsidRDefault="00B220B6" w:rsidP="00B220B6">
            <w:pPr>
              <w:rPr>
                <w:rFonts w:cs="Arial"/>
              </w:rPr>
            </w:pPr>
          </w:p>
        </w:tc>
      </w:tr>
      <w:tr w:rsidR="00B220B6" w14:paraId="7DCBA517" w14:textId="77777777" w:rsidTr="00B220B6">
        <w:tc>
          <w:tcPr>
            <w:tcW w:w="4503" w:type="dxa"/>
          </w:tcPr>
          <w:p w14:paraId="5E149DAF" w14:textId="1A17FACF" w:rsidR="00B220B6" w:rsidRPr="00B220B6" w:rsidRDefault="00B220B6" w:rsidP="00B220B6">
            <w:pPr>
              <w:rPr>
                <w:rFonts w:cs="Arial"/>
              </w:rPr>
            </w:pPr>
            <w:r w:rsidRPr="00B220B6">
              <w:rPr>
                <w:rFonts w:cs="Arial"/>
                <w:b/>
                <w:bCs/>
              </w:rPr>
              <w:t>Инфекции на горните дихателни пътища**</w:t>
            </w:r>
          </w:p>
        </w:tc>
        <w:tc>
          <w:tcPr>
            <w:tcW w:w="2126" w:type="dxa"/>
          </w:tcPr>
          <w:p w14:paraId="3CB39C5C" w14:textId="77777777" w:rsidR="00B220B6" w:rsidRPr="00B220B6" w:rsidRDefault="00B220B6" w:rsidP="00B220B6">
            <w:pPr>
              <w:rPr>
                <w:rFonts w:cs="Arial"/>
              </w:rPr>
            </w:pPr>
          </w:p>
        </w:tc>
        <w:tc>
          <w:tcPr>
            <w:tcW w:w="2947" w:type="dxa"/>
          </w:tcPr>
          <w:p w14:paraId="57F21991" w14:textId="79E76250" w:rsidR="00B220B6" w:rsidRPr="00B220B6" w:rsidRDefault="00B220B6" w:rsidP="00B220B6">
            <w:pPr>
              <w:rPr>
                <w:rFonts w:cs="Arial"/>
              </w:rPr>
            </w:pPr>
          </w:p>
        </w:tc>
      </w:tr>
      <w:tr w:rsidR="00B220B6" w14:paraId="0CCF0F17" w14:textId="77777777" w:rsidTr="00B220B6">
        <w:tc>
          <w:tcPr>
            <w:tcW w:w="4503" w:type="dxa"/>
            <w:vAlign w:val="center"/>
          </w:tcPr>
          <w:p w14:paraId="08896642" w14:textId="24FD8F9F" w:rsidR="00B220B6" w:rsidRPr="00B220B6" w:rsidRDefault="00B220B6" w:rsidP="00B220B6">
            <w:pPr>
              <w:rPr>
                <w:rFonts w:cs="Arial"/>
              </w:rPr>
            </w:pPr>
            <w:r w:rsidRPr="00B220B6">
              <w:rPr>
                <w:rFonts w:cs="Arial"/>
              </w:rPr>
              <w:t>Среден отит</w:t>
            </w:r>
          </w:p>
        </w:tc>
        <w:tc>
          <w:tcPr>
            <w:tcW w:w="2126" w:type="dxa"/>
            <w:vAlign w:val="center"/>
          </w:tcPr>
          <w:p w14:paraId="0FF685B4" w14:textId="2E7B97FC" w:rsidR="00B220B6" w:rsidRPr="00B220B6" w:rsidRDefault="00B220B6" w:rsidP="00B220B6">
            <w:pPr>
              <w:rPr>
                <w:rFonts w:cs="Arial"/>
              </w:rPr>
            </w:pPr>
            <w:r w:rsidRPr="00B220B6">
              <w:rPr>
                <w:rFonts w:cs="Arial"/>
              </w:rPr>
              <w:t xml:space="preserve">15 </w:t>
            </w:r>
            <w:r w:rsidRPr="00B220B6">
              <w:rPr>
                <w:rFonts w:cs="Arial"/>
                <w:lang w:val="en-US"/>
              </w:rPr>
              <w:t xml:space="preserve">mg/kg </w:t>
            </w:r>
            <w:r w:rsidRPr="00B220B6">
              <w:rPr>
                <w:rFonts w:cs="Arial"/>
              </w:rPr>
              <w:t>на 24 часа</w:t>
            </w:r>
          </w:p>
        </w:tc>
        <w:tc>
          <w:tcPr>
            <w:tcW w:w="2947" w:type="dxa"/>
            <w:vAlign w:val="center"/>
          </w:tcPr>
          <w:p w14:paraId="1A24B20B" w14:textId="5682747D" w:rsidR="00B220B6" w:rsidRPr="00B220B6" w:rsidRDefault="00B220B6" w:rsidP="00B220B6">
            <w:pPr>
              <w:rPr>
                <w:rFonts w:cs="Arial"/>
              </w:rPr>
            </w:pPr>
            <w:r w:rsidRPr="00B220B6">
              <w:rPr>
                <w:rFonts w:cs="Arial"/>
              </w:rPr>
              <w:t>10 дни</w:t>
            </w:r>
          </w:p>
        </w:tc>
      </w:tr>
      <w:tr w:rsidR="00B220B6" w14:paraId="58DE6464" w14:textId="77777777" w:rsidTr="00B220B6">
        <w:tc>
          <w:tcPr>
            <w:tcW w:w="4503" w:type="dxa"/>
            <w:vAlign w:val="bottom"/>
          </w:tcPr>
          <w:p w14:paraId="65BBC65C" w14:textId="77777777" w:rsidR="00B220B6" w:rsidRPr="00B220B6" w:rsidRDefault="00B220B6" w:rsidP="00B220B6">
            <w:pPr>
              <w:rPr>
                <w:rFonts w:cs="Arial"/>
              </w:rPr>
            </w:pPr>
            <w:r w:rsidRPr="00B220B6">
              <w:rPr>
                <w:rFonts w:cs="Arial"/>
              </w:rPr>
              <w:t>Синузит</w:t>
            </w:r>
          </w:p>
          <w:p w14:paraId="7E829694" w14:textId="6FB5A74A" w:rsidR="00B220B6" w:rsidRPr="00B220B6" w:rsidRDefault="00B220B6" w:rsidP="00B220B6">
            <w:pPr>
              <w:rPr>
                <w:rFonts w:cs="Arial"/>
              </w:rPr>
            </w:pPr>
            <w:r w:rsidRPr="00B220B6">
              <w:rPr>
                <w:rFonts w:cs="Arial"/>
              </w:rPr>
              <w:t>(При умерена до тежка инфекция трябва да се използва по-висока доза)</w:t>
            </w:r>
          </w:p>
        </w:tc>
        <w:tc>
          <w:tcPr>
            <w:tcW w:w="2126" w:type="dxa"/>
          </w:tcPr>
          <w:p w14:paraId="26DFA2FE" w14:textId="77777777" w:rsidR="00B220B6" w:rsidRPr="00B220B6" w:rsidRDefault="00B220B6" w:rsidP="00B220B6">
            <w:pPr>
              <w:rPr>
                <w:rFonts w:cs="Arial"/>
              </w:rPr>
            </w:pPr>
            <w:r w:rsidRPr="00B220B6">
              <w:rPr>
                <w:rFonts w:cs="Arial"/>
              </w:rPr>
              <w:t xml:space="preserve">7,5 </w:t>
            </w:r>
            <w:r w:rsidRPr="00B220B6">
              <w:rPr>
                <w:rFonts w:cs="Arial"/>
                <w:lang w:val="en-US"/>
              </w:rPr>
              <w:t xml:space="preserve">mg /kg </w:t>
            </w:r>
            <w:r w:rsidRPr="00B220B6">
              <w:rPr>
                <w:rFonts w:cs="Arial"/>
              </w:rPr>
              <w:t>на 12 часа</w:t>
            </w:r>
          </w:p>
          <w:p w14:paraId="2154AE83" w14:textId="6C7CAD55" w:rsidR="00B220B6" w:rsidRPr="00B220B6" w:rsidRDefault="00B220B6" w:rsidP="00B220B6">
            <w:pPr>
              <w:rPr>
                <w:rFonts w:cs="Arial"/>
              </w:rPr>
            </w:pPr>
            <w:r w:rsidRPr="00B220B6">
              <w:rPr>
                <w:rFonts w:cs="Arial"/>
              </w:rPr>
              <w:t xml:space="preserve">15 </w:t>
            </w:r>
            <w:r w:rsidRPr="00B220B6">
              <w:rPr>
                <w:rFonts w:cs="Arial"/>
                <w:lang w:val="en-US"/>
              </w:rPr>
              <w:t xml:space="preserve">mg/kg </w:t>
            </w:r>
            <w:r w:rsidRPr="00B220B6">
              <w:rPr>
                <w:rFonts w:cs="Arial"/>
              </w:rPr>
              <w:t>на 12 часа</w:t>
            </w:r>
          </w:p>
        </w:tc>
        <w:tc>
          <w:tcPr>
            <w:tcW w:w="2947" w:type="dxa"/>
          </w:tcPr>
          <w:p w14:paraId="72D7B8EE" w14:textId="1F7572FD" w:rsidR="00B220B6" w:rsidRPr="00B220B6" w:rsidRDefault="00B220B6" w:rsidP="00B220B6">
            <w:pPr>
              <w:pStyle w:val="ListParagraph"/>
              <w:numPr>
                <w:ilvl w:val="0"/>
                <w:numId w:val="41"/>
              </w:numPr>
              <w:rPr>
                <w:rFonts w:cs="Arial"/>
              </w:rPr>
            </w:pPr>
            <w:r w:rsidRPr="00B220B6">
              <w:rPr>
                <w:rFonts w:cs="Arial"/>
              </w:rPr>
              <w:t>ни</w:t>
            </w:r>
          </w:p>
        </w:tc>
      </w:tr>
    </w:tbl>
    <w:p w14:paraId="340C8E16" w14:textId="77777777" w:rsidR="00B220B6" w:rsidRDefault="00B220B6" w:rsidP="00B220B6"/>
    <w:p w14:paraId="292194A2" w14:textId="55F47D3D" w:rsidR="00B220B6" w:rsidRPr="00B220B6" w:rsidRDefault="00B220B6" w:rsidP="00B220B6">
      <w:pPr>
        <w:spacing w:line="240" w:lineRule="auto"/>
        <w:rPr>
          <w:rFonts w:eastAsia="Times New Roman" w:cs="Arial"/>
          <w:color w:val="000000"/>
          <w:lang w:eastAsia="bg-BG"/>
        </w:rPr>
      </w:pPr>
      <w:r w:rsidRPr="00B220B6">
        <w:rPr>
          <w:rFonts w:eastAsia="Times New Roman" w:cs="Arial"/>
          <w:color w:val="000000"/>
          <w:lang w:val="en-US" w:eastAsia="bg-BG"/>
        </w:rPr>
        <w:t>*</w:t>
      </w:r>
      <w:r w:rsidRPr="00B220B6">
        <w:rPr>
          <w:rFonts w:eastAsia="Times New Roman" w:cs="Arial"/>
          <w:color w:val="000000"/>
          <w:lang w:eastAsia="bg-BG"/>
        </w:rPr>
        <w:t xml:space="preserve">- лечението на инфеции причинени от </w:t>
      </w:r>
      <w:r w:rsidRPr="00B220B6">
        <w:rPr>
          <w:rFonts w:eastAsia="Times New Roman" w:cs="Arial"/>
          <w:i/>
          <w:iCs/>
          <w:color w:val="000000"/>
          <w:lang w:val="en-US"/>
        </w:rPr>
        <w:t>Streptococcus pyogenes</w:t>
      </w:r>
      <w:r w:rsidRPr="00B220B6">
        <w:rPr>
          <w:rFonts w:eastAsia="Times New Roman" w:cs="Arial"/>
          <w:color w:val="000000"/>
          <w:lang w:val="en-US"/>
        </w:rPr>
        <w:t xml:space="preserve"> </w:t>
      </w:r>
      <w:r w:rsidRPr="00B220B6">
        <w:rPr>
          <w:rFonts w:eastAsia="Times New Roman" w:cs="Arial"/>
          <w:color w:val="000000"/>
          <w:lang w:eastAsia="bg-BG"/>
        </w:rPr>
        <w:t>с Профикс трябва да продължи поне 10 дни</w:t>
      </w:r>
    </w:p>
    <w:p w14:paraId="084FE24C" w14:textId="7FD7728E" w:rsidR="00B220B6" w:rsidRPr="00B220B6" w:rsidRDefault="00B220B6" w:rsidP="00B220B6">
      <w:pPr>
        <w:spacing w:line="240" w:lineRule="auto"/>
        <w:rPr>
          <w:rFonts w:eastAsia="Times New Roman" w:cs="Arial"/>
          <w:color w:val="000000"/>
          <w:lang w:eastAsia="bg-BG"/>
        </w:rPr>
      </w:pPr>
      <w:r w:rsidRPr="00B220B6">
        <w:rPr>
          <w:rFonts w:eastAsia="Times New Roman" w:cs="Arial"/>
          <w:color w:val="000000"/>
          <w:lang w:val="en-US" w:eastAsia="bg-BG"/>
        </w:rPr>
        <w:t>*</w:t>
      </w:r>
      <w:r w:rsidRPr="00B220B6">
        <w:rPr>
          <w:rFonts w:eastAsia="Times New Roman" w:cs="Arial"/>
          <w:color w:val="000000"/>
          <w:lang w:eastAsia="bg-BG"/>
        </w:rPr>
        <w:t>* - да не се превишава препоръчителна доза при възрастни</w:t>
      </w:r>
    </w:p>
    <w:p w14:paraId="2A8C3BF6" w14:textId="77777777" w:rsidR="00B220B6" w:rsidRPr="00B220B6" w:rsidRDefault="00B220B6" w:rsidP="00B220B6">
      <w:pPr>
        <w:spacing w:line="240" w:lineRule="auto"/>
        <w:rPr>
          <w:rFonts w:eastAsia="Times New Roman" w:cs="Arial"/>
          <w:color w:val="000000"/>
          <w:lang w:eastAsia="bg-BG"/>
        </w:rPr>
      </w:pPr>
    </w:p>
    <w:p w14:paraId="7BA9301C" w14:textId="73F8CAE2"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lastRenderedPageBreak/>
        <w:t>При възрастни и деца над 12 годишна възраст е подходящо използването на Профикс таблетки.</w:t>
      </w:r>
    </w:p>
    <w:p w14:paraId="09CC0C19" w14:textId="77777777" w:rsidR="00B220B6" w:rsidRPr="00B220B6" w:rsidRDefault="00B220B6" w:rsidP="00B220B6">
      <w:pPr>
        <w:rPr>
          <w:rFonts w:eastAsia="Times New Roman" w:cs="Arial"/>
          <w:i/>
          <w:iCs/>
          <w:color w:val="000000"/>
          <w:lang w:eastAsia="bg-BG"/>
        </w:rPr>
      </w:pPr>
    </w:p>
    <w:p w14:paraId="00159C6B" w14:textId="0752AD39" w:rsidR="00B220B6" w:rsidRPr="00B220B6" w:rsidRDefault="00B220B6" w:rsidP="00B220B6">
      <w:pPr>
        <w:rPr>
          <w:rFonts w:eastAsia="Times New Roman" w:cs="Arial"/>
          <w:i/>
          <w:iCs/>
          <w:color w:val="000000"/>
          <w:lang w:eastAsia="bg-BG"/>
        </w:rPr>
      </w:pPr>
      <w:r w:rsidRPr="00B220B6">
        <w:rPr>
          <w:rFonts w:eastAsia="Times New Roman" w:cs="Arial"/>
          <w:i/>
          <w:iCs/>
          <w:color w:val="000000"/>
          <w:lang w:eastAsia="bg-BG"/>
        </w:rPr>
        <w:t>Пациенти с бъбречно увреждане</w:t>
      </w:r>
    </w:p>
    <w:p w14:paraId="0D382FD1" w14:textId="77777777" w:rsidR="00B220B6" w:rsidRPr="00B220B6" w:rsidRDefault="00B220B6" w:rsidP="00B220B6">
      <w:pPr>
        <w:spacing w:line="240" w:lineRule="auto"/>
        <w:rPr>
          <w:rFonts w:eastAsia="Times New Roman" w:cs="Arial"/>
          <w:lang w:eastAsia="bg-BG"/>
        </w:rPr>
      </w:pPr>
      <w:r w:rsidRPr="00B220B6">
        <w:rPr>
          <w:rFonts w:eastAsia="Times New Roman" w:cs="Arial"/>
          <w:color w:val="000000"/>
          <w:lang w:eastAsia="bg-BG"/>
        </w:rPr>
        <w:t>При пациенти с бъбречно увреждане дозата трябва да се титрира в зависимост от терапевтичния отговор.</w:t>
      </w:r>
    </w:p>
    <w:p w14:paraId="3F8F2969" w14:textId="77777777" w:rsidR="00B220B6" w:rsidRPr="00B220B6" w:rsidRDefault="00B220B6" w:rsidP="00B220B6">
      <w:pPr>
        <w:spacing w:line="240" w:lineRule="auto"/>
        <w:rPr>
          <w:rFonts w:eastAsia="Times New Roman" w:cs="Arial"/>
          <w:lang w:eastAsia="bg-BG"/>
        </w:rPr>
      </w:pPr>
      <w:r w:rsidRPr="00B220B6">
        <w:rPr>
          <w:rFonts w:eastAsia="Times New Roman" w:cs="Arial"/>
          <w:color w:val="000000"/>
          <w:lang w:eastAsia="bg-BG"/>
        </w:rPr>
        <w:t>Опитът при пациенти с много тежка или терминална бъбречна недостатъчност е ограничен. Профикс се елиминира частично при хемодиализа, затова прием на Профикс е препоръчителен след завършване на хемодиализата.</w:t>
      </w:r>
    </w:p>
    <w:p w14:paraId="58EAC342" w14:textId="77777777" w:rsidR="00B220B6" w:rsidRDefault="00B220B6" w:rsidP="00B220B6">
      <w:pPr>
        <w:rPr>
          <w:rFonts w:cs="Arial"/>
          <w:sz w:val="24"/>
          <w:szCs w:val="24"/>
        </w:rPr>
      </w:pPr>
    </w:p>
    <w:tbl>
      <w:tblPr>
        <w:tblStyle w:val="TableGrid"/>
        <w:tblW w:w="0" w:type="auto"/>
        <w:tblLook w:val="04A0" w:firstRow="1" w:lastRow="0" w:firstColumn="1" w:lastColumn="0" w:noHBand="0" w:noVBand="1"/>
      </w:tblPr>
      <w:tblGrid>
        <w:gridCol w:w="3116"/>
        <w:gridCol w:w="3118"/>
        <w:gridCol w:w="3116"/>
      </w:tblGrid>
      <w:tr w:rsidR="00B220B6" w14:paraId="5EFA84D9" w14:textId="77777777" w:rsidTr="00B220B6">
        <w:tc>
          <w:tcPr>
            <w:tcW w:w="3166" w:type="dxa"/>
          </w:tcPr>
          <w:p w14:paraId="215BE227" w14:textId="411CD81A" w:rsidR="00B220B6" w:rsidRPr="00B220B6" w:rsidRDefault="00B220B6" w:rsidP="00B220B6">
            <w:pPr>
              <w:rPr>
                <w:rFonts w:cs="Arial"/>
              </w:rPr>
            </w:pPr>
            <w:r w:rsidRPr="00B220B6">
              <w:rPr>
                <w:b/>
                <w:bCs/>
              </w:rPr>
              <w:t xml:space="preserve">Креатинов клирънс </w:t>
            </w:r>
            <w:r w:rsidRPr="00B220B6">
              <w:rPr>
                <w:b/>
                <w:bCs/>
                <w:lang w:val="en-US"/>
              </w:rPr>
              <w:t>(ml/min)</w:t>
            </w:r>
          </w:p>
        </w:tc>
        <w:tc>
          <w:tcPr>
            <w:tcW w:w="3167" w:type="dxa"/>
          </w:tcPr>
          <w:p w14:paraId="5CFFA977" w14:textId="0A9B3843" w:rsidR="00B220B6" w:rsidRPr="00B220B6" w:rsidRDefault="00B220B6" w:rsidP="00B220B6">
            <w:pPr>
              <w:rPr>
                <w:rFonts w:cs="Arial"/>
              </w:rPr>
            </w:pPr>
            <w:r w:rsidRPr="00B220B6">
              <w:rPr>
                <w:b/>
                <w:bCs/>
              </w:rPr>
              <w:t>Дозировка</w:t>
            </w:r>
          </w:p>
        </w:tc>
        <w:tc>
          <w:tcPr>
            <w:tcW w:w="3167" w:type="dxa"/>
          </w:tcPr>
          <w:p w14:paraId="57151604" w14:textId="7FCA1B82" w:rsidR="00B220B6" w:rsidRPr="00B220B6" w:rsidRDefault="00B220B6" w:rsidP="00B220B6">
            <w:pPr>
              <w:rPr>
                <w:rFonts w:cs="Arial"/>
              </w:rPr>
            </w:pPr>
            <w:r w:rsidRPr="00B220B6">
              <w:rPr>
                <w:b/>
                <w:bCs/>
              </w:rPr>
              <w:t>Дозов интервал</w:t>
            </w:r>
          </w:p>
        </w:tc>
      </w:tr>
      <w:tr w:rsidR="00B220B6" w14:paraId="073B8D3D" w14:textId="77777777" w:rsidTr="00B220B6">
        <w:tc>
          <w:tcPr>
            <w:tcW w:w="3166" w:type="dxa"/>
          </w:tcPr>
          <w:p w14:paraId="4BC75A2A" w14:textId="078E3AC6" w:rsidR="00B220B6" w:rsidRPr="00B220B6" w:rsidRDefault="00B220B6" w:rsidP="00B220B6">
            <w:pPr>
              <w:rPr>
                <w:rFonts w:cs="Arial"/>
              </w:rPr>
            </w:pPr>
            <w:r w:rsidRPr="00B220B6">
              <w:t>30-120</w:t>
            </w:r>
          </w:p>
        </w:tc>
        <w:tc>
          <w:tcPr>
            <w:tcW w:w="3167" w:type="dxa"/>
          </w:tcPr>
          <w:p w14:paraId="39DAD539" w14:textId="76716ACF" w:rsidR="00B220B6" w:rsidRPr="00B220B6" w:rsidRDefault="00B220B6" w:rsidP="00B220B6">
            <w:pPr>
              <w:rPr>
                <w:rFonts w:cs="Arial"/>
              </w:rPr>
            </w:pPr>
            <w:r w:rsidRPr="00B220B6">
              <w:t>както при пациенти без бъбречно увреждане</w:t>
            </w:r>
          </w:p>
        </w:tc>
        <w:tc>
          <w:tcPr>
            <w:tcW w:w="3167" w:type="dxa"/>
          </w:tcPr>
          <w:p w14:paraId="1B32CEFD" w14:textId="781B7FD5" w:rsidR="00B220B6" w:rsidRPr="00B220B6" w:rsidRDefault="00B220B6" w:rsidP="00B220B6">
            <w:pPr>
              <w:rPr>
                <w:rFonts w:cs="Arial"/>
              </w:rPr>
            </w:pPr>
            <w:r w:rsidRPr="00B220B6">
              <w:t>както при пациенти без бъбречно увреждане</w:t>
            </w:r>
          </w:p>
        </w:tc>
      </w:tr>
      <w:tr w:rsidR="00B220B6" w14:paraId="47EC95D3" w14:textId="77777777" w:rsidTr="00B220B6">
        <w:tc>
          <w:tcPr>
            <w:tcW w:w="3166" w:type="dxa"/>
          </w:tcPr>
          <w:p w14:paraId="12A62206" w14:textId="5203F94D" w:rsidR="00B220B6" w:rsidRPr="00B220B6" w:rsidRDefault="00B220B6" w:rsidP="00B220B6">
            <w:pPr>
              <w:rPr>
                <w:rFonts w:cs="Arial"/>
              </w:rPr>
            </w:pPr>
            <w:r w:rsidRPr="00B220B6">
              <w:t>0-29</w:t>
            </w:r>
          </w:p>
        </w:tc>
        <w:tc>
          <w:tcPr>
            <w:tcW w:w="3167" w:type="dxa"/>
          </w:tcPr>
          <w:p w14:paraId="0A73F0E3" w14:textId="7D7FE09A" w:rsidR="00B220B6" w:rsidRPr="00B220B6" w:rsidRDefault="00B220B6" w:rsidP="00B220B6">
            <w:pPr>
              <w:rPr>
                <w:rFonts w:cs="Arial"/>
              </w:rPr>
            </w:pPr>
            <w:r w:rsidRPr="00B220B6">
              <w:t>50% от обичайната доза</w:t>
            </w:r>
          </w:p>
        </w:tc>
        <w:tc>
          <w:tcPr>
            <w:tcW w:w="3167" w:type="dxa"/>
          </w:tcPr>
          <w:p w14:paraId="1CECEA7E" w14:textId="2DD867C9" w:rsidR="00B220B6" w:rsidRPr="00B220B6" w:rsidRDefault="00B220B6" w:rsidP="00B220B6">
            <w:pPr>
              <w:rPr>
                <w:rFonts w:cs="Arial"/>
              </w:rPr>
            </w:pPr>
            <w:r w:rsidRPr="00B220B6">
              <w:t>както при пациенти без бъбречно увреждане</w:t>
            </w:r>
          </w:p>
        </w:tc>
      </w:tr>
    </w:tbl>
    <w:p w14:paraId="1059243C" w14:textId="77777777" w:rsidR="00B220B6" w:rsidRDefault="00B220B6" w:rsidP="00B220B6">
      <w:pPr>
        <w:rPr>
          <w:rFonts w:cs="Arial"/>
          <w:sz w:val="24"/>
          <w:szCs w:val="24"/>
        </w:rPr>
      </w:pPr>
    </w:p>
    <w:p w14:paraId="7E4AE7B6"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i/>
          <w:iCs/>
          <w:color w:val="000000"/>
          <w:lang w:eastAsia="bg-BG"/>
        </w:rPr>
        <w:t>Пациенти с чернодробно увреждане</w:t>
      </w:r>
    </w:p>
    <w:p w14:paraId="1AA82ABA"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При пациенти с леко чернодробно увреждане не е необходимо коригиране на препоръчваната дневна доза.</w:t>
      </w:r>
    </w:p>
    <w:p w14:paraId="74D821AB" w14:textId="77777777" w:rsidR="00B220B6" w:rsidRPr="00B220B6" w:rsidRDefault="00B220B6" w:rsidP="00B220B6">
      <w:pPr>
        <w:spacing w:line="240" w:lineRule="auto"/>
        <w:rPr>
          <w:rFonts w:eastAsia="Times New Roman" w:cs="Arial"/>
          <w:color w:val="000000"/>
          <w:u w:val="single"/>
          <w:lang w:eastAsia="bg-BG"/>
        </w:rPr>
      </w:pPr>
    </w:p>
    <w:p w14:paraId="407BF3EB" w14:textId="42489064" w:rsidR="00B220B6" w:rsidRPr="00B220B6" w:rsidRDefault="00B220B6" w:rsidP="00B220B6">
      <w:pPr>
        <w:pStyle w:val="Heading3"/>
        <w:rPr>
          <w:rFonts w:eastAsia="Times New Roman"/>
          <w:sz w:val="28"/>
          <w:szCs w:val="28"/>
          <w:u w:val="single"/>
          <w:lang w:eastAsia="bg-BG"/>
        </w:rPr>
      </w:pPr>
      <w:r w:rsidRPr="00B220B6">
        <w:rPr>
          <w:rFonts w:eastAsia="Times New Roman"/>
          <w:u w:val="single"/>
          <w:lang w:eastAsia="bg-BG"/>
        </w:rPr>
        <w:t>Начин на приложение</w:t>
      </w:r>
    </w:p>
    <w:p w14:paraId="6E4949BF"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Перорално.</w:t>
      </w:r>
    </w:p>
    <w:p w14:paraId="0C9F1A41"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Профикс не трябва да се приема без лекарско предписание.</w:t>
      </w:r>
    </w:p>
    <w:p w14:paraId="49C3F3C7" w14:textId="4EBED873" w:rsidR="00B220B6" w:rsidRPr="00B220B6" w:rsidRDefault="00B220B6" w:rsidP="00B220B6">
      <w:pPr>
        <w:rPr>
          <w:rFonts w:eastAsia="Times New Roman" w:cs="Arial"/>
          <w:color w:val="000000"/>
          <w:lang w:eastAsia="bg-BG"/>
        </w:rPr>
      </w:pPr>
      <w:r w:rsidRPr="00B220B6">
        <w:rPr>
          <w:rFonts w:eastAsia="Times New Roman" w:cs="Arial"/>
          <w:color w:val="000000"/>
          <w:lang w:eastAsia="bg-BG"/>
        </w:rPr>
        <w:t>Бионаличността на Профикс не се повлиява от приема на храна.</w:t>
      </w:r>
    </w:p>
    <w:p w14:paraId="7CB18BAE" w14:textId="77777777" w:rsidR="00B220B6" w:rsidRPr="00B220B6" w:rsidRDefault="00B220B6" w:rsidP="00B220B6">
      <w:pPr>
        <w:rPr>
          <w:rFonts w:cs="Arial"/>
          <w:sz w:val="24"/>
          <w:szCs w:val="24"/>
        </w:rPr>
      </w:pPr>
    </w:p>
    <w:p w14:paraId="5D9E65DA" w14:textId="37CC7594" w:rsidR="009F77A4" w:rsidRDefault="002C50EE" w:rsidP="00387A66">
      <w:pPr>
        <w:pStyle w:val="Heading2"/>
      </w:pPr>
      <w:r>
        <w:t>4.3. Противопоказания</w:t>
      </w:r>
    </w:p>
    <w:p w14:paraId="354A388F" w14:textId="77777777" w:rsidR="00B220B6" w:rsidRDefault="00B220B6" w:rsidP="00B220B6"/>
    <w:p w14:paraId="793109C2" w14:textId="3E759C8C" w:rsidR="00B220B6" w:rsidRDefault="00B220B6" w:rsidP="00B220B6">
      <w:r>
        <w:t>Свръхчувствителност към цефпрозил или към някое от помощните вещества, изброени в точка 6.1. Свръхчувствителност към антибиотици от класа на цефалоспорините.</w:t>
      </w:r>
    </w:p>
    <w:p w14:paraId="7FF81FB5" w14:textId="77777777" w:rsidR="00B220B6" w:rsidRPr="00B220B6" w:rsidRDefault="00B220B6" w:rsidP="00B220B6"/>
    <w:p w14:paraId="1C27CE53" w14:textId="39C79156" w:rsidR="009F77A4" w:rsidRDefault="002C50EE" w:rsidP="00387A66">
      <w:pPr>
        <w:pStyle w:val="Heading2"/>
      </w:pPr>
      <w:r>
        <w:t>4.4. Специални предупреждения и предпазни мерки при употреба</w:t>
      </w:r>
    </w:p>
    <w:p w14:paraId="18BBF352" w14:textId="77777777" w:rsidR="00B220B6" w:rsidRDefault="00B220B6" w:rsidP="00B220B6"/>
    <w:p w14:paraId="155F6470"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Преди започване на терапия с Профикс трябва да е налична информация за това дали пациента е имал предхождащи реакции на свръхчувствителност към цефалоспорини, пеницилини или други лекарства.</w:t>
      </w:r>
    </w:p>
    <w:p w14:paraId="079CDFE7"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Лечението с Профикс на пациенти с установена свръхчуствителност към пеницилиновите производни трябва да се извършва с повишено внимание поради доказана кръстосана чувствителност между беталактамните антибиотици. Тя се проявява при 10 % от болните с данни за пеницилинова алергия.</w:t>
      </w:r>
    </w:p>
    <w:p w14:paraId="284651C6"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При проява на алергични реакции, лечението с Профикс трябва да бъде преустановено.</w:t>
      </w:r>
    </w:p>
    <w:p w14:paraId="2CBBDCE4"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Тежки остри реакции на свръхчувствителност изискват спешно лечение.</w:t>
      </w:r>
    </w:p>
    <w:p w14:paraId="3E15E700"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 xml:space="preserve">Лечението с антибактериални средства предизвиква промяна в нормалната флора на дебелото черво, което води до свръхрастеж на </w:t>
      </w:r>
      <w:r w:rsidRPr="00B220B6">
        <w:rPr>
          <w:rFonts w:eastAsia="Times New Roman" w:cs="Arial"/>
          <w:i/>
          <w:iCs/>
          <w:color w:val="000000"/>
          <w:lang w:val="en-US"/>
        </w:rPr>
        <w:t>Clostridium difficile</w:t>
      </w:r>
      <w:r w:rsidRPr="00B220B6">
        <w:rPr>
          <w:rFonts w:eastAsia="Times New Roman" w:cs="Arial"/>
          <w:color w:val="000000"/>
          <w:lang w:val="en-US"/>
        </w:rPr>
        <w:t xml:space="preserve"> (CDAD).</w:t>
      </w:r>
    </w:p>
    <w:p w14:paraId="694BD279"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i/>
          <w:iCs/>
          <w:color w:val="000000"/>
          <w:lang w:val="en-US"/>
        </w:rPr>
        <w:t>Clostridium difficile</w:t>
      </w:r>
      <w:r w:rsidRPr="00B220B6">
        <w:rPr>
          <w:rFonts w:eastAsia="Times New Roman" w:cs="Arial"/>
          <w:color w:val="000000"/>
          <w:lang w:val="en-US"/>
        </w:rPr>
        <w:t xml:space="preserve"> </w:t>
      </w:r>
      <w:r w:rsidRPr="00B220B6">
        <w:rPr>
          <w:rFonts w:eastAsia="Times New Roman" w:cs="Arial"/>
          <w:color w:val="000000"/>
          <w:lang w:eastAsia="bg-BG"/>
        </w:rPr>
        <w:t xml:space="preserve">произвеждат токсини А и В, които допринасят за развитието на диария, свързана с </w:t>
      </w:r>
      <w:r w:rsidRPr="00B220B6">
        <w:rPr>
          <w:rFonts w:eastAsia="Times New Roman" w:cs="Arial"/>
          <w:i/>
          <w:iCs/>
          <w:color w:val="000000"/>
          <w:lang w:val="en-US"/>
        </w:rPr>
        <w:t>Clostridium difficile</w:t>
      </w:r>
      <w:r w:rsidRPr="00B220B6">
        <w:rPr>
          <w:rFonts w:eastAsia="Times New Roman" w:cs="Arial"/>
          <w:color w:val="000000"/>
          <w:lang w:val="en-US"/>
        </w:rPr>
        <w:t xml:space="preserve"> (CDAD).</w:t>
      </w:r>
    </w:p>
    <w:p w14:paraId="1CD6663E"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lastRenderedPageBreak/>
        <w:t xml:space="preserve">Диария свързана с </w:t>
      </w:r>
      <w:r w:rsidRPr="00B220B6">
        <w:rPr>
          <w:rFonts w:eastAsia="Times New Roman" w:cs="Arial"/>
          <w:i/>
          <w:iCs/>
          <w:color w:val="000000"/>
          <w:lang w:val="en-US"/>
        </w:rPr>
        <w:t>Clostridium difficile</w:t>
      </w:r>
      <w:r w:rsidRPr="00B220B6">
        <w:rPr>
          <w:rFonts w:eastAsia="Times New Roman" w:cs="Arial"/>
          <w:color w:val="000000"/>
          <w:lang w:val="en-US"/>
        </w:rPr>
        <w:t xml:space="preserve"> (CDAD) </w:t>
      </w:r>
      <w:r w:rsidRPr="00B220B6">
        <w:rPr>
          <w:rFonts w:eastAsia="Times New Roman" w:cs="Arial"/>
          <w:color w:val="000000"/>
          <w:lang w:eastAsia="bg-BG"/>
        </w:rPr>
        <w:t>е доклад вана при употребата на почти всички антибактериални средства, включително и Профикс, и може да варира по сериозност от лека диария до фатален колит.</w:t>
      </w:r>
    </w:p>
    <w:p w14:paraId="681D1CC8"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val="en-US"/>
        </w:rPr>
        <w:t xml:space="preserve">CDAD </w:t>
      </w:r>
      <w:r w:rsidRPr="00B220B6">
        <w:rPr>
          <w:rFonts w:eastAsia="Times New Roman" w:cs="Arial"/>
          <w:color w:val="000000"/>
          <w:lang w:eastAsia="bg-BG"/>
        </w:rPr>
        <w:t xml:space="preserve">трябва да се има предвид при всички пациенти, които развиват диария след употреба на антибиотици. Необходимо е внимателно снемане на анамнезата, тъй като е докладвана поява на </w:t>
      </w:r>
      <w:r w:rsidRPr="00B220B6">
        <w:rPr>
          <w:rFonts w:eastAsia="Times New Roman" w:cs="Arial"/>
          <w:color w:val="000000"/>
          <w:lang w:val="en-US"/>
        </w:rPr>
        <w:t xml:space="preserve">CDAD </w:t>
      </w:r>
      <w:r w:rsidRPr="00B220B6">
        <w:rPr>
          <w:rFonts w:eastAsia="Times New Roman" w:cs="Arial"/>
          <w:color w:val="000000"/>
          <w:lang w:eastAsia="bg-BG"/>
        </w:rPr>
        <w:t>повече от два месеца след приложението на антибактериални средства.</w:t>
      </w:r>
    </w:p>
    <w:p w14:paraId="3FE610B4" w14:textId="77777777" w:rsidR="00B220B6" w:rsidRPr="00B220B6" w:rsidRDefault="00B220B6" w:rsidP="00B220B6">
      <w:pPr>
        <w:spacing w:line="240" w:lineRule="auto"/>
        <w:rPr>
          <w:rFonts w:eastAsia="Times New Roman" w:cs="Arial"/>
          <w:i/>
          <w:iCs/>
          <w:color w:val="000000"/>
          <w:lang w:val="en-US"/>
        </w:rPr>
      </w:pPr>
      <w:r w:rsidRPr="00B220B6">
        <w:rPr>
          <w:rFonts w:eastAsia="Times New Roman" w:cs="Arial"/>
          <w:color w:val="000000"/>
          <w:lang w:eastAsia="bg-BG"/>
        </w:rPr>
        <w:t xml:space="preserve">Ако </w:t>
      </w:r>
      <w:r w:rsidRPr="00B220B6">
        <w:rPr>
          <w:rFonts w:eastAsia="Times New Roman" w:cs="Arial"/>
          <w:color w:val="000000"/>
          <w:lang w:val="en-US"/>
        </w:rPr>
        <w:t xml:space="preserve">CDAD </w:t>
      </w:r>
      <w:r w:rsidRPr="00B220B6">
        <w:rPr>
          <w:rFonts w:eastAsia="Times New Roman" w:cs="Arial"/>
          <w:color w:val="000000"/>
          <w:lang w:eastAsia="bg-BG"/>
        </w:rPr>
        <w:t xml:space="preserve">се подозира или потвърди, може да се наложи прекратяване на употребата на антибиотици, които не са насочени срещу </w:t>
      </w:r>
      <w:r w:rsidRPr="00B220B6">
        <w:rPr>
          <w:rFonts w:eastAsia="Times New Roman" w:cs="Arial"/>
          <w:i/>
          <w:iCs/>
          <w:color w:val="000000"/>
          <w:lang w:val="en-US"/>
        </w:rPr>
        <w:t>Clostridium difficile.</w:t>
      </w:r>
    </w:p>
    <w:p w14:paraId="117A9584" w14:textId="77777777" w:rsidR="00B220B6" w:rsidRPr="00B220B6" w:rsidRDefault="00B220B6" w:rsidP="00B220B6">
      <w:pPr>
        <w:spacing w:line="240" w:lineRule="auto"/>
        <w:rPr>
          <w:rFonts w:eastAsia="Times New Roman" w:cs="Arial"/>
          <w:i/>
          <w:iCs/>
          <w:color w:val="000000"/>
          <w:lang w:val="en-US"/>
        </w:rPr>
      </w:pPr>
    </w:p>
    <w:p w14:paraId="1D2D9E40"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Продължителното лечение с Профикс може да доведе до развитието на резистентни бактериални щамове. Особено важно е лечението на болния да се извършва под наблюдение. Ако по време на лечението настъпи суперинфекция, трябва да се вземат незабавно съответните мерки.</w:t>
      </w:r>
    </w:p>
    <w:p w14:paraId="7A1CC45B" w14:textId="21733DE9"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 xml:space="preserve">Докладван е положителен директен тест на </w:t>
      </w:r>
      <w:r w:rsidRPr="00B220B6">
        <w:rPr>
          <w:rFonts w:eastAsia="Times New Roman" w:cs="Arial"/>
          <w:color w:val="000000"/>
          <w:lang w:val="en-US"/>
        </w:rPr>
        <w:t xml:space="preserve">Coombs </w:t>
      </w:r>
      <w:r w:rsidRPr="00B220B6">
        <w:rPr>
          <w:rFonts w:eastAsia="Times New Roman" w:cs="Arial"/>
          <w:color w:val="000000"/>
          <w:lang w:eastAsia="bg-BG"/>
        </w:rPr>
        <w:t>по време на лечение с цефалоспоринови антибиотици.</w:t>
      </w:r>
    </w:p>
    <w:p w14:paraId="4600BA36" w14:textId="77777777" w:rsidR="00B220B6" w:rsidRPr="00B220B6" w:rsidRDefault="00B220B6" w:rsidP="00B220B6">
      <w:pPr>
        <w:spacing w:line="240" w:lineRule="auto"/>
        <w:rPr>
          <w:rFonts w:eastAsia="Times New Roman" w:cs="Arial"/>
          <w:i/>
          <w:iCs/>
          <w:color w:val="000000"/>
          <w:lang w:eastAsia="bg-BG"/>
        </w:rPr>
      </w:pPr>
    </w:p>
    <w:p w14:paraId="3CA5BF5C" w14:textId="63AEDA7C" w:rsidR="00B220B6" w:rsidRPr="00B220B6" w:rsidRDefault="00B220B6" w:rsidP="00B220B6">
      <w:pPr>
        <w:spacing w:line="240" w:lineRule="auto"/>
        <w:rPr>
          <w:rFonts w:eastAsia="Times New Roman" w:cs="Arial"/>
          <w:sz w:val="28"/>
          <w:szCs w:val="28"/>
          <w:lang w:eastAsia="bg-BG"/>
        </w:rPr>
      </w:pPr>
      <w:r w:rsidRPr="00B220B6">
        <w:rPr>
          <w:rFonts w:eastAsia="Times New Roman" w:cs="Arial"/>
          <w:i/>
          <w:iCs/>
          <w:color w:val="000000"/>
          <w:lang w:eastAsia="bg-BG"/>
        </w:rPr>
        <w:t>Бъбречна недостатъчност</w:t>
      </w:r>
    </w:p>
    <w:p w14:paraId="3DAB0044"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 xml:space="preserve">При болни с тежка бъбречна дисфункция (креатинов клирънс &lt; 30 </w:t>
      </w:r>
      <w:r w:rsidRPr="00B220B6">
        <w:rPr>
          <w:rFonts w:eastAsia="Times New Roman" w:cs="Arial"/>
          <w:color w:val="000000"/>
          <w:lang w:val="en-US"/>
        </w:rPr>
        <w:t xml:space="preserve">ml/min) </w:t>
      </w:r>
      <w:r w:rsidRPr="00B220B6">
        <w:rPr>
          <w:rFonts w:eastAsia="Times New Roman" w:cs="Arial"/>
          <w:color w:val="000000"/>
          <w:lang w:eastAsia="bg-BG"/>
        </w:rPr>
        <w:t>общата дневна доза Профикс трябва да се намали поради високите и/или продължителни плазмени концентрации на цефпрозил.</w:t>
      </w:r>
    </w:p>
    <w:p w14:paraId="6436145B"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Цефалоспорините трябва да се прилагат с особено внимание при пациенти приемащи диуретици.</w:t>
      </w:r>
    </w:p>
    <w:p w14:paraId="53D9C030" w14:textId="77777777" w:rsidR="00B220B6" w:rsidRPr="00B220B6" w:rsidRDefault="00B220B6" w:rsidP="00B220B6">
      <w:pPr>
        <w:spacing w:line="240" w:lineRule="auto"/>
        <w:rPr>
          <w:rFonts w:eastAsia="Times New Roman" w:cs="Arial"/>
          <w:i/>
          <w:iCs/>
          <w:color w:val="000000"/>
          <w:lang w:eastAsia="bg-BG"/>
        </w:rPr>
      </w:pPr>
    </w:p>
    <w:p w14:paraId="09B7D73B" w14:textId="6949EB6E" w:rsidR="00B220B6" w:rsidRPr="00B220B6" w:rsidRDefault="00B220B6" w:rsidP="00B220B6">
      <w:pPr>
        <w:spacing w:line="240" w:lineRule="auto"/>
        <w:rPr>
          <w:rFonts w:eastAsia="Times New Roman" w:cs="Arial"/>
          <w:sz w:val="28"/>
          <w:szCs w:val="28"/>
          <w:lang w:eastAsia="bg-BG"/>
        </w:rPr>
      </w:pPr>
      <w:r w:rsidRPr="00B220B6">
        <w:rPr>
          <w:rFonts w:eastAsia="Times New Roman" w:cs="Arial"/>
          <w:i/>
          <w:iCs/>
          <w:color w:val="000000"/>
          <w:lang w:eastAsia="bg-BG"/>
        </w:rPr>
        <w:t>Педиатрична популация</w:t>
      </w:r>
    </w:p>
    <w:p w14:paraId="6CC8A2AF" w14:textId="77777777" w:rsidR="00B220B6" w:rsidRPr="00B220B6" w:rsidRDefault="00B220B6" w:rsidP="00B220B6">
      <w:pPr>
        <w:spacing w:line="240" w:lineRule="auto"/>
        <w:rPr>
          <w:rFonts w:ascii="Times New Roman" w:eastAsia="Times New Roman" w:hAnsi="Times New Roman" w:cs="Times New Roman"/>
          <w:sz w:val="24"/>
          <w:szCs w:val="24"/>
          <w:lang w:eastAsia="bg-BG"/>
        </w:rPr>
      </w:pPr>
      <w:r w:rsidRPr="00B220B6">
        <w:rPr>
          <w:rFonts w:eastAsia="Times New Roman" w:cs="Arial"/>
          <w:color w:val="000000"/>
          <w:lang w:eastAsia="bg-BG"/>
        </w:rPr>
        <w:t>Безопасността и ефективността при педиатрични пациенти на възраст под 6 месеца не са установени.</w:t>
      </w:r>
    </w:p>
    <w:p w14:paraId="264C9860" w14:textId="77777777" w:rsidR="00B220B6" w:rsidRPr="00B220B6" w:rsidRDefault="00B220B6" w:rsidP="00B220B6"/>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7967265" w14:textId="77777777" w:rsidR="00B220B6" w:rsidRDefault="00B220B6" w:rsidP="00B220B6"/>
    <w:p w14:paraId="08210E69"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Едновременното приложение на аминогликозидни и цефалоспоринови антибиотици може да доведе до поява на нефротоксичност,</w:t>
      </w:r>
    </w:p>
    <w:p w14:paraId="773296A0"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 xml:space="preserve">Едновременното прилагане на пробенецид удвоява площта под кривата </w:t>
      </w:r>
      <w:r w:rsidRPr="00B220B6">
        <w:rPr>
          <w:rFonts w:eastAsia="Times New Roman" w:cs="Arial"/>
          <w:color w:val="000000"/>
          <w:lang w:val="en-US"/>
        </w:rPr>
        <w:t xml:space="preserve">(AUC) </w:t>
      </w:r>
      <w:r w:rsidRPr="00B220B6">
        <w:rPr>
          <w:rFonts w:eastAsia="Times New Roman" w:cs="Arial"/>
          <w:color w:val="000000"/>
          <w:lang w:eastAsia="bg-BG"/>
        </w:rPr>
        <w:t>за цефпрозил.</w:t>
      </w:r>
    </w:p>
    <w:p w14:paraId="05AD17C0" w14:textId="77777777" w:rsidR="00B220B6" w:rsidRPr="00B220B6" w:rsidRDefault="00B220B6" w:rsidP="00B220B6">
      <w:pPr>
        <w:spacing w:line="240" w:lineRule="auto"/>
        <w:rPr>
          <w:rFonts w:eastAsia="Times New Roman" w:cs="Arial"/>
          <w:color w:val="000000"/>
          <w:lang w:eastAsia="bg-BG"/>
        </w:rPr>
      </w:pPr>
    </w:p>
    <w:p w14:paraId="6AC97913" w14:textId="532676EC"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Цефалоспориновите антибиотици могат да са причина за фалшиви положителни реакции за глюкоза в урината с меден редуктазен тест, но не с ензимен тест за глюкозурия.</w:t>
      </w:r>
    </w:p>
    <w:p w14:paraId="4E36BEF8"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Фалшива отрицателна реакция може да се наблюдава при ферицианидния тест за глюкоза в кръвта. Наличието на цефпрозил в кръвта не повлиява резултатите от изследване на креатинин в плазма и урина с алкален пикрат.</w:t>
      </w:r>
    </w:p>
    <w:p w14:paraId="3B012602" w14:textId="77777777" w:rsidR="00B220B6" w:rsidRPr="00B220B6" w:rsidRDefault="00B220B6" w:rsidP="00B220B6"/>
    <w:p w14:paraId="48846BBA" w14:textId="2507FDE7" w:rsidR="009F77A4" w:rsidRDefault="002C50EE" w:rsidP="00387A66">
      <w:pPr>
        <w:pStyle w:val="Heading2"/>
      </w:pPr>
      <w:r>
        <w:t>4.6. Фертилитет, бременност и кърмене</w:t>
      </w:r>
    </w:p>
    <w:p w14:paraId="77993441" w14:textId="77777777" w:rsidR="00B220B6" w:rsidRDefault="00B220B6" w:rsidP="00B220B6"/>
    <w:p w14:paraId="7FB382F4" w14:textId="77777777" w:rsidR="00B220B6" w:rsidRPr="00B220B6" w:rsidRDefault="00B220B6" w:rsidP="00B220B6">
      <w:pPr>
        <w:pStyle w:val="Heading3"/>
        <w:rPr>
          <w:rFonts w:eastAsia="Times New Roman"/>
          <w:sz w:val="28"/>
          <w:szCs w:val="28"/>
          <w:u w:val="single"/>
          <w:lang w:eastAsia="bg-BG"/>
        </w:rPr>
      </w:pPr>
      <w:r w:rsidRPr="00B220B6">
        <w:rPr>
          <w:rFonts w:eastAsia="Times New Roman"/>
          <w:u w:val="single"/>
          <w:lang w:eastAsia="bg-BG"/>
        </w:rPr>
        <w:t>Бременност</w:t>
      </w:r>
    </w:p>
    <w:p w14:paraId="24B3CD78"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Употребата на Профикс по време на бременност не се препоръчва, освен в случаите, когато е наложително.</w:t>
      </w:r>
    </w:p>
    <w:p w14:paraId="20DE2DC4"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lastRenderedPageBreak/>
        <w:t xml:space="preserve">Няма данни за увреждане на фетуса от цефпрозил при проучвания на репродуктивността, проведени при зайци, мишки и плъхове в дози съответно 0,8; 8,5 и 18,5 пъти максималните дневни доза при хора (1000 </w:t>
      </w:r>
      <w:r w:rsidRPr="00B220B6">
        <w:rPr>
          <w:rFonts w:eastAsia="Times New Roman" w:cs="Arial"/>
          <w:color w:val="000000"/>
          <w:lang w:val="en-US"/>
        </w:rPr>
        <w:t xml:space="preserve">mg), </w:t>
      </w:r>
      <w:r w:rsidRPr="00B220B6">
        <w:rPr>
          <w:rFonts w:eastAsia="Times New Roman" w:cs="Arial"/>
          <w:color w:val="000000"/>
          <w:lang w:eastAsia="bg-BG"/>
        </w:rPr>
        <w:t xml:space="preserve">основани на телесна повирхност </w:t>
      </w:r>
      <w:r w:rsidRPr="00B220B6">
        <w:rPr>
          <w:rFonts w:eastAsia="Times New Roman" w:cs="Arial"/>
          <w:color w:val="000000"/>
          <w:lang w:val="en-US"/>
        </w:rPr>
        <w:t>(mg/m</w:t>
      </w:r>
      <w:r w:rsidRPr="00B220B6">
        <w:rPr>
          <w:rFonts w:eastAsia="Times New Roman" w:cs="Arial"/>
          <w:color w:val="000000"/>
          <w:vertAlign w:val="superscript"/>
          <w:lang w:val="en-US"/>
        </w:rPr>
        <w:t>2</w:t>
      </w:r>
      <w:r w:rsidRPr="00B220B6">
        <w:rPr>
          <w:rFonts w:eastAsia="Times New Roman" w:cs="Arial"/>
          <w:color w:val="000000"/>
          <w:lang w:val="en-US"/>
        </w:rPr>
        <w:t>).</w:t>
      </w:r>
    </w:p>
    <w:p w14:paraId="69CF8B9C" w14:textId="77777777" w:rsidR="00B220B6" w:rsidRPr="00B220B6" w:rsidRDefault="00B220B6" w:rsidP="00B220B6">
      <w:pPr>
        <w:spacing w:line="240" w:lineRule="auto"/>
        <w:rPr>
          <w:rFonts w:eastAsia="Times New Roman" w:cs="Arial"/>
          <w:color w:val="000000"/>
          <w:u w:val="single"/>
          <w:lang w:eastAsia="bg-BG"/>
        </w:rPr>
      </w:pPr>
    </w:p>
    <w:p w14:paraId="068E8263" w14:textId="67FCD6F6" w:rsidR="00B220B6" w:rsidRPr="00B220B6" w:rsidRDefault="00B220B6" w:rsidP="00B220B6">
      <w:pPr>
        <w:pStyle w:val="Heading3"/>
        <w:rPr>
          <w:rFonts w:eastAsia="Times New Roman"/>
          <w:sz w:val="28"/>
          <w:szCs w:val="28"/>
          <w:u w:val="single"/>
          <w:lang w:eastAsia="bg-BG"/>
        </w:rPr>
      </w:pPr>
      <w:r w:rsidRPr="00B220B6">
        <w:rPr>
          <w:rFonts w:eastAsia="Times New Roman"/>
          <w:u w:val="single"/>
          <w:lang w:eastAsia="bg-BG"/>
        </w:rPr>
        <w:t>Кърмене</w:t>
      </w:r>
    </w:p>
    <w:p w14:paraId="242CBCB3"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По-малко от 0,3% от дозата, приложена при кърмачки, се екскретира в кърмата.</w:t>
      </w:r>
    </w:p>
    <w:p w14:paraId="21E29866" w14:textId="634FE35C" w:rsidR="00B220B6" w:rsidRPr="00B220B6" w:rsidRDefault="00B220B6" w:rsidP="00B220B6">
      <w:pPr>
        <w:rPr>
          <w:rFonts w:eastAsia="Times New Roman" w:cs="Arial"/>
          <w:color w:val="000000"/>
          <w:lang w:eastAsia="bg-BG"/>
        </w:rPr>
      </w:pPr>
      <w:r w:rsidRPr="00B220B6">
        <w:rPr>
          <w:rFonts w:eastAsia="Times New Roman" w:cs="Arial"/>
          <w:color w:val="000000"/>
          <w:lang w:eastAsia="bg-BG"/>
        </w:rPr>
        <w:t>Приложението на Профикс по време на кърмене трябва да се извършва с повишено внимание.</w:t>
      </w:r>
    </w:p>
    <w:p w14:paraId="5B0861CB" w14:textId="77777777" w:rsidR="00B220B6" w:rsidRPr="00B220B6" w:rsidRDefault="00B220B6" w:rsidP="00B220B6"/>
    <w:p w14:paraId="321AAB00" w14:textId="3EA4494E" w:rsidR="009F77A4" w:rsidRDefault="002C50EE" w:rsidP="00387A66">
      <w:pPr>
        <w:pStyle w:val="Heading2"/>
      </w:pPr>
      <w:r>
        <w:t>4.7. Ефекти върху способността за шофиране и работа с машини</w:t>
      </w:r>
    </w:p>
    <w:p w14:paraId="39E79C14" w14:textId="77777777" w:rsidR="00B220B6" w:rsidRDefault="00B220B6" w:rsidP="00B220B6"/>
    <w:p w14:paraId="23B938DA" w14:textId="77777777" w:rsidR="00B220B6" w:rsidRPr="00B220B6" w:rsidRDefault="00B220B6" w:rsidP="00B220B6">
      <w:pPr>
        <w:rPr>
          <w:sz w:val="24"/>
          <w:szCs w:val="24"/>
          <w:lang w:eastAsia="bg-BG"/>
        </w:rPr>
      </w:pPr>
      <w:r w:rsidRPr="00B220B6">
        <w:rPr>
          <w:lang w:eastAsia="bg-BG"/>
        </w:rPr>
        <w:t>Неприложимо.</w:t>
      </w:r>
    </w:p>
    <w:p w14:paraId="13C6C104" w14:textId="77777777" w:rsidR="00B220B6" w:rsidRPr="00B220B6" w:rsidRDefault="00B220B6" w:rsidP="00B220B6">
      <w:pPr>
        <w:rPr>
          <w:sz w:val="24"/>
          <w:szCs w:val="24"/>
          <w:lang w:eastAsia="bg-BG"/>
        </w:rPr>
      </w:pPr>
      <w:r w:rsidRPr="00B220B6">
        <w:rPr>
          <w:lang w:eastAsia="bg-BG"/>
        </w:rPr>
        <w:t>Трябва да се знае, че Профикс е възможно да причини замаяност и/или отпадналост, което може да повлияе способността за шофиране и работа с машини.</w:t>
      </w:r>
    </w:p>
    <w:p w14:paraId="203CAEF2" w14:textId="77777777" w:rsidR="00B220B6" w:rsidRPr="00B220B6" w:rsidRDefault="00B220B6" w:rsidP="00B220B6"/>
    <w:p w14:paraId="136C86B8" w14:textId="3F9D0CA1" w:rsidR="009F77A4" w:rsidRDefault="002C50EE" w:rsidP="00387A66">
      <w:pPr>
        <w:pStyle w:val="Heading2"/>
      </w:pPr>
      <w:r>
        <w:t>4.8. Нежелани лекарствени реакции</w:t>
      </w:r>
    </w:p>
    <w:p w14:paraId="37650892" w14:textId="77777777" w:rsidR="00B220B6" w:rsidRDefault="00B220B6" w:rsidP="00B220B6"/>
    <w:p w14:paraId="2C445C2B" w14:textId="5C1DD42E" w:rsidR="00B220B6" w:rsidRPr="00B220B6" w:rsidRDefault="00B220B6" w:rsidP="00B220B6">
      <w:pPr>
        <w:rPr>
          <w:rFonts w:cs="Arial"/>
        </w:rPr>
      </w:pPr>
      <w:r w:rsidRPr="00B220B6">
        <w:rPr>
          <w:rFonts w:cs="Arial"/>
        </w:rPr>
        <w:t>Нежеланите лекарствени реакции при цефпрозил са подобни на тези, наблюдавани при други цефалоспорини за перорално приложение. Контролираните клинични изпитвания показват добра поносимост към цефпрозил.</w:t>
      </w:r>
    </w:p>
    <w:p w14:paraId="3785E1CA" w14:textId="77777777" w:rsidR="00B220B6" w:rsidRPr="00B220B6" w:rsidRDefault="00B220B6" w:rsidP="00B220B6">
      <w:pPr>
        <w:rPr>
          <w:rFonts w:cs="Arial"/>
        </w:rPr>
      </w:pPr>
    </w:p>
    <w:p w14:paraId="298554E6" w14:textId="77777777"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Приблизително 2% от пациентите преустановяват лечението с цефпрозил заради проява на нежелани лекарствени реакции.</w:t>
      </w:r>
    </w:p>
    <w:p w14:paraId="0C4A1D98" w14:textId="77777777" w:rsidR="00B220B6" w:rsidRPr="00B220B6" w:rsidRDefault="00B220B6" w:rsidP="00B220B6">
      <w:pPr>
        <w:spacing w:line="240" w:lineRule="auto"/>
        <w:rPr>
          <w:rFonts w:eastAsia="Times New Roman" w:cs="Arial"/>
          <w:color w:val="000000"/>
          <w:lang w:eastAsia="bg-BG"/>
        </w:rPr>
      </w:pPr>
    </w:p>
    <w:p w14:paraId="7B16B2D9" w14:textId="6FF45ABE" w:rsidR="00B220B6" w:rsidRPr="00B220B6" w:rsidRDefault="00B220B6" w:rsidP="00B220B6">
      <w:pPr>
        <w:spacing w:line="240" w:lineRule="auto"/>
        <w:rPr>
          <w:rFonts w:eastAsia="Times New Roman" w:cs="Arial"/>
          <w:sz w:val="28"/>
          <w:szCs w:val="28"/>
          <w:lang w:eastAsia="bg-BG"/>
        </w:rPr>
      </w:pPr>
      <w:r w:rsidRPr="00B220B6">
        <w:rPr>
          <w:rFonts w:eastAsia="Times New Roman" w:cs="Arial"/>
          <w:color w:val="000000"/>
          <w:lang w:eastAsia="bg-BG"/>
        </w:rPr>
        <w:t xml:space="preserve">Използвана е класификация на нежеланите лекарствени реакции по честота и системно-органни класове по </w:t>
      </w:r>
      <w:r w:rsidRPr="00B220B6">
        <w:rPr>
          <w:rFonts w:eastAsia="Times New Roman" w:cs="Arial"/>
          <w:color w:val="000000"/>
          <w:lang w:val="en-US"/>
        </w:rPr>
        <w:t xml:space="preserve">MedDRA </w:t>
      </w:r>
      <w:r w:rsidRPr="00B220B6">
        <w:rPr>
          <w:rFonts w:eastAsia="Times New Roman" w:cs="Arial"/>
          <w:color w:val="000000"/>
          <w:lang w:eastAsia="bg-BG"/>
        </w:rPr>
        <w:t>конвенцията.</w:t>
      </w:r>
    </w:p>
    <w:p w14:paraId="2DAB72DB" w14:textId="30D830FC" w:rsidR="00B220B6" w:rsidRDefault="00B220B6" w:rsidP="00B220B6">
      <w:pPr>
        <w:rPr>
          <w:rFonts w:eastAsia="Times New Roman" w:cs="Arial"/>
          <w:color w:val="000000"/>
          <w:lang w:eastAsia="bg-BG"/>
        </w:rPr>
      </w:pPr>
      <w:r w:rsidRPr="00B220B6">
        <w:rPr>
          <w:rFonts w:eastAsia="Times New Roman" w:cs="Arial"/>
          <w:color w:val="000000"/>
          <w:lang w:eastAsia="bg-BG"/>
        </w:rPr>
        <w:t>Много чести (1/10), чести (&gt;1/100 до &lt;1/10), нечести (≥1/1000 до &lt;1/100), редки (≥1/10 000 до &lt;1/1000), много редки (&lt;1/10 000), с неизвестна честота (от наличните данни не може да бъде направена оценка).</w:t>
      </w:r>
    </w:p>
    <w:p w14:paraId="76DC937D" w14:textId="77777777" w:rsidR="00B220B6" w:rsidRDefault="00B220B6" w:rsidP="00B220B6">
      <w:pPr>
        <w:rPr>
          <w:rFonts w:eastAsia="Times New Roman" w:cs="Arial"/>
          <w:color w:val="000000"/>
          <w:lang w:eastAsia="bg-BG"/>
        </w:rPr>
      </w:pPr>
    </w:p>
    <w:tbl>
      <w:tblPr>
        <w:tblStyle w:val="TableGrid"/>
        <w:tblW w:w="0" w:type="auto"/>
        <w:tblLook w:val="04A0" w:firstRow="1" w:lastRow="0" w:firstColumn="1" w:lastColumn="0" w:noHBand="0" w:noVBand="1"/>
      </w:tblPr>
      <w:tblGrid>
        <w:gridCol w:w="3108"/>
        <w:gridCol w:w="3104"/>
        <w:gridCol w:w="3138"/>
      </w:tblGrid>
      <w:tr w:rsidR="00B220B6" w14:paraId="4FAA5253" w14:textId="77777777" w:rsidTr="00B220B6">
        <w:tc>
          <w:tcPr>
            <w:tcW w:w="3166" w:type="dxa"/>
          </w:tcPr>
          <w:p w14:paraId="04B26CD1" w14:textId="3A7AD0B7" w:rsidR="00B220B6" w:rsidRPr="00C80FB0" w:rsidRDefault="00B220B6" w:rsidP="00B220B6">
            <w:pPr>
              <w:rPr>
                <w:rFonts w:eastAsia="Times New Roman" w:cs="Arial"/>
                <w:color w:val="000000"/>
                <w:lang w:eastAsia="bg-BG"/>
              </w:rPr>
            </w:pPr>
            <w:r w:rsidRPr="00C80FB0">
              <w:rPr>
                <w:rFonts w:cs="Arial"/>
                <w:b/>
                <w:bCs/>
              </w:rPr>
              <w:t>Системно-органни класове</w:t>
            </w:r>
          </w:p>
        </w:tc>
        <w:tc>
          <w:tcPr>
            <w:tcW w:w="3167" w:type="dxa"/>
          </w:tcPr>
          <w:p w14:paraId="4C054260" w14:textId="14A5C4DD" w:rsidR="00B220B6" w:rsidRPr="00C80FB0" w:rsidRDefault="00B220B6" w:rsidP="00B220B6">
            <w:pPr>
              <w:rPr>
                <w:rFonts w:eastAsia="Times New Roman" w:cs="Arial"/>
                <w:color w:val="000000"/>
                <w:lang w:eastAsia="bg-BG"/>
              </w:rPr>
            </w:pPr>
            <w:r w:rsidRPr="00C80FB0">
              <w:rPr>
                <w:rFonts w:cs="Arial"/>
                <w:b/>
                <w:bCs/>
              </w:rPr>
              <w:t>Честота</w:t>
            </w:r>
          </w:p>
        </w:tc>
        <w:tc>
          <w:tcPr>
            <w:tcW w:w="3167" w:type="dxa"/>
          </w:tcPr>
          <w:p w14:paraId="00D03C6A" w14:textId="367E1798" w:rsidR="00B220B6" w:rsidRPr="00C80FB0" w:rsidRDefault="00B220B6" w:rsidP="00B220B6">
            <w:pPr>
              <w:rPr>
                <w:rFonts w:eastAsia="Times New Roman" w:cs="Arial"/>
                <w:color w:val="000000"/>
                <w:lang w:eastAsia="bg-BG"/>
              </w:rPr>
            </w:pPr>
            <w:r w:rsidRPr="00C80FB0">
              <w:rPr>
                <w:rFonts w:cs="Arial"/>
                <w:b/>
                <w:bCs/>
                <w:lang w:val="en-US"/>
              </w:rPr>
              <w:t xml:space="preserve">MedDRA </w:t>
            </w:r>
            <w:r w:rsidRPr="00C80FB0">
              <w:rPr>
                <w:rFonts w:cs="Arial"/>
                <w:b/>
                <w:bCs/>
              </w:rPr>
              <w:t>термин</w:t>
            </w:r>
          </w:p>
        </w:tc>
      </w:tr>
      <w:tr w:rsidR="00B220B6" w14:paraId="14202696" w14:textId="77777777" w:rsidTr="00B220B6">
        <w:trPr>
          <w:trHeight w:val="70"/>
        </w:trPr>
        <w:tc>
          <w:tcPr>
            <w:tcW w:w="3166" w:type="dxa"/>
          </w:tcPr>
          <w:p w14:paraId="54250D40" w14:textId="35D83EB0" w:rsidR="00B220B6" w:rsidRPr="00C80FB0" w:rsidRDefault="00B220B6" w:rsidP="00B220B6">
            <w:pPr>
              <w:rPr>
                <w:rFonts w:eastAsia="Times New Roman" w:cs="Arial"/>
                <w:color w:val="000000"/>
                <w:lang w:eastAsia="bg-BG"/>
              </w:rPr>
            </w:pPr>
            <w:r w:rsidRPr="00C80FB0">
              <w:rPr>
                <w:rFonts w:cs="Arial"/>
                <w:i/>
                <w:iCs/>
                <w:u w:val="single"/>
              </w:rPr>
              <w:t>Инфекции и инфестаиии</w:t>
            </w:r>
          </w:p>
        </w:tc>
        <w:tc>
          <w:tcPr>
            <w:tcW w:w="3167" w:type="dxa"/>
          </w:tcPr>
          <w:p w14:paraId="2C7A200D" w14:textId="43E9B18A" w:rsidR="00B220B6" w:rsidRPr="00C80FB0" w:rsidRDefault="00B220B6" w:rsidP="00B220B6">
            <w:pPr>
              <w:rPr>
                <w:rFonts w:eastAsia="Times New Roman" w:cs="Arial"/>
                <w:color w:val="000000"/>
                <w:lang w:eastAsia="bg-BG"/>
              </w:rPr>
            </w:pPr>
            <w:r w:rsidRPr="00C80FB0">
              <w:rPr>
                <w:rFonts w:cs="Arial"/>
              </w:rPr>
              <w:t>Чести</w:t>
            </w:r>
          </w:p>
        </w:tc>
        <w:tc>
          <w:tcPr>
            <w:tcW w:w="3167" w:type="dxa"/>
          </w:tcPr>
          <w:p w14:paraId="065F26C3" w14:textId="77777777" w:rsidR="00B220B6" w:rsidRPr="00C80FB0" w:rsidRDefault="00B220B6" w:rsidP="00B220B6">
            <w:pPr>
              <w:rPr>
                <w:rFonts w:cs="Arial"/>
              </w:rPr>
            </w:pPr>
            <w:r w:rsidRPr="00C80FB0">
              <w:rPr>
                <w:rFonts w:cs="Arial"/>
              </w:rPr>
              <w:t>Суперинфекция</w:t>
            </w:r>
          </w:p>
          <w:p w14:paraId="642C575B" w14:textId="0B5ECD21" w:rsidR="00B220B6" w:rsidRPr="00C80FB0" w:rsidRDefault="00B220B6" w:rsidP="00B220B6">
            <w:pPr>
              <w:rPr>
                <w:rFonts w:eastAsia="Times New Roman" w:cs="Arial"/>
                <w:color w:val="000000"/>
                <w:lang w:eastAsia="bg-BG"/>
              </w:rPr>
            </w:pPr>
            <w:r w:rsidRPr="00C80FB0">
              <w:rPr>
                <w:rFonts w:cs="Arial"/>
              </w:rPr>
              <w:t>Вагинална инфекция</w:t>
            </w:r>
          </w:p>
        </w:tc>
      </w:tr>
      <w:tr w:rsidR="00B220B6" w14:paraId="0B0A3FCC" w14:textId="77777777" w:rsidTr="00B220B6">
        <w:tc>
          <w:tcPr>
            <w:tcW w:w="3166" w:type="dxa"/>
            <w:vMerge w:val="restart"/>
          </w:tcPr>
          <w:p w14:paraId="30750AE1" w14:textId="774CDF89" w:rsidR="00B220B6" w:rsidRPr="00C80FB0" w:rsidRDefault="00B220B6" w:rsidP="00B220B6">
            <w:pPr>
              <w:rPr>
                <w:rFonts w:eastAsia="Times New Roman" w:cs="Arial"/>
                <w:color w:val="000000"/>
                <w:lang w:eastAsia="bg-BG"/>
              </w:rPr>
            </w:pPr>
            <w:r w:rsidRPr="00C80FB0">
              <w:rPr>
                <w:rFonts w:cs="Arial"/>
                <w:i/>
                <w:iCs/>
                <w:u w:val="single"/>
              </w:rPr>
              <w:t>Нарушения на кръвта и лимфната система</w:t>
            </w:r>
          </w:p>
        </w:tc>
        <w:tc>
          <w:tcPr>
            <w:tcW w:w="3167" w:type="dxa"/>
          </w:tcPr>
          <w:p w14:paraId="152F3108" w14:textId="5B2873E5" w:rsidR="00B220B6" w:rsidRPr="00C80FB0" w:rsidRDefault="00B220B6" w:rsidP="00B220B6">
            <w:pPr>
              <w:rPr>
                <w:rFonts w:eastAsia="Times New Roman" w:cs="Arial"/>
                <w:color w:val="000000"/>
                <w:lang w:eastAsia="bg-BG"/>
              </w:rPr>
            </w:pPr>
            <w:r w:rsidRPr="00C80FB0">
              <w:rPr>
                <w:rFonts w:cs="Arial"/>
              </w:rPr>
              <w:t>Чести</w:t>
            </w:r>
          </w:p>
        </w:tc>
        <w:tc>
          <w:tcPr>
            <w:tcW w:w="3167" w:type="dxa"/>
          </w:tcPr>
          <w:p w14:paraId="4E78CAD6" w14:textId="4EF01222" w:rsidR="00B220B6" w:rsidRPr="00C80FB0" w:rsidRDefault="00B220B6" w:rsidP="00B220B6">
            <w:pPr>
              <w:rPr>
                <w:rFonts w:eastAsia="Times New Roman" w:cs="Arial"/>
                <w:color w:val="000000"/>
                <w:lang w:eastAsia="bg-BG"/>
              </w:rPr>
            </w:pPr>
            <w:r w:rsidRPr="00C80FB0">
              <w:rPr>
                <w:rFonts w:cs="Arial"/>
              </w:rPr>
              <w:t>Еозинифилия</w:t>
            </w:r>
          </w:p>
        </w:tc>
      </w:tr>
      <w:tr w:rsidR="00B220B6" w14:paraId="7A79CC72" w14:textId="77777777" w:rsidTr="00B220B6">
        <w:tc>
          <w:tcPr>
            <w:tcW w:w="3166" w:type="dxa"/>
            <w:vMerge/>
          </w:tcPr>
          <w:p w14:paraId="233E3699" w14:textId="77777777" w:rsidR="00B220B6" w:rsidRPr="00C80FB0" w:rsidRDefault="00B220B6" w:rsidP="00B220B6">
            <w:pPr>
              <w:rPr>
                <w:rFonts w:eastAsia="Times New Roman" w:cs="Arial"/>
                <w:color w:val="000000"/>
                <w:lang w:eastAsia="bg-BG"/>
              </w:rPr>
            </w:pPr>
          </w:p>
        </w:tc>
        <w:tc>
          <w:tcPr>
            <w:tcW w:w="3167" w:type="dxa"/>
          </w:tcPr>
          <w:p w14:paraId="24C15BFB" w14:textId="39F2EC09" w:rsidR="00B220B6" w:rsidRPr="00C80FB0" w:rsidRDefault="00B220B6" w:rsidP="00B220B6">
            <w:pPr>
              <w:rPr>
                <w:rFonts w:eastAsia="Times New Roman" w:cs="Arial"/>
                <w:color w:val="000000"/>
                <w:lang w:eastAsia="bg-BG"/>
              </w:rPr>
            </w:pPr>
            <w:r w:rsidRPr="00C80FB0">
              <w:rPr>
                <w:rFonts w:cs="Arial"/>
              </w:rPr>
              <w:t>Нечести</w:t>
            </w:r>
          </w:p>
        </w:tc>
        <w:tc>
          <w:tcPr>
            <w:tcW w:w="3167" w:type="dxa"/>
          </w:tcPr>
          <w:p w14:paraId="28F28234" w14:textId="4D16908A" w:rsidR="00B220B6" w:rsidRPr="00C80FB0" w:rsidRDefault="00B220B6" w:rsidP="00B220B6">
            <w:pPr>
              <w:rPr>
                <w:rFonts w:eastAsia="Times New Roman" w:cs="Arial"/>
                <w:color w:val="000000"/>
                <w:lang w:eastAsia="bg-BG"/>
              </w:rPr>
            </w:pPr>
            <w:r w:rsidRPr="00C80FB0">
              <w:rPr>
                <w:rFonts w:cs="Arial"/>
              </w:rPr>
              <w:t>Намален брой на белите кръвни клетки</w:t>
            </w:r>
          </w:p>
        </w:tc>
      </w:tr>
      <w:tr w:rsidR="00B220B6" w14:paraId="6E8FF01C" w14:textId="77777777" w:rsidTr="00B220B6">
        <w:tc>
          <w:tcPr>
            <w:tcW w:w="3166" w:type="dxa"/>
            <w:vMerge/>
          </w:tcPr>
          <w:p w14:paraId="2DA51D2A" w14:textId="77777777" w:rsidR="00B220B6" w:rsidRPr="00C80FB0" w:rsidRDefault="00B220B6" w:rsidP="00B220B6">
            <w:pPr>
              <w:rPr>
                <w:rFonts w:eastAsia="Times New Roman" w:cs="Arial"/>
                <w:color w:val="000000"/>
                <w:lang w:eastAsia="bg-BG"/>
              </w:rPr>
            </w:pPr>
          </w:p>
        </w:tc>
        <w:tc>
          <w:tcPr>
            <w:tcW w:w="3167" w:type="dxa"/>
          </w:tcPr>
          <w:p w14:paraId="325C8F87" w14:textId="3755F8ED" w:rsidR="00B220B6" w:rsidRPr="00C80FB0" w:rsidRDefault="00B220B6" w:rsidP="00B220B6">
            <w:pPr>
              <w:rPr>
                <w:rFonts w:eastAsia="Times New Roman" w:cs="Arial"/>
                <w:color w:val="000000"/>
                <w:lang w:eastAsia="bg-BG"/>
              </w:rPr>
            </w:pPr>
            <w:r w:rsidRPr="00C80FB0">
              <w:rPr>
                <w:rFonts w:cs="Arial"/>
              </w:rPr>
              <w:t>Редки</w:t>
            </w:r>
          </w:p>
        </w:tc>
        <w:tc>
          <w:tcPr>
            <w:tcW w:w="3167" w:type="dxa"/>
          </w:tcPr>
          <w:p w14:paraId="65AB68D4" w14:textId="77777777" w:rsidR="00B220B6" w:rsidRPr="00B220B6" w:rsidRDefault="00B220B6" w:rsidP="00B220B6">
            <w:pPr>
              <w:spacing w:line="240" w:lineRule="auto"/>
              <w:rPr>
                <w:rFonts w:eastAsia="Times New Roman" w:cs="Arial"/>
                <w:lang w:eastAsia="bg-BG"/>
              </w:rPr>
            </w:pPr>
            <w:r w:rsidRPr="00B220B6">
              <w:rPr>
                <w:rFonts w:eastAsia="Times New Roman" w:cs="Arial"/>
                <w:color w:val="000000"/>
                <w:lang w:eastAsia="bg-BG"/>
              </w:rPr>
              <w:t>Тромбоцитопения</w:t>
            </w:r>
          </w:p>
          <w:p w14:paraId="23FAFB85" w14:textId="7BE17038" w:rsidR="00B220B6" w:rsidRPr="00C80FB0" w:rsidRDefault="00B220B6" w:rsidP="00B220B6">
            <w:pPr>
              <w:rPr>
                <w:rFonts w:eastAsia="Times New Roman" w:cs="Arial"/>
                <w:color w:val="000000"/>
                <w:lang w:eastAsia="bg-BG"/>
              </w:rPr>
            </w:pPr>
            <w:r w:rsidRPr="00C80FB0">
              <w:rPr>
                <w:rFonts w:eastAsia="Times New Roman" w:cs="Arial"/>
                <w:color w:val="000000"/>
                <w:lang w:eastAsia="bg-BG"/>
              </w:rPr>
              <w:t>Удължено протромбиново време</w:t>
            </w:r>
          </w:p>
        </w:tc>
      </w:tr>
      <w:tr w:rsidR="00B220B6" w14:paraId="1A3F19AC" w14:textId="77777777" w:rsidTr="00B220B6">
        <w:tc>
          <w:tcPr>
            <w:tcW w:w="3166" w:type="dxa"/>
          </w:tcPr>
          <w:p w14:paraId="22FB575D" w14:textId="401250B2" w:rsidR="00B220B6" w:rsidRPr="00C80FB0" w:rsidRDefault="00B220B6" w:rsidP="00B220B6">
            <w:pPr>
              <w:rPr>
                <w:rFonts w:eastAsia="Times New Roman" w:cs="Arial"/>
                <w:color w:val="000000"/>
                <w:lang w:eastAsia="bg-BG"/>
              </w:rPr>
            </w:pPr>
            <w:r w:rsidRPr="00C80FB0">
              <w:rPr>
                <w:rFonts w:cs="Arial"/>
                <w:i/>
                <w:iCs/>
                <w:u w:val="single"/>
              </w:rPr>
              <w:t>Нарушения на имунната система</w:t>
            </w:r>
          </w:p>
        </w:tc>
        <w:tc>
          <w:tcPr>
            <w:tcW w:w="3167" w:type="dxa"/>
          </w:tcPr>
          <w:p w14:paraId="1F53418F" w14:textId="19AE9DC6" w:rsidR="00B220B6" w:rsidRPr="00C80FB0" w:rsidRDefault="00B220B6" w:rsidP="00B220B6">
            <w:pPr>
              <w:rPr>
                <w:rFonts w:eastAsia="Times New Roman" w:cs="Arial"/>
                <w:color w:val="000000"/>
                <w:lang w:eastAsia="bg-BG"/>
              </w:rPr>
            </w:pPr>
            <w:r w:rsidRPr="00C80FB0">
              <w:rPr>
                <w:rFonts w:cs="Arial"/>
              </w:rPr>
              <w:t>Редки</w:t>
            </w:r>
          </w:p>
        </w:tc>
        <w:tc>
          <w:tcPr>
            <w:tcW w:w="3167" w:type="dxa"/>
          </w:tcPr>
          <w:p w14:paraId="5AE777FD" w14:textId="77777777" w:rsidR="00B220B6" w:rsidRPr="00C80FB0" w:rsidRDefault="00B220B6" w:rsidP="00B220B6">
            <w:pPr>
              <w:rPr>
                <w:rFonts w:cs="Arial"/>
              </w:rPr>
            </w:pPr>
            <w:r w:rsidRPr="00C80FB0">
              <w:rPr>
                <w:rFonts w:cs="Arial"/>
              </w:rPr>
              <w:t>Ангиоедем</w:t>
            </w:r>
          </w:p>
          <w:p w14:paraId="7CF3148D" w14:textId="77777777" w:rsidR="00B220B6" w:rsidRPr="00C80FB0" w:rsidRDefault="00B220B6" w:rsidP="00B220B6">
            <w:pPr>
              <w:rPr>
                <w:rFonts w:cs="Arial"/>
              </w:rPr>
            </w:pPr>
            <w:r w:rsidRPr="00C80FB0">
              <w:rPr>
                <w:rFonts w:cs="Arial"/>
              </w:rPr>
              <w:t>Анафилактична реакция</w:t>
            </w:r>
          </w:p>
          <w:p w14:paraId="5806DC52" w14:textId="146857CA" w:rsidR="00B220B6" w:rsidRPr="00C80FB0" w:rsidRDefault="00B220B6" w:rsidP="00B220B6">
            <w:pPr>
              <w:rPr>
                <w:rFonts w:eastAsia="Times New Roman" w:cs="Arial"/>
                <w:color w:val="000000"/>
                <w:lang w:eastAsia="bg-BG"/>
              </w:rPr>
            </w:pPr>
            <w:r w:rsidRPr="00C80FB0">
              <w:rPr>
                <w:rFonts w:cs="Arial"/>
              </w:rPr>
              <w:t>Серумна болест</w:t>
            </w:r>
          </w:p>
        </w:tc>
      </w:tr>
      <w:tr w:rsidR="00B220B6" w14:paraId="41EAAA94" w14:textId="77777777" w:rsidTr="00B220B6">
        <w:tc>
          <w:tcPr>
            <w:tcW w:w="3166" w:type="dxa"/>
            <w:vMerge w:val="restart"/>
          </w:tcPr>
          <w:p w14:paraId="01C893D6" w14:textId="01FCAFE3" w:rsidR="00B220B6" w:rsidRPr="00C80FB0" w:rsidRDefault="00B220B6" w:rsidP="00B220B6">
            <w:pPr>
              <w:rPr>
                <w:rFonts w:eastAsia="Times New Roman" w:cs="Arial"/>
                <w:color w:val="000000"/>
                <w:lang w:eastAsia="bg-BG"/>
              </w:rPr>
            </w:pPr>
            <w:r w:rsidRPr="00C80FB0">
              <w:rPr>
                <w:rFonts w:cs="Arial"/>
                <w:i/>
                <w:iCs/>
                <w:u w:val="single"/>
              </w:rPr>
              <w:t>Нарушения на нервната система</w:t>
            </w:r>
          </w:p>
        </w:tc>
        <w:tc>
          <w:tcPr>
            <w:tcW w:w="3167" w:type="dxa"/>
          </w:tcPr>
          <w:p w14:paraId="06DC1CA3" w14:textId="55F4403A" w:rsidR="00B220B6" w:rsidRPr="00C80FB0" w:rsidRDefault="00B220B6" w:rsidP="00B220B6">
            <w:pPr>
              <w:rPr>
                <w:rFonts w:eastAsia="Times New Roman" w:cs="Arial"/>
                <w:color w:val="000000"/>
                <w:lang w:eastAsia="bg-BG"/>
              </w:rPr>
            </w:pPr>
            <w:r w:rsidRPr="00C80FB0">
              <w:rPr>
                <w:rFonts w:cs="Arial"/>
              </w:rPr>
              <w:t>Чести</w:t>
            </w:r>
          </w:p>
        </w:tc>
        <w:tc>
          <w:tcPr>
            <w:tcW w:w="3167" w:type="dxa"/>
          </w:tcPr>
          <w:p w14:paraId="45434CEB" w14:textId="1650C3B9" w:rsidR="00B220B6" w:rsidRPr="00C80FB0" w:rsidRDefault="00B220B6" w:rsidP="00B220B6">
            <w:pPr>
              <w:rPr>
                <w:rFonts w:eastAsia="Times New Roman" w:cs="Arial"/>
                <w:color w:val="000000"/>
                <w:lang w:eastAsia="bg-BG"/>
              </w:rPr>
            </w:pPr>
            <w:r w:rsidRPr="00C80FB0">
              <w:rPr>
                <w:rFonts w:cs="Arial"/>
              </w:rPr>
              <w:t>Световъртеж</w:t>
            </w:r>
          </w:p>
        </w:tc>
      </w:tr>
      <w:tr w:rsidR="00B220B6" w14:paraId="744E46DF" w14:textId="77777777" w:rsidTr="00B220B6">
        <w:tc>
          <w:tcPr>
            <w:tcW w:w="3166" w:type="dxa"/>
            <w:vMerge/>
          </w:tcPr>
          <w:p w14:paraId="629ECACD" w14:textId="77777777" w:rsidR="00B220B6" w:rsidRPr="00C80FB0" w:rsidRDefault="00B220B6" w:rsidP="00B220B6">
            <w:pPr>
              <w:rPr>
                <w:rFonts w:eastAsia="Times New Roman" w:cs="Arial"/>
                <w:color w:val="000000"/>
                <w:lang w:eastAsia="bg-BG"/>
              </w:rPr>
            </w:pPr>
          </w:p>
        </w:tc>
        <w:tc>
          <w:tcPr>
            <w:tcW w:w="3167" w:type="dxa"/>
          </w:tcPr>
          <w:p w14:paraId="00D70EEA" w14:textId="337141BC" w:rsidR="00B220B6" w:rsidRPr="00C80FB0" w:rsidRDefault="00B220B6" w:rsidP="00B220B6">
            <w:pPr>
              <w:rPr>
                <w:rFonts w:eastAsia="Times New Roman" w:cs="Arial"/>
                <w:color w:val="000000"/>
                <w:lang w:eastAsia="bg-BG"/>
              </w:rPr>
            </w:pPr>
            <w:r w:rsidRPr="00C80FB0">
              <w:rPr>
                <w:rFonts w:cs="Arial"/>
              </w:rPr>
              <w:t>Нечести</w:t>
            </w:r>
          </w:p>
        </w:tc>
        <w:tc>
          <w:tcPr>
            <w:tcW w:w="3167" w:type="dxa"/>
          </w:tcPr>
          <w:p w14:paraId="5563E4D3" w14:textId="1AF3A59C" w:rsidR="00B220B6" w:rsidRPr="00C80FB0" w:rsidRDefault="00B220B6" w:rsidP="00B220B6">
            <w:pPr>
              <w:rPr>
                <w:rFonts w:eastAsia="Times New Roman" w:cs="Arial"/>
                <w:color w:val="000000"/>
                <w:lang w:eastAsia="bg-BG"/>
              </w:rPr>
            </w:pPr>
            <w:r w:rsidRPr="00C80FB0">
              <w:rPr>
                <w:rFonts w:cs="Arial"/>
              </w:rPr>
              <w:t xml:space="preserve">Състояние на объркване, безсъние, сомнолентност, психомоторна </w:t>
            </w:r>
            <w:r w:rsidRPr="00C80FB0">
              <w:rPr>
                <w:rFonts w:cs="Arial"/>
              </w:rPr>
              <w:lastRenderedPageBreak/>
              <w:t>хиперактивност, нервност, главоболие</w:t>
            </w:r>
          </w:p>
        </w:tc>
      </w:tr>
      <w:tr w:rsidR="00B220B6" w14:paraId="3B4729C9" w14:textId="77777777" w:rsidTr="00B220B6">
        <w:tc>
          <w:tcPr>
            <w:tcW w:w="3166" w:type="dxa"/>
            <w:vMerge w:val="restart"/>
          </w:tcPr>
          <w:p w14:paraId="7A01C49B" w14:textId="1025231F" w:rsidR="00B220B6" w:rsidRPr="00C80FB0" w:rsidRDefault="00B220B6" w:rsidP="00B220B6">
            <w:pPr>
              <w:rPr>
                <w:rFonts w:eastAsia="Times New Roman" w:cs="Arial"/>
                <w:color w:val="000000"/>
                <w:lang w:eastAsia="bg-BG"/>
              </w:rPr>
            </w:pPr>
            <w:r w:rsidRPr="00C80FB0">
              <w:rPr>
                <w:rFonts w:cs="Arial"/>
                <w:i/>
                <w:iCs/>
                <w:u w:val="single"/>
              </w:rPr>
              <w:lastRenderedPageBreak/>
              <w:t>Стомашно-чревни нарушения</w:t>
            </w:r>
          </w:p>
        </w:tc>
        <w:tc>
          <w:tcPr>
            <w:tcW w:w="3167" w:type="dxa"/>
          </w:tcPr>
          <w:p w14:paraId="30E06838" w14:textId="7BC120BE" w:rsidR="00B220B6" w:rsidRPr="00C80FB0" w:rsidRDefault="00B220B6" w:rsidP="00B220B6">
            <w:pPr>
              <w:rPr>
                <w:rFonts w:eastAsia="Times New Roman" w:cs="Arial"/>
                <w:color w:val="000000"/>
                <w:lang w:eastAsia="bg-BG"/>
              </w:rPr>
            </w:pPr>
            <w:r w:rsidRPr="00C80FB0">
              <w:rPr>
                <w:rFonts w:cs="Arial"/>
              </w:rPr>
              <w:t>Чести</w:t>
            </w:r>
          </w:p>
        </w:tc>
        <w:tc>
          <w:tcPr>
            <w:tcW w:w="3167" w:type="dxa"/>
          </w:tcPr>
          <w:p w14:paraId="3B1219FA" w14:textId="77777777" w:rsidR="00B220B6" w:rsidRPr="00C80FB0" w:rsidRDefault="00B220B6" w:rsidP="00B220B6">
            <w:pPr>
              <w:rPr>
                <w:rFonts w:cs="Arial"/>
              </w:rPr>
            </w:pPr>
            <w:r w:rsidRPr="00C80FB0">
              <w:rPr>
                <w:rFonts w:cs="Arial"/>
              </w:rPr>
              <w:t>Болки в корема</w:t>
            </w:r>
          </w:p>
          <w:p w14:paraId="407B5686" w14:textId="77777777" w:rsidR="00B220B6" w:rsidRPr="00C80FB0" w:rsidRDefault="00B220B6" w:rsidP="00B220B6">
            <w:pPr>
              <w:rPr>
                <w:rFonts w:cs="Arial"/>
              </w:rPr>
            </w:pPr>
            <w:r w:rsidRPr="00C80FB0">
              <w:rPr>
                <w:rFonts w:cs="Arial"/>
              </w:rPr>
              <w:t>Диария</w:t>
            </w:r>
          </w:p>
          <w:p w14:paraId="2C0AF434" w14:textId="56B33030" w:rsidR="00B220B6" w:rsidRPr="00C80FB0" w:rsidRDefault="00B220B6" w:rsidP="00B220B6">
            <w:pPr>
              <w:rPr>
                <w:rFonts w:eastAsia="Times New Roman" w:cs="Arial"/>
                <w:color w:val="000000"/>
                <w:lang w:eastAsia="bg-BG"/>
              </w:rPr>
            </w:pPr>
            <w:r w:rsidRPr="00C80FB0">
              <w:rPr>
                <w:rFonts w:cs="Arial"/>
              </w:rPr>
              <w:t>Гадене Повръщане</w:t>
            </w:r>
          </w:p>
        </w:tc>
      </w:tr>
      <w:tr w:rsidR="00B220B6" w14:paraId="7F2E78F8" w14:textId="77777777" w:rsidTr="00B220B6">
        <w:tc>
          <w:tcPr>
            <w:tcW w:w="3166" w:type="dxa"/>
            <w:vMerge/>
          </w:tcPr>
          <w:p w14:paraId="341AD505" w14:textId="77777777" w:rsidR="00B220B6" w:rsidRPr="00C80FB0" w:rsidRDefault="00B220B6" w:rsidP="00B220B6">
            <w:pPr>
              <w:rPr>
                <w:rFonts w:eastAsia="Times New Roman" w:cs="Arial"/>
                <w:color w:val="000000"/>
                <w:lang w:eastAsia="bg-BG"/>
              </w:rPr>
            </w:pPr>
          </w:p>
        </w:tc>
        <w:tc>
          <w:tcPr>
            <w:tcW w:w="3167" w:type="dxa"/>
          </w:tcPr>
          <w:p w14:paraId="046AE1DC" w14:textId="334C95A7" w:rsidR="00B220B6" w:rsidRPr="00C80FB0" w:rsidRDefault="00B220B6" w:rsidP="00B220B6">
            <w:pPr>
              <w:rPr>
                <w:rFonts w:eastAsia="Times New Roman" w:cs="Arial"/>
                <w:color w:val="000000"/>
                <w:lang w:eastAsia="bg-BG"/>
              </w:rPr>
            </w:pPr>
            <w:r w:rsidRPr="00C80FB0">
              <w:rPr>
                <w:rFonts w:cs="Arial"/>
              </w:rPr>
              <w:t>Редки</w:t>
            </w:r>
          </w:p>
        </w:tc>
        <w:tc>
          <w:tcPr>
            <w:tcW w:w="3167" w:type="dxa"/>
          </w:tcPr>
          <w:p w14:paraId="1C15F6F2" w14:textId="77777777" w:rsidR="00B220B6" w:rsidRPr="00C80FB0" w:rsidRDefault="00B220B6" w:rsidP="00B220B6">
            <w:pPr>
              <w:rPr>
                <w:rFonts w:cs="Arial"/>
              </w:rPr>
            </w:pPr>
            <w:r w:rsidRPr="00C80FB0">
              <w:rPr>
                <w:rFonts w:cs="Arial"/>
              </w:rPr>
              <w:t>Колит</w:t>
            </w:r>
          </w:p>
          <w:p w14:paraId="13675B83" w14:textId="11AF5C23" w:rsidR="00B220B6" w:rsidRPr="00C80FB0" w:rsidRDefault="00B220B6" w:rsidP="00B220B6">
            <w:pPr>
              <w:rPr>
                <w:rFonts w:eastAsia="Times New Roman" w:cs="Arial"/>
                <w:color w:val="000000"/>
                <w:lang w:eastAsia="bg-BG"/>
              </w:rPr>
            </w:pPr>
            <w:r w:rsidRPr="00C80FB0">
              <w:rPr>
                <w:rFonts w:cs="Arial"/>
              </w:rPr>
              <w:t>Псевдомембранозен колит</w:t>
            </w:r>
          </w:p>
        </w:tc>
      </w:tr>
      <w:tr w:rsidR="00B220B6" w14:paraId="69A7F96A" w14:textId="77777777" w:rsidTr="00B220B6">
        <w:tc>
          <w:tcPr>
            <w:tcW w:w="3166" w:type="dxa"/>
            <w:vMerge/>
          </w:tcPr>
          <w:p w14:paraId="34E3ADC4" w14:textId="77777777" w:rsidR="00B220B6" w:rsidRPr="00C80FB0" w:rsidRDefault="00B220B6" w:rsidP="00B220B6">
            <w:pPr>
              <w:rPr>
                <w:rFonts w:eastAsia="Times New Roman" w:cs="Arial"/>
                <w:color w:val="000000"/>
                <w:lang w:eastAsia="bg-BG"/>
              </w:rPr>
            </w:pPr>
          </w:p>
        </w:tc>
        <w:tc>
          <w:tcPr>
            <w:tcW w:w="3167" w:type="dxa"/>
          </w:tcPr>
          <w:p w14:paraId="1D8E12CB" w14:textId="0F6E635D" w:rsidR="00B220B6" w:rsidRPr="00C80FB0" w:rsidRDefault="00B220B6" w:rsidP="00B220B6">
            <w:pPr>
              <w:rPr>
                <w:rFonts w:eastAsia="Times New Roman" w:cs="Arial"/>
                <w:color w:val="000000"/>
                <w:lang w:eastAsia="bg-BG"/>
              </w:rPr>
            </w:pPr>
            <w:r w:rsidRPr="00C80FB0">
              <w:rPr>
                <w:rFonts w:cs="Arial"/>
              </w:rPr>
              <w:t>Неизвестна</w:t>
            </w:r>
          </w:p>
        </w:tc>
        <w:tc>
          <w:tcPr>
            <w:tcW w:w="3167" w:type="dxa"/>
          </w:tcPr>
          <w:p w14:paraId="6E73C05F" w14:textId="18E6A68D" w:rsidR="00B220B6" w:rsidRPr="00C80FB0" w:rsidRDefault="00B220B6" w:rsidP="00B220B6">
            <w:pPr>
              <w:rPr>
                <w:rFonts w:eastAsia="Times New Roman" w:cs="Arial"/>
                <w:color w:val="000000"/>
                <w:lang w:eastAsia="bg-BG"/>
              </w:rPr>
            </w:pPr>
            <w:r w:rsidRPr="00C80FB0">
              <w:rPr>
                <w:rFonts w:cs="Arial"/>
              </w:rPr>
              <w:t>Промяна в цвета на зъбите</w:t>
            </w:r>
          </w:p>
        </w:tc>
      </w:tr>
      <w:tr w:rsidR="00C80FB0" w14:paraId="73344CE1" w14:textId="77777777" w:rsidTr="00B220B6">
        <w:tc>
          <w:tcPr>
            <w:tcW w:w="3166" w:type="dxa"/>
            <w:vMerge w:val="restart"/>
          </w:tcPr>
          <w:p w14:paraId="6C184FEA" w14:textId="1DE26850" w:rsidR="00C80FB0" w:rsidRPr="00C80FB0" w:rsidRDefault="00C80FB0" w:rsidP="00C80FB0">
            <w:pPr>
              <w:rPr>
                <w:rFonts w:eastAsia="Times New Roman" w:cs="Arial"/>
                <w:color w:val="000000"/>
                <w:lang w:eastAsia="bg-BG"/>
              </w:rPr>
            </w:pPr>
            <w:r w:rsidRPr="00C80FB0">
              <w:rPr>
                <w:rFonts w:cs="Arial"/>
                <w:i/>
                <w:iCs/>
                <w:u w:val="single"/>
              </w:rPr>
              <w:t>Хепато - билиарни нарушения</w:t>
            </w:r>
          </w:p>
        </w:tc>
        <w:tc>
          <w:tcPr>
            <w:tcW w:w="3167" w:type="dxa"/>
          </w:tcPr>
          <w:p w14:paraId="7BBEC03C" w14:textId="11C88CD9" w:rsidR="00C80FB0" w:rsidRPr="00C80FB0" w:rsidRDefault="00C80FB0" w:rsidP="00C80FB0">
            <w:pPr>
              <w:rPr>
                <w:rFonts w:eastAsia="Times New Roman" w:cs="Arial"/>
                <w:color w:val="000000"/>
                <w:lang w:eastAsia="bg-BG"/>
              </w:rPr>
            </w:pPr>
            <w:r w:rsidRPr="00C80FB0">
              <w:rPr>
                <w:rFonts w:cs="Arial"/>
              </w:rPr>
              <w:t>Чести</w:t>
            </w:r>
          </w:p>
        </w:tc>
        <w:tc>
          <w:tcPr>
            <w:tcW w:w="3167" w:type="dxa"/>
          </w:tcPr>
          <w:p w14:paraId="55D014C2" w14:textId="77777777" w:rsidR="00C80FB0" w:rsidRPr="00C80FB0" w:rsidRDefault="00C80FB0" w:rsidP="00C80FB0">
            <w:pPr>
              <w:rPr>
                <w:rFonts w:cs="Arial"/>
              </w:rPr>
            </w:pPr>
            <w:r w:rsidRPr="00C80FB0">
              <w:rPr>
                <w:rFonts w:cs="Arial"/>
              </w:rPr>
              <w:t>Повишена аспартат аминотрансфераза</w:t>
            </w:r>
          </w:p>
          <w:p w14:paraId="5FE1C44B" w14:textId="2AB92B99" w:rsidR="00C80FB0" w:rsidRPr="00C80FB0" w:rsidRDefault="00C80FB0" w:rsidP="00C80FB0">
            <w:pPr>
              <w:rPr>
                <w:rFonts w:eastAsia="Times New Roman" w:cs="Arial"/>
                <w:color w:val="000000"/>
                <w:lang w:eastAsia="bg-BG"/>
              </w:rPr>
            </w:pPr>
            <w:r w:rsidRPr="00C80FB0">
              <w:rPr>
                <w:rFonts w:cs="Arial"/>
              </w:rPr>
              <w:t>Повишена аланин аминотрансфераза</w:t>
            </w:r>
          </w:p>
        </w:tc>
      </w:tr>
      <w:tr w:rsidR="00C80FB0" w14:paraId="319C7A4C" w14:textId="77777777" w:rsidTr="00B220B6">
        <w:tc>
          <w:tcPr>
            <w:tcW w:w="3166" w:type="dxa"/>
            <w:vMerge/>
          </w:tcPr>
          <w:p w14:paraId="38765990" w14:textId="77777777" w:rsidR="00C80FB0" w:rsidRPr="00C80FB0" w:rsidRDefault="00C80FB0" w:rsidP="00C80FB0">
            <w:pPr>
              <w:rPr>
                <w:rFonts w:eastAsia="Times New Roman" w:cs="Arial"/>
                <w:color w:val="000000"/>
                <w:lang w:eastAsia="bg-BG"/>
              </w:rPr>
            </w:pPr>
          </w:p>
        </w:tc>
        <w:tc>
          <w:tcPr>
            <w:tcW w:w="3167" w:type="dxa"/>
          </w:tcPr>
          <w:p w14:paraId="2F56ACAD" w14:textId="1CCA4D3F" w:rsidR="00C80FB0" w:rsidRPr="00C80FB0" w:rsidRDefault="00C80FB0" w:rsidP="00C80FB0">
            <w:pPr>
              <w:rPr>
                <w:rFonts w:eastAsia="Times New Roman" w:cs="Arial"/>
                <w:color w:val="000000"/>
                <w:lang w:eastAsia="bg-BG"/>
              </w:rPr>
            </w:pPr>
            <w:r w:rsidRPr="00C80FB0">
              <w:rPr>
                <w:rFonts w:cs="Arial"/>
              </w:rPr>
              <w:t>Нечести</w:t>
            </w:r>
          </w:p>
        </w:tc>
        <w:tc>
          <w:tcPr>
            <w:tcW w:w="3167" w:type="dxa"/>
          </w:tcPr>
          <w:p w14:paraId="2B2B27A4" w14:textId="18023A5D" w:rsidR="00C80FB0" w:rsidRPr="00C80FB0" w:rsidRDefault="00C80FB0" w:rsidP="00C80FB0">
            <w:pPr>
              <w:rPr>
                <w:rFonts w:eastAsia="Times New Roman" w:cs="Arial"/>
                <w:color w:val="000000"/>
                <w:lang w:eastAsia="bg-BG"/>
              </w:rPr>
            </w:pPr>
            <w:r w:rsidRPr="00C80FB0">
              <w:rPr>
                <w:rFonts w:cs="Arial"/>
              </w:rPr>
              <w:t>Повишена в кръвта алкална фосфатаза</w:t>
            </w:r>
          </w:p>
        </w:tc>
      </w:tr>
      <w:tr w:rsidR="00C80FB0" w14:paraId="04CD98B9" w14:textId="77777777" w:rsidTr="00B220B6">
        <w:tc>
          <w:tcPr>
            <w:tcW w:w="3166" w:type="dxa"/>
            <w:vMerge/>
          </w:tcPr>
          <w:p w14:paraId="5B0C8688" w14:textId="77777777" w:rsidR="00C80FB0" w:rsidRPr="00C80FB0" w:rsidRDefault="00C80FB0" w:rsidP="00C80FB0">
            <w:pPr>
              <w:rPr>
                <w:rFonts w:eastAsia="Times New Roman" w:cs="Arial"/>
                <w:color w:val="000000"/>
                <w:lang w:eastAsia="bg-BG"/>
              </w:rPr>
            </w:pPr>
          </w:p>
        </w:tc>
        <w:tc>
          <w:tcPr>
            <w:tcW w:w="3167" w:type="dxa"/>
          </w:tcPr>
          <w:p w14:paraId="0A91EFD8" w14:textId="2885B869" w:rsidR="00C80FB0" w:rsidRPr="00C80FB0" w:rsidRDefault="00C80FB0" w:rsidP="00C80FB0">
            <w:pPr>
              <w:rPr>
                <w:rFonts w:eastAsia="Times New Roman" w:cs="Arial"/>
                <w:color w:val="000000"/>
                <w:lang w:eastAsia="bg-BG"/>
              </w:rPr>
            </w:pPr>
            <w:r w:rsidRPr="00C80FB0">
              <w:rPr>
                <w:rFonts w:cs="Arial"/>
              </w:rPr>
              <w:t>Редки</w:t>
            </w:r>
          </w:p>
        </w:tc>
        <w:tc>
          <w:tcPr>
            <w:tcW w:w="3167" w:type="dxa"/>
          </w:tcPr>
          <w:p w14:paraId="1BAADC2E" w14:textId="2D005795" w:rsidR="00C80FB0" w:rsidRPr="00C80FB0" w:rsidRDefault="00C80FB0" w:rsidP="00C80FB0">
            <w:pPr>
              <w:rPr>
                <w:rFonts w:eastAsia="Times New Roman" w:cs="Arial"/>
                <w:color w:val="000000"/>
                <w:lang w:eastAsia="bg-BG"/>
              </w:rPr>
            </w:pPr>
            <w:r w:rsidRPr="00C80FB0">
              <w:rPr>
                <w:rFonts w:cs="Arial"/>
              </w:rPr>
              <w:t>Холестатична жълтеница Повишен билирубин в кръвта</w:t>
            </w:r>
          </w:p>
        </w:tc>
      </w:tr>
      <w:tr w:rsidR="00C80FB0" w14:paraId="72730D23" w14:textId="77777777" w:rsidTr="00B220B6">
        <w:tc>
          <w:tcPr>
            <w:tcW w:w="3166" w:type="dxa"/>
            <w:vMerge w:val="restart"/>
          </w:tcPr>
          <w:p w14:paraId="5E6893AC" w14:textId="012CB4E4" w:rsidR="00C80FB0" w:rsidRPr="00C80FB0" w:rsidRDefault="00C80FB0" w:rsidP="00C80FB0">
            <w:pPr>
              <w:rPr>
                <w:rFonts w:eastAsia="Times New Roman" w:cs="Arial"/>
                <w:color w:val="000000"/>
                <w:lang w:eastAsia="bg-BG"/>
              </w:rPr>
            </w:pPr>
            <w:r w:rsidRPr="00C80FB0">
              <w:rPr>
                <w:rFonts w:cs="Arial"/>
                <w:i/>
                <w:iCs/>
                <w:u w:val="single"/>
              </w:rPr>
              <w:t>Нарушения на кожата и подкожната тъкан</w:t>
            </w:r>
          </w:p>
        </w:tc>
        <w:tc>
          <w:tcPr>
            <w:tcW w:w="3167" w:type="dxa"/>
          </w:tcPr>
          <w:p w14:paraId="6CF61C9A" w14:textId="2B24466D" w:rsidR="00C80FB0" w:rsidRPr="00C80FB0" w:rsidRDefault="00C80FB0" w:rsidP="00C80FB0">
            <w:pPr>
              <w:rPr>
                <w:rFonts w:eastAsia="Times New Roman" w:cs="Arial"/>
                <w:color w:val="000000"/>
                <w:lang w:eastAsia="bg-BG"/>
              </w:rPr>
            </w:pPr>
            <w:r w:rsidRPr="00C80FB0">
              <w:rPr>
                <w:rFonts w:cs="Arial"/>
              </w:rPr>
              <w:t>Чести</w:t>
            </w:r>
          </w:p>
        </w:tc>
        <w:tc>
          <w:tcPr>
            <w:tcW w:w="3167" w:type="dxa"/>
          </w:tcPr>
          <w:p w14:paraId="38B42819" w14:textId="29AE94E6" w:rsidR="00C80FB0" w:rsidRPr="00C80FB0" w:rsidRDefault="00C80FB0" w:rsidP="00C80FB0">
            <w:pPr>
              <w:rPr>
                <w:rFonts w:eastAsia="Times New Roman" w:cs="Arial"/>
                <w:color w:val="000000"/>
                <w:lang w:eastAsia="bg-BG"/>
              </w:rPr>
            </w:pPr>
            <w:r w:rsidRPr="00C80FB0">
              <w:rPr>
                <w:rFonts w:cs="Arial"/>
              </w:rPr>
              <w:t>Дерматит</w:t>
            </w:r>
          </w:p>
        </w:tc>
      </w:tr>
      <w:tr w:rsidR="00C80FB0" w14:paraId="1CBFDDBD" w14:textId="77777777" w:rsidTr="00B220B6">
        <w:tc>
          <w:tcPr>
            <w:tcW w:w="3166" w:type="dxa"/>
            <w:vMerge/>
          </w:tcPr>
          <w:p w14:paraId="42CBF18C" w14:textId="77777777" w:rsidR="00C80FB0" w:rsidRPr="00C80FB0" w:rsidRDefault="00C80FB0" w:rsidP="00C80FB0">
            <w:pPr>
              <w:rPr>
                <w:rFonts w:eastAsia="Times New Roman" w:cs="Arial"/>
                <w:color w:val="000000"/>
                <w:lang w:eastAsia="bg-BG"/>
              </w:rPr>
            </w:pPr>
          </w:p>
        </w:tc>
        <w:tc>
          <w:tcPr>
            <w:tcW w:w="3167" w:type="dxa"/>
          </w:tcPr>
          <w:p w14:paraId="24FE6F30" w14:textId="2992FD9B" w:rsidR="00C80FB0" w:rsidRPr="00C80FB0" w:rsidRDefault="00C80FB0" w:rsidP="00C80FB0">
            <w:pPr>
              <w:rPr>
                <w:rFonts w:eastAsia="Times New Roman" w:cs="Arial"/>
                <w:color w:val="000000"/>
                <w:lang w:eastAsia="bg-BG"/>
              </w:rPr>
            </w:pPr>
            <w:r w:rsidRPr="00C80FB0">
              <w:rPr>
                <w:rFonts w:cs="Arial"/>
              </w:rPr>
              <w:t>Нечести</w:t>
            </w:r>
          </w:p>
        </w:tc>
        <w:tc>
          <w:tcPr>
            <w:tcW w:w="3167" w:type="dxa"/>
          </w:tcPr>
          <w:p w14:paraId="4FFC4A6B" w14:textId="0717EE6E" w:rsidR="00C80FB0" w:rsidRPr="00C80FB0" w:rsidRDefault="00C80FB0" w:rsidP="00C80FB0">
            <w:pPr>
              <w:rPr>
                <w:rFonts w:eastAsia="Times New Roman" w:cs="Arial"/>
                <w:color w:val="000000"/>
                <w:lang w:eastAsia="bg-BG"/>
              </w:rPr>
            </w:pPr>
            <w:r w:rsidRPr="00C80FB0">
              <w:rPr>
                <w:rFonts w:cs="Arial"/>
              </w:rPr>
              <w:t>Обрив и уртикария</w:t>
            </w:r>
          </w:p>
        </w:tc>
      </w:tr>
      <w:tr w:rsidR="00C80FB0" w14:paraId="68A21E87" w14:textId="77777777" w:rsidTr="00B220B6">
        <w:tc>
          <w:tcPr>
            <w:tcW w:w="3166" w:type="dxa"/>
            <w:vMerge/>
          </w:tcPr>
          <w:p w14:paraId="07AA6099" w14:textId="77777777" w:rsidR="00C80FB0" w:rsidRPr="00C80FB0" w:rsidRDefault="00C80FB0" w:rsidP="00C80FB0">
            <w:pPr>
              <w:rPr>
                <w:rFonts w:eastAsia="Times New Roman" w:cs="Arial"/>
                <w:color w:val="000000"/>
                <w:lang w:eastAsia="bg-BG"/>
              </w:rPr>
            </w:pPr>
          </w:p>
        </w:tc>
        <w:tc>
          <w:tcPr>
            <w:tcW w:w="3167" w:type="dxa"/>
          </w:tcPr>
          <w:p w14:paraId="2E488541" w14:textId="3C2295E4" w:rsidR="00C80FB0" w:rsidRPr="00C80FB0" w:rsidRDefault="00C80FB0" w:rsidP="00C80FB0">
            <w:pPr>
              <w:rPr>
                <w:rFonts w:eastAsia="Times New Roman" w:cs="Arial"/>
                <w:color w:val="000000"/>
                <w:lang w:eastAsia="bg-BG"/>
              </w:rPr>
            </w:pPr>
            <w:r w:rsidRPr="00C80FB0">
              <w:rPr>
                <w:rFonts w:cs="Arial"/>
              </w:rPr>
              <w:t>Редки</w:t>
            </w:r>
          </w:p>
        </w:tc>
        <w:tc>
          <w:tcPr>
            <w:tcW w:w="3167" w:type="dxa"/>
          </w:tcPr>
          <w:p w14:paraId="2F2CE6E1" w14:textId="15DD1633" w:rsidR="00C80FB0" w:rsidRPr="00C80FB0" w:rsidRDefault="00C80FB0" w:rsidP="00C80FB0">
            <w:pPr>
              <w:rPr>
                <w:rFonts w:eastAsia="Times New Roman" w:cs="Arial"/>
                <w:color w:val="000000"/>
                <w:lang w:eastAsia="bg-BG"/>
              </w:rPr>
            </w:pPr>
            <w:r w:rsidRPr="00C80FB0">
              <w:rPr>
                <w:rFonts w:cs="Arial"/>
              </w:rPr>
              <w:t>Синдром на Еритема мултиформе Генитален пруритус</w:t>
            </w:r>
          </w:p>
        </w:tc>
      </w:tr>
      <w:tr w:rsidR="00C80FB0" w14:paraId="0718DB5D" w14:textId="77777777" w:rsidTr="00B220B6">
        <w:tc>
          <w:tcPr>
            <w:tcW w:w="3166" w:type="dxa"/>
          </w:tcPr>
          <w:p w14:paraId="2E7A0440" w14:textId="5DA94D89" w:rsidR="00C80FB0" w:rsidRPr="00C80FB0" w:rsidRDefault="00C80FB0" w:rsidP="00C80FB0">
            <w:pPr>
              <w:rPr>
                <w:rFonts w:eastAsia="Times New Roman" w:cs="Arial"/>
                <w:color w:val="000000"/>
                <w:lang w:eastAsia="bg-BG"/>
              </w:rPr>
            </w:pPr>
            <w:r w:rsidRPr="00C80FB0">
              <w:rPr>
                <w:rFonts w:cs="Arial"/>
                <w:i/>
                <w:iCs/>
                <w:u w:val="single"/>
              </w:rPr>
              <w:t>Нарушения на бъбреците и пикочните пътища</w:t>
            </w:r>
          </w:p>
        </w:tc>
        <w:tc>
          <w:tcPr>
            <w:tcW w:w="3167" w:type="dxa"/>
          </w:tcPr>
          <w:p w14:paraId="1A01D19C" w14:textId="431064A6" w:rsidR="00C80FB0" w:rsidRPr="00C80FB0" w:rsidRDefault="00C80FB0" w:rsidP="00C80FB0">
            <w:pPr>
              <w:rPr>
                <w:rFonts w:eastAsia="Times New Roman" w:cs="Arial"/>
                <w:color w:val="000000"/>
                <w:lang w:eastAsia="bg-BG"/>
              </w:rPr>
            </w:pPr>
            <w:r w:rsidRPr="00C80FB0">
              <w:rPr>
                <w:rFonts w:cs="Arial"/>
              </w:rPr>
              <w:t>Нечести</w:t>
            </w:r>
          </w:p>
        </w:tc>
        <w:tc>
          <w:tcPr>
            <w:tcW w:w="3167" w:type="dxa"/>
          </w:tcPr>
          <w:p w14:paraId="52D316A7" w14:textId="66F21303" w:rsidR="00C80FB0" w:rsidRPr="00C80FB0" w:rsidRDefault="00C80FB0" w:rsidP="00C80FB0">
            <w:pPr>
              <w:rPr>
                <w:rFonts w:eastAsia="Times New Roman" w:cs="Arial"/>
                <w:color w:val="000000"/>
                <w:lang w:eastAsia="bg-BG"/>
              </w:rPr>
            </w:pPr>
            <w:r w:rsidRPr="00C80FB0">
              <w:rPr>
                <w:rFonts w:cs="Arial"/>
              </w:rPr>
              <w:t>Повишена уреа в кръвта Повишен креатинин в кръвта</w:t>
            </w:r>
          </w:p>
        </w:tc>
      </w:tr>
      <w:tr w:rsidR="00C80FB0" w14:paraId="1804EF56" w14:textId="77777777" w:rsidTr="00B220B6">
        <w:tc>
          <w:tcPr>
            <w:tcW w:w="3166" w:type="dxa"/>
          </w:tcPr>
          <w:p w14:paraId="5FA43854" w14:textId="6FD04AB4" w:rsidR="00C80FB0" w:rsidRPr="00C80FB0" w:rsidRDefault="00C80FB0" w:rsidP="00C80FB0">
            <w:pPr>
              <w:rPr>
                <w:rFonts w:eastAsia="Times New Roman" w:cs="Arial"/>
                <w:color w:val="000000"/>
                <w:lang w:eastAsia="bg-BG"/>
              </w:rPr>
            </w:pPr>
            <w:r w:rsidRPr="00C80FB0">
              <w:rPr>
                <w:rFonts w:cs="Arial"/>
                <w:i/>
                <w:iCs/>
                <w:u w:val="single"/>
              </w:rPr>
              <w:t>Общи нарушения и ефекти на мястото на приложение</w:t>
            </w:r>
          </w:p>
        </w:tc>
        <w:tc>
          <w:tcPr>
            <w:tcW w:w="3167" w:type="dxa"/>
          </w:tcPr>
          <w:p w14:paraId="3A11DB89" w14:textId="24CEDBD2" w:rsidR="00C80FB0" w:rsidRPr="00C80FB0" w:rsidRDefault="00C80FB0" w:rsidP="00C80FB0">
            <w:pPr>
              <w:rPr>
                <w:rFonts w:eastAsia="Times New Roman" w:cs="Arial"/>
                <w:color w:val="000000"/>
                <w:lang w:eastAsia="bg-BG"/>
              </w:rPr>
            </w:pPr>
            <w:r w:rsidRPr="00C80FB0">
              <w:rPr>
                <w:rFonts w:cs="Arial"/>
              </w:rPr>
              <w:t>Редки</w:t>
            </w:r>
          </w:p>
        </w:tc>
        <w:tc>
          <w:tcPr>
            <w:tcW w:w="3167" w:type="dxa"/>
          </w:tcPr>
          <w:p w14:paraId="5A1FFB9F" w14:textId="2ED3C7A7" w:rsidR="00C80FB0" w:rsidRPr="00C80FB0" w:rsidRDefault="00C80FB0" w:rsidP="00C80FB0">
            <w:pPr>
              <w:rPr>
                <w:rFonts w:eastAsia="Times New Roman" w:cs="Arial"/>
                <w:color w:val="000000"/>
                <w:lang w:eastAsia="bg-BG"/>
              </w:rPr>
            </w:pPr>
            <w:r w:rsidRPr="00C80FB0">
              <w:rPr>
                <w:rFonts w:cs="Arial"/>
              </w:rPr>
              <w:t>Пирексия</w:t>
            </w:r>
          </w:p>
        </w:tc>
      </w:tr>
    </w:tbl>
    <w:p w14:paraId="53764D2D" w14:textId="77777777" w:rsidR="00C80FB0" w:rsidRDefault="00C80FB0" w:rsidP="00B220B6">
      <w:pPr>
        <w:rPr>
          <w:sz w:val="20"/>
          <w:szCs w:val="20"/>
        </w:rPr>
      </w:pPr>
    </w:p>
    <w:p w14:paraId="00C279CA" w14:textId="00EB06F3" w:rsidR="00B220B6" w:rsidRPr="00C80FB0" w:rsidRDefault="00C80FB0" w:rsidP="00B220B6">
      <w:pPr>
        <w:rPr>
          <w:rFonts w:cs="Arial"/>
        </w:rPr>
      </w:pPr>
      <w:r w:rsidRPr="00C80FB0">
        <w:rPr>
          <w:rFonts w:cs="Arial"/>
        </w:rPr>
        <w:t>Обрив и уртикария като нежелани реакции при лечение с цефпрозил се наблюдават по-често при деца. Симптомите обикновено настъпват няколко дни след започване на терапията и отшумяват до няколко дни след прекратяване на терапията.</w:t>
      </w:r>
    </w:p>
    <w:p w14:paraId="2CDC6BCC" w14:textId="77777777" w:rsidR="00C80FB0" w:rsidRPr="00C80FB0" w:rsidRDefault="00C80FB0" w:rsidP="00B220B6">
      <w:pPr>
        <w:rPr>
          <w:rFonts w:cs="Arial"/>
        </w:rPr>
      </w:pPr>
    </w:p>
    <w:p w14:paraId="7B7895CC"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За някои от следните събития се съобщава по време на пост-маркетингово наблюдение, независимо дали е установена причинно-следствена връзка с цефпрозил: анафилаксация, ангиоедем, колит, включително псевдо-мембранозен колит, еритема мултиформе, треска, серумна болест, синдром на </w:t>
      </w:r>
      <w:r w:rsidRPr="00C80FB0">
        <w:rPr>
          <w:rFonts w:eastAsia="Times New Roman" w:cs="Arial"/>
          <w:color w:val="000000"/>
          <w:lang w:val="en-US"/>
        </w:rPr>
        <w:t xml:space="preserve">Stevens-Jonson </w:t>
      </w:r>
      <w:r w:rsidRPr="00C80FB0">
        <w:rPr>
          <w:rFonts w:eastAsia="Times New Roman" w:cs="Arial"/>
          <w:color w:val="000000"/>
          <w:lang w:eastAsia="bg-BG"/>
        </w:rPr>
        <w:t>и тромбоцитопения.</w:t>
      </w:r>
    </w:p>
    <w:p w14:paraId="330AF36B" w14:textId="5C17AD8A" w:rsidR="00C80FB0" w:rsidRPr="00C80FB0" w:rsidRDefault="00C80FB0" w:rsidP="00C80FB0">
      <w:pPr>
        <w:rPr>
          <w:rFonts w:eastAsia="Times New Roman" w:cs="Arial"/>
          <w:color w:val="000000"/>
          <w:sz w:val="24"/>
          <w:szCs w:val="24"/>
          <w:lang w:eastAsia="bg-BG"/>
        </w:rPr>
      </w:pPr>
      <w:r w:rsidRPr="00C80FB0">
        <w:rPr>
          <w:rFonts w:eastAsia="Times New Roman" w:cs="Arial"/>
          <w:color w:val="000000"/>
          <w:lang w:eastAsia="bg-BG"/>
        </w:rPr>
        <w:t>По време на пост-маркетингово наблюдение е докладвано обезцветяване на зъбите.</w:t>
      </w:r>
    </w:p>
    <w:p w14:paraId="3A33E72F" w14:textId="77777777" w:rsidR="00B220B6" w:rsidRPr="00B220B6" w:rsidRDefault="00B220B6" w:rsidP="00B220B6"/>
    <w:p w14:paraId="378A0F20" w14:textId="65582394" w:rsidR="001D095A" w:rsidRDefault="002C50EE" w:rsidP="00340E8D">
      <w:pPr>
        <w:pStyle w:val="Heading2"/>
      </w:pPr>
      <w:r>
        <w:t>4.9. Предозиране</w:t>
      </w:r>
    </w:p>
    <w:p w14:paraId="3230C516" w14:textId="77777777" w:rsidR="00C80FB0" w:rsidRDefault="00C80FB0" w:rsidP="00C80FB0"/>
    <w:p w14:paraId="481A3E85"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 xml:space="preserve">Единични дози, от порядъка на 5000 </w:t>
      </w:r>
      <w:r w:rsidRPr="00C80FB0">
        <w:rPr>
          <w:rFonts w:eastAsia="Times New Roman" w:cs="Arial"/>
          <w:color w:val="000000"/>
          <w:lang w:val="en-US"/>
        </w:rPr>
        <w:t>mg/kg</w:t>
      </w:r>
      <w:r w:rsidRPr="00C80FB0">
        <w:rPr>
          <w:rFonts w:eastAsia="Times New Roman" w:cs="Arial"/>
          <w:color w:val="000000"/>
          <w:lang w:eastAsia="bg-BG"/>
        </w:rPr>
        <w:t>, прилагани върху животни в проучванията за токсичност, нямат сериозни или летални последствия.</w:t>
      </w:r>
    </w:p>
    <w:p w14:paraId="31DD5294"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 xml:space="preserve">Единични дози, от порядъка на 3000 </w:t>
      </w:r>
      <w:r w:rsidRPr="00C80FB0">
        <w:rPr>
          <w:rFonts w:eastAsia="Times New Roman" w:cs="Arial"/>
          <w:color w:val="000000"/>
          <w:lang w:val="en-US"/>
        </w:rPr>
        <w:t xml:space="preserve">mg/kg, </w:t>
      </w:r>
      <w:r w:rsidRPr="00C80FB0">
        <w:rPr>
          <w:rFonts w:eastAsia="Times New Roman" w:cs="Arial"/>
          <w:color w:val="000000"/>
          <w:lang w:eastAsia="bg-BG"/>
        </w:rPr>
        <w:t>прилагани върху макаци предизвикват диария без летални последствия.</w:t>
      </w:r>
    </w:p>
    <w:p w14:paraId="12B5BE93"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При случаи на предозиране, особено при пациенти с нарушена бъбречна функция, хемодиализата подпомага отстраняването на цефпрозил от организма.</w:t>
      </w:r>
    </w:p>
    <w:p w14:paraId="615CD9D4" w14:textId="4DA73CDB"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Цефпрозил се елиминира главно през бъбреците.</w:t>
      </w:r>
    </w:p>
    <w:p w14:paraId="6430662C" w14:textId="77777777" w:rsidR="00C80FB0" w:rsidRPr="00C80FB0" w:rsidRDefault="00C80FB0" w:rsidP="00C80FB0">
      <w:pPr>
        <w:spacing w:line="240" w:lineRule="auto"/>
        <w:rPr>
          <w:rFonts w:eastAsia="Times New Roman" w:cs="Arial"/>
          <w:color w:val="000000"/>
          <w:u w:val="single"/>
          <w:lang w:eastAsia="bg-BG"/>
        </w:rPr>
      </w:pPr>
    </w:p>
    <w:p w14:paraId="421D7E58" w14:textId="75AF6130" w:rsidR="00C80FB0" w:rsidRPr="00C80FB0" w:rsidRDefault="00C80FB0" w:rsidP="00C80FB0">
      <w:pPr>
        <w:spacing w:line="240" w:lineRule="auto"/>
        <w:rPr>
          <w:rFonts w:eastAsia="Times New Roman" w:cs="Arial"/>
          <w:lang w:eastAsia="bg-BG"/>
        </w:rPr>
      </w:pPr>
      <w:r w:rsidRPr="00C80FB0">
        <w:rPr>
          <w:rFonts w:eastAsia="Times New Roman" w:cs="Arial"/>
          <w:color w:val="000000"/>
          <w:u w:val="single"/>
          <w:lang w:eastAsia="bg-BG"/>
        </w:rPr>
        <w:lastRenderedPageBreak/>
        <w:t>Съобщаване на подозирани нежелани реакции</w:t>
      </w:r>
    </w:p>
    <w:p w14:paraId="0084D821"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4D781BC" w14:textId="77777777" w:rsidR="00C80FB0" w:rsidRPr="00C80FB0" w:rsidRDefault="00C80FB0" w:rsidP="00C80FB0">
      <w:pPr>
        <w:spacing w:line="240" w:lineRule="auto"/>
        <w:rPr>
          <w:rFonts w:eastAsia="Times New Roman" w:cs="Arial"/>
          <w:color w:val="000000"/>
          <w:lang w:eastAsia="bg-BG"/>
        </w:rPr>
      </w:pPr>
    </w:p>
    <w:p w14:paraId="03641B85" w14:textId="2FCC8A04"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Изпълнителна агенция по лекарствата (ИАЛ):</w:t>
      </w:r>
    </w:p>
    <w:p w14:paraId="32807344"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ул. „Дамян Груев“ № 8</w:t>
      </w:r>
    </w:p>
    <w:p w14:paraId="04D2D4A7"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гр. София 1303,</w:t>
      </w:r>
    </w:p>
    <w:p w14:paraId="2734AFCC"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тел. +3592 8903417</w:t>
      </w:r>
    </w:p>
    <w:p w14:paraId="2B48EBE1"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 xml:space="preserve">ел. поща: </w:t>
      </w:r>
      <w:r w:rsidRPr="00C80FB0">
        <w:rPr>
          <w:rFonts w:eastAsia="Times New Roman" w:cs="Arial"/>
          <w:lang w:eastAsia="bg-BG"/>
        </w:rPr>
        <w:fldChar w:fldCharType="begin"/>
      </w:r>
      <w:r w:rsidRPr="00C80FB0">
        <w:rPr>
          <w:rFonts w:eastAsia="Times New Roman" w:cs="Arial"/>
          <w:lang w:eastAsia="bg-BG"/>
        </w:rPr>
        <w:instrText xml:space="preserve"> HYPERLINK "mailto:bda@bda.bg" </w:instrText>
      </w:r>
      <w:r w:rsidRPr="00C80FB0">
        <w:rPr>
          <w:rFonts w:eastAsia="Times New Roman" w:cs="Arial"/>
          <w:lang w:eastAsia="bg-BG"/>
        </w:rPr>
      </w:r>
      <w:r w:rsidRPr="00C80FB0">
        <w:rPr>
          <w:rFonts w:eastAsia="Times New Roman" w:cs="Arial"/>
          <w:lang w:eastAsia="bg-BG"/>
        </w:rPr>
        <w:fldChar w:fldCharType="separate"/>
      </w:r>
      <w:r w:rsidRPr="00C80FB0">
        <w:rPr>
          <w:rFonts w:eastAsia="Times New Roman" w:cs="Arial"/>
          <w:color w:val="000000"/>
          <w:u w:val="single"/>
          <w:lang w:val="en-US"/>
        </w:rPr>
        <w:t>bda@bda.bg</w:t>
      </w:r>
      <w:r w:rsidRPr="00C80FB0">
        <w:rPr>
          <w:rFonts w:eastAsia="Times New Roman" w:cs="Arial"/>
          <w:lang w:eastAsia="bg-BG"/>
        </w:rPr>
        <w:fldChar w:fldCharType="end"/>
      </w:r>
    </w:p>
    <w:p w14:paraId="278DF2DD"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 xml:space="preserve">уебсайт: </w:t>
      </w:r>
      <w:r w:rsidRPr="00C80FB0">
        <w:rPr>
          <w:rFonts w:eastAsia="Times New Roman" w:cs="Arial"/>
          <w:lang w:eastAsia="bg-BG"/>
        </w:rPr>
        <w:fldChar w:fldCharType="begin"/>
      </w:r>
      <w:r w:rsidRPr="00C80FB0">
        <w:rPr>
          <w:rFonts w:eastAsia="Times New Roman" w:cs="Arial"/>
          <w:lang w:eastAsia="bg-BG"/>
        </w:rPr>
        <w:instrText xml:space="preserve"> HYPERLINK "http://www.bda.bg" </w:instrText>
      </w:r>
      <w:r w:rsidRPr="00C80FB0">
        <w:rPr>
          <w:rFonts w:eastAsia="Times New Roman" w:cs="Arial"/>
          <w:lang w:eastAsia="bg-BG"/>
        </w:rPr>
      </w:r>
      <w:r w:rsidRPr="00C80FB0">
        <w:rPr>
          <w:rFonts w:eastAsia="Times New Roman" w:cs="Arial"/>
          <w:lang w:eastAsia="bg-BG"/>
        </w:rPr>
        <w:fldChar w:fldCharType="separate"/>
      </w:r>
      <w:r w:rsidRPr="00C80FB0">
        <w:rPr>
          <w:rFonts w:eastAsia="Times New Roman" w:cs="Arial"/>
          <w:color w:val="000000"/>
          <w:u w:val="single"/>
          <w:lang w:val="en-US"/>
        </w:rPr>
        <w:t>www.bda.bg</w:t>
      </w:r>
      <w:r w:rsidRPr="00C80FB0">
        <w:rPr>
          <w:rFonts w:eastAsia="Times New Roman" w:cs="Arial"/>
          <w:lang w:eastAsia="bg-BG"/>
        </w:rPr>
        <w:fldChar w:fldCharType="end"/>
      </w:r>
    </w:p>
    <w:p w14:paraId="3B075242" w14:textId="77777777" w:rsidR="00C80FB0" w:rsidRPr="00C80FB0" w:rsidRDefault="00C80FB0" w:rsidP="00C80FB0"/>
    <w:p w14:paraId="02081B24" w14:textId="36FE76F4" w:rsidR="00395555" w:rsidRPr="00395555" w:rsidRDefault="002C50EE" w:rsidP="008A6AF2">
      <w:pPr>
        <w:pStyle w:val="Heading1"/>
      </w:pPr>
      <w:r>
        <w:t>5. ФАРМАКОЛОГИЧНИ СВОЙСТВА</w:t>
      </w:r>
    </w:p>
    <w:p w14:paraId="7F6CC5E1" w14:textId="38E92AEC" w:rsidR="00F62E44" w:rsidRDefault="002C50EE" w:rsidP="00387A66">
      <w:pPr>
        <w:pStyle w:val="Heading2"/>
      </w:pPr>
      <w:r>
        <w:t>5.1. Фармакодинамични свойства</w:t>
      </w:r>
    </w:p>
    <w:p w14:paraId="787D493D" w14:textId="77777777" w:rsidR="00C80FB0" w:rsidRDefault="00C80FB0" w:rsidP="00C80FB0"/>
    <w:p w14:paraId="25182E71" w14:textId="77777777" w:rsidR="00C80FB0" w:rsidRPr="00C80FB0" w:rsidRDefault="00C80FB0" w:rsidP="00C80FB0">
      <w:pPr>
        <w:spacing w:line="240" w:lineRule="auto"/>
        <w:rPr>
          <w:rFonts w:eastAsia="Times New Roman" w:cs="Arial"/>
          <w:lang w:eastAsia="bg-BG"/>
        </w:rPr>
      </w:pPr>
      <w:r w:rsidRPr="00C80FB0">
        <w:rPr>
          <w:rFonts w:eastAsia="Times New Roman" w:cs="Arial"/>
          <w:b/>
          <w:bCs/>
          <w:color w:val="000000"/>
          <w:lang w:eastAsia="bg-BG"/>
        </w:rPr>
        <w:t xml:space="preserve">Фармакотерапевтична група: </w:t>
      </w:r>
      <w:r w:rsidRPr="00C80FB0">
        <w:rPr>
          <w:rFonts w:eastAsia="Times New Roman" w:cs="Arial"/>
          <w:color w:val="000000"/>
          <w:lang w:eastAsia="bg-BG"/>
        </w:rPr>
        <w:t xml:space="preserve">Втора генерация цефалоспорини, АТС код: </w:t>
      </w:r>
      <w:r w:rsidRPr="00C80FB0">
        <w:rPr>
          <w:rFonts w:eastAsia="Times New Roman" w:cs="Arial"/>
          <w:color w:val="000000"/>
          <w:lang w:val="en-US"/>
        </w:rPr>
        <w:t>J01DC10</w:t>
      </w:r>
    </w:p>
    <w:p w14:paraId="2CC89895" w14:textId="77777777" w:rsidR="00C80FB0" w:rsidRPr="00C80FB0" w:rsidRDefault="00C80FB0" w:rsidP="00C80FB0">
      <w:pPr>
        <w:spacing w:line="240" w:lineRule="auto"/>
        <w:rPr>
          <w:rFonts w:eastAsia="Times New Roman" w:cs="Arial"/>
          <w:color w:val="000000"/>
          <w:u w:val="single"/>
          <w:lang w:eastAsia="bg-BG"/>
        </w:rPr>
      </w:pPr>
    </w:p>
    <w:p w14:paraId="2BBA6471" w14:textId="0C0EBF2B" w:rsidR="00C80FB0" w:rsidRPr="00C80FB0" w:rsidRDefault="00C80FB0" w:rsidP="00C80FB0">
      <w:pPr>
        <w:spacing w:line="240" w:lineRule="auto"/>
        <w:rPr>
          <w:rFonts w:eastAsia="Times New Roman" w:cs="Arial"/>
          <w:lang w:eastAsia="bg-BG"/>
        </w:rPr>
      </w:pPr>
      <w:r w:rsidRPr="00C80FB0">
        <w:rPr>
          <w:rFonts w:eastAsia="Times New Roman" w:cs="Arial"/>
          <w:color w:val="000000"/>
          <w:u w:val="single"/>
          <w:lang w:eastAsia="bg-BG"/>
        </w:rPr>
        <w:t>Механизъм на действие</w:t>
      </w:r>
    </w:p>
    <w:p w14:paraId="28AC1027"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Цефпрозил инхибира синтеза на протеини в бактериалната клетъчната стена чрез свързване с един или повече от пеницилин-свързващите протеини, което подтиска процесите на синтез на пептидоглюкан в бактериалната клетъчна стена.</w:t>
      </w:r>
    </w:p>
    <w:p w14:paraId="57EBDD73" w14:textId="77777777" w:rsidR="00C80FB0" w:rsidRPr="00C80FB0" w:rsidRDefault="00C80FB0" w:rsidP="00C80FB0">
      <w:pPr>
        <w:spacing w:line="240" w:lineRule="auto"/>
        <w:rPr>
          <w:rFonts w:eastAsia="Times New Roman" w:cs="Arial"/>
          <w:color w:val="000000"/>
          <w:u w:val="single"/>
          <w:lang w:eastAsia="bg-BG"/>
        </w:rPr>
      </w:pPr>
    </w:p>
    <w:p w14:paraId="6BF47E7C" w14:textId="26925C4E" w:rsidR="00C80FB0" w:rsidRPr="00C80FB0" w:rsidRDefault="00C80FB0" w:rsidP="00C80FB0">
      <w:pPr>
        <w:spacing w:line="240" w:lineRule="auto"/>
        <w:rPr>
          <w:rFonts w:eastAsia="Times New Roman" w:cs="Arial"/>
          <w:lang w:eastAsia="bg-BG"/>
        </w:rPr>
      </w:pPr>
      <w:r w:rsidRPr="00C80FB0">
        <w:rPr>
          <w:rFonts w:eastAsia="Times New Roman" w:cs="Arial"/>
          <w:color w:val="000000"/>
          <w:u w:val="single"/>
          <w:lang w:eastAsia="bg-BG"/>
        </w:rPr>
        <w:t>Микробиология</w:t>
      </w:r>
    </w:p>
    <w:p w14:paraId="1DA53E7B"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Цефпрозил има широк спектър на действие, срещу грам- положителни и грам-отрицателни бактерии.</w:t>
      </w:r>
    </w:p>
    <w:p w14:paraId="675AA9A8"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 xml:space="preserve">Цефпрозил е активен срещу повечрто щамове на следните микроорганизми </w:t>
      </w:r>
      <w:r w:rsidRPr="00C80FB0">
        <w:rPr>
          <w:rFonts w:eastAsia="Times New Roman" w:cs="Arial"/>
          <w:i/>
          <w:iCs/>
          <w:color w:val="000000"/>
          <w:lang w:val="en-US"/>
        </w:rPr>
        <w:t>in vitro:</w:t>
      </w:r>
    </w:p>
    <w:p w14:paraId="78A68F49" w14:textId="77777777" w:rsidR="00C80FB0" w:rsidRPr="00C80FB0" w:rsidRDefault="00C80FB0" w:rsidP="00C80FB0">
      <w:pPr>
        <w:spacing w:line="240" w:lineRule="auto"/>
        <w:rPr>
          <w:rFonts w:eastAsia="Times New Roman" w:cs="Arial"/>
          <w:b/>
          <w:bCs/>
          <w:color w:val="000000"/>
          <w:lang w:eastAsia="bg-BG"/>
        </w:rPr>
      </w:pPr>
      <w:bookmarkStart w:id="1" w:name="bookmark0"/>
    </w:p>
    <w:p w14:paraId="1C2B7BFB" w14:textId="0E9B58B3" w:rsidR="00C80FB0" w:rsidRPr="00C80FB0" w:rsidRDefault="00C80FB0" w:rsidP="00C80FB0">
      <w:pPr>
        <w:spacing w:line="240" w:lineRule="auto"/>
        <w:rPr>
          <w:rFonts w:eastAsia="Times New Roman" w:cs="Arial"/>
          <w:lang w:eastAsia="bg-BG"/>
        </w:rPr>
      </w:pPr>
      <w:r w:rsidRPr="00C80FB0">
        <w:rPr>
          <w:rFonts w:eastAsia="Times New Roman" w:cs="Arial"/>
          <w:b/>
          <w:bCs/>
          <w:color w:val="000000"/>
          <w:lang w:eastAsia="bg-BG"/>
        </w:rPr>
        <w:t>Аеробни, грам - положителни микроорганизми:</w:t>
      </w:r>
      <w:bookmarkEnd w:id="1"/>
    </w:p>
    <w:p w14:paraId="7DBFB843" w14:textId="77777777" w:rsidR="00C80FB0" w:rsidRPr="00C80FB0" w:rsidRDefault="00C80FB0" w:rsidP="00C80FB0">
      <w:pPr>
        <w:pStyle w:val="ListParagraph"/>
        <w:numPr>
          <w:ilvl w:val="0"/>
          <w:numId w:val="2"/>
        </w:numPr>
        <w:spacing w:line="240" w:lineRule="auto"/>
        <w:rPr>
          <w:rFonts w:eastAsia="Times New Roman" w:cs="Arial"/>
          <w:i/>
          <w:iCs/>
          <w:color w:val="000000"/>
          <w:lang w:val="en-US"/>
        </w:rPr>
      </w:pPr>
      <w:r w:rsidRPr="00C80FB0">
        <w:rPr>
          <w:rFonts w:eastAsia="Times New Roman" w:cs="Arial"/>
          <w:i/>
          <w:iCs/>
          <w:color w:val="000000"/>
          <w:lang w:val="en-US"/>
        </w:rPr>
        <w:t>Staphylococcus aureus</w:t>
      </w:r>
      <w:r w:rsidRPr="00C80FB0">
        <w:rPr>
          <w:rFonts w:eastAsia="Times New Roman" w:cs="Arial"/>
          <w:color w:val="000000"/>
          <w:lang w:val="en-US"/>
        </w:rPr>
        <w:t xml:space="preserve"> </w:t>
      </w:r>
      <w:r w:rsidRPr="00C80FB0">
        <w:rPr>
          <w:rFonts w:eastAsia="Times New Roman" w:cs="Arial"/>
          <w:color w:val="000000"/>
          <w:lang w:eastAsia="bg-BG"/>
        </w:rPr>
        <w:t>(включително β</w:t>
      </w:r>
      <w:r w:rsidRPr="00C80FB0">
        <w:rPr>
          <w:rFonts w:eastAsia="Times New Roman" w:cs="Arial"/>
          <w:color w:val="000000"/>
          <w:lang w:val="en-US"/>
        </w:rPr>
        <w:t xml:space="preserve">- </w:t>
      </w:r>
      <w:r w:rsidRPr="00C80FB0">
        <w:rPr>
          <w:rFonts w:eastAsia="Times New Roman" w:cs="Arial"/>
          <w:color w:val="000000"/>
          <w:lang w:eastAsia="bg-BG"/>
        </w:rPr>
        <w:t>лактамаза продуциращи щамове),</w:t>
      </w:r>
    </w:p>
    <w:p w14:paraId="3630690F" w14:textId="77777777" w:rsidR="00C80FB0" w:rsidRPr="00C80FB0" w:rsidRDefault="00C80FB0" w:rsidP="00C80FB0">
      <w:pPr>
        <w:pStyle w:val="ListParagraph"/>
        <w:numPr>
          <w:ilvl w:val="0"/>
          <w:numId w:val="2"/>
        </w:numPr>
        <w:spacing w:line="240" w:lineRule="auto"/>
        <w:rPr>
          <w:rFonts w:eastAsia="Times New Roman" w:cs="Arial"/>
          <w:i/>
          <w:iCs/>
          <w:color w:val="000000"/>
          <w:lang w:val="en-US"/>
        </w:rPr>
      </w:pPr>
      <w:r w:rsidRPr="00C80FB0">
        <w:rPr>
          <w:rFonts w:eastAsia="Times New Roman" w:cs="Arial"/>
          <w:i/>
          <w:iCs/>
          <w:color w:val="000000"/>
          <w:lang w:val="en-US"/>
        </w:rPr>
        <w:t>Streptococcus pneumoniae,</w:t>
      </w:r>
    </w:p>
    <w:p w14:paraId="7130EA8C" w14:textId="587FB430" w:rsidR="00C80FB0" w:rsidRPr="00C80FB0" w:rsidRDefault="00C80FB0" w:rsidP="00C80FB0">
      <w:pPr>
        <w:pStyle w:val="ListParagraph"/>
        <w:numPr>
          <w:ilvl w:val="0"/>
          <w:numId w:val="2"/>
        </w:numPr>
        <w:spacing w:line="240" w:lineRule="auto"/>
        <w:rPr>
          <w:rFonts w:eastAsia="Times New Roman" w:cs="Arial"/>
          <w:i/>
          <w:iCs/>
          <w:color w:val="000000"/>
          <w:lang w:val="en-US"/>
        </w:rPr>
      </w:pPr>
      <w:r w:rsidRPr="00C80FB0">
        <w:rPr>
          <w:rFonts w:eastAsia="Times New Roman" w:cs="Arial"/>
          <w:i/>
          <w:iCs/>
          <w:color w:val="000000"/>
          <w:lang w:val="en-US"/>
        </w:rPr>
        <w:t xml:space="preserve">Streptococcus </w:t>
      </w:r>
      <w:proofErr w:type="spellStart"/>
      <w:r w:rsidRPr="00C80FB0">
        <w:rPr>
          <w:rFonts w:eastAsia="Times New Roman" w:cs="Arial"/>
          <w:i/>
          <w:iCs/>
          <w:color w:val="000000"/>
          <w:lang w:val="en-US"/>
        </w:rPr>
        <w:t>pyogene</w:t>
      </w:r>
      <w:proofErr w:type="spellEnd"/>
      <w:r w:rsidRPr="00C80FB0">
        <w:rPr>
          <w:rFonts w:eastAsia="Times New Roman" w:cs="Arial"/>
          <w:i/>
          <w:iCs/>
          <w:color w:val="000000"/>
          <w:lang w:val="en-US"/>
        </w:rPr>
        <w:t>.</w:t>
      </w:r>
    </w:p>
    <w:p w14:paraId="7CA2F929" w14:textId="77777777" w:rsidR="00C80FB0" w:rsidRPr="00C80FB0" w:rsidRDefault="00C80FB0" w:rsidP="00C80FB0">
      <w:pPr>
        <w:spacing w:line="240" w:lineRule="auto"/>
        <w:rPr>
          <w:rFonts w:eastAsia="Times New Roman" w:cs="Arial"/>
          <w:lang w:eastAsia="bg-BG"/>
        </w:rPr>
      </w:pPr>
      <w:r w:rsidRPr="00C80FB0">
        <w:rPr>
          <w:rFonts w:eastAsia="Times New Roman" w:cs="Arial"/>
          <w:color w:val="000000"/>
          <w:lang w:eastAsia="bg-BG"/>
        </w:rPr>
        <w:t>Цефпрозил не е активен срещу метицилин-резистентни щамове стафилококи</w:t>
      </w:r>
    </w:p>
    <w:p w14:paraId="05BF0130" w14:textId="77777777" w:rsidR="00C80FB0" w:rsidRPr="00C80FB0" w:rsidRDefault="00C80FB0" w:rsidP="00C80FB0">
      <w:pPr>
        <w:rPr>
          <w:rFonts w:eastAsia="Times New Roman" w:cs="Arial"/>
          <w:b/>
          <w:bCs/>
          <w:color w:val="000000"/>
          <w:lang w:eastAsia="bg-BG"/>
        </w:rPr>
      </w:pPr>
    </w:p>
    <w:p w14:paraId="4A11F9EE" w14:textId="1F52EC28" w:rsidR="00C80FB0" w:rsidRPr="00C80FB0" w:rsidRDefault="00C80FB0" w:rsidP="00C80FB0">
      <w:pPr>
        <w:rPr>
          <w:rFonts w:eastAsia="Times New Roman" w:cs="Arial"/>
          <w:b/>
          <w:bCs/>
          <w:color w:val="000000"/>
          <w:lang w:eastAsia="bg-BG"/>
        </w:rPr>
      </w:pPr>
      <w:r w:rsidRPr="00C80FB0">
        <w:rPr>
          <w:rFonts w:eastAsia="Times New Roman" w:cs="Arial"/>
          <w:b/>
          <w:bCs/>
          <w:color w:val="000000"/>
          <w:lang w:eastAsia="bg-BG"/>
        </w:rPr>
        <w:t>Аеробни, грам - отрицателни микроорганизми:</w:t>
      </w:r>
    </w:p>
    <w:p w14:paraId="31D2044A" w14:textId="77777777" w:rsidR="00C80FB0" w:rsidRPr="00C80FB0" w:rsidRDefault="00C80FB0" w:rsidP="00C80FB0">
      <w:pPr>
        <w:pStyle w:val="ListParagraph"/>
        <w:numPr>
          <w:ilvl w:val="0"/>
          <w:numId w:val="2"/>
        </w:numPr>
        <w:spacing w:line="240" w:lineRule="auto"/>
        <w:rPr>
          <w:rFonts w:eastAsia="Times New Roman" w:cs="Arial"/>
          <w:lang w:val="en-US" w:eastAsia="bg-BG"/>
        </w:rPr>
      </w:pPr>
      <w:proofErr w:type="spellStart"/>
      <w:r w:rsidRPr="00C80FB0">
        <w:rPr>
          <w:rFonts w:eastAsia="Times New Roman" w:cs="Arial"/>
          <w:i/>
          <w:iCs/>
          <w:color w:val="000000"/>
          <w:lang w:val="en-US"/>
        </w:rPr>
        <w:t>Haemophilus</w:t>
      </w:r>
      <w:proofErr w:type="spellEnd"/>
      <w:r w:rsidRPr="00C80FB0">
        <w:rPr>
          <w:rFonts w:eastAsia="Times New Roman" w:cs="Arial"/>
          <w:i/>
          <w:iCs/>
          <w:color w:val="000000"/>
          <w:lang w:val="en-US"/>
        </w:rPr>
        <w:t xml:space="preserve"> influenzae</w:t>
      </w:r>
      <w:r w:rsidRPr="00C80FB0">
        <w:rPr>
          <w:rFonts w:eastAsia="Times New Roman" w:cs="Arial"/>
          <w:color w:val="000000"/>
          <w:lang w:val="en-US"/>
        </w:rPr>
        <w:t xml:space="preserve"> </w:t>
      </w:r>
      <w:r w:rsidRPr="00C80FB0">
        <w:rPr>
          <w:rFonts w:eastAsia="Times New Roman" w:cs="Arial"/>
          <w:color w:val="000000"/>
          <w:lang w:eastAsia="bg-BG"/>
        </w:rPr>
        <w:t>(включително β- лактамаза продуциращи щамове),</w:t>
      </w:r>
    </w:p>
    <w:p w14:paraId="7A51F9D9" w14:textId="32FD1316"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Moraxella (</w:t>
      </w:r>
      <w:proofErr w:type="spellStart"/>
      <w:r w:rsidRPr="00C80FB0">
        <w:rPr>
          <w:rFonts w:eastAsia="Times New Roman" w:cs="Arial"/>
          <w:i/>
          <w:iCs/>
          <w:color w:val="000000"/>
          <w:lang w:val="en-US"/>
        </w:rPr>
        <w:t>Branhamella</w:t>
      </w:r>
      <w:proofErr w:type="spellEnd"/>
      <w:r w:rsidRPr="00C80FB0">
        <w:rPr>
          <w:rFonts w:eastAsia="Times New Roman" w:cs="Arial"/>
          <w:i/>
          <w:iCs/>
          <w:color w:val="000000"/>
          <w:lang w:val="en-US"/>
        </w:rPr>
        <w:t>) catarrhalis</w:t>
      </w:r>
      <w:r w:rsidRPr="00C80FB0">
        <w:rPr>
          <w:rFonts w:eastAsia="Times New Roman" w:cs="Arial"/>
          <w:color w:val="000000"/>
          <w:lang w:val="en-US"/>
        </w:rPr>
        <w:t xml:space="preserve"> </w:t>
      </w:r>
      <w:r w:rsidRPr="00C80FB0">
        <w:rPr>
          <w:rFonts w:eastAsia="Times New Roman" w:cs="Arial"/>
          <w:color w:val="000000"/>
          <w:lang w:eastAsia="bg-BG"/>
        </w:rPr>
        <w:t>(включително β</w:t>
      </w:r>
      <w:r w:rsidRPr="00C80FB0">
        <w:rPr>
          <w:rFonts w:eastAsia="Times New Roman" w:cs="Arial"/>
          <w:color w:val="000000"/>
          <w:lang w:val="en-US"/>
        </w:rPr>
        <w:t xml:space="preserve">- </w:t>
      </w:r>
      <w:r w:rsidRPr="00C80FB0">
        <w:rPr>
          <w:rFonts w:eastAsia="Times New Roman" w:cs="Arial"/>
          <w:color w:val="000000"/>
          <w:lang w:eastAsia="bg-BG"/>
        </w:rPr>
        <w:t>лактамаза продуциращи щамове).</w:t>
      </w:r>
    </w:p>
    <w:p w14:paraId="27C9B994" w14:textId="77777777" w:rsidR="00C80FB0" w:rsidRPr="00C80FB0" w:rsidRDefault="00C80FB0" w:rsidP="00C80FB0">
      <w:pPr>
        <w:spacing w:line="240" w:lineRule="auto"/>
        <w:rPr>
          <w:rFonts w:eastAsia="Times New Roman" w:cs="Arial"/>
          <w:color w:val="000000"/>
          <w:lang w:eastAsia="bg-BG"/>
        </w:rPr>
      </w:pPr>
    </w:p>
    <w:p w14:paraId="35EAE80D" w14:textId="60FB67CB" w:rsidR="00C80FB0" w:rsidRPr="00C80FB0" w:rsidRDefault="00C80FB0" w:rsidP="00C80FB0">
      <w:pPr>
        <w:spacing w:line="240" w:lineRule="auto"/>
        <w:rPr>
          <w:rFonts w:eastAsia="Times New Roman" w:cs="Arial"/>
          <w:lang w:val="en-US" w:eastAsia="bg-BG"/>
        </w:rPr>
      </w:pPr>
      <w:r w:rsidRPr="00C80FB0">
        <w:rPr>
          <w:rFonts w:eastAsia="Times New Roman" w:cs="Arial"/>
          <w:color w:val="000000"/>
          <w:lang w:eastAsia="bg-BG"/>
        </w:rPr>
        <w:t>Безопасността и ефективността на цефпрозил при лечение на клинични инфекции, причинени от тези микроорганизми, не са установени при адекватни и добре контролирани клинични проучвания.</w:t>
      </w:r>
    </w:p>
    <w:p w14:paraId="597A9387" w14:textId="77777777" w:rsidR="00C80FB0" w:rsidRPr="00C80FB0" w:rsidRDefault="00C80FB0" w:rsidP="00C80FB0">
      <w:pPr>
        <w:spacing w:line="240" w:lineRule="auto"/>
        <w:rPr>
          <w:rFonts w:eastAsia="Times New Roman" w:cs="Arial"/>
          <w:b/>
          <w:bCs/>
          <w:color w:val="000000"/>
          <w:lang w:eastAsia="bg-BG"/>
        </w:rPr>
      </w:pPr>
    </w:p>
    <w:p w14:paraId="0FD51C0F" w14:textId="00E12CA6" w:rsidR="00C80FB0" w:rsidRPr="00C80FB0" w:rsidRDefault="00C80FB0" w:rsidP="00C80FB0">
      <w:pPr>
        <w:spacing w:line="240" w:lineRule="auto"/>
        <w:rPr>
          <w:rFonts w:eastAsia="Times New Roman" w:cs="Arial"/>
          <w:lang w:val="en-US" w:eastAsia="bg-BG"/>
        </w:rPr>
      </w:pPr>
      <w:r w:rsidRPr="00C80FB0">
        <w:rPr>
          <w:rFonts w:eastAsia="Times New Roman" w:cs="Arial"/>
          <w:b/>
          <w:bCs/>
          <w:color w:val="000000"/>
          <w:lang w:eastAsia="bg-BG"/>
        </w:rPr>
        <w:t>Аеробни, грам - положителни микроорганизми:</w:t>
      </w:r>
    </w:p>
    <w:p w14:paraId="0EF1ED2E"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 xml:space="preserve">Enterococcus </w:t>
      </w:r>
      <w:proofErr w:type="spellStart"/>
      <w:r w:rsidRPr="00C80FB0">
        <w:rPr>
          <w:rFonts w:eastAsia="Times New Roman" w:cs="Arial"/>
          <w:i/>
          <w:iCs/>
          <w:color w:val="000000"/>
          <w:lang w:val="en-US"/>
        </w:rPr>
        <w:t>durans,</w:t>
      </w:r>
      <w:proofErr w:type="spellEnd"/>
    </w:p>
    <w:p w14:paraId="3EC22EC7"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Enterococcus faecalis,</w:t>
      </w:r>
    </w:p>
    <w:p w14:paraId="6BEF60F3"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Listeria monocytogenes,</w:t>
      </w:r>
    </w:p>
    <w:p w14:paraId="5943D7F4"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lastRenderedPageBreak/>
        <w:t>Staphylococcus epidermidis,</w:t>
      </w:r>
    </w:p>
    <w:p w14:paraId="68F46459"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Staphylococcus saprophyticus,</w:t>
      </w:r>
    </w:p>
    <w:p w14:paraId="4C528ED7"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 xml:space="preserve">Staphylococcus </w:t>
      </w:r>
      <w:proofErr w:type="spellStart"/>
      <w:r w:rsidRPr="00C80FB0">
        <w:rPr>
          <w:rFonts w:eastAsia="Times New Roman" w:cs="Arial"/>
          <w:i/>
          <w:iCs/>
          <w:color w:val="000000"/>
          <w:lang w:val="en-US"/>
        </w:rPr>
        <w:t>warneri,</w:t>
      </w:r>
      <w:proofErr w:type="spellEnd"/>
    </w:p>
    <w:p w14:paraId="2C543181"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Streptococcus agalactiae,</w:t>
      </w:r>
    </w:p>
    <w:p w14:paraId="62858645"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Streptococci (Groups C, D, F, and G),</w:t>
      </w:r>
    </w:p>
    <w:p w14:paraId="487F7EAF" w14:textId="646A7132"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 xml:space="preserve">Streptococci </w:t>
      </w:r>
      <w:r w:rsidRPr="00C80FB0">
        <w:rPr>
          <w:rFonts w:eastAsia="Times New Roman" w:cs="Arial"/>
          <w:i/>
          <w:iCs/>
          <w:color w:val="000000"/>
          <w:lang w:eastAsia="bg-BG"/>
        </w:rPr>
        <w:t xml:space="preserve">от група </w:t>
      </w:r>
      <w:proofErr w:type="spellStart"/>
      <w:r w:rsidRPr="00C80FB0">
        <w:rPr>
          <w:rFonts w:eastAsia="Times New Roman" w:cs="Arial"/>
          <w:i/>
          <w:iCs/>
          <w:color w:val="000000"/>
          <w:lang w:val="en-US"/>
        </w:rPr>
        <w:t>Viridans</w:t>
      </w:r>
      <w:proofErr w:type="spellEnd"/>
      <w:r w:rsidRPr="00C80FB0">
        <w:rPr>
          <w:rFonts w:eastAsia="Times New Roman" w:cs="Arial"/>
          <w:i/>
          <w:iCs/>
          <w:color w:val="000000"/>
          <w:lang w:val="en-US"/>
        </w:rPr>
        <w:t>,</w:t>
      </w:r>
    </w:p>
    <w:p w14:paraId="4B2ED2E7" w14:textId="77777777" w:rsidR="00C80FB0" w:rsidRPr="00C80FB0" w:rsidRDefault="00C80FB0" w:rsidP="00C80FB0">
      <w:pPr>
        <w:spacing w:line="240" w:lineRule="auto"/>
        <w:rPr>
          <w:rFonts w:eastAsia="Times New Roman" w:cs="Arial"/>
          <w:color w:val="000000"/>
          <w:lang w:eastAsia="bg-BG"/>
        </w:rPr>
      </w:pPr>
    </w:p>
    <w:p w14:paraId="5E2BDB6F" w14:textId="4E7A76DD" w:rsidR="00C80FB0" w:rsidRPr="00C80FB0" w:rsidRDefault="00C80FB0" w:rsidP="00C80FB0">
      <w:pPr>
        <w:spacing w:line="240" w:lineRule="auto"/>
        <w:rPr>
          <w:rFonts w:eastAsia="Times New Roman" w:cs="Arial"/>
          <w:lang w:val="en-US" w:eastAsia="bg-BG"/>
        </w:rPr>
      </w:pPr>
      <w:r w:rsidRPr="00C80FB0">
        <w:rPr>
          <w:rFonts w:eastAsia="Times New Roman" w:cs="Arial"/>
          <w:color w:val="000000"/>
          <w:lang w:eastAsia="bg-BG"/>
        </w:rPr>
        <w:t xml:space="preserve">Цефпрозил не е активен срещу </w:t>
      </w:r>
      <w:r w:rsidRPr="00C80FB0">
        <w:rPr>
          <w:rFonts w:eastAsia="Times New Roman" w:cs="Arial"/>
          <w:i/>
          <w:iCs/>
          <w:color w:val="000000"/>
          <w:lang w:val="en-US"/>
        </w:rPr>
        <w:t>Enterococcus faecium.</w:t>
      </w:r>
    </w:p>
    <w:p w14:paraId="4F013F1D" w14:textId="77777777" w:rsidR="00C80FB0" w:rsidRPr="00C80FB0" w:rsidRDefault="00C80FB0" w:rsidP="00C80FB0">
      <w:pPr>
        <w:spacing w:line="240" w:lineRule="auto"/>
        <w:rPr>
          <w:rFonts w:eastAsia="Times New Roman" w:cs="Arial"/>
          <w:b/>
          <w:bCs/>
          <w:color w:val="000000"/>
          <w:lang w:eastAsia="bg-BG"/>
        </w:rPr>
      </w:pPr>
      <w:bookmarkStart w:id="2" w:name="bookmark2"/>
    </w:p>
    <w:p w14:paraId="538E25B0" w14:textId="377CEF9E" w:rsidR="00C80FB0" w:rsidRPr="00C80FB0" w:rsidRDefault="00C80FB0" w:rsidP="00C80FB0">
      <w:pPr>
        <w:spacing w:line="240" w:lineRule="auto"/>
        <w:rPr>
          <w:rFonts w:eastAsia="Times New Roman" w:cs="Arial"/>
          <w:lang w:val="en-US" w:eastAsia="bg-BG"/>
        </w:rPr>
      </w:pPr>
      <w:r w:rsidRPr="00C80FB0">
        <w:rPr>
          <w:rFonts w:eastAsia="Times New Roman" w:cs="Arial"/>
          <w:b/>
          <w:bCs/>
          <w:color w:val="000000"/>
          <w:lang w:eastAsia="bg-BG"/>
        </w:rPr>
        <w:t>Аеробни, грам - отрицателни микроорганизми:</w:t>
      </w:r>
      <w:bookmarkEnd w:id="2"/>
    </w:p>
    <w:p w14:paraId="15176592"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 xml:space="preserve">Citrobacter </w:t>
      </w:r>
      <w:proofErr w:type="spellStart"/>
      <w:r w:rsidRPr="00C80FB0">
        <w:rPr>
          <w:rFonts w:eastAsia="Times New Roman" w:cs="Arial"/>
          <w:i/>
          <w:iCs/>
          <w:color w:val="000000"/>
          <w:lang w:val="en-US"/>
        </w:rPr>
        <w:t>diversus,</w:t>
      </w:r>
      <w:proofErr w:type="spellEnd"/>
    </w:p>
    <w:p w14:paraId="26149C65"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Escherichia coli,</w:t>
      </w:r>
    </w:p>
    <w:p w14:paraId="72556B4A"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Klebsiella pneumoniae,</w:t>
      </w:r>
    </w:p>
    <w:p w14:paraId="321FD356"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 xml:space="preserve">Neisseria </w:t>
      </w:r>
      <w:proofErr w:type="spellStart"/>
      <w:r w:rsidRPr="00C80FB0">
        <w:rPr>
          <w:rFonts w:eastAsia="Times New Roman" w:cs="Arial"/>
          <w:i/>
          <w:iCs/>
          <w:color w:val="000000"/>
          <w:lang w:val="en-US"/>
        </w:rPr>
        <w:t>gonorrhoeas</w:t>
      </w:r>
      <w:proofErr w:type="spellEnd"/>
      <w:r w:rsidRPr="00C80FB0">
        <w:rPr>
          <w:rFonts w:eastAsia="Times New Roman" w:cs="Arial"/>
          <w:color w:val="000000"/>
          <w:lang w:val="en-US"/>
        </w:rPr>
        <w:t xml:space="preserve"> </w:t>
      </w:r>
      <w:r w:rsidRPr="00C80FB0">
        <w:rPr>
          <w:rFonts w:eastAsia="Times New Roman" w:cs="Arial"/>
          <w:color w:val="000000"/>
          <w:lang w:eastAsia="bg-BG"/>
        </w:rPr>
        <w:t>(включително β</w:t>
      </w:r>
      <w:r w:rsidRPr="00C80FB0">
        <w:rPr>
          <w:rFonts w:eastAsia="Times New Roman" w:cs="Arial"/>
          <w:color w:val="000000"/>
          <w:lang w:val="en-US"/>
        </w:rPr>
        <w:t xml:space="preserve">- </w:t>
      </w:r>
      <w:r w:rsidRPr="00C80FB0">
        <w:rPr>
          <w:rFonts w:eastAsia="Times New Roman" w:cs="Arial"/>
          <w:color w:val="000000"/>
          <w:lang w:eastAsia="bg-BG"/>
        </w:rPr>
        <w:t>лактамаза продуциращи щамове),</w:t>
      </w:r>
    </w:p>
    <w:p w14:paraId="189DFD5F"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Proteus mirabilis,</w:t>
      </w:r>
    </w:p>
    <w:p w14:paraId="12E6D182"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Salmonella</w:t>
      </w:r>
      <w:r w:rsidRPr="00C80FB0">
        <w:rPr>
          <w:rFonts w:eastAsia="Times New Roman" w:cs="Arial"/>
          <w:color w:val="000000"/>
          <w:lang w:val="en-US"/>
        </w:rPr>
        <w:t xml:space="preserve"> </w:t>
      </w:r>
      <w:proofErr w:type="spellStart"/>
      <w:proofErr w:type="gramStart"/>
      <w:r w:rsidRPr="00C80FB0">
        <w:rPr>
          <w:rFonts w:eastAsia="Times New Roman" w:cs="Arial"/>
          <w:color w:val="000000"/>
          <w:lang w:val="en-US"/>
        </w:rPr>
        <w:t>spp</w:t>
      </w:r>
      <w:proofErr w:type="spellEnd"/>
      <w:r w:rsidRPr="00C80FB0">
        <w:rPr>
          <w:rFonts w:eastAsia="Times New Roman" w:cs="Arial"/>
          <w:color w:val="000000"/>
          <w:lang w:val="en-US"/>
        </w:rPr>
        <w:t>,,</w:t>
      </w:r>
      <w:proofErr w:type="gramEnd"/>
    </w:p>
    <w:p w14:paraId="29B929A4"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Shigella</w:t>
      </w:r>
      <w:r w:rsidRPr="00C80FB0">
        <w:rPr>
          <w:rFonts w:eastAsia="Times New Roman" w:cs="Arial"/>
          <w:color w:val="000000"/>
          <w:lang w:val="en-US"/>
        </w:rPr>
        <w:t xml:space="preserve"> spp.,</w:t>
      </w:r>
    </w:p>
    <w:p w14:paraId="091CAD03" w14:textId="417467A6"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Vibrio</w:t>
      </w:r>
      <w:r w:rsidRPr="00C80FB0">
        <w:rPr>
          <w:rFonts w:eastAsia="Times New Roman" w:cs="Arial"/>
          <w:color w:val="000000"/>
          <w:lang w:val="en-US"/>
        </w:rPr>
        <w:t xml:space="preserve"> spp.</w:t>
      </w:r>
    </w:p>
    <w:p w14:paraId="10BAD95E" w14:textId="77777777" w:rsidR="00C80FB0" w:rsidRPr="00C80FB0" w:rsidRDefault="00C80FB0" w:rsidP="00C80FB0">
      <w:pPr>
        <w:spacing w:line="240" w:lineRule="auto"/>
        <w:rPr>
          <w:rFonts w:eastAsia="Times New Roman" w:cs="Arial"/>
          <w:color w:val="000000"/>
          <w:lang w:eastAsia="bg-BG"/>
        </w:rPr>
      </w:pPr>
    </w:p>
    <w:p w14:paraId="2C25FE4B" w14:textId="3F7F465B" w:rsidR="00C80FB0" w:rsidRPr="00C80FB0" w:rsidRDefault="00C80FB0" w:rsidP="00C80FB0">
      <w:pPr>
        <w:spacing w:line="240" w:lineRule="auto"/>
        <w:rPr>
          <w:rFonts w:eastAsia="Times New Roman" w:cs="Arial"/>
          <w:lang w:val="en-US" w:eastAsia="bg-BG"/>
        </w:rPr>
      </w:pPr>
      <w:r w:rsidRPr="00C80FB0">
        <w:rPr>
          <w:rFonts w:eastAsia="Times New Roman" w:cs="Arial"/>
          <w:color w:val="000000"/>
          <w:lang w:eastAsia="bg-BG"/>
        </w:rPr>
        <w:t xml:space="preserve">Цефпрозил не е активен срещу </w:t>
      </w:r>
      <w:r w:rsidRPr="00C80FB0">
        <w:rPr>
          <w:rFonts w:eastAsia="Times New Roman" w:cs="Arial"/>
          <w:i/>
          <w:iCs/>
          <w:color w:val="000000"/>
          <w:lang w:val="en-US"/>
        </w:rPr>
        <w:t xml:space="preserve">Acinetobacter, Enterobacter, </w:t>
      </w:r>
      <w:proofErr w:type="spellStart"/>
      <w:r w:rsidRPr="00C80FB0">
        <w:rPr>
          <w:rFonts w:eastAsia="Times New Roman" w:cs="Arial"/>
          <w:i/>
          <w:iCs/>
          <w:color w:val="000000"/>
          <w:lang w:val="en-US"/>
        </w:rPr>
        <w:t>Morganella</w:t>
      </w:r>
      <w:proofErr w:type="spellEnd"/>
      <w:r w:rsidRPr="00C80FB0">
        <w:rPr>
          <w:rFonts w:eastAsia="Times New Roman" w:cs="Arial"/>
          <w:i/>
          <w:iCs/>
          <w:color w:val="000000"/>
          <w:lang w:val="en-US"/>
        </w:rPr>
        <w:t xml:space="preserve"> morganii, Proteus vulgaris, Providencia, Pseudomonas</w:t>
      </w:r>
      <w:r w:rsidRPr="00C80FB0">
        <w:rPr>
          <w:rFonts w:eastAsia="Times New Roman" w:cs="Arial"/>
          <w:color w:val="000000"/>
          <w:lang w:val="en-US"/>
        </w:rPr>
        <w:t xml:space="preserve"> </w:t>
      </w:r>
      <w:r w:rsidRPr="00C80FB0">
        <w:rPr>
          <w:rFonts w:eastAsia="Times New Roman" w:cs="Arial"/>
          <w:color w:val="000000"/>
          <w:lang w:eastAsia="bg-BG"/>
        </w:rPr>
        <w:t xml:space="preserve">и </w:t>
      </w:r>
      <w:r w:rsidRPr="00C80FB0">
        <w:rPr>
          <w:rFonts w:eastAsia="Times New Roman" w:cs="Arial"/>
          <w:i/>
          <w:iCs/>
          <w:color w:val="000000"/>
          <w:lang w:val="en-US"/>
        </w:rPr>
        <w:t>Serratia.</w:t>
      </w:r>
    </w:p>
    <w:p w14:paraId="6B3FFF0B" w14:textId="77777777" w:rsidR="00C80FB0" w:rsidRPr="00C80FB0" w:rsidRDefault="00C80FB0" w:rsidP="00C80FB0">
      <w:pPr>
        <w:spacing w:line="240" w:lineRule="auto"/>
        <w:rPr>
          <w:rFonts w:eastAsia="Times New Roman" w:cs="Arial"/>
          <w:b/>
          <w:bCs/>
          <w:color w:val="000000"/>
          <w:lang w:eastAsia="bg-BG"/>
        </w:rPr>
      </w:pPr>
      <w:bookmarkStart w:id="3" w:name="bookmark4"/>
    </w:p>
    <w:p w14:paraId="4899518C" w14:textId="6B31A97D" w:rsidR="00C80FB0" w:rsidRPr="00C80FB0" w:rsidRDefault="00C80FB0" w:rsidP="00C80FB0">
      <w:pPr>
        <w:spacing w:line="240" w:lineRule="auto"/>
        <w:rPr>
          <w:rFonts w:eastAsia="Times New Roman" w:cs="Arial"/>
          <w:lang w:val="en-US" w:eastAsia="bg-BG"/>
        </w:rPr>
      </w:pPr>
      <w:r w:rsidRPr="00C80FB0">
        <w:rPr>
          <w:rFonts w:eastAsia="Times New Roman" w:cs="Arial"/>
          <w:b/>
          <w:bCs/>
          <w:color w:val="000000"/>
          <w:lang w:eastAsia="bg-BG"/>
        </w:rPr>
        <w:t>Анаеробни микроорганизми:</w:t>
      </w:r>
      <w:bookmarkEnd w:id="3"/>
    </w:p>
    <w:p w14:paraId="5F69B9C4" w14:textId="77777777" w:rsidR="00C80FB0" w:rsidRPr="00C80FB0" w:rsidRDefault="00C80FB0" w:rsidP="00C80FB0">
      <w:pPr>
        <w:pStyle w:val="ListParagraph"/>
        <w:numPr>
          <w:ilvl w:val="0"/>
          <w:numId w:val="2"/>
        </w:numPr>
        <w:spacing w:line="240" w:lineRule="auto"/>
        <w:rPr>
          <w:rFonts w:eastAsia="Times New Roman" w:cs="Arial"/>
          <w:lang w:val="en-US" w:eastAsia="bg-BG"/>
        </w:rPr>
      </w:pPr>
      <w:proofErr w:type="spellStart"/>
      <w:r w:rsidRPr="00C80FB0">
        <w:rPr>
          <w:rFonts w:eastAsia="Times New Roman" w:cs="Arial"/>
          <w:i/>
          <w:iCs/>
          <w:color w:val="000000"/>
          <w:lang w:val="en-US"/>
        </w:rPr>
        <w:t>Prevotella</w:t>
      </w:r>
      <w:proofErr w:type="spellEnd"/>
      <w:r w:rsidRPr="00C80FB0">
        <w:rPr>
          <w:rFonts w:eastAsia="Times New Roman" w:cs="Arial"/>
          <w:i/>
          <w:iCs/>
          <w:color w:val="000000"/>
          <w:lang w:val="en-US"/>
        </w:rPr>
        <w:t xml:space="preserve"> (Bacteroides) </w:t>
      </w:r>
      <w:proofErr w:type="spellStart"/>
      <w:r w:rsidRPr="00C80FB0">
        <w:rPr>
          <w:rFonts w:eastAsia="Times New Roman" w:cs="Arial"/>
          <w:i/>
          <w:iCs/>
          <w:color w:val="000000"/>
          <w:lang w:val="en-US"/>
        </w:rPr>
        <w:t>melaninogenicus,</w:t>
      </w:r>
      <w:proofErr w:type="spellEnd"/>
    </w:p>
    <w:p w14:paraId="5BFE5C91"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Clostridium difficile,</w:t>
      </w:r>
    </w:p>
    <w:p w14:paraId="68E9F82D"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Clostridium perfringens,</w:t>
      </w:r>
    </w:p>
    <w:p w14:paraId="7BF28A1D" w14:textId="77777777"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Fusobacterium</w:t>
      </w:r>
      <w:r w:rsidRPr="00C80FB0">
        <w:rPr>
          <w:rFonts w:eastAsia="Times New Roman" w:cs="Arial"/>
          <w:color w:val="000000"/>
          <w:lang w:val="en-US"/>
        </w:rPr>
        <w:t xml:space="preserve"> </w:t>
      </w:r>
      <w:proofErr w:type="spellStart"/>
      <w:proofErr w:type="gramStart"/>
      <w:r w:rsidRPr="00C80FB0">
        <w:rPr>
          <w:rFonts w:eastAsia="Times New Roman" w:cs="Arial"/>
          <w:color w:val="000000"/>
          <w:lang w:val="en-US"/>
        </w:rPr>
        <w:t>spp</w:t>
      </w:r>
      <w:proofErr w:type="spellEnd"/>
      <w:r w:rsidRPr="00C80FB0">
        <w:rPr>
          <w:rFonts w:eastAsia="Times New Roman" w:cs="Arial"/>
          <w:color w:val="000000"/>
          <w:lang w:val="en-US"/>
        </w:rPr>
        <w:t>,,</w:t>
      </w:r>
      <w:proofErr w:type="gramEnd"/>
    </w:p>
    <w:p w14:paraId="192B1D4B" w14:textId="77777777" w:rsidR="00C80FB0" w:rsidRPr="00C80FB0" w:rsidRDefault="00C80FB0" w:rsidP="00C80FB0">
      <w:pPr>
        <w:pStyle w:val="ListParagraph"/>
        <w:numPr>
          <w:ilvl w:val="0"/>
          <w:numId w:val="2"/>
        </w:numPr>
        <w:spacing w:line="240" w:lineRule="auto"/>
        <w:rPr>
          <w:rFonts w:eastAsia="Times New Roman" w:cs="Arial"/>
          <w:lang w:val="en-US" w:eastAsia="bg-BG"/>
        </w:rPr>
      </w:pPr>
      <w:proofErr w:type="spellStart"/>
      <w:r w:rsidRPr="00C80FB0">
        <w:rPr>
          <w:rFonts w:eastAsia="Times New Roman" w:cs="Arial"/>
          <w:i/>
          <w:iCs/>
          <w:color w:val="000000"/>
          <w:lang w:val="en-US"/>
        </w:rPr>
        <w:t>Peptostreptococcus</w:t>
      </w:r>
      <w:proofErr w:type="spellEnd"/>
      <w:r w:rsidRPr="00C80FB0">
        <w:rPr>
          <w:rFonts w:eastAsia="Times New Roman" w:cs="Arial"/>
          <w:color w:val="000000"/>
          <w:lang w:val="en-US"/>
        </w:rPr>
        <w:t xml:space="preserve"> spp.,</w:t>
      </w:r>
    </w:p>
    <w:p w14:paraId="3861679C" w14:textId="425D87AF" w:rsidR="00C80FB0" w:rsidRPr="00C80FB0" w:rsidRDefault="00C80FB0" w:rsidP="00C80FB0">
      <w:pPr>
        <w:pStyle w:val="ListParagraph"/>
        <w:numPr>
          <w:ilvl w:val="0"/>
          <w:numId w:val="2"/>
        </w:numPr>
        <w:spacing w:line="240" w:lineRule="auto"/>
        <w:rPr>
          <w:rFonts w:eastAsia="Times New Roman" w:cs="Arial"/>
          <w:lang w:val="en-US" w:eastAsia="bg-BG"/>
        </w:rPr>
      </w:pPr>
      <w:r w:rsidRPr="00C80FB0">
        <w:rPr>
          <w:rFonts w:eastAsia="Times New Roman" w:cs="Arial"/>
          <w:i/>
          <w:iCs/>
          <w:color w:val="000000"/>
          <w:lang w:val="en-US"/>
        </w:rPr>
        <w:t>Propionibacterium acnes,</w:t>
      </w:r>
    </w:p>
    <w:p w14:paraId="3E8BF40A" w14:textId="77777777" w:rsidR="00C80FB0" w:rsidRPr="00C80FB0" w:rsidRDefault="00C80FB0" w:rsidP="00C80FB0">
      <w:pPr>
        <w:spacing w:line="240" w:lineRule="auto"/>
        <w:rPr>
          <w:rFonts w:eastAsia="Times New Roman" w:cs="Arial"/>
          <w:color w:val="000000"/>
          <w:lang w:eastAsia="bg-BG"/>
        </w:rPr>
      </w:pPr>
    </w:p>
    <w:p w14:paraId="0BD0940F" w14:textId="260F9320" w:rsidR="00C80FB0" w:rsidRPr="00C80FB0" w:rsidRDefault="00C80FB0" w:rsidP="00C80FB0">
      <w:pPr>
        <w:spacing w:line="240" w:lineRule="auto"/>
        <w:rPr>
          <w:rFonts w:eastAsia="Times New Roman" w:cs="Arial"/>
          <w:lang w:val="en-US" w:eastAsia="bg-BG"/>
        </w:rPr>
      </w:pPr>
      <w:r w:rsidRPr="00C80FB0">
        <w:rPr>
          <w:rFonts w:eastAsia="Times New Roman" w:cs="Arial"/>
          <w:color w:val="000000"/>
          <w:lang w:eastAsia="bg-BG"/>
        </w:rPr>
        <w:t xml:space="preserve">Повечето щамове на </w:t>
      </w:r>
      <w:r w:rsidRPr="00C80FB0">
        <w:rPr>
          <w:rFonts w:eastAsia="Times New Roman" w:cs="Arial"/>
          <w:i/>
          <w:iCs/>
          <w:color w:val="000000"/>
          <w:lang w:val="en-US"/>
        </w:rPr>
        <w:t>Bacteroides fragilis</w:t>
      </w:r>
      <w:r w:rsidRPr="00C80FB0">
        <w:rPr>
          <w:rFonts w:eastAsia="Times New Roman" w:cs="Arial"/>
          <w:color w:val="000000"/>
          <w:lang w:val="en-US"/>
        </w:rPr>
        <w:t xml:space="preserve"> </w:t>
      </w:r>
      <w:r w:rsidRPr="00C80FB0">
        <w:rPr>
          <w:rFonts w:eastAsia="Times New Roman" w:cs="Arial"/>
          <w:color w:val="000000"/>
          <w:lang w:eastAsia="bg-BG"/>
        </w:rPr>
        <w:t>са резистентни към цефпрозил.</w:t>
      </w:r>
    </w:p>
    <w:p w14:paraId="29419357" w14:textId="77777777" w:rsidR="00C80FB0" w:rsidRPr="00C80FB0" w:rsidRDefault="00C80FB0" w:rsidP="00C80FB0"/>
    <w:p w14:paraId="544FFDAF" w14:textId="64206E42" w:rsidR="00F62E44" w:rsidRDefault="002C50EE" w:rsidP="00387A66">
      <w:pPr>
        <w:pStyle w:val="Heading2"/>
      </w:pPr>
      <w:r>
        <w:t>5.2. Фармакокинетични свойства</w:t>
      </w:r>
    </w:p>
    <w:p w14:paraId="553F0C5F" w14:textId="77777777" w:rsidR="00C80FB0" w:rsidRDefault="00C80FB0" w:rsidP="00C80FB0"/>
    <w:p w14:paraId="0E781D65"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u w:val="single"/>
          <w:lang w:eastAsia="bg-BG"/>
        </w:rPr>
        <w:t>Абсорбция</w:t>
      </w:r>
    </w:p>
    <w:p w14:paraId="310C55E1"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Профикс се резорбира добре след перорален прием.</w:t>
      </w:r>
    </w:p>
    <w:p w14:paraId="41475654"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Бионаличностга на цефпрозил не се повлиява от приема на храна, Пероралната бионаличност на цефпрозил е около 90%.</w:t>
      </w:r>
    </w:p>
    <w:p w14:paraId="5148DE09" w14:textId="77777777" w:rsidR="00C80FB0" w:rsidRPr="00C80FB0" w:rsidRDefault="00C80FB0" w:rsidP="00C80FB0">
      <w:pPr>
        <w:spacing w:line="240" w:lineRule="auto"/>
        <w:rPr>
          <w:rFonts w:eastAsia="Times New Roman" w:cs="Arial"/>
          <w:color w:val="000000"/>
          <w:u w:val="single"/>
          <w:lang w:eastAsia="bg-BG"/>
        </w:rPr>
      </w:pPr>
    </w:p>
    <w:p w14:paraId="68C7BA31" w14:textId="2F14F006"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u w:val="single"/>
          <w:lang w:eastAsia="bg-BG"/>
        </w:rPr>
        <w:t>Разпределение</w:t>
      </w:r>
    </w:p>
    <w:p w14:paraId="19B5C480"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Свързването на цефпрозил с плазмените протеини е около 36 % и не се повлиява от концентрацията в диапазон от </w:t>
      </w:r>
      <w:r w:rsidRPr="00C80FB0">
        <w:rPr>
          <w:rFonts w:eastAsia="Times New Roman" w:cs="Arial"/>
          <w:color w:val="000000"/>
          <w:lang w:val="en-US"/>
        </w:rPr>
        <w:t>2</w:t>
      </w:r>
      <w:r w:rsidRPr="00C80FB0">
        <w:rPr>
          <w:rFonts w:eastAsia="Times New Roman" w:cs="Arial"/>
          <w:color w:val="000000"/>
          <w:lang w:eastAsia="bg-BG"/>
        </w:rPr>
        <w:t xml:space="preserve"> μ</w:t>
      </w:r>
      <w:r w:rsidRPr="00C80FB0">
        <w:rPr>
          <w:rFonts w:eastAsia="Times New Roman" w:cs="Arial"/>
          <w:color w:val="000000"/>
          <w:lang w:val="en-US"/>
        </w:rPr>
        <w:t xml:space="preserve">g/ml </w:t>
      </w:r>
      <w:r w:rsidRPr="00C80FB0">
        <w:rPr>
          <w:rFonts w:eastAsia="Times New Roman" w:cs="Arial"/>
          <w:color w:val="000000"/>
          <w:lang w:eastAsia="bg-BG"/>
        </w:rPr>
        <w:t>до 20 μ</w:t>
      </w:r>
      <w:r w:rsidRPr="00C80FB0">
        <w:rPr>
          <w:rFonts w:eastAsia="Times New Roman" w:cs="Arial"/>
          <w:color w:val="000000"/>
          <w:lang w:val="en-US"/>
        </w:rPr>
        <w:t xml:space="preserve">g/ml. </w:t>
      </w:r>
      <w:r w:rsidRPr="00C80FB0">
        <w:rPr>
          <w:rFonts w:eastAsia="Times New Roman" w:cs="Arial"/>
          <w:color w:val="000000"/>
          <w:lang w:eastAsia="bg-BG"/>
        </w:rPr>
        <w:t>Средният плазмен полуживот на цефпрозил при нормални индивиди е приблизително 1,3 часа.</w:t>
      </w:r>
    </w:p>
    <w:p w14:paraId="6D4030A6"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Няма данни за кумулиране на цефпрозил в плазмата, при индивиди с нормална бъбречна функция, след многократно приложение на дози до 1</w:t>
      </w:r>
      <w:r w:rsidRPr="00C80FB0">
        <w:rPr>
          <w:rFonts w:eastAsia="Times New Roman" w:cs="Arial"/>
          <w:color w:val="000000"/>
          <w:lang w:val="en-US"/>
        </w:rPr>
        <w:t xml:space="preserve">g </w:t>
      </w:r>
      <w:r w:rsidRPr="00C80FB0">
        <w:rPr>
          <w:rFonts w:eastAsia="Times New Roman" w:cs="Arial"/>
          <w:color w:val="000000"/>
          <w:lang w:eastAsia="bg-BG"/>
        </w:rPr>
        <w:t>на 8 часа в продължение на 10 дни.</w:t>
      </w:r>
    </w:p>
    <w:p w14:paraId="7CC80B0C" w14:textId="77777777" w:rsidR="00C80FB0" w:rsidRPr="00C80FB0" w:rsidRDefault="00C80FB0" w:rsidP="00C80FB0">
      <w:pPr>
        <w:spacing w:line="240" w:lineRule="auto"/>
        <w:rPr>
          <w:rFonts w:eastAsia="Times New Roman" w:cs="Arial"/>
          <w:color w:val="000000"/>
          <w:u w:val="single"/>
          <w:lang w:eastAsia="bg-BG"/>
        </w:rPr>
      </w:pPr>
    </w:p>
    <w:p w14:paraId="52973B74" w14:textId="61044B42"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u w:val="single"/>
          <w:lang w:eastAsia="bg-BG"/>
        </w:rPr>
        <w:t>Елиминиране</w:t>
      </w:r>
    </w:p>
    <w:p w14:paraId="0ED0A164"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Цефпрозил се елимина основно чрез урината (приблизително 60% от приетата доза).</w:t>
      </w:r>
    </w:p>
    <w:p w14:paraId="74CC4168"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Тоталният плазмен клирънс на цефпрозил е около 3 </w:t>
      </w:r>
      <w:r w:rsidRPr="00C80FB0">
        <w:rPr>
          <w:rFonts w:eastAsia="Times New Roman" w:cs="Arial"/>
          <w:color w:val="000000"/>
          <w:lang w:val="en-US"/>
        </w:rPr>
        <w:t xml:space="preserve">ml/min/kg, </w:t>
      </w:r>
      <w:r w:rsidRPr="00C80FB0">
        <w:rPr>
          <w:rFonts w:eastAsia="Times New Roman" w:cs="Arial"/>
          <w:color w:val="000000"/>
          <w:lang w:eastAsia="bg-BG"/>
        </w:rPr>
        <w:t xml:space="preserve">при бъбречен клирънс около 2,3 </w:t>
      </w:r>
      <w:r w:rsidRPr="00C80FB0">
        <w:rPr>
          <w:rFonts w:eastAsia="Times New Roman" w:cs="Arial"/>
          <w:color w:val="000000"/>
          <w:lang w:val="en-US"/>
        </w:rPr>
        <w:t>ml/min/kg.</w:t>
      </w:r>
    </w:p>
    <w:p w14:paraId="5AF628F1"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Средните плазмени концентрации 1,5 часа след приложение на цефпрозил на гладно, в дози от 250 </w:t>
      </w:r>
      <w:r w:rsidRPr="00C80FB0">
        <w:rPr>
          <w:rFonts w:eastAsia="Times New Roman" w:cs="Arial"/>
          <w:color w:val="000000"/>
          <w:lang w:val="en-US"/>
        </w:rPr>
        <w:t>mg</w:t>
      </w:r>
      <w:r w:rsidRPr="00C80FB0">
        <w:rPr>
          <w:rFonts w:eastAsia="Times New Roman" w:cs="Arial"/>
          <w:color w:val="000000"/>
          <w:lang w:eastAsia="bg-BG"/>
        </w:rPr>
        <w:t xml:space="preserve">, 500 </w:t>
      </w:r>
      <w:r w:rsidRPr="00C80FB0">
        <w:rPr>
          <w:rFonts w:eastAsia="Times New Roman" w:cs="Arial"/>
          <w:color w:val="000000"/>
          <w:lang w:val="en-US"/>
        </w:rPr>
        <w:t xml:space="preserve">mg </w:t>
      </w:r>
      <w:r w:rsidRPr="00C80FB0">
        <w:rPr>
          <w:rFonts w:eastAsia="Times New Roman" w:cs="Arial"/>
          <w:color w:val="000000"/>
          <w:lang w:eastAsia="bg-BG"/>
        </w:rPr>
        <w:t xml:space="preserve">и 1000 </w:t>
      </w:r>
      <w:r w:rsidRPr="00C80FB0">
        <w:rPr>
          <w:rFonts w:eastAsia="Times New Roman" w:cs="Arial"/>
          <w:color w:val="000000"/>
          <w:lang w:val="en-US"/>
        </w:rPr>
        <w:t xml:space="preserve">mg </w:t>
      </w:r>
      <w:r w:rsidRPr="00C80FB0">
        <w:rPr>
          <w:rFonts w:eastAsia="Times New Roman" w:cs="Arial"/>
          <w:color w:val="000000"/>
          <w:lang w:eastAsia="bg-BG"/>
        </w:rPr>
        <w:t>са респективно 6,1 μ</w:t>
      </w:r>
      <w:r w:rsidRPr="00C80FB0">
        <w:rPr>
          <w:rFonts w:eastAsia="Times New Roman" w:cs="Arial"/>
          <w:color w:val="000000"/>
          <w:lang w:val="en-US"/>
        </w:rPr>
        <w:t xml:space="preserve">g/ml, </w:t>
      </w:r>
      <w:r w:rsidRPr="00C80FB0">
        <w:rPr>
          <w:rFonts w:eastAsia="Times New Roman" w:cs="Arial"/>
          <w:color w:val="000000"/>
          <w:lang w:eastAsia="bg-BG"/>
        </w:rPr>
        <w:t>10,5 μ</w:t>
      </w:r>
      <w:r w:rsidRPr="00C80FB0">
        <w:rPr>
          <w:rFonts w:eastAsia="Times New Roman" w:cs="Arial"/>
          <w:color w:val="000000"/>
          <w:lang w:val="en-US"/>
        </w:rPr>
        <w:t xml:space="preserve">g/ml </w:t>
      </w:r>
      <w:r w:rsidRPr="00C80FB0">
        <w:rPr>
          <w:rFonts w:eastAsia="Times New Roman" w:cs="Arial"/>
          <w:color w:val="000000"/>
          <w:lang w:eastAsia="bg-BG"/>
        </w:rPr>
        <w:t>и 18,3 μ</w:t>
      </w:r>
      <w:r w:rsidRPr="00C80FB0">
        <w:rPr>
          <w:rFonts w:eastAsia="Times New Roman" w:cs="Arial"/>
          <w:color w:val="000000"/>
          <w:lang w:val="en-US"/>
        </w:rPr>
        <w:t>g/ml.</w:t>
      </w:r>
    </w:p>
    <w:p w14:paraId="308D90A0"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Средните концентрации в урината по време на първия 4-часов период след прием на цефпрозил в дози от 250 </w:t>
      </w:r>
      <w:r w:rsidRPr="00C80FB0">
        <w:rPr>
          <w:rFonts w:eastAsia="Times New Roman" w:cs="Arial"/>
          <w:color w:val="000000"/>
          <w:lang w:val="en-US"/>
        </w:rPr>
        <w:t>mg</w:t>
      </w:r>
      <w:r w:rsidRPr="00C80FB0">
        <w:rPr>
          <w:rFonts w:eastAsia="Times New Roman" w:cs="Arial"/>
          <w:color w:val="000000"/>
          <w:lang w:eastAsia="bg-BG"/>
        </w:rPr>
        <w:t xml:space="preserve">, 500 </w:t>
      </w:r>
      <w:r w:rsidRPr="00C80FB0">
        <w:rPr>
          <w:rFonts w:eastAsia="Times New Roman" w:cs="Arial"/>
          <w:color w:val="000000"/>
          <w:lang w:val="en-US"/>
        </w:rPr>
        <w:t xml:space="preserve">mg </w:t>
      </w:r>
      <w:r w:rsidRPr="00C80FB0">
        <w:rPr>
          <w:rFonts w:eastAsia="Times New Roman" w:cs="Arial"/>
          <w:color w:val="000000"/>
          <w:lang w:eastAsia="bg-BG"/>
        </w:rPr>
        <w:t xml:space="preserve">и 1000 </w:t>
      </w:r>
      <w:r w:rsidRPr="00C80FB0">
        <w:rPr>
          <w:rFonts w:eastAsia="Times New Roman" w:cs="Arial"/>
          <w:color w:val="000000"/>
          <w:lang w:val="en-US"/>
        </w:rPr>
        <w:t xml:space="preserve">mg </w:t>
      </w:r>
      <w:r w:rsidRPr="00C80FB0">
        <w:rPr>
          <w:rFonts w:eastAsia="Times New Roman" w:cs="Arial"/>
          <w:color w:val="000000"/>
          <w:lang w:eastAsia="bg-BG"/>
        </w:rPr>
        <w:t>са респективно 170 μ</w:t>
      </w:r>
      <w:r w:rsidRPr="00C80FB0">
        <w:rPr>
          <w:rFonts w:eastAsia="Times New Roman" w:cs="Arial"/>
          <w:color w:val="000000"/>
          <w:lang w:val="en-US"/>
        </w:rPr>
        <w:t>g/ml</w:t>
      </w:r>
      <w:r w:rsidRPr="00C80FB0">
        <w:rPr>
          <w:rFonts w:eastAsia="Times New Roman" w:cs="Arial"/>
          <w:color w:val="000000"/>
          <w:lang w:eastAsia="bg-BG"/>
        </w:rPr>
        <w:t>, 450 μ</w:t>
      </w:r>
      <w:r w:rsidRPr="00C80FB0">
        <w:rPr>
          <w:rFonts w:eastAsia="Times New Roman" w:cs="Arial"/>
          <w:color w:val="000000"/>
          <w:lang w:val="en-US"/>
        </w:rPr>
        <w:t xml:space="preserve">g/ml </w:t>
      </w:r>
      <w:r w:rsidRPr="00C80FB0">
        <w:rPr>
          <w:rFonts w:eastAsia="Times New Roman" w:cs="Arial"/>
          <w:color w:val="000000"/>
          <w:lang w:eastAsia="bg-BG"/>
        </w:rPr>
        <w:t>и 600 μ</w:t>
      </w:r>
      <w:r w:rsidRPr="00C80FB0">
        <w:rPr>
          <w:rFonts w:eastAsia="Times New Roman" w:cs="Arial"/>
          <w:color w:val="000000"/>
          <w:lang w:val="en-US"/>
        </w:rPr>
        <w:t>g/ml.</w:t>
      </w:r>
    </w:p>
    <w:p w14:paraId="41F21341"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След приложението на една доза от 15 </w:t>
      </w:r>
      <w:r w:rsidRPr="00C80FB0">
        <w:rPr>
          <w:rFonts w:eastAsia="Times New Roman" w:cs="Arial"/>
          <w:color w:val="000000"/>
          <w:lang w:val="en-US"/>
        </w:rPr>
        <w:t xml:space="preserve">mg/kg </w:t>
      </w:r>
      <w:r w:rsidRPr="00C80FB0">
        <w:rPr>
          <w:rFonts w:eastAsia="Times New Roman" w:cs="Arial"/>
          <w:color w:val="000000"/>
          <w:lang w:eastAsia="bg-BG"/>
        </w:rPr>
        <w:t xml:space="preserve">или 20 </w:t>
      </w:r>
      <w:r w:rsidRPr="00C80FB0">
        <w:rPr>
          <w:rFonts w:eastAsia="Times New Roman" w:cs="Arial"/>
          <w:color w:val="000000"/>
          <w:lang w:val="en-US"/>
        </w:rPr>
        <w:t xml:space="preserve">mg/kg </w:t>
      </w:r>
      <w:r w:rsidRPr="00C80FB0">
        <w:rPr>
          <w:rFonts w:eastAsia="Times New Roman" w:cs="Arial"/>
          <w:color w:val="000000"/>
          <w:lang w:eastAsia="bg-BG"/>
        </w:rPr>
        <w:t>при пациенти с хроничен среден отит, концентрациите на цефпрозил в течността в средното ухо варира от 0,06 μ</w:t>
      </w:r>
      <w:r w:rsidRPr="00C80FB0">
        <w:rPr>
          <w:rFonts w:eastAsia="Times New Roman" w:cs="Arial"/>
          <w:color w:val="000000"/>
          <w:lang w:val="en-US"/>
        </w:rPr>
        <w:t xml:space="preserve">g/ml </w:t>
      </w:r>
      <w:r w:rsidRPr="00C80FB0">
        <w:rPr>
          <w:rFonts w:eastAsia="Times New Roman" w:cs="Arial"/>
          <w:color w:val="000000"/>
          <w:lang w:eastAsia="bg-BG"/>
        </w:rPr>
        <w:t>до 8,7 μ</w:t>
      </w:r>
      <w:r w:rsidRPr="00C80FB0">
        <w:rPr>
          <w:rFonts w:eastAsia="Times New Roman" w:cs="Arial"/>
          <w:color w:val="000000"/>
          <w:lang w:val="en-US"/>
        </w:rPr>
        <w:t>g/ml.</w:t>
      </w:r>
    </w:p>
    <w:p w14:paraId="7ED9893D"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Концентрациите на цефпрозил в течността в средното ухо остават над минималната инхибиторна концентрация </w:t>
      </w:r>
      <w:r w:rsidRPr="00C80FB0">
        <w:rPr>
          <w:rFonts w:eastAsia="Times New Roman" w:cs="Arial"/>
          <w:color w:val="000000"/>
          <w:lang w:val="en-US"/>
        </w:rPr>
        <w:t xml:space="preserve">(MIC) </w:t>
      </w:r>
      <w:r w:rsidRPr="00C80FB0">
        <w:rPr>
          <w:rFonts w:eastAsia="Times New Roman" w:cs="Arial"/>
          <w:color w:val="000000"/>
          <w:lang w:eastAsia="bg-BG"/>
        </w:rPr>
        <w:t>за повечето широко разпространени бактерии, свързани със среден отит, за повече от 6 часа след прилагане на цефпрозил.</w:t>
      </w:r>
    </w:p>
    <w:p w14:paraId="01B1F134" w14:textId="77777777" w:rsidR="00C80FB0" w:rsidRPr="00C80FB0" w:rsidRDefault="00C80FB0" w:rsidP="00C80FB0">
      <w:pPr>
        <w:spacing w:line="240" w:lineRule="auto"/>
        <w:rPr>
          <w:rFonts w:eastAsia="Times New Roman" w:cs="Arial"/>
          <w:color w:val="000000"/>
          <w:u w:val="single"/>
          <w:lang w:eastAsia="bg-BG"/>
        </w:rPr>
      </w:pPr>
    </w:p>
    <w:p w14:paraId="7A72E730" w14:textId="215CD70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u w:val="single"/>
          <w:lang w:eastAsia="bg-BG"/>
        </w:rPr>
        <w:t>Линейност</w:t>
      </w:r>
    </w:p>
    <w:p w14:paraId="251C0A5C"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Зависимостта между плазмената концентрация на цефпрозил и приетата доза е линейна в рамките на терапевтичния интервал.</w:t>
      </w:r>
    </w:p>
    <w:p w14:paraId="7C51A46F" w14:textId="77777777" w:rsidR="00C80FB0" w:rsidRPr="00C80FB0" w:rsidRDefault="00C80FB0" w:rsidP="00C80FB0">
      <w:pPr>
        <w:spacing w:line="240" w:lineRule="auto"/>
        <w:rPr>
          <w:rFonts w:eastAsia="Times New Roman" w:cs="Arial"/>
          <w:b/>
          <w:bCs/>
          <w:i/>
          <w:iCs/>
          <w:color w:val="000000"/>
          <w:lang w:eastAsia="bg-BG"/>
        </w:rPr>
      </w:pPr>
    </w:p>
    <w:p w14:paraId="3FC630E1" w14:textId="227EFA36" w:rsidR="00C80FB0" w:rsidRPr="00C80FB0" w:rsidRDefault="00C80FB0" w:rsidP="00C80FB0">
      <w:pPr>
        <w:spacing w:line="240" w:lineRule="auto"/>
        <w:rPr>
          <w:rFonts w:eastAsia="Times New Roman" w:cs="Arial"/>
          <w:sz w:val="28"/>
          <w:szCs w:val="28"/>
          <w:lang w:eastAsia="bg-BG"/>
        </w:rPr>
      </w:pPr>
      <w:r w:rsidRPr="00C80FB0">
        <w:rPr>
          <w:rFonts w:eastAsia="Times New Roman" w:cs="Arial"/>
          <w:b/>
          <w:bCs/>
          <w:i/>
          <w:iCs/>
          <w:color w:val="000000"/>
          <w:lang w:eastAsia="bg-BG"/>
        </w:rPr>
        <w:t>Пациенти с бъбречно увреждане</w:t>
      </w:r>
    </w:p>
    <w:p w14:paraId="314E1031"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При пациенти с намалена бъбречна функция се наблюдава удължаване на плазмения полуживот на цефпрозил. При пълна липса на бъбречна функция, плазменият полуживот на цефпрозил може да достигне до 5,9 часа. Чрез хемодиализа този параметър може да бъде редуциран до 2,1 часа.</w:t>
      </w:r>
    </w:p>
    <w:p w14:paraId="1ACFE339"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При пациенти със значително увредена бъбречна функция не са установени пътища на екскреция (вж. точка 4.2).</w:t>
      </w:r>
    </w:p>
    <w:p w14:paraId="1A329E61" w14:textId="77777777" w:rsidR="00C80FB0" w:rsidRPr="00C80FB0" w:rsidRDefault="00C80FB0" w:rsidP="00C80FB0">
      <w:pPr>
        <w:spacing w:line="240" w:lineRule="auto"/>
        <w:rPr>
          <w:rFonts w:eastAsia="Times New Roman" w:cs="Arial"/>
          <w:b/>
          <w:bCs/>
          <w:i/>
          <w:iCs/>
          <w:color w:val="000000"/>
          <w:lang w:eastAsia="bg-BG"/>
        </w:rPr>
      </w:pPr>
    </w:p>
    <w:p w14:paraId="344CB6C2" w14:textId="631E3DB8" w:rsidR="00C80FB0" w:rsidRPr="00C80FB0" w:rsidRDefault="00C80FB0" w:rsidP="00C80FB0">
      <w:pPr>
        <w:spacing w:line="240" w:lineRule="auto"/>
        <w:rPr>
          <w:rFonts w:eastAsia="Times New Roman" w:cs="Arial"/>
          <w:sz w:val="28"/>
          <w:szCs w:val="28"/>
          <w:lang w:eastAsia="bg-BG"/>
        </w:rPr>
      </w:pPr>
      <w:r w:rsidRPr="00C80FB0">
        <w:rPr>
          <w:rFonts w:eastAsia="Times New Roman" w:cs="Arial"/>
          <w:b/>
          <w:bCs/>
          <w:i/>
          <w:iCs/>
          <w:color w:val="000000"/>
          <w:lang w:eastAsia="bg-BG"/>
        </w:rPr>
        <w:t>Пациенти с чернодробно увреждане</w:t>
      </w:r>
    </w:p>
    <w:p w14:paraId="7E0BFB07"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При пациенти с увредена чернодробна функция не се наблюдават статистически значими разлики във фармакодинамичните параметри.</w:t>
      </w:r>
    </w:p>
    <w:p w14:paraId="50874198" w14:textId="77777777" w:rsidR="00C80FB0" w:rsidRPr="00C80FB0" w:rsidRDefault="00C80FB0" w:rsidP="00C80FB0">
      <w:pPr>
        <w:spacing w:line="240" w:lineRule="auto"/>
        <w:rPr>
          <w:rFonts w:eastAsia="Times New Roman" w:cs="Arial"/>
          <w:b/>
          <w:bCs/>
          <w:i/>
          <w:iCs/>
          <w:color w:val="000000"/>
          <w:lang w:eastAsia="bg-BG"/>
        </w:rPr>
      </w:pPr>
    </w:p>
    <w:p w14:paraId="2CAA317B" w14:textId="22F29D3F" w:rsidR="00C80FB0" w:rsidRPr="00C80FB0" w:rsidRDefault="00C80FB0" w:rsidP="00C80FB0">
      <w:pPr>
        <w:spacing w:line="240" w:lineRule="auto"/>
        <w:rPr>
          <w:rFonts w:eastAsia="Times New Roman" w:cs="Arial"/>
          <w:sz w:val="28"/>
          <w:szCs w:val="28"/>
          <w:lang w:eastAsia="bg-BG"/>
        </w:rPr>
      </w:pPr>
      <w:r w:rsidRPr="00C80FB0">
        <w:rPr>
          <w:rFonts w:eastAsia="Times New Roman" w:cs="Arial"/>
          <w:b/>
          <w:bCs/>
          <w:i/>
          <w:iCs/>
          <w:color w:val="000000"/>
          <w:lang w:eastAsia="bg-BG"/>
        </w:rPr>
        <w:t>Гериатрични пациенти</w:t>
      </w:r>
    </w:p>
    <w:p w14:paraId="183911EE"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При оценка на фармакокинетичните показатели при пациенти на възраст над 65 години е установено увеличаване на средната площ под кривата „концентрация - време“ </w:t>
      </w:r>
      <w:r w:rsidRPr="00C80FB0">
        <w:rPr>
          <w:rFonts w:eastAsia="Times New Roman" w:cs="Arial"/>
          <w:color w:val="000000"/>
          <w:lang w:val="en-US"/>
        </w:rPr>
        <w:t xml:space="preserve">(AUC) </w:t>
      </w:r>
      <w:r w:rsidRPr="00C80FB0">
        <w:rPr>
          <w:rFonts w:eastAsia="Times New Roman" w:cs="Arial"/>
          <w:color w:val="000000"/>
          <w:lang w:eastAsia="bg-BG"/>
        </w:rPr>
        <w:t>с около 35 - 60 %. Значението на тези вариации във фармакокинетиката на цефпрозил не са достатъчни, за да налагат корекция в дозовия режим.</w:t>
      </w:r>
    </w:p>
    <w:p w14:paraId="541B825F" w14:textId="77777777" w:rsidR="00C80FB0" w:rsidRPr="00C80FB0" w:rsidRDefault="00C80FB0" w:rsidP="00C80FB0">
      <w:pPr>
        <w:spacing w:line="240" w:lineRule="auto"/>
        <w:rPr>
          <w:rFonts w:eastAsia="Times New Roman" w:cs="Arial"/>
          <w:b/>
          <w:bCs/>
          <w:i/>
          <w:iCs/>
          <w:color w:val="000000"/>
          <w:lang w:eastAsia="bg-BG"/>
        </w:rPr>
      </w:pPr>
    </w:p>
    <w:p w14:paraId="60718D8F" w14:textId="6FEC3789" w:rsidR="00C80FB0" w:rsidRPr="00C80FB0" w:rsidRDefault="00C80FB0" w:rsidP="00C80FB0">
      <w:pPr>
        <w:spacing w:line="240" w:lineRule="auto"/>
        <w:rPr>
          <w:rFonts w:eastAsia="Times New Roman" w:cs="Arial"/>
          <w:sz w:val="28"/>
          <w:szCs w:val="28"/>
          <w:lang w:eastAsia="bg-BG"/>
        </w:rPr>
      </w:pPr>
      <w:r w:rsidRPr="00C80FB0">
        <w:rPr>
          <w:rFonts w:eastAsia="Times New Roman" w:cs="Arial"/>
          <w:b/>
          <w:bCs/>
          <w:i/>
          <w:iCs/>
          <w:color w:val="000000"/>
          <w:lang w:eastAsia="bg-BG"/>
        </w:rPr>
        <w:t>Педиатрична популация</w:t>
      </w:r>
    </w:p>
    <w:p w14:paraId="7F508654"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След приложение еднократни дози цефпрозил от 7,5 </w:t>
      </w:r>
      <w:r w:rsidRPr="00C80FB0">
        <w:rPr>
          <w:rFonts w:eastAsia="Times New Roman" w:cs="Arial"/>
          <w:color w:val="000000"/>
          <w:lang w:val="en-US"/>
        </w:rPr>
        <w:t xml:space="preserve">mg/kg </w:t>
      </w:r>
      <w:r w:rsidRPr="00C80FB0">
        <w:rPr>
          <w:rFonts w:eastAsia="Times New Roman" w:cs="Arial"/>
          <w:color w:val="000000"/>
          <w:lang w:eastAsia="bg-BG"/>
        </w:rPr>
        <w:t xml:space="preserve">или 20 </w:t>
      </w:r>
      <w:r w:rsidRPr="00C80FB0">
        <w:rPr>
          <w:rFonts w:eastAsia="Times New Roman" w:cs="Arial"/>
          <w:color w:val="000000"/>
          <w:lang w:val="en-US"/>
        </w:rPr>
        <w:t xml:space="preserve">mg/kg </w:t>
      </w:r>
      <w:r w:rsidRPr="00C80FB0">
        <w:rPr>
          <w:rFonts w:eastAsia="Times New Roman" w:cs="Arial"/>
          <w:color w:val="000000"/>
          <w:lang w:eastAsia="bg-BG"/>
        </w:rPr>
        <w:t>на педиатрични пациенти, концентрациите на цефпрозил варират от 0,5 μ</w:t>
      </w:r>
      <w:r w:rsidRPr="00C80FB0">
        <w:rPr>
          <w:rFonts w:eastAsia="Times New Roman" w:cs="Arial"/>
          <w:color w:val="000000"/>
          <w:lang w:val="en-US"/>
        </w:rPr>
        <w:t xml:space="preserve">g/g </w:t>
      </w:r>
      <w:r w:rsidRPr="00C80FB0">
        <w:rPr>
          <w:rFonts w:eastAsia="Times New Roman" w:cs="Arial"/>
          <w:color w:val="000000"/>
          <w:lang w:eastAsia="bg-BG"/>
        </w:rPr>
        <w:t>до 4,3 μ</w:t>
      </w:r>
      <w:r w:rsidRPr="00C80FB0">
        <w:rPr>
          <w:rFonts w:eastAsia="Times New Roman" w:cs="Arial"/>
          <w:color w:val="000000"/>
          <w:lang w:val="en-US"/>
        </w:rPr>
        <w:t xml:space="preserve">g/g </w:t>
      </w:r>
      <w:r w:rsidRPr="00C80FB0">
        <w:rPr>
          <w:rFonts w:eastAsia="Times New Roman" w:cs="Arial"/>
          <w:color w:val="000000"/>
          <w:lang w:eastAsia="bg-BG"/>
        </w:rPr>
        <w:t>в тонзилите и от 0,4 μ</w:t>
      </w:r>
      <w:r w:rsidRPr="00C80FB0">
        <w:rPr>
          <w:rFonts w:eastAsia="Times New Roman" w:cs="Arial"/>
          <w:color w:val="000000"/>
          <w:lang w:val="en-US"/>
        </w:rPr>
        <w:t xml:space="preserve">g/g </w:t>
      </w:r>
      <w:r w:rsidRPr="00C80FB0">
        <w:rPr>
          <w:rFonts w:eastAsia="Times New Roman" w:cs="Arial"/>
          <w:color w:val="000000"/>
          <w:lang w:eastAsia="bg-BG"/>
        </w:rPr>
        <w:t>до 4,9 μ</w:t>
      </w:r>
      <w:r w:rsidRPr="00C80FB0">
        <w:rPr>
          <w:rFonts w:eastAsia="Times New Roman" w:cs="Arial"/>
          <w:color w:val="000000"/>
          <w:lang w:val="en-US"/>
        </w:rPr>
        <w:t xml:space="preserve">g/g </w:t>
      </w:r>
      <w:r w:rsidRPr="00C80FB0">
        <w:rPr>
          <w:rFonts w:eastAsia="Times New Roman" w:cs="Arial"/>
          <w:color w:val="000000"/>
          <w:lang w:eastAsia="bg-BG"/>
        </w:rPr>
        <w:t xml:space="preserve">в аденоидната тъкан. Изследване концентрацията на цефпрозил в тонзилите и аденоидната тъкан, повече от 3,2 часа след перорален прием на цефпрозил, установява по-висока концентрация от минималните инхибиторни концентрации </w:t>
      </w:r>
      <w:r w:rsidRPr="00C80FB0">
        <w:rPr>
          <w:rFonts w:eastAsia="Times New Roman" w:cs="Arial"/>
          <w:color w:val="000000"/>
          <w:lang w:val="en-US"/>
        </w:rPr>
        <w:t xml:space="preserve">(MIC) </w:t>
      </w:r>
      <w:r w:rsidRPr="00C80FB0">
        <w:rPr>
          <w:rFonts w:eastAsia="Times New Roman" w:cs="Arial"/>
          <w:color w:val="000000"/>
          <w:lang w:eastAsia="bg-BG"/>
        </w:rPr>
        <w:t>за широко разпространени патогени, които причиняват тонзилит и фарингит.</w:t>
      </w:r>
    </w:p>
    <w:p w14:paraId="4F3E4D7C"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Фармакокинетичните показатели на цефпрозил при деца на възраст от 6 месеца до 12 години и</w:t>
      </w:r>
    </w:p>
    <w:p w14:paraId="242F6963"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възрастни са сравними.</w:t>
      </w:r>
    </w:p>
    <w:p w14:paraId="6774F9A9" w14:textId="49EABE8D" w:rsidR="00C80FB0" w:rsidRPr="00C80FB0" w:rsidRDefault="00C80FB0" w:rsidP="00C80FB0">
      <w:pPr>
        <w:rPr>
          <w:rFonts w:eastAsia="Times New Roman" w:cs="Arial"/>
          <w:color w:val="000000"/>
          <w:lang w:val="en-US"/>
        </w:rPr>
      </w:pPr>
      <w:r w:rsidRPr="00C80FB0">
        <w:rPr>
          <w:rFonts w:eastAsia="Times New Roman" w:cs="Arial"/>
          <w:color w:val="000000"/>
          <w:lang w:eastAsia="bg-BG"/>
        </w:rPr>
        <w:lastRenderedPageBreak/>
        <w:t xml:space="preserve">Плазмените концентрации при деца, приемащи цефпрозил в дози от 7,5 </w:t>
      </w:r>
      <w:r w:rsidRPr="00C80FB0">
        <w:rPr>
          <w:rFonts w:eastAsia="Times New Roman" w:cs="Arial"/>
          <w:color w:val="000000"/>
          <w:lang w:val="en-US"/>
        </w:rPr>
        <w:t xml:space="preserve">mg/kg </w:t>
      </w:r>
      <w:r w:rsidRPr="00C80FB0">
        <w:rPr>
          <w:rFonts w:eastAsia="Times New Roman" w:cs="Arial"/>
          <w:color w:val="000000"/>
          <w:lang w:eastAsia="bg-BG"/>
        </w:rPr>
        <w:t xml:space="preserve">до 30 </w:t>
      </w:r>
      <w:r w:rsidRPr="00C80FB0">
        <w:rPr>
          <w:rFonts w:eastAsia="Times New Roman" w:cs="Arial"/>
          <w:color w:val="000000"/>
          <w:lang w:val="en-US"/>
        </w:rPr>
        <w:t xml:space="preserve">mg/kg </w:t>
      </w:r>
      <w:r w:rsidRPr="00C80FB0">
        <w:rPr>
          <w:rFonts w:eastAsia="Times New Roman" w:cs="Arial"/>
          <w:color w:val="000000"/>
          <w:lang w:eastAsia="bg-BG"/>
        </w:rPr>
        <w:t xml:space="preserve">са сравними с тези при възрастни, приемащи цефпрозил в дози от 250 </w:t>
      </w:r>
      <w:r w:rsidRPr="00C80FB0">
        <w:rPr>
          <w:rFonts w:eastAsia="Times New Roman" w:cs="Arial"/>
          <w:color w:val="000000"/>
          <w:lang w:val="en-US"/>
        </w:rPr>
        <w:t>mg-</w:t>
      </w:r>
      <w:r w:rsidRPr="00C80FB0">
        <w:rPr>
          <w:rFonts w:eastAsia="Times New Roman" w:cs="Arial"/>
          <w:color w:val="000000"/>
          <w:lang w:eastAsia="bg-BG"/>
        </w:rPr>
        <w:t xml:space="preserve"> 1000 </w:t>
      </w:r>
      <w:r w:rsidRPr="00C80FB0">
        <w:rPr>
          <w:rFonts w:eastAsia="Times New Roman" w:cs="Arial"/>
          <w:color w:val="000000"/>
          <w:lang w:val="en-US"/>
        </w:rPr>
        <w:t>mg.</w:t>
      </w:r>
    </w:p>
    <w:p w14:paraId="51B6C81F" w14:textId="77777777" w:rsidR="00C80FB0" w:rsidRPr="00C80FB0" w:rsidRDefault="00C80FB0" w:rsidP="00C80FB0">
      <w:pPr>
        <w:rPr>
          <w:rFonts w:eastAsia="Times New Roman" w:cs="Arial"/>
          <w:color w:val="000000"/>
          <w:lang w:val="en-US"/>
        </w:rPr>
      </w:pPr>
    </w:p>
    <w:p w14:paraId="26C7E906"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Максимална плазмена концентрация се достига от 1 час до 2 часа след прием на цефпрозил и полуживота на елиминиране е 1,5 часа.</w:t>
      </w:r>
    </w:p>
    <w:p w14:paraId="7C858271" w14:textId="77777777" w:rsidR="00C80FB0" w:rsidRPr="00C80FB0" w:rsidRDefault="00C80FB0" w:rsidP="00C80FB0">
      <w:pPr>
        <w:spacing w:line="240" w:lineRule="auto"/>
        <w:rPr>
          <w:rFonts w:eastAsia="Times New Roman" w:cs="Arial"/>
          <w:b/>
          <w:bCs/>
          <w:i/>
          <w:iCs/>
          <w:color w:val="000000"/>
          <w:lang w:eastAsia="bg-BG"/>
        </w:rPr>
      </w:pPr>
    </w:p>
    <w:p w14:paraId="5E43488B" w14:textId="36552BFE" w:rsidR="00C80FB0" w:rsidRPr="00C80FB0" w:rsidRDefault="00C80FB0" w:rsidP="00C80FB0">
      <w:pPr>
        <w:spacing w:line="240" w:lineRule="auto"/>
        <w:rPr>
          <w:rFonts w:eastAsia="Times New Roman" w:cs="Arial"/>
          <w:sz w:val="28"/>
          <w:szCs w:val="28"/>
          <w:lang w:eastAsia="bg-BG"/>
        </w:rPr>
      </w:pPr>
      <w:r w:rsidRPr="00C80FB0">
        <w:rPr>
          <w:rFonts w:eastAsia="Times New Roman" w:cs="Arial"/>
          <w:b/>
          <w:bCs/>
          <w:i/>
          <w:iCs/>
          <w:color w:val="000000"/>
          <w:lang w:eastAsia="bg-BG"/>
        </w:rPr>
        <w:t>Пол</w:t>
      </w:r>
    </w:p>
    <w:p w14:paraId="5642F3A2" w14:textId="77777777" w:rsidR="00C80FB0" w:rsidRPr="00C80FB0" w:rsidRDefault="00C80FB0" w:rsidP="00C80FB0">
      <w:pPr>
        <w:spacing w:line="240" w:lineRule="auto"/>
        <w:rPr>
          <w:rFonts w:eastAsia="Times New Roman" w:cs="Arial"/>
          <w:sz w:val="28"/>
          <w:szCs w:val="28"/>
          <w:lang w:eastAsia="bg-BG"/>
        </w:rPr>
      </w:pPr>
      <w:r w:rsidRPr="00C80FB0">
        <w:rPr>
          <w:rFonts w:eastAsia="Times New Roman" w:cs="Arial"/>
          <w:color w:val="000000"/>
          <w:lang w:eastAsia="bg-BG"/>
        </w:rPr>
        <w:t xml:space="preserve">Средната площ под кривата „концентрация - време“( </w:t>
      </w:r>
      <w:r w:rsidRPr="00C80FB0">
        <w:rPr>
          <w:rFonts w:eastAsia="Times New Roman" w:cs="Arial"/>
          <w:color w:val="000000"/>
          <w:lang w:val="en-US"/>
        </w:rPr>
        <w:t>AUC</w:t>
      </w:r>
      <w:r w:rsidRPr="00C80FB0">
        <w:rPr>
          <w:rFonts w:eastAsia="Times New Roman" w:cs="Arial"/>
          <w:color w:val="000000"/>
          <w:lang w:eastAsia="bg-BG"/>
        </w:rPr>
        <w:t>) при жени е с 15% -20 % по-висока от тази при мъже. Тези вариации са незначителни и не налагат корекция в дозата съобразно пола.</w:t>
      </w:r>
    </w:p>
    <w:p w14:paraId="5E62003B" w14:textId="77777777" w:rsidR="00C80FB0" w:rsidRPr="00C80FB0" w:rsidRDefault="00C80FB0" w:rsidP="00C80FB0"/>
    <w:p w14:paraId="6925FEB0" w14:textId="4B32C19A" w:rsidR="00F62E44" w:rsidRDefault="002C50EE" w:rsidP="00387A66">
      <w:pPr>
        <w:pStyle w:val="Heading2"/>
      </w:pPr>
      <w:r>
        <w:t>5.3. Предклинични данни за безопасност</w:t>
      </w:r>
    </w:p>
    <w:p w14:paraId="62E38CD0" w14:textId="77777777" w:rsidR="00C80FB0" w:rsidRDefault="00C80FB0" w:rsidP="00C80FB0"/>
    <w:p w14:paraId="35E603A8" w14:textId="77777777" w:rsidR="00C80FB0" w:rsidRPr="00C80FB0" w:rsidRDefault="00C80FB0" w:rsidP="00C80FB0">
      <w:pPr>
        <w:rPr>
          <w:sz w:val="24"/>
          <w:szCs w:val="24"/>
          <w:lang w:eastAsia="bg-BG"/>
        </w:rPr>
      </w:pPr>
      <w:r w:rsidRPr="00C80FB0">
        <w:rPr>
          <w:lang w:eastAsia="bg-BG"/>
        </w:rPr>
        <w:t>Предклиничните данни за безопасност не показват съществени рискове от употребата на цефпрозил при хора.</w:t>
      </w:r>
    </w:p>
    <w:p w14:paraId="542704EB" w14:textId="77777777" w:rsidR="00C80FB0" w:rsidRPr="00C80FB0" w:rsidRDefault="00C80FB0" w:rsidP="00C80FB0">
      <w:pPr>
        <w:rPr>
          <w:sz w:val="24"/>
          <w:szCs w:val="24"/>
          <w:lang w:eastAsia="bg-BG"/>
        </w:rPr>
      </w:pPr>
      <w:r w:rsidRPr="00C80FB0">
        <w:rPr>
          <w:lang w:eastAsia="bg-BG"/>
        </w:rPr>
        <w:t>При клинично приложими дози няма данни за системна токсичност или токсичност на таргентните органи при хора.</w:t>
      </w:r>
    </w:p>
    <w:p w14:paraId="77F490BF" w14:textId="77777777" w:rsidR="00C80FB0" w:rsidRPr="00C80FB0" w:rsidRDefault="00C80FB0" w:rsidP="00C80FB0">
      <w:pPr>
        <w:rPr>
          <w:sz w:val="24"/>
          <w:szCs w:val="24"/>
          <w:lang w:eastAsia="bg-BG"/>
        </w:rPr>
      </w:pPr>
      <w:r w:rsidRPr="00C80FB0">
        <w:rPr>
          <w:lang w:eastAsia="bg-BG"/>
        </w:rPr>
        <w:t xml:space="preserve">Данните от </w:t>
      </w:r>
      <w:r w:rsidRPr="00C80FB0">
        <w:rPr>
          <w:i/>
          <w:iCs/>
          <w:lang w:val="en-US"/>
        </w:rPr>
        <w:t>in vitro</w:t>
      </w:r>
      <w:r w:rsidRPr="00C80FB0">
        <w:rPr>
          <w:lang w:val="en-US"/>
        </w:rPr>
        <w:t xml:space="preserve"> </w:t>
      </w:r>
      <w:r w:rsidRPr="00C80FB0">
        <w:rPr>
          <w:lang w:eastAsia="bg-BG"/>
        </w:rPr>
        <w:t xml:space="preserve">и </w:t>
      </w:r>
      <w:r w:rsidRPr="00C80FB0">
        <w:rPr>
          <w:i/>
          <w:iCs/>
          <w:lang w:val="en-US"/>
        </w:rPr>
        <w:t>in vivo</w:t>
      </w:r>
      <w:r w:rsidRPr="00C80FB0">
        <w:rPr>
          <w:lang w:val="en-US"/>
        </w:rPr>
        <w:t xml:space="preserve"> </w:t>
      </w:r>
      <w:r w:rsidRPr="00C80FB0">
        <w:rPr>
          <w:lang w:eastAsia="bg-BG"/>
        </w:rPr>
        <w:t xml:space="preserve">проучванията за мутагенност показват, че в условията на клиничното му приложение цефпрозил няма мутагенна или кластогенна активност. Не са провеждани дългострочни проучвания </w:t>
      </w:r>
      <w:r w:rsidRPr="00C80FB0">
        <w:rPr>
          <w:i/>
          <w:iCs/>
          <w:lang w:val="en-US"/>
        </w:rPr>
        <w:t>in vivo</w:t>
      </w:r>
      <w:r w:rsidRPr="00C80FB0">
        <w:rPr>
          <w:lang w:val="en-US"/>
        </w:rPr>
        <w:t xml:space="preserve"> </w:t>
      </w:r>
      <w:r w:rsidRPr="00C80FB0">
        <w:rPr>
          <w:lang w:eastAsia="bg-BG"/>
        </w:rPr>
        <w:t>за оценяване на карциногенния потенциал. Проучванията за репродуктивност не показват увреждане на фертилитета при животни.</w:t>
      </w:r>
    </w:p>
    <w:p w14:paraId="1E43CB65" w14:textId="45A7364E" w:rsidR="00C80FB0" w:rsidRPr="00C80FB0" w:rsidRDefault="00C80FB0" w:rsidP="00C80FB0">
      <w:pPr>
        <w:rPr>
          <w:sz w:val="24"/>
          <w:szCs w:val="24"/>
          <w:lang w:eastAsia="bg-BG"/>
        </w:rPr>
      </w:pPr>
      <w:r w:rsidRPr="00C80FB0">
        <w:rPr>
          <w:lang w:eastAsia="bg-BG"/>
        </w:rPr>
        <w:t>Няма данни за карциногеннст.</w:t>
      </w:r>
    </w:p>
    <w:p w14:paraId="357049A8" w14:textId="6CD46E4B" w:rsidR="00BB22B4" w:rsidRDefault="002C50EE" w:rsidP="00471F10">
      <w:pPr>
        <w:pStyle w:val="Heading1"/>
      </w:pPr>
      <w:r>
        <w:t>7. ПРИТЕЖАТЕЛ НА РАЗРЕШЕНИЕТО ЗА УПОТРЕБА</w:t>
      </w:r>
    </w:p>
    <w:p w14:paraId="10D5F454" w14:textId="77777777" w:rsidR="00C80FB0" w:rsidRDefault="00C80FB0" w:rsidP="00C80FB0"/>
    <w:p w14:paraId="115C4C68" w14:textId="77777777" w:rsidR="00C80FB0" w:rsidRPr="00C80FB0" w:rsidRDefault="00C80FB0" w:rsidP="00C80FB0">
      <w:pPr>
        <w:rPr>
          <w:sz w:val="24"/>
          <w:szCs w:val="24"/>
          <w:lang w:eastAsia="bg-BG"/>
        </w:rPr>
      </w:pPr>
      <w:r w:rsidRPr="00C80FB0">
        <w:rPr>
          <w:lang w:eastAsia="bg-BG"/>
        </w:rPr>
        <w:t>НОБЕЛ ФАРМА ЕООД</w:t>
      </w:r>
    </w:p>
    <w:p w14:paraId="1CEBDFDD" w14:textId="77777777" w:rsidR="00C80FB0" w:rsidRPr="00C80FB0" w:rsidRDefault="00C80FB0" w:rsidP="00C80FB0">
      <w:pPr>
        <w:rPr>
          <w:sz w:val="24"/>
          <w:szCs w:val="24"/>
          <w:lang w:eastAsia="bg-BG"/>
        </w:rPr>
      </w:pPr>
      <w:r w:rsidRPr="00C80FB0">
        <w:rPr>
          <w:lang w:eastAsia="bg-BG"/>
        </w:rPr>
        <w:t>Околовръстен път № 36</w:t>
      </w:r>
    </w:p>
    <w:p w14:paraId="6F27C61F" w14:textId="1FF7EFF6" w:rsidR="00C80FB0" w:rsidRPr="00C80FB0" w:rsidRDefault="00C80FB0" w:rsidP="00C80FB0">
      <w:r w:rsidRPr="00C80FB0">
        <w:rPr>
          <w:lang w:eastAsia="bg-BG"/>
        </w:rPr>
        <w:t>София 1415, България</w:t>
      </w:r>
    </w:p>
    <w:p w14:paraId="0A53321D" w14:textId="74FBD4FB" w:rsidR="00EE6C97" w:rsidRDefault="00936AD0" w:rsidP="00A93499">
      <w:pPr>
        <w:pStyle w:val="Heading1"/>
      </w:pPr>
      <w:r>
        <w:t>8.</w:t>
      </w:r>
      <w:r w:rsidR="002C50EE">
        <w:t>НОМЕР НА РАЗРЕШЕНИЕТО ЗА УПОТРЕБА</w:t>
      </w:r>
    </w:p>
    <w:p w14:paraId="6EF068A0" w14:textId="77777777" w:rsidR="00C80FB0" w:rsidRDefault="00C80FB0" w:rsidP="00C80FB0"/>
    <w:p w14:paraId="239868FD" w14:textId="54A5ED9F" w:rsidR="00C80FB0" w:rsidRPr="00C80FB0" w:rsidRDefault="00C80FB0" w:rsidP="00C80FB0">
      <w:r>
        <w:rPr>
          <w:lang w:val="en-US"/>
        </w:rPr>
        <w:t xml:space="preserve">Per. </w:t>
      </w:r>
      <w:r>
        <w:t>№ 20170201</w:t>
      </w:r>
    </w:p>
    <w:p w14:paraId="7C2688F5" w14:textId="6D610EDF" w:rsidR="00F62E44" w:rsidRDefault="00F62E44" w:rsidP="00F62E44"/>
    <w:p w14:paraId="00481C21" w14:textId="753A12CC" w:rsidR="00F62E44" w:rsidRDefault="002C50EE" w:rsidP="00387A66">
      <w:pPr>
        <w:pStyle w:val="Heading1"/>
      </w:pPr>
      <w:r>
        <w:t>9. ДАТА НА ПЪРВО РАЗРЕШАВАНЕ/ПОДНОВЯВАНЕ НА РАЗРЕШЕНИЕТО ЗА УПОТРЕБА</w:t>
      </w:r>
    </w:p>
    <w:p w14:paraId="560000D6" w14:textId="77777777" w:rsidR="00C80FB0" w:rsidRDefault="00C80FB0" w:rsidP="00C80FB0"/>
    <w:p w14:paraId="744689E7" w14:textId="77777777" w:rsidR="00C80FB0" w:rsidRPr="00C80FB0" w:rsidRDefault="00C80FB0" w:rsidP="00C80FB0">
      <w:pPr>
        <w:rPr>
          <w:sz w:val="24"/>
          <w:szCs w:val="24"/>
          <w:lang w:eastAsia="bg-BG"/>
        </w:rPr>
      </w:pPr>
      <w:r w:rsidRPr="00C80FB0">
        <w:rPr>
          <w:lang w:eastAsia="bg-BG"/>
        </w:rPr>
        <w:t>Дата на първо разрешаване: 14 юни 2017 г.</w:t>
      </w:r>
    </w:p>
    <w:p w14:paraId="2D7E6BF9" w14:textId="51255FAC" w:rsidR="00C80FB0" w:rsidRPr="00C80FB0" w:rsidRDefault="00C80FB0" w:rsidP="00C80FB0">
      <w:r w:rsidRPr="00C80FB0">
        <w:rPr>
          <w:lang w:eastAsia="bg-BG"/>
        </w:rPr>
        <w:t>Дата на последно подновяване: 18 май 2022 г.</w:t>
      </w:r>
    </w:p>
    <w:p w14:paraId="43FB38A2" w14:textId="0C18A683" w:rsidR="007C605B" w:rsidRDefault="002C50EE" w:rsidP="005726E3">
      <w:pPr>
        <w:pStyle w:val="Heading1"/>
      </w:pPr>
      <w:r>
        <w:t>10. ДАТА НА АКТУАЛИЗИРАНЕ НА ТЕКСТА</w:t>
      </w:r>
      <w:bookmarkEnd w:id="0"/>
    </w:p>
    <w:p w14:paraId="472617BD" w14:textId="2D578AC2" w:rsidR="00BB22B4" w:rsidRPr="00BB22B4" w:rsidRDefault="00C80FB0" w:rsidP="00C80FB0">
      <w:r>
        <w:t>05/2022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20BD"/>
    <w:multiLevelType w:val="hybridMultilevel"/>
    <w:tmpl w:val="70445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07136"/>
    <w:multiLevelType w:val="hybridMultilevel"/>
    <w:tmpl w:val="06844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667BC"/>
    <w:multiLevelType w:val="hybridMultilevel"/>
    <w:tmpl w:val="CB786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1569B5"/>
    <w:multiLevelType w:val="hybridMultilevel"/>
    <w:tmpl w:val="6658C4F6"/>
    <w:lvl w:ilvl="0" w:tplc="7204A62C">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4"/>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2"/>
  </w:num>
  <w:num w:numId="7" w16cid:durableId="1241988161">
    <w:abstractNumId w:val="13"/>
  </w:num>
  <w:num w:numId="8" w16cid:durableId="2102022361">
    <w:abstractNumId w:val="21"/>
  </w:num>
  <w:num w:numId="9" w16cid:durableId="1154613663">
    <w:abstractNumId w:val="2"/>
  </w:num>
  <w:num w:numId="10" w16cid:durableId="1733848127">
    <w:abstractNumId w:val="4"/>
  </w:num>
  <w:num w:numId="11" w16cid:durableId="1861704680">
    <w:abstractNumId w:val="37"/>
  </w:num>
  <w:num w:numId="12" w16cid:durableId="1434934028">
    <w:abstractNumId w:val="18"/>
  </w:num>
  <w:num w:numId="13" w16cid:durableId="479157895">
    <w:abstractNumId w:val="26"/>
  </w:num>
  <w:num w:numId="14" w16cid:durableId="1670476636">
    <w:abstractNumId w:val="15"/>
  </w:num>
  <w:num w:numId="15" w16cid:durableId="1000155783">
    <w:abstractNumId w:val="36"/>
  </w:num>
  <w:num w:numId="16" w16cid:durableId="2056420707">
    <w:abstractNumId w:val="12"/>
  </w:num>
  <w:num w:numId="17" w16cid:durableId="1787119182">
    <w:abstractNumId w:val="31"/>
  </w:num>
  <w:num w:numId="18" w16cid:durableId="722945139">
    <w:abstractNumId w:val="8"/>
  </w:num>
  <w:num w:numId="19" w16cid:durableId="1678728408">
    <w:abstractNumId w:val="33"/>
  </w:num>
  <w:num w:numId="20" w16cid:durableId="1970816657">
    <w:abstractNumId w:val="30"/>
  </w:num>
  <w:num w:numId="21" w16cid:durableId="1531146514">
    <w:abstractNumId w:val="24"/>
  </w:num>
  <w:num w:numId="22" w16cid:durableId="1276465">
    <w:abstractNumId w:val="32"/>
  </w:num>
  <w:num w:numId="23" w16cid:durableId="1624310558">
    <w:abstractNumId w:val="25"/>
  </w:num>
  <w:num w:numId="24" w16cid:durableId="1692877547">
    <w:abstractNumId w:val="9"/>
  </w:num>
  <w:num w:numId="25" w16cid:durableId="50930855">
    <w:abstractNumId w:val="29"/>
  </w:num>
  <w:num w:numId="26" w16cid:durableId="176701536">
    <w:abstractNumId w:val="28"/>
  </w:num>
  <w:num w:numId="27" w16cid:durableId="2050564750">
    <w:abstractNumId w:val="38"/>
  </w:num>
  <w:num w:numId="28" w16cid:durableId="1820733422">
    <w:abstractNumId w:val="6"/>
  </w:num>
  <w:num w:numId="29" w16cid:durableId="973678124">
    <w:abstractNumId w:val="27"/>
  </w:num>
  <w:num w:numId="30" w16cid:durableId="154884452">
    <w:abstractNumId w:val="42"/>
  </w:num>
  <w:num w:numId="31" w16cid:durableId="1053964910">
    <w:abstractNumId w:val="5"/>
  </w:num>
  <w:num w:numId="32" w16cid:durableId="2073575793">
    <w:abstractNumId w:val="40"/>
  </w:num>
  <w:num w:numId="33" w16cid:durableId="1566643170">
    <w:abstractNumId w:val="35"/>
  </w:num>
  <w:num w:numId="34" w16cid:durableId="2060787732">
    <w:abstractNumId w:val="39"/>
  </w:num>
  <w:num w:numId="35" w16cid:durableId="34161354">
    <w:abstractNumId w:val="7"/>
  </w:num>
  <w:num w:numId="36" w16cid:durableId="1976908676">
    <w:abstractNumId w:val="10"/>
  </w:num>
  <w:num w:numId="37" w16cid:durableId="758528303">
    <w:abstractNumId w:val="20"/>
  </w:num>
  <w:num w:numId="38" w16cid:durableId="178396561">
    <w:abstractNumId w:val="41"/>
  </w:num>
  <w:num w:numId="39" w16cid:durableId="934825996">
    <w:abstractNumId w:val="14"/>
  </w:num>
  <w:num w:numId="40" w16cid:durableId="229966534">
    <w:abstractNumId w:val="11"/>
  </w:num>
  <w:num w:numId="41" w16cid:durableId="1780756817">
    <w:abstractNumId w:val="23"/>
  </w:num>
  <w:num w:numId="42" w16cid:durableId="1732730814">
    <w:abstractNumId w:val="17"/>
  </w:num>
  <w:num w:numId="43" w16cid:durableId="7755199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4021"/>
    <w:rsid w:val="002C50EE"/>
    <w:rsid w:val="00340A0A"/>
    <w:rsid w:val="00340E8D"/>
    <w:rsid w:val="003765DC"/>
    <w:rsid w:val="00387A66"/>
    <w:rsid w:val="00395555"/>
    <w:rsid w:val="003E3126"/>
    <w:rsid w:val="00426E5F"/>
    <w:rsid w:val="00471F10"/>
    <w:rsid w:val="004A448E"/>
    <w:rsid w:val="004C62A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20B6"/>
    <w:rsid w:val="00B275A8"/>
    <w:rsid w:val="00B6672E"/>
    <w:rsid w:val="00BA5B74"/>
    <w:rsid w:val="00BB22B4"/>
    <w:rsid w:val="00BF2600"/>
    <w:rsid w:val="00C0049F"/>
    <w:rsid w:val="00C07B84"/>
    <w:rsid w:val="00C33464"/>
    <w:rsid w:val="00C40420"/>
    <w:rsid w:val="00C809A7"/>
    <w:rsid w:val="00C80FB0"/>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2741</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2023-06-04T20:08:00Z</dcterms:created>
  <dcterms:modified xsi:type="dcterms:W3CDTF">2023-06-04T20:08:00Z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