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7D154AE8" w:rsidR="00DB32D3" w:rsidRDefault="00DD466D" w:rsidP="005726E3">
      <w:pPr>
        <w:pStyle w:val="Heading1"/>
      </w:pPr>
      <w:r>
        <w:t>1.ИМЕ НА ЛЕКАРСТВЕНИЯ ПРОДУКТ</w:t>
      </w:r>
    </w:p>
    <w:p w14:paraId="34E7A523" w14:textId="35B6F71F" w:rsidR="006C7468" w:rsidRDefault="006C7468" w:rsidP="006C7468"/>
    <w:p w14:paraId="116EA9A4" w14:textId="77777777" w:rsidR="006C7468" w:rsidRPr="006C7468" w:rsidRDefault="006C7468" w:rsidP="006C7468">
      <w:pPr>
        <w:rPr>
          <w:sz w:val="24"/>
          <w:szCs w:val="24"/>
        </w:rPr>
      </w:pPr>
      <w:r w:rsidRPr="006C7468">
        <w:rPr>
          <w:lang w:eastAsia="bg-BG"/>
        </w:rPr>
        <w:t xml:space="preserve">Програф 0,5 </w:t>
      </w:r>
      <w:r w:rsidRPr="006C7468">
        <w:rPr>
          <w:lang w:val="en-US"/>
        </w:rPr>
        <w:t>mg</w:t>
      </w:r>
      <w:r w:rsidRPr="006C7468">
        <w:t xml:space="preserve"> </w:t>
      </w:r>
      <w:r w:rsidRPr="006C7468">
        <w:rPr>
          <w:lang w:eastAsia="bg-BG"/>
        </w:rPr>
        <w:t>твърди капсули</w:t>
      </w:r>
    </w:p>
    <w:p w14:paraId="5D6EBDE3" w14:textId="77777777" w:rsidR="006C7468" w:rsidRPr="006C7468" w:rsidRDefault="006C7468" w:rsidP="006C7468">
      <w:pPr>
        <w:rPr>
          <w:sz w:val="24"/>
          <w:szCs w:val="24"/>
        </w:rPr>
      </w:pPr>
      <w:proofErr w:type="spellStart"/>
      <w:r w:rsidRPr="006C7468">
        <w:rPr>
          <w:lang w:val="en-US"/>
        </w:rPr>
        <w:t>Prograf</w:t>
      </w:r>
      <w:proofErr w:type="spellEnd"/>
      <w:r w:rsidRPr="006C7468">
        <w:t xml:space="preserve"> </w:t>
      </w:r>
      <w:r w:rsidRPr="006C7468">
        <w:rPr>
          <w:lang w:eastAsia="bg-BG"/>
        </w:rPr>
        <w:t>0</w:t>
      </w:r>
      <w:proofErr w:type="gramStart"/>
      <w:r w:rsidRPr="006C7468">
        <w:rPr>
          <w:lang w:eastAsia="bg-BG"/>
        </w:rPr>
        <w:t>,5</w:t>
      </w:r>
      <w:proofErr w:type="gramEnd"/>
      <w:r w:rsidRPr="006C7468">
        <w:rPr>
          <w:lang w:eastAsia="bg-BG"/>
        </w:rPr>
        <w:t xml:space="preserve"> </w:t>
      </w:r>
      <w:r w:rsidRPr="006C7468">
        <w:rPr>
          <w:lang w:val="en-US"/>
        </w:rPr>
        <w:t>mg</w:t>
      </w:r>
      <w:r w:rsidRPr="006C7468">
        <w:t xml:space="preserve"> </w:t>
      </w:r>
      <w:r w:rsidRPr="006C7468">
        <w:rPr>
          <w:lang w:val="en-US"/>
        </w:rPr>
        <w:t>capsules</w:t>
      </w:r>
      <w:r w:rsidRPr="006C7468">
        <w:t xml:space="preserve">, </w:t>
      </w:r>
      <w:r w:rsidRPr="006C7468">
        <w:rPr>
          <w:lang w:val="en-US"/>
        </w:rPr>
        <w:t>hard</w:t>
      </w:r>
    </w:p>
    <w:p w14:paraId="713381D1" w14:textId="77777777" w:rsidR="006C7468" w:rsidRDefault="006C7468" w:rsidP="006C7468">
      <w:pPr>
        <w:rPr>
          <w:lang w:eastAsia="bg-BG"/>
        </w:rPr>
      </w:pPr>
    </w:p>
    <w:p w14:paraId="7C7787FA" w14:textId="283E1835" w:rsidR="006C7468" w:rsidRPr="006C7468" w:rsidRDefault="006C7468" w:rsidP="006C7468">
      <w:pPr>
        <w:rPr>
          <w:sz w:val="24"/>
          <w:szCs w:val="24"/>
          <w:lang w:val="ru-RU"/>
        </w:rPr>
      </w:pPr>
      <w:r w:rsidRPr="006C7468">
        <w:rPr>
          <w:lang w:eastAsia="bg-BG"/>
        </w:rPr>
        <w:t xml:space="preserve">Програф </w:t>
      </w:r>
      <w:r w:rsidRPr="006C7468">
        <w:rPr>
          <w:lang w:val="en-US"/>
        </w:rPr>
        <w:t xml:space="preserve">1 mg </w:t>
      </w:r>
      <w:r w:rsidRPr="006C7468">
        <w:rPr>
          <w:lang w:eastAsia="bg-BG"/>
        </w:rPr>
        <w:t>твърди капсули</w:t>
      </w:r>
    </w:p>
    <w:p w14:paraId="10A86BD9" w14:textId="77777777" w:rsidR="006C7468" w:rsidRPr="006C7468" w:rsidRDefault="006C7468" w:rsidP="006C7468">
      <w:pPr>
        <w:rPr>
          <w:sz w:val="24"/>
          <w:szCs w:val="24"/>
          <w:lang w:val="ru-RU"/>
        </w:rPr>
      </w:pPr>
      <w:proofErr w:type="spellStart"/>
      <w:r w:rsidRPr="006C7468">
        <w:rPr>
          <w:lang w:val="en-US"/>
        </w:rPr>
        <w:t>Prograf</w:t>
      </w:r>
      <w:proofErr w:type="spellEnd"/>
      <w:r w:rsidRPr="006C7468">
        <w:rPr>
          <w:lang w:val="ru-RU"/>
        </w:rPr>
        <w:t xml:space="preserve"> 1 </w:t>
      </w:r>
      <w:r w:rsidRPr="006C7468">
        <w:rPr>
          <w:lang w:val="en-US"/>
        </w:rPr>
        <w:t>mg</w:t>
      </w:r>
      <w:r w:rsidRPr="006C7468">
        <w:rPr>
          <w:lang w:val="ru-RU"/>
        </w:rPr>
        <w:t xml:space="preserve"> </w:t>
      </w:r>
      <w:r w:rsidRPr="006C7468">
        <w:rPr>
          <w:lang w:val="en-US"/>
        </w:rPr>
        <w:t>capsules</w:t>
      </w:r>
      <w:r w:rsidRPr="006C7468">
        <w:rPr>
          <w:lang w:val="ru-RU"/>
        </w:rPr>
        <w:t xml:space="preserve">, </w:t>
      </w:r>
      <w:r w:rsidRPr="006C7468">
        <w:rPr>
          <w:lang w:val="en-US"/>
        </w:rPr>
        <w:t>hard</w:t>
      </w:r>
    </w:p>
    <w:p w14:paraId="47333E12" w14:textId="77777777" w:rsidR="006C7468" w:rsidRPr="006C7468" w:rsidRDefault="006C7468" w:rsidP="006C7468"/>
    <w:p w14:paraId="48E6CABE" w14:textId="60082396" w:rsidR="00DB32D3" w:rsidRDefault="00DD466D" w:rsidP="005726E3">
      <w:pPr>
        <w:pStyle w:val="Heading1"/>
      </w:pPr>
      <w:r>
        <w:t>2. КАЧЕСТВЕН И КОЛИЧЕСТВЕН СЪСТАВ</w:t>
      </w:r>
    </w:p>
    <w:p w14:paraId="334A2AA7" w14:textId="3F53177E" w:rsidR="006C7468" w:rsidRDefault="006C7468" w:rsidP="006C7468"/>
    <w:p w14:paraId="47DEEDA8" w14:textId="77777777" w:rsidR="006C7468" w:rsidRPr="006C7468" w:rsidRDefault="006C7468" w:rsidP="006C7468">
      <w:pPr>
        <w:rPr>
          <w:sz w:val="24"/>
          <w:szCs w:val="24"/>
        </w:rPr>
      </w:pPr>
      <w:r w:rsidRPr="006C7468">
        <w:rPr>
          <w:lang w:eastAsia="bg-BG"/>
        </w:rPr>
        <w:t xml:space="preserve">Програф 0,5 </w:t>
      </w:r>
      <w:r w:rsidRPr="006C7468">
        <w:rPr>
          <w:lang w:val="en-US"/>
        </w:rPr>
        <w:t>mg</w:t>
      </w:r>
      <w:r w:rsidRPr="006C7468">
        <w:t xml:space="preserve"> </w:t>
      </w:r>
      <w:r w:rsidRPr="006C7468">
        <w:rPr>
          <w:lang w:eastAsia="bg-BG"/>
        </w:rPr>
        <w:t>твърди капсули</w:t>
      </w:r>
    </w:p>
    <w:p w14:paraId="4E502B2F" w14:textId="77777777" w:rsidR="006C7468" w:rsidRPr="006C7468" w:rsidRDefault="006C7468" w:rsidP="006C7468">
      <w:pPr>
        <w:rPr>
          <w:sz w:val="24"/>
          <w:szCs w:val="24"/>
        </w:rPr>
      </w:pPr>
      <w:r w:rsidRPr="006C7468">
        <w:rPr>
          <w:lang w:eastAsia="bg-BG"/>
        </w:rPr>
        <w:t xml:space="preserve">Всяка капсула съдържа 0,5 </w:t>
      </w:r>
      <w:r w:rsidRPr="006C7468">
        <w:rPr>
          <w:lang w:val="en-US"/>
        </w:rPr>
        <w:t>mg</w:t>
      </w:r>
      <w:r w:rsidRPr="006C7468">
        <w:t xml:space="preserve"> </w:t>
      </w:r>
      <w:r w:rsidRPr="006C7468">
        <w:rPr>
          <w:lang w:eastAsia="bg-BG"/>
        </w:rPr>
        <w:t xml:space="preserve">такролимус (като монохидрат) </w:t>
      </w:r>
      <w:r w:rsidRPr="006C7468">
        <w:t>(</w:t>
      </w:r>
      <w:r w:rsidRPr="006C7468">
        <w:rPr>
          <w:lang w:val="en-US"/>
        </w:rPr>
        <w:t>tacrolimus</w:t>
      </w:r>
      <w:r w:rsidRPr="006C7468">
        <w:t>).</w:t>
      </w:r>
    </w:p>
    <w:p w14:paraId="74958C27" w14:textId="77777777" w:rsidR="006C7468" w:rsidRPr="006C7468" w:rsidRDefault="006C7468" w:rsidP="006C7468">
      <w:pPr>
        <w:rPr>
          <w:sz w:val="24"/>
          <w:szCs w:val="24"/>
        </w:rPr>
      </w:pPr>
      <w:r w:rsidRPr="006C7468">
        <w:rPr>
          <w:lang w:eastAsia="bg-BG"/>
        </w:rPr>
        <w:t xml:space="preserve">Помощно вещество с известно действие: 62,85 </w:t>
      </w:r>
      <w:r w:rsidRPr="006C7468">
        <w:rPr>
          <w:lang w:val="en-US"/>
        </w:rPr>
        <w:t>mg</w:t>
      </w:r>
      <w:r w:rsidRPr="006C7468">
        <w:rPr>
          <w:lang w:val="ru-RU"/>
        </w:rPr>
        <w:t xml:space="preserve"> </w:t>
      </w:r>
      <w:r w:rsidRPr="006C7468">
        <w:rPr>
          <w:lang w:eastAsia="bg-BG"/>
        </w:rPr>
        <w:t>лактоза монохидрат</w:t>
      </w:r>
    </w:p>
    <w:p w14:paraId="282EAB75" w14:textId="77777777" w:rsidR="006C7468" w:rsidRPr="006C7468" w:rsidRDefault="006C7468" w:rsidP="006C7468">
      <w:pPr>
        <w:rPr>
          <w:sz w:val="24"/>
          <w:szCs w:val="24"/>
        </w:rPr>
      </w:pPr>
      <w:r w:rsidRPr="006C7468">
        <w:rPr>
          <w:lang w:eastAsia="bg-BG"/>
        </w:rPr>
        <w:t>Печатното мастило, използвано за маркиране на капсулите, съдържа следи от соев лецитин (0,48% от общия състав на печатаното мастило).</w:t>
      </w:r>
    </w:p>
    <w:p w14:paraId="3DA58325" w14:textId="77777777" w:rsidR="006C7468" w:rsidRDefault="006C7468" w:rsidP="006C7468">
      <w:pPr>
        <w:rPr>
          <w:lang w:eastAsia="bg-BG"/>
        </w:rPr>
      </w:pPr>
    </w:p>
    <w:p w14:paraId="21746193" w14:textId="6D179B16" w:rsidR="006C7468" w:rsidRPr="006C7468" w:rsidRDefault="006C7468" w:rsidP="006C7468">
      <w:pPr>
        <w:rPr>
          <w:sz w:val="24"/>
          <w:szCs w:val="24"/>
        </w:rPr>
      </w:pPr>
      <w:r w:rsidRPr="006C7468">
        <w:rPr>
          <w:lang w:eastAsia="bg-BG"/>
        </w:rPr>
        <w:t xml:space="preserve">Програф 1 </w:t>
      </w:r>
      <w:r w:rsidRPr="006C7468">
        <w:rPr>
          <w:lang w:val="en-US"/>
        </w:rPr>
        <w:t>mg</w:t>
      </w:r>
      <w:r w:rsidRPr="006C7468">
        <w:t xml:space="preserve"> </w:t>
      </w:r>
      <w:r w:rsidRPr="006C7468">
        <w:rPr>
          <w:lang w:eastAsia="bg-BG"/>
        </w:rPr>
        <w:t>твърди капсули</w:t>
      </w:r>
    </w:p>
    <w:p w14:paraId="08D0157A" w14:textId="77777777" w:rsidR="006C7468" w:rsidRPr="006C7468" w:rsidRDefault="006C7468" w:rsidP="006C7468">
      <w:pPr>
        <w:rPr>
          <w:sz w:val="24"/>
          <w:szCs w:val="24"/>
        </w:rPr>
      </w:pPr>
      <w:r w:rsidRPr="006C7468">
        <w:rPr>
          <w:lang w:eastAsia="bg-BG"/>
        </w:rPr>
        <w:t xml:space="preserve">Всяка капсула съдържа 1 </w:t>
      </w:r>
      <w:r w:rsidRPr="006C7468">
        <w:rPr>
          <w:lang w:val="en-US"/>
        </w:rPr>
        <w:t>mg</w:t>
      </w:r>
      <w:r w:rsidRPr="006C7468">
        <w:t xml:space="preserve"> </w:t>
      </w:r>
      <w:r w:rsidRPr="006C7468">
        <w:rPr>
          <w:lang w:eastAsia="bg-BG"/>
        </w:rPr>
        <w:t xml:space="preserve">такролимус (като монохидрат) </w:t>
      </w:r>
      <w:r w:rsidRPr="006C7468">
        <w:t>(</w:t>
      </w:r>
      <w:r w:rsidRPr="006C7468">
        <w:rPr>
          <w:lang w:val="en-US"/>
        </w:rPr>
        <w:t>tacrolimus</w:t>
      </w:r>
      <w:r w:rsidRPr="006C7468">
        <w:t>).</w:t>
      </w:r>
    </w:p>
    <w:p w14:paraId="31D4B154" w14:textId="77777777" w:rsidR="006C7468" w:rsidRPr="006C7468" w:rsidRDefault="006C7468" w:rsidP="006C7468">
      <w:pPr>
        <w:rPr>
          <w:sz w:val="24"/>
          <w:szCs w:val="24"/>
        </w:rPr>
      </w:pPr>
      <w:r w:rsidRPr="006C7468">
        <w:rPr>
          <w:lang w:eastAsia="bg-BG"/>
        </w:rPr>
        <w:t xml:space="preserve">Помощно вещество с известно действие: 61,35 </w:t>
      </w:r>
      <w:r w:rsidRPr="006C7468">
        <w:rPr>
          <w:lang w:val="en-US"/>
        </w:rPr>
        <w:t>mg</w:t>
      </w:r>
      <w:r w:rsidRPr="006C7468">
        <w:rPr>
          <w:lang w:val="ru-RU"/>
        </w:rPr>
        <w:t xml:space="preserve"> </w:t>
      </w:r>
      <w:r w:rsidRPr="006C7468">
        <w:rPr>
          <w:lang w:eastAsia="bg-BG"/>
        </w:rPr>
        <w:t>лактоза монохидрат</w:t>
      </w:r>
    </w:p>
    <w:p w14:paraId="71B919E8" w14:textId="47A3AC59" w:rsidR="006C7468" w:rsidRPr="006C7468" w:rsidRDefault="006C7468" w:rsidP="006C7468">
      <w:r w:rsidRPr="006C7468">
        <w:rPr>
          <w:lang w:eastAsia="bg-BG"/>
        </w:rPr>
        <w:t>Печатното мастило, използвано за маркиране на капсулите, съдържа следи от соев лецитин (0,48% от общия състав на печатното мастило).</w:t>
      </w:r>
    </w:p>
    <w:p w14:paraId="614984C4" w14:textId="11A4E881" w:rsidR="008A6AF2" w:rsidRDefault="00DD466D" w:rsidP="002C50EE">
      <w:pPr>
        <w:pStyle w:val="Heading1"/>
      </w:pPr>
      <w:r>
        <w:t>3. ЛЕКАРСТВЕНА ФОРМА</w:t>
      </w:r>
    </w:p>
    <w:p w14:paraId="7E7849F7" w14:textId="67BA9645" w:rsidR="006C7468" w:rsidRDefault="006C7468" w:rsidP="006C7468"/>
    <w:p w14:paraId="42BC980E" w14:textId="77777777" w:rsidR="006C7468" w:rsidRPr="006C7468" w:rsidRDefault="006C7468" w:rsidP="006C7468">
      <w:pPr>
        <w:rPr>
          <w:sz w:val="24"/>
          <w:szCs w:val="24"/>
        </w:rPr>
      </w:pPr>
      <w:r w:rsidRPr="006C7468">
        <w:rPr>
          <w:lang w:eastAsia="bg-BG"/>
        </w:rPr>
        <w:t xml:space="preserve">Програф 0,5 </w:t>
      </w:r>
      <w:r w:rsidRPr="006C7468">
        <w:rPr>
          <w:lang w:val="en-US"/>
        </w:rPr>
        <w:t>mg</w:t>
      </w:r>
      <w:r w:rsidRPr="006C7468">
        <w:rPr>
          <w:lang w:val="ru-RU"/>
        </w:rPr>
        <w:t xml:space="preserve"> </w:t>
      </w:r>
      <w:r w:rsidRPr="006C7468">
        <w:rPr>
          <w:lang w:eastAsia="bg-BG"/>
        </w:rPr>
        <w:t>твърди капсули</w:t>
      </w:r>
    </w:p>
    <w:p w14:paraId="58221D79" w14:textId="77777777" w:rsidR="006C7468" w:rsidRPr="006C7468" w:rsidRDefault="006C7468" w:rsidP="006C7468">
      <w:pPr>
        <w:rPr>
          <w:sz w:val="24"/>
          <w:szCs w:val="24"/>
        </w:rPr>
      </w:pPr>
      <w:r w:rsidRPr="006C7468">
        <w:rPr>
          <w:lang w:eastAsia="bg-BG"/>
        </w:rPr>
        <w:t>Твърда капсула</w:t>
      </w:r>
    </w:p>
    <w:p w14:paraId="2FD19EF3" w14:textId="77777777" w:rsidR="006C7468" w:rsidRPr="006C7468" w:rsidRDefault="006C7468" w:rsidP="006C7468">
      <w:pPr>
        <w:rPr>
          <w:sz w:val="24"/>
          <w:szCs w:val="24"/>
        </w:rPr>
      </w:pPr>
      <w:r w:rsidRPr="006C7468">
        <w:rPr>
          <w:lang w:eastAsia="bg-BG"/>
        </w:rPr>
        <w:t xml:space="preserve">Непрозрачни бледожълти твърди желатинови капсули с отпечатано в червено „0,5 </w:t>
      </w:r>
      <w:r w:rsidRPr="006C7468">
        <w:rPr>
          <w:lang w:val="en-US"/>
        </w:rPr>
        <w:t>mg</w:t>
      </w:r>
      <w:r w:rsidRPr="006C7468">
        <w:rPr>
          <w:lang w:val="ru-RU"/>
        </w:rPr>
        <w:t xml:space="preserve">” </w:t>
      </w:r>
      <w:r w:rsidRPr="006C7468">
        <w:rPr>
          <w:lang w:eastAsia="bg-BG"/>
        </w:rPr>
        <w:t xml:space="preserve">върху капачето на капсулата и „ </w:t>
      </w:r>
      <w:r w:rsidRPr="006C7468">
        <w:rPr>
          <w:lang w:val="ru-RU"/>
        </w:rPr>
        <w:t>(</w:t>
      </w:r>
      <w:r w:rsidRPr="006C7468">
        <w:rPr>
          <w:lang w:val="en-US"/>
        </w:rPr>
        <w:t>f</w:t>
      </w:r>
      <w:r w:rsidRPr="006C7468">
        <w:rPr>
          <w:lang w:val="ru-RU"/>
        </w:rPr>
        <w:t xml:space="preserve">) </w:t>
      </w:r>
      <w:r w:rsidRPr="006C7468">
        <w:rPr>
          <w:lang w:eastAsia="bg-BG"/>
        </w:rPr>
        <w:t>607” върху тялото на капсулата, съдържаща бял прах.</w:t>
      </w:r>
    </w:p>
    <w:p w14:paraId="41EDCC28" w14:textId="77777777" w:rsidR="006C7468" w:rsidRDefault="006C7468" w:rsidP="006C7468">
      <w:pPr>
        <w:rPr>
          <w:lang w:eastAsia="bg-BG"/>
        </w:rPr>
      </w:pPr>
    </w:p>
    <w:p w14:paraId="17CB8AA6" w14:textId="1F95691A" w:rsidR="006C7468" w:rsidRPr="006C7468" w:rsidRDefault="006C7468" w:rsidP="006C7468">
      <w:pPr>
        <w:rPr>
          <w:sz w:val="24"/>
          <w:szCs w:val="24"/>
        </w:rPr>
      </w:pPr>
      <w:r w:rsidRPr="006C7468">
        <w:rPr>
          <w:lang w:eastAsia="bg-BG"/>
        </w:rPr>
        <w:t xml:space="preserve">Програф 1 </w:t>
      </w:r>
      <w:r w:rsidRPr="006C7468">
        <w:rPr>
          <w:lang w:val="en-US"/>
        </w:rPr>
        <w:t>mg</w:t>
      </w:r>
      <w:r w:rsidRPr="006C7468">
        <w:rPr>
          <w:lang w:val="ru-RU"/>
        </w:rPr>
        <w:t xml:space="preserve"> </w:t>
      </w:r>
      <w:r w:rsidRPr="006C7468">
        <w:rPr>
          <w:lang w:eastAsia="bg-BG"/>
        </w:rPr>
        <w:t>твърди капсули</w:t>
      </w:r>
    </w:p>
    <w:p w14:paraId="7692C8E2" w14:textId="77777777" w:rsidR="006C7468" w:rsidRPr="006C7468" w:rsidRDefault="006C7468" w:rsidP="006C7468">
      <w:pPr>
        <w:rPr>
          <w:sz w:val="24"/>
          <w:szCs w:val="24"/>
        </w:rPr>
      </w:pPr>
      <w:r w:rsidRPr="006C7468">
        <w:rPr>
          <w:lang w:eastAsia="bg-BG"/>
        </w:rPr>
        <w:t>Твърда капсула</w:t>
      </w:r>
    </w:p>
    <w:p w14:paraId="7C23B38C" w14:textId="78318A59" w:rsidR="006C7468" w:rsidRPr="006C7468" w:rsidRDefault="006C7468" w:rsidP="006C7468">
      <w:r w:rsidRPr="006C7468">
        <w:rPr>
          <w:lang w:eastAsia="bg-BG"/>
        </w:rPr>
        <w:t xml:space="preserve">Непрозрачни бели твърди желатинови капсули с отпечатано в червено „1 </w:t>
      </w:r>
      <w:r w:rsidRPr="006C7468">
        <w:rPr>
          <w:lang w:val="en-US"/>
        </w:rPr>
        <w:t>mg</w:t>
      </w:r>
      <w:r w:rsidRPr="006C7468">
        <w:rPr>
          <w:lang w:val="ru-RU"/>
        </w:rPr>
        <w:t xml:space="preserve">" </w:t>
      </w:r>
      <w:r w:rsidRPr="006C7468">
        <w:rPr>
          <w:lang w:eastAsia="bg-BG"/>
        </w:rPr>
        <w:t xml:space="preserve">върху капачето на капсулата и „ </w:t>
      </w:r>
      <w:r w:rsidRPr="006C7468">
        <w:rPr>
          <w:lang w:val="ru-RU"/>
        </w:rPr>
        <w:t>(</w:t>
      </w:r>
      <w:r w:rsidRPr="006C7468">
        <w:rPr>
          <w:lang w:val="en-US"/>
        </w:rPr>
        <w:t>f</w:t>
      </w:r>
      <w:r w:rsidRPr="006C7468">
        <w:rPr>
          <w:lang w:val="ru-RU"/>
        </w:rPr>
        <w:t xml:space="preserve">) </w:t>
      </w:r>
      <w:r w:rsidRPr="006C7468">
        <w:rPr>
          <w:lang w:eastAsia="bg-BG"/>
        </w:rPr>
        <w:t>617“ върху тялото на капсулата, съдържаща бял прах.</w:t>
      </w:r>
    </w:p>
    <w:p w14:paraId="490FC2C4" w14:textId="6899DE43" w:rsidR="002C50EE" w:rsidRDefault="002C50EE" w:rsidP="002C50EE">
      <w:pPr>
        <w:pStyle w:val="Heading1"/>
      </w:pPr>
      <w:r>
        <w:t>4. КЛИНИЧНИ ДАННИ</w:t>
      </w:r>
    </w:p>
    <w:p w14:paraId="0771830A" w14:textId="5ABDFFD5" w:rsidR="00DB32D3" w:rsidRDefault="002C50EE" w:rsidP="005726E3">
      <w:pPr>
        <w:pStyle w:val="Heading2"/>
      </w:pPr>
      <w:r>
        <w:t>4.1. Терапевтични показания</w:t>
      </w:r>
    </w:p>
    <w:p w14:paraId="460C7E66" w14:textId="6859D7BC" w:rsidR="006C7468" w:rsidRDefault="006C7468" w:rsidP="006C7468"/>
    <w:p w14:paraId="76B556C1" w14:textId="77777777" w:rsidR="006C7468" w:rsidRPr="006C7468" w:rsidRDefault="006C7468" w:rsidP="006C7468">
      <w:pPr>
        <w:rPr>
          <w:sz w:val="24"/>
          <w:szCs w:val="24"/>
        </w:rPr>
      </w:pPr>
      <w:r w:rsidRPr="006C7468">
        <w:rPr>
          <w:lang w:eastAsia="bg-BG"/>
        </w:rPr>
        <w:t>Профилактика на отхвърляне на трансплантанта при реципиенти на алографт - черен дроб, бъбрек или сърце.</w:t>
      </w:r>
    </w:p>
    <w:p w14:paraId="5D73AE3C" w14:textId="77777777" w:rsidR="006C7468" w:rsidRDefault="006C7468" w:rsidP="006C7468">
      <w:pPr>
        <w:rPr>
          <w:lang w:eastAsia="bg-BG"/>
        </w:rPr>
      </w:pPr>
    </w:p>
    <w:p w14:paraId="25CE29CB" w14:textId="71261800" w:rsidR="006C7468" w:rsidRPr="006C7468" w:rsidRDefault="006C7468" w:rsidP="006C7468">
      <w:pPr>
        <w:rPr>
          <w:sz w:val="24"/>
          <w:szCs w:val="24"/>
        </w:rPr>
      </w:pPr>
      <w:r w:rsidRPr="006C7468">
        <w:rPr>
          <w:lang w:eastAsia="bg-BG"/>
        </w:rPr>
        <w:lastRenderedPageBreak/>
        <w:t>Лечение на отхвърляне на алографта при случаи, резистентни на терапия с други имуносупресивни лекарствени продукти.</w:t>
      </w:r>
    </w:p>
    <w:p w14:paraId="59B6287A" w14:textId="77777777" w:rsidR="006C7468" w:rsidRPr="006C7468" w:rsidRDefault="006C7468" w:rsidP="006C7468"/>
    <w:p w14:paraId="7647A102" w14:textId="39F025EA" w:rsidR="00DB32D3" w:rsidRDefault="002C50EE" w:rsidP="005726E3">
      <w:pPr>
        <w:pStyle w:val="Heading2"/>
      </w:pPr>
      <w:r>
        <w:t>4.2. Дозировка и начин на приложение</w:t>
      </w:r>
    </w:p>
    <w:p w14:paraId="4CEB4DFC" w14:textId="7A1B9D6D" w:rsidR="006C7468" w:rsidRDefault="006C7468" w:rsidP="006C7468"/>
    <w:p w14:paraId="4BC1F72B"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Лечението с Програф изисква внимателно мониториране от адекватно квалифициран и екипиран персонал. Лекарственият продукт трябва да се предписва и промените в имуносупресивната терапия да се правят само от лекари с опит в имуносупресивното лечение и третиране на трансплантирани пациенти.</w:t>
      </w:r>
    </w:p>
    <w:p w14:paraId="70CDC10A" w14:textId="77777777" w:rsidR="006C7468" w:rsidRPr="006C7468" w:rsidRDefault="006C7468" w:rsidP="006C7468">
      <w:pPr>
        <w:spacing w:line="240" w:lineRule="auto"/>
        <w:rPr>
          <w:rFonts w:eastAsia="Times New Roman" w:cs="Arial"/>
          <w:color w:val="000000"/>
          <w:lang w:eastAsia="bg-BG"/>
        </w:rPr>
      </w:pPr>
    </w:p>
    <w:p w14:paraId="6B33FD64" w14:textId="3C5A5723" w:rsidR="006C7468" w:rsidRPr="006C7468" w:rsidRDefault="006C7468" w:rsidP="006C7468">
      <w:pPr>
        <w:spacing w:line="240" w:lineRule="auto"/>
        <w:rPr>
          <w:rFonts w:eastAsia="Times New Roman" w:cs="Arial"/>
        </w:rPr>
      </w:pPr>
      <w:r w:rsidRPr="006C7468">
        <w:rPr>
          <w:rFonts w:eastAsia="Times New Roman" w:cs="Arial"/>
          <w:color w:val="000000"/>
          <w:lang w:eastAsia="bg-BG"/>
        </w:rPr>
        <w:t>Невнимателното, неумишленото или безконтролно преминаване към лекарствена форма на такролимус с незабавно освобождаване или към лекарствена форма с удължено освобождаване не е безопасно. Това може да предизвика отхвърляне на присадката или увеличаване честотата на нежеланите реакции, включително недостатъчна имуносупресия или свръхимуносупресия, поради клинично значими разлики в системната експозиция на такролимус. Пациентите трябва да се лекуват с една от лекарствените форми на такролимус, при спазване на съответната дневна схема на прилагане; промяна на лекарствената форма или на схемата на прилагане трябва да се прави само под непосредствено наблюдение от специалист трансплантолог (вж. точки 4.4 и 4.8). След преминаване към която и да е алтернативна лекарствена форма трябва да се направи терапевтично лекарствено мониториране и коригиране на дозата, за да се осигури запазване на системната експозиция на такролимус.</w:t>
      </w:r>
    </w:p>
    <w:p w14:paraId="0B5AD1D7" w14:textId="77777777" w:rsidR="006C7468" w:rsidRPr="006C7468" w:rsidRDefault="006C7468" w:rsidP="006C7468">
      <w:pPr>
        <w:spacing w:line="240" w:lineRule="auto"/>
        <w:rPr>
          <w:rFonts w:eastAsia="Times New Roman" w:cs="Arial"/>
          <w:b/>
          <w:bCs/>
          <w:color w:val="000000"/>
          <w:lang w:eastAsia="bg-BG"/>
        </w:rPr>
      </w:pPr>
      <w:bookmarkStart w:id="1" w:name="bookmark0"/>
    </w:p>
    <w:p w14:paraId="448CDE30" w14:textId="207388FB"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Общи съображения</w:t>
      </w:r>
      <w:bookmarkEnd w:id="1"/>
    </w:p>
    <w:p w14:paraId="6B34B0D3"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Препоръчваните начални дози, представени по-долу, са предназначени да служат само като указание. Дозирането на Програф трябва преди всичко да се базира на клиничната оценка на отхвърлянето и поносимостта при всеки отделен пациент, подпомогната от мониторирането на концентрацията в кръвта (виж по-долу: препоръчителни концентрации в пълноценна кръв, които трябва да бъдат достигнати). Ако се появят признаци на отхвърляне, трябва да се обмисли промяна на имуносупресивния режим.</w:t>
      </w:r>
    </w:p>
    <w:p w14:paraId="5F70833D"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Програф може да се прилага интравенозно или перорално. Обикновено се започва с перорално приложение; ако е необходимо, съдържанието на капсулата, суспендирано във вода, може да се прилага чрез назогастрална сонда. Обикновено Програф се прилага в комбинация с други имуносупресивни средства в началния период след операцията. Дозата на Програф може да варира в зависимост от избрания имуносупресивен режим.</w:t>
      </w:r>
    </w:p>
    <w:p w14:paraId="09E649D5" w14:textId="77777777" w:rsidR="006C7468" w:rsidRPr="006C7468" w:rsidRDefault="006C7468" w:rsidP="006C7468">
      <w:pPr>
        <w:spacing w:line="240" w:lineRule="auto"/>
        <w:rPr>
          <w:rFonts w:eastAsia="Times New Roman" w:cs="Arial"/>
          <w:color w:val="000000"/>
          <w:lang w:eastAsia="bg-BG"/>
        </w:rPr>
      </w:pPr>
    </w:p>
    <w:p w14:paraId="7A67AD46" w14:textId="3630D19D" w:rsidR="006C7468" w:rsidRPr="006C7468" w:rsidRDefault="006C7468" w:rsidP="006C7468">
      <w:pPr>
        <w:pStyle w:val="Heading3"/>
        <w:rPr>
          <w:rFonts w:eastAsia="Times New Roman"/>
        </w:rPr>
      </w:pPr>
      <w:r w:rsidRPr="006C7468">
        <w:rPr>
          <w:rFonts w:eastAsia="Times New Roman"/>
          <w:lang w:eastAsia="bg-BG"/>
        </w:rPr>
        <w:t>Дозировка</w:t>
      </w:r>
    </w:p>
    <w:p w14:paraId="5A6BBBA7" w14:textId="77777777" w:rsidR="006C7468" w:rsidRPr="006C7468" w:rsidRDefault="006C7468" w:rsidP="006C7468">
      <w:pPr>
        <w:spacing w:line="240" w:lineRule="auto"/>
        <w:rPr>
          <w:rFonts w:eastAsia="Times New Roman" w:cs="Arial"/>
          <w:b/>
          <w:bCs/>
          <w:color w:val="000000"/>
          <w:lang w:eastAsia="bg-BG"/>
        </w:rPr>
      </w:pPr>
      <w:bookmarkStart w:id="2" w:name="bookmark2"/>
    </w:p>
    <w:p w14:paraId="766F48C4" w14:textId="62AB2307"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дозиране при: Чернодробна трансплантация</w:t>
      </w:r>
      <w:bookmarkEnd w:id="2"/>
    </w:p>
    <w:p w14:paraId="24C194A6" w14:textId="77777777" w:rsidR="006C7468" w:rsidRPr="006C7468" w:rsidRDefault="006C7468" w:rsidP="006C7468">
      <w:pPr>
        <w:spacing w:line="240" w:lineRule="auto"/>
        <w:rPr>
          <w:rFonts w:eastAsia="Times New Roman" w:cs="Arial"/>
          <w:color w:val="000000"/>
          <w:u w:val="single"/>
          <w:lang w:eastAsia="bg-BG"/>
        </w:rPr>
      </w:pPr>
    </w:p>
    <w:p w14:paraId="26478E9A" w14:textId="720AD606"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 на трансплантанта - възрастни</w:t>
      </w:r>
    </w:p>
    <w:p w14:paraId="2236661D"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Пероралното лечение с Програф трябва да започне в доза 0,10-0,20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разделена на два отделни приема (напр. сутрин и вечер). Приемът трябва да започне около 12 часа след завършване на операцията.</w:t>
      </w:r>
    </w:p>
    <w:p w14:paraId="1BF83AE8"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Ако пероралното приложение е невъзможно поради клиничното състояние на пациента, трябва да се започне интравенозна терапия с 0,01-0,05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val="ru-RU"/>
        </w:rPr>
        <w:t xml:space="preserve"> </w:t>
      </w:r>
      <w:r w:rsidRPr="006C7468">
        <w:rPr>
          <w:rFonts w:eastAsia="Times New Roman" w:cs="Arial"/>
          <w:color w:val="000000"/>
          <w:lang w:eastAsia="bg-BG"/>
        </w:rPr>
        <w:t>дневно под формата на непрекъсната 24-часова инфузия.</w:t>
      </w:r>
    </w:p>
    <w:p w14:paraId="4198FAA7" w14:textId="77777777" w:rsidR="006C7468" w:rsidRPr="006C7468" w:rsidRDefault="006C7468" w:rsidP="006C7468">
      <w:pPr>
        <w:spacing w:line="240" w:lineRule="auto"/>
        <w:rPr>
          <w:rFonts w:eastAsia="Times New Roman" w:cs="Arial"/>
          <w:color w:val="000000"/>
          <w:u w:val="single"/>
          <w:lang w:eastAsia="bg-BG"/>
        </w:rPr>
      </w:pPr>
    </w:p>
    <w:p w14:paraId="1CF89DFD" w14:textId="31707082"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 на трансплантанта - деца</w:t>
      </w:r>
    </w:p>
    <w:p w14:paraId="08D1C63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lastRenderedPageBreak/>
        <w:t xml:space="preserve">Трябва да се приложи начална перорална доза 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разделена на два отделни приема (напр. сутрин и вечер). Ако клиничното състояние на пациента не позволява перорално приложение, трябва да се приложи начална интравенозна доза 0,05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val="ru-RU"/>
        </w:rPr>
        <w:t xml:space="preserve"> </w:t>
      </w:r>
      <w:r w:rsidRPr="006C7468">
        <w:rPr>
          <w:rFonts w:eastAsia="Times New Roman" w:cs="Arial"/>
          <w:color w:val="000000"/>
          <w:lang w:eastAsia="bg-BG"/>
        </w:rPr>
        <w:t>дневно под формата на непрекъсната 24-часова инфузия.</w:t>
      </w:r>
    </w:p>
    <w:p w14:paraId="0C2A956C" w14:textId="77777777" w:rsidR="006C7468" w:rsidRPr="006C7468" w:rsidRDefault="006C7468" w:rsidP="006C7468">
      <w:pPr>
        <w:rPr>
          <w:rFonts w:eastAsia="Times New Roman" w:cs="Arial"/>
          <w:color w:val="000000"/>
          <w:u w:val="single"/>
          <w:lang w:eastAsia="bg-BG"/>
        </w:rPr>
      </w:pPr>
    </w:p>
    <w:p w14:paraId="1073597C" w14:textId="58B310BF" w:rsidR="006C7468" w:rsidRPr="006C7468" w:rsidRDefault="006C7468" w:rsidP="006C7468">
      <w:pPr>
        <w:rPr>
          <w:rFonts w:eastAsia="Times New Roman" w:cs="Arial"/>
          <w:color w:val="000000"/>
          <w:u w:val="single"/>
          <w:lang w:eastAsia="bg-BG"/>
        </w:rPr>
      </w:pPr>
      <w:r w:rsidRPr="006C7468">
        <w:rPr>
          <w:rFonts w:eastAsia="Times New Roman" w:cs="Arial"/>
          <w:color w:val="000000"/>
          <w:u w:val="single"/>
          <w:lang w:eastAsia="bg-BG"/>
        </w:rPr>
        <w:t>Адаптиране на дозата в периода след трансплантацията при възрастни и деца</w:t>
      </w:r>
    </w:p>
    <w:p w14:paraId="1B3FC14A"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Дозите Програф обичайно се понижават в периода след трансплантация. Възможно е в някои случаи да се прекрати съпътстващата имуносупресивна терапия , като се стигне до монотерапия с Програф. Подобрението на състоянието на пациента след трансплантацията може да промени фармакокинетиката на такролимус и може да се наложи допълнително адаптиране на дозите.</w:t>
      </w:r>
    </w:p>
    <w:p w14:paraId="29BF9CC6" w14:textId="77777777" w:rsidR="006C7468" w:rsidRPr="006C7468" w:rsidRDefault="006C7468" w:rsidP="006C7468">
      <w:pPr>
        <w:spacing w:line="240" w:lineRule="auto"/>
        <w:rPr>
          <w:rFonts w:eastAsia="Times New Roman" w:cs="Arial"/>
          <w:color w:val="000000"/>
          <w:u w:val="single"/>
          <w:lang w:eastAsia="bg-BG"/>
        </w:rPr>
      </w:pPr>
    </w:p>
    <w:p w14:paraId="77E6F451" w14:textId="443E6BF0"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Лечение на отхвърлянето - възрастни и деца</w:t>
      </w:r>
    </w:p>
    <w:p w14:paraId="7237CFB8"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овладяване епизодите на отхвърляне се използват увеличени дози Програф, допълнителна терапия с кортикостероиди, както и кратки курсове с моно/поликлонални антитела. Ако се забележат признаци на токсичност (напр. подчертани нежелани реакции - виж раздел 4.8), може да се наложи понижение на дозата Програф.</w:t>
      </w:r>
    </w:p>
    <w:p w14:paraId="6228AF44"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При преминаване към Програф лечението трябва да се започне с началната перорална доза, препоръчвана за първична имуносупресия.</w:t>
      </w:r>
    </w:p>
    <w:p w14:paraId="4DD8B36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информация относно преминаване от циклоспорин към Програф виж по-долу: “Адаптиране на дозата при специфични популации пациенти”.</w:t>
      </w:r>
    </w:p>
    <w:p w14:paraId="65D39F78" w14:textId="77777777" w:rsidR="006C7468" w:rsidRPr="006C7468" w:rsidRDefault="006C7468" w:rsidP="006C7468">
      <w:pPr>
        <w:spacing w:line="240" w:lineRule="auto"/>
        <w:rPr>
          <w:rFonts w:eastAsia="Times New Roman" w:cs="Arial"/>
          <w:b/>
          <w:bCs/>
          <w:color w:val="000000"/>
          <w:lang w:eastAsia="bg-BG"/>
        </w:rPr>
      </w:pPr>
    </w:p>
    <w:p w14:paraId="0D680968" w14:textId="36EE0F74"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дозиране при: Бъбречна трансплантация</w:t>
      </w:r>
    </w:p>
    <w:p w14:paraId="3931A60A" w14:textId="77777777" w:rsidR="006C7468" w:rsidRPr="006C7468" w:rsidRDefault="006C7468" w:rsidP="006C7468">
      <w:pPr>
        <w:spacing w:line="240" w:lineRule="auto"/>
        <w:rPr>
          <w:rFonts w:eastAsia="Times New Roman" w:cs="Arial"/>
          <w:color w:val="000000"/>
          <w:u w:val="single"/>
          <w:lang w:eastAsia="bg-BG"/>
        </w:rPr>
      </w:pPr>
    </w:p>
    <w:p w14:paraId="6B3DA615" w14:textId="765F183C"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 на трансплантанта - възрастни</w:t>
      </w:r>
    </w:p>
    <w:p w14:paraId="37196286" w14:textId="062FE489"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Пероралното лечение с Програф трябва да започне с доза 0,20-0,30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разделена в два отделни приема (напр. сутрин и вечер). Приемът трябва да започне до 24 часа след приключване на операцията.</w:t>
      </w:r>
    </w:p>
    <w:p w14:paraId="63E581E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Ако поради клиничното състояние на пациента дозата не може да се приложи перорално, трябва да започне интравенозна терапия с 0,05-0,10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под формата на непрекъсната 24-часова инфузия.</w:t>
      </w:r>
    </w:p>
    <w:p w14:paraId="36DC3BA2" w14:textId="77777777" w:rsidR="006C7468" w:rsidRPr="006C7468" w:rsidRDefault="006C7468" w:rsidP="006C7468">
      <w:pPr>
        <w:spacing w:line="240" w:lineRule="auto"/>
        <w:rPr>
          <w:rFonts w:eastAsia="Times New Roman" w:cs="Arial"/>
          <w:color w:val="000000"/>
          <w:u w:val="single"/>
          <w:lang w:eastAsia="bg-BG"/>
        </w:rPr>
      </w:pPr>
    </w:p>
    <w:p w14:paraId="76B6335E" w14:textId="14B31FEB"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отхвърлянето на трансплантанта - деца</w:t>
      </w:r>
    </w:p>
    <w:p w14:paraId="46DD87E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Трябва да се прилага начална перорална доза от 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разделена на два приема (напр. сутрин и вечер). Ако клиничното състояние на пациента не позволява перорален прием, трябва да се приложи начална интравенозна доза 0,075 - 0,10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под формата на продължителна 24-часова инфузия.</w:t>
      </w:r>
    </w:p>
    <w:p w14:paraId="755338B3" w14:textId="77777777" w:rsidR="006C7468" w:rsidRPr="006C7468" w:rsidRDefault="006C7468" w:rsidP="006C7468">
      <w:pPr>
        <w:spacing w:line="240" w:lineRule="auto"/>
        <w:rPr>
          <w:rFonts w:eastAsia="Times New Roman" w:cs="Arial"/>
          <w:color w:val="000000"/>
          <w:u w:val="single"/>
          <w:lang w:eastAsia="bg-BG"/>
        </w:rPr>
      </w:pPr>
    </w:p>
    <w:p w14:paraId="3BB43C6E" w14:textId="67990B4B"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Адаптиране на дозата в периода след трансплантация при възрастни и деца</w:t>
      </w:r>
    </w:p>
    <w:p w14:paraId="0C7F1DA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Обикновено дозите Програф се понижават в периода след трансплантация. В някои случаи е възможно да се спре съпътстващата имуносупресивна терапия и да се стигне до базирана на Програф двойна терапия. Подобрението на състоянието на пациента след трансплантацията може да промени фармакокинетиката на такролимус и да се наложи по</w:t>
      </w:r>
      <w:r w:rsidRPr="006C7468">
        <w:rPr>
          <w:rFonts w:eastAsia="Times New Roman" w:cs="Arial"/>
          <w:color w:val="000000"/>
          <w:lang w:eastAsia="bg-BG"/>
        </w:rPr>
        <w:softHyphen/>
        <w:t>нататъшно адаптиране на дозата.</w:t>
      </w:r>
    </w:p>
    <w:p w14:paraId="4A5CDD0D" w14:textId="77777777" w:rsidR="006C7468" w:rsidRPr="006C7468" w:rsidRDefault="006C7468" w:rsidP="006C7468">
      <w:pPr>
        <w:spacing w:line="240" w:lineRule="auto"/>
        <w:rPr>
          <w:rFonts w:eastAsia="Times New Roman" w:cs="Arial"/>
          <w:color w:val="000000"/>
          <w:u w:val="single"/>
          <w:lang w:eastAsia="bg-BG"/>
        </w:rPr>
      </w:pPr>
    </w:p>
    <w:p w14:paraId="03A26E43" w14:textId="5638568A" w:rsidR="006C7468" w:rsidRPr="006C7468" w:rsidRDefault="006C7468" w:rsidP="006C7468">
      <w:pPr>
        <w:spacing w:line="240" w:lineRule="auto"/>
        <w:rPr>
          <w:rFonts w:eastAsia="Times New Roman" w:cs="Arial"/>
          <w:color w:val="000000"/>
          <w:u w:val="single"/>
          <w:lang w:eastAsia="bg-BG"/>
        </w:rPr>
      </w:pPr>
      <w:r w:rsidRPr="006C7468">
        <w:rPr>
          <w:rFonts w:eastAsia="Times New Roman" w:cs="Arial"/>
          <w:color w:val="000000"/>
          <w:u w:val="single"/>
          <w:lang w:eastAsia="bg-BG"/>
        </w:rPr>
        <w:t>Лечение на отхвърлянето - възрастни и деца</w:t>
      </w:r>
    </w:p>
    <w:p w14:paraId="096CAFD9"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Обикновено за овладяване епизодите на отхвърляне се използват увеличени дози Програф, допълваща терапия с кортикостероиди и въвеждане на кратки курсове с моно/поликлонални антитела. Ако се забележат признаци на токсичност (т.е подчертани нежелани реакции - виж раздел 4.8), дозата Програф може би трябва да се понижи.</w:t>
      </w:r>
    </w:p>
    <w:p w14:paraId="29A2D174"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lastRenderedPageBreak/>
        <w:t>При преминаване към лечение с Програф то трябва да започне с началната перорална доза, препоръчана за първична имуносупресия.</w:t>
      </w:r>
    </w:p>
    <w:p w14:paraId="664A1CC4"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информация относно преминаването от циклоспорин към Програф виж по-долу: “Адаптиране на дозировката при специфични популации пациенти“.</w:t>
      </w:r>
    </w:p>
    <w:p w14:paraId="68965849" w14:textId="39E897B5" w:rsidR="006C7468" w:rsidRPr="006C7468" w:rsidRDefault="006C7468" w:rsidP="006C7468">
      <w:pPr>
        <w:rPr>
          <w:rFonts w:cs="Arial"/>
        </w:rPr>
      </w:pPr>
    </w:p>
    <w:p w14:paraId="14C7A48F" w14:textId="77777777"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дозиране при: Сърдечна трансплантация</w:t>
      </w:r>
    </w:p>
    <w:p w14:paraId="376C6226" w14:textId="77777777" w:rsidR="006C7468" w:rsidRPr="006C7468" w:rsidRDefault="006C7468" w:rsidP="006C7468">
      <w:pPr>
        <w:spacing w:line="240" w:lineRule="auto"/>
        <w:rPr>
          <w:rFonts w:eastAsia="Times New Roman" w:cs="Arial"/>
          <w:color w:val="000000"/>
          <w:u w:val="single"/>
          <w:lang w:eastAsia="bg-BG"/>
        </w:rPr>
      </w:pPr>
    </w:p>
    <w:p w14:paraId="4A00BB1F" w14:textId="34A84BB0"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отхвърлянето на трансплантанта - възрастни</w:t>
      </w:r>
    </w:p>
    <w:p w14:paraId="19175E72"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Програф може да се използва заедно с индукция на антитела (позволяващо по-късен старт на терапията с Програф) или алтернативно, при клинично стабилни пациенти, без индукция на антитела.</w:t>
      </w:r>
    </w:p>
    <w:p w14:paraId="308EE826"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След индукция на антитела пероралното лечение с Програф трябва да започне с доза 0,075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разделена на два приема (напр. сутрин и вечер). Приложението трябва да започне до 5 дни след приключване на операцията, веднага щом клиничното състояние на пациента се стабилизира. Ако поради клиничното състояние на пациента пероралният прием е невъзможен, трябва да започне интравенозна терапия с 0,01 до 0,02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под формата на непрекъсната 24-часова инфузия.</w:t>
      </w:r>
    </w:p>
    <w:p w14:paraId="756CBE23"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Публикувана е алтернативна стратегия, при която перорален такролимус се прилага в рамките на 12 часа след трансплантацията. Този подход е запазен за пациенти без функционални смущения на органи (напр. бъбречна дисфункция). В такъв случай се използва начална перорална доза такролимус 2-4 </w:t>
      </w:r>
      <w:r w:rsidRPr="006C7468">
        <w:rPr>
          <w:rFonts w:eastAsia="Times New Roman" w:cs="Arial"/>
          <w:color w:val="000000"/>
          <w:lang w:val="en-US"/>
        </w:rPr>
        <w:t>mg</w:t>
      </w:r>
      <w:r w:rsidRPr="006C7468">
        <w:rPr>
          <w:rFonts w:eastAsia="Times New Roman" w:cs="Arial"/>
          <w:color w:val="000000"/>
          <w:lang w:val="ru-RU"/>
        </w:rPr>
        <w:t xml:space="preserve"> </w:t>
      </w:r>
      <w:r w:rsidRPr="006C7468">
        <w:rPr>
          <w:rFonts w:eastAsia="Times New Roman" w:cs="Arial"/>
          <w:color w:val="000000"/>
          <w:lang w:eastAsia="bg-BG"/>
        </w:rPr>
        <w:t>дневно в комбинация с микофенолат мофетил и кортикостероиди или в комбинация със сиролимус и кортикостероиди.</w:t>
      </w:r>
    </w:p>
    <w:p w14:paraId="57926123" w14:textId="77777777" w:rsidR="006C7468" w:rsidRPr="006C7468" w:rsidRDefault="006C7468" w:rsidP="006C7468">
      <w:pPr>
        <w:spacing w:line="240" w:lineRule="auto"/>
        <w:rPr>
          <w:rFonts w:eastAsia="Times New Roman" w:cs="Arial"/>
          <w:color w:val="000000"/>
          <w:u w:val="single"/>
          <w:lang w:eastAsia="bg-BG"/>
        </w:rPr>
      </w:pPr>
    </w:p>
    <w:p w14:paraId="67C737BA" w14:textId="53FE2305"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Профилактика на отхвърлянето на трансплантанта - деца</w:t>
      </w:r>
    </w:p>
    <w:p w14:paraId="60B1D3E1"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Програф се използва с или без индукция на антитела при сърдечни трансплантации на деца. При пациенти без индукция на антитела, ако лечението с Програф започне интравенозно, препоръчваната начална доза е 0,03-0,05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под формата на непрекъсната 24-часова инфузия с цел да се постигне концентрация на такролимус в кръвта 15-25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 xml:space="preserve">Пациентите трябва да преминат към перорална терапия веднага щом това е клинически възможно. Първата доза от пероралното лечение трябва да бъде 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val="ru-RU"/>
        </w:rPr>
        <w:t xml:space="preserve"> </w:t>
      </w:r>
      <w:r w:rsidRPr="006C7468">
        <w:rPr>
          <w:rFonts w:eastAsia="Times New Roman" w:cs="Arial"/>
          <w:color w:val="000000"/>
          <w:lang w:eastAsia="bg-BG"/>
        </w:rPr>
        <w:t>дневно и да бъде започната 8 до 12 часа след прекратяване на интравенозното приложение.</w:t>
      </w:r>
    </w:p>
    <w:p w14:paraId="211A3B80"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След индуциране на антитела, ако терапията с Програф е започната с перорално приложение, препоръчваната начална доза е 0,10-0,30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val="ru-RU"/>
        </w:rPr>
        <w:t xml:space="preserve">/ </w:t>
      </w:r>
      <w:r w:rsidRPr="006C7468">
        <w:rPr>
          <w:rFonts w:eastAsia="Times New Roman" w:cs="Arial"/>
          <w:color w:val="000000"/>
          <w:lang w:eastAsia="bg-BG"/>
        </w:rPr>
        <w:t>дневно, разделена на два приема (напр. сутрин и вечер).</w:t>
      </w:r>
    </w:p>
    <w:p w14:paraId="571CE8BA" w14:textId="77777777" w:rsidR="006C7468" w:rsidRPr="006C7468" w:rsidRDefault="006C7468" w:rsidP="006C7468">
      <w:pPr>
        <w:spacing w:line="240" w:lineRule="auto"/>
        <w:rPr>
          <w:rFonts w:eastAsia="Times New Roman" w:cs="Arial"/>
          <w:color w:val="000000"/>
          <w:u w:val="single"/>
          <w:lang w:eastAsia="bg-BG"/>
        </w:rPr>
      </w:pPr>
    </w:p>
    <w:p w14:paraId="06697266" w14:textId="25A57241"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 xml:space="preserve">Адаптиране на дозите в периода след трансплантацията при възрастни и деца </w:t>
      </w:r>
      <w:r w:rsidRPr="006C7468">
        <w:rPr>
          <w:rFonts w:eastAsia="Times New Roman" w:cs="Arial"/>
          <w:color w:val="000000"/>
          <w:lang w:eastAsia="bg-BG"/>
        </w:rPr>
        <w:t>Обичайно дозите Програф се понижават в периода след трансплантацията. Подобрението на състоянието на пациента в този период може да промени фармакокинетиката на такролимус и може да се наложи по-нататъшно адаптиране.</w:t>
      </w:r>
    </w:p>
    <w:p w14:paraId="5874D508" w14:textId="77777777" w:rsidR="006C7468" w:rsidRPr="006C7468" w:rsidRDefault="006C7468" w:rsidP="006C7468">
      <w:pPr>
        <w:spacing w:line="240" w:lineRule="auto"/>
        <w:rPr>
          <w:rFonts w:eastAsia="Times New Roman" w:cs="Arial"/>
          <w:color w:val="000000"/>
          <w:u w:val="single"/>
          <w:lang w:eastAsia="bg-BG"/>
        </w:rPr>
      </w:pPr>
    </w:p>
    <w:p w14:paraId="16565ED1" w14:textId="0B18FB7E"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Лечение на отхвърлянето - възрастни и деца</w:t>
      </w:r>
    </w:p>
    <w:p w14:paraId="0A802E67"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овладяване епизодите на отхвърляне се използват увеличени дози Програф, допълнителна терапия с кортикостероиди и въвеждане на кратки курсове с моно/поликлонални антитела.</w:t>
      </w:r>
    </w:p>
    <w:p w14:paraId="7280DAEA"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При възрастни пациенти, преминали на Програф, трябва да се прилага начална перорална доза 0,15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разделени на 2 приема (напр. сутрин и вечер).</w:t>
      </w:r>
    </w:p>
    <w:p w14:paraId="545B375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При деца, преминали към Програф, трябва да се приложи начална перорална доза 0,20- 0,30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разделена на два приема (напр. сутрин и вечер).</w:t>
      </w:r>
    </w:p>
    <w:p w14:paraId="4A6814C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lastRenderedPageBreak/>
        <w:t>За информация относно преминаване от циклоспорин към Програф виж по-долу: “Адаптиране на дозата при специфични популации пациенти “.</w:t>
      </w:r>
    </w:p>
    <w:p w14:paraId="27C28AA2" w14:textId="77777777" w:rsidR="006C7468" w:rsidRPr="006C7468" w:rsidRDefault="006C7468" w:rsidP="006C7468">
      <w:pPr>
        <w:spacing w:line="240" w:lineRule="auto"/>
        <w:rPr>
          <w:rFonts w:eastAsia="Times New Roman" w:cs="Arial"/>
          <w:b/>
          <w:bCs/>
          <w:color w:val="000000"/>
          <w:lang w:eastAsia="bg-BG"/>
        </w:rPr>
      </w:pPr>
    </w:p>
    <w:p w14:paraId="15F2B56C" w14:textId="151D7FF5"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дозиране: Лечение на отхвърляне на други алографти</w:t>
      </w:r>
    </w:p>
    <w:p w14:paraId="1AD2E3B3" w14:textId="77777777" w:rsidR="006C7468" w:rsidRPr="006C7468" w:rsidRDefault="006C7468" w:rsidP="006C7468">
      <w:pPr>
        <w:rPr>
          <w:rFonts w:eastAsia="Times New Roman" w:cs="Arial"/>
        </w:rPr>
      </w:pPr>
      <w:r w:rsidRPr="006C7468">
        <w:rPr>
          <w:rFonts w:eastAsia="Times New Roman" w:cs="Arial"/>
          <w:color w:val="000000"/>
          <w:lang w:eastAsia="bg-BG"/>
        </w:rPr>
        <w:t xml:space="preserve">Препоръките за дозиране при трансплантация на бял дроб, панкреас и черва се базират на данните от ограничени изследователски клинични проучвания. При пациенти с трансплантиран бял дроб Програф е използван в начална перорална доза 0,10-0,15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 xml:space="preserve">/дневно, при пациенти с трансплантиран панкреас в начална дневна доза 0,20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 а при чревна трансплантация - начална перорална доза</w:t>
      </w:r>
    </w:p>
    <w:p w14:paraId="27761389"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0,30 </w:t>
      </w:r>
      <w:r w:rsidRPr="006C7468">
        <w:rPr>
          <w:rFonts w:eastAsia="Times New Roman" w:cs="Arial"/>
          <w:color w:val="000000"/>
          <w:lang w:val="en-US"/>
        </w:rPr>
        <w:t>mg</w:t>
      </w:r>
      <w:r w:rsidRPr="006C7468">
        <w:rPr>
          <w:rFonts w:eastAsia="Times New Roman" w:cs="Arial"/>
          <w:color w:val="000000"/>
          <w:lang w:val="ru-RU"/>
        </w:rPr>
        <w:t>/</w:t>
      </w:r>
      <w:r w:rsidRPr="006C7468">
        <w:rPr>
          <w:rFonts w:eastAsia="Times New Roman" w:cs="Arial"/>
          <w:color w:val="000000"/>
          <w:lang w:val="en-US"/>
        </w:rPr>
        <w:t>kg</w:t>
      </w:r>
      <w:r w:rsidRPr="006C7468">
        <w:rPr>
          <w:rFonts w:eastAsia="Times New Roman" w:cs="Arial"/>
          <w:color w:val="000000"/>
          <w:lang w:eastAsia="bg-BG"/>
        </w:rPr>
        <w:t>/дневно.</w:t>
      </w:r>
    </w:p>
    <w:p w14:paraId="57834AF7" w14:textId="77777777" w:rsidR="006C7468" w:rsidRPr="006C7468" w:rsidRDefault="006C7468" w:rsidP="006C7468">
      <w:pPr>
        <w:spacing w:line="240" w:lineRule="auto"/>
        <w:rPr>
          <w:rFonts w:eastAsia="Times New Roman" w:cs="Arial"/>
          <w:b/>
          <w:bCs/>
          <w:color w:val="000000"/>
          <w:lang w:eastAsia="bg-BG"/>
        </w:rPr>
      </w:pPr>
    </w:p>
    <w:p w14:paraId="77D82983" w14:textId="590CB4DC"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Адаптиране на дозировката при специфични популации пациенти</w:t>
      </w:r>
    </w:p>
    <w:p w14:paraId="3DDEC90A" w14:textId="77777777" w:rsidR="006C7468" w:rsidRPr="006C7468" w:rsidRDefault="006C7468" w:rsidP="006C7468">
      <w:pPr>
        <w:spacing w:line="240" w:lineRule="auto"/>
        <w:rPr>
          <w:rFonts w:eastAsia="Times New Roman" w:cs="Arial"/>
          <w:color w:val="000000"/>
          <w:u w:val="single"/>
          <w:lang w:eastAsia="bg-BG"/>
        </w:rPr>
      </w:pPr>
    </w:p>
    <w:p w14:paraId="3ABD7004" w14:textId="62DFC6E9"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Пациенти с чернодробна недостатъчност</w:t>
      </w:r>
    </w:p>
    <w:p w14:paraId="107F12D0"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При пациенти с тежка чернодробна недостатъчност може да се наложи понижение на дозата с цел да се поддържат концентрациите в кръвта в препоръчания порядък.</w:t>
      </w:r>
    </w:p>
    <w:p w14:paraId="12C2BD53" w14:textId="77777777" w:rsidR="006C7468" w:rsidRPr="006C7468" w:rsidRDefault="006C7468" w:rsidP="006C7468">
      <w:pPr>
        <w:spacing w:line="240" w:lineRule="auto"/>
        <w:rPr>
          <w:rFonts w:eastAsia="Times New Roman" w:cs="Arial"/>
          <w:color w:val="000000"/>
          <w:u w:val="single"/>
          <w:lang w:eastAsia="bg-BG"/>
        </w:rPr>
      </w:pPr>
    </w:p>
    <w:p w14:paraId="7601625E" w14:textId="26D349CB"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Пациенти с бъбречна недостатъчност</w:t>
      </w:r>
    </w:p>
    <w:p w14:paraId="2E27A1D1"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Тъй като фармакокинетиката на такролимус не се влияе от бъбречната функция, не се налага адаптиране на дозировката. Все пак поради нефротоксичния потенциал на такролимус се препоръчва внимателно мониториране на бъбречната функция (включително серийни серумни концентрации на креатинин, изчисление на креатининов клирънс и мониториране на образуването на урина).</w:t>
      </w:r>
    </w:p>
    <w:p w14:paraId="35912400" w14:textId="77777777" w:rsidR="006C7468" w:rsidRPr="006C7468" w:rsidRDefault="006C7468" w:rsidP="006C7468">
      <w:pPr>
        <w:spacing w:line="240" w:lineRule="auto"/>
        <w:rPr>
          <w:rFonts w:eastAsia="Times New Roman" w:cs="Arial"/>
          <w:color w:val="000000"/>
          <w:u w:val="single"/>
          <w:lang w:eastAsia="bg-BG"/>
        </w:rPr>
      </w:pPr>
    </w:p>
    <w:p w14:paraId="41779788" w14:textId="53E5E50E"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Педиатрична популация</w:t>
      </w:r>
    </w:p>
    <w:p w14:paraId="23FD169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Обикновено тези пациенти се нуждаят от дози 1</w:t>
      </w:r>
      <w:r w:rsidRPr="006C7468">
        <w:rPr>
          <w:rFonts w:eastAsia="Times New Roman" w:cs="Arial"/>
          <w:color w:val="000000"/>
          <w:vertAlign w:val="subscript"/>
          <w:lang w:eastAsia="bg-BG"/>
        </w:rPr>
        <w:t>1/2</w:t>
      </w:r>
      <w:r w:rsidRPr="006C7468">
        <w:rPr>
          <w:rFonts w:eastAsia="Times New Roman" w:cs="Arial"/>
          <w:color w:val="000000"/>
          <w:lang w:eastAsia="bg-BG"/>
        </w:rPr>
        <w:t xml:space="preserve"> -2 пъти по-високи от дозите за възрастни, за да се достигнат подобни концентрации в кръвта.</w:t>
      </w:r>
    </w:p>
    <w:p w14:paraId="696924D8" w14:textId="77777777" w:rsidR="006C7468" w:rsidRPr="006C7468" w:rsidRDefault="006C7468" w:rsidP="006C7468">
      <w:pPr>
        <w:spacing w:line="240" w:lineRule="auto"/>
        <w:rPr>
          <w:rFonts w:eastAsia="Times New Roman" w:cs="Arial"/>
          <w:color w:val="000000"/>
          <w:u w:val="single"/>
          <w:lang w:eastAsia="bg-BG"/>
        </w:rPr>
      </w:pPr>
    </w:p>
    <w:p w14:paraId="3F599FEA" w14:textId="1C1EECA5"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Пациенти в старческа възраст</w:t>
      </w:r>
    </w:p>
    <w:p w14:paraId="6C5898CA"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Досега няма налични доказателства, че при пациенти в старческа възраст е необходимо адаптиране на дозирането.</w:t>
      </w:r>
    </w:p>
    <w:p w14:paraId="7407D58D" w14:textId="77777777" w:rsidR="006C7468" w:rsidRPr="006C7468" w:rsidRDefault="006C7468" w:rsidP="006C7468">
      <w:pPr>
        <w:spacing w:line="240" w:lineRule="auto"/>
        <w:rPr>
          <w:rFonts w:eastAsia="Times New Roman" w:cs="Arial"/>
          <w:color w:val="000000"/>
          <w:u w:val="single"/>
          <w:lang w:eastAsia="bg-BG"/>
        </w:rPr>
      </w:pPr>
    </w:p>
    <w:p w14:paraId="1DEA73D9" w14:textId="01B76770"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Преминаване от циклоспорин</w:t>
      </w:r>
    </w:p>
    <w:p w14:paraId="466B060D"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Трябва да се внимава, когато пациентите преминават от базирана на циклоспорин терапия към такава, базирана на Програф (виж раздели 4.4 и 4.5). Терапията с Програф трябва да започне след като се вземат предвид концентрациите на циклоспорин в кръвта и клиничното състояние на пациента. При високи концентрации на циклоспорин лечението с Програф трябва да се забави. На практика то трябва да започне 12-24 часа след прекратяване на циклоспорина. Мониторирането на концентрацията на циклоспорин в кръвта трябва да продължи и след преминаването към Програф, тъй като клирънсът на циклоспорин може да е повлиян.</w:t>
      </w:r>
    </w:p>
    <w:p w14:paraId="5565F18C" w14:textId="77777777" w:rsidR="006C7468" w:rsidRPr="006C7468" w:rsidRDefault="006C7468" w:rsidP="006C7468">
      <w:pPr>
        <w:spacing w:line="240" w:lineRule="auto"/>
        <w:rPr>
          <w:rFonts w:eastAsia="Times New Roman" w:cs="Arial"/>
          <w:b/>
          <w:bCs/>
          <w:color w:val="000000"/>
          <w:lang w:eastAsia="bg-BG"/>
        </w:rPr>
      </w:pPr>
    </w:p>
    <w:p w14:paraId="12D3FFBC" w14:textId="6B988652" w:rsidR="006C7468" w:rsidRPr="006C7468" w:rsidRDefault="006C7468" w:rsidP="006C7468">
      <w:pPr>
        <w:spacing w:line="240" w:lineRule="auto"/>
        <w:rPr>
          <w:rFonts w:eastAsia="Times New Roman" w:cs="Arial"/>
        </w:rPr>
      </w:pPr>
      <w:r w:rsidRPr="006C7468">
        <w:rPr>
          <w:rFonts w:eastAsia="Times New Roman" w:cs="Arial"/>
          <w:b/>
          <w:bCs/>
          <w:color w:val="000000"/>
          <w:lang w:eastAsia="bg-BG"/>
        </w:rPr>
        <w:t>Препоръки за концентрациите в кръвта, които трябва да се достигнат</w:t>
      </w:r>
    </w:p>
    <w:p w14:paraId="6A068F0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Дозировката трябва преди всичко да е основана на клиничната преценка за отхвърлянето и поносимостта при всеки отделен пациент.</w:t>
      </w:r>
    </w:p>
    <w:p w14:paraId="18AB2265"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 цел да се оптимизира дозирането се предлагат различни имуноанализи за определяне концентрациите на такролимус в кръвта, включително и полуавтоматичен ензимен имуноанализ с микрочастици (МЕТА). Сравненията на концентрациите, публикувани в литературата с индивидуалните стойности в клиничната практика, трябва да се преценяват внимателно, като се познават и методите за анализ, които се използват в </w:t>
      </w:r>
      <w:r w:rsidRPr="006C7468">
        <w:rPr>
          <w:rFonts w:eastAsia="Times New Roman" w:cs="Arial"/>
          <w:color w:val="000000"/>
          <w:lang w:eastAsia="bg-BG"/>
        </w:rPr>
        <w:lastRenderedPageBreak/>
        <w:t>съвременната лабораторна практика. В съвременната клинична практика концентрациите в кръвта се мониторират, като се използват методи за имуноанализ.</w:t>
      </w:r>
    </w:p>
    <w:p w14:paraId="5F1B72B7" w14:textId="77777777" w:rsidR="006C7468" w:rsidRPr="006C7468" w:rsidRDefault="006C7468" w:rsidP="006C7468">
      <w:pPr>
        <w:rPr>
          <w:rFonts w:eastAsia="Times New Roman" w:cs="Arial"/>
        </w:rPr>
      </w:pPr>
      <w:r w:rsidRPr="006C7468">
        <w:rPr>
          <w:rFonts w:eastAsia="Times New Roman" w:cs="Arial"/>
          <w:color w:val="000000"/>
          <w:lang w:eastAsia="bg-BG"/>
        </w:rPr>
        <w:t>Минималните нива на такролимус в кръвта трябва да се мониторират по време на периода след трансплантацията. При перорално приложение кръв за определяне минимални концентрации на такролимус трябва да се вземе около 12 часа след приема, точно преди приема на следващата доза. Честотата на мониториране на нивата в кръвта трябва да се</w:t>
      </w:r>
      <w:r w:rsidRPr="006C7468">
        <w:rPr>
          <w:rFonts w:eastAsia="Times New Roman" w:cs="Arial"/>
        </w:rPr>
        <w:t xml:space="preserve"> </w:t>
      </w:r>
      <w:r w:rsidRPr="006C7468">
        <w:rPr>
          <w:rFonts w:eastAsia="Times New Roman" w:cs="Arial"/>
          <w:color w:val="000000"/>
          <w:lang w:eastAsia="bg-BG"/>
        </w:rPr>
        <w:t>базира на клиничните нужди. Тъй като Програф е лекарствен продукт с нисък клирънс адаптирането към схемата на дозиране може да отнеме няколко дни преди да се появят промени в нивата в кръвта. Нивата в кръвта трябва да се определят приблизително 2 пъти седмично в ранния период след трансплантацията и след това периодично по време на поддържащата терапия. Нивата на такролимус в кръвта трябва също да се мониторират след адаптиране на дозата, промени в имуносупресивната схема или след едновременно приложение на субстанции, които могат да променят концентрациите на такролимус в кръвта (виж раздел 4.5).</w:t>
      </w:r>
    </w:p>
    <w:p w14:paraId="3B0CCD9E"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Анализите на клиничните проучвания показват, че мнозинството пациенти се повлияват успешно, ако концентрациите на такролимус в кръвта се поддържат под 20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Необходимо е да се има предвид клиничното състояние на пациента, когато се интерпретират нивата в кръвта.</w:t>
      </w:r>
    </w:p>
    <w:p w14:paraId="7538F8E4"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В клиничната практика нивата в кръвта обикновено са в порядъка 5-20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 xml:space="preserve">при реципиенти с чернодробни трансплантанта и 10-20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 xml:space="preserve">при пациенти с бъбречни и сърдечни трансплантанта в ранния период след трансплантацията. Впоследствие, по време на поддържащата терапия, концентрациите в кръвта са от порядъка 5-15 </w:t>
      </w:r>
      <w:r w:rsidRPr="006C7468">
        <w:rPr>
          <w:rFonts w:eastAsia="Times New Roman" w:cs="Arial"/>
          <w:color w:val="000000"/>
          <w:lang w:val="en-US"/>
        </w:rPr>
        <w:t>ng</w:t>
      </w:r>
      <w:r w:rsidRPr="006C7468">
        <w:rPr>
          <w:rFonts w:eastAsia="Times New Roman" w:cs="Arial"/>
          <w:color w:val="000000"/>
          <w:lang w:val="ru-RU"/>
        </w:rPr>
        <w:t>/</w:t>
      </w:r>
      <w:r w:rsidRPr="006C7468">
        <w:rPr>
          <w:rFonts w:eastAsia="Times New Roman" w:cs="Arial"/>
          <w:color w:val="000000"/>
          <w:lang w:val="en-US"/>
        </w:rPr>
        <w:t>ml</w:t>
      </w:r>
      <w:r w:rsidRPr="006C7468">
        <w:rPr>
          <w:rFonts w:eastAsia="Times New Roman" w:cs="Arial"/>
          <w:color w:val="000000"/>
          <w:lang w:val="ru-RU"/>
        </w:rPr>
        <w:t xml:space="preserve"> </w:t>
      </w:r>
      <w:r w:rsidRPr="006C7468">
        <w:rPr>
          <w:rFonts w:eastAsia="Times New Roman" w:cs="Arial"/>
          <w:color w:val="000000"/>
          <w:lang w:eastAsia="bg-BG"/>
        </w:rPr>
        <w:t>при реципиенти на чернодробни, бъбречни и сърдечни трансплантанта.</w:t>
      </w:r>
    </w:p>
    <w:p w14:paraId="24763CD7" w14:textId="77777777" w:rsidR="006C7468" w:rsidRPr="006C7468" w:rsidRDefault="006C7468" w:rsidP="006C7468">
      <w:pPr>
        <w:spacing w:line="240" w:lineRule="auto"/>
        <w:rPr>
          <w:rFonts w:eastAsia="Times New Roman" w:cs="Arial"/>
          <w:color w:val="000000"/>
          <w:u w:val="single"/>
          <w:lang w:eastAsia="bg-BG"/>
        </w:rPr>
      </w:pPr>
    </w:p>
    <w:p w14:paraId="25B14282" w14:textId="0C57EEF1" w:rsidR="006C7468" w:rsidRPr="006C7468" w:rsidRDefault="006C7468" w:rsidP="006C7468">
      <w:pPr>
        <w:pStyle w:val="Heading3"/>
        <w:rPr>
          <w:rFonts w:eastAsia="Times New Roman"/>
          <w:u w:val="single"/>
        </w:rPr>
      </w:pPr>
      <w:r w:rsidRPr="006C7468">
        <w:rPr>
          <w:rFonts w:eastAsia="Times New Roman"/>
          <w:u w:val="single"/>
          <w:lang w:eastAsia="bg-BG"/>
        </w:rPr>
        <w:t>Начин на приложение</w:t>
      </w:r>
    </w:p>
    <w:p w14:paraId="1C513C7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Препоръчва се пероралната дневна доза да се прилага в два отделни приема (например сутрин и вечер). Капсулите трябва да се приемат веднага след изваждане от блистера. Пациентите трябва да се съветват да не поглъщат сушителя. Капсулите трябва да се приемат с течност (за предпочитане - вода).</w:t>
      </w:r>
    </w:p>
    <w:p w14:paraId="738A30EB"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Капсулите се приемат обикновено на празен стомах или поне 1 час преди или 2-3 часа след хранене, за да се постигне максимална резорбция (виж раздел 5.2).</w:t>
      </w:r>
    </w:p>
    <w:p w14:paraId="54F33B3D" w14:textId="77777777" w:rsidR="006C7468" w:rsidRPr="006C7468" w:rsidRDefault="006C7468" w:rsidP="006C7468">
      <w:pPr>
        <w:spacing w:line="240" w:lineRule="auto"/>
        <w:rPr>
          <w:rFonts w:eastAsia="Times New Roman" w:cs="Arial"/>
          <w:color w:val="000000"/>
          <w:u w:val="single"/>
          <w:lang w:eastAsia="bg-BG"/>
        </w:rPr>
      </w:pPr>
    </w:p>
    <w:p w14:paraId="17839957" w14:textId="6708BACD"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Продължителност на приема</w:t>
      </w:r>
    </w:p>
    <w:p w14:paraId="2E9E5CB9"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За да се подтисне отхвърлянето на присадения орган, имуносупресията трябва да се поддържа, затова не може да се посочи ограничение за продължителността на пероралното лечение.</w:t>
      </w:r>
    </w:p>
    <w:p w14:paraId="533D6103" w14:textId="73F8972C" w:rsidR="006C7468" w:rsidRPr="006C7468" w:rsidRDefault="006C7468" w:rsidP="006C7468"/>
    <w:p w14:paraId="74903285" w14:textId="19BB6372" w:rsidR="00DB32D3" w:rsidRDefault="002C50EE" w:rsidP="005726E3">
      <w:pPr>
        <w:pStyle w:val="Heading2"/>
      </w:pPr>
      <w:r>
        <w:t>4.3. Противопоказания</w:t>
      </w:r>
    </w:p>
    <w:p w14:paraId="44E2BBB2" w14:textId="22CC6866" w:rsidR="006C7468" w:rsidRDefault="006C7468" w:rsidP="006C7468"/>
    <w:p w14:paraId="17B549D2" w14:textId="77777777" w:rsidR="006C7468" w:rsidRPr="006C7468" w:rsidRDefault="006C7468" w:rsidP="006C7468">
      <w:pPr>
        <w:rPr>
          <w:sz w:val="24"/>
          <w:szCs w:val="24"/>
        </w:rPr>
      </w:pPr>
      <w:r w:rsidRPr="006C7468">
        <w:rPr>
          <w:lang w:eastAsia="bg-BG"/>
        </w:rPr>
        <w:t>Свръхчувствителност към такролимус или други макролиди.</w:t>
      </w:r>
    </w:p>
    <w:p w14:paraId="16CDDCCF" w14:textId="693FD34B" w:rsidR="006C7468" w:rsidRDefault="006C7468" w:rsidP="006C7468">
      <w:pPr>
        <w:rPr>
          <w:lang w:eastAsia="bg-BG"/>
        </w:rPr>
      </w:pPr>
      <w:r w:rsidRPr="006C7468">
        <w:rPr>
          <w:lang w:eastAsia="bg-BG"/>
        </w:rPr>
        <w:t>Свръхчувствителност към някоя от помощните съставки, изброени в точка 6.1.</w:t>
      </w:r>
    </w:p>
    <w:p w14:paraId="5099C521" w14:textId="77777777" w:rsidR="006C7468" w:rsidRPr="006C7468" w:rsidRDefault="006C7468" w:rsidP="006C7468"/>
    <w:p w14:paraId="76DC8E58" w14:textId="735D462D" w:rsidR="00DB32D3" w:rsidRDefault="002C50EE" w:rsidP="005726E3">
      <w:pPr>
        <w:pStyle w:val="Heading2"/>
      </w:pPr>
      <w:r>
        <w:t>4.4. Специални предупреждения и предпазни мерки при употреба</w:t>
      </w:r>
    </w:p>
    <w:p w14:paraId="5C5A153F" w14:textId="06EDF71E" w:rsidR="006C7468" w:rsidRDefault="006C7468" w:rsidP="006C7468"/>
    <w:p w14:paraId="23744DAD"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Наблюдавани са лекарствени грешки, включително невнимателно, неумишлено или безконтролно заместване на лекарствените форми на такролимус с незабавно освобождаване или с удължено освобождаване. Това е довело до проява на сериозни нежелани събития, включително отхвърляне на присадката или на други нежелани </w:t>
      </w:r>
      <w:r w:rsidRPr="006C7468">
        <w:rPr>
          <w:rFonts w:eastAsia="Times New Roman" w:cs="Arial"/>
          <w:color w:val="000000"/>
          <w:lang w:eastAsia="bg-BG"/>
        </w:rPr>
        <w:lastRenderedPageBreak/>
        <w:t>реакции, които биха могли да са следствие както на недостатъчна експозиция така и на свръхекпозиция на такролимус. Пациентите трябва да се лекуват с една от лекарствените форми на такролимус, при спазване на съответната дневна схема иа прилагане; промяна на лекарствената форма или на схемата на прилагане трябва да се прави само под непосредствено наблюдение от специалист трансплантолог (вж. точки 4.2 и 4.8).</w:t>
      </w:r>
    </w:p>
    <w:p w14:paraId="475B6EA5" w14:textId="77777777" w:rsidR="006C7468" w:rsidRPr="006C7468" w:rsidRDefault="006C7468" w:rsidP="006C7468">
      <w:pPr>
        <w:spacing w:line="240" w:lineRule="auto"/>
        <w:rPr>
          <w:rFonts w:eastAsia="Times New Roman" w:cs="Arial"/>
          <w:color w:val="000000"/>
          <w:lang w:eastAsia="bg-BG"/>
        </w:rPr>
      </w:pPr>
    </w:p>
    <w:p w14:paraId="472874A7" w14:textId="77777777" w:rsidR="006C7468" w:rsidRPr="006C7468" w:rsidRDefault="006C7468" w:rsidP="006C7468">
      <w:pPr>
        <w:rPr>
          <w:rFonts w:eastAsia="Times New Roman" w:cs="Arial"/>
        </w:rPr>
      </w:pPr>
      <w:r w:rsidRPr="006C7468">
        <w:rPr>
          <w:rFonts w:eastAsia="Times New Roman" w:cs="Arial"/>
          <w:color w:val="000000"/>
          <w:lang w:eastAsia="bg-BG"/>
        </w:rPr>
        <w:t>По време на началния период след трансплантацията рутинно трябва да се мониторират следните показатели: кръвно налягане, ЕКГ, неврологичен и очен статус, концентрация на глюкоза в кръвта на гладно, електролити (по-специално калий), функционални</w:t>
      </w:r>
      <w:r w:rsidRPr="006C7468">
        <w:rPr>
          <w:rFonts w:eastAsia="Times New Roman" w:cs="Arial"/>
        </w:rPr>
        <w:t xml:space="preserve"> </w:t>
      </w:r>
      <w:r w:rsidRPr="006C7468">
        <w:rPr>
          <w:rFonts w:eastAsia="Times New Roman" w:cs="Arial"/>
          <w:color w:val="000000"/>
          <w:lang w:eastAsia="bg-BG"/>
        </w:rPr>
        <w:t>чернодробни и бъбречни проби, хематологични параметри, коагулационни стойности и определяне на плазмен протеин. Ако се наблюдават клинично релевантни промени, трябва да се има предвид адаптиране на имуносупресивния режим.</w:t>
      </w:r>
    </w:p>
    <w:p w14:paraId="0CE8D0D3" w14:textId="77777777" w:rsidR="006C7468" w:rsidRPr="006C7468" w:rsidRDefault="006C7468" w:rsidP="006C7468">
      <w:pPr>
        <w:spacing w:line="240" w:lineRule="auto"/>
        <w:rPr>
          <w:rFonts w:eastAsia="Times New Roman" w:cs="Arial"/>
          <w:color w:val="000000"/>
          <w:u w:val="single"/>
          <w:lang w:eastAsia="bg-BG"/>
        </w:rPr>
      </w:pPr>
    </w:p>
    <w:p w14:paraId="761015BD" w14:textId="4F0EFC10"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Вещества с потенциал за взаимодействие</w:t>
      </w:r>
    </w:p>
    <w:p w14:paraId="621EE327"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Инхибитори или индуктори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трябва да се прилагат едновременно с такролимус само след консултация със специалист трансплантолог, поради потенциала за лекарствени взаимодействия, водещи до сериозни нежелани реакции, включително отхвърляне или токсичност (вж. точка 4.5).</w:t>
      </w:r>
    </w:p>
    <w:p w14:paraId="448A4873" w14:textId="77777777" w:rsidR="006C7468" w:rsidRPr="006C7468" w:rsidRDefault="006C7468" w:rsidP="006C7468">
      <w:pPr>
        <w:spacing w:line="240" w:lineRule="auto"/>
        <w:rPr>
          <w:rFonts w:eastAsia="Times New Roman" w:cs="Arial"/>
          <w:i/>
          <w:iCs/>
          <w:color w:val="000000"/>
          <w:lang w:eastAsia="bg-BG"/>
        </w:rPr>
      </w:pPr>
    </w:p>
    <w:p w14:paraId="55FD33CC" w14:textId="5A9FEE6A"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 xml:space="preserve">Инхибитори на </w:t>
      </w:r>
      <w:r w:rsidRPr="006C7468">
        <w:rPr>
          <w:rFonts w:eastAsia="Times New Roman" w:cs="Arial"/>
          <w:i/>
          <w:iCs/>
          <w:color w:val="000000"/>
          <w:lang w:val="en-US"/>
        </w:rPr>
        <w:t>CYP</w:t>
      </w:r>
      <w:r w:rsidRPr="006C7468">
        <w:rPr>
          <w:rFonts w:eastAsia="Times New Roman" w:cs="Arial"/>
          <w:i/>
          <w:iCs/>
          <w:color w:val="000000"/>
          <w:lang w:val="ru-RU"/>
        </w:rPr>
        <w:t>3</w:t>
      </w:r>
      <w:r w:rsidRPr="006C7468">
        <w:rPr>
          <w:rFonts w:eastAsia="Times New Roman" w:cs="Arial"/>
          <w:i/>
          <w:iCs/>
          <w:color w:val="000000"/>
          <w:lang w:val="en-US"/>
        </w:rPr>
        <w:t>A</w:t>
      </w:r>
      <w:r w:rsidRPr="006C7468">
        <w:rPr>
          <w:rFonts w:eastAsia="Times New Roman" w:cs="Arial"/>
          <w:i/>
          <w:iCs/>
          <w:color w:val="000000"/>
          <w:lang w:val="ru-RU"/>
        </w:rPr>
        <w:t>4</w:t>
      </w:r>
    </w:p>
    <w:p w14:paraId="6DB8F0C6"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Съпътстващата употреба на инхибитори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 xml:space="preserve">може да повиши нивата на такролимус в кръвта, което може да доведе до сериозни нежелани реакции, включително нефротоксичност, невротоксичност и удължаване на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интервала. Препоръчва се избягване на съпътстващата употреба на силни инхибитори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 xml:space="preserve">(като например ритонавир, кобицистат, кетоконазол, итраконазол, позаконазол, вориконазол, телитромицин, кларитромицин или йозамицин) с такролимус. Ако не може да се избегне, нивата на такролимус в кръвта трябва да се мониторират често, като се започне през първите няколко дни от едновременното приложение, под наблюдението на специалист трансплантолог, за да се адаптира дозата на такролимус, ако е подходящо, за поддържане на постоянна експозиция на такролимус. Бъбречната функция, ЕКГ, включително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интервалът и клиничното състояние на пациента също трябва да се мониторират внимателно.</w:t>
      </w:r>
    </w:p>
    <w:p w14:paraId="6AF9C9B3"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Адаптирането на дозата трябва да се основава на индивидуалното състояние на всеки пациент. Може да се наложи незабавно намаляване на дозата към момента на започване на лечението (вж. точка 4.5).</w:t>
      </w:r>
    </w:p>
    <w:p w14:paraId="0E0CCF80" w14:textId="77777777" w:rsidR="006C7468" w:rsidRPr="006C7468" w:rsidRDefault="006C7468" w:rsidP="006C7468">
      <w:pPr>
        <w:spacing w:line="240" w:lineRule="auto"/>
        <w:rPr>
          <w:rFonts w:eastAsia="Times New Roman" w:cs="Arial"/>
          <w:color w:val="000000"/>
          <w:lang w:eastAsia="bg-BG"/>
        </w:rPr>
      </w:pPr>
    </w:p>
    <w:p w14:paraId="0BBBB5EB" w14:textId="080A4BDB"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По подобен начин прекратяването на прилагането на инхибитори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може да повлияе върху скоростта на метаболизиране на такролимус и така да доведе до субтерапевтични нива на такролимус в кръвта, поради което се изисква внимателно мониториране и наблюдение от специалист трансплантолог.</w:t>
      </w:r>
    </w:p>
    <w:p w14:paraId="22616637" w14:textId="77777777" w:rsidR="006C7468" w:rsidRPr="006C7468" w:rsidRDefault="006C7468" w:rsidP="006C7468">
      <w:pPr>
        <w:spacing w:line="240" w:lineRule="auto"/>
        <w:rPr>
          <w:rFonts w:eastAsia="Times New Roman" w:cs="Arial"/>
          <w:i/>
          <w:iCs/>
          <w:color w:val="000000"/>
          <w:lang w:eastAsia="bg-BG"/>
        </w:rPr>
      </w:pPr>
    </w:p>
    <w:p w14:paraId="3B3E9C6A" w14:textId="1C812B28"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 xml:space="preserve">Индуктори на </w:t>
      </w:r>
      <w:r w:rsidRPr="006C7468">
        <w:rPr>
          <w:rFonts w:eastAsia="Times New Roman" w:cs="Arial"/>
          <w:i/>
          <w:iCs/>
          <w:color w:val="000000"/>
          <w:lang w:val="en-US"/>
        </w:rPr>
        <w:t>CYP</w:t>
      </w:r>
      <w:r w:rsidRPr="006C7468">
        <w:rPr>
          <w:rFonts w:eastAsia="Times New Roman" w:cs="Arial"/>
          <w:i/>
          <w:iCs/>
          <w:color w:val="000000"/>
          <w:lang w:val="ru-RU"/>
        </w:rPr>
        <w:t>3</w:t>
      </w:r>
      <w:r w:rsidRPr="006C7468">
        <w:rPr>
          <w:rFonts w:eastAsia="Times New Roman" w:cs="Arial"/>
          <w:i/>
          <w:iCs/>
          <w:color w:val="000000"/>
          <w:lang w:val="en-US"/>
        </w:rPr>
        <w:t>A</w:t>
      </w:r>
      <w:r w:rsidRPr="006C7468">
        <w:rPr>
          <w:rFonts w:eastAsia="Times New Roman" w:cs="Arial"/>
          <w:i/>
          <w:iCs/>
          <w:color w:val="000000"/>
          <w:lang w:val="ru-RU"/>
        </w:rPr>
        <w:t>4</w:t>
      </w:r>
    </w:p>
    <w:p w14:paraId="6C035025"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Съпътстващата употреба с индуктори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 xml:space="preserve">може да понижи нивата на такролимус в кръвта, като потенциално увеличи риска от отхвърляне на трансплантанта. Препоръчва се избягване на съпътстващата употреба на силни индуктори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 xml:space="preserve">(като например рифампицин, фенитоин, карбамазепин) с такролимус. Ако не може да се избегне, нивата на такролимус в кръвта трябва да се мониторират често, като се започне през първите няколко дни от едновременното приложение, под наблюдението на специалист трансплантолог, за да се адаптира дозата на такролимус, ако е необходимо, така че да се </w:t>
      </w:r>
      <w:r w:rsidRPr="006C7468">
        <w:rPr>
          <w:rFonts w:eastAsia="Times New Roman" w:cs="Arial"/>
          <w:color w:val="000000"/>
          <w:lang w:eastAsia="bg-BG"/>
        </w:rPr>
        <w:lastRenderedPageBreak/>
        <w:t>поддържа постоянна експозиция на такролимус. Функцията на присадката също трябва да се мониторира внимателно (вж. точка 4.5).</w:t>
      </w:r>
    </w:p>
    <w:p w14:paraId="0F60B081" w14:textId="77777777" w:rsidR="006C7468" w:rsidRPr="006C7468" w:rsidRDefault="006C7468" w:rsidP="006C7468">
      <w:pPr>
        <w:spacing w:line="240" w:lineRule="auto"/>
        <w:rPr>
          <w:rFonts w:eastAsia="Times New Roman" w:cs="Arial"/>
          <w:color w:val="000000"/>
          <w:lang w:eastAsia="bg-BG"/>
        </w:rPr>
      </w:pPr>
    </w:p>
    <w:p w14:paraId="562679C6" w14:textId="0D9B06CD"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По подобен начин прекратяването на прилагането на индуктори на </w:t>
      </w:r>
      <w:r w:rsidRPr="006C7468">
        <w:rPr>
          <w:rFonts w:eastAsia="Times New Roman" w:cs="Arial"/>
          <w:color w:val="000000"/>
          <w:lang w:val="en-US"/>
        </w:rPr>
        <w:t>CYP</w:t>
      </w:r>
      <w:r w:rsidRPr="006C7468">
        <w:rPr>
          <w:rFonts w:eastAsia="Times New Roman" w:cs="Arial"/>
          <w:color w:val="000000"/>
          <w:lang w:val="ru-RU"/>
        </w:rPr>
        <w:t>3</w:t>
      </w:r>
      <w:r w:rsidRPr="006C7468">
        <w:rPr>
          <w:rFonts w:eastAsia="Times New Roman" w:cs="Arial"/>
          <w:color w:val="000000"/>
          <w:lang w:val="en-US"/>
        </w:rPr>
        <w:t>A</w:t>
      </w:r>
      <w:r w:rsidRPr="006C7468">
        <w:rPr>
          <w:rFonts w:eastAsia="Times New Roman" w:cs="Arial"/>
          <w:color w:val="000000"/>
          <w:lang w:val="ru-RU"/>
        </w:rPr>
        <w:t xml:space="preserve">4 </w:t>
      </w:r>
      <w:r w:rsidRPr="006C7468">
        <w:rPr>
          <w:rFonts w:eastAsia="Times New Roman" w:cs="Arial"/>
          <w:color w:val="000000"/>
          <w:lang w:eastAsia="bg-BG"/>
        </w:rPr>
        <w:t>може да повлияе върху скоростта на метаболизиране на такролимус и така да доведе до супратерапевтични нива на такролимус в кръвта, поради което се изисква внимателно мониториране и наблюдение от специалист трансплантолог.</w:t>
      </w:r>
    </w:p>
    <w:p w14:paraId="7E6D54C1" w14:textId="77777777" w:rsidR="006C7468" w:rsidRPr="006C7468" w:rsidRDefault="006C7468" w:rsidP="006C7468">
      <w:pPr>
        <w:spacing w:line="240" w:lineRule="auto"/>
        <w:rPr>
          <w:rFonts w:eastAsia="Times New Roman" w:cs="Arial"/>
          <w:i/>
          <w:iCs/>
          <w:color w:val="000000"/>
          <w:lang w:eastAsia="bg-BG"/>
        </w:rPr>
      </w:pPr>
    </w:p>
    <w:p w14:paraId="1D1A9525" w14:textId="0B600A07"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Р-гликопротеин</w:t>
      </w:r>
    </w:p>
    <w:p w14:paraId="7130E92F" w14:textId="77777777" w:rsidR="006C7468" w:rsidRPr="006C7468" w:rsidRDefault="006C7468" w:rsidP="006C7468">
      <w:pPr>
        <w:rPr>
          <w:rFonts w:eastAsia="Times New Roman" w:cs="Arial"/>
        </w:rPr>
      </w:pPr>
      <w:r w:rsidRPr="006C7468">
        <w:rPr>
          <w:rFonts w:eastAsia="Times New Roman" w:cs="Arial"/>
          <w:color w:val="000000"/>
          <w:lang w:eastAsia="bg-BG"/>
        </w:rPr>
        <w:t>Необходимо е повишено внимание, когато такролимус се прилага едновременно с лекарства, които инхибират Р-гликопротеина, тъй като може да възникне повишаване на нивата на такролимус. Нивата на такролимус в цяла кръв и клиничното състояние на пациента трябва да се наблюдават внимателно. Може да се наложи коригиране на дозата такролимус (вж. точка 4.5).</w:t>
      </w:r>
    </w:p>
    <w:p w14:paraId="0E00FE57" w14:textId="77777777" w:rsidR="006C7468" w:rsidRPr="006C7468" w:rsidRDefault="006C7468" w:rsidP="006C7468">
      <w:pPr>
        <w:spacing w:line="240" w:lineRule="auto"/>
        <w:rPr>
          <w:rFonts w:eastAsia="Times New Roman" w:cs="Arial"/>
          <w:i/>
          <w:iCs/>
          <w:color w:val="000000"/>
          <w:lang w:eastAsia="bg-BG"/>
        </w:rPr>
      </w:pPr>
    </w:p>
    <w:p w14:paraId="7C6EB717" w14:textId="69DAE7F1"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Растителни продукти</w:t>
      </w:r>
    </w:p>
    <w:p w14:paraId="3E72F9D9"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Растителни продукти, съдържащи жълт кантарион </w:t>
      </w:r>
      <w:r w:rsidRPr="006C7468">
        <w:rPr>
          <w:rFonts w:eastAsia="Times New Roman" w:cs="Arial"/>
          <w:i/>
          <w:iCs/>
          <w:color w:val="000000"/>
          <w:lang w:val="ru-RU"/>
        </w:rPr>
        <w:t>(</w:t>
      </w:r>
      <w:proofErr w:type="spellStart"/>
      <w:r w:rsidRPr="006C7468">
        <w:rPr>
          <w:rFonts w:eastAsia="Times New Roman" w:cs="Arial"/>
          <w:i/>
          <w:iCs/>
          <w:color w:val="000000"/>
          <w:lang w:val="en-US"/>
        </w:rPr>
        <w:t>Hypericum</w:t>
      </w:r>
      <w:proofErr w:type="spellEnd"/>
      <w:r w:rsidRPr="006C7468">
        <w:rPr>
          <w:rFonts w:eastAsia="Times New Roman" w:cs="Arial"/>
          <w:i/>
          <w:iCs/>
          <w:color w:val="000000"/>
          <w:lang w:val="ru-RU"/>
        </w:rPr>
        <w:t xml:space="preserve"> </w:t>
      </w:r>
      <w:proofErr w:type="spellStart"/>
      <w:r w:rsidRPr="006C7468">
        <w:rPr>
          <w:rFonts w:eastAsia="Times New Roman" w:cs="Arial"/>
          <w:i/>
          <w:iCs/>
          <w:color w:val="000000"/>
          <w:lang w:val="en-US"/>
        </w:rPr>
        <w:t>perforatum</w:t>
      </w:r>
      <w:proofErr w:type="spellEnd"/>
      <w:r w:rsidRPr="006C7468">
        <w:rPr>
          <w:rFonts w:eastAsia="Times New Roman" w:cs="Arial"/>
          <w:i/>
          <w:iCs/>
          <w:color w:val="000000"/>
          <w:lang w:val="ru-RU"/>
        </w:rPr>
        <w:t>)</w:t>
      </w:r>
      <w:r w:rsidRPr="006C7468">
        <w:rPr>
          <w:rFonts w:eastAsia="Times New Roman" w:cs="Arial"/>
          <w:color w:val="000000"/>
          <w:lang w:val="ru-RU"/>
        </w:rPr>
        <w:t xml:space="preserve"> </w:t>
      </w:r>
      <w:r w:rsidRPr="006C7468">
        <w:rPr>
          <w:rFonts w:eastAsia="Times New Roman" w:cs="Arial"/>
          <w:color w:val="000000"/>
          <w:lang w:eastAsia="bg-BG"/>
        </w:rPr>
        <w:t>или други растителни продукти, трябва да се избягват по време на прием на Програф поради риска от взаимодействия, които водят или до понижение на концентрацията на такролимус в кръвта и до намаляване на клиничния му ефект, или до повишение на концентрациите на такролимус в кръвта и риск от токсичност на такролимус (вж раздел 4,5).</w:t>
      </w:r>
    </w:p>
    <w:p w14:paraId="04DE6A9C" w14:textId="77777777" w:rsidR="006C7468" w:rsidRPr="006C7468" w:rsidRDefault="006C7468" w:rsidP="006C7468">
      <w:pPr>
        <w:spacing w:line="240" w:lineRule="auto"/>
        <w:rPr>
          <w:rFonts w:eastAsia="Times New Roman" w:cs="Arial"/>
          <w:i/>
          <w:iCs/>
          <w:color w:val="000000"/>
          <w:lang w:eastAsia="bg-BG"/>
        </w:rPr>
      </w:pPr>
    </w:p>
    <w:p w14:paraId="5BE7C37C" w14:textId="572A17C3" w:rsidR="006C7468" w:rsidRPr="006C7468" w:rsidRDefault="006C7468" w:rsidP="006C7468">
      <w:pPr>
        <w:spacing w:line="240" w:lineRule="auto"/>
        <w:rPr>
          <w:rFonts w:eastAsia="Times New Roman" w:cs="Arial"/>
        </w:rPr>
      </w:pPr>
      <w:r w:rsidRPr="006C7468">
        <w:rPr>
          <w:rFonts w:eastAsia="Times New Roman" w:cs="Arial"/>
          <w:i/>
          <w:iCs/>
          <w:color w:val="000000"/>
          <w:lang w:eastAsia="bg-BG"/>
        </w:rPr>
        <w:t>Други взаимодействия</w:t>
      </w:r>
    </w:p>
    <w:p w14:paraId="65435B17"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Комбинираното приложение на циклоспорин и такролимус трябва да се избягва и да се внимава когато такролимус се прилага при пациенти, които преди са получавали циклоспорин (вж. точки 4.2 и 4.5).</w:t>
      </w:r>
    </w:p>
    <w:p w14:paraId="70FD2AF9" w14:textId="77777777" w:rsidR="006C7468" w:rsidRPr="006C7468" w:rsidRDefault="006C7468" w:rsidP="006C7468">
      <w:pPr>
        <w:spacing w:line="240" w:lineRule="auto"/>
        <w:rPr>
          <w:rFonts w:eastAsia="Times New Roman" w:cs="Arial"/>
          <w:color w:val="000000"/>
          <w:lang w:eastAsia="bg-BG"/>
        </w:rPr>
      </w:pPr>
    </w:p>
    <w:p w14:paraId="640A6289" w14:textId="63ACA32F" w:rsidR="006C7468" w:rsidRPr="006C7468" w:rsidRDefault="006C7468" w:rsidP="006C7468">
      <w:pPr>
        <w:spacing w:line="240" w:lineRule="auto"/>
        <w:rPr>
          <w:rFonts w:eastAsia="Times New Roman" w:cs="Arial"/>
        </w:rPr>
      </w:pPr>
      <w:r w:rsidRPr="006C7468">
        <w:rPr>
          <w:rFonts w:eastAsia="Times New Roman" w:cs="Arial"/>
          <w:color w:val="000000"/>
          <w:lang w:eastAsia="bg-BG"/>
        </w:rPr>
        <w:t>Трябва да се избягва приема на високи дози калий или калий-съхраняващи диуретици (вж. точка 4,5).</w:t>
      </w:r>
    </w:p>
    <w:p w14:paraId="650A5DB2" w14:textId="77777777" w:rsidR="006C7468" w:rsidRPr="006C7468" w:rsidRDefault="006C7468" w:rsidP="006C7468">
      <w:pPr>
        <w:spacing w:line="240" w:lineRule="auto"/>
        <w:rPr>
          <w:rFonts w:eastAsia="Times New Roman" w:cs="Arial"/>
          <w:color w:val="000000"/>
          <w:lang w:eastAsia="bg-BG"/>
        </w:rPr>
      </w:pPr>
    </w:p>
    <w:p w14:paraId="7D731229" w14:textId="3B6677B0" w:rsidR="006C7468" w:rsidRPr="006C7468" w:rsidRDefault="006C7468" w:rsidP="006C7468">
      <w:pPr>
        <w:spacing w:line="240" w:lineRule="auto"/>
        <w:rPr>
          <w:rFonts w:eastAsia="Times New Roman" w:cs="Arial"/>
        </w:rPr>
      </w:pPr>
      <w:r w:rsidRPr="006C7468">
        <w:rPr>
          <w:rFonts w:eastAsia="Times New Roman" w:cs="Arial"/>
          <w:color w:val="000000"/>
          <w:lang w:eastAsia="bg-BG"/>
        </w:rPr>
        <w:t>Някои комбинации на такролимус с лекарства, за които е известно, че притежават невротоксичен ефект, може да повишат риска от тези ефекти (вж. точка 4.5),</w:t>
      </w:r>
    </w:p>
    <w:p w14:paraId="3A02C1CC" w14:textId="77777777" w:rsidR="006C7468" w:rsidRPr="006C7468" w:rsidRDefault="006C7468" w:rsidP="006C7468">
      <w:pPr>
        <w:spacing w:line="240" w:lineRule="auto"/>
        <w:rPr>
          <w:rFonts w:eastAsia="Times New Roman" w:cs="Arial"/>
          <w:color w:val="000000"/>
          <w:u w:val="single"/>
          <w:lang w:eastAsia="bg-BG"/>
        </w:rPr>
      </w:pPr>
    </w:p>
    <w:p w14:paraId="428C9A6B" w14:textId="59B96FCC"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Ваксиниране</w:t>
      </w:r>
    </w:p>
    <w:p w14:paraId="270CC786"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Имуносупресивните средства може да повлияят отговора към ваксинация и ваксинацията по време на лечение с такролимус може да бъде по-малко ефективна. Употребата на живи, атенюирани ваксини трябва да се избягва.</w:t>
      </w:r>
    </w:p>
    <w:p w14:paraId="7DB69882" w14:textId="77777777" w:rsidR="006C7468" w:rsidRPr="006C7468" w:rsidRDefault="006C7468" w:rsidP="006C7468">
      <w:pPr>
        <w:spacing w:line="240" w:lineRule="auto"/>
        <w:rPr>
          <w:rFonts w:eastAsia="Times New Roman" w:cs="Arial"/>
          <w:color w:val="000000"/>
          <w:u w:val="single"/>
          <w:lang w:eastAsia="bg-BG"/>
        </w:rPr>
      </w:pPr>
    </w:p>
    <w:p w14:paraId="304F328D" w14:textId="16D17D0A"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Нефротоксичност</w:t>
      </w:r>
    </w:p>
    <w:p w14:paraId="69532103"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Такролимус може да доведе до нарушение на бъбречната функция при пациенти след трансплантация. Без активна интервенция, острото бъбречно увреждане може да прогресира до хронично бъбречно увреждане. Пациенти с нарушена бъбречна функция трябва да се проследяват внимателно, тъй като дозата на такролимус може да е необходимо да се намали. Рискът от нефротоксичност може да се повиши, когато такролимус се прилага едновременно с лекарства, свързани с нефротоксичност (вж. точка 4.5). Трябва да се избягва едновременната употреба на такролимус с лекарства, за които е известно, че притежават нефротоксични ефекти. Когато едновременното приложение не може да се избегне, най-ниското ниво на такролимус в кръвта и бъбречната функция трябва да се следи внимателно и да се обмисли намаляване на дозата, ако възникне нефротоксичност.</w:t>
      </w:r>
    </w:p>
    <w:p w14:paraId="3325F042" w14:textId="77777777" w:rsidR="006C7468" w:rsidRPr="006C7468" w:rsidRDefault="006C7468" w:rsidP="006C7468">
      <w:pPr>
        <w:spacing w:line="240" w:lineRule="auto"/>
        <w:rPr>
          <w:rFonts w:eastAsia="Times New Roman" w:cs="Arial"/>
          <w:color w:val="000000"/>
          <w:u w:val="single"/>
          <w:lang w:eastAsia="bg-BG"/>
        </w:rPr>
      </w:pPr>
    </w:p>
    <w:p w14:paraId="35266F78" w14:textId="6105B60D"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Стомашно-чревни нарушения</w:t>
      </w:r>
    </w:p>
    <w:p w14:paraId="1E8F2058"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При пациенти, лекувани с такролимус, се съобщава за стомашно-чревна перфорация. Тъй като стомашно-чревната перфорация е медицински значимо събитие, което може да доведе до животозастрашаващо или сериозно състояние, трябва да се има предвид адекватно лечение, незабавно след настъпване на суспектни симптоми или признаци.</w:t>
      </w:r>
    </w:p>
    <w:p w14:paraId="0B1D77A1" w14:textId="77777777" w:rsidR="006C7468" w:rsidRPr="006C7468" w:rsidRDefault="006C7468" w:rsidP="006C7468">
      <w:pPr>
        <w:spacing w:line="240" w:lineRule="auto"/>
        <w:rPr>
          <w:rFonts w:eastAsia="Times New Roman" w:cs="Arial"/>
          <w:color w:val="000000"/>
          <w:lang w:eastAsia="bg-BG"/>
        </w:rPr>
      </w:pPr>
    </w:p>
    <w:p w14:paraId="73D889F6" w14:textId="517EDE28" w:rsidR="006C7468" w:rsidRPr="006C7468" w:rsidRDefault="006C7468" w:rsidP="006C7468">
      <w:pPr>
        <w:spacing w:line="240" w:lineRule="auto"/>
        <w:rPr>
          <w:rFonts w:eastAsia="Times New Roman" w:cs="Arial"/>
        </w:rPr>
      </w:pPr>
      <w:r w:rsidRPr="006C7468">
        <w:rPr>
          <w:rFonts w:eastAsia="Times New Roman" w:cs="Arial"/>
          <w:color w:val="000000"/>
          <w:lang w:eastAsia="bg-BG"/>
        </w:rPr>
        <w:t>Тъй като нивата на такролимус в кръвта може значително да се променят по време на диария, се препоръчва извънредно мониториране на концентрациите му в кръвта по време на диария.</w:t>
      </w:r>
    </w:p>
    <w:p w14:paraId="3568AE4E" w14:textId="77777777" w:rsidR="006C7468" w:rsidRPr="006C7468" w:rsidRDefault="006C7468" w:rsidP="006C7468">
      <w:pPr>
        <w:spacing w:line="240" w:lineRule="auto"/>
        <w:rPr>
          <w:rFonts w:eastAsia="Times New Roman" w:cs="Arial"/>
          <w:color w:val="000000"/>
          <w:u w:val="single"/>
          <w:lang w:eastAsia="bg-BG"/>
        </w:rPr>
      </w:pPr>
    </w:p>
    <w:p w14:paraId="553192D5" w14:textId="04831FD4"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Сърдечни нарушения</w:t>
      </w:r>
    </w:p>
    <w:p w14:paraId="36F361BA"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В редки случаи се наблюдават вентрикуларна хипертрофия или хипертрофия на септума, съобщавани като кардиомиопатии. Повечето случаи са обратими и се срещат най-вече при деца с концентрации на такролимус в кръвта много по-високи от препоръчаните максимални нива. Други фактори, които увеличават риска от тези клинични състояния, включват съществуващо преди това сърдечно заболяване, употреба на кортикостероиди, хипертония, бъбречна или чернодробна функционална недостатъчност, инфекции, претоварване с течности и едем. В съгласие с това пациентите с висок риск, особено малки деца и такива, които са получавали значителна имуносупресия, трябва да се мониторират с помощта на ехокардиография или ЕКГ преди и след трансплантацията (напр. в началото на 3 месеца и след това на 9-12 месеца). Ако се развият аномалии, трябва да се има предвид понижение на дозите Програф или смяна на лечението с друго имуносупресивно средство. Такролимус може да удължи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интервала и може да причини </w:t>
      </w:r>
      <w:proofErr w:type="spellStart"/>
      <w:r w:rsidRPr="006C7468">
        <w:rPr>
          <w:rFonts w:eastAsia="Times New Roman" w:cs="Arial"/>
          <w:i/>
          <w:iCs/>
          <w:color w:val="000000"/>
          <w:lang w:val="en-US"/>
        </w:rPr>
        <w:t>Torsades</w:t>
      </w:r>
      <w:proofErr w:type="spellEnd"/>
      <w:r w:rsidRPr="006C7468">
        <w:rPr>
          <w:rFonts w:eastAsia="Times New Roman" w:cs="Arial"/>
          <w:i/>
          <w:iCs/>
          <w:color w:val="000000"/>
          <w:lang w:val="ru-RU"/>
        </w:rPr>
        <w:t xml:space="preserve"> </w:t>
      </w:r>
      <w:r w:rsidRPr="006C7468">
        <w:rPr>
          <w:rFonts w:eastAsia="Times New Roman" w:cs="Arial"/>
          <w:i/>
          <w:iCs/>
          <w:color w:val="000000"/>
          <w:lang w:val="en-US"/>
        </w:rPr>
        <w:t>de</w:t>
      </w:r>
      <w:r w:rsidRPr="006C7468">
        <w:rPr>
          <w:rFonts w:eastAsia="Times New Roman" w:cs="Arial"/>
          <w:i/>
          <w:iCs/>
          <w:color w:val="000000"/>
          <w:lang w:val="ru-RU"/>
        </w:rPr>
        <w:t xml:space="preserve"> </w:t>
      </w:r>
      <w:r w:rsidRPr="006C7468">
        <w:rPr>
          <w:rFonts w:eastAsia="Times New Roman" w:cs="Arial"/>
          <w:i/>
          <w:iCs/>
          <w:color w:val="000000"/>
          <w:lang w:val="en-US"/>
        </w:rPr>
        <w:t>Pointes</w:t>
      </w:r>
      <w:r w:rsidRPr="006C7468">
        <w:rPr>
          <w:rFonts w:eastAsia="Times New Roman" w:cs="Arial"/>
          <w:i/>
          <w:iCs/>
          <w:color w:val="000000"/>
          <w:lang w:val="ru-RU"/>
        </w:rPr>
        <w:t xml:space="preserve">. </w:t>
      </w:r>
      <w:r w:rsidRPr="006C7468">
        <w:rPr>
          <w:rFonts w:eastAsia="Times New Roman" w:cs="Arial"/>
          <w:color w:val="000000"/>
          <w:lang w:eastAsia="bg-BG"/>
        </w:rPr>
        <w:t xml:space="preserve">Специално трябва да се внимава при пациенти с рискови фактори за удължаване на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интервала, включително пациенти с лична или фамилна анамнеза за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удължаване, конгестивна сърдечна недостатъчност, брадиаритмии и електролитни нарушения. Трябва да се обръща внимание също и при пациенти, диагностицирани със или суспектни за синдром на вроден удължен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интервал или придобито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 xml:space="preserve">удължаване, или пациенти на съпътстващо лечение с лекарства, за които се знае, че удължават </w:t>
      </w:r>
      <w:r w:rsidRPr="006C7468">
        <w:rPr>
          <w:rFonts w:eastAsia="Times New Roman" w:cs="Arial"/>
          <w:color w:val="000000"/>
          <w:lang w:val="en-US"/>
        </w:rPr>
        <w:t>QT</w:t>
      </w:r>
      <w:r w:rsidRPr="006C7468">
        <w:rPr>
          <w:rFonts w:eastAsia="Times New Roman" w:cs="Arial"/>
          <w:color w:val="000000"/>
          <w:lang w:val="ru-RU"/>
        </w:rPr>
        <w:t xml:space="preserve"> </w:t>
      </w:r>
      <w:r w:rsidRPr="006C7468">
        <w:rPr>
          <w:rFonts w:eastAsia="Times New Roman" w:cs="Arial"/>
          <w:color w:val="000000"/>
          <w:lang w:eastAsia="bg-BG"/>
        </w:rPr>
        <w:t>интервала, предизвикват електролитни нарушения или че увеличават експозицията на такролимус (вж. точка 4.5).</w:t>
      </w:r>
    </w:p>
    <w:p w14:paraId="18BD0EB7" w14:textId="77777777" w:rsidR="006C7468" w:rsidRPr="006C7468" w:rsidRDefault="006C7468" w:rsidP="006C7468">
      <w:pPr>
        <w:spacing w:line="240" w:lineRule="auto"/>
        <w:rPr>
          <w:rFonts w:eastAsia="Times New Roman" w:cs="Arial"/>
          <w:color w:val="000000"/>
          <w:u w:val="single"/>
          <w:lang w:eastAsia="bg-BG"/>
        </w:rPr>
      </w:pPr>
    </w:p>
    <w:p w14:paraId="31F8F8A9" w14:textId="7253ED21"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Лимфопролиферативни нарушения и злокачествени новообразувания</w:t>
      </w:r>
    </w:p>
    <w:p w14:paraId="376827F0"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Съобщава се, че при пациенти, лекувани с Програф, се развиват свързани с Епщайн-Бар вирус </w:t>
      </w:r>
      <w:r w:rsidRPr="006C7468">
        <w:rPr>
          <w:rFonts w:eastAsia="Times New Roman" w:cs="Arial"/>
          <w:color w:val="000000"/>
          <w:lang w:val="ru-RU"/>
        </w:rPr>
        <w:t>(</w:t>
      </w:r>
      <w:r w:rsidRPr="006C7468">
        <w:rPr>
          <w:rFonts w:eastAsia="Times New Roman" w:cs="Arial"/>
          <w:color w:val="000000"/>
          <w:lang w:val="en-US"/>
        </w:rPr>
        <w:t>EBV</w:t>
      </w:r>
      <w:r w:rsidRPr="006C7468">
        <w:rPr>
          <w:rFonts w:eastAsia="Times New Roman" w:cs="Arial"/>
          <w:color w:val="000000"/>
          <w:lang w:val="ru-RU"/>
        </w:rPr>
        <w:t xml:space="preserve">) </w:t>
      </w:r>
      <w:r w:rsidRPr="006C7468">
        <w:rPr>
          <w:rFonts w:eastAsia="Times New Roman" w:cs="Arial"/>
          <w:color w:val="000000"/>
          <w:lang w:eastAsia="bg-BG"/>
        </w:rPr>
        <w:t xml:space="preserve">лимфопролиферативни смущения (вж. точка 4.8). Пациентите, преминали към терапия с Програф, не трябва едновременно да получават и антилимфоцитно лечение. Съобщава се, че при много малките (под 2 години), </w:t>
      </w:r>
      <w:r w:rsidRPr="006C7468">
        <w:rPr>
          <w:rFonts w:eastAsia="Times New Roman" w:cs="Arial"/>
          <w:color w:val="000000"/>
          <w:lang w:val="en-US"/>
        </w:rPr>
        <w:t>EBV</w:t>
      </w:r>
      <w:r w:rsidRPr="006C7468">
        <w:rPr>
          <w:rFonts w:eastAsia="Times New Roman" w:cs="Arial"/>
          <w:color w:val="000000"/>
        </w:rPr>
        <w:t>-</w:t>
      </w:r>
      <w:r w:rsidRPr="006C7468">
        <w:rPr>
          <w:rFonts w:eastAsia="Times New Roman" w:cs="Arial"/>
          <w:color w:val="000000"/>
          <w:lang w:val="en-US"/>
        </w:rPr>
        <w:t>VCA</w:t>
      </w:r>
      <w:r w:rsidRPr="006C7468">
        <w:rPr>
          <w:rFonts w:eastAsia="Times New Roman" w:cs="Arial"/>
          <w:color w:val="000000"/>
        </w:rPr>
        <w:t xml:space="preserve"> (</w:t>
      </w:r>
      <w:r w:rsidRPr="006C7468">
        <w:rPr>
          <w:rFonts w:eastAsia="Times New Roman" w:cs="Arial"/>
          <w:color w:val="000000"/>
          <w:lang w:val="en-US"/>
        </w:rPr>
        <w:t>Epstein</w:t>
      </w:r>
      <w:r w:rsidRPr="006C7468">
        <w:rPr>
          <w:rFonts w:eastAsia="Times New Roman" w:cs="Arial"/>
          <w:color w:val="000000"/>
        </w:rPr>
        <w:t>-</w:t>
      </w:r>
      <w:r w:rsidRPr="006C7468">
        <w:rPr>
          <w:rFonts w:eastAsia="Times New Roman" w:cs="Arial"/>
          <w:color w:val="000000"/>
          <w:lang w:val="en-US"/>
        </w:rPr>
        <w:t>Barr</w:t>
      </w:r>
      <w:r w:rsidRPr="006C7468">
        <w:rPr>
          <w:rFonts w:eastAsia="Times New Roman" w:cs="Arial"/>
          <w:color w:val="000000"/>
        </w:rPr>
        <w:t xml:space="preserve"> </w:t>
      </w:r>
      <w:r w:rsidRPr="006C7468">
        <w:rPr>
          <w:rFonts w:eastAsia="Times New Roman" w:cs="Arial"/>
          <w:color w:val="000000"/>
          <w:lang w:val="en-US"/>
        </w:rPr>
        <w:t>viral</w:t>
      </w:r>
      <w:r w:rsidRPr="006C7468">
        <w:rPr>
          <w:rFonts w:eastAsia="Times New Roman" w:cs="Arial"/>
          <w:color w:val="000000"/>
        </w:rPr>
        <w:t xml:space="preserve"> </w:t>
      </w:r>
      <w:r w:rsidRPr="006C7468">
        <w:rPr>
          <w:rFonts w:eastAsia="Times New Roman" w:cs="Arial"/>
          <w:color w:val="000000"/>
          <w:lang w:val="en-US"/>
        </w:rPr>
        <w:t>capsid</w:t>
      </w:r>
      <w:r w:rsidRPr="006C7468">
        <w:rPr>
          <w:rFonts w:eastAsia="Times New Roman" w:cs="Arial"/>
          <w:color w:val="000000"/>
        </w:rPr>
        <w:t xml:space="preserve"> </w:t>
      </w:r>
      <w:r w:rsidRPr="006C7468">
        <w:rPr>
          <w:rFonts w:eastAsia="Times New Roman" w:cs="Arial"/>
          <w:color w:val="000000"/>
          <w:lang w:val="en-US"/>
        </w:rPr>
        <w:t>antigen</w:t>
      </w:r>
      <w:r w:rsidRPr="006C7468">
        <w:rPr>
          <w:rFonts w:eastAsia="Times New Roman" w:cs="Arial"/>
          <w:color w:val="000000"/>
        </w:rPr>
        <w:t xml:space="preserve">) </w:t>
      </w:r>
      <w:r w:rsidRPr="006C7468">
        <w:rPr>
          <w:rFonts w:eastAsia="Times New Roman" w:cs="Arial"/>
          <w:color w:val="000000"/>
          <w:lang w:eastAsia="bg-BG"/>
        </w:rPr>
        <w:t xml:space="preserve">отрицателни деца има увеличен риск от развиване на лимфопролиферативни смущения. Поради това, в тази група пациенти, преди да започне лечението с Програф трябва да се проведат серологични изследвания на </w:t>
      </w:r>
      <w:r w:rsidRPr="006C7468">
        <w:rPr>
          <w:rFonts w:eastAsia="Times New Roman" w:cs="Arial"/>
          <w:color w:val="000000"/>
          <w:lang w:val="en-US"/>
        </w:rPr>
        <w:t>EBV</w:t>
      </w:r>
      <w:r w:rsidRPr="006C7468">
        <w:rPr>
          <w:rFonts w:eastAsia="Times New Roman" w:cs="Arial"/>
          <w:color w:val="000000"/>
          <w:lang w:val="ru-RU"/>
        </w:rPr>
        <w:t>-</w:t>
      </w:r>
      <w:r w:rsidRPr="006C7468">
        <w:rPr>
          <w:rFonts w:eastAsia="Times New Roman" w:cs="Arial"/>
          <w:color w:val="000000"/>
          <w:lang w:val="en-US"/>
        </w:rPr>
        <w:t>VCA</w:t>
      </w:r>
      <w:r w:rsidRPr="006C7468">
        <w:rPr>
          <w:rFonts w:eastAsia="Times New Roman" w:cs="Arial"/>
          <w:color w:val="000000"/>
          <w:lang w:val="ru-RU"/>
        </w:rPr>
        <w:t xml:space="preserve">. </w:t>
      </w:r>
      <w:r w:rsidRPr="006C7468">
        <w:rPr>
          <w:rFonts w:eastAsia="Times New Roman" w:cs="Arial"/>
          <w:color w:val="000000"/>
          <w:lang w:eastAsia="bg-BG"/>
        </w:rPr>
        <w:t xml:space="preserve">По време на лечението се препоръчва внимателно мониториране с </w:t>
      </w:r>
      <w:r w:rsidRPr="006C7468">
        <w:rPr>
          <w:rFonts w:eastAsia="Times New Roman" w:cs="Arial"/>
          <w:color w:val="000000"/>
          <w:lang w:val="en-US"/>
        </w:rPr>
        <w:t>EBV</w:t>
      </w:r>
      <w:r w:rsidRPr="006C7468">
        <w:rPr>
          <w:rFonts w:eastAsia="Times New Roman" w:cs="Arial"/>
          <w:color w:val="000000"/>
          <w:lang w:val="ru-RU"/>
        </w:rPr>
        <w:t>-</w:t>
      </w:r>
      <w:r w:rsidRPr="006C7468">
        <w:rPr>
          <w:rFonts w:eastAsia="Times New Roman" w:cs="Arial"/>
          <w:color w:val="000000"/>
          <w:lang w:val="en-US"/>
        </w:rPr>
        <w:t>PCR</w:t>
      </w:r>
      <w:r w:rsidRPr="006C7468">
        <w:rPr>
          <w:rFonts w:eastAsia="Times New Roman" w:cs="Arial"/>
          <w:color w:val="000000"/>
          <w:lang w:val="ru-RU"/>
        </w:rPr>
        <w:t xml:space="preserve"> </w:t>
      </w:r>
      <w:r w:rsidRPr="006C7468">
        <w:rPr>
          <w:rFonts w:eastAsia="Times New Roman" w:cs="Arial"/>
          <w:color w:val="000000"/>
          <w:lang w:eastAsia="bg-BG"/>
        </w:rPr>
        <w:t xml:space="preserve">(ЕБВ-полимеразна верижна реакция). Положително </w:t>
      </w:r>
      <w:r w:rsidRPr="006C7468">
        <w:rPr>
          <w:rFonts w:eastAsia="Times New Roman" w:cs="Arial"/>
          <w:color w:val="000000"/>
          <w:lang w:val="en-US"/>
        </w:rPr>
        <w:t>EBV</w:t>
      </w:r>
      <w:r w:rsidRPr="006C7468">
        <w:rPr>
          <w:rFonts w:eastAsia="Times New Roman" w:cs="Arial"/>
          <w:color w:val="000000"/>
          <w:lang w:val="ru-RU"/>
        </w:rPr>
        <w:t>-</w:t>
      </w:r>
      <w:r w:rsidRPr="006C7468">
        <w:rPr>
          <w:rFonts w:eastAsia="Times New Roman" w:cs="Arial"/>
          <w:color w:val="000000"/>
          <w:lang w:val="en-US"/>
        </w:rPr>
        <w:t>PCR</w:t>
      </w:r>
      <w:r w:rsidRPr="006C7468">
        <w:rPr>
          <w:rFonts w:eastAsia="Times New Roman" w:cs="Arial"/>
          <w:color w:val="000000"/>
          <w:lang w:val="ru-RU"/>
        </w:rPr>
        <w:t xml:space="preserve"> </w:t>
      </w:r>
      <w:r w:rsidRPr="006C7468">
        <w:rPr>
          <w:rFonts w:eastAsia="Times New Roman" w:cs="Arial"/>
          <w:color w:val="000000"/>
          <w:lang w:eastAsia="bg-BG"/>
        </w:rPr>
        <w:t>може да се наблюдава в продължение на месеци и само по себе си не говори за лимфопролиферативно заболяване или лимфома.</w:t>
      </w:r>
    </w:p>
    <w:p w14:paraId="6107B3F3" w14:textId="77777777" w:rsidR="006C7468" w:rsidRPr="006C7468" w:rsidRDefault="006C7468" w:rsidP="006C7468">
      <w:pPr>
        <w:spacing w:line="240" w:lineRule="auto"/>
        <w:rPr>
          <w:rFonts w:eastAsia="Times New Roman" w:cs="Arial"/>
          <w:color w:val="000000"/>
          <w:lang w:eastAsia="bg-BG"/>
        </w:rPr>
      </w:pPr>
    </w:p>
    <w:p w14:paraId="31D0F309" w14:textId="27EA428C"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Както и при другите имуносупресивни средства, поради потенциалния риск от злокачествени кожни промени експозицията на слънчева светлина и </w:t>
      </w:r>
      <w:r w:rsidRPr="006C7468">
        <w:rPr>
          <w:rFonts w:eastAsia="Times New Roman" w:cs="Arial"/>
          <w:color w:val="000000"/>
          <w:lang w:val="en-US"/>
        </w:rPr>
        <w:t>UV</w:t>
      </w:r>
      <w:r w:rsidRPr="006C7468">
        <w:rPr>
          <w:rFonts w:eastAsia="Times New Roman" w:cs="Arial"/>
          <w:color w:val="000000"/>
          <w:lang w:val="ru-RU"/>
        </w:rPr>
        <w:t xml:space="preserve"> </w:t>
      </w:r>
      <w:r w:rsidRPr="006C7468">
        <w:rPr>
          <w:rFonts w:eastAsia="Times New Roman" w:cs="Arial"/>
          <w:color w:val="000000"/>
          <w:lang w:eastAsia="bg-BG"/>
        </w:rPr>
        <w:t>лъчи трябва да се ограничи чрез носене на защитно облекло и употреба на слънцезащитни средства с висок фактор.</w:t>
      </w:r>
    </w:p>
    <w:p w14:paraId="380879BC"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lastRenderedPageBreak/>
        <w:t>Както и при другите мощни имуносупресивни съединения, рискът от вторичен рак е неизвестен (вж. точка 4.8).</w:t>
      </w:r>
    </w:p>
    <w:p w14:paraId="36EB5373" w14:textId="77777777" w:rsidR="006C7468" w:rsidRPr="006C7468" w:rsidRDefault="006C7468" w:rsidP="006C7468">
      <w:pPr>
        <w:spacing w:line="240" w:lineRule="auto"/>
        <w:rPr>
          <w:rFonts w:eastAsia="Times New Roman" w:cs="Arial"/>
          <w:color w:val="000000"/>
          <w:u w:val="single"/>
          <w:lang w:eastAsia="bg-BG"/>
        </w:rPr>
      </w:pPr>
    </w:p>
    <w:p w14:paraId="3832F67E" w14:textId="7F8F48DD"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 xml:space="preserve">Синдром на постериорна обратима енцефалопатия </w:t>
      </w:r>
      <w:r w:rsidRPr="006C7468">
        <w:rPr>
          <w:rFonts w:eastAsia="Times New Roman" w:cs="Arial"/>
          <w:color w:val="000000"/>
          <w:u w:val="single"/>
          <w:lang w:val="ru-RU"/>
        </w:rPr>
        <w:t>(</w:t>
      </w:r>
      <w:r w:rsidRPr="006C7468">
        <w:rPr>
          <w:rFonts w:eastAsia="Times New Roman" w:cs="Arial"/>
          <w:color w:val="000000"/>
          <w:u w:val="single"/>
          <w:lang w:val="en-US"/>
        </w:rPr>
        <w:t>PRES</w:t>
      </w:r>
      <w:r w:rsidRPr="006C7468">
        <w:rPr>
          <w:rFonts w:eastAsia="Times New Roman" w:cs="Arial"/>
          <w:color w:val="000000"/>
          <w:u w:val="single"/>
          <w:lang w:val="ru-RU"/>
        </w:rPr>
        <w:t>)</w:t>
      </w:r>
    </w:p>
    <w:p w14:paraId="3571BD1B" w14:textId="77777777" w:rsidR="006C7468" w:rsidRPr="006C7468" w:rsidRDefault="006C7468" w:rsidP="006C7468">
      <w:pPr>
        <w:spacing w:line="240" w:lineRule="auto"/>
        <w:rPr>
          <w:rFonts w:eastAsia="Times New Roman" w:cs="Arial"/>
          <w:color w:val="000000"/>
          <w:lang w:eastAsia="bg-BG"/>
        </w:rPr>
      </w:pPr>
      <w:r w:rsidRPr="006C7468">
        <w:rPr>
          <w:rFonts w:eastAsia="Times New Roman" w:cs="Arial"/>
          <w:color w:val="000000"/>
          <w:lang w:eastAsia="bg-BG"/>
        </w:rPr>
        <w:t xml:space="preserve">Има съобщения за развитие на синдром на постериорна обратима енцефалопатия </w:t>
      </w:r>
      <w:r w:rsidRPr="006C7468">
        <w:rPr>
          <w:rFonts w:eastAsia="Times New Roman" w:cs="Arial"/>
          <w:color w:val="000000"/>
          <w:lang w:val="ru-RU"/>
        </w:rPr>
        <w:t>(</w:t>
      </w:r>
      <w:r w:rsidRPr="006C7468">
        <w:rPr>
          <w:rFonts w:eastAsia="Times New Roman" w:cs="Arial"/>
          <w:color w:val="000000"/>
          <w:lang w:val="en-US"/>
        </w:rPr>
        <w:t>PRES</w:t>
      </w:r>
      <w:r w:rsidRPr="006C7468">
        <w:rPr>
          <w:rFonts w:eastAsia="Times New Roman" w:cs="Arial"/>
          <w:color w:val="000000"/>
          <w:lang w:val="ru-RU"/>
        </w:rPr>
        <w:t xml:space="preserve">) </w:t>
      </w:r>
      <w:r w:rsidRPr="006C7468">
        <w:rPr>
          <w:rFonts w:eastAsia="Times New Roman" w:cs="Arial"/>
          <w:color w:val="000000"/>
          <w:lang w:eastAsia="bg-BG"/>
        </w:rPr>
        <w:t xml:space="preserve">при пациенти, лекувани с такролимус. Ако пациенти, приемащи такролимус, развият симптоми, насочващи към </w:t>
      </w:r>
      <w:r w:rsidRPr="006C7468">
        <w:rPr>
          <w:rFonts w:eastAsia="Times New Roman" w:cs="Arial"/>
          <w:color w:val="000000"/>
          <w:lang w:val="en-US"/>
        </w:rPr>
        <w:t>PRES</w:t>
      </w:r>
      <w:r w:rsidRPr="006C7468">
        <w:rPr>
          <w:rFonts w:eastAsia="Times New Roman" w:cs="Arial"/>
          <w:color w:val="000000"/>
          <w:lang w:val="ru-RU"/>
        </w:rPr>
        <w:t xml:space="preserve">, </w:t>
      </w:r>
      <w:r w:rsidRPr="006C7468">
        <w:rPr>
          <w:rFonts w:eastAsia="Times New Roman" w:cs="Arial"/>
          <w:color w:val="000000"/>
          <w:lang w:eastAsia="bg-BG"/>
        </w:rPr>
        <w:t xml:space="preserve">като: главоболие, увредено умствено състояние, гърчове и зрителни нарушения, трябва да бъде направено радиологично изследване (напр. ЯМР). Ако бъде диагностициран </w:t>
      </w:r>
      <w:r w:rsidRPr="006C7468">
        <w:rPr>
          <w:rFonts w:eastAsia="Times New Roman" w:cs="Arial"/>
          <w:color w:val="000000"/>
          <w:lang w:val="en-US"/>
        </w:rPr>
        <w:t>PRES</w:t>
      </w:r>
      <w:r w:rsidRPr="006C7468">
        <w:rPr>
          <w:rFonts w:eastAsia="Times New Roman" w:cs="Arial"/>
          <w:color w:val="000000"/>
          <w:lang w:val="ru-RU"/>
        </w:rPr>
        <w:t xml:space="preserve">, </w:t>
      </w:r>
      <w:r w:rsidRPr="006C7468">
        <w:rPr>
          <w:rFonts w:eastAsia="Times New Roman" w:cs="Arial"/>
          <w:color w:val="000000"/>
          <w:lang w:eastAsia="bg-BG"/>
        </w:rPr>
        <w:t xml:space="preserve">се препоръчва адекватен контрол на кръвното налягане и гърчовете и незабавно прекратяване на системно прилагания такролимус. Повечето пациенти се възстановяват напълно след прилагането на подходящи мерки. </w:t>
      </w:r>
    </w:p>
    <w:p w14:paraId="609C7053" w14:textId="77777777" w:rsidR="006C7468" w:rsidRPr="006C7468" w:rsidRDefault="006C7468" w:rsidP="006C7468">
      <w:pPr>
        <w:spacing w:line="240" w:lineRule="auto"/>
        <w:rPr>
          <w:rFonts w:eastAsia="Times New Roman" w:cs="Arial"/>
          <w:color w:val="000000"/>
          <w:lang w:eastAsia="bg-BG"/>
        </w:rPr>
      </w:pPr>
    </w:p>
    <w:p w14:paraId="16270768" w14:textId="67707745"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Нарушения на очите</w:t>
      </w:r>
    </w:p>
    <w:p w14:paraId="0CBBAC36"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Нарушения на очите, понякога прогресиращи до загуба на зрението, са съобщавани при пациенти лекувани, с такролимус. При някои случаи се съобщава за възстановяване при преминаване към алтернативна имуносупресия. Пациентите трябва да бъдат съветвани да съобщават за промени в зрителната острота, промени в цветното зрение, замъглено зрение или дефекти в зрителното поле и в такива случаи се препоръчва незабавна оценка с насочване към офталмолог, ако е подходящо.</w:t>
      </w:r>
    </w:p>
    <w:p w14:paraId="4967A6A9" w14:textId="77777777" w:rsidR="006C7468" w:rsidRPr="006C7468" w:rsidRDefault="006C7468" w:rsidP="006C7468">
      <w:pPr>
        <w:spacing w:line="240" w:lineRule="auto"/>
        <w:rPr>
          <w:rFonts w:eastAsia="Times New Roman" w:cs="Arial"/>
          <w:color w:val="000000"/>
          <w:u w:val="single"/>
          <w:lang w:eastAsia="bg-BG"/>
        </w:rPr>
      </w:pPr>
    </w:p>
    <w:p w14:paraId="16CA4FF0" w14:textId="21B21F4E"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Инфекции, включително опортюнистични инфекции</w:t>
      </w:r>
    </w:p>
    <w:p w14:paraId="6A696621"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Пациенти, на които са прилагани имуносупресори, включително Програф, са изложени на повишен риск от инфекции, включително опортюнистични инфекции (бактериални, гъбични, вирусни и протозойни), например </w:t>
      </w:r>
      <w:r w:rsidRPr="006C7468">
        <w:rPr>
          <w:rFonts w:eastAsia="Times New Roman" w:cs="Arial"/>
          <w:color w:val="000000"/>
          <w:lang w:val="en-US"/>
        </w:rPr>
        <w:t>CMV</w:t>
      </w:r>
      <w:r w:rsidRPr="006C7468">
        <w:rPr>
          <w:rFonts w:eastAsia="Times New Roman" w:cs="Arial"/>
          <w:color w:val="000000"/>
          <w:lang w:val="ru-RU"/>
        </w:rPr>
        <w:t xml:space="preserve"> </w:t>
      </w:r>
      <w:r w:rsidRPr="006C7468">
        <w:rPr>
          <w:rFonts w:eastAsia="Times New Roman" w:cs="Arial"/>
          <w:color w:val="000000"/>
          <w:lang w:eastAsia="bg-BG"/>
        </w:rPr>
        <w:t xml:space="preserve">инфекция, нефропатия, причинена от ВК вирус и прогресивна мултифокална левкоенцефалопатия (ПМЛ), причинена от </w:t>
      </w:r>
      <w:r w:rsidRPr="006C7468">
        <w:rPr>
          <w:rFonts w:eastAsia="Times New Roman" w:cs="Arial"/>
          <w:color w:val="000000"/>
          <w:lang w:val="en-US"/>
        </w:rPr>
        <w:t>JC</w:t>
      </w:r>
      <w:r w:rsidRPr="006C7468">
        <w:rPr>
          <w:rFonts w:eastAsia="Times New Roman" w:cs="Arial"/>
          <w:color w:val="000000"/>
          <w:lang w:val="ru-RU"/>
        </w:rPr>
        <w:t xml:space="preserve"> </w:t>
      </w:r>
      <w:r w:rsidRPr="006C7468">
        <w:rPr>
          <w:rFonts w:eastAsia="Times New Roman" w:cs="Arial"/>
          <w:color w:val="000000"/>
          <w:lang w:eastAsia="bg-BG"/>
        </w:rPr>
        <w:t xml:space="preserve">вирус. Пациентите са изложени също на повишен риск от инфекции с вирус на хепатит ( например реактивация и </w:t>
      </w:r>
      <w:r w:rsidRPr="006C7468">
        <w:rPr>
          <w:rFonts w:eastAsia="Times New Roman" w:cs="Arial"/>
          <w:i/>
          <w:iCs/>
          <w:color w:val="000000"/>
          <w:lang w:val="en-US"/>
        </w:rPr>
        <w:t>de</w:t>
      </w:r>
      <w:r w:rsidRPr="006C7468">
        <w:rPr>
          <w:rFonts w:eastAsia="Times New Roman" w:cs="Arial"/>
          <w:i/>
          <w:iCs/>
          <w:color w:val="000000"/>
          <w:lang w:val="ru-RU"/>
        </w:rPr>
        <w:t xml:space="preserve"> </w:t>
      </w:r>
      <w:r w:rsidRPr="006C7468">
        <w:rPr>
          <w:rFonts w:eastAsia="Times New Roman" w:cs="Arial"/>
          <w:i/>
          <w:iCs/>
          <w:color w:val="000000"/>
          <w:lang w:val="en-US"/>
        </w:rPr>
        <w:t>novo</w:t>
      </w:r>
      <w:r w:rsidRPr="006C7468">
        <w:rPr>
          <w:rFonts w:eastAsia="Times New Roman" w:cs="Arial"/>
          <w:color w:val="000000"/>
          <w:lang w:val="ru-RU"/>
        </w:rPr>
        <w:t xml:space="preserve"> </w:t>
      </w:r>
      <w:r w:rsidRPr="006C7468">
        <w:rPr>
          <w:rFonts w:eastAsia="Times New Roman" w:cs="Arial"/>
          <w:color w:val="000000"/>
          <w:lang w:eastAsia="bg-BG"/>
        </w:rPr>
        <w:t>инфекция с хепатит В и С , както и хепатит Е вирус, които може да станат хронични). Тези инфекции често са свързани с високо общо имуносупресорно натоварване и могат да доведат до сериозни или фатални заболявания, включително отхвърляне на присадката, които лекарите трябва да имат предвид в диференциалната диагноза при имуносупресирани пациенти с влошаваща се чернодробна или бъбречна функция или неврологични симптоми. За превенция и овладяване на инфекциите трябва да се следват съответните клинични ръководства.</w:t>
      </w:r>
    </w:p>
    <w:p w14:paraId="27014268" w14:textId="77777777" w:rsidR="006C7468" w:rsidRPr="006C7468" w:rsidRDefault="006C7468" w:rsidP="006C7468">
      <w:pPr>
        <w:spacing w:line="240" w:lineRule="auto"/>
        <w:rPr>
          <w:rFonts w:eastAsia="Times New Roman" w:cs="Arial"/>
          <w:color w:val="000000"/>
          <w:u w:val="single"/>
          <w:lang w:eastAsia="bg-BG"/>
        </w:rPr>
      </w:pPr>
    </w:p>
    <w:p w14:paraId="687FE5D0" w14:textId="28718B7F"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 xml:space="preserve">Чиста аплазия на еритроцитите </w:t>
      </w:r>
      <w:r w:rsidRPr="006C7468">
        <w:rPr>
          <w:rFonts w:eastAsia="Times New Roman" w:cs="Arial"/>
          <w:color w:val="000000"/>
          <w:u w:val="single"/>
          <w:lang w:val="ru-RU"/>
        </w:rPr>
        <w:t>(</w:t>
      </w:r>
      <w:r w:rsidRPr="006C7468">
        <w:rPr>
          <w:rFonts w:eastAsia="Times New Roman" w:cs="Arial"/>
          <w:color w:val="000000"/>
          <w:u w:val="single"/>
          <w:lang w:val="en-US"/>
        </w:rPr>
        <w:t>PRCA</w:t>
      </w:r>
      <w:r w:rsidRPr="006C7468">
        <w:rPr>
          <w:rFonts w:eastAsia="Times New Roman" w:cs="Arial"/>
          <w:color w:val="000000"/>
          <w:u w:val="single"/>
          <w:lang w:val="ru-RU"/>
        </w:rPr>
        <w:t>)</w:t>
      </w:r>
    </w:p>
    <w:p w14:paraId="0DA05700"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 xml:space="preserve">Съобщени са случаи на чиста аплазия на еритроцитите </w:t>
      </w:r>
      <w:r w:rsidRPr="006C7468">
        <w:rPr>
          <w:rFonts w:eastAsia="Times New Roman" w:cs="Arial"/>
          <w:color w:val="000000"/>
          <w:lang w:val="ru-RU"/>
        </w:rPr>
        <w:t>(</w:t>
      </w:r>
      <w:r w:rsidRPr="006C7468">
        <w:rPr>
          <w:rFonts w:eastAsia="Times New Roman" w:cs="Arial"/>
          <w:color w:val="000000"/>
          <w:lang w:val="en-US"/>
        </w:rPr>
        <w:t>PRCA</w:t>
      </w:r>
      <w:r w:rsidRPr="006C7468">
        <w:rPr>
          <w:rFonts w:eastAsia="Times New Roman" w:cs="Arial"/>
          <w:color w:val="000000"/>
          <w:lang w:val="ru-RU"/>
        </w:rPr>
        <w:t xml:space="preserve">) </w:t>
      </w:r>
      <w:r w:rsidRPr="006C7468">
        <w:rPr>
          <w:rFonts w:eastAsia="Times New Roman" w:cs="Arial"/>
          <w:color w:val="000000"/>
          <w:lang w:eastAsia="bg-BG"/>
        </w:rPr>
        <w:t xml:space="preserve">при пациенти лекувани с такролимус. Всичките пациенти съобщават за рискови фактори за </w:t>
      </w:r>
      <w:r w:rsidRPr="006C7468">
        <w:rPr>
          <w:rFonts w:eastAsia="Times New Roman" w:cs="Arial"/>
          <w:color w:val="000000"/>
          <w:lang w:val="en-US"/>
        </w:rPr>
        <w:t>PRCA</w:t>
      </w:r>
      <w:r w:rsidRPr="006C7468">
        <w:rPr>
          <w:rFonts w:eastAsia="Times New Roman" w:cs="Arial"/>
          <w:color w:val="000000"/>
          <w:lang w:val="ru-RU"/>
        </w:rPr>
        <w:t xml:space="preserve">, </w:t>
      </w:r>
      <w:r w:rsidRPr="006C7468">
        <w:rPr>
          <w:rFonts w:eastAsia="Times New Roman" w:cs="Arial"/>
          <w:color w:val="000000"/>
          <w:lang w:eastAsia="bg-BG"/>
        </w:rPr>
        <w:t xml:space="preserve">като инфекция с парвовирус В19, съпътстващо заболяване или съпътстващо лечение, свързвани с </w:t>
      </w:r>
      <w:r w:rsidRPr="006C7468">
        <w:rPr>
          <w:rFonts w:eastAsia="Times New Roman" w:cs="Arial"/>
          <w:color w:val="000000"/>
          <w:lang w:val="en-US"/>
        </w:rPr>
        <w:t>PRCA</w:t>
      </w:r>
      <w:r w:rsidRPr="006C7468">
        <w:rPr>
          <w:rFonts w:eastAsia="Times New Roman" w:cs="Arial"/>
          <w:color w:val="000000"/>
          <w:lang w:val="ru-RU"/>
        </w:rPr>
        <w:t>.</w:t>
      </w:r>
    </w:p>
    <w:p w14:paraId="76CF7FC5" w14:textId="77777777" w:rsidR="006C7468" w:rsidRPr="006C7468" w:rsidRDefault="006C7468" w:rsidP="006C7468">
      <w:pPr>
        <w:spacing w:line="240" w:lineRule="auto"/>
        <w:rPr>
          <w:rFonts w:eastAsia="Times New Roman" w:cs="Arial"/>
          <w:color w:val="000000"/>
          <w:u w:val="single"/>
          <w:lang w:eastAsia="bg-BG"/>
        </w:rPr>
      </w:pPr>
    </w:p>
    <w:p w14:paraId="5B3646D5" w14:textId="765D5D41" w:rsidR="006C7468" w:rsidRPr="006C7468" w:rsidRDefault="006C7468" w:rsidP="006C7468">
      <w:pPr>
        <w:spacing w:line="240" w:lineRule="auto"/>
        <w:rPr>
          <w:rFonts w:eastAsia="Times New Roman" w:cs="Arial"/>
        </w:rPr>
      </w:pPr>
      <w:r w:rsidRPr="006C7468">
        <w:rPr>
          <w:rFonts w:eastAsia="Times New Roman" w:cs="Arial"/>
          <w:color w:val="000000"/>
          <w:u w:val="single"/>
          <w:lang w:eastAsia="bg-BG"/>
        </w:rPr>
        <w:t>Помощни вещества</w:t>
      </w:r>
    </w:p>
    <w:p w14:paraId="4C483D2F" w14:textId="77777777" w:rsidR="006C7468" w:rsidRPr="006C7468" w:rsidRDefault="006C7468" w:rsidP="006C7468">
      <w:pPr>
        <w:spacing w:line="240" w:lineRule="auto"/>
        <w:rPr>
          <w:rFonts w:eastAsia="Times New Roman" w:cs="Arial"/>
        </w:rPr>
      </w:pPr>
      <w:r w:rsidRPr="006C7468">
        <w:rPr>
          <w:rFonts w:eastAsia="Times New Roman" w:cs="Arial"/>
          <w:color w:val="000000"/>
          <w:lang w:eastAsia="bg-BG"/>
        </w:rPr>
        <w:t>Тъй като Програф твърди капсули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0264B233" w14:textId="77777777" w:rsidR="006C7468" w:rsidRPr="006C7468" w:rsidRDefault="006C7468" w:rsidP="006C7468">
      <w:pPr>
        <w:spacing w:line="240" w:lineRule="auto"/>
        <w:rPr>
          <w:rFonts w:eastAsia="Times New Roman" w:cs="Arial"/>
          <w:color w:val="000000"/>
          <w:lang w:eastAsia="bg-BG"/>
        </w:rPr>
      </w:pPr>
    </w:p>
    <w:p w14:paraId="0A600BD2" w14:textId="11659DD5" w:rsidR="006C7468" w:rsidRPr="006C7468" w:rsidRDefault="006C7468" w:rsidP="006C7468">
      <w:pPr>
        <w:spacing w:line="240" w:lineRule="auto"/>
        <w:rPr>
          <w:rFonts w:ascii="Times New Roman" w:eastAsia="Times New Roman" w:hAnsi="Times New Roman" w:cs="Times New Roman"/>
          <w:sz w:val="24"/>
          <w:szCs w:val="24"/>
        </w:rPr>
      </w:pPr>
      <w:r w:rsidRPr="006C7468">
        <w:rPr>
          <w:rFonts w:eastAsia="Times New Roman" w:cs="Arial"/>
          <w:color w:val="000000"/>
          <w:lang w:eastAsia="bg-BG"/>
        </w:rPr>
        <w:t xml:space="preserve">Печатарското мастило използвано за маркиране на капсулите </w:t>
      </w:r>
      <w:proofErr w:type="spellStart"/>
      <w:r w:rsidRPr="006C7468">
        <w:rPr>
          <w:rFonts w:eastAsia="Times New Roman" w:cs="Arial"/>
          <w:color w:val="000000"/>
          <w:lang w:val="en-US"/>
        </w:rPr>
        <w:t>Prograf</w:t>
      </w:r>
      <w:proofErr w:type="spellEnd"/>
      <w:r w:rsidRPr="006C7468">
        <w:rPr>
          <w:rFonts w:eastAsia="Times New Roman" w:cs="Arial"/>
          <w:color w:val="000000"/>
          <w:lang w:val="ru-RU"/>
        </w:rPr>
        <w:t xml:space="preserve"> </w:t>
      </w:r>
      <w:r w:rsidRPr="006C7468">
        <w:rPr>
          <w:rFonts w:eastAsia="Times New Roman" w:cs="Arial"/>
          <w:color w:val="000000"/>
          <w:lang w:eastAsia="bg-BG"/>
        </w:rPr>
        <w:t xml:space="preserve">съдържа соев лецитин. При пациенти, които са свръхчувствителни към фъстъчено масло или соя, трябва да се оцени риска и тежестта на реакцията на свръхчувствителност срещу ползата от използване на </w:t>
      </w:r>
      <w:proofErr w:type="spellStart"/>
      <w:r w:rsidRPr="006C7468">
        <w:rPr>
          <w:rFonts w:eastAsia="Times New Roman" w:cs="Arial"/>
          <w:color w:val="000000"/>
          <w:lang w:val="en-US"/>
        </w:rPr>
        <w:t>Prograf</w:t>
      </w:r>
      <w:proofErr w:type="spellEnd"/>
      <w:r w:rsidRPr="006C7468">
        <w:rPr>
          <w:rFonts w:eastAsia="Times New Roman" w:cs="Arial"/>
          <w:color w:val="000000"/>
          <w:lang w:val="ru-RU"/>
        </w:rPr>
        <w:t xml:space="preserve">. </w:t>
      </w:r>
      <w:r w:rsidRPr="006C7468">
        <w:rPr>
          <w:rFonts w:eastAsia="Times New Roman" w:cs="Arial"/>
          <w:color w:val="000000"/>
          <w:lang w:eastAsia="bg-BG"/>
        </w:rPr>
        <w:t xml:space="preserve">Това лекарство съдържа по-малко от 1 </w:t>
      </w:r>
      <w:proofErr w:type="spellStart"/>
      <w:r w:rsidRPr="006C7468">
        <w:rPr>
          <w:rFonts w:eastAsia="Times New Roman" w:cs="Arial"/>
          <w:color w:val="000000"/>
          <w:lang w:val="en-US"/>
        </w:rPr>
        <w:t>mmol</w:t>
      </w:r>
      <w:proofErr w:type="spellEnd"/>
      <w:r w:rsidRPr="006C7468">
        <w:rPr>
          <w:rFonts w:eastAsia="Times New Roman" w:cs="Arial"/>
          <w:color w:val="000000"/>
          <w:lang w:val="ru-RU"/>
        </w:rPr>
        <w:t xml:space="preserve"> </w:t>
      </w:r>
      <w:r w:rsidRPr="006C7468">
        <w:rPr>
          <w:rFonts w:eastAsia="Times New Roman" w:cs="Arial"/>
          <w:color w:val="000000"/>
          <w:lang w:eastAsia="bg-BG"/>
        </w:rPr>
        <w:t xml:space="preserve">натрий (23 </w:t>
      </w:r>
      <w:r w:rsidRPr="006C7468">
        <w:rPr>
          <w:rFonts w:eastAsia="Times New Roman" w:cs="Arial"/>
          <w:color w:val="000000"/>
          <w:lang w:val="en-US"/>
        </w:rPr>
        <w:t>mg</w:t>
      </w:r>
      <w:r w:rsidRPr="006C7468">
        <w:rPr>
          <w:rFonts w:eastAsia="Times New Roman" w:cs="Arial"/>
          <w:color w:val="000000"/>
          <w:lang w:val="ru-RU"/>
        </w:rPr>
        <w:t xml:space="preserve">) </w:t>
      </w:r>
      <w:r w:rsidRPr="006C7468">
        <w:rPr>
          <w:rFonts w:eastAsia="Times New Roman" w:cs="Arial"/>
          <w:color w:val="000000"/>
          <w:lang w:eastAsia="bg-BG"/>
        </w:rPr>
        <w:t>на капсула, т.е. може да се каже, че практически не съдържа натрий.</w:t>
      </w:r>
    </w:p>
    <w:p w14:paraId="2014FC0D" w14:textId="6016315F" w:rsidR="006C7468" w:rsidRPr="006C7468" w:rsidRDefault="006C7468" w:rsidP="006C7468">
      <w:pPr>
        <w:spacing w:line="240" w:lineRule="auto"/>
        <w:rPr>
          <w:rFonts w:ascii="Times New Roman" w:eastAsia="Times New Roman" w:hAnsi="Times New Roman" w:cs="Times New Roman"/>
          <w:sz w:val="24"/>
          <w:szCs w:val="24"/>
        </w:rPr>
      </w:pPr>
    </w:p>
    <w:p w14:paraId="3875F0C6" w14:textId="77777777" w:rsidR="006C7468" w:rsidRDefault="002C50EE" w:rsidP="005726E3">
      <w:pPr>
        <w:pStyle w:val="Heading2"/>
      </w:pPr>
      <w:r>
        <w:lastRenderedPageBreak/>
        <w:t>4.5. Взаимодействие с други лекарствени продукти и други форми на</w:t>
      </w:r>
      <w:r w:rsidR="004F1CE7" w:rsidRPr="004F1CE7">
        <w:rPr>
          <w:lang w:val="ru-RU"/>
        </w:rPr>
        <w:t xml:space="preserve"> </w:t>
      </w:r>
      <w:r w:rsidR="004F1CE7">
        <w:t>взаимодействие</w:t>
      </w:r>
    </w:p>
    <w:p w14:paraId="3E246F42" w14:textId="77777777" w:rsidR="006C7468" w:rsidRDefault="006C7468" w:rsidP="005726E3">
      <w:pPr>
        <w:pStyle w:val="Heading2"/>
      </w:pPr>
    </w:p>
    <w:p w14:paraId="11821433" w14:textId="77777777" w:rsidR="006C7468" w:rsidRPr="006C7468" w:rsidRDefault="006C7468" w:rsidP="006C7468">
      <w:r w:rsidRPr="006C7468">
        <w:rPr>
          <w:u w:val="single"/>
        </w:rPr>
        <w:t>Метаболитни взаимодействия</w:t>
      </w:r>
    </w:p>
    <w:p w14:paraId="464DB22F" w14:textId="77777777" w:rsidR="006C7468" w:rsidRPr="006C7468" w:rsidRDefault="006C7468" w:rsidP="006C7468">
      <w:r w:rsidRPr="006C7468">
        <w:t>Системно наличният такролимус се метаболизира чрез чернодробния СУРЗА4. Има доказателства също и за стомашно-чревен метаболизъм чрез СУРЗА4 в чревната стена. Съпътстващата употреба на лекарствени или растителни продукти, които инхибират или продуцират СУРЗА4, може да влияе върху такролимус и чрез това да увеличи или да намали кръвните му нива. По подобен начин прекратяването на прилагането на такива продукти или растителни лекарства може да повлияе върху скоростта на метаболизиране на такролимус, а оттам и върху нивата на такролимус в кръвта.</w:t>
      </w:r>
    </w:p>
    <w:p w14:paraId="020E17BE" w14:textId="77777777" w:rsidR="006C7468" w:rsidRPr="006C7468" w:rsidRDefault="006C7468" w:rsidP="006C7468"/>
    <w:p w14:paraId="2DB97DC2" w14:textId="48A1CBA3" w:rsidR="006C7468" w:rsidRPr="006C7468" w:rsidRDefault="006C7468" w:rsidP="006C7468">
      <w:r w:rsidRPr="006C7468">
        <w:t>Фармакокинетичните проучвания показват, че повишаването на нивата на такролимус в</w:t>
      </w:r>
    </w:p>
    <w:p w14:paraId="6AE1EA5B" w14:textId="77777777" w:rsidR="006C7468" w:rsidRPr="006C7468" w:rsidRDefault="006C7468" w:rsidP="006C7468">
      <w:r w:rsidRPr="006C7468">
        <w:t xml:space="preserve">кръвта, когато се прилага едновременно с инхибитори на </w:t>
      </w:r>
      <w:r w:rsidRPr="006C7468">
        <w:rPr>
          <w:lang w:val="en-US"/>
        </w:rPr>
        <w:t>CYP</w:t>
      </w:r>
      <w:r w:rsidRPr="006C7468">
        <w:rPr>
          <w:lang w:val="ru-RU"/>
        </w:rPr>
        <w:t>3</w:t>
      </w:r>
      <w:r w:rsidRPr="006C7468">
        <w:rPr>
          <w:lang w:val="en-US"/>
        </w:rPr>
        <w:t>A</w:t>
      </w:r>
      <w:r w:rsidRPr="006C7468">
        <w:rPr>
          <w:lang w:val="ru-RU"/>
        </w:rPr>
        <w:t xml:space="preserve">4, </w:t>
      </w:r>
      <w:r w:rsidRPr="006C7468">
        <w:t>е резултат основно от повишаването на пероралната бионаличност на такролимус, което се дължи на инхибирането на гастроинтестиналния метаболизъм. Ефектът върху чернодробния клирънс е по-слабо изразен.</w:t>
      </w:r>
    </w:p>
    <w:p w14:paraId="589559DB" w14:textId="77777777" w:rsidR="006C7468" w:rsidRPr="006C7468" w:rsidRDefault="006C7468" w:rsidP="006C7468"/>
    <w:p w14:paraId="77E89E97" w14:textId="00159F85" w:rsidR="006C7468" w:rsidRPr="006C7468" w:rsidRDefault="006C7468" w:rsidP="006C7468">
      <w:r w:rsidRPr="006C7468">
        <w:t xml:space="preserve">Силно се препоръчва внимателно мониториране на концентрациите на такролимус в кръвта под наблюдението на специалист трансплантолог, както и мониториране на функцията на присадката, удължаването на </w:t>
      </w:r>
      <w:r w:rsidRPr="006C7468">
        <w:rPr>
          <w:lang w:val="en-US"/>
        </w:rPr>
        <w:t>QT</w:t>
      </w:r>
      <w:r w:rsidRPr="006C7468">
        <w:rPr>
          <w:lang w:val="ru-RU"/>
        </w:rPr>
        <w:t xml:space="preserve"> </w:t>
      </w:r>
      <w:r w:rsidRPr="006C7468">
        <w:t xml:space="preserve">интервала (с ЕКГ), бъбречната функция и други нежелани реакции, включително невротоксичност, когато се използват едновременно вещества, които може да променят метаболизма на СУРЗА4 и да се адаптира или прекъсне дозата на такролимус, ако е подходящо, за да се поддържа сходна експозиция на такролимус (вж. точки 4.2 и 4.4). По подобен начин пациентите трябва да се мониторират внимателно, когато използват такролимус едновременно с няколко вещества, които влияят на </w:t>
      </w:r>
      <w:r w:rsidRPr="006C7468">
        <w:rPr>
          <w:lang w:val="en-US"/>
        </w:rPr>
        <w:t>CYP</w:t>
      </w:r>
      <w:r w:rsidRPr="006C7468">
        <w:rPr>
          <w:lang w:val="ru-RU"/>
        </w:rPr>
        <w:t>3</w:t>
      </w:r>
      <w:r w:rsidRPr="006C7468">
        <w:rPr>
          <w:lang w:val="en-US"/>
        </w:rPr>
        <w:t>A</w:t>
      </w:r>
      <w:r w:rsidRPr="006C7468">
        <w:rPr>
          <w:lang w:val="ru-RU"/>
        </w:rPr>
        <w:t xml:space="preserve">4, </w:t>
      </w:r>
      <w:r w:rsidRPr="006C7468">
        <w:t>тъй като ефектите върху експозицията на такролимус може да бъдат усилени или намалени.</w:t>
      </w:r>
    </w:p>
    <w:p w14:paraId="7C09D866" w14:textId="77777777" w:rsidR="006C7468" w:rsidRPr="006C7468" w:rsidRDefault="006C7468" w:rsidP="006C7468"/>
    <w:p w14:paraId="3218F8AC" w14:textId="5AB20F82" w:rsidR="006C7468" w:rsidRPr="006C7468" w:rsidRDefault="006C7468" w:rsidP="006C7468">
      <w:r w:rsidRPr="006C7468">
        <w:t>Лекарствените продукти, които имат ефект върху такролимус, са посочени в таблицата по- долу. Примерите за лекарствени взаимодействия нямат за цел да бъдат изчерпателни или всеобхватни и поради това трябва да се направи справка с кратката характеристика на продукта на всяко лекарство, което се прилага едновременно с такролимус, за информация, свързана с пътя на метаболизиране, пътищата на взаимодействие, потенциалните рискове и конкретните действия, които да бъдат предприети по отношение на едновременното приложение.</w:t>
      </w:r>
    </w:p>
    <w:p w14:paraId="73DC5B62" w14:textId="77777777" w:rsidR="006C7468" w:rsidRPr="006C7468" w:rsidRDefault="006C7468" w:rsidP="006C7468"/>
    <w:p w14:paraId="62F27C9B" w14:textId="16DC09D2" w:rsidR="00DB32D3" w:rsidRDefault="006C7468" w:rsidP="006C7468">
      <w:r w:rsidRPr="006C7468">
        <w:t>Лекарствени продукти, които имат ефект върху такролимус</w:t>
      </w:r>
    </w:p>
    <w:p w14:paraId="1271848D" w14:textId="27F6BEBC" w:rsidR="006C7468" w:rsidRDefault="006C7468" w:rsidP="006C7468"/>
    <w:tbl>
      <w:tblPr>
        <w:tblStyle w:val="TableGrid"/>
        <w:tblW w:w="0" w:type="auto"/>
        <w:tblLook w:val="04A0" w:firstRow="1" w:lastRow="0" w:firstColumn="1" w:lastColumn="0" w:noHBand="0" w:noVBand="1"/>
      </w:tblPr>
      <w:tblGrid>
        <w:gridCol w:w="3176"/>
        <w:gridCol w:w="3102"/>
        <w:gridCol w:w="3072"/>
      </w:tblGrid>
      <w:tr w:rsidR="006C7468" w14:paraId="01391B4C" w14:textId="77777777" w:rsidTr="006C7468">
        <w:tc>
          <w:tcPr>
            <w:tcW w:w="3192" w:type="dxa"/>
            <w:vAlign w:val="center"/>
          </w:tcPr>
          <w:p w14:paraId="49D96F06" w14:textId="0A04F69B" w:rsidR="006C7468" w:rsidRPr="006C7468" w:rsidRDefault="006C7468" w:rsidP="006C7468">
            <w:r w:rsidRPr="006C7468">
              <w:rPr>
                <w:szCs w:val="20"/>
              </w:rPr>
              <w:t>Клас или име на лекарството/веществото</w:t>
            </w:r>
          </w:p>
        </w:tc>
        <w:tc>
          <w:tcPr>
            <w:tcW w:w="3192" w:type="dxa"/>
            <w:vAlign w:val="center"/>
          </w:tcPr>
          <w:p w14:paraId="35852321" w14:textId="7B753D2C" w:rsidR="006C7468" w:rsidRPr="006C7468" w:rsidRDefault="006C7468" w:rsidP="006C7468">
            <w:r w:rsidRPr="006C7468">
              <w:rPr>
                <w:szCs w:val="20"/>
              </w:rPr>
              <w:t>Ефект на лекарствено взаимодействие</w:t>
            </w:r>
          </w:p>
        </w:tc>
        <w:tc>
          <w:tcPr>
            <w:tcW w:w="3192" w:type="dxa"/>
            <w:vAlign w:val="bottom"/>
          </w:tcPr>
          <w:p w14:paraId="4FA17CAF" w14:textId="5BB8A8E9" w:rsidR="006C7468" w:rsidRPr="006C7468" w:rsidRDefault="006C7468" w:rsidP="006C7468">
            <w:r w:rsidRPr="006C7468">
              <w:rPr>
                <w:szCs w:val="20"/>
              </w:rPr>
              <w:t>Препоръки относно едновременното приложение</w:t>
            </w:r>
          </w:p>
        </w:tc>
      </w:tr>
      <w:tr w:rsidR="006C7468" w14:paraId="43059121" w14:textId="77777777" w:rsidTr="006C7468">
        <w:tc>
          <w:tcPr>
            <w:tcW w:w="3192" w:type="dxa"/>
          </w:tcPr>
          <w:p w14:paraId="06D8DE4C" w14:textId="5634CA16" w:rsidR="006C7468" w:rsidRPr="006C7468" w:rsidRDefault="006C7468" w:rsidP="006C7468">
            <w:r w:rsidRPr="006C7468">
              <w:rPr>
                <w:szCs w:val="20"/>
              </w:rPr>
              <w:t>Грейпфрут или сок от грейпфрут</w:t>
            </w:r>
          </w:p>
        </w:tc>
        <w:tc>
          <w:tcPr>
            <w:tcW w:w="3192" w:type="dxa"/>
            <w:vAlign w:val="bottom"/>
          </w:tcPr>
          <w:p w14:paraId="48D4B91D" w14:textId="423986DB" w:rsidR="006C7468" w:rsidRPr="006C7468" w:rsidRDefault="006C7468" w:rsidP="006C7468">
            <w:r w:rsidRPr="006C7468">
              <w:rPr>
                <w:szCs w:val="20"/>
              </w:rPr>
              <w:t xml:space="preserve">Може да се повишат най- ниските концентрации на такролимус в цяла кръв и да се увеличи рискът от сериозни нежелани </w:t>
            </w:r>
            <w:r w:rsidRPr="006C7468">
              <w:rPr>
                <w:szCs w:val="20"/>
              </w:rPr>
              <w:lastRenderedPageBreak/>
              <w:t xml:space="preserve">реакции (например невротоксичност, удължаване на </w:t>
            </w:r>
            <w:r w:rsidRPr="006C7468">
              <w:rPr>
                <w:szCs w:val="20"/>
                <w:lang w:val="en-US"/>
              </w:rPr>
              <w:t>QT</w:t>
            </w:r>
            <w:r w:rsidRPr="006C7468">
              <w:rPr>
                <w:szCs w:val="20"/>
                <w:lang w:val="ru-RU"/>
              </w:rPr>
              <w:t xml:space="preserve"> </w:t>
            </w:r>
            <w:r w:rsidRPr="006C7468">
              <w:rPr>
                <w:szCs w:val="20"/>
              </w:rPr>
              <w:t xml:space="preserve">интервала) </w:t>
            </w:r>
            <w:r w:rsidRPr="006C7468">
              <w:rPr>
                <w:i/>
                <w:iCs/>
                <w:szCs w:val="20"/>
              </w:rPr>
              <w:t>[вж. точка 4.4].</w:t>
            </w:r>
          </w:p>
        </w:tc>
        <w:tc>
          <w:tcPr>
            <w:tcW w:w="3192" w:type="dxa"/>
          </w:tcPr>
          <w:p w14:paraId="23CE7906" w14:textId="33F769BC" w:rsidR="006C7468" w:rsidRPr="006C7468" w:rsidRDefault="006C7468" w:rsidP="006C7468">
            <w:r w:rsidRPr="006C7468">
              <w:rPr>
                <w:szCs w:val="20"/>
              </w:rPr>
              <w:lastRenderedPageBreak/>
              <w:t>Да се избягва грейпфрут или сок от грейпфрут</w:t>
            </w:r>
          </w:p>
        </w:tc>
      </w:tr>
      <w:tr w:rsidR="006C7468" w14:paraId="57FF211B" w14:textId="77777777" w:rsidTr="006C7468">
        <w:tc>
          <w:tcPr>
            <w:tcW w:w="3192" w:type="dxa"/>
          </w:tcPr>
          <w:p w14:paraId="479D706F" w14:textId="35A01389" w:rsidR="006C7468" w:rsidRPr="006C7468" w:rsidRDefault="006C7468" w:rsidP="006C7468">
            <w:r w:rsidRPr="006C7468">
              <w:rPr>
                <w:szCs w:val="20"/>
              </w:rPr>
              <w:t>Циклоспорин</w:t>
            </w:r>
          </w:p>
        </w:tc>
        <w:tc>
          <w:tcPr>
            <w:tcW w:w="3192" w:type="dxa"/>
            <w:vAlign w:val="bottom"/>
          </w:tcPr>
          <w:p w14:paraId="7DEF3D2B" w14:textId="591A3820" w:rsidR="006C7468" w:rsidRPr="006C7468" w:rsidRDefault="006C7468" w:rsidP="006C7468">
            <w:r w:rsidRPr="006C7468">
              <w:rPr>
                <w:szCs w:val="20"/>
              </w:rPr>
              <w:t>Може да се повишат най- ниските концентрации на такролимус в цяла кръв. Освен това може да се появят синергични/адитивни нефротоксични ефекти.</w:t>
            </w:r>
          </w:p>
        </w:tc>
        <w:tc>
          <w:tcPr>
            <w:tcW w:w="3192" w:type="dxa"/>
          </w:tcPr>
          <w:p w14:paraId="5DE7F6CB" w14:textId="77777777" w:rsidR="006C7468" w:rsidRPr="006C7468" w:rsidRDefault="006C7468" w:rsidP="006C7468">
            <w:r w:rsidRPr="006C7468">
              <w:rPr>
                <w:szCs w:val="20"/>
              </w:rPr>
              <w:t xml:space="preserve">Трябва да се избягва едновременната употреба на циклоспорин и такролимус </w:t>
            </w:r>
            <w:r w:rsidRPr="006C7468">
              <w:rPr>
                <w:i/>
                <w:iCs/>
                <w:szCs w:val="20"/>
              </w:rPr>
              <w:t>[вж.</w:t>
            </w:r>
          </w:p>
          <w:p w14:paraId="5E0A9B92" w14:textId="26F3BB6A" w:rsidR="006C7468" w:rsidRPr="006C7468" w:rsidRDefault="006C7468" w:rsidP="006C7468">
            <w:r w:rsidRPr="006C7468">
              <w:rPr>
                <w:i/>
                <w:iCs/>
                <w:szCs w:val="20"/>
              </w:rPr>
              <w:t>точка 4.4].</w:t>
            </w:r>
          </w:p>
        </w:tc>
      </w:tr>
      <w:tr w:rsidR="006C7468" w14:paraId="5FEC92A6" w14:textId="77777777" w:rsidTr="006C7468">
        <w:tc>
          <w:tcPr>
            <w:tcW w:w="3192" w:type="dxa"/>
            <w:vAlign w:val="bottom"/>
          </w:tcPr>
          <w:p w14:paraId="71A5E651" w14:textId="6CC1DD19" w:rsidR="006C7468" w:rsidRPr="006C7468" w:rsidRDefault="006C7468" w:rsidP="006C7468">
            <w:r w:rsidRPr="006C7468">
              <w:rPr>
                <w:szCs w:val="20"/>
              </w:rPr>
              <w:t>Продукти, известни с нефротоксичните или невротоксичните си ефекти: аминогликозиди, гиразни инхибитори, ванкомицин,</w:t>
            </w:r>
            <w:r>
              <w:rPr>
                <w:sz w:val="20"/>
                <w:szCs w:val="20"/>
              </w:rPr>
              <w:t xml:space="preserve"> </w:t>
            </w:r>
            <w:r w:rsidRPr="006C7468">
              <w:rPr>
                <w:szCs w:val="20"/>
              </w:rPr>
              <w:t>сулфаметоксазол + триметоприм, НСПВС, ганцикловир, ацикловир, амфотерицин Б, ибупрофен, цидофовир, фоскарнет</w:t>
            </w:r>
          </w:p>
        </w:tc>
        <w:tc>
          <w:tcPr>
            <w:tcW w:w="3192" w:type="dxa"/>
            <w:vAlign w:val="center"/>
          </w:tcPr>
          <w:p w14:paraId="0481A5A5" w14:textId="414744E1" w:rsidR="006C7468" w:rsidRPr="006C7468" w:rsidRDefault="006C7468" w:rsidP="006C7468">
            <w:r w:rsidRPr="006C7468">
              <w:rPr>
                <w:szCs w:val="20"/>
              </w:rPr>
              <w:t>Може да се повишат нефротоксичните или невротоксичните ефекти на такролимус.</w:t>
            </w:r>
          </w:p>
        </w:tc>
        <w:tc>
          <w:tcPr>
            <w:tcW w:w="3192" w:type="dxa"/>
            <w:vAlign w:val="bottom"/>
          </w:tcPr>
          <w:p w14:paraId="7CBC53EC" w14:textId="6E609F2B" w:rsidR="006C7468" w:rsidRPr="006C7468" w:rsidRDefault="006C7468" w:rsidP="006C7468">
            <w:pPr>
              <w:rPr>
                <w:rFonts w:ascii="Times New Roman" w:eastAsia="Times New Roman" w:hAnsi="Times New Roman" w:cs="Times New Roman"/>
                <w:sz w:val="24"/>
                <w:szCs w:val="24"/>
              </w:rPr>
            </w:pPr>
            <w:r w:rsidRPr="006C7468">
              <w:rPr>
                <w:szCs w:val="20"/>
              </w:rPr>
              <w:t>Трябва да се избягва едновременната употреба на такролимус с лекарства за които е извесно, че притежават нефротоксични</w:t>
            </w:r>
            <w:r>
              <w:rPr>
                <w:szCs w:val="20"/>
              </w:rPr>
              <w:t xml:space="preserve"> </w:t>
            </w:r>
            <w:r w:rsidRPr="006C7468">
              <w:rPr>
                <w:rFonts w:eastAsia="Times New Roman" w:cs="Arial"/>
                <w:color w:val="000000"/>
                <w:szCs w:val="20"/>
                <w:lang w:eastAsia="bg-BG"/>
              </w:rPr>
              <w:t>ефекти. Когато едновременното приложение не може да се избегне, трябва да се мониторира бъбречната функция и други нежелани реакции и да се адаптира дозата на такролимус, ако е необходимо.</w:t>
            </w:r>
          </w:p>
        </w:tc>
      </w:tr>
      <w:tr w:rsidR="006C7468" w14:paraId="737BFBA4" w14:textId="77777777" w:rsidTr="006C7468">
        <w:tc>
          <w:tcPr>
            <w:tcW w:w="3192" w:type="dxa"/>
          </w:tcPr>
          <w:p w14:paraId="11C2C559" w14:textId="57C4F0DC" w:rsidR="006C7468" w:rsidRPr="006C7468" w:rsidRDefault="006C7468" w:rsidP="006C7468">
            <w:r w:rsidRPr="006C7468">
              <w:rPr>
                <w:szCs w:val="20"/>
              </w:rPr>
              <w:t xml:space="preserve">Силни инхибитори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 xml:space="preserve">противогъбични средства (например кетоконазол, итраконазол, позаконазол, вориконазол), макролидни антибиотици (например телитромицин, тролеандомицин, кларитромицин, йозамицин), </w:t>
            </w:r>
            <w:r w:rsidRPr="006C7468">
              <w:rPr>
                <w:szCs w:val="20"/>
                <w:lang w:val="en-US"/>
              </w:rPr>
              <w:t>HIV</w:t>
            </w:r>
            <w:r w:rsidRPr="006C7468">
              <w:rPr>
                <w:szCs w:val="20"/>
                <w:lang w:val="ru-RU"/>
              </w:rPr>
              <w:t xml:space="preserve"> </w:t>
            </w:r>
            <w:r w:rsidRPr="006C7468">
              <w:rPr>
                <w:szCs w:val="20"/>
              </w:rPr>
              <w:t xml:space="preserve">протеазни инхибитори (например ритонавир, нелфинавир, саквинавир), </w:t>
            </w:r>
            <w:r w:rsidRPr="006C7468">
              <w:rPr>
                <w:szCs w:val="20"/>
                <w:lang w:val="en-US"/>
              </w:rPr>
              <w:t>HCV</w:t>
            </w:r>
            <w:r w:rsidRPr="006C7468">
              <w:rPr>
                <w:szCs w:val="20"/>
                <w:lang w:val="ru-RU"/>
              </w:rPr>
              <w:t xml:space="preserve"> </w:t>
            </w:r>
            <w:r w:rsidRPr="006C7468">
              <w:rPr>
                <w:szCs w:val="20"/>
              </w:rPr>
              <w:t xml:space="preserve">протеазни инхибитори (например телапревир. боцепревир и комбинацията от омбитасвир и паритапревир с ритонавир, използвана със и без дазабувир), нефазодон, фармакокинетичният енхансер кобицистат </w:t>
            </w:r>
            <w:r w:rsidRPr="006C7468">
              <w:rPr>
                <w:i/>
                <w:iCs/>
                <w:szCs w:val="20"/>
              </w:rPr>
              <w:t xml:space="preserve">и </w:t>
            </w:r>
            <w:r w:rsidRPr="006C7468">
              <w:rPr>
                <w:szCs w:val="20"/>
              </w:rPr>
              <w:t xml:space="preserve">инхибиторите на киназата </w:t>
            </w:r>
            <w:r w:rsidRPr="006C7468">
              <w:rPr>
                <w:szCs w:val="20"/>
              </w:rPr>
              <w:lastRenderedPageBreak/>
              <w:t>иделализиб и церитиниб. Наблюдавани са също силни взаимодействия с макролидния антибиотик еритромицин.</w:t>
            </w:r>
          </w:p>
        </w:tc>
        <w:tc>
          <w:tcPr>
            <w:tcW w:w="3192" w:type="dxa"/>
          </w:tcPr>
          <w:p w14:paraId="3958FC4B" w14:textId="77777777" w:rsidR="006C7468" w:rsidRPr="006C7468" w:rsidRDefault="006C7468" w:rsidP="006C7468">
            <w:r w:rsidRPr="006C7468">
              <w:rPr>
                <w:szCs w:val="20"/>
              </w:rPr>
              <w:lastRenderedPageBreak/>
              <w:t xml:space="preserve">Може да се повишат най- ниските концентрации на такролимус в цяла кръв и да се увеличи рискът от сериозни нежелани реакции (например нефротоксичност, невротоксичност, удължаване на </w:t>
            </w:r>
            <w:r w:rsidRPr="006C7468">
              <w:rPr>
                <w:szCs w:val="20"/>
                <w:lang w:val="en-US"/>
              </w:rPr>
              <w:t>QT</w:t>
            </w:r>
            <w:r w:rsidRPr="006C7468">
              <w:rPr>
                <w:szCs w:val="20"/>
                <w:lang w:val="ru-RU"/>
              </w:rPr>
              <w:t xml:space="preserve"> </w:t>
            </w:r>
            <w:r w:rsidRPr="006C7468">
              <w:rPr>
                <w:szCs w:val="20"/>
              </w:rPr>
              <w:t xml:space="preserve">интервала), което изисква внимателно мониториране </w:t>
            </w:r>
            <w:r w:rsidRPr="006C7468">
              <w:rPr>
                <w:i/>
                <w:iCs/>
                <w:szCs w:val="20"/>
              </w:rPr>
              <w:t>[вж. точка 4.4].</w:t>
            </w:r>
          </w:p>
          <w:p w14:paraId="78198F0A" w14:textId="183C3289" w:rsidR="006C7468" w:rsidRPr="006C7468" w:rsidRDefault="006C7468" w:rsidP="006C7468">
            <w:r w:rsidRPr="006C7468">
              <w:t xml:space="preserve">Може да възникнат бързи и резки повишения на нивата на такролимус още в рамките на 1 - 3 дни след едновременното приложение въпреки незабавното намаляване дозата на такролимус. Общата експозиция на такролимус може да се </w:t>
            </w:r>
            <w:r w:rsidRPr="006C7468">
              <w:lastRenderedPageBreak/>
              <w:t>увеличи &gt;5 пъти. Когато се прилагат едновременно комбинации с ритонавир, експозицията на такролимус може да се повиши &gt;50 пъти. При почти всички пациенти може да е необходимо намаляване на дозата такролимус и може да се наложи също временно прекъсване на приема на такролимус. Ефектът върху концентрацията на такролимус в кръвта може да остане няколко дни след приключване на</w:t>
            </w:r>
            <w:r>
              <w:t xml:space="preserve"> </w:t>
            </w:r>
            <w:r w:rsidRPr="006C7468">
              <w:t>едновременното приложение.</w:t>
            </w:r>
          </w:p>
        </w:tc>
        <w:tc>
          <w:tcPr>
            <w:tcW w:w="3192" w:type="dxa"/>
            <w:vAlign w:val="bottom"/>
          </w:tcPr>
          <w:p w14:paraId="07917D2E" w14:textId="78A85FBA" w:rsidR="006C7468" w:rsidRPr="006C7468" w:rsidRDefault="006C7468" w:rsidP="006C7468">
            <w:pPr>
              <w:rPr>
                <w:rFonts w:ascii="Times New Roman" w:eastAsia="Times New Roman" w:hAnsi="Times New Roman" w:cs="Times New Roman"/>
                <w:sz w:val="24"/>
                <w:szCs w:val="24"/>
              </w:rPr>
            </w:pPr>
            <w:r w:rsidRPr="006C7468">
              <w:rPr>
                <w:szCs w:val="20"/>
              </w:rPr>
              <w:lastRenderedPageBreak/>
              <w:t xml:space="preserve">Препоръчва се избягване на съпътстваща употреба. Ако не може да се избегне едновременно приложение на силен инхибитор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 xml:space="preserve">обмислете възможността за пропускане на дозата такролимус в деня, в който е започнат приемът на силен инхибитор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 xml:space="preserve">Започнете отново приема на такролимус на следващия ден с намалена доза въз основа на концентрациите на такролимус в кръвта. Промените на дозата такролимус и/или на честотата на прилагане трябва да се индивидуализират и </w:t>
            </w:r>
            <w:r w:rsidRPr="006C7468">
              <w:rPr>
                <w:szCs w:val="20"/>
              </w:rPr>
              <w:lastRenderedPageBreak/>
              <w:t xml:space="preserve">адаптират според нуждата въз основа на най-ниските концентрации на такролимус, които трябва да се оценят към момента на иницииране, да се мониторират често през цялото време (като се започне през първите няколко дни) и да се оценят повторно при и след завършване на прилагането на инхибитора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При завършване на прилагането съответната доза и честота на прил</w:t>
            </w:r>
            <w:r w:rsidRPr="006C7468">
              <w:rPr>
                <w:szCs w:val="20"/>
                <w:u w:val="single"/>
              </w:rPr>
              <w:t xml:space="preserve">агане </w:t>
            </w:r>
            <w:r w:rsidRPr="006C7468">
              <w:rPr>
                <w:szCs w:val="20"/>
              </w:rPr>
              <w:t>на такролимус трябва да се определи въз основа на концентрациите на</w:t>
            </w:r>
            <w:r>
              <w:rPr>
                <w:szCs w:val="20"/>
              </w:rPr>
              <w:t xml:space="preserve"> </w:t>
            </w:r>
            <w:r w:rsidRPr="006C7468">
              <w:rPr>
                <w:rFonts w:eastAsia="Times New Roman" w:cs="Arial"/>
                <w:color w:val="000000"/>
                <w:szCs w:val="20"/>
                <w:lang w:eastAsia="bg-BG"/>
              </w:rPr>
              <w:t xml:space="preserve">такролимус в кръвта. Внимателно мониториране на бъбречната функция, ЕКГ за удължаване на </w:t>
            </w:r>
            <w:r w:rsidRPr="006C7468">
              <w:rPr>
                <w:rFonts w:eastAsia="Times New Roman" w:cs="Arial"/>
                <w:color w:val="000000"/>
                <w:szCs w:val="20"/>
                <w:lang w:val="en-US"/>
              </w:rPr>
              <w:t>QT</w:t>
            </w:r>
            <w:r w:rsidRPr="006C7468">
              <w:rPr>
                <w:rFonts w:eastAsia="Times New Roman" w:cs="Arial"/>
                <w:color w:val="000000"/>
                <w:szCs w:val="20"/>
                <w:lang w:val="ru-RU"/>
              </w:rPr>
              <w:t xml:space="preserve"> </w:t>
            </w:r>
            <w:r w:rsidRPr="006C7468">
              <w:rPr>
                <w:rFonts w:eastAsia="Times New Roman" w:cs="Arial"/>
                <w:color w:val="000000"/>
                <w:szCs w:val="20"/>
                <w:lang w:eastAsia="bg-BG"/>
              </w:rPr>
              <w:t>интервала и други нежелани реакции.</w:t>
            </w:r>
          </w:p>
        </w:tc>
      </w:tr>
      <w:tr w:rsidR="006C7468" w14:paraId="20903574" w14:textId="77777777" w:rsidTr="006C7468">
        <w:tc>
          <w:tcPr>
            <w:tcW w:w="3192" w:type="dxa"/>
            <w:vAlign w:val="bottom"/>
          </w:tcPr>
          <w:p w14:paraId="7671A9AD" w14:textId="6A462F35" w:rsidR="006C7468" w:rsidRPr="006C7468" w:rsidRDefault="006C7468" w:rsidP="006C7468">
            <w:r w:rsidRPr="006C7468">
              <w:rPr>
                <w:szCs w:val="20"/>
              </w:rPr>
              <w:lastRenderedPageBreak/>
              <w:t xml:space="preserve">Умерени или слаби инхибитори на </w:t>
            </w:r>
            <w:r w:rsidRPr="006C7468">
              <w:rPr>
                <w:szCs w:val="20"/>
                <w:lang w:val="en-US"/>
              </w:rPr>
              <w:t>CYP</w:t>
            </w:r>
            <w:r w:rsidRPr="006C7468">
              <w:rPr>
                <w:szCs w:val="20"/>
              </w:rPr>
              <w:t>3</w:t>
            </w:r>
            <w:r w:rsidRPr="006C7468">
              <w:rPr>
                <w:szCs w:val="20"/>
                <w:lang w:val="en-US"/>
              </w:rPr>
              <w:t>A</w:t>
            </w:r>
            <w:r w:rsidRPr="006C7468">
              <w:rPr>
                <w:szCs w:val="20"/>
              </w:rPr>
              <w:t xml:space="preserve">4: противогъбични средства (например флуконазол, изавуконазол, клотримазол, миконазол), макролидни антибиотици (например азитромицин), блокери на калциевите канали (например нифедипин, никардипин, дилтиазем, верапамил), амиодарон, даназол, етинилестрадиол, ланзопразол, омепразол, елбасвир/гразопревир и глекапревир/пибрентасвир, противовирусни срещу </w:t>
            </w:r>
            <w:r w:rsidRPr="006C7468">
              <w:rPr>
                <w:szCs w:val="20"/>
                <w:lang w:val="en-US"/>
              </w:rPr>
              <w:t>HCV</w:t>
            </w:r>
            <w:r w:rsidRPr="006C7468">
              <w:rPr>
                <w:szCs w:val="20"/>
              </w:rPr>
              <w:t xml:space="preserve">, летермовир срещу </w:t>
            </w:r>
            <w:r w:rsidRPr="006C7468">
              <w:rPr>
                <w:szCs w:val="20"/>
                <w:lang w:val="en-US"/>
              </w:rPr>
              <w:t>CMV</w:t>
            </w:r>
            <w:r w:rsidRPr="006C7468">
              <w:rPr>
                <w:szCs w:val="20"/>
              </w:rPr>
              <w:t xml:space="preserve"> и тирозин киназните инхибитори нилотиниб, кризотиниб, иматиниб и </w:t>
            </w:r>
            <w:r w:rsidRPr="006C7468">
              <w:rPr>
                <w:szCs w:val="20"/>
              </w:rPr>
              <w:lastRenderedPageBreak/>
              <w:t xml:space="preserve">растителни лекарства (от традиционната китайска медицина), съдържащи екстракти от </w:t>
            </w:r>
            <w:proofErr w:type="spellStart"/>
            <w:r w:rsidRPr="006C7468">
              <w:rPr>
                <w:i/>
                <w:iCs/>
                <w:szCs w:val="20"/>
                <w:lang w:val="en-US"/>
              </w:rPr>
              <w:t>Schisandra</w:t>
            </w:r>
            <w:proofErr w:type="spellEnd"/>
            <w:r w:rsidRPr="006C7468">
              <w:rPr>
                <w:i/>
                <w:iCs/>
                <w:szCs w:val="20"/>
              </w:rPr>
              <w:t xml:space="preserve"> </w:t>
            </w:r>
            <w:proofErr w:type="spellStart"/>
            <w:r w:rsidRPr="006C7468">
              <w:rPr>
                <w:i/>
                <w:iCs/>
                <w:szCs w:val="20"/>
                <w:lang w:val="en-US"/>
              </w:rPr>
              <w:t>sphenanthera</w:t>
            </w:r>
            <w:proofErr w:type="spellEnd"/>
          </w:p>
        </w:tc>
        <w:tc>
          <w:tcPr>
            <w:tcW w:w="3192" w:type="dxa"/>
          </w:tcPr>
          <w:p w14:paraId="01874FA8" w14:textId="218E0429" w:rsidR="006C7468" w:rsidRPr="006C7468" w:rsidRDefault="006C7468" w:rsidP="006C7468">
            <w:r w:rsidRPr="006C7468">
              <w:rPr>
                <w:szCs w:val="20"/>
              </w:rPr>
              <w:lastRenderedPageBreak/>
              <w:t xml:space="preserve">Може да се повишат най- ниските концентрации на такролимус в цяла кръв и да се увеличи рискът от сериозни нежелани реакции (например невротоксичност, удължаване на </w:t>
            </w:r>
            <w:r w:rsidRPr="006C7468">
              <w:rPr>
                <w:szCs w:val="20"/>
                <w:lang w:val="en-US"/>
              </w:rPr>
              <w:t>QT</w:t>
            </w:r>
            <w:r w:rsidRPr="006C7468">
              <w:rPr>
                <w:szCs w:val="20"/>
                <w:lang w:val="ru-RU"/>
              </w:rPr>
              <w:t xml:space="preserve"> </w:t>
            </w:r>
            <w:r w:rsidRPr="006C7468">
              <w:rPr>
                <w:szCs w:val="20"/>
              </w:rPr>
              <w:t xml:space="preserve">интервала) </w:t>
            </w:r>
            <w:r w:rsidRPr="006C7468">
              <w:rPr>
                <w:i/>
                <w:iCs/>
                <w:szCs w:val="20"/>
              </w:rPr>
              <w:t>[вж. точка 4.4].</w:t>
            </w:r>
            <w:r w:rsidRPr="006C7468">
              <w:rPr>
                <w:szCs w:val="20"/>
              </w:rPr>
              <w:t xml:space="preserve"> Може да възникне бързо повишаване на нивото на такролимус.</w:t>
            </w:r>
          </w:p>
        </w:tc>
        <w:tc>
          <w:tcPr>
            <w:tcW w:w="3192" w:type="dxa"/>
          </w:tcPr>
          <w:p w14:paraId="3F07929C" w14:textId="60424EB1" w:rsidR="006C7468" w:rsidRPr="006C7468" w:rsidRDefault="006C7468" w:rsidP="006C7468">
            <w:r w:rsidRPr="006C7468">
              <w:rPr>
                <w:szCs w:val="20"/>
              </w:rPr>
              <w:t xml:space="preserve">Често мониториране на най- ниските концентрации на такролимус в цяла кръв, като се започне през първите няколко дни от едновременното п риложение. Намаляване на дозата на такролимус, ако е необходимо </w:t>
            </w:r>
            <w:r w:rsidRPr="006C7468">
              <w:rPr>
                <w:i/>
                <w:iCs/>
                <w:szCs w:val="20"/>
              </w:rPr>
              <w:t>[вж. точка 4.2].</w:t>
            </w:r>
            <w:r w:rsidRPr="006C7468">
              <w:rPr>
                <w:szCs w:val="20"/>
              </w:rPr>
              <w:t xml:space="preserve"> Внимателно мониториране на бъбречната функция, ЕКГ за удължаване на </w:t>
            </w:r>
            <w:r w:rsidRPr="006C7468">
              <w:rPr>
                <w:szCs w:val="20"/>
                <w:lang w:val="en-US"/>
              </w:rPr>
              <w:t>QT</w:t>
            </w:r>
            <w:r w:rsidRPr="006C7468">
              <w:rPr>
                <w:szCs w:val="20"/>
                <w:lang w:val="ru-RU"/>
              </w:rPr>
              <w:t xml:space="preserve"> </w:t>
            </w:r>
            <w:r w:rsidRPr="006C7468">
              <w:rPr>
                <w:szCs w:val="20"/>
              </w:rPr>
              <w:t>интервала и други нежелани реакции.</w:t>
            </w:r>
          </w:p>
        </w:tc>
      </w:tr>
      <w:tr w:rsidR="006C7468" w14:paraId="1FDFC882" w14:textId="77777777" w:rsidTr="006C7468">
        <w:tc>
          <w:tcPr>
            <w:tcW w:w="3192" w:type="dxa"/>
          </w:tcPr>
          <w:p w14:paraId="575F6CB8" w14:textId="6AD1C62C" w:rsidR="006C7468" w:rsidRPr="006C7468" w:rsidRDefault="006C7468" w:rsidP="006C7468">
            <w:r w:rsidRPr="006C7468">
              <w:rPr>
                <w:i/>
                <w:iCs/>
                <w:szCs w:val="20"/>
                <w:lang w:val="en-US"/>
              </w:rPr>
              <w:t>In</w:t>
            </w:r>
            <w:r w:rsidRPr="006C7468">
              <w:rPr>
                <w:i/>
                <w:iCs/>
                <w:szCs w:val="20"/>
                <w:lang w:val="ru-RU"/>
              </w:rPr>
              <w:t xml:space="preserve"> </w:t>
            </w:r>
            <w:r w:rsidRPr="006C7468">
              <w:rPr>
                <w:i/>
                <w:iCs/>
                <w:szCs w:val="20"/>
                <w:lang w:val="en-US"/>
              </w:rPr>
              <w:t>vitro</w:t>
            </w:r>
            <w:r w:rsidRPr="006C7468">
              <w:rPr>
                <w:szCs w:val="20"/>
                <w:lang w:val="ru-RU"/>
              </w:rPr>
              <w:t xml:space="preserve"> </w:t>
            </w:r>
            <w:r w:rsidRPr="006C7468">
              <w:rPr>
                <w:szCs w:val="20"/>
              </w:rPr>
              <w:t>следните вещества са показали, че са потенциални инхибитори на метаболизма на такролимус: бромокриптин, кортизон, дапсон, ерготамин, гестоден, лидокаин, мефенитоин, мидазолам, нилвадипин, норетистерон, хинидин, тамоксифен.</w:t>
            </w:r>
          </w:p>
        </w:tc>
        <w:tc>
          <w:tcPr>
            <w:tcW w:w="3192" w:type="dxa"/>
          </w:tcPr>
          <w:p w14:paraId="02DAB6EC" w14:textId="0CAC7914" w:rsidR="006C7468" w:rsidRPr="006C7468" w:rsidRDefault="006C7468" w:rsidP="006C7468">
            <w:r w:rsidRPr="006C7468">
              <w:rPr>
                <w:szCs w:val="20"/>
              </w:rPr>
              <w:t xml:space="preserve">Може да се повишат най- ниските концентрации на такролимус в цяла кръв и да се увеличи рискът от сериозни нежелани реакции (например невротоксичност, удължаване на </w:t>
            </w:r>
            <w:r w:rsidRPr="006C7468">
              <w:rPr>
                <w:szCs w:val="20"/>
                <w:lang w:val="en-US"/>
              </w:rPr>
              <w:t>QT</w:t>
            </w:r>
            <w:r w:rsidRPr="006C7468">
              <w:rPr>
                <w:szCs w:val="20"/>
                <w:lang w:val="ru-RU"/>
              </w:rPr>
              <w:t xml:space="preserve"> </w:t>
            </w:r>
            <w:r w:rsidRPr="006C7468">
              <w:rPr>
                <w:szCs w:val="20"/>
              </w:rPr>
              <w:t xml:space="preserve">интервала) </w:t>
            </w:r>
            <w:r w:rsidRPr="006C7468">
              <w:rPr>
                <w:i/>
                <w:iCs/>
                <w:szCs w:val="20"/>
              </w:rPr>
              <w:t>[вж. точка 4.4].</w:t>
            </w:r>
          </w:p>
        </w:tc>
        <w:tc>
          <w:tcPr>
            <w:tcW w:w="3192" w:type="dxa"/>
            <w:vAlign w:val="center"/>
          </w:tcPr>
          <w:p w14:paraId="4FADA7BE" w14:textId="77777777" w:rsidR="006C7468" w:rsidRPr="006C7468" w:rsidRDefault="006C7468" w:rsidP="006C7468">
            <w:r w:rsidRPr="006C7468">
              <w:rPr>
                <w:szCs w:val="20"/>
              </w:rPr>
              <w:t xml:space="preserve">Мониториране на най- ниските концентрации на такролимус в цяла кръв и намаляване на дозата на такролимус, ако е необходимо </w:t>
            </w:r>
            <w:r w:rsidRPr="006C7468">
              <w:rPr>
                <w:i/>
                <w:iCs/>
                <w:szCs w:val="20"/>
              </w:rPr>
              <w:t>[вж.</w:t>
            </w:r>
          </w:p>
          <w:p w14:paraId="1BA83AAD" w14:textId="5408F5B2" w:rsidR="006C7468" w:rsidRPr="006C7468" w:rsidRDefault="006C7468" w:rsidP="006C7468">
            <w:r w:rsidRPr="006C7468">
              <w:rPr>
                <w:i/>
                <w:iCs/>
                <w:szCs w:val="20"/>
              </w:rPr>
              <w:t>точка 4.2].</w:t>
            </w:r>
            <w:r w:rsidRPr="006C7468">
              <w:rPr>
                <w:szCs w:val="20"/>
              </w:rPr>
              <w:t xml:space="preserve"> Внимателно мониториране на бъбречната функция, ЕКГ за удължаване на </w:t>
            </w:r>
            <w:r w:rsidRPr="006C7468">
              <w:rPr>
                <w:szCs w:val="20"/>
                <w:lang w:val="en-US"/>
              </w:rPr>
              <w:t>QT</w:t>
            </w:r>
            <w:r w:rsidRPr="006C7468">
              <w:rPr>
                <w:szCs w:val="20"/>
                <w:lang w:val="ru-RU"/>
              </w:rPr>
              <w:t xml:space="preserve"> </w:t>
            </w:r>
            <w:r w:rsidRPr="006C7468">
              <w:rPr>
                <w:szCs w:val="20"/>
              </w:rPr>
              <w:t>интервала и други нежелани реакции.</w:t>
            </w:r>
          </w:p>
        </w:tc>
      </w:tr>
      <w:tr w:rsidR="006C7468" w14:paraId="01117CF0" w14:textId="77777777" w:rsidTr="006C7468">
        <w:tc>
          <w:tcPr>
            <w:tcW w:w="3192" w:type="dxa"/>
          </w:tcPr>
          <w:p w14:paraId="671BDC8B" w14:textId="0A326D67" w:rsidR="006C7468" w:rsidRPr="006C7468" w:rsidRDefault="006C7468" w:rsidP="006C7468">
            <w:r w:rsidRPr="006C7468">
              <w:rPr>
                <w:szCs w:val="20"/>
              </w:rPr>
              <w:t xml:space="preserve">Силни индуктори на </w:t>
            </w:r>
            <w:r w:rsidRPr="006C7468">
              <w:rPr>
                <w:szCs w:val="20"/>
                <w:lang w:val="en-US"/>
              </w:rPr>
              <w:t>CYP</w:t>
            </w:r>
            <w:r w:rsidRPr="006C7468">
              <w:rPr>
                <w:szCs w:val="20"/>
              </w:rPr>
              <w:t>3</w:t>
            </w:r>
            <w:r w:rsidRPr="006C7468">
              <w:rPr>
                <w:szCs w:val="20"/>
                <w:lang w:val="en-US"/>
              </w:rPr>
              <w:t>A</w:t>
            </w:r>
            <w:r w:rsidRPr="006C7468">
              <w:rPr>
                <w:szCs w:val="20"/>
              </w:rPr>
              <w:t>4:</w:t>
            </w:r>
            <w:r>
              <w:rPr>
                <w:szCs w:val="20"/>
              </w:rPr>
              <w:t xml:space="preserve"> </w:t>
            </w:r>
            <w:r w:rsidRPr="006C7468">
              <w:rPr>
                <w:szCs w:val="20"/>
              </w:rPr>
              <w:t>рифампицин, фенитоин, карбамазепин, апалутамид, ензалутамид, митотан или жълт кантарион (</w:t>
            </w:r>
            <w:proofErr w:type="spellStart"/>
            <w:r w:rsidRPr="006C7468">
              <w:rPr>
                <w:i/>
                <w:iCs/>
                <w:szCs w:val="20"/>
                <w:lang w:val="en-US"/>
              </w:rPr>
              <w:t>Hypericum</w:t>
            </w:r>
            <w:proofErr w:type="spellEnd"/>
            <w:r w:rsidRPr="006C7468">
              <w:rPr>
                <w:i/>
                <w:iCs/>
                <w:szCs w:val="20"/>
              </w:rPr>
              <w:t xml:space="preserve"> </w:t>
            </w:r>
            <w:proofErr w:type="spellStart"/>
            <w:r w:rsidRPr="006C7468">
              <w:rPr>
                <w:i/>
                <w:iCs/>
                <w:szCs w:val="20"/>
                <w:lang w:val="en-US"/>
              </w:rPr>
              <w:t>perforatum</w:t>
            </w:r>
            <w:proofErr w:type="spellEnd"/>
            <w:r w:rsidRPr="006C7468">
              <w:rPr>
                <w:i/>
                <w:iCs/>
                <w:szCs w:val="20"/>
              </w:rPr>
              <w:t>)</w:t>
            </w:r>
          </w:p>
        </w:tc>
        <w:tc>
          <w:tcPr>
            <w:tcW w:w="3192" w:type="dxa"/>
            <w:vAlign w:val="bottom"/>
          </w:tcPr>
          <w:p w14:paraId="32E8BEFA" w14:textId="1CA8B0D7" w:rsidR="006C7468" w:rsidRPr="006C7468" w:rsidRDefault="006C7468" w:rsidP="006C7468">
            <w:pPr>
              <w:rPr>
                <w:rFonts w:ascii="Times New Roman" w:eastAsia="Times New Roman" w:hAnsi="Times New Roman" w:cs="Times New Roman"/>
                <w:sz w:val="24"/>
                <w:szCs w:val="24"/>
              </w:rPr>
            </w:pPr>
            <w:r w:rsidRPr="006C7468">
              <w:rPr>
                <w:szCs w:val="20"/>
              </w:rPr>
              <w:t>Може да се понижат най- ниските концентрации на такролимус в цяла кръв и</w:t>
            </w:r>
            <w:r w:rsidRPr="006C7468">
              <w:rPr>
                <w:rFonts w:cs="Arial"/>
                <w:sz w:val="24"/>
                <w:szCs w:val="20"/>
              </w:rPr>
              <w:t xml:space="preserve"> </w:t>
            </w:r>
            <w:r w:rsidRPr="006C7468">
              <w:rPr>
                <w:rFonts w:eastAsia="Times New Roman" w:cs="Arial"/>
                <w:color w:val="000000"/>
                <w:szCs w:val="20"/>
                <w:lang w:eastAsia="bg-BG"/>
              </w:rPr>
              <w:t xml:space="preserve">да се увеличи рискът от отхвърляне </w:t>
            </w:r>
            <w:r w:rsidRPr="006C7468">
              <w:rPr>
                <w:rFonts w:eastAsia="Times New Roman" w:cs="Arial"/>
                <w:i/>
                <w:iCs/>
                <w:color w:val="000000"/>
                <w:szCs w:val="20"/>
                <w:lang w:eastAsia="bg-BG"/>
              </w:rPr>
              <w:t>[вж.</w:t>
            </w:r>
            <w:r w:rsidRPr="006C7468">
              <w:rPr>
                <w:rFonts w:eastAsia="Times New Roman" w:cs="Arial"/>
                <w:sz w:val="28"/>
                <w:szCs w:val="24"/>
              </w:rPr>
              <w:t xml:space="preserve"> </w:t>
            </w:r>
            <w:r w:rsidRPr="006C7468">
              <w:rPr>
                <w:rFonts w:eastAsia="Times New Roman" w:cs="Arial"/>
                <w:i/>
                <w:iCs/>
                <w:color w:val="000000"/>
                <w:szCs w:val="20"/>
                <w:lang w:eastAsia="bg-BG"/>
              </w:rPr>
              <w:t>точка 4.4].</w:t>
            </w:r>
            <w:r w:rsidRPr="006C7468">
              <w:rPr>
                <w:rFonts w:eastAsia="Times New Roman" w:cs="Arial"/>
                <w:color w:val="000000"/>
                <w:szCs w:val="20"/>
                <w:lang w:eastAsia="bg-BG"/>
              </w:rPr>
              <w:t xml:space="preserve"> Максимален ефект върху концентрациите на такролимус в кръвта може да бъде постигнат 1 - 2 седмици след едновременното приложение. Ефектът може да остане 1 - 2 седмици след приключване на лечението.</w:t>
            </w:r>
          </w:p>
        </w:tc>
        <w:tc>
          <w:tcPr>
            <w:tcW w:w="3192" w:type="dxa"/>
            <w:vAlign w:val="bottom"/>
          </w:tcPr>
          <w:p w14:paraId="25F347AD" w14:textId="668D0FD5" w:rsidR="006C7468" w:rsidRPr="006C7468" w:rsidRDefault="006C7468" w:rsidP="006C7468">
            <w:pPr>
              <w:rPr>
                <w:rFonts w:ascii="Times New Roman" w:eastAsia="Times New Roman" w:hAnsi="Times New Roman" w:cs="Times New Roman"/>
                <w:sz w:val="24"/>
                <w:szCs w:val="24"/>
              </w:rPr>
            </w:pPr>
            <w:r w:rsidRPr="006C7468">
              <w:rPr>
                <w:szCs w:val="20"/>
              </w:rPr>
              <w:t>Препоръчва се избягване на съпътстваща употреба. Ако не може да се избегне, може</w:t>
            </w:r>
            <w:r>
              <w:rPr>
                <w:szCs w:val="20"/>
              </w:rPr>
              <w:t xml:space="preserve"> </w:t>
            </w:r>
            <w:r w:rsidRPr="006C7468">
              <w:rPr>
                <w:rFonts w:eastAsia="Times New Roman" w:cs="Arial"/>
                <w:color w:val="000000"/>
                <w:szCs w:val="20"/>
                <w:lang w:eastAsia="bg-BG"/>
              </w:rPr>
              <w:t xml:space="preserve">да е необходимо повишаване на дозата такролимус при пациентите. Промените на дозата такролимус трябва да се индивидуализират и адаптират според нуждата въз основа на най-ниските концентрации на такролимус, които трябва да се оценят към момента на иницииране, да се мониторират често през цялото време (като се започне през първите няколко дни) и да се оценят отново при и след завършване на прилагането на индуктора на </w:t>
            </w:r>
            <w:r w:rsidRPr="006C7468">
              <w:rPr>
                <w:rFonts w:eastAsia="Times New Roman" w:cs="Arial"/>
                <w:color w:val="000000"/>
                <w:szCs w:val="20"/>
                <w:lang w:val="en-US"/>
              </w:rPr>
              <w:t>CYP</w:t>
            </w:r>
            <w:r w:rsidRPr="006C7468">
              <w:rPr>
                <w:rFonts w:eastAsia="Times New Roman" w:cs="Arial"/>
                <w:color w:val="000000"/>
                <w:szCs w:val="20"/>
                <w:lang w:val="ru-RU"/>
              </w:rPr>
              <w:t>3</w:t>
            </w:r>
            <w:r w:rsidRPr="006C7468">
              <w:rPr>
                <w:rFonts w:eastAsia="Times New Roman" w:cs="Arial"/>
                <w:color w:val="000000"/>
                <w:szCs w:val="20"/>
                <w:lang w:val="en-US"/>
              </w:rPr>
              <w:t>A</w:t>
            </w:r>
            <w:r w:rsidRPr="006C7468">
              <w:rPr>
                <w:rFonts w:eastAsia="Times New Roman" w:cs="Arial"/>
                <w:color w:val="000000"/>
                <w:szCs w:val="20"/>
                <w:lang w:val="ru-RU"/>
              </w:rPr>
              <w:t xml:space="preserve">4. </w:t>
            </w:r>
            <w:r w:rsidRPr="006C7468">
              <w:rPr>
                <w:rFonts w:eastAsia="Times New Roman" w:cs="Arial"/>
                <w:color w:val="000000"/>
                <w:szCs w:val="20"/>
                <w:lang w:eastAsia="bg-BG"/>
              </w:rPr>
              <w:t xml:space="preserve">След завършване на използването на индуктора на </w:t>
            </w:r>
            <w:r w:rsidRPr="006C7468">
              <w:rPr>
                <w:rFonts w:eastAsia="Times New Roman" w:cs="Arial"/>
                <w:color w:val="000000"/>
                <w:szCs w:val="20"/>
                <w:lang w:val="en-US"/>
              </w:rPr>
              <w:t>CYP</w:t>
            </w:r>
            <w:r w:rsidRPr="006C7468">
              <w:rPr>
                <w:rFonts w:eastAsia="Times New Roman" w:cs="Arial"/>
                <w:color w:val="000000"/>
                <w:szCs w:val="20"/>
                <w:lang w:val="ru-RU"/>
              </w:rPr>
              <w:t>3</w:t>
            </w:r>
            <w:r w:rsidRPr="006C7468">
              <w:rPr>
                <w:rFonts w:eastAsia="Times New Roman" w:cs="Arial"/>
                <w:color w:val="000000"/>
                <w:szCs w:val="20"/>
                <w:lang w:val="en-US"/>
              </w:rPr>
              <w:t>A</w:t>
            </w:r>
            <w:r w:rsidRPr="006C7468">
              <w:rPr>
                <w:rFonts w:eastAsia="Times New Roman" w:cs="Arial"/>
                <w:color w:val="000000"/>
                <w:szCs w:val="20"/>
                <w:lang w:val="ru-RU"/>
              </w:rPr>
              <w:t xml:space="preserve">4 </w:t>
            </w:r>
            <w:r w:rsidRPr="006C7468">
              <w:rPr>
                <w:rFonts w:eastAsia="Times New Roman" w:cs="Arial"/>
                <w:color w:val="000000"/>
                <w:szCs w:val="20"/>
                <w:lang w:eastAsia="bg-BG"/>
              </w:rPr>
              <w:t xml:space="preserve">дозата такролимус може да се наложи да бъде адаптирана постепенно. Внимателно мониториране </w:t>
            </w:r>
            <w:r w:rsidRPr="006C7468">
              <w:rPr>
                <w:rFonts w:eastAsia="Times New Roman" w:cs="Arial"/>
                <w:color w:val="000000"/>
                <w:szCs w:val="20"/>
                <w:lang w:eastAsia="bg-BG"/>
              </w:rPr>
              <w:lastRenderedPageBreak/>
              <w:t>на функцията на присадката.</w:t>
            </w:r>
          </w:p>
        </w:tc>
      </w:tr>
      <w:tr w:rsidR="006C7468" w14:paraId="74FA426E" w14:textId="77777777" w:rsidTr="006C7468">
        <w:tc>
          <w:tcPr>
            <w:tcW w:w="3192" w:type="dxa"/>
            <w:vAlign w:val="center"/>
          </w:tcPr>
          <w:p w14:paraId="104CDC69" w14:textId="77777777" w:rsidR="006C7468" w:rsidRPr="006C7468" w:rsidRDefault="006C7468" w:rsidP="006C7468">
            <w:r w:rsidRPr="006C7468">
              <w:rPr>
                <w:szCs w:val="20"/>
              </w:rPr>
              <w:lastRenderedPageBreak/>
              <w:t xml:space="preserve">Умерени индуктори на </w:t>
            </w:r>
            <w:r w:rsidRPr="006C7468">
              <w:rPr>
                <w:szCs w:val="20"/>
                <w:lang w:val="en-US"/>
              </w:rPr>
              <w:t>CYP</w:t>
            </w:r>
            <w:r w:rsidRPr="006C7468">
              <w:rPr>
                <w:szCs w:val="20"/>
                <w:lang w:val="ru-RU"/>
              </w:rPr>
              <w:t>3</w:t>
            </w:r>
            <w:r w:rsidRPr="006C7468">
              <w:rPr>
                <w:szCs w:val="20"/>
                <w:lang w:val="en-US"/>
              </w:rPr>
              <w:t>A</w:t>
            </w:r>
            <w:r w:rsidRPr="006C7468">
              <w:rPr>
                <w:szCs w:val="20"/>
                <w:lang w:val="ru-RU"/>
              </w:rPr>
              <w:t>4:</w:t>
            </w:r>
          </w:p>
          <w:p w14:paraId="16F2A26F" w14:textId="6FB0649C" w:rsidR="006C7468" w:rsidRPr="006C7468" w:rsidRDefault="006C7468" w:rsidP="006C7468">
            <w:r w:rsidRPr="006C7468">
              <w:rPr>
                <w:szCs w:val="20"/>
              </w:rPr>
              <w:t xml:space="preserve">метамизол, фенобарбитал, изониазид, рифабутин, ефавиренц, етравирин, невирапин;слаби индуктори на </w:t>
            </w:r>
            <w:r w:rsidRPr="006C7468">
              <w:rPr>
                <w:szCs w:val="20"/>
                <w:lang w:val="en-US"/>
              </w:rPr>
              <w:t>CYP</w:t>
            </w:r>
            <w:r w:rsidRPr="006C7468">
              <w:rPr>
                <w:szCs w:val="20"/>
                <w:lang w:val="ru-RU"/>
              </w:rPr>
              <w:t>3</w:t>
            </w:r>
            <w:r w:rsidRPr="006C7468">
              <w:rPr>
                <w:szCs w:val="20"/>
                <w:lang w:val="en-US"/>
              </w:rPr>
              <w:t>A</w:t>
            </w:r>
            <w:r w:rsidRPr="006C7468">
              <w:rPr>
                <w:szCs w:val="20"/>
                <w:lang w:val="ru-RU"/>
              </w:rPr>
              <w:t xml:space="preserve">4: </w:t>
            </w:r>
            <w:r w:rsidRPr="006C7468">
              <w:rPr>
                <w:szCs w:val="20"/>
              </w:rPr>
              <w:t>флуклоксацилин</w:t>
            </w:r>
          </w:p>
        </w:tc>
        <w:tc>
          <w:tcPr>
            <w:tcW w:w="3192" w:type="dxa"/>
          </w:tcPr>
          <w:p w14:paraId="5D10A4EA" w14:textId="77777777" w:rsidR="006C7468" w:rsidRPr="006C7468" w:rsidRDefault="006C7468" w:rsidP="006C7468">
            <w:r w:rsidRPr="006C7468">
              <w:rPr>
                <w:szCs w:val="20"/>
              </w:rPr>
              <w:t xml:space="preserve">Може да се понижат най- ниските концентрации на такролимус в цяла кръв и да се увеличи рискът от отхвърляне </w:t>
            </w:r>
            <w:r w:rsidRPr="006C7468">
              <w:rPr>
                <w:i/>
                <w:iCs/>
                <w:szCs w:val="20"/>
              </w:rPr>
              <w:t>[вж.</w:t>
            </w:r>
          </w:p>
          <w:p w14:paraId="754E4C59" w14:textId="629382BE" w:rsidR="006C7468" w:rsidRPr="006C7468" w:rsidRDefault="006C7468" w:rsidP="006C7468">
            <w:r w:rsidRPr="006C7468">
              <w:rPr>
                <w:i/>
                <w:iCs/>
                <w:szCs w:val="20"/>
              </w:rPr>
              <w:t>точка 4.4].</w:t>
            </w:r>
          </w:p>
        </w:tc>
        <w:tc>
          <w:tcPr>
            <w:tcW w:w="3192" w:type="dxa"/>
            <w:vAlign w:val="bottom"/>
          </w:tcPr>
          <w:p w14:paraId="500B95C7" w14:textId="77777777" w:rsidR="006C7468" w:rsidRPr="006C7468" w:rsidRDefault="006C7468" w:rsidP="006C7468">
            <w:r w:rsidRPr="006C7468">
              <w:rPr>
                <w:szCs w:val="20"/>
              </w:rPr>
              <w:t xml:space="preserve">Мониториране на най- ниските концентрации на такролимус в цяла кръв и увеличаване на дозата на такролимус, ако е необходимо </w:t>
            </w:r>
            <w:r w:rsidRPr="006C7468">
              <w:rPr>
                <w:i/>
                <w:iCs/>
                <w:szCs w:val="20"/>
              </w:rPr>
              <w:t>[вж.</w:t>
            </w:r>
          </w:p>
          <w:p w14:paraId="57D3D75F" w14:textId="677DDC91" w:rsidR="006C7468" w:rsidRPr="006C7468" w:rsidRDefault="006C7468" w:rsidP="006C7468">
            <w:r w:rsidRPr="006C7468">
              <w:rPr>
                <w:i/>
                <w:iCs/>
                <w:szCs w:val="20"/>
              </w:rPr>
              <w:t>точка 4.2].</w:t>
            </w:r>
            <w:r w:rsidRPr="006C7468">
              <w:rPr>
                <w:szCs w:val="20"/>
              </w:rPr>
              <w:t xml:space="preserve"> Внимателно мониториране на функцията на присадката.</w:t>
            </w:r>
          </w:p>
        </w:tc>
      </w:tr>
      <w:tr w:rsidR="006C7468" w14:paraId="567E7316" w14:textId="77777777" w:rsidTr="006C7468">
        <w:tc>
          <w:tcPr>
            <w:tcW w:w="3192" w:type="dxa"/>
          </w:tcPr>
          <w:p w14:paraId="3FD37DE2" w14:textId="62838861" w:rsidR="006C7468" w:rsidRPr="006C7468" w:rsidRDefault="006C7468" w:rsidP="006C7468">
            <w:r w:rsidRPr="006C7468">
              <w:rPr>
                <w:szCs w:val="20"/>
              </w:rPr>
              <w:t xml:space="preserve">Канабидиол (инхибитор на </w:t>
            </w:r>
            <w:r w:rsidRPr="006C7468">
              <w:rPr>
                <w:szCs w:val="20"/>
                <w:lang w:val="en-US"/>
              </w:rPr>
              <w:t>p</w:t>
            </w:r>
            <w:r w:rsidRPr="006C7468">
              <w:rPr>
                <w:szCs w:val="20"/>
                <w:lang w:val="ru-RU"/>
              </w:rPr>
              <w:t>-</w:t>
            </w:r>
            <w:proofErr w:type="spellStart"/>
            <w:r w:rsidRPr="006C7468">
              <w:rPr>
                <w:szCs w:val="20"/>
                <w:lang w:val="en-US"/>
              </w:rPr>
              <w:t>gp</w:t>
            </w:r>
            <w:proofErr w:type="spellEnd"/>
            <w:r w:rsidRPr="006C7468">
              <w:rPr>
                <w:szCs w:val="20"/>
                <w:lang w:val="ru-RU"/>
              </w:rPr>
              <w:t>)</w:t>
            </w:r>
          </w:p>
        </w:tc>
        <w:tc>
          <w:tcPr>
            <w:tcW w:w="3192" w:type="dxa"/>
            <w:vAlign w:val="bottom"/>
          </w:tcPr>
          <w:p w14:paraId="2F910DC3" w14:textId="6B13EC0B" w:rsidR="006C7468" w:rsidRPr="006C7468" w:rsidRDefault="006C7468" w:rsidP="006C7468">
            <w:r w:rsidRPr="006C7468">
              <w:rPr>
                <w:szCs w:val="20"/>
              </w:rPr>
              <w:t>Съобщава се за повишени нива на такролимус в кръвта при съпътстваща употреба на такролимус с канабидиол. Това може да се дължи на инхибиране на Р- гликопротеина в червата, което води до повишаване на бионаличността на такролимус.</w:t>
            </w:r>
          </w:p>
        </w:tc>
        <w:tc>
          <w:tcPr>
            <w:tcW w:w="3192" w:type="dxa"/>
            <w:vAlign w:val="bottom"/>
          </w:tcPr>
          <w:p w14:paraId="76535708" w14:textId="77777777" w:rsidR="006C7468" w:rsidRPr="006C7468" w:rsidRDefault="006C7468" w:rsidP="006C7468">
            <w:r w:rsidRPr="006C7468">
              <w:rPr>
                <w:szCs w:val="20"/>
              </w:rPr>
              <w:t xml:space="preserve">Такролимус и канабидиол трябва да се прилагат едновременно с повишено внимание, като се мониторира внимателно за нежелани реакции. Трябва да се мониторират най- ниските концентрации на такролимус в цяла кръв и да се адаптира дозата на такролимус, ако е необходимо </w:t>
            </w:r>
            <w:r w:rsidRPr="006C7468">
              <w:rPr>
                <w:i/>
                <w:iCs/>
                <w:szCs w:val="20"/>
              </w:rPr>
              <w:t>(вж. точка 4.2</w:t>
            </w:r>
          </w:p>
          <w:p w14:paraId="6AC9B054" w14:textId="763EC39E" w:rsidR="006C7468" w:rsidRPr="006C7468" w:rsidRDefault="006C7468" w:rsidP="006C7468">
            <w:r w:rsidRPr="006C7468">
              <w:rPr>
                <w:i/>
                <w:iCs/>
                <w:szCs w:val="20"/>
              </w:rPr>
              <w:t>и 4.4).</w:t>
            </w:r>
          </w:p>
        </w:tc>
      </w:tr>
      <w:tr w:rsidR="006C7468" w14:paraId="53843871" w14:textId="77777777" w:rsidTr="006C7468">
        <w:tc>
          <w:tcPr>
            <w:tcW w:w="3192" w:type="dxa"/>
          </w:tcPr>
          <w:p w14:paraId="4C11F479" w14:textId="4A0D6EFD" w:rsidR="006C7468" w:rsidRPr="006C7468" w:rsidRDefault="006C7468" w:rsidP="006C7468">
            <w:r w:rsidRPr="006C7468">
              <w:rPr>
                <w:szCs w:val="20"/>
              </w:rPr>
              <w:t>Продукти, известни с високия си афинитет към плазмените протеини, например: НСПВС, перорални антикоагуланти, перорални антидиабетни средства</w:t>
            </w:r>
          </w:p>
        </w:tc>
        <w:tc>
          <w:tcPr>
            <w:tcW w:w="3192" w:type="dxa"/>
            <w:vAlign w:val="bottom"/>
          </w:tcPr>
          <w:p w14:paraId="67DCABDB" w14:textId="0067CAB0" w:rsidR="006C7468" w:rsidRPr="006C7468" w:rsidRDefault="006C7468" w:rsidP="006C7468">
            <w:r w:rsidRPr="006C7468">
              <w:rPr>
                <w:szCs w:val="20"/>
              </w:rPr>
              <w:t>Такролимус екстензивно се свързва с плазмените протеини. Трябва да се имат предвид възможните взаимодействия с други активни вещества, известни с високия си афинитет към плазмените протеини.</w:t>
            </w:r>
          </w:p>
        </w:tc>
        <w:tc>
          <w:tcPr>
            <w:tcW w:w="3192" w:type="dxa"/>
          </w:tcPr>
          <w:p w14:paraId="17B9F1F6" w14:textId="28D76F32" w:rsidR="006C7468" w:rsidRPr="006C7468" w:rsidRDefault="006C7468" w:rsidP="006C7468">
            <w:r w:rsidRPr="006C7468">
              <w:rPr>
                <w:szCs w:val="20"/>
              </w:rPr>
              <w:t xml:space="preserve">Мониториране на най- ниските концентрации на такролимус в цяла кръв и адаптиране на дозата такролимус, ако е необходимо </w:t>
            </w:r>
            <w:r w:rsidRPr="006C7468">
              <w:rPr>
                <w:i/>
                <w:iCs/>
                <w:szCs w:val="20"/>
              </w:rPr>
              <w:t>[вж. точка 4.2].</w:t>
            </w:r>
          </w:p>
        </w:tc>
      </w:tr>
      <w:tr w:rsidR="006C7468" w14:paraId="0F3D3C0A" w14:textId="77777777" w:rsidTr="006C7468">
        <w:tc>
          <w:tcPr>
            <w:tcW w:w="3192" w:type="dxa"/>
          </w:tcPr>
          <w:p w14:paraId="12762B3C" w14:textId="6BD19FEA" w:rsidR="006C7468" w:rsidRPr="006C7468" w:rsidRDefault="006C7468" w:rsidP="006C7468">
            <w:r w:rsidRPr="006C7468">
              <w:rPr>
                <w:szCs w:val="20"/>
              </w:rPr>
              <w:t>Прокинетични средства: метоклопрамид, циметидин и магнезиев/алуминиев хидроксид</w:t>
            </w:r>
          </w:p>
        </w:tc>
        <w:tc>
          <w:tcPr>
            <w:tcW w:w="3192" w:type="dxa"/>
          </w:tcPr>
          <w:p w14:paraId="5A654AA7" w14:textId="63F0B88F" w:rsidR="006C7468" w:rsidRPr="006C7468" w:rsidRDefault="006C7468" w:rsidP="006C7468">
            <w:r w:rsidRPr="006C7468">
              <w:rPr>
                <w:szCs w:val="20"/>
              </w:rPr>
              <w:t xml:space="preserve">Може да се повишат най- ниските концентрации на такролимус в цяла кръв и да се увеличи рискът от сериозни нежелани реакции(например невротоксичност, удължаване на </w:t>
            </w:r>
            <w:r w:rsidRPr="006C7468">
              <w:rPr>
                <w:szCs w:val="20"/>
                <w:lang w:val="en-US"/>
              </w:rPr>
              <w:t>QT</w:t>
            </w:r>
            <w:r w:rsidRPr="006C7468">
              <w:rPr>
                <w:szCs w:val="20"/>
                <w:lang w:val="ru-RU"/>
              </w:rPr>
              <w:t xml:space="preserve"> </w:t>
            </w:r>
            <w:r w:rsidRPr="006C7468">
              <w:rPr>
                <w:szCs w:val="20"/>
              </w:rPr>
              <w:t>интервала).</w:t>
            </w:r>
          </w:p>
        </w:tc>
        <w:tc>
          <w:tcPr>
            <w:tcW w:w="3192" w:type="dxa"/>
            <w:vAlign w:val="center"/>
          </w:tcPr>
          <w:p w14:paraId="24E53D29" w14:textId="77777777" w:rsidR="006C7468" w:rsidRPr="006C7468" w:rsidRDefault="006C7468" w:rsidP="006C7468">
            <w:r w:rsidRPr="006C7468">
              <w:rPr>
                <w:szCs w:val="20"/>
              </w:rPr>
              <w:t xml:space="preserve">Мониториране на най- ниските концентрации на такролимус в цяла кръв намаляване на дозата такролимус, ако е необходимо </w:t>
            </w:r>
            <w:r w:rsidRPr="006C7468">
              <w:rPr>
                <w:i/>
                <w:iCs/>
                <w:szCs w:val="20"/>
              </w:rPr>
              <w:t>[вж.</w:t>
            </w:r>
          </w:p>
          <w:p w14:paraId="7AEDC8CC" w14:textId="0968275D" w:rsidR="006C7468" w:rsidRPr="006C7468" w:rsidRDefault="006C7468" w:rsidP="006C7468">
            <w:r w:rsidRPr="006C7468">
              <w:rPr>
                <w:i/>
                <w:iCs/>
                <w:szCs w:val="20"/>
              </w:rPr>
              <w:t>точка 4.2].</w:t>
            </w:r>
            <w:r w:rsidRPr="006C7468">
              <w:rPr>
                <w:szCs w:val="20"/>
              </w:rPr>
              <w:t xml:space="preserve"> Внимателно мониториране на бъбречната функция, за удължаване на </w:t>
            </w:r>
            <w:r w:rsidRPr="006C7468">
              <w:rPr>
                <w:szCs w:val="20"/>
                <w:lang w:val="en-US"/>
              </w:rPr>
              <w:t>QT</w:t>
            </w:r>
            <w:r w:rsidRPr="006C7468">
              <w:rPr>
                <w:szCs w:val="20"/>
                <w:lang w:val="ru-RU"/>
              </w:rPr>
              <w:t xml:space="preserve"> </w:t>
            </w:r>
            <w:r w:rsidRPr="006C7468">
              <w:rPr>
                <w:szCs w:val="20"/>
              </w:rPr>
              <w:t>интервала с ЕКГ и за други нежелани реакции.</w:t>
            </w:r>
          </w:p>
        </w:tc>
      </w:tr>
      <w:tr w:rsidR="006C7468" w14:paraId="44D313FA" w14:textId="77777777" w:rsidTr="006C7468">
        <w:tc>
          <w:tcPr>
            <w:tcW w:w="3192" w:type="dxa"/>
          </w:tcPr>
          <w:p w14:paraId="3B34FDE9" w14:textId="7BBAC99D" w:rsidR="006C7468" w:rsidRPr="006C7468" w:rsidRDefault="006C7468" w:rsidP="006C7468">
            <w:r w:rsidRPr="006C7468">
              <w:rPr>
                <w:szCs w:val="20"/>
              </w:rPr>
              <w:t>Поддържащи дози кортикостероиди</w:t>
            </w:r>
          </w:p>
        </w:tc>
        <w:tc>
          <w:tcPr>
            <w:tcW w:w="3192" w:type="dxa"/>
          </w:tcPr>
          <w:p w14:paraId="7AFDA8E9" w14:textId="47D57A08" w:rsidR="006C7468" w:rsidRPr="006C7468" w:rsidRDefault="006C7468" w:rsidP="006C7468">
            <w:r w:rsidRPr="006C7468">
              <w:rPr>
                <w:szCs w:val="20"/>
              </w:rPr>
              <w:t xml:space="preserve">Може да се понижат най- ниските концентрации на </w:t>
            </w:r>
            <w:r w:rsidRPr="006C7468">
              <w:rPr>
                <w:szCs w:val="20"/>
              </w:rPr>
              <w:lastRenderedPageBreak/>
              <w:t xml:space="preserve">такролимус в цяла кръв и да се увеличи рискът от отхвърляне </w:t>
            </w:r>
            <w:r w:rsidRPr="006C7468">
              <w:rPr>
                <w:i/>
                <w:iCs/>
                <w:szCs w:val="20"/>
              </w:rPr>
              <w:t>[вж. точка 4.4].</w:t>
            </w:r>
          </w:p>
        </w:tc>
        <w:tc>
          <w:tcPr>
            <w:tcW w:w="3192" w:type="dxa"/>
            <w:vAlign w:val="bottom"/>
          </w:tcPr>
          <w:p w14:paraId="7045E79B" w14:textId="63B75142" w:rsidR="006C7468" w:rsidRPr="006C7468" w:rsidRDefault="006C7468" w:rsidP="006C7468">
            <w:r w:rsidRPr="006C7468">
              <w:rPr>
                <w:szCs w:val="20"/>
              </w:rPr>
              <w:lastRenderedPageBreak/>
              <w:t xml:space="preserve">Мониториране на най- ниските концентрации на </w:t>
            </w:r>
            <w:r w:rsidRPr="006C7468">
              <w:rPr>
                <w:szCs w:val="20"/>
              </w:rPr>
              <w:lastRenderedPageBreak/>
              <w:t xml:space="preserve">такролимус в цяла кръв и увеличаване на дозата такролимус, ако е необходимо </w:t>
            </w:r>
            <w:r w:rsidRPr="006C7468">
              <w:rPr>
                <w:i/>
                <w:iCs/>
                <w:szCs w:val="20"/>
              </w:rPr>
              <w:t>[вж. точка 4.2].</w:t>
            </w:r>
            <w:r w:rsidRPr="006C7468">
              <w:rPr>
                <w:szCs w:val="20"/>
              </w:rPr>
              <w:t xml:space="preserve"> Внимателно мониториране на функцията на присадката.</w:t>
            </w:r>
          </w:p>
        </w:tc>
      </w:tr>
      <w:tr w:rsidR="006C7468" w14:paraId="72F51781" w14:textId="77777777" w:rsidTr="006C7468">
        <w:tc>
          <w:tcPr>
            <w:tcW w:w="3192" w:type="dxa"/>
          </w:tcPr>
          <w:p w14:paraId="70B24299" w14:textId="0AB52E57" w:rsidR="006C7468" w:rsidRPr="006C7468" w:rsidRDefault="006C7468" w:rsidP="006C7468">
            <w:r w:rsidRPr="006C7468">
              <w:rPr>
                <w:szCs w:val="20"/>
              </w:rPr>
              <w:lastRenderedPageBreak/>
              <w:t>Висока доза преднизолон или метилпреднизолон</w:t>
            </w:r>
          </w:p>
        </w:tc>
        <w:tc>
          <w:tcPr>
            <w:tcW w:w="3192" w:type="dxa"/>
            <w:vAlign w:val="bottom"/>
          </w:tcPr>
          <w:p w14:paraId="01B1CD30" w14:textId="63BF7F84" w:rsidR="006C7468" w:rsidRPr="006C7468" w:rsidRDefault="006C7468" w:rsidP="006C7468">
            <w:r w:rsidRPr="006C7468">
              <w:rPr>
                <w:szCs w:val="20"/>
              </w:rPr>
              <w:t>Може да има влияние върху нивата на такролимус в кръвта (повишаване или понижаване), когато се прилага за лечение на остро отхвърляне.</w:t>
            </w:r>
          </w:p>
        </w:tc>
        <w:tc>
          <w:tcPr>
            <w:tcW w:w="3192" w:type="dxa"/>
          </w:tcPr>
          <w:p w14:paraId="1D19699B" w14:textId="448BE8D5" w:rsidR="006C7468" w:rsidRPr="006C7468" w:rsidRDefault="006C7468" w:rsidP="006C7468">
            <w:r w:rsidRPr="006C7468">
              <w:rPr>
                <w:szCs w:val="20"/>
              </w:rPr>
              <w:t>Мониториране на най- ниските концентрации на такролимус в цяла кръв и адаптиране на дозата такролимус, ако е необходимо.</w:t>
            </w:r>
          </w:p>
        </w:tc>
      </w:tr>
      <w:tr w:rsidR="006C7468" w14:paraId="40B0B24B" w14:textId="77777777" w:rsidTr="006C7468">
        <w:tc>
          <w:tcPr>
            <w:tcW w:w="3192" w:type="dxa"/>
          </w:tcPr>
          <w:p w14:paraId="3F93A98C" w14:textId="46701336" w:rsidR="006C7468" w:rsidRPr="006C7468" w:rsidRDefault="006C7468" w:rsidP="006C7468">
            <w:r w:rsidRPr="006C7468">
              <w:rPr>
                <w:szCs w:val="20"/>
              </w:rPr>
              <w:t xml:space="preserve">Директно действаща антивирусна </w:t>
            </w:r>
            <w:r w:rsidRPr="006C7468">
              <w:rPr>
                <w:szCs w:val="20"/>
                <w:lang w:val="ru-RU"/>
              </w:rPr>
              <w:t>(</w:t>
            </w:r>
            <w:r w:rsidRPr="006C7468">
              <w:rPr>
                <w:szCs w:val="20"/>
                <w:lang w:val="en-US"/>
              </w:rPr>
              <w:t>DAA</w:t>
            </w:r>
            <w:r w:rsidRPr="006C7468">
              <w:rPr>
                <w:szCs w:val="20"/>
                <w:lang w:val="ru-RU"/>
              </w:rPr>
              <w:t xml:space="preserve">) </w:t>
            </w:r>
            <w:r w:rsidRPr="006C7468">
              <w:rPr>
                <w:szCs w:val="20"/>
              </w:rPr>
              <w:t>терапия</w:t>
            </w:r>
          </w:p>
        </w:tc>
        <w:tc>
          <w:tcPr>
            <w:tcW w:w="3192" w:type="dxa"/>
            <w:vAlign w:val="bottom"/>
          </w:tcPr>
          <w:p w14:paraId="4C63EEF0" w14:textId="77777777" w:rsidR="006C7468" w:rsidRDefault="006C7468" w:rsidP="006C7468">
            <w:pPr>
              <w:rPr>
                <w:szCs w:val="20"/>
              </w:rPr>
            </w:pPr>
            <w:r w:rsidRPr="006C7468">
              <w:rPr>
                <w:szCs w:val="20"/>
              </w:rPr>
              <w:t xml:space="preserve">Може да има влияние върху фармакокинетиката на такролимус чрез промени в чернодробната функция по време на </w:t>
            </w:r>
            <w:r w:rsidRPr="006C7468">
              <w:rPr>
                <w:szCs w:val="20"/>
                <w:lang w:val="en-US"/>
              </w:rPr>
              <w:t>DAA</w:t>
            </w:r>
            <w:r w:rsidRPr="006C7468">
              <w:rPr>
                <w:szCs w:val="20"/>
                <w:lang w:val="ru-RU"/>
              </w:rPr>
              <w:t xml:space="preserve"> </w:t>
            </w:r>
            <w:r w:rsidRPr="006C7468">
              <w:rPr>
                <w:szCs w:val="20"/>
              </w:rPr>
              <w:t>терапия, свързана с клирънс на хепатитен вирус. Може да се получи понижаване на нивата на такролимус в кръвта.</w:t>
            </w:r>
          </w:p>
          <w:p w14:paraId="1EDC391A" w14:textId="455661E2" w:rsidR="006C7468" w:rsidRPr="006C7468" w:rsidRDefault="006C7468" w:rsidP="006C7468">
            <w:r>
              <w:t xml:space="preserve">Потенциалът за инхибиране на </w:t>
            </w:r>
            <w:r>
              <w:rPr>
                <w:lang w:val="en-US"/>
              </w:rPr>
              <w:t>CYP</w:t>
            </w:r>
            <w:r w:rsidRPr="006C7468">
              <w:rPr>
                <w:lang w:val="ru-RU"/>
              </w:rPr>
              <w:t>3</w:t>
            </w:r>
            <w:r>
              <w:rPr>
                <w:lang w:val="en-US"/>
              </w:rPr>
              <w:t>A</w:t>
            </w:r>
            <w:r w:rsidRPr="006C7468">
              <w:rPr>
                <w:lang w:val="ru-RU"/>
              </w:rPr>
              <w:t xml:space="preserve">4 </w:t>
            </w:r>
            <w:r>
              <w:t xml:space="preserve">на някои </w:t>
            </w:r>
            <w:r>
              <w:rPr>
                <w:lang w:val="en-US"/>
              </w:rPr>
              <w:t>DAA</w:t>
            </w:r>
            <w:r w:rsidRPr="006C7468">
              <w:rPr>
                <w:lang w:val="ru-RU"/>
              </w:rPr>
              <w:t xml:space="preserve"> </w:t>
            </w:r>
            <w:r>
              <w:t>обаче може да намали този ефект или да доведе до повишени нива на такролимус в кръвта.</w:t>
            </w:r>
          </w:p>
        </w:tc>
        <w:tc>
          <w:tcPr>
            <w:tcW w:w="3192" w:type="dxa"/>
            <w:vAlign w:val="bottom"/>
          </w:tcPr>
          <w:p w14:paraId="01875ABD" w14:textId="485A5D18" w:rsidR="006C7468" w:rsidRPr="006C7468" w:rsidRDefault="006C7468" w:rsidP="006C7468">
            <w:r w:rsidRPr="006C7468">
              <w:rPr>
                <w:szCs w:val="20"/>
              </w:rPr>
              <w:t>Мониториране на най- ниските концентрации на такролимус в цяла кръв и адаптиране на дозата такролимус, ако е необходимо, за да се осигури продължителна ефикасност и безопасност,</w:t>
            </w:r>
          </w:p>
        </w:tc>
      </w:tr>
    </w:tbl>
    <w:p w14:paraId="3FFFFDE6" w14:textId="77777777" w:rsidR="006C7468" w:rsidRDefault="006C7468" w:rsidP="006C7468"/>
    <w:p w14:paraId="6FB340CF" w14:textId="77777777" w:rsidR="006C7468" w:rsidRPr="006C7468" w:rsidRDefault="006C7468" w:rsidP="006C7468">
      <w:pPr>
        <w:spacing w:line="240" w:lineRule="auto"/>
        <w:rPr>
          <w:rFonts w:eastAsia="Times New Roman" w:cs="Arial"/>
          <w:color w:val="000000"/>
          <w:szCs w:val="20"/>
          <w:lang w:eastAsia="bg-BG"/>
        </w:rPr>
      </w:pPr>
      <w:r w:rsidRPr="006C7468">
        <w:rPr>
          <w:rFonts w:eastAsia="Times New Roman" w:cs="Arial"/>
          <w:color w:val="000000"/>
          <w:szCs w:val="20"/>
          <w:lang w:eastAsia="bg-BG"/>
        </w:rPr>
        <w:t xml:space="preserve">Тъй като лечението с такролимус може да е свързано с хиперкалиемия или може да засили вече съществуваща хиперкалиемия, трябва да се избягва повишен прием на калий, или калий съхраняващи диуретици (напр. амилорид, триамтерен или спиронолактон) (вж. точка 4.4). Необходимо е повишено внимание, когато такролимус се прилага едновременно с други вещества, които повишават серумния калий като например триметоприм и котримоксазол (триметоприм/ сулфаметоксазол), тъй като е известно че триметоприм действа като калий съхраняващ диуретик подобно на амилорид. Препоръчва се внимателно </w:t>
      </w:r>
    </w:p>
    <w:p w14:paraId="71BC8C1C" w14:textId="0AC98300"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проследяване на нивата на серумния калий.</w:t>
      </w:r>
    </w:p>
    <w:p w14:paraId="4920BCD8" w14:textId="77777777" w:rsidR="006C7468" w:rsidRPr="006C7468" w:rsidRDefault="006C7468" w:rsidP="006C7468">
      <w:pPr>
        <w:spacing w:line="240" w:lineRule="auto"/>
        <w:rPr>
          <w:rFonts w:eastAsia="Times New Roman" w:cs="Arial"/>
          <w:color w:val="000000"/>
          <w:szCs w:val="20"/>
          <w:u w:val="single"/>
          <w:lang w:eastAsia="bg-BG"/>
        </w:rPr>
      </w:pPr>
    </w:p>
    <w:p w14:paraId="6957F50C" w14:textId="4ACA2CAD"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u w:val="single"/>
          <w:lang w:eastAsia="bg-BG"/>
        </w:rPr>
        <w:t>Ефект на такролимус върху метаболизма на други лекарствени продукти</w:t>
      </w:r>
    </w:p>
    <w:p w14:paraId="6E60B655" w14:textId="3276989D"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 xml:space="preserve">Такролимус е известен инхибитор на СУРЗА4; затова съпътстващата му употреба с лекарствени продукти, за които е известно, че се метаболизират чрез СУРЗА4, може да влияе върху техния метаболизъм. Времето на полуживот на циклоспорин е удължено, когато се приема заедно с такролимус. Освен това може да се появят синергистични/адитивни нефротоксични ефекти. Поради това не се препоръчва комбинирано приложение на циклоспорин и такролимус и трябва да се внимава, когато </w:t>
      </w:r>
      <w:r w:rsidRPr="006C7468">
        <w:rPr>
          <w:rFonts w:eastAsia="Times New Roman" w:cs="Arial"/>
          <w:color w:val="000000"/>
          <w:szCs w:val="20"/>
          <w:lang w:eastAsia="bg-BG"/>
        </w:rPr>
        <w:lastRenderedPageBreak/>
        <w:t>такролимус се прилага при пациенти, които преди това са получавали циклоспорин (вж. раздел 4.2 и 4.4).</w:t>
      </w:r>
    </w:p>
    <w:p w14:paraId="0F3FC714" w14:textId="77777777"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Такролимус увеличава кръвната концентрация на фенитоин.</w:t>
      </w:r>
    </w:p>
    <w:p w14:paraId="1CC508D5" w14:textId="77777777"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Тъй като такролимус може да понижи клирънса на контрацептиви на базата на стероиди, а това води до увеличена хормонална експозиция, трябва особено да се внимава, когато се взима решение за контрацептивни мерки.</w:t>
      </w:r>
    </w:p>
    <w:p w14:paraId="4DF0A08E" w14:textId="77777777"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Съществуват ограничени знания за взаимодействието между такролимус и статини. Наличните данни говорят, че фармакокинетиката на статините не се променя при едновременно приложение на такролимус.</w:t>
      </w:r>
    </w:p>
    <w:p w14:paraId="234C44E0" w14:textId="77777777"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Данни от опити с животни показват, че такролимус може потенциално да намали клирънса и да увеличи времето на полуживот на фенобарбитал и феназон.</w:t>
      </w:r>
    </w:p>
    <w:p w14:paraId="08251598" w14:textId="77777777" w:rsidR="006C7468" w:rsidRPr="006C7468" w:rsidRDefault="006C7468" w:rsidP="006C7468">
      <w:pPr>
        <w:spacing w:line="240" w:lineRule="auto"/>
        <w:rPr>
          <w:rFonts w:eastAsia="Times New Roman" w:cs="Arial"/>
          <w:color w:val="000000"/>
          <w:szCs w:val="20"/>
          <w:lang w:eastAsia="bg-BG"/>
        </w:rPr>
      </w:pPr>
    </w:p>
    <w:p w14:paraId="3FFAFE52" w14:textId="07F975B3"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Микофенолова киселина. Трябва да се подхожда с повишено внимание при комбинирана терапия, когато се преминава от циклоспорин, който влияе на ентерохепаталната рециркулация на микофенолова киселина, към такролимус, който няма този ефект, тъй като това може да доведе до промени в експозицията на микофенолова киселина. Лекарствата, които повлияват ентерохепаталния кръговрат на микофенолова киселина, имат потенциал да намалят плазмените нива и ефикасността на микофенолова киселина. Терапевтичното лекарствено мониториране на микофенолова киселина може да бъде подходящо при преминаване от циклоспорин към такролимус или обратното.</w:t>
      </w:r>
    </w:p>
    <w:p w14:paraId="2B66719B" w14:textId="77777777" w:rsidR="006C7468" w:rsidRPr="006C7468" w:rsidRDefault="006C7468" w:rsidP="006C7468">
      <w:pPr>
        <w:rPr>
          <w:rFonts w:eastAsia="Times New Roman" w:cs="Arial"/>
          <w:color w:val="000000"/>
          <w:szCs w:val="20"/>
          <w:lang w:eastAsia="bg-BG"/>
        </w:rPr>
      </w:pPr>
    </w:p>
    <w:p w14:paraId="1A464DC8" w14:textId="14210F3E" w:rsidR="006C7468" w:rsidRPr="006C7468" w:rsidRDefault="006C7468" w:rsidP="006C7468">
      <w:pPr>
        <w:rPr>
          <w:rFonts w:eastAsia="Times New Roman" w:cs="Arial"/>
          <w:color w:val="000000"/>
          <w:szCs w:val="20"/>
          <w:lang w:eastAsia="bg-BG"/>
        </w:rPr>
      </w:pPr>
      <w:r w:rsidRPr="006C7468">
        <w:rPr>
          <w:rFonts w:eastAsia="Times New Roman" w:cs="Arial"/>
          <w:color w:val="000000"/>
          <w:szCs w:val="20"/>
          <w:lang w:eastAsia="bg-BG"/>
        </w:rPr>
        <w:t>Имуносупресивните средства може да повлияят отговора на ваксиниране и ваксинирането по време на лечение с такролимус може да бъде по-малко ефективно. Употребата на живи, атенюирани ваксини трябва да се избягва (вж. точка 4.4).</w:t>
      </w:r>
    </w:p>
    <w:p w14:paraId="53527F62" w14:textId="77777777" w:rsidR="006C7468" w:rsidRPr="006C7468" w:rsidRDefault="006C7468" w:rsidP="006C7468"/>
    <w:p w14:paraId="006BE4EC" w14:textId="7B4D9787" w:rsidR="00DB32D3" w:rsidRDefault="002C50EE" w:rsidP="005726E3">
      <w:pPr>
        <w:pStyle w:val="Heading2"/>
      </w:pPr>
      <w:r>
        <w:t>4.6. Фертилитет, бременност и кърмене</w:t>
      </w:r>
    </w:p>
    <w:p w14:paraId="6ABB168B" w14:textId="265CC01E" w:rsidR="006C7468" w:rsidRDefault="006C7468" w:rsidP="006C7468"/>
    <w:p w14:paraId="0CA5F423" w14:textId="77777777" w:rsidR="006C7468" w:rsidRPr="006C7468" w:rsidRDefault="006C7468" w:rsidP="006C7468">
      <w:pPr>
        <w:pStyle w:val="Heading3"/>
        <w:rPr>
          <w:rFonts w:eastAsia="Times New Roman"/>
          <w:sz w:val="28"/>
          <w:u w:val="single"/>
        </w:rPr>
      </w:pPr>
      <w:r w:rsidRPr="006C7468">
        <w:rPr>
          <w:rFonts w:eastAsia="Times New Roman"/>
          <w:u w:val="single"/>
          <w:lang w:eastAsia="bg-BG"/>
        </w:rPr>
        <w:t>Бременност</w:t>
      </w:r>
    </w:p>
    <w:p w14:paraId="3C87D3C2" w14:textId="77777777" w:rsidR="006C7468" w:rsidRPr="006C7468" w:rsidRDefault="006C7468" w:rsidP="006C7468">
      <w:pPr>
        <w:spacing w:line="240" w:lineRule="auto"/>
        <w:rPr>
          <w:rFonts w:eastAsia="Times New Roman" w:cs="Arial"/>
          <w:color w:val="000000"/>
          <w:szCs w:val="20"/>
          <w:lang w:eastAsia="bg-BG"/>
        </w:rPr>
      </w:pPr>
    </w:p>
    <w:p w14:paraId="55939B23" w14:textId="1C9FE102"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 xml:space="preserve">Данните, получени при хора, показват, че такролимус е способен да преминава през плацентата. Ограничени данни от реципиенти на органни трансплантати не показват по- висок риск от нежелани реакции върху протичането и изхода на бременността при лечение с такролимус в сравнение с другите имуносупресивни продукти. Все пак са съобщени случаи на спонтанен аборт. Досега няма налични други релевантни епидемиологични данни. Поради необходимостта от лечение такролимус може да се има предвид при бременни жени, когато няма по-безопасна алтернатива и когато очакваната полза оправдава потенциалния риск за плода. В случай на излагане към такролимус </w:t>
      </w:r>
      <w:r w:rsidRPr="006C7468">
        <w:rPr>
          <w:rFonts w:eastAsia="Times New Roman" w:cs="Arial"/>
          <w:i/>
          <w:iCs/>
          <w:color w:val="000000"/>
          <w:szCs w:val="20"/>
          <w:lang w:val="en-US"/>
        </w:rPr>
        <w:t>in</w:t>
      </w:r>
      <w:r w:rsidRPr="006C7468">
        <w:rPr>
          <w:rFonts w:eastAsia="Times New Roman" w:cs="Arial"/>
          <w:i/>
          <w:iCs/>
          <w:color w:val="000000"/>
          <w:szCs w:val="20"/>
          <w:lang w:val="ru-RU"/>
        </w:rPr>
        <w:t xml:space="preserve"> </w:t>
      </w:r>
      <w:r w:rsidRPr="006C7468">
        <w:rPr>
          <w:rFonts w:eastAsia="Times New Roman" w:cs="Arial"/>
          <w:i/>
          <w:iCs/>
          <w:color w:val="000000"/>
          <w:szCs w:val="20"/>
          <w:lang w:val="en-US"/>
        </w:rPr>
        <w:t>utero</w:t>
      </w:r>
      <w:r w:rsidRPr="006C7468">
        <w:rPr>
          <w:rFonts w:eastAsia="Times New Roman" w:cs="Arial"/>
          <w:color w:val="000000"/>
          <w:szCs w:val="20"/>
          <w:lang w:val="ru-RU"/>
        </w:rPr>
        <w:t xml:space="preserve"> </w:t>
      </w:r>
      <w:r w:rsidRPr="006C7468">
        <w:rPr>
          <w:rFonts w:eastAsia="Times New Roman" w:cs="Arial"/>
          <w:color w:val="000000"/>
          <w:szCs w:val="20"/>
          <w:lang w:eastAsia="bg-BG"/>
        </w:rPr>
        <w:t>се препоръчва мониториране на новороденото за потенциални нежелани реакции(особено ефекти върху бъбреците) Съществува риск за преждевременно раждане (&lt;37 седмици), както и за хиперкалиемия при новороденото, която се нормализира спонтанно.</w:t>
      </w:r>
    </w:p>
    <w:p w14:paraId="69ADFFCA" w14:textId="77777777" w:rsidR="006C7468" w:rsidRPr="006C7468" w:rsidRDefault="006C7468" w:rsidP="006C7468">
      <w:pPr>
        <w:spacing w:line="240" w:lineRule="auto"/>
        <w:rPr>
          <w:rFonts w:eastAsia="Times New Roman" w:cs="Arial"/>
          <w:color w:val="000000"/>
          <w:szCs w:val="20"/>
          <w:lang w:eastAsia="bg-BG"/>
        </w:rPr>
      </w:pPr>
    </w:p>
    <w:p w14:paraId="1AB35EF1" w14:textId="41D37EA3"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t>При плъхове и зайци такролимус предизвиква ембриофетална токсичност при дози, които са демонстрирали токсичност за майката (вж. раздел 5.3).</w:t>
      </w:r>
    </w:p>
    <w:p w14:paraId="13E2EC39" w14:textId="77777777" w:rsidR="006C7468" w:rsidRPr="006C7468" w:rsidRDefault="006C7468" w:rsidP="006C7468">
      <w:pPr>
        <w:spacing w:line="240" w:lineRule="auto"/>
        <w:rPr>
          <w:rFonts w:eastAsia="Times New Roman" w:cs="Arial"/>
          <w:color w:val="000000"/>
          <w:szCs w:val="20"/>
          <w:u w:val="single"/>
          <w:lang w:eastAsia="bg-BG"/>
        </w:rPr>
      </w:pPr>
    </w:p>
    <w:p w14:paraId="6E4DF321" w14:textId="533ADAA6" w:rsidR="006C7468" w:rsidRPr="006C7468" w:rsidRDefault="006C7468" w:rsidP="006C7468">
      <w:pPr>
        <w:pStyle w:val="Heading3"/>
        <w:rPr>
          <w:rFonts w:eastAsia="Times New Roman"/>
          <w:sz w:val="28"/>
          <w:u w:val="single"/>
        </w:rPr>
      </w:pPr>
      <w:r w:rsidRPr="006C7468">
        <w:rPr>
          <w:rFonts w:eastAsia="Times New Roman"/>
          <w:u w:val="single"/>
          <w:lang w:eastAsia="bg-BG"/>
        </w:rPr>
        <w:t>Кърмене</w:t>
      </w:r>
    </w:p>
    <w:p w14:paraId="5238B0D1" w14:textId="77777777" w:rsidR="006C7468" w:rsidRPr="006C7468" w:rsidRDefault="006C7468" w:rsidP="006C7468">
      <w:pPr>
        <w:spacing w:line="240" w:lineRule="auto"/>
        <w:rPr>
          <w:rFonts w:eastAsia="Times New Roman" w:cs="Arial"/>
          <w:color w:val="000000"/>
          <w:szCs w:val="20"/>
          <w:lang w:eastAsia="bg-BG"/>
        </w:rPr>
      </w:pPr>
    </w:p>
    <w:p w14:paraId="3F751FF1" w14:textId="038CF8FD" w:rsidR="006C7468" w:rsidRPr="006C7468" w:rsidRDefault="006C7468" w:rsidP="006C7468">
      <w:pPr>
        <w:spacing w:line="240" w:lineRule="auto"/>
        <w:rPr>
          <w:rFonts w:eastAsia="Times New Roman" w:cs="Arial"/>
          <w:sz w:val="28"/>
          <w:szCs w:val="24"/>
        </w:rPr>
      </w:pPr>
      <w:r w:rsidRPr="006C7468">
        <w:rPr>
          <w:rFonts w:eastAsia="Times New Roman" w:cs="Arial"/>
          <w:color w:val="000000"/>
          <w:szCs w:val="20"/>
          <w:lang w:eastAsia="bg-BG"/>
        </w:rPr>
        <w:lastRenderedPageBreak/>
        <w:t>Данните при хора показват, че такролимус преминава в кърмата. Тъй като вредното му действие върху новороденото не може да бъде изключено, жените не трябва да кърмят докато приемат Програф.</w:t>
      </w:r>
    </w:p>
    <w:p w14:paraId="3F5AD346" w14:textId="77777777" w:rsidR="006C7468" w:rsidRPr="006C7468" w:rsidRDefault="006C7468" w:rsidP="006C7468">
      <w:pPr>
        <w:spacing w:line="240" w:lineRule="auto"/>
        <w:rPr>
          <w:rFonts w:eastAsia="Times New Roman" w:cs="Arial"/>
          <w:color w:val="000000"/>
          <w:szCs w:val="20"/>
          <w:u w:val="single"/>
          <w:lang w:eastAsia="bg-BG"/>
        </w:rPr>
      </w:pPr>
    </w:p>
    <w:p w14:paraId="0B572A35" w14:textId="63E41086" w:rsidR="006C7468" w:rsidRPr="006C7468" w:rsidRDefault="006C7468" w:rsidP="006C7468">
      <w:pPr>
        <w:pStyle w:val="Heading3"/>
        <w:rPr>
          <w:rFonts w:eastAsia="Times New Roman"/>
          <w:sz w:val="28"/>
          <w:u w:val="single"/>
        </w:rPr>
      </w:pPr>
      <w:r w:rsidRPr="006C7468">
        <w:rPr>
          <w:rFonts w:eastAsia="Times New Roman"/>
          <w:u w:val="single"/>
          <w:lang w:eastAsia="bg-BG"/>
        </w:rPr>
        <w:t>Фертилитет</w:t>
      </w:r>
    </w:p>
    <w:p w14:paraId="4F430EC5" w14:textId="29FAFBF0" w:rsidR="006C7468" w:rsidRPr="006C7468" w:rsidRDefault="006C7468" w:rsidP="006C7468">
      <w:pPr>
        <w:rPr>
          <w:rFonts w:cs="Arial"/>
          <w:sz w:val="24"/>
        </w:rPr>
      </w:pPr>
      <w:r w:rsidRPr="006C7468">
        <w:rPr>
          <w:rFonts w:eastAsia="Times New Roman" w:cs="Arial"/>
          <w:color w:val="000000"/>
          <w:szCs w:val="20"/>
          <w:lang w:eastAsia="bg-BG"/>
        </w:rPr>
        <w:t>Негативен ефект на такролимус върху фертилитета при мъжките, под формата на намален брой и подвижност на сперматозоидите, е наблюдаван при плъхове (вж. точка 5.3).</w:t>
      </w:r>
    </w:p>
    <w:p w14:paraId="6462D75B" w14:textId="1622C26F" w:rsidR="006C7468" w:rsidRDefault="006C7468" w:rsidP="006C7468"/>
    <w:p w14:paraId="4E89C875" w14:textId="77777777" w:rsidR="006C7468" w:rsidRPr="006C7468" w:rsidRDefault="006C7468" w:rsidP="006C7468"/>
    <w:p w14:paraId="128BA3A8" w14:textId="42546738" w:rsidR="00DB32D3" w:rsidRDefault="002C50EE" w:rsidP="005726E3">
      <w:pPr>
        <w:pStyle w:val="Heading2"/>
      </w:pPr>
      <w:r>
        <w:t>4.7. Ефекти върху способността за шофиране и работа с машини</w:t>
      </w:r>
    </w:p>
    <w:p w14:paraId="3B089E05" w14:textId="54A2F504" w:rsidR="006C7468" w:rsidRDefault="006C7468" w:rsidP="006C7468"/>
    <w:p w14:paraId="0A9E7412" w14:textId="1D94A0C6" w:rsidR="006C7468" w:rsidRDefault="006C7468" w:rsidP="006C7468">
      <w:r>
        <w:t>Такролимус може да предизвика зрителни и неврологични смущения. Този ефект може да се засили, ако заедно с Програф се консумира и алкохол.</w:t>
      </w:r>
    </w:p>
    <w:p w14:paraId="69E89090" w14:textId="77777777" w:rsidR="006C7468" w:rsidRPr="006C7468" w:rsidRDefault="006C7468" w:rsidP="006C7468"/>
    <w:p w14:paraId="44CE30A3" w14:textId="19FECCD7" w:rsidR="007122AD" w:rsidRDefault="002C50EE" w:rsidP="00936AD0">
      <w:pPr>
        <w:pStyle w:val="Heading2"/>
      </w:pPr>
      <w:r>
        <w:t>4.8. Нежелани лекарствени реакции</w:t>
      </w:r>
    </w:p>
    <w:p w14:paraId="5F05167E" w14:textId="613CB710" w:rsidR="006C7468" w:rsidRDefault="006C7468" w:rsidP="006C7468"/>
    <w:p w14:paraId="0E57E9CB"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Профилът на нежеланите лекарствени реакции, свързани с имуносупресивни средства, често се определя трудно, поради основното заболяване и едновременната употреба на многобройни медикации.</w:t>
      </w:r>
    </w:p>
    <w:p w14:paraId="227CEE00" w14:textId="77777777" w:rsidR="006C7468" w:rsidRPr="00732553" w:rsidRDefault="006C7468" w:rsidP="006C7468">
      <w:pPr>
        <w:spacing w:line="240" w:lineRule="auto"/>
        <w:rPr>
          <w:rFonts w:eastAsia="Times New Roman" w:cs="Arial"/>
          <w:color w:val="000000"/>
          <w:lang w:eastAsia="bg-BG"/>
        </w:rPr>
      </w:pPr>
    </w:p>
    <w:p w14:paraId="5DB0D00F" w14:textId="70FC84BB" w:rsidR="006C7468" w:rsidRPr="00732553" w:rsidRDefault="006C7468" w:rsidP="006C7468">
      <w:pPr>
        <w:spacing w:line="240" w:lineRule="auto"/>
        <w:rPr>
          <w:rFonts w:eastAsia="Times New Roman" w:cs="Arial"/>
        </w:rPr>
      </w:pPr>
      <w:r w:rsidRPr="00732553">
        <w:rPr>
          <w:rFonts w:eastAsia="Times New Roman" w:cs="Arial"/>
          <w:color w:val="000000"/>
          <w:lang w:eastAsia="bg-BG"/>
        </w:rPr>
        <w:t>Много от нежеланите лекарствени реакции, споменати по-долу, са обратими и/или се повлияват при намаляване на дозата. Пероралното приложение изглежда е свързано с по- ниска честота на нежелани лекарствени реакции в сравнение с интравенозната употреба. Нежеланите лекарствени реакции са изброени по-долу в низходящ ред в зависимост от честотата на появата: много чести (≥1/10); чести (≥1/100, &lt; 1/10); нечести (≥1/1 000, &lt;1/100); редки (≥1/10000, &lt; 1/1000); много редки (&lt; 1/10000); с неизвестна честота (от наличните данни не може да бъде направена оценка).</w:t>
      </w:r>
    </w:p>
    <w:p w14:paraId="4F7C5CAF" w14:textId="77777777" w:rsidR="006C7468" w:rsidRPr="00732553" w:rsidRDefault="006C7468" w:rsidP="006C7468">
      <w:pPr>
        <w:spacing w:line="240" w:lineRule="auto"/>
        <w:rPr>
          <w:rFonts w:eastAsia="Times New Roman" w:cs="Arial"/>
          <w:color w:val="000000"/>
          <w:u w:val="single"/>
          <w:lang w:eastAsia="bg-BG"/>
        </w:rPr>
      </w:pPr>
    </w:p>
    <w:p w14:paraId="632ABBF2" w14:textId="340218C0"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Инфекции и инфестации</w:t>
      </w:r>
    </w:p>
    <w:p w14:paraId="2E100CA0" w14:textId="77777777" w:rsidR="006C7468" w:rsidRPr="00732553" w:rsidRDefault="006C7468" w:rsidP="006C7468">
      <w:pPr>
        <w:rPr>
          <w:rFonts w:eastAsia="Times New Roman" w:cs="Arial"/>
        </w:rPr>
      </w:pPr>
      <w:r w:rsidRPr="00732553">
        <w:rPr>
          <w:rFonts w:eastAsia="Times New Roman" w:cs="Arial"/>
          <w:color w:val="000000"/>
          <w:lang w:eastAsia="bg-BG"/>
        </w:rPr>
        <w:t>Както е добре известно за други ефективни имуносупресивни средства, пациентите, получаващи такролимус, са с увеличен риск от инфекции (вирусни, бактериални гънични протозойни). Протичането на съществуващи инфекции може да се влоши. Може да се появят и генерализирани и локализирани инфекции.</w:t>
      </w:r>
    </w:p>
    <w:p w14:paraId="38C12C98"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 xml:space="preserve">Има съобщения за случаи на </w:t>
      </w:r>
      <w:r w:rsidRPr="00732553">
        <w:rPr>
          <w:rFonts w:eastAsia="Times New Roman" w:cs="Arial"/>
          <w:color w:val="000000"/>
          <w:lang w:val="en-US"/>
        </w:rPr>
        <w:t>CMV</w:t>
      </w:r>
      <w:r w:rsidRPr="00732553">
        <w:rPr>
          <w:rFonts w:eastAsia="Times New Roman" w:cs="Arial"/>
          <w:color w:val="000000"/>
          <w:lang w:val="ru-RU"/>
        </w:rPr>
        <w:t xml:space="preserve"> </w:t>
      </w:r>
      <w:r w:rsidRPr="00732553">
        <w:rPr>
          <w:rFonts w:eastAsia="Times New Roman" w:cs="Arial"/>
          <w:color w:val="000000"/>
          <w:lang w:eastAsia="bg-BG"/>
        </w:rPr>
        <w:t xml:space="preserve">инфекция, нефропатия, причинена от ВК вирус, както и за случаи на прогресивна мултифокална левкоенцефалопатия (ПМЛ), причинена от </w:t>
      </w:r>
      <w:r w:rsidRPr="00732553">
        <w:rPr>
          <w:rFonts w:eastAsia="Times New Roman" w:cs="Arial"/>
          <w:color w:val="000000"/>
          <w:lang w:val="en-US"/>
        </w:rPr>
        <w:t>JC</w:t>
      </w:r>
      <w:r w:rsidRPr="00732553">
        <w:rPr>
          <w:rFonts w:eastAsia="Times New Roman" w:cs="Arial"/>
          <w:color w:val="000000"/>
          <w:lang w:val="ru-RU"/>
        </w:rPr>
        <w:t xml:space="preserve"> </w:t>
      </w:r>
      <w:r w:rsidRPr="00732553">
        <w:rPr>
          <w:rFonts w:eastAsia="Times New Roman" w:cs="Arial"/>
          <w:color w:val="000000"/>
          <w:lang w:eastAsia="bg-BG"/>
        </w:rPr>
        <w:t xml:space="preserve">вирус при пациенти, на които са прилагани имуносупресори, включително </w:t>
      </w:r>
      <w:proofErr w:type="spellStart"/>
      <w:r w:rsidRPr="00732553">
        <w:rPr>
          <w:rFonts w:eastAsia="Times New Roman" w:cs="Arial"/>
          <w:color w:val="000000"/>
          <w:lang w:val="en-US"/>
        </w:rPr>
        <w:t>Prograf</w:t>
      </w:r>
      <w:proofErr w:type="spellEnd"/>
      <w:r w:rsidRPr="00732553">
        <w:rPr>
          <w:rFonts w:eastAsia="Times New Roman" w:cs="Arial"/>
          <w:color w:val="000000"/>
          <w:lang w:val="ru-RU"/>
        </w:rPr>
        <w:t>.</w:t>
      </w:r>
    </w:p>
    <w:p w14:paraId="41D3BECD" w14:textId="77777777" w:rsidR="006C7468" w:rsidRPr="00732553" w:rsidRDefault="006C7468" w:rsidP="006C7468">
      <w:pPr>
        <w:spacing w:line="240" w:lineRule="auto"/>
        <w:rPr>
          <w:rFonts w:eastAsia="Times New Roman" w:cs="Arial"/>
          <w:color w:val="000000"/>
          <w:u w:val="single"/>
          <w:lang w:eastAsia="bg-BG"/>
        </w:rPr>
      </w:pPr>
    </w:p>
    <w:p w14:paraId="65D88E38" w14:textId="0516414C"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Неоплазми - доброкачествени, злокачествени и неопределени (включително кисти и полипи)</w:t>
      </w:r>
    </w:p>
    <w:p w14:paraId="3FD4F3BA"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 xml:space="preserve">Пациентите, подложени на имуносупресивна терапия, са с по-висок риск за развитие на злокачествени заболявания. Съобщава се за доброкачествени, както и за злокачествени неоплазми, включително и свързаните с </w:t>
      </w:r>
      <w:r w:rsidRPr="00732553">
        <w:rPr>
          <w:rFonts w:eastAsia="Times New Roman" w:cs="Arial"/>
          <w:color w:val="000000"/>
          <w:lang w:val="en-US"/>
        </w:rPr>
        <w:t>EBV</w:t>
      </w:r>
      <w:r w:rsidRPr="00732553">
        <w:rPr>
          <w:rFonts w:eastAsia="Times New Roman" w:cs="Arial"/>
          <w:color w:val="000000"/>
          <w:lang w:val="ru-RU"/>
        </w:rPr>
        <w:t xml:space="preserve"> </w:t>
      </w:r>
      <w:r w:rsidRPr="00732553">
        <w:rPr>
          <w:rFonts w:eastAsia="Times New Roman" w:cs="Arial"/>
          <w:color w:val="000000"/>
          <w:lang w:eastAsia="bg-BG"/>
        </w:rPr>
        <w:t>лимфопролиферативни нарушения и кожни злокачествени образувания във връзка с лечение с такролимус.</w:t>
      </w:r>
    </w:p>
    <w:p w14:paraId="34C05683" w14:textId="77777777" w:rsidR="006C7468" w:rsidRPr="00732553" w:rsidRDefault="006C7468" w:rsidP="006C7468">
      <w:pPr>
        <w:spacing w:line="240" w:lineRule="auto"/>
        <w:rPr>
          <w:rFonts w:eastAsia="Times New Roman" w:cs="Arial"/>
          <w:color w:val="000000"/>
          <w:u w:val="single"/>
          <w:lang w:eastAsia="bg-BG"/>
        </w:rPr>
      </w:pPr>
    </w:p>
    <w:p w14:paraId="67970A4C" w14:textId="734B8F2B"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кръвта и лимфната система</w:t>
      </w:r>
    </w:p>
    <w:p w14:paraId="2872FCBF" w14:textId="34AD34FE" w:rsidR="006C7468" w:rsidRPr="00732553" w:rsidRDefault="006C7468" w:rsidP="006C7468">
      <w:pPr>
        <w:spacing w:line="240" w:lineRule="auto"/>
        <w:rPr>
          <w:rFonts w:eastAsia="Times New Roman" w:cs="Arial"/>
        </w:rPr>
      </w:pPr>
      <w:r w:rsidRPr="00732553">
        <w:rPr>
          <w:rFonts w:eastAsia="Times New Roman" w:cs="Arial"/>
          <w:color w:val="000000"/>
          <w:lang w:eastAsia="bg-BG"/>
        </w:rPr>
        <w:t>Чести: анемия, левкопения, тромбоцитопения, левкоцитоза, абнормни</w:t>
      </w:r>
    </w:p>
    <w:p w14:paraId="5E56FDE2"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еритроцити</w:t>
      </w:r>
    </w:p>
    <w:p w14:paraId="4A56A06A" w14:textId="55ABF36C" w:rsidR="006C7468" w:rsidRPr="00732553" w:rsidRDefault="006C7468" w:rsidP="006C7468">
      <w:pPr>
        <w:spacing w:line="240" w:lineRule="auto"/>
        <w:rPr>
          <w:rFonts w:eastAsia="Times New Roman" w:cs="Arial"/>
        </w:rPr>
      </w:pPr>
      <w:r w:rsidRPr="00732553">
        <w:rPr>
          <w:rFonts w:eastAsia="Times New Roman" w:cs="Arial"/>
          <w:color w:val="000000"/>
          <w:lang w:eastAsia="bg-BG"/>
        </w:rPr>
        <w:t>Нечести: коагулопатии, абнормни анализи на кръвосъсирване и кървене,</w:t>
      </w:r>
    </w:p>
    <w:p w14:paraId="7854F020"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lastRenderedPageBreak/>
        <w:t>панцитопения, неутропения</w:t>
      </w:r>
    </w:p>
    <w:p w14:paraId="6D8CF1DC" w14:textId="5C8C991A" w:rsidR="006C7468" w:rsidRPr="00732553" w:rsidRDefault="006C7468" w:rsidP="006C7468">
      <w:pPr>
        <w:spacing w:line="240" w:lineRule="auto"/>
        <w:rPr>
          <w:rFonts w:eastAsia="Times New Roman" w:cs="Arial"/>
        </w:rPr>
      </w:pPr>
      <w:r w:rsidRPr="00732553">
        <w:rPr>
          <w:rFonts w:eastAsia="Times New Roman" w:cs="Arial"/>
          <w:color w:val="000000"/>
          <w:lang w:eastAsia="bg-BG"/>
        </w:rPr>
        <w:t>Редки: тромботична тромбоцитопенична пурпура, хипопротромбинемия,</w:t>
      </w:r>
    </w:p>
    <w:p w14:paraId="53277709"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тромботична микроангиопатия</w:t>
      </w:r>
    </w:p>
    <w:p w14:paraId="4451CF6D" w14:textId="16ABE590" w:rsidR="006C7468" w:rsidRPr="00732553" w:rsidRDefault="006C7468" w:rsidP="006C7468">
      <w:pPr>
        <w:spacing w:line="240" w:lineRule="auto"/>
        <w:rPr>
          <w:rFonts w:eastAsia="Times New Roman" w:cs="Arial"/>
        </w:rPr>
      </w:pPr>
      <w:r w:rsidRPr="00732553">
        <w:rPr>
          <w:rFonts w:eastAsia="Times New Roman" w:cs="Arial"/>
          <w:color w:val="000000"/>
          <w:lang w:eastAsia="bg-BG"/>
        </w:rPr>
        <w:t>С неизвестна честота:  чиста аплазия на еритроцитите, агранулоцитоза, хемолитична анемия, фебрилна неутропения</w:t>
      </w:r>
    </w:p>
    <w:p w14:paraId="1FABF27A" w14:textId="77777777" w:rsidR="006C7468" w:rsidRPr="00732553" w:rsidRDefault="006C7468" w:rsidP="006C7468">
      <w:pPr>
        <w:spacing w:line="240" w:lineRule="auto"/>
        <w:rPr>
          <w:rFonts w:eastAsia="Times New Roman" w:cs="Arial"/>
          <w:color w:val="000000"/>
          <w:u w:val="single"/>
          <w:lang w:eastAsia="bg-BG"/>
        </w:rPr>
      </w:pPr>
    </w:p>
    <w:p w14:paraId="118F5900" w14:textId="5B928959"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имунната система</w:t>
      </w:r>
    </w:p>
    <w:p w14:paraId="435604A8"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Алергични и анафилактоидни реакции са наблюдавани при пациенти, получаващи такролимус (вж. точка 4.4).</w:t>
      </w:r>
    </w:p>
    <w:p w14:paraId="6DC6A45B" w14:textId="77777777" w:rsidR="006C7468" w:rsidRPr="00732553" w:rsidRDefault="006C7468" w:rsidP="006C7468">
      <w:pPr>
        <w:spacing w:line="240" w:lineRule="auto"/>
        <w:rPr>
          <w:rFonts w:eastAsia="Times New Roman" w:cs="Arial"/>
          <w:color w:val="000000"/>
          <w:u w:val="single"/>
          <w:lang w:eastAsia="bg-BG"/>
        </w:rPr>
      </w:pPr>
    </w:p>
    <w:p w14:paraId="55FD6896" w14:textId="2281EF50"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ендокринната система</w:t>
      </w:r>
    </w:p>
    <w:p w14:paraId="75A22E3C"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Редки:</w:t>
      </w:r>
      <w:r w:rsidRPr="00732553">
        <w:rPr>
          <w:rFonts w:eastAsia="Times New Roman" w:cs="Arial"/>
          <w:color w:val="000000"/>
          <w:lang w:eastAsia="bg-BG"/>
        </w:rPr>
        <w:tab/>
        <w:t>хирзутизъм</w:t>
      </w:r>
    </w:p>
    <w:p w14:paraId="183DE257" w14:textId="77777777" w:rsidR="006C7468" w:rsidRPr="00732553" w:rsidRDefault="006C7468" w:rsidP="006C7468">
      <w:pPr>
        <w:spacing w:line="240" w:lineRule="auto"/>
        <w:rPr>
          <w:rFonts w:eastAsia="Times New Roman" w:cs="Arial"/>
          <w:color w:val="000000"/>
          <w:u w:val="single"/>
          <w:lang w:eastAsia="bg-BG"/>
        </w:rPr>
      </w:pPr>
    </w:p>
    <w:p w14:paraId="69D4BBA4" w14:textId="789C1E28"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метаболизма и храненето</w:t>
      </w:r>
    </w:p>
    <w:p w14:paraId="212F688F"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Много чести: хипергликемични състояния, захарен диабет, хиперкалиемия</w:t>
      </w:r>
    </w:p>
    <w:p w14:paraId="32CAF198"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Чести:</w:t>
      </w:r>
      <w:r w:rsidRPr="00732553">
        <w:rPr>
          <w:rFonts w:eastAsia="Times New Roman" w:cs="Arial"/>
          <w:color w:val="000000"/>
          <w:lang w:eastAsia="bg-BG"/>
        </w:rPr>
        <w:tab/>
        <w:t>хипомагнезиемия, хипофосфатемия, хипокалиемия, хипокалциемия,</w:t>
      </w:r>
    </w:p>
    <w:p w14:paraId="2EA31E2D"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хипонатриемия, претоварване с течност, хиперурикемия, понижен апетит, метаболитна ацидоза, хиперлипидемия, хиперхолестеролемия, хипертриглицеридемия, други електролитни аномалии</w:t>
      </w:r>
    </w:p>
    <w:p w14:paraId="42C9628A" w14:textId="05C5F6AE" w:rsidR="006C7468" w:rsidRPr="00732553" w:rsidRDefault="006C7468" w:rsidP="006C7468">
      <w:pPr>
        <w:spacing w:line="240" w:lineRule="auto"/>
        <w:rPr>
          <w:rFonts w:eastAsia="Times New Roman" w:cs="Arial"/>
        </w:rPr>
      </w:pPr>
      <w:r w:rsidRPr="00732553">
        <w:rPr>
          <w:rFonts w:eastAsia="Times New Roman" w:cs="Arial"/>
          <w:color w:val="000000"/>
          <w:lang w:eastAsia="bg-BG"/>
        </w:rPr>
        <w:t>Нечести: дехидратиране, хипопротеинемия, хиперфосфатемия, хипогликемия</w:t>
      </w:r>
    </w:p>
    <w:p w14:paraId="42D618D5" w14:textId="77777777"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Психични нарушения</w:t>
      </w:r>
    </w:p>
    <w:p w14:paraId="2A836EE9" w14:textId="5F315C91" w:rsidR="006C7468" w:rsidRPr="00732553" w:rsidRDefault="006C7468" w:rsidP="006C7468">
      <w:pPr>
        <w:spacing w:line="240" w:lineRule="auto"/>
        <w:rPr>
          <w:rFonts w:eastAsia="Times New Roman" w:cs="Arial"/>
        </w:rPr>
      </w:pPr>
      <w:r w:rsidRPr="00732553">
        <w:rPr>
          <w:rFonts w:eastAsia="Times New Roman" w:cs="Arial"/>
          <w:color w:val="000000"/>
          <w:lang w:eastAsia="bg-BG"/>
        </w:rPr>
        <w:t>Много чести: безсъние</w:t>
      </w:r>
    </w:p>
    <w:p w14:paraId="0F4297B8" w14:textId="7AAACED6" w:rsidR="006C7468" w:rsidRPr="00732553" w:rsidRDefault="006C7468" w:rsidP="006C7468">
      <w:pPr>
        <w:spacing w:line="240" w:lineRule="auto"/>
        <w:rPr>
          <w:rFonts w:eastAsia="Times New Roman" w:cs="Arial"/>
        </w:rPr>
      </w:pPr>
      <w:r w:rsidRPr="00732553">
        <w:rPr>
          <w:rFonts w:eastAsia="Times New Roman" w:cs="Arial"/>
          <w:color w:val="000000"/>
          <w:lang w:eastAsia="bg-BG"/>
        </w:rPr>
        <w:t>Чести: симптоми на тревожност, обърканост и дезориентация, депресия,</w:t>
      </w:r>
    </w:p>
    <w:p w14:paraId="08C334BB"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депресивно настроение, нарушения в настроението, кошмари, халюцинации, психични нарушения</w:t>
      </w:r>
    </w:p>
    <w:p w14:paraId="43CA96F7" w14:textId="130C2828" w:rsidR="006C7468" w:rsidRPr="00732553" w:rsidRDefault="006C7468" w:rsidP="006C7468">
      <w:pPr>
        <w:spacing w:line="240" w:lineRule="auto"/>
        <w:rPr>
          <w:rFonts w:eastAsia="Times New Roman" w:cs="Arial"/>
        </w:rPr>
      </w:pPr>
      <w:r w:rsidRPr="00732553">
        <w:rPr>
          <w:rFonts w:eastAsia="Times New Roman" w:cs="Arial"/>
          <w:color w:val="000000"/>
          <w:lang w:eastAsia="bg-BG"/>
        </w:rPr>
        <w:t>Нечести: психотични нарушения</w:t>
      </w:r>
    </w:p>
    <w:p w14:paraId="7E0F281E" w14:textId="77777777" w:rsidR="006C7468" w:rsidRPr="00732553" w:rsidRDefault="006C7468" w:rsidP="006C7468">
      <w:pPr>
        <w:spacing w:line="240" w:lineRule="auto"/>
        <w:rPr>
          <w:rFonts w:eastAsia="Times New Roman" w:cs="Arial"/>
          <w:color w:val="000000"/>
          <w:u w:val="single"/>
          <w:lang w:eastAsia="bg-BG"/>
        </w:rPr>
      </w:pPr>
    </w:p>
    <w:p w14:paraId="4E0E61F0" w14:textId="546D3ECD" w:rsidR="006C7468" w:rsidRPr="00732553" w:rsidRDefault="006C7468" w:rsidP="006C7468">
      <w:pPr>
        <w:spacing w:line="240" w:lineRule="auto"/>
        <w:rPr>
          <w:rFonts w:eastAsia="Times New Roman" w:cs="Arial"/>
        </w:rPr>
      </w:pPr>
      <w:r w:rsidRPr="00732553">
        <w:rPr>
          <w:rFonts w:eastAsia="Times New Roman" w:cs="Arial"/>
          <w:color w:val="000000"/>
          <w:u w:val="single"/>
          <w:lang w:eastAsia="bg-BG"/>
        </w:rPr>
        <w:t>Нарушения на нервната система</w:t>
      </w:r>
    </w:p>
    <w:p w14:paraId="18D016B9" w14:textId="77777777" w:rsidR="006C7468" w:rsidRPr="00732553" w:rsidRDefault="006C7468" w:rsidP="006C7468">
      <w:pPr>
        <w:spacing w:line="240" w:lineRule="auto"/>
        <w:rPr>
          <w:rFonts w:eastAsia="Times New Roman" w:cs="Arial"/>
        </w:rPr>
      </w:pPr>
      <w:r w:rsidRPr="00732553">
        <w:rPr>
          <w:rFonts w:eastAsia="Times New Roman" w:cs="Arial"/>
          <w:color w:val="000000"/>
          <w:lang w:eastAsia="bg-BG"/>
        </w:rPr>
        <w:t>Много чести: Тремор, главоболие</w:t>
      </w:r>
    </w:p>
    <w:p w14:paraId="7147D21A" w14:textId="4ED08971" w:rsidR="006C7468" w:rsidRPr="00732553" w:rsidRDefault="006C7468" w:rsidP="006C7468">
      <w:pPr>
        <w:spacing w:line="240" w:lineRule="auto"/>
        <w:rPr>
          <w:rFonts w:eastAsia="Times New Roman" w:cs="Arial"/>
          <w:color w:val="000000"/>
          <w:lang w:eastAsia="bg-BG"/>
        </w:rPr>
      </w:pPr>
      <w:r w:rsidRPr="00732553">
        <w:rPr>
          <w:rFonts w:eastAsia="Times New Roman" w:cs="Arial"/>
          <w:color w:val="000000"/>
          <w:lang w:eastAsia="bg-BG"/>
        </w:rPr>
        <w:t>Чести: припадъци, нарушения на съзнанието, парестезии и дизестезии,</w:t>
      </w:r>
      <w:r w:rsidRPr="00732553">
        <w:rPr>
          <w:rFonts w:eastAsia="Times New Roman" w:cs="Arial"/>
        </w:rPr>
        <w:t xml:space="preserve"> </w:t>
      </w:r>
      <w:r w:rsidRPr="00732553">
        <w:rPr>
          <w:rFonts w:eastAsia="Times New Roman" w:cs="Arial"/>
          <w:color w:val="000000"/>
          <w:lang w:eastAsia="bg-BG"/>
        </w:rPr>
        <w:t>периферни невропатии, замаяност, влошено писане, нарушения на</w:t>
      </w:r>
      <w:r w:rsidRPr="00732553">
        <w:rPr>
          <w:rFonts w:eastAsia="Times New Roman" w:cs="Arial"/>
        </w:rPr>
        <w:t xml:space="preserve"> </w:t>
      </w:r>
      <w:r w:rsidRPr="00732553">
        <w:rPr>
          <w:rFonts w:eastAsia="Times New Roman" w:cs="Arial"/>
          <w:color w:val="000000"/>
          <w:lang w:eastAsia="bg-BG"/>
        </w:rPr>
        <w:t>нервната система</w:t>
      </w:r>
    </w:p>
    <w:p w14:paraId="7F8FDEF4" w14:textId="2DA2C7D3"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кома, хеморагии в ЦНС и мозъчно-съдови инциденти, парализа и</w:t>
      </w:r>
      <w:r w:rsidRPr="00732553">
        <w:rPr>
          <w:rFonts w:eastAsia="Times New Roman" w:cs="Arial"/>
        </w:rPr>
        <w:t xml:space="preserve"> </w:t>
      </w:r>
      <w:r w:rsidRPr="00732553">
        <w:rPr>
          <w:rFonts w:eastAsia="Times New Roman" w:cs="Arial"/>
          <w:color w:val="000000"/>
          <w:lang w:eastAsia="bg-BG"/>
        </w:rPr>
        <w:t>пареза, енцефалопатия, нарушения в речта и езика, амнезия</w:t>
      </w:r>
    </w:p>
    <w:p w14:paraId="4D69392A" w14:textId="69824655"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хипертония</w:t>
      </w:r>
    </w:p>
    <w:p w14:paraId="58C2EA48" w14:textId="35A5CFF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миастения</w:t>
      </w:r>
    </w:p>
    <w:p w14:paraId="48A2A6D2" w14:textId="488C1A7C"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С неизвестна </w:t>
      </w:r>
      <w:r w:rsidRPr="00732553">
        <w:rPr>
          <w:rFonts w:eastAsia="Times New Roman" w:cs="Arial"/>
          <w:color w:val="000000"/>
          <w:lang w:eastAsia="bg-BG"/>
        </w:rPr>
        <w:t>честота:</w:t>
      </w:r>
      <w:r w:rsidRPr="00732553">
        <w:rPr>
          <w:rFonts w:eastAsia="Times New Roman" w:cs="Arial"/>
          <w:color w:val="000000"/>
          <w:lang w:eastAsia="bg-BG"/>
        </w:rPr>
        <w:t xml:space="preserve">синдром на постериорна обратима енцефалопатия </w:t>
      </w:r>
      <w:r w:rsidRPr="00732553">
        <w:rPr>
          <w:rFonts w:eastAsia="Times New Roman" w:cs="Arial"/>
          <w:color w:val="000000"/>
          <w:lang w:val="ru-RU"/>
        </w:rPr>
        <w:t>(</w:t>
      </w:r>
      <w:r w:rsidRPr="00732553">
        <w:rPr>
          <w:rFonts w:eastAsia="Times New Roman" w:cs="Arial"/>
          <w:color w:val="000000"/>
          <w:lang w:val="en-US"/>
        </w:rPr>
        <w:t>PRES</w:t>
      </w:r>
      <w:r w:rsidRPr="00732553">
        <w:rPr>
          <w:rFonts w:eastAsia="Times New Roman" w:cs="Arial"/>
          <w:color w:val="000000"/>
          <w:lang w:val="ru-RU"/>
        </w:rPr>
        <w:t>)</w:t>
      </w:r>
    </w:p>
    <w:p w14:paraId="6DE63631" w14:textId="77777777" w:rsidR="00732553" w:rsidRPr="00732553" w:rsidRDefault="00732553" w:rsidP="00732553">
      <w:pPr>
        <w:spacing w:line="240" w:lineRule="auto"/>
        <w:rPr>
          <w:rFonts w:eastAsia="Times New Roman" w:cs="Arial"/>
          <w:color w:val="000000"/>
          <w:lang w:eastAsia="bg-BG"/>
        </w:rPr>
      </w:pPr>
    </w:p>
    <w:p w14:paraId="035DB1E4" w14:textId="41E0F365"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очите</w:t>
      </w:r>
    </w:p>
    <w:p w14:paraId="3C7E23D0" w14:textId="0F333740"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нарушения на очите, замъглено зрение, фотофобия</w:t>
      </w:r>
    </w:p>
    <w:p w14:paraId="4E30ADF1" w14:textId="32261B51"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катаракта</w:t>
      </w:r>
    </w:p>
    <w:p w14:paraId="3C8DC60D" w14:textId="0F7BAD7A"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слепота</w:t>
      </w:r>
    </w:p>
    <w:p w14:paraId="7CFD5A1D" w14:textId="037C49FF"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С неизвестна </w:t>
      </w:r>
      <w:r w:rsidRPr="00732553">
        <w:rPr>
          <w:rFonts w:eastAsia="Times New Roman" w:cs="Arial"/>
          <w:color w:val="000000"/>
          <w:lang w:eastAsia="bg-BG"/>
        </w:rPr>
        <w:t>честота:</w:t>
      </w:r>
      <w:r w:rsidRPr="00732553">
        <w:rPr>
          <w:rFonts w:eastAsia="Times New Roman" w:cs="Arial"/>
          <w:color w:val="000000"/>
          <w:lang w:eastAsia="bg-BG"/>
        </w:rPr>
        <w:t xml:space="preserve"> оптична невропатия</w:t>
      </w:r>
    </w:p>
    <w:p w14:paraId="522F6DB0" w14:textId="77777777" w:rsidR="00732553" w:rsidRPr="00732553" w:rsidRDefault="00732553" w:rsidP="00732553">
      <w:pPr>
        <w:spacing w:line="240" w:lineRule="auto"/>
        <w:rPr>
          <w:rFonts w:eastAsia="Times New Roman" w:cs="Arial"/>
        </w:rPr>
      </w:pPr>
    </w:p>
    <w:p w14:paraId="7B093191" w14:textId="33B9E119"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ухото и лабиринта</w:t>
      </w:r>
    </w:p>
    <w:p w14:paraId="2ABF936B" w14:textId="13FC0E1F"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шум в ушите</w:t>
      </w:r>
    </w:p>
    <w:p w14:paraId="12874092" w14:textId="661EDECB"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намален слух</w:t>
      </w:r>
    </w:p>
    <w:p w14:paraId="69C4EC91" w14:textId="089C0EC9"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невросензорна глухота</w:t>
      </w:r>
    </w:p>
    <w:p w14:paraId="42B4541D"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влошено чуване</w:t>
      </w:r>
    </w:p>
    <w:p w14:paraId="57A76932" w14:textId="77777777" w:rsidR="00732553" w:rsidRPr="00732553" w:rsidRDefault="00732553" w:rsidP="00732553">
      <w:pPr>
        <w:spacing w:line="240" w:lineRule="auto"/>
        <w:rPr>
          <w:rFonts w:eastAsia="Times New Roman" w:cs="Arial"/>
          <w:color w:val="000000"/>
          <w:u w:val="single"/>
          <w:lang w:eastAsia="bg-BG"/>
        </w:rPr>
      </w:pPr>
    </w:p>
    <w:p w14:paraId="1B0BA36B" w14:textId="1E77092B"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Сърдечни нарушения</w:t>
      </w:r>
    </w:p>
    <w:p w14:paraId="28891345"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w:t>
      </w:r>
      <w:r w:rsidRPr="00732553">
        <w:rPr>
          <w:rFonts w:eastAsia="Times New Roman" w:cs="Arial"/>
          <w:color w:val="000000"/>
          <w:lang w:eastAsia="bg-BG"/>
        </w:rPr>
        <w:tab/>
        <w:t>исхемични смущения на коронарните артерии, тахикардия</w:t>
      </w:r>
    </w:p>
    <w:p w14:paraId="2DB4F7EA" w14:textId="21A8712B" w:rsidR="00732553" w:rsidRPr="00732553" w:rsidRDefault="00732553" w:rsidP="00732553">
      <w:pPr>
        <w:spacing w:line="240" w:lineRule="auto"/>
        <w:rPr>
          <w:rFonts w:eastAsia="Times New Roman" w:cs="Arial"/>
        </w:rPr>
      </w:pPr>
      <w:r w:rsidRPr="00732553">
        <w:rPr>
          <w:rFonts w:eastAsia="Times New Roman" w:cs="Arial"/>
          <w:color w:val="000000"/>
          <w:lang w:eastAsia="bg-BG"/>
        </w:rPr>
        <w:lastRenderedPageBreak/>
        <w:t>Нечести: вентрикуларни аритмии и сърдечен арест, сърдечна недостатъчност,</w:t>
      </w:r>
    </w:p>
    <w:p w14:paraId="1297882E"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кардиомиопатии, вентрикуларна хипертрофия, суправентрикуларни аритмии, палпитации</w:t>
      </w:r>
    </w:p>
    <w:p w14:paraId="5A4FFAB7" w14:textId="06C01DB2"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перикарден излив</w:t>
      </w:r>
    </w:p>
    <w:p w14:paraId="49522C8D" w14:textId="2EC824E2"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Много редки: </w:t>
      </w:r>
      <w:proofErr w:type="spellStart"/>
      <w:r w:rsidRPr="00732553">
        <w:rPr>
          <w:rFonts w:eastAsia="Times New Roman" w:cs="Arial"/>
          <w:i/>
          <w:iCs/>
          <w:color w:val="000000"/>
          <w:lang w:val="en-US"/>
        </w:rPr>
        <w:t>Torsades</w:t>
      </w:r>
      <w:proofErr w:type="spellEnd"/>
      <w:r w:rsidRPr="00732553">
        <w:rPr>
          <w:rFonts w:eastAsia="Times New Roman" w:cs="Arial"/>
          <w:i/>
          <w:iCs/>
          <w:color w:val="000000"/>
          <w:lang w:val="ru-RU"/>
        </w:rPr>
        <w:t xml:space="preserve"> </w:t>
      </w:r>
      <w:r w:rsidRPr="00732553">
        <w:rPr>
          <w:rFonts w:eastAsia="Times New Roman" w:cs="Arial"/>
          <w:i/>
          <w:iCs/>
          <w:color w:val="000000"/>
          <w:lang w:val="en-US"/>
        </w:rPr>
        <w:t>de</w:t>
      </w:r>
      <w:r w:rsidRPr="00732553">
        <w:rPr>
          <w:rFonts w:eastAsia="Times New Roman" w:cs="Arial"/>
          <w:i/>
          <w:iCs/>
          <w:color w:val="000000"/>
          <w:lang w:val="ru-RU"/>
        </w:rPr>
        <w:t xml:space="preserve"> </w:t>
      </w:r>
      <w:r w:rsidRPr="00732553">
        <w:rPr>
          <w:rFonts w:eastAsia="Times New Roman" w:cs="Arial"/>
          <w:i/>
          <w:iCs/>
          <w:color w:val="000000"/>
          <w:lang w:val="en-US"/>
        </w:rPr>
        <w:t>Pointes</w:t>
      </w:r>
    </w:p>
    <w:p w14:paraId="3BF558D1" w14:textId="77777777" w:rsidR="00732553" w:rsidRPr="00732553" w:rsidRDefault="00732553" w:rsidP="00732553">
      <w:pPr>
        <w:spacing w:line="240" w:lineRule="auto"/>
        <w:rPr>
          <w:rFonts w:eastAsia="Times New Roman" w:cs="Arial"/>
          <w:color w:val="000000"/>
          <w:u w:val="single"/>
          <w:lang w:eastAsia="bg-BG"/>
        </w:rPr>
      </w:pPr>
    </w:p>
    <w:p w14:paraId="7083F08A" w14:textId="4C7B944E"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Съдови нарушения</w:t>
      </w:r>
    </w:p>
    <w:p w14:paraId="10AFDDBD" w14:textId="554B2BE1"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чести: хипертония</w:t>
      </w:r>
    </w:p>
    <w:p w14:paraId="65092D24" w14:textId="22BCF487"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Хеморагия, тромбоемболични и исхемични събития, периферни</w:t>
      </w:r>
      <w:r w:rsidRPr="00732553">
        <w:rPr>
          <w:rFonts w:eastAsia="Times New Roman" w:cs="Arial"/>
        </w:rPr>
        <w:t xml:space="preserve"> </w:t>
      </w:r>
      <w:r w:rsidRPr="00732553">
        <w:rPr>
          <w:rFonts w:eastAsia="Times New Roman" w:cs="Arial"/>
          <w:color w:val="000000"/>
          <w:lang w:eastAsia="bg-BG"/>
        </w:rPr>
        <w:t>съдови нарушения, съдови хипотензивни нарушения</w:t>
      </w:r>
    </w:p>
    <w:p w14:paraId="56630229" w14:textId="72464D61"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Хеморагия, тромбоемболични и исхемични събития, периферни</w:t>
      </w:r>
      <w:r w:rsidRPr="00732553">
        <w:rPr>
          <w:rFonts w:eastAsia="Times New Roman" w:cs="Arial"/>
        </w:rPr>
        <w:t xml:space="preserve"> </w:t>
      </w:r>
      <w:r w:rsidRPr="00732553">
        <w:rPr>
          <w:rFonts w:eastAsia="Times New Roman" w:cs="Arial"/>
          <w:color w:val="000000"/>
          <w:lang w:eastAsia="bg-BG"/>
        </w:rPr>
        <w:t>съдови нарушения, съдови хипотензивни нарушения</w:t>
      </w:r>
    </w:p>
    <w:p w14:paraId="2F56B2BE" w14:textId="4F51953D"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Инфаркт, дълбока венозна тромбоза на крайниците, шок</w:t>
      </w:r>
    </w:p>
    <w:p w14:paraId="3D2D7D61" w14:textId="77777777" w:rsidR="00732553" w:rsidRPr="00732553" w:rsidRDefault="00732553" w:rsidP="00732553">
      <w:pPr>
        <w:spacing w:line="240" w:lineRule="auto"/>
        <w:rPr>
          <w:rFonts w:eastAsia="Times New Roman" w:cs="Arial"/>
          <w:color w:val="000000"/>
          <w:u w:val="single"/>
          <w:lang w:eastAsia="bg-BG"/>
        </w:rPr>
      </w:pPr>
    </w:p>
    <w:p w14:paraId="2C13E051" w14:textId="0764B2D6"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Дихателни, гръдни и медистинални нарушения</w:t>
      </w:r>
    </w:p>
    <w:p w14:paraId="0E4CA70E" w14:textId="3F2F5110"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диспнея, паренхимни белодробни смущения, плеврален излив,</w:t>
      </w:r>
      <w:r w:rsidRPr="00732553">
        <w:rPr>
          <w:rFonts w:eastAsia="Times New Roman" w:cs="Arial"/>
        </w:rPr>
        <w:t xml:space="preserve"> </w:t>
      </w:r>
      <w:r w:rsidRPr="00732553">
        <w:rPr>
          <w:rFonts w:eastAsia="Times New Roman" w:cs="Arial"/>
          <w:color w:val="000000"/>
          <w:lang w:eastAsia="bg-BG"/>
        </w:rPr>
        <w:t>фарингит, кашлица, конгестия на носа и възпаления</w:t>
      </w:r>
    </w:p>
    <w:p w14:paraId="0C22228A" w14:textId="4F104D33"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респираторна недостатъчност, смущения в респираторните пътища,</w:t>
      </w:r>
      <w:r w:rsidRPr="00732553">
        <w:rPr>
          <w:rFonts w:eastAsia="Times New Roman" w:cs="Arial"/>
        </w:rPr>
        <w:t xml:space="preserve"> </w:t>
      </w:r>
      <w:r w:rsidRPr="00732553">
        <w:rPr>
          <w:rFonts w:eastAsia="Times New Roman" w:cs="Arial"/>
          <w:color w:val="000000"/>
          <w:lang w:eastAsia="bg-BG"/>
        </w:rPr>
        <w:t>астма</w:t>
      </w:r>
    </w:p>
    <w:p w14:paraId="1493C640" w14:textId="735F7F75"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синдром на остър респираторен дистрес</w:t>
      </w:r>
    </w:p>
    <w:p w14:paraId="6661652D" w14:textId="77777777" w:rsidR="00732553" w:rsidRPr="00732553" w:rsidRDefault="00732553" w:rsidP="00732553">
      <w:pPr>
        <w:spacing w:line="240" w:lineRule="auto"/>
        <w:rPr>
          <w:rFonts w:eastAsia="Times New Roman" w:cs="Arial"/>
          <w:color w:val="000000"/>
          <w:u w:val="single"/>
          <w:lang w:eastAsia="bg-BG"/>
        </w:rPr>
      </w:pPr>
    </w:p>
    <w:p w14:paraId="04294EFC" w14:textId="152FD093"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Стомашно-чревни нарушения</w:t>
      </w:r>
    </w:p>
    <w:p w14:paraId="3FC7C2D5"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чести: диария, гадене</w:t>
      </w:r>
    </w:p>
    <w:p w14:paraId="0A93B512" w14:textId="01785318" w:rsidR="00732553" w:rsidRPr="00732553" w:rsidRDefault="00732553" w:rsidP="00732553">
      <w:pPr>
        <w:spacing w:line="240" w:lineRule="auto"/>
        <w:rPr>
          <w:rFonts w:eastAsia="Times New Roman" w:cs="Arial"/>
          <w:color w:val="000000"/>
          <w:lang w:eastAsia="bg-BG"/>
        </w:rPr>
      </w:pPr>
      <w:r w:rsidRPr="00732553">
        <w:rPr>
          <w:rFonts w:eastAsia="Times New Roman" w:cs="Arial"/>
          <w:color w:val="000000"/>
          <w:lang w:eastAsia="bg-BG"/>
        </w:rPr>
        <w:t>Чести: стомашно-чревни възпалителни състояния, стомашно-чревна</w:t>
      </w:r>
      <w:r w:rsidRPr="00732553">
        <w:rPr>
          <w:rFonts w:eastAsia="Times New Roman" w:cs="Arial"/>
        </w:rPr>
        <w:t xml:space="preserve"> </w:t>
      </w:r>
      <w:r w:rsidRPr="00732553">
        <w:rPr>
          <w:rFonts w:eastAsia="Times New Roman" w:cs="Arial"/>
          <w:color w:val="000000"/>
          <w:lang w:eastAsia="bg-BG"/>
        </w:rPr>
        <w:t>улцерация и перфорация, стомашно-чревни хеморагии, стоматит и</w:t>
      </w:r>
      <w:r w:rsidRPr="00732553">
        <w:rPr>
          <w:rFonts w:eastAsia="Times New Roman" w:cs="Arial"/>
        </w:rPr>
        <w:t xml:space="preserve"> </w:t>
      </w:r>
      <w:r w:rsidRPr="00732553">
        <w:rPr>
          <w:rFonts w:eastAsia="Times New Roman" w:cs="Arial"/>
          <w:color w:val="000000"/>
          <w:lang w:eastAsia="bg-BG"/>
        </w:rPr>
        <w:t>улцерация, асцит, повръщане, стомашно-чревни и абдоминални болки, диспептични признаци и симптоми, констипация,</w:t>
      </w:r>
      <w:r w:rsidRPr="00732553">
        <w:rPr>
          <w:rFonts w:eastAsia="Times New Roman" w:cs="Arial"/>
          <w:i/>
          <w:iCs/>
          <w:color w:val="000000"/>
          <w:lang w:eastAsia="bg-BG"/>
        </w:rPr>
        <w:t xml:space="preserve"> </w:t>
      </w:r>
      <w:r w:rsidRPr="00732553">
        <w:rPr>
          <w:rFonts w:eastAsia="Times New Roman" w:cs="Arial"/>
          <w:color w:val="000000"/>
          <w:lang w:eastAsia="bg-BG"/>
        </w:rPr>
        <w:t>флатуленция, подуване и разширяване, кашави изпражнения,</w:t>
      </w:r>
      <w:r w:rsidRPr="00732553">
        <w:rPr>
          <w:rFonts w:eastAsia="Times New Roman" w:cs="Arial"/>
          <w:i/>
          <w:iCs/>
          <w:color w:val="000000"/>
          <w:lang w:eastAsia="bg-BG"/>
        </w:rPr>
        <w:t xml:space="preserve"> </w:t>
      </w:r>
      <w:r w:rsidRPr="00732553">
        <w:rPr>
          <w:rFonts w:eastAsia="Times New Roman" w:cs="Arial"/>
          <w:color w:val="000000"/>
          <w:lang w:eastAsia="bg-BG"/>
        </w:rPr>
        <w:t>стомашно-чревни признаци и симптоми</w:t>
      </w:r>
    </w:p>
    <w:p w14:paraId="0361E745"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w:t>
      </w:r>
      <w:r w:rsidRPr="00732553">
        <w:rPr>
          <w:rFonts w:eastAsia="Times New Roman" w:cs="Arial"/>
          <w:color w:val="000000"/>
          <w:lang w:eastAsia="bg-BG"/>
        </w:rPr>
        <w:tab/>
        <w:t>паралитичен илеус, остър и хроничен панкреатит, гастро-езофагеален</w:t>
      </w:r>
    </w:p>
    <w:p w14:paraId="5DF20593"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рефлукс, смутено изпразване на стомаха</w:t>
      </w:r>
    </w:p>
    <w:p w14:paraId="28CCCB7E"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w:t>
      </w:r>
      <w:r w:rsidRPr="00732553">
        <w:rPr>
          <w:rFonts w:eastAsia="Times New Roman" w:cs="Arial"/>
          <w:color w:val="000000"/>
          <w:lang w:eastAsia="bg-BG"/>
        </w:rPr>
        <w:tab/>
        <w:t>субилеус, псевдокиста на панкреаса</w:t>
      </w:r>
    </w:p>
    <w:p w14:paraId="6AA59376" w14:textId="77777777" w:rsidR="00732553" w:rsidRPr="00732553" w:rsidRDefault="00732553" w:rsidP="00732553">
      <w:pPr>
        <w:spacing w:line="240" w:lineRule="auto"/>
        <w:rPr>
          <w:rFonts w:eastAsia="Times New Roman" w:cs="Arial"/>
          <w:color w:val="000000"/>
          <w:u w:val="single"/>
          <w:lang w:eastAsia="bg-BG"/>
        </w:rPr>
      </w:pPr>
    </w:p>
    <w:p w14:paraId="53A77A9D" w14:textId="2725A7DD"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Хепато-билиарни нарушения</w:t>
      </w:r>
    </w:p>
    <w:p w14:paraId="35FCBB25" w14:textId="543A903A"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холестаза и жълтеница, увреждане на чернодробните клетки и</w:t>
      </w:r>
      <w:r w:rsidRPr="00732553">
        <w:rPr>
          <w:rFonts w:eastAsia="Times New Roman" w:cs="Arial"/>
        </w:rPr>
        <w:t xml:space="preserve"> </w:t>
      </w:r>
      <w:r w:rsidRPr="00732553">
        <w:rPr>
          <w:rFonts w:eastAsia="Times New Roman" w:cs="Arial"/>
          <w:color w:val="000000"/>
          <w:lang w:eastAsia="bg-BG"/>
        </w:rPr>
        <w:t>хепатит, холангит</w:t>
      </w:r>
    </w:p>
    <w:p w14:paraId="288493E0" w14:textId="30E5FCD9"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тромбоза на чернодробната артерия, венооклузивно чернодробнозаболяване</w:t>
      </w:r>
    </w:p>
    <w:p w14:paraId="0129C45B"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чернодробна недостатъчност, стеноза на жлъчния канал</w:t>
      </w:r>
    </w:p>
    <w:p w14:paraId="28B3CDDA" w14:textId="77777777" w:rsidR="00732553" w:rsidRPr="00732553" w:rsidRDefault="00732553" w:rsidP="00732553">
      <w:pPr>
        <w:spacing w:line="240" w:lineRule="auto"/>
        <w:rPr>
          <w:rFonts w:eastAsia="Times New Roman" w:cs="Arial"/>
          <w:color w:val="000000"/>
          <w:u w:val="single"/>
          <w:lang w:eastAsia="bg-BG"/>
        </w:rPr>
      </w:pPr>
    </w:p>
    <w:p w14:paraId="3A5E9194" w14:textId="6D170F53"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кожата и подкожната тъкан</w:t>
      </w:r>
    </w:p>
    <w:p w14:paraId="5903AF49" w14:textId="22FA6A92"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пруритус, обрив, алопеция, акне, увеличено изпотяване</w:t>
      </w:r>
    </w:p>
    <w:p w14:paraId="7D6864A0" w14:textId="11C90930"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дерматит, фоточувствителност</w:t>
      </w:r>
    </w:p>
    <w:p w14:paraId="28E9378D" w14:textId="30BB87D8"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Редки: токсична епидермална некролиза (синдром на </w:t>
      </w:r>
      <w:r w:rsidRPr="00732553">
        <w:rPr>
          <w:rFonts w:eastAsia="Times New Roman" w:cs="Arial"/>
          <w:color w:val="000000"/>
          <w:lang w:val="en-US"/>
        </w:rPr>
        <w:t>Lyell</w:t>
      </w:r>
      <w:r w:rsidRPr="00732553">
        <w:rPr>
          <w:rFonts w:eastAsia="Times New Roman" w:cs="Arial"/>
          <w:color w:val="000000"/>
          <w:lang w:val="ru-RU"/>
        </w:rPr>
        <w:t>).</w:t>
      </w:r>
    </w:p>
    <w:p w14:paraId="1604E595"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Много редки: синдром на </w:t>
      </w:r>
      <w:r w:rsidRPr="00732553">
        <w:rPr>
          <w:rFonts w:eastAsia="Times New Roman" w:cs="Arial"/>
          <w:color w:val="000000"/>
          <w:lang w:val="en-US"/>
        </w:rPr>
        <w:t>Stevens</w:t>
      </w:r>
      <w:r w:rsidRPr="00732553">
        <w:rPr>
          <w:rFonts w:eastAsia="Times New Roman" w:cs="Arial"/>
          <w:color w:val="000000"/>
          <w:lang w:val="ru-RU"/>
        </w:rPr>
        <w:t xml:space="preserve"> </w:t>
      </w:r>
      <w:r w:rsidRPr="00732553">
        <w:rPr>
          <w:rFonts w:eastAsia="Times New Roman" w:cs="Arial"/>
          <w:color w:val="000000"/>
          <w:lang w:val="en-US"/>
        </w:rPr>
        <w:t>Johnson</w:t>
      </w:r>
    </w:p>
    <w:p w14:paraId="60E087B3" w14:textId="77777777" w:rsidR="00732553" w:rsidRPr="00732553" w:rsidRDefault="00732553" w:rsidP="00732553">
      <w:pPr>
        <w:spacing w:line="240" w:lineRule="auto"/>
        <w:rPr>
          <w:rFonts w:eastAsia="Times New Roman" w:cs="Arial"/>
          <w:color w:val="000000"/>
          <w:u w:val="single"/>
          <w:lang w:eastAsia="bg-BG"/>
        </w:rPr>
      </w:pPr>
    </w:p>
    <w:p w14:paraId="54E831EF" w14:textId="14ECF0DA"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мускулно-скелетната система и съединителната тъкан</w:t>
      </w:r>
    </w:p>
    <w:p w14:paraId="6AD08F7D" w14:textId="1617D92C"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артралгия, мускулни спазми, болка в крайниците, болка в гърба</w:t>
      </w:r>
    </w:p>
    <w:p w14:paraId="5E1D9D4D" w14:textId="4336557F"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ставни смущения</w:t>
      </w:r>
    </w:p>
    <w:p w14:paraId="31288C95" w14:textId="415035F0"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намалена подвижност</w:t>
      </w:r>
    </w:p>
    <w:p w14:paraId="6E391616" w14:textId="77777777" w:rsidR="00732553" w:rsidRPr="00732553" w:rsidRDefault="00732553" w:rsidP="00732553">
      <w:pPr>
        <w:spacing w:line="240" w:lineRule="auto"/>
        <w:rPr>
          <w:rFonts w:eastAsia="Times New Roman" w:cs="Arial"/>
          <w:color w:val="000000"/>
          <w:u w:val="single"/>
          <w:lang w:eastAsia="bg-BG"/>
        </w:rPr>
      </w:pPr>
    </w:p>
    <w:p w14:paraId="7BA60266" w14:textId="20C2DA30"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бъбреците и пикочните пътища</w:t>
      </w:r>
    </w:p>
    <w:p w14:paraId="2AB6EDD4"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чести: бъбречно увреждане</w:t>
      </w:r>
    </w:p>
    <w:p w14:paraId="46CEB1B6" w14:textId="79347AFA"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бъбречна недостатъчност, остра бъбречна недостатъчност, олигурия,</w:t>
      </w:r>
    </w:p>
    <w:p w14:paraId="028468D7"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некроза на бъбречните тубули, токсична нефропатия, пикочни аномалии, симптоми от страна на пикочния мехур и уретрата</w:t>
      </w:r>
    </w:p>
    <w:p w14:paraId="2CB6ABCA" w14:textId="238E6609" w:rsidR="00732553" w:rsidRPr="00732553" w:rsidRDefault="00732553" w:rsidP="00732553">
      <w:pPr>
        <w:spacing w:line="240" w:lineRule="auto"/>
        <w:rPr>
          <w:rFonts w:eastAsia="Times New Roman" w:cs="Arial"/>
        </w:rPr>
      </w:pPr>
      <w:r w:rsidRPr="00732553">
        <w:rPr>
          <w:rFonts w:eastAsia="Times New Roman" w:cs="Arial"/>
          <w:color w:val="000000"/>
          <w:lang w:eastAsia="bg-BG"/>
        </w:rPr>
        <w:lastRenderedPageBreak/>
        <w:t>Нечести: анурия, хемолитичен уремичен синдром</w:t>
      </w:r>
    </w:p>
    <w:p w14:paraId="76E93A40" w14:textId="1216B627"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нефропатия, хеморагичен цистит</w:t>
      </w:r>
    </w:p>
    <w:p w14:paraId="7421BFE0" w14:textId="77777777" w:rsidR="00732553" w:rsidRPr="00732553" w:rsidRDefault="00732553" w:rsidP="00732553">
      <w:pPr>
        <w:spacing w:line="240" w:lineRule="auto"/>
        <w:rPr>
          <w:rFonts w:eastAsia="Times New Roman" w:cs="Arial"/>
          <w:color w:val="000000"/>
          <w:u w:val="single"/>
          <w:lang w:eastAsia="bg-BG"/>
        </w:rPr>
      </w:pPr>
    </w:p>
    <w:p w14:paraId="6C6CA03C" w14:textId="1F11421B"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Нарушения на възпроизводителната система и гърдата</w:t>
      </w:r>
    </w:p>
    <w:p w14:paraId="1E4C08B9" w14:textId="3654DADE"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дисменорея и маточно кървене</w:t>
      </w:r>
    </w:p>
    <w:p w14:paraId="7CC552B7" w14:textId="77777777" w:rsidR="00732553" w:rsidRPr="00732553" w:rsidRDefault="00732553" w:rsidP="00732553">
      <w:pPr>
        <w:spacing w:line="240" w:lineRule="auto"/>
        <w:rPr>
          <w:rFonts w:eastAsia="Times New Roman" w:cs="Arial"/>
          <w:color w:val="000000"/>
          <w:u w:val="single"/>
          <w:lang w:eastAsia="bg-BG"/>
        </w:rPr>
      </w:pPr>
    </w:p>
    <w:p w14:paraId="65F75C79" w14:textId="4DCAEBCF"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Общи нарушения и ефекти на мястото на приложение</w:t>
      </w:r>
    </w:p>
    <w:p w14:paraId="64B741E7" w14:textId="6A02CFD2"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астенични състояния, фебрилни смущения, едем, болка и</w:t>
      </w:r>
      <w:r w:rsidRPr="00732553">
        <w:rPr>
          <w:rFonts w:eastAsia="Times New Roman" w:cs="Arial"/>
        </w:rPr>
        <w:t xml:space="preserve"> </w:t>
      </w:r>
      <w:r w:rsidRPr="00732553">
        <w:rPr>
          <w:rFonts w:eastAsia="Times New Roman" w:cs="Arial"/>
          <w:color w:val="000000"/>
          <w:lang w:eastAsia="bg-BG"/>
        </w:rPr>
        <w:t>дискомфорт, смутено възприемане на телесната температура</w:t>
      </w:r>
    </w:p>
    <w:p w14:paraId="690A58F1" w14:textId="12679057"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мултиорганна недостатъчност, заболяване подобно на</w:t>
      </w:r>
      <w:r w:rsidRPr="00732553">
        <w:rPr>
          <w:rFonts w:eastAsia="Times New Roman" w:cs="Arial"/>
        </w:rPr>
        <w:t xml:space="preserve"> </w:t>
      </w:r>
      <w:r w:rsidRPr="00732553">
        <w:rPr>
          <w:rFonts w:eastAsia="Times New Roman" w:cs="Arial"/>
          <w:color w:val="000000"/>
          <w:lang w:eastAsia="bg-BG"/>
        </w:rPr>
        <w:t>инфлуенца, нарушена поносимост към температура, усещане за натиск в гърдите, чувство за нервност и тревожност</w:t>
      </w:r>
    </w:p>
    <w:p w14:paraId="4D030D49" w14:textId="2C1FFA04" w:rsidR="00732553" w:rsidRPr="00732553" w:rsidRDefault="00732553" w:rsidP="00732553">
      <w:pPr>
        <w:spacing w:line="240" w:lineRule="auto"/>
        <w:rPr>
          <w:rFonts w:eastAsia="Times New Roman" w:cs="Arial"/>
        </w:rPr>
      </w:pPr>
      <w:r w:rsidRPr="00732553">
        <w:rPr>
          <w:rFonts w:eastAsia="Times New Roman" w:cs="Arial"/>
          <w:color w:val="000000"/>
          <w:lang w:eastAsia="bg-BG"/>
        </w:rPr>
        <w:t>Редки: жажда, падане, стягане в гърдите, язва</w:t>
      </w:r>
    </w:p>
    <w:p w14:paraId="09218D67" w14:textId="619F8CCD" w:rsidR="00732553" w:rsidRPr="00732553" w:rsidRDefault="00732553" w:rsidP="00732553">
      <w:pPr>
        <w:spacing w:line="240" w:lineRule="auto"/>
        <w:rPr>
          <w:rFonts w:eastAsia="Times New Roman" w:cs="Arial"/>
        </w:rPr>
      </w:pPr>
      <w:r w:rsidRPr="00732553">
        <w:rPr>
          <w:rFonts w:eastAsia="Times New Roman" w:cs="Arial"/>
          <w:color w:val="000000"/>
          <w:lang w:eastAsia="bg-BG"/>
        </w:rPr>
        <w:t>Много редки: увеличена мастна тъкан</w:t>
      </w:r>
    </w:p>
    <w:p w14:paraId="4ADFCEB3" w14:textId="77777777" w:rsidR="00732553" w:rsidRPr="00732553" w:rsidRDefault="00732553" w:rsidP="00732553">
      <w:pPr>
        <w:spacing w:line="240" w:lineRule="auto"/>
        <w:rPr>
          <w:rFonts w:eastAsia="Times New Roman" w:cs="Arial"/>
          <w:color w:val="000000"/>
          <w:u w:val="single"/>
          <w:lang w:eastAsia="bg-BG"/>
        </w:rPr>
      </w:pPr>
    </w:p>
    <w:p w14:paraId="673A60C3" w14:textId="3903339D"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Изследвания</w:t>
      </w:r>
    </w:p>
    <w:p w14:paraId="013AA792" w14:textId="1E40F704"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абнормни чернодробни ензими и функция, увеличена алкална</w:t>
      </w:r>
      <w:r w:rsidRPr="00732553">
        <w:rPr>
          <w:rFonts w:eastAsia="Times New Roman" w:cs="Arial"/>
        </w:rPr>
        <w:t xml:space="preserve"> </w:t>
      </w:r>
      <w:r w:rsidRPr="00732553">
        <w:rPr>
          <w:rFonts w:eastAsia="Times New Roman" w:cs="Arial"/>
          <w:color w:val="000000"/>
          <w:lang w:eastAsia="bg-BG"/>
        </w:rPr>
        <w:t>фосфатаза, увеличено телесно тегло</w:t>
      </w:r>
    </w:p>
    <w:p w14:paraId="77E926A3" w14:textId="3C2D5466" w:rsidR="00732553" w:rsidRPr="00732553" w:rsidRDefault="00732553" w:rsidP="00732553">
      <w:pPr>
        <w:spacing w:line="240" w:lineRule="auto"/>
        <w:rPr>
          <w:rFonts w:eastAsia="Times New Roman" w:cs="Arial"/>
        </w:rPr>
      </w:pPr>
      <w:r w:rsidRPr="00732553">
        <w:rPr>
          <w:rFonts w:eastAsia="Times New Roman" w:cs="Arial"/>
          <w:color w:val="000000"/>
          <w:lang w:eastAsia="bg-BG"/>
        </w:rPr>
        <w:t>Нечести: увеличена амилаза, абнормни находки в ЕКГ, абнормни пулс и</w:t>
      </w:r>
      <w:r w:rsidRPr="00732553">
        <w:rPr>
          <w:rFonts w:eastAsia="Times New Roman" w:cs="Arial"/>
        </w:rPr>
        <w:t xml:space="preserve"> </w:t>
      </w:r>
      <w:r w:rsidRPr="00732553">
        <w:rPr>
          <w:rFonts w:eastAsia="Times New Roman" w:cs="Arial"/>
          <w:color w:val="000000"/>
          <w:lang w:eastAsia="bg-BG"/>
        </w:rPr>
        <w:t>сърдечна честота, намаление на телесното тегло, повишена лактатдехидрогеназа в кръвта</w:t>
      </w:r>
    </w:p>
    <w:p w14:paraId="001860B1" w14:textId="320BAB17" w:rsidR="00732553" w:rsidRPr="00732553" w:rsidRDefault="00732553" w:rsidP="00732553">
      <w:pPr>
        <w:spacing w:line="240" w:lineRule="auto"/>
        <w:rPr>
          <w:rFonts w:eastAsia="Times New Roman" w:cs="Arial"/>
          <w:color w:val="000000"/>
          <w:lang w:eastAsia="bg-BG"/>
        </w:rPr>
      </w:pPr>
      <w:r w:rsidRPr="00732553">
        <w:rPr>
          <w:rFonts w:eastAsia="Times New Roman" w:cs="Arial"/>
          <w:color w:val="000000"/>
          <w:lang w:eastAsia="bg-BG"/>
        </w:rPr>
        <w:t xml:space="preserve">Много редки: абнормна ехокардиография, удължен </w:t>
      </w:r>
      <w:r w:rsidRPr="00732553">
        <w:rPr>
          <w:rFonts w:eastAsia="Times New Roman" w:cs="Arial"/>
          <w:color w:val="000000"/>
          <w:lang w:val="en-US"/>
        </w:rPr>
        <w:t>QT</w:t>
      </w:r>
      <w:r w:rsidRPr="00732553">
        <w:rPr>
          <w:rFonts w:eastAsia="Times New Roman" w:cs="Arial"/>
          <w:color w:val="000000"/>
          <w:lang w:val="ru-RU"/>
        </w:rPr>
        <w:t xml:space="preserve"> </w:t>
      </w:r>
      <w:r w:rsidRPr="00732553">
        <w:rPr>
          <w:rFonts w:eastAsia="Times New Roman" w:cs="Arial"/>
          <w:color w:val="000000"/>
          <w:lang w:eastAsia="bg-BG"/>
        </w:rPr>
        <w:t>на ЕКГ</w:t>
      </w:r>
    </w:p>
    <w:p w14:paraId="04AF69A0" w14:textId="5873D18D" w:rsidR="00732553" w:rsidRPr="00732553" w:rsidRDefault="00732553" w:rsidP="00732553">
      <w:pPr>
        <w:spacing w:line="240" w:lineRule="auto"/>
        <w:rPr>
          <w:rFonts w:eastAsia="Times New Roman" w:cs="Arial"/>
          <w:color w:val="000000"/>
          <w:lang w:eastAsia="bg-BG"/>
        </w:rPr>
      </w:pPr>
    </w:p>
    <w:p w14:paraId="1CD9A2F8" w14:textId="77777777"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Наранявания, отравяния и усложнения, възникнали в резултат на интервенции</w:t>
      </w:r>
    </w:p>
    <w:p w14:paraId="644DD4B7" w14:textId="220FD833" w:rsidR="00732553" w:rsidRPr="00732553" w:rsidRDefault="00732553" w:rsidP="00732553">
      <w:pPr>
        <w:spacing w:line="240" w:lineRule="auto"/>
        <w:rPr>
          <w:rFonts w:eastAsia="Times New Roman" w:cs="Arial"/>
        </w:rPr>
      </w:pPr>
      <w:r w:rsidRPr="00732553">
        <w:rPr>
          <w:rFonts w:eastAsia="Times New Roman" w:cs="Arial"/>
          <w:color w:val="000000"/>
          <w:lang w:eastAsia="bg-BG"/>
        </w:rPr>
        <w:t>Чести: първично нарушение функцията на присадката</w:t>
      </w:r>
    </w:p>
    <w:p w14:paraId="31BAD292" w14:textId="77777777" w:rsidR="00732553" w:rsidRPr="00732553" w:rsidRDefault="00732553" w:rsidP="00732553">
      <w:pPr>
        <w:spacing w:line="240" w:lineRule="auto"/>
        <w:rPr>
          <w:rFonts w:eastAsia="Times New Roman" w:cs="Arial"/>
          <w:color w:val="000000"/>
          <w:lang w:eastAsia="bg-BG"/>
        </w:rPr>
      </w:pPr>
    </w:p>
    <w:p w14:paraId="18E65B68" w14:textId="59FBF38A" w:rsidR="00732553" w:rsidRPr="00732553" w:rsidRDefault="00732553" w:rsidP="00732553">
      <w:pPr>
        <w:spacing w:line="240" w:lineRule="auto"/>
        <w:rPr>
          <w:rFonts w:eastAsia="Times New Roman" w:cs="Arial"/>
        </w:rPr>
      </w:pPr>
      <w:r w:rsidRPr="00732553">
        <w:rPr>
          <w:rFonts w:eastAsia="Times New Roman" w:cs="Arial"/>
          <w:color w:val="000000"/>
          <w:lang w:eastAsia="bg-BG"/>
        </w:rPr>
        <w:t>Наблюдавани са лекарствени грешки, включително невнимателно, неумишлено или безконтролно заместване на лекарствените форми на такролимус с незабавно освобождаване или с удължено освобождаване. Докладвани са свързани с тях случаи на отхвърляне на трансплантанта (честотата не може да бъде определена от наличните данни).</w:t>
      </w:r>
    </w:p>
    <w:p w14:paraId="540EE1DE" w14:textId="77777777" w:rsidR="00732553" w:rsidRPr="00732553" w:rsidRDefault="00732553" w:rsidP="00732553">
      <w:pPr>
        <w:spacing w:line="240" w:lineRule="auto"/>
        <w:rPr>
          <w:rFonts w:eastAsia="Times New Roman" w:cs="Arial"/>
          <w:color w:val="000000"/>
          <w:u w:val="single"/>
          <w:lang w:eastAsia="bg-BG"/>
        </w:rPr>
      </w:pPr>
    </w:p>
    <w:p w14:paraId="584D5FF9" w14:textId="33796B1C"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Описание на определени нежелани реакции</w:t>
      </w:r>
      <w:r w:rsidRPr="00732553">
        <w:rPr>
          <w:rFonts w:eastAsia="Times New Roman" w:cs="Arial"/>
          <w:color w:val="000000"/>
          <w:lang w:eastAsia="bg-BG"/>
        </w:rPr>
        <w:t>:</w:t>
      </w:r>
    </w:p>
    <w:p w14:paraId="2B67C054"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Болка в крайниците е описана в редица публикувани съобщения на случаи като компонент от калциневринов инхибитор-индуциран болков синдром </w:t>
      </w:r>
      <w:r w:rsidRPr="00732553">
        <w:rPr>
          <w:rFonts w:eastAsia="Times New Roman" w:cs="Arial"/>
          <w:color w:val="000000"/>
        </w:rPr>
        <w:t>(</w:t>
      </w:r>
      <w:proofErr w:type="spellStart"/>
      <w:r w:rsidRPr="00732553">
        <w:rPr>
          <w:rFonts w:eastAsia="Times New Roman" w:cs="Arial"/>
          <w:color w:val="000000"/>
          <w:lang w:val="en-US"/>
        </w:rPr>
        <w:t>Calcineurin</w:t>
      </w:r>
      <w:proofErr w:type="spellEnd"/>
      <w:r w:rsidRPr="00732553">
        <w:rPr>
          <w:rFonts w:eastAsia="Times New Roman" w:cs="Arial"/>
          <w:color w:val="000000"/>
        </w:rPr>
        <w:t>-</w:t>
      </w:r>
      <w:r w:rsidRPr="00732553">
        <w:rPr>
          <w:rFonts w:eastAsia="Times New Roman" w:cs="Arial"/>
          <w:color w:val="000000"/>
          <w:lang w:val="en-US"/>
        </w:rPr>
        <w:t>Inhibitor</w:t>
      </w:r>
      <w:r w:rsidRPr="00732553">
        <w:rPr>
          <w:rFonts w:eastAsia="Times New Roman" w:cs="Arial"/>
          <w:color w:val="000000"/>
        </w:rPr>
        <w:t xml:space="preserve"> </w:t>
      </w:r>
      <w:r w:rsidRPr="00732553">
        <w:rPr>
          <w:rFonts w:eastAsia="Times New Roman" w:cs="Arial"/>
          <w:color w:val="000000"/>
          <w:lang w:val="en-US"/>
        </w:rPr>
        <w:t>Induced</w:t>
      </w:r>
      <w:r w:rsidRPr="00732553">
        <w:rPr>
          <w:rFonts w:eastAsia="Times New Roman" w:cs="Arial"/>
          <w:color w:val="000000"/>
        </w:rPr>
        <w:t xml:space="preserve"> </w:t>
      </w:r>
      <w:r w:rsidRPr="00732553">
        <w:rPr>
          <w:rFonts w:eastAsia="Times New Roman" w:cs="Arial"/>
          <w:color w:val="000000"/>
          <w:lang w:val="en-US"/>
        </w:rPr>
        <w:t>Pain</w:t>
      </w:r>
      <w:r w:rsidRPr="00732553">
        <w:rPr>
          <w:rFonts w:eastAsia="Times New Roman" w:cs="Arial"/>
          <w:color w:val="000000"/>
        </w:rPr>
        <w:t xml:space="preserve"> </w:t>
      </w:r>
      <w:r w:rsidRPr="00732553">
        <w:rPr>
          <w:rFonts w:eastAsia="Times New Roman" w:cs="Arial"/>
          <w:color w:val="000000"/>
          <w:lang w:val="en-US"/>
        </w:rPr>
        <w:t>Syndrome</w:t>
      </w:r>
      <w:r w:rsidRPr="00732553">
        <w:rPr>
          <w:rFonts w:eastAsia="Times New Roman" w:cs="Arial"/>
          <w:color w:val="000000"/>
        </w:rPr>
        <w:t xml:space="preserve"> - </w:t>
      </w:r>
      <w:r w:rsidRPr="00732553">
        <w:rPr>
          <w:rFonts w:eastAsia="Times New Roman" w:cs="Arial"/>
          <w:color w:val="000000"/>
          <w:lang w:val="en-US"/>
        </w:rPr>
        <w:t>CIPS</w:t>
      </w:r>
      <w:r w:rsidRPr="00732553">
        <w:rPr>
          <w:rFonts w:eastAsia="Times New Roman" w:cs="Arial"/>
          <w:color w:val="000000"/>
        </w:rPr>
        <w:t xml:space="preserve">). </w:t>
      </w:r>
      <w:r w:rsidRPr="00732553">
        <w:rPr>
          <w:rFonts w:eastAsia="Times New Roman" w:cs="Arial"/>
          <w:color w:val="000000"/>
          <w:lang w:eastAsia="bg-BG"/>
        </w:rPr>
        <w:t>Обикновено се проявява като двустранна (симетрична), силна, възходяща болка в долните крайници и може да бъде свързана със супратерапевтични нива на такролимус. Синдромът може да се повлияе от понижаване на дозата на такролимус. При някои случаи е било необходимо преминаването към алтернативна имуносупресия.</w:t>
      </w:r>
    </w:p>
    <w:p w14:paraId="10B6F909" w14:textId="77777777" w:rsidR="00732553" w:rsidRPr="00732553" w:rsidRDefault="00732553" w:rsidP="00732553">
      <w:pPr>
        <w:spacing w:line="240" w:lineRule="auto"/>
        <w:rPr>
          <w:rFonts w:eastAsia="Times New Roman" w:cs="Arial"/>
          <w:color w:val="000000"/>
          <w:u w:val="single"/>
          <w:lang w:eastAsia="bg-BG"/>
        </w:rPr>
      </w:pPr>
    </w:p>
    <w:p w14:paraId="464A2D6F" w14:textId="54E5D8B2" w:rsidR="00732553" w:rsidRPr="00732553" w:rsidRDefault="00732553" w:rsidP="00732553">
      <w:pPr>
        <w:spacing w:line="240" w:lineRule="auto"/>
        <w:rPr>
          <w:rFonts w:eastAsia="Times New Roman" w:cs="Arial"/>
        </w:rPr>
      </w:pPr>
      <w:r w:rsidRPr="00732553">
        <w:rPr>
          <w:rFonts w:eastAsia="Times New Roman" w:cs="Arial"/>
          <w:color w:val="000000"/>
          <w:u w:val="single"/>
          <w:lang w:eastAsia="bg-BG"/>
        </w:rPr>
        <w:t>Съобщаване на подозирани нежелани реакции</w:t>
      </w:r>
    </w:p>
    <w:p w14:paraId="26BDC9C7"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w:t>
      </w:r>
    </w:p>
    <w:p w14:paraId="59F29196"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Изпълнителна агенция по лекарствата</w:t>
      </w:r>
    </w:p>
    <w:p w14:paraId="49C80D78"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ул. „Дамян Груев” № 8,</w:t>
      </w:r>
    </w:p>
    <w:p w14:paraId="1AB9969A" w14:textId="77777777" w:rsidR="00732553" w:rsidRPr="00732553" w:rsidRDefault="00732553" w:rsidP="00732553">
      <w:pPr>
        <w:spacing w:line="240" w:lineRule="auto"/>
        <w:rPr>
          <w:rFonts w:eastAsia="Times New Roman" w:cs="Arial"/>
        </w:rPr>
      </w:pPr>
      <w:r w:rsidRPr="00732553">
        <w:rPr>
          <w:rFonts w:eastAsia="Times New Roman" w:cs="Arial"/>
          <w:color w:val="000000"/>
          <w:lang w:eastAsia="bg-BG"/>
        </w:rPr>
        <w:t>1303 София,</w:t>
      </w:r>
    </w:p>
    <w:p w14:paraId="04926B25" w14:textId="77777777" w:rsidR="00732553" w:rsidRPr="00732553" w:rsidRDefault="00732553" w:rsidP="00732553">
      <w:pPr>
        <w:spacing w:line="240" w:lineRule="auto"/>
        <w:rPr>
          <w:rFonts w:eastAsia="Times New Roman" w:cs="Arial"/>
          <w:color w:val="000000"/>
          <w:lang w:eastAsia="bg-BG"/>
        </w:rPr>
      </w:pPr>
      <w:r w:rsidRPr="00732553">
        <w:rPr>
          <w:rFonts w:eastAsia="Times New Roman" w:cs="Arial"/>
          <w:color w:val="000000"/>
          <w:lang w:eastAsia="bg-BG"/>
        </w:rPr>
        <w:t xml:space="preserve">тел.:+35 928903417, </w:t>
      </w:r>
    </w:p>
    <w:p w14:paraId="5CD35BE6" w14:textId="567C95FA" w:rsidR="00732553" w:rsidRPr="00732553" w:rsidRDefault="00732553" w:rsidP="00732553">
      <w:pPr>
        <w:spacing w:line="240" w:lineRule="auto"/>
        <w:rPr>
          <w:rFonts w:eastAsia="Times New Roman" w:cs="Arial"/>
        </w:rPr>
      </w:pPr>
      <w:r w:rsidRPr="00732553">
        <w:rPr>
          <w:rFonts w:eastAsia="Times New Roman" w:cs="Arial"/>
          <w:color w:val="000000"/>
          <w:lang w:eastAsia="bg-BG"/>
        </w:rPr>
        <w:t xml:space="preserve">уебсайт: </w:t>
      </w:r>
      <w:r w:rsidRPr="00732553">
        <w:rPr>
          <w:rFonts w:eastAsia="Times New Roman" w:cs="Arial"/>
        </w:rPr>
        <w:fldChar w:fldCharType="begin"/>
      </w:r>
      <w:r w:rsidRPr="00732553">
        <w:rPr>
          <w:rFonts w:eastAsia="Times New Roman" w:cs="Arial"/>
        </w:rPr>
        <w:instrText xml:space="preserve"> HYPERLINK "http://www.bda.bg" </w:instrText>
      </w:r>
      <w:r w:rsidRPr="00732553">
        <w:rPr>
          <w:rFonts w:eastAsia="Times New Roman" w:cs="Arial"/>
        </w:rPr>
      </w:r>
      <w:r w:rsidRPr="00732553">
        <w:rPr>
          <w:rFonts w:eastAsia="Times New Roman" w:cs="Arial"/>
        </w:rPr>
        <w:fldChar w:fldCharType="separate"/>
      </w:r>
      <w:r w:rsidRPr="00732553">
        <w:rPr>
          <w:rFonts w:eastAsia="Times New Roman" w:cs="Arial"/>
          <w:color w:val="000000"/>
          <w:u w:val="single"/>
          <w:lang w:val="en-US"/>
        </w:rPr>
        <w:t>www</w:t>
      </w:r>
      <w:r w:rsidRPr="00732553">
        <w:rPr>
          <w:rFonts w:eastAsia="Times New Roman" w:cs="Arial"/>
          <w:color w:val="000000"/>
          <w:u w:val="single"/>
          <w:lang w:val="ru-RU"/>
        </w:rPr>
        <w:t>.</w:t>
      </w:r>
      <w:proofErr w:type="spellStart"/>
      <w:r w:rsidRPr="00732553">
        <w:rPr>
          <w:rFonts w:eastAsia="Times New Roman" w:cs="Arial"/>
          <w:color w:val="000000"/>
          <w:u w:val="single"/>
          <w:lang w:val="en-US"/>
        </w:rPr>
        <w:t>bda</w:t>
      </w:r>
      <w:proofErr w:type="spellEnd"/>
      <w:r w:rsidRPr="00732553">
        <w:rPr>
          <w:rFonts w:eastAsia="Times New Roman" w:cs="Arial"/>
          <w:color w:val="000000"/>
          <w:u w:val="single"/>
          <w:lang w:val="ru-RU"/>
        </w:rPr>
        <w:t>.</w:t>
      </w:r>
      <w:proofErr w:type="spellStart"/>
      <w:r w:rsidRPr="00732553">
        <w:rPr>
          <w:rFonts w:eastAsia="Times New Roman" w:cs="Arial"/>
          <w:color w:val="000000"/>
          <w:u w:val="single"/>
          <w:lang w:val="en-US"/>
        </w:rPr>
        <w:t>bg</w:t>
      </w:r>
      <w:proofErr w:type="spellEnd"/>
      <w:r w:rsidRPr="00732553">
        <w:rPr>
          <w:rFonts w:eastAsia="Times New Roman" w:cs="Arial"/>
        </w:rPr>
        <w:fldChar w:fldCharType="end"/>
      </w:r>
      <w:r w:rsidRPr="00732553">
        <w:rPr>
          <w:rFonts w:eastAsia="Times New Roman" w:cs="Arial"/>
          <w:color w:val="000000"/>
          <w:lang w:val="ru-RU"/>
        </w:rPr>
        <w:t>.</w:t>
      </w:r>
    </w:p>
    <w:p w14:paraId="6E3AF16D" w14:textId="77777777" w:rsidR="00732553" w:rsidRPr="006C7468" w:rsidRDefault="00732553" w:rsidP="00732553">
      <w:pPr>
        <w:spacing w:line="240" w:lineRule="auto"/>
        <w:rPr>
          <w:rFonts w:ascii="Times New Roman" w:eastAsia="Times New Roman" w:hAnsi="Times New Roman" w:cs="Times New Roman"/>
          <w:sz w:val="24"/>
          <w:szCs w:val="24"/>
        </w:rPr>
      </w:pPr>
    </w:p>
    <w:p w14:paraId="5A87DBA3" w14:textId="35AC74C6" w:rsidR="007122AD" w:rsidRDefault="002C50EE" w:rsidP="00936AD0">
      <w:pPr>
        <w:pStyle w:val="Heading2"/>
      </w:pPr>
      <w:r>
        <w:t>4.9. Предозиране</w:t>
      </w:r>
    </w:p>
    <w:p w14:paraId="34088F52" w14:textId="476F09E4" w:rsidR="00732553" w:rsidRDefault="00732553" w:rsidP="00732553"/>
    <w:p w14:paraId="76984188" w14:textId="77777777" w:rsidR="00732553" w:rsidRPr="00732553" w:rsidRDefault="00732553" w:rsidP="00732553">
      <w:pPr>
        <w:rPr>
          <w:sz w:val="24"/>
          <w:szCs w:val="24"/>
        </w:rPr>
      </w:pPr>
      <w:r w:rsidRPr="00732553">
        <w:rPr>
          <w:lang w:eastAsia="bg-BG"/>
        </w:rPr>
        <w:t>Опитът с предозиране е ограничен. Съобщава се за няколко случая на случайно предозиране; симптомите са включвали тремор, главоболие, гадене и повръщане, инфекции, уртикария, летаргия, увеличение на нивата на кръвен уреен азот, серумен креатинин и аланин аминотрансфераза.</w:t>
      </w:r>
    </w:p>
    <w:p w14:paraId="4A16FFCF" w14:textId="77777777" w:rsidR="00732553" w:rsidRPr="00732553" w:rsidRDefault="00732553" w:rsidP="00732553">
      <w:pPr>
        <w:rPr>
          <w:sz w:val="24"/>
          <w:szCs w:val="24"/>
        </w:rPr>
      </w:pPr>
      <w:r w:rsidRPr="00732553">
        <w:rPr>
          <w:lang w:eastAsia="bg-BG"/>
        </w:rPr>
        <w:t>Няма специфичен антидот за Програф. При предозиране трябва да се проведат общи поддържащи мерки и симптоматично лечение.</w:t>
      </w:r>
    </w:p>
    <w:p w14:paraId="09DB4626" w14:textId="6F607659" w:rsidR="00732553" w:rsidRPr="00732553" w:rsidRDefault="00732553" w:rsidP="00732553">
      <w:r w:rsidRPr="00732553">
        <w:rPr>
          <w:lang w:eastAsia="bg-BG"/>
        </w:rPr>
        <w:t>Поради високата му молекулна маса, малката разтворимост във вода и екстензивното свързване с еритроцити и плазмени протеини се очаква, че такролимус не може да се диализира. При отделни пациенти с много високи плазмени нива, хемофилтрация или диафилтрация са били ефективни за понижаване на токсичните концентрации. В случай на орална интоксикация може да помогне стомашна промивка и/или употреба на адсорбенти (като активен въглен), ако се приложат скоро след поглъщането.</w:t>
      </w:r>
    </w:p>
    <w:p w14:paraId="02081B24" w14:textId="36FE76F4" w:rsidR="00395555" w:rsidRPr="00395555" w:rsidRDefault="002C50EE" w:rsidP="008A6AF2">
      <w:pPr>
        <w:pStyle w:val="Heading1"/>
      </w:pPr>
      <w:r>
        <w:t>5. ФАРМАКОЛОГИЧНИ СВОЙСТВА</w:t>
      </w:r>
    </w:p>
    <w:p w14:paraId="6339E404" w14:textId="62A91F7A" w:rsidR="00875EEC" w:rsidRDefault="002C50EE" w:rsidP="005726E3">
      <w:pPr>
        <w:pStyle w:val="Heading2"/>
      </w:pPr>
      <w:r>
        <w:t>5.1. Фармакодинамични свойства</w:t>
      </w:r>
    </w:p>
    <w:p w14:paraId="0D2981EF" w14:textId="0C6A75E9" w:rsidR="00732553" w:rsidRDefault="00732553" w:rsidP="00732553"/>
    <w:p w14:paraId="1234397E"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Фармакотерапевтична група: Имуносупресори, калциневринови инхибитори, АТС код: </w:t>
      </w:r>
      <w:r w:rsidRPr="00732553">
        <w:rPr>
          <w:rFonts w:eastAsia="Times New Roman" w:cs="Arial"/>
          <w:color w:val="000000"/>
          <w:szCs w:val="20"/>
          <w:lang w:val="en-US"/>
        </w:rPr>
        <w:t>L</w:t>
      </w:r>
      <w:r w:rsidRPr="00732553">
        <w:rPr>
          <w:rFonts w:eastAsia="Times New Roman" w:cs="Arial"/>
          <w:color w:val="000000"/>
          <w:szCs w:val="20"/>
          <w:lang w:val="ru-RU"/>
        </w:rPr>
        <w:t>04</w:t>
      </w:r>
      <w:r w:rsidRPr="00732553">
        <w:rPr>
          <w:rFonts w:eastAsia="Times New Roman" w:cs="Arial"/>
          <w:color w:val="000000"/>
          <w:szCs w:val="20"/>
          <w:lang w:val="en-US"/>
        </w:rPr>
        <w:t>AD</w:t>
      </w:r>
      <w:r w:rsidRPr="00732553">
        <w:rPr>
          <w:rFonts w:eastAsia="Times New Roman" w:cs="Arial"/>
          <w:color w:val="000000"/>
          <w:szCs w:val="20"/>
          <w:lang w:val="ru-RU"/>
        </w:rPr>
        <w:t>02</w:t>
      </w:r>
    </w:p>
    <w:p w14:paraId="6B3A1514" w14:textId="788E5243" w:rsidR="00732553" w:rsidRPr="00732553" w:rsidRDefault="00732553" w:rsidP="00732553">
      <w:pPr>
        <w:rPr>
          <w:rFonts w:cs="Arial"/>
          <w:sz w:val="24"/>
        </w:rPr>
      </w:pPr>
    </w:p>
    <w:p w14:paraId="401F557C"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t>Механизъм на действие и фармакодинамичнн ефекти</w:t>
      </w:r>
    </w:p>
    <w:p w14:paraId="0D1F3EBB"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На молекулно ниво ефектите на такролимус изглежда се медиират чрез свързване с цитозолен протеин </w:t>
      </w:r>
      <w:r w:rsidRPr="00732553">
        <w:rPr>
          <w:rFonts w:eastAsia="Times New Roman" w:cs="Arial"/>
          <w:color w:val="000000"/>
          <w:szCs w:val="20"/>
          <w:lang w:val="ru-RU"/>
        </w:rPr>
        <w:t>(</w:t>
      </w:r>
      <w:r w:rsidRPr="00732553">
        <w:rPr>
          <w:rFonts w:eastAsia="Times New Roman" w:cs="Arial"/>
          <w:color w:val="000000"/>
          <w:szCs w:val="20"/>
          <w:lang w:val="en-US"/>
        </w:rPr>
        <w:t>FKBP</w:t>
      </w:r>
      <w:r w:rsidRPr="00732553">
        <w:rPr>
          <w:rFonts w:eastAsia="Times New Roman" w:cs="Arial"/>
          <w:color w:val="000000"/>
          <w:szCs w:val="20"/>
          <w:lang w:val="ru-RU"/>
        </w:rPr>
        <w:t xml:space="preserve">12), </w:t>
      </w:r>
      <w:r w:rsidRPr="00732553">
        <w:rPr>
          <w:rFonts w:eastAsia="Times New Roman" w:cs="Arial"/>
          <w:color w:val="000000"/>
          <w:szCs w:val="20"/>
          <w:lang w:eastAsia="bg-BG"/>
        </w:rPr>
        <w:t xml:space="preserve">който отговаря за вътреклетъчното акумулиране на съединението. </w:t>
      </w:r>
      <w:r w:rsidRPr="00732553">
        <w:rPr>
          <w:rFonts w:eastAsia="Times New Roman" w:cs="Arial"/>
          <w:color w:val="000000"/>
          <w:szCs w:val="20"/>
          <w:lang w:val="en-US"/>
        </w:rPr>
        <w:t>F</w:t>
      </w:r>
      <w:r w:rsidRPr="00732553">
        <w:rPr>
          <w:rFonts w:eastAsia="Times New Roman" w:cs="Arial"/>
          <w:color w:val="000000"/>
          <w:szCs w:val="20"/>
          <w:lang w:eastAsia="bg-BG"/>
        </w:rPr>
        <w:t>КВР12-такролимус комплексът специфично и компетитивно се свързва с калциневрин, инхибира го, води до калций-зависимо инхибиране на пътищата на Т- клетьчната сигнална трансдукция и така предотвратява транскрипцията на дискретен комплект лимфокинови гени.</w:t>
      </w:r>
    </w:p>
    <w:p w14:paraId="02B646C2"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Такролимус е високо ефективно имуносупресивно средство и е с доказана активност в опити </w:t>
      </w:r>
      <w:r w:rsidRPr="00732553">
        <w:rPr>
          <w:rFonts w:eastAsia="Times New Roman" w:cs="Arial"/>
          <w:i/>
          <w:iCs/>
          <w:color w:val="000000"/>
          <w:szCs w:val="20"/>
          <w:lang w:val="en-US"/>
        </w:rPr>
        <w:t>in</w:t>
      </w:r>
      <w:r w:rsidRPr="00732553">
        <w:rPr>
          <w:rFonts w:eastAsia="Times New Roman" w:cs="Arial"/>
          <w:i/>
          <w:iCs/>
          <w:color w:val="000000"/>
          <w:szCs w:val="20"/>
          <w:lang w:val="ru-RU"/>
        </w:rPr>
        <w:t xml:space="preserve"> </w:t>
      </w:r>
      <w:r w:rsidRPr="00732553">
        <w:rPr>
          <w:rFonts w:eastAsia="Times New Roman" w:cs="Arial"/>
          <w:i/>
          <w:iCs/>
          <w:color w:val="000000"/>
          <w:szCs w:val="20"/>
          <w:lang w:val="en-US"/>
        </w:rPr>
        <w:t>vitro</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и </w:t>
      </w:r>
      <w:r w:rsidRPr="00732553">
        <w:rPr>
          <w:rFonts w:eastAsia="Times New Roman" w:cs="Arial"/>
          <w:i/>
          <w:iCs/>
          <w:color w:val="000000"/>
          <w:szCs w:val="20"/>
          <w:lang w:val="en-US"/>
        </w:rPr>
        <w:t>in</w:t>
      </w:r>
      <w:r w:rsidRPr="00732553">
        <w:rPr>
          <w:rFonts w:eastAsia="Times New Roman" w:cs="Arial"/>
          <w:i/>
          <w:iCs/>
          <w:color w:val="000000"/>
          <w:szCs w:val="20"/>
          <w:lang w:val="ru-RU"/>
        </w:rPr>
        <w:t xml:space="preserve"> </w:t>
      </w:r>
      <w:r w:rsidRPr="00732553">
        <w:rPr>
          <w:rFonts w:eastAsia="Times New Roman" w:cs="Arial"/>
          <w:i/>
          <w:iCs/>
          <w:color w:val="000000"/>
          <w:szCs w:val="20"/>
          <w:lang w:val="en-US"/>
        </w:rPr>
        <w:t>vivo</w:t>
      </w:r>
      <w:r w:rsidRPr="00732553">
        <w:rPr>
          <w:rFonts w:eastAsia="Times New Roman" w:cs="Arial"/>
          <w:i/>
          <w:iCs/>
          <w:color w:val="000000"/>
          <w:szCs w:val="20"/>
          <w:lang w:val="ru-RU"/>
        </w:rPr>
        <w:t>.</w:t>
      </w:r>
    </w:p>
    <w:p w14:paraId="25C52425"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По-специално такролимус инхибира образуването на цитотоксичните лимфоцити, които са отговорни за отхвърляне на присадката. Такролимус потиска активирането на Т-клетките и зависимата от Т-хелперни клетки пролиферация на В-клетки, както и образуването на лимфокини (като интерлевкини-2, -3 и γ-интерферон) и експресията на интерлевкин-2 рецептора.</w:t>
      </w:r>
    </w:p>
    <w:p w14:paraId="50E231AA" w14:textId="77777777" w:rsidR="00732553" w:rsidRPr="00732553" w:rsidRDefault="00732553" w:rsidP="00732553">
      <w:pPr>
        <w:spacing w:line="240" w:lineRule="auto"/>
        <w:rPr>
          <w:rFonts w:eastAsia="Times New Roman" w:cs="Arial"/>
          <w:color w:val="000000"/>
          <w:szCs w:val="20"/>
          <w:u w:val="single"/>
          <w:lang w:eastAsia="bg-BG"/>
        </w:rPr>
      </w:pPr>
    </w:p>
    <w:p w14:paraId="1708649B" w14:textId="04D740EB"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t>Резултати от публикуваните данни за трансплантации на други органи</w:t>
      </w:r>
    </w:p>
    <w:p w14:paraId="38084B87"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Програф е включен в приетото лечение като първичен имуносупресивен лекарствен продукт след трансплантация на панкреас, бял дроб и черва. В проспективни публикувани проучвания такролимус е изпитван като първично имуносупресивно средство при около 175 пациенти след белодробна, 475 пациенти след панкреасна и 630 пациенти след чревна трансплантация. Профилът на безопасност на такролимус при тези публикувани проучвания е подобен на този, за който се съобщава при по-големи проучвания, където такролимус се използва като първично лечение при трансплантация на черен дроб, бъбрек и сърце. Резултатите за ефикасност от най-големите проучвания за всяка индикация са обобщени по-долу.</w:t>
      </w:r>
    </w:p>
    <w:p w14:paraId="38F90A4E" w14:textId="77777777" w:rsidR="00732553" w:rsidRPr="00732553" w:rsidRDefault="00732553" w:rsidP="00732553">
      <w:pPr>
        <w:spacing w:line="240" w:lineRule="auto"/>
        <w:rPr>
          <w:rFonts w:eastAsia="Times New Roman" w:cs="Arial"/>
          <w:color w:val="000000"/>
          <w:szCs w:val="20"/>
          <w:u w:val="single"/>
          <w:lang w:eastAsia="bg-BG"/>
        </w:rPr>
      </w:pPr>
    </w:p>
    <w:p w14:paraId="31463CE1" w14:textId="10982CBD"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lastRenderedPageBreak/>
        <w:t>Трансплантация на бял дроб</w:t>
      </w:r>
    </w:p>
    <w:p w14:paraId="6E9A5E79"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Междинният анализ на едно скорошно мултицентрично проучване обсъжда 110 пациенти, подложени на рандомизиране 1:1 с такролимус или циклоспорин. Такролимус е започнат като непрекъсната интравенозна инфузия в доза от 0.01-0.03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а оралният такролимус е приложен в доза от 0.05-0.3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В първата година след трансплантацията е докладвана по-ниска честота на случаите на остро отхвърляне за пациентите на такролимус в сравнение с тези на циклоспорин (11.5% срещу 22.6%) и по- ниска честота на хронично отхвърляне - бронхиолитис облитеранс синдром (2.86% срещу 8.57%). Преживяемостта в първата година на пациентите е 80.8 % в групата на такролимус и 83% в циклоспориновата група </w:t>
      </w:r>
      <w:r w:rsidRPr="00732553">
        <w:rPr>
          <w:rFonts w:eastAsia="Times New Roman" w:cs="Arial"/>
          <w:color w:val="000000"/>
          <w:szCs w:val="20"/>
          <w:lang w:val="ru-RU"/>
        </w:rPr>
        <w:t>(</w:t>
      </w:r>
      <w:proofErr w:type="spellStart"/>
      <w:r w:rsidRPr="00732553">
        <w:rPr>
          <w:rFonts w:eastAsia="Times New Roman" w:cs="Arial"/>
          <w:color w:val="000000"/>
          <w:szCs w:val="20"/>
          <w:lang w:val="en-US"/>
        </w:rPr>
        <w:t>Treede</w:t>
      </w:r>
      <w:proofErr w:type="spellEnd"/>
      <w:r w:rsidRPr="00732553">
        <w:rPr>
          <w:rFonts w:eastAsia="Times New Roman" w:cs="Arial"/>
          <w:color w:val="000000"/>
          <w:szCs w:val="20"/>
          <w:lang w:val="ru-RU"/>
        </w:rPr>
        <w:t xml:space="preserve"> </w:t>
      </w:r>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3rd </w:t>
      </w:r>
      <w:r w:rsidRPr="00732553">
        <w:rPr>
          <w:rFonts w:eastAsia="Times New Roman" w:cs="Arial"/>
          <w:color w:val="000000"/>
          <w:szCs w:val="20"/>
          <w:lang w:val="en-US"/>
        </w:rPr>
        <w:t>ICI</w:t>
      </w:r>
      <w:r w:rsidRPr="00732553">
        <w:rPr>
          <w:rFonts w:eastAsia="Times New Roman" w:cs="Arial"/>
          <w:color w:val="000000"/>
          <w:szCs w:val="20"/>
          <w:lang w:val="ru-RU"/>
        </w:rPr>
        <w:t xml:space="preserve"> </w:t>
      </w:r>
      <w:r w:rsidRPr="00732553">
        <w:rPr>
          <w:rFonts w:eastAsia="Times New Roman" w:cs="Arial"/>
          <w:color w:val="000000"/>
          <w:szCs w:val="20"/>
          <w:lang w:val="en-US"/>
        </w:rPr>
        <w:t>San</w:t>
      </w:r>
      <w:r w:rsidRPr="00732553">
        <w:rPr>
          <w:rFonts w:eastAsia="Times New Roman" w:cs="Arial"/>
          <w:color w:val="000000"/>
          <w:szCs w:val="20"/>
          <w:lang w:val="ru-RU"/>
        </w:rPr>
        <w:t xml:space="preserve"> </w:t>
      </w:r>
      <w:r w:rsidRPr="00732553">
        <w:rPr>
          <w:rFonts w:eastAsia="Times New Roman" w:cs="Arial"/>
          <w:color w:val="000000"/>
          <w:szCs w:val="20"/>
          <w:lang w:val="en-US"/>
        </w:rPr>
        <w:t>Diego</w:t>
      </w:r>
      <w:r w:rsidRPr="00732553">
        <w:rPr>
          <w:rFonts w:eastAsia="Times New Roman" w:cs="Arial"/>
          <w:color w:val="000000"/>
          <w:szCs w:val="20"/>
          <w:lang w:val="ru-RU"/>
        </w:rPr>
        <w:t xml:space="preserve"> </w:t>
      </w:r>
      <w:r w:rsidRPr="00732553">
        <w:rPr>
          <w:rFonts w:eastAsia="Times New Roman" w:cs="Arial"/>
          <w:color w:val="000000"/>
          <w:szCs w:val="20"/>
          <w:lang w:val="en-US"/>
        </w:rPr>
        <w:t>US</w:t>
      </w:r>
      <w:r w:rsidRPr="00732553">
        <w:rPr>
          <w:rFonts w:eastAsia="Times New Roman" w:cs="Arial"/>
          <w:color w:val="000000"/>
          <w:szCs w:val="20"/>
          <w:lang w:val="ru-RU"/>
        </w:rPr>
        <w:t xml:space="preserve">, 2004; </w:t>
      </w:r>
      <w:r w:rsidRPr="00732553">
        <w:rPr>
          <w:rFonts w:eastAsia="Times New Roman" w:cs="Arial"/>
          <w:color w:val="000000"/>
          <w:szCs w:val="20"/>
          <w:lang w:val="en-US"/>
        </w:rPr>
        <w:t>Abstract</w:t>
      </w:r>
      <w:r w:rsidRPr="00732553">
        <w:rPr>
          <w:rFonts w:eastAsia="Times New Roman" w:cs="Arial"/>
          <w:color w:val="000000"/>
          <w:szCs w:val="20"/>
          <w:lang w:val="ru-RU"/>
        </w:rPr>
        <w:t xml:space="preserve"> 22). </w:t>
      </w:r>
      <w:r w:rsidRPr="00732553">
        <w:rPr>
          <w:rFonts w:eastAsia="Times New Roman" w:cs="Arial"/>
          <w:color w:val="000000"/>
          <w:szCs w:val="20"/>
          <w:lang w:eastAsia="bg-BG"/>
        </w:rPr>
        <w:t xml:space="preserve">Друго рандомизирано проучване включва 66 пациенти на такролимус сравнени с 67 пациенти на циклоспорин. Такролимус е приложен в началото под форма на непрекъсната интравенозна инфузия в доза 0.025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и перорално в доза 0.15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с последващо адаптиране на дозата до желаните концентрации в кръвта от 10 до 20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Преживяемостта на пациентите за първата година в групата с такролимус е 83% и 71% в циклоспориновата група, а за втората година - съответно 76% и 66%. Епизодите на остро отхвърляне за 100 пациентодни са по-малко на брой в групата с такролимус (0.85 епизода) отколкото в циклоспориновата група (1.09 случая). Облитеративен бронхиолит се развива при 21.7% от пациентите в групата с такролимус спрямо 38% при пациентите в циклоспориновата група (р=0.025). Значително повече пациенти, лекувани с циклоспорин (</w:t>
      </w:r>
      <w:r w:rsidRPr="00732553">
        <w:rPr>
          <w:rFonts w:eastAsia="Times New Roman" w:cs="Arial"/>
          <w:color w:val="000000"/>
          <w:szCs w:val="20"/>
          <w:lang w:val="en-US"/>
        </w:rPr>
        <w:t>n</w:t>
      </w:r>
      <w:r w:rsidRPr="00732553">
        <w:rPr>
          <w:rFonts w:eastAsia="Times New Roman" w:cs="Arial"/>
          <w:color w:val="000000"/>
          <w:szCs w:val="20"/>
          <w:lang w:eastAsia="bg-BG"/>
        </w:rPr>
        <w:t xml:space="preserve">=13), е трябвало да преминат на такролимус в сравнение с пациентите, лекувани с такролимус и преминали на циклоспорин </w:t>
      </w:r>
      <w:r w:rsidRPr="00732553">
        <w:rPr>
          <w:rFonts w:eastAsia="Times New Roman" w:cs="Arial"/>
          <w:color w:val="000000"/>
          <w:szCs w:val="20"/>
          <w:lang w:val="ru-RU"/>
        </w:rPr>
        <w:t>(</w:t>
      </w:r>
      <w:r w:rsidRPr="00732553">
        <w:rPr>
          <w:rFonts w:eastAsia="Times New Roman" w:cs="Arial"/>
          <w:color w:val="000000"/>
          <w:szCs w:val="20"/>
          <w:lang w:val="en-US"/>
        </w:rPr>
        <w:t>n</w:t>
      </w:r>
      <w:r w:rsidRPr="00732553">
        <w:rPr>
          <w:rFonts w:eastAsia="Times New Roman" w:cs="Arial"/>
          <w:color w:val="000000"/>
          <w:szCs w:val="20"/>
          <w:lang w:val="ru-RU"/>
        </w:rPr>
        <w:t xml:space="preserve">=2), </w:t>
      </w:r>
      <w:r w:rsidRPr="00732553">
        <w:rPr>
          <w:rFonts w:eastAsia="Times New Roman" w:cs="Arial"/>
          <w:color w:val="000000"/>
          <w:szCs w:val="20"/>
          <w:lang w:eastAsia="bg-BG"/>
        </w:rPr>
        <w:t xml:space="preserve">(р=0,02) </w:t>
      </w:r>
      <w:r w:rsidRPr="00732553">
        <w:rPr>
          <w:rFonts w:eastAsia="Times New Roman" w:cs="Arial"/>
          <w:color w:val="000000"/>
          <w:szCs w:val="20"/>
          <w:lang w:val="ru-RU"/>
        </w:rPr>
        <w:t>(</w:t>
      </w:r>
      <w:r w:rsidRPr="00732553">
        <w:rPr>
          <w:rFonts w:eastAsia="Times New Roman" w:cs="Arial"/>
          <w:color w:val="000000"/>
          <w:szCs w:val="20"/>
          <w:lang w:val="en-US"/>
        </w:rPr>
        <w:t>Keenan</w:t>
      </w:r>
      <w:r w:rsidRPr="00732553">
        <w:rPr>
          <w:rFonts w:eastAsia="Times New Roman" w:cs="Arial"/>
          <w:color w:val="000000"/>
          <w:szCs w:val="20"/>
          <w:lang w:val="ru-RU"/>
        </w:rPr>
        <w:t xml:space="preserve"> </w:t>
      </w:r>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 xml:space="preserve">.; </w:t>
      </w:r>
      <w:r w:rsidRPr="00732553">
        <w:rPr>
          <w:rFonts w:eastAsia="Times New Roman" w:cs="Arial"/>
          <w:color w:val="000000"/>
          <w:szCs w:val="20"/>
          <w:lang w:val="en-US"/>
        </w:rPr>
        <w:t>Ann</w:t>
      </w:r>
      <w:r w:rsidRPr="00732553">
        <w:rPr>
          <w:rFonts w:eastAsia="Times New Roman" w:cs="Arial"/>
          <w:color w:val="000000"/>
          <w:szCs w:val="20"/>
          <w:lang w:val="ru-RU"/>
        </w:rPr>
        <w:t xml:space="preserve"> </w:t>
      </w:r>
      <w:proofErr w:type="spellStart"/>
      <w:r w:rsidRPr="00732553">
        <w:rPr>
          <w:rFonts w:eastAsia="Times New Roman" w:cs="Arial"/>
          <w:color w:val="000000"/>
          <w:szCs w:val="20"/>
          <w:lang w:val="en-US"/>
        </w:rPr>
        <w:t>Thoracis</w:t>
      </w:r>
      <w:proofErr w:type="spellEnd"/>
      <w:r w:rsidRPr="00732553">
        <w:rPr>
          <w:rFonts w:eastAsia="Times New Roman" w:cs="Arial"/>
          <w:color w:val="000000"/>
          <w:szCs w:val="20"/>
          <w:lang w:val="ru-RU"/>
        </w:rPr>
        <w:t xml:space="preserve"> </w:t>
      </w:r>
      <w:proofErr w:type="spellStart"/>
      <w:r w:rsidRPr="00732553">
        <w:rPr>
          <w:rFonts w:eastAsia="Times New Roman" w:cs="Arial"/>
          <w:color w:val="000000"/>
          <w:szCs w:val="20"/>
          <w:lang w:val="en-US"/>
        </w:rPr>
        <w:t>Surg</w:t>
      </w:r>
      <w:proofErr w:type="spellEnd"/>
      <w:r w:rsidRPr="00732553">
        <w:rPr>
          <w:rFonts w:eastAsia="Times New Roman" w:cs="Arial"/>
          <w:color w:val="000000"/>
          <w:szCs w:val="20"/>
          <w:lang w:val="ru-RU"/>
        </w:rPr>
        <w:t xml:space="preserve"> 1995; 60:580).</w:t>
      </w:r>
    </w:p>
    <w:p w14:paraId="533B1B7A" w14:textId="77777777" w:rsidR="00732553" w:rsidRPr="00732553" w:rsidRDefault="00732553" w:rsidP="00732553">
      <w:pPr>
        <w:rPr>
          <w:rFonts w:eastAsia="Times New Roman" w:cs="Arial"/>
          <w:sz w:val="28"/>
          <w:szCs w:val="24"/>
        </w:rPr>
      </w:pPr>
      <w:r w:rsidRPr="00732553">
        <w:rPr>
          <w:rFonts w:eastAsia="Times New Roman" w:cs="Arial"/>
          <w:color w:val="000000"/>
          <w:szCs w:val="20"/>
          <w:lang w:eastAsia="bg-BG"/>
        </w:rPr>
        <w:t xml:space="preserve">В друго двуцентрово проучване </w:t>
      </w:r>
      <w:r w:rsidRPr="00732553">
        <w:rPr>
          <w:rFonts w:eastAsia="Times New Roman" w:cs="Arial"/>
          <w:color w:val="000000"/>
          <w:szCs w:val="20"/>
          <w:lang w:val="ru-RU"/>
        </w:rPr>
        <w:t xml:space="preserve">26 </w:t>
      </w:r>
      <w:r w:rsidRPr="00732553">
        <w:rPr>
          <w:rFonts w:eastAsia="Times New Roman" w:cs="Arial"/>
          <w:color w:val="000000"/>
          <w:szCs w:val="20"/>
          <w:lang w:eastAsia="bg-BG"/>
        </w:rPr>
        <w:t xml:space="preserve">пациенти са рандомизирани в група с такролимус спрямо 24 пациенти в група с циклоспорин. В началото такролимус е приложен под форма на непрекъсната интравенозна инфузия в доза 0.05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а перорално се прилага доза от 0.1 до 0.3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с последващо адаптиране на дозата до желаните нива в кръвта от 12 до 15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Преживяемостта в първата година е 73.1% в групата с такролимус и 79.2 % в циклоспориновата група. В групата на такролимус липсата на остро отхвърляне е по-висока на шестия месец (57.7% спрямо 45.8%) и 1 година след белодробната трансплантация (50% спрямо 33.3%). </w:t>
      </w:r>
      <w:r w:rsidRPr="00732553">
        <w:rPr>
          <w:rFonts w:eastAsia="Times New Roman" w:cs="Arial"/>
          <w:color w:val="000000"/>
          <w:szCs w:val="20"/>
          <w:lang w:val="ru-RU"/>
        </w:rPr>
        <w:t>(</w:t>
      </w:r>
      <w:proofErr w:type="spellStart"/>
      <w:r w:rsidRPr="00732553">
        <w:rPr>
          <w:rFonts w:eastAsia="Times New Roman" w:cs="Arial"/>
          <w:color w:val="000000"/>
          <w:szCs w:val="20"/>
          <w:lang w:val="en-US"/>
        </w:rPr>
        <w:t>Treede</w:t>
      </w:r>
      <w:proofErr w:type="spellEnd"/>
      <w:r w:rsidRPr="00732553">
        <w:rPr>
          <w:rFonts w:eastAsia="Times New Roman" w:cs="Arial"/>
          <w:color w:val="000000"/>
          <w:szCs w:val="20"/>
          <w:lang w:val="ru-RU"/>
        </w:rPr>
        <w:t xml:space="preserve"> </w:t>
      </w:r>
      <w:proofErr w:type="gramStart"/>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w:t>
      </w:r>
      <w:r w:rsidRPr="00732553">
        <w:rPr>
          <w:rFonts w:eastAsia="Times New Roman" w:cs="Arial"/>
          <w:color w:val="000000"/>
          <w:szCs w:val="20"/>
          <w:lang w:val="en-US"/>
        </w:rPr>
        <w:t>J</w:t>
      </w:r>
      <w:proofErr w:type="gramEnd"/>
      <w:r w:rsidRPr="00732553">
        <w:rPr>
          <w:rFonts w:eastAsia="Times New Roman" w:cs="Arial"/>
          <w:color w:val="000000"/>
          <w:szCs w:val="20"/>
          <w:lang w:val="ru-RU"/>
        </w:rPr>
        <w:t xml:space="preserve"> </w:t>
      </w:r>
      <w:r w:rsidRPr="00732553">
        <w:rPr>
          <w:rFonts w:eastAsia="Times New Roman" w:cs="Arial"/>
          <w:color w:val="000000"/>
          <w:szCs w:val="20"/>
          <w:lang w:val="en-US"/>
        </w:rPr>
        <w:t>Heart</w:t>
      </w:r>
      <w:r w:rsidRPr="00732553">
        <w:rPr>
          <w:rFonts w:eastAsia="Times New Roman" w:cs="Arial"/>
          <w:color w:val="000000"/>
          <w:szCs w:val="20"/>
          <w:lang w:val="ru-RU"/>
        </w:rPr>
        <w:t xml:space="preserve"> </w:t>
      </w:r>
      <w:r w:rsidRPr="00732553">
        <w:rPr>
          <w:rFonts w:eastAsia="Times New Roman" w:cs="Arial"/>
          <w:color w:val="000000"/>
          <w:szCs w:val="20"/>
          <w:lang w:val="en-US"/>
        </w:rPr>
        <w:t>Lung</w:t>
      </w:r>
      <w:r w:rsidRPr="00732553">
        <w:rPr>
          <w:rFonts w:eastAsia="Times New Roman" w:cs="Arial"/>
          <w:color w:val="000000"/>
          <w:szCs w:val="20"/>
          <w:lang w:val="ru-RU"/>
        </w:rPr>
        <w:t xml:space="preserve"> </w:t>
      </w:r>
      <w:r w:rsidRPr="00732553">
        <w:rPr>
          <w:rFonts w:eastAsia="Times New Roman" w:cs="Arial"/>
          <w:color w:val="000000"/>
          <w:szCs w:val="20"/>
          <w:lang w:val="en-US"/>
        </w:rPr>
        <w:t>Transplant</w:t>
      </w:r>
      <w:r w:rsidRPr="00732553">
        <w:rPr>
          <w:rFonts w:eastAsia="Times New Roman" w:cs="Arial"/>
          <w:color w:val="000000"/>
          <w:szCs w:val="20"/>
          <w:lang w:val="ru-RU"/>
        </w:rPr>
        <w:t xml:space="preserve"> 2001; 20:511). </w:t>
      </w:r>
      <w:r w:rsidRPr="00732553">
        <w:rPr>
          <w:rFonts w:eastAsia="Times New Roman" w:cs="Arial"/>
          <w:color w:val="000000"/>
          <w:szCs w:val="20"/>
          <w:lang w:eastAsia="bg-BG"/>
        </w:rPr>
        <w:t>Трите проучвания показват сходна степен на преживяемост. Случаите на остро отхвърляне са по брой по-малко в групата с такролимус и в трите проучвания, а едно от тези проучвания съобщава за значително по-малко случаи с бронхиолитис облитеранс синдром в групата с такролимус.</w:t>
      </w:r>
    </w:p>
    <w:p w14:paraId="10D60744" w14:textId="77777777" w:rsidR="00732553" w:rsidRPr="00732553" w:rsidRDefault="00732553" w:rsidP="00732553">
      <w:pPr>
        <w:spacing w:line="240" w:lineRule="auto"/>
        <w:rPr>
          <w:rFonts w:eastAsia="Times New Roman" w:cs="Arial"/>
          <w:color w:val="000000"/>
          <w:szCs w:val="20"/>
          <w:u w:val="single"/>
          <w:lang w:eastAsia="bg-BG"/>
        </w:rPr>
      </w:pPr>
    </w:p>
    <w:p w14:paraId="1D99FC07" w14:textId="75A9DED2"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t>Трансплантация на панкреас</w:t>
      </w:r>
    </w:p>
    <w:p w14:paraId="376650D1"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Едно мултицентрично проучване включва 205 пациенти, претърпели едновременно трансплантация на панкреас и бъбрек, рандомизирани на такролимус </w:t>
      </w:r>
      <w:r w:rsidRPr="00732553">
        <w:rPr>
          <w:rFonts w:eastAsia="Times New Roman" w:cs="Arial"/>
          <w:color w:val="000000"/>
          <w:szCs w:val="20"/>
          <w:lang w:val="ru-RU"/>
        </w:rPr>
        <w:t>(</w:t>
      </w:r>
      <w:r w:rsidRPr="00732553">
        <w:rPr>
          <w:rFonts w:eastAsia="Times New Roman" w:cs="Arial"/>
          <w:color w:val="000000"/>
          <w:szCs w:val="20"/>
          <w:lang w:val="en-US"/>
        </w:rPr>
        <w:t>n</w:t>
      </w:r>
      <w:r w:rsidRPr="00732553">
        <w:rPr>
          <w:rFonts w:eastAsia="Times New Roman" w:cs="Arial"/>
          <w:color w:val="000000"/>
          <w:szCs w:val="20"/>
          <w:lang w:val="ru-RU"/>
        </w:rPr>
        <w:t xml:space="preserve">= </w:t>
      </w:r>
      <w:r w:rsidRPr="00732553">
        <w:rPr>
          <w:rFonts w:eastAsia="Times New Roman" w:cs="Arial"/>
          <w:color w:val="000000"/>
          <w:szCs w:val="20"/>
          <w:lang w:eastAsia="bg-BG"/>
        </w:rPr>
        <w:t>103) и на циклоспорин (</w:t>
      </w:r>
      <w:r w:rsidRPr="00732553">
        <w:rPr>
          <w:rFonts w:eastAsia="Times New Roman" w:cs="Arial"/>
          <w:color w:val="000000"/>
          <w:szCs w:val="20"/>
          <w:lang w:val="en-US"/>
        </w:rPr>
        <w:t>n</w:t>
      </w:r>
      <w:r w:rsidRPr="00732553">
        <w:rPr>
          <w:rFonts w:eastAsia="Times New Roman" w:cs="Arial"/>
          <w:color w:val="000000"/>
          <w:szCs w:val="20"/>
          <w:lang w:eastAsia="bg-BG"/>
        </w:rPr>
        <w:t xml:space="preserve">=102). Началната орална доза такролимус по протокол е 0.2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eastAsia="bg-BG"/>
        </w:rPr>
        <w:t xml:space="preserve">/дневно, с последващо адаптиране на дозата до желаните концентрации в кръвта от 8 до 15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до 5-ия ден и 5-10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след </w:t>
      </w:r>
      <w:r w:rsidRPr="00732553">
        <w:rPr>
          <w:rFonts w:eastAsia="Times New Roman" w:cs="Arial"/>
          <w:i/>
          <w:iCs/>
          <w:color w:val="000000"/>
          <w:szCs w:val="20"/>
          <w:lang w:eastAsia="bg-BG"/>
        </w:rPr>
        <w:t>6</w:t>
      </w:r>
      <w:r w:rsidRPr="00732553">
        <w:rPr>
          <w:rFonts w:eastAsia="Times New Roman" w:cs="Arial"/>
          <w:color w:val="000000"/>
          <w:szCs w:val="20"/>
          <w:lang w:eastAsia="bg-BG"/>
        </w:rPr>
        <w:t xml:space="preserve"> месеца. Преживяемостта при панкреаса за първата година е значимо по-висока при такролимус: 91.3% спрямо 74.5% при циклоспорин (р &lt; 0.0005), а преживяемостта на присадения бъбрек е сравнима в двете групи. Общо 34 пациенти преминават от циклоспорин на такролимус, докато само при 6 пациенти, лекувани с такролимус, е била необходима алтернативна терапия </w:t>
      </w:r>
      <w:r w:rsidRPr="00732553">
        <w:rPr>
          <w:rFonts w:eastAsia="Times New Roman" w:cs="Arial"/>
          <w:color w:val="000000"/>
          <w:szCs w:val="20"/>
          <w:lang w:val="ru-RU"/>
        </w:rPr>
        <w:t>(</w:t>
      </w:r>
      <w:proofErr w:type="spellStart"/>
      <w:r w:rsidRPr="00732553">
        <w:rPr>
          <w:rFonts w:eastAsia="Times New Roman" w:cs="Arial"/>
          <w:color w:val="000000"/>
          <w:szCs w:val="20"/>
          <w:lang w:val="en-US"/>
        </w:rPr>
        <w:t>Bechstein</w:t>
      </w:r>
      <w:proofErr w:type="spellEnd"/>
      <w:r w:rsidRPr="00732553">
        <w:rPr>
          <w:rFonts w:eastAsia="Times New Roman" w:cs="Arial"/>
          <w:color w:val="000000"/>
          <w:szCs w:val="20"/>
          <w:lang w:val="ru-RU"/>
        </w:rPr>
        <w:t xml:space="preserve"> </w:t>
      </w:r>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 xml:space="preserve">., </w:t>
      </w:r>
      <w:r w:rsidRPr="00732553">
        <w:rPr>
          <w:rFonts w:eastAsia="Times New Roman" w:cs="Arial"/>
          <w:color w:val="000000"/>
          <w:szCs w:val="20"/>
          <w:lang w:val="en-US"/>
        </w:rPr>
        <w:t>Transplantation</w:t>
      </w:r>
      <w:r w:rsidRPr="00732553">
        <w:rPr>
          <w:rFonts w:eastAsia="Times New Roman" w:cs="Arial"/>
          <w:color w:val="000000"/>
          <w:szCs w:val="20"/>
          <w:lang w:val="ru-RU"/>
        </w:rPr>
        <w:t xml:space="preserve"> 2004; 77:1221).</w:t>
      </w:r>
    </w:p>
    <w:p w14:paraId="3F212589" w14:textId="77777777" w:rsidR="00732553" w:rsidRPr="00732553" w:rsidRDefault="00732553" w:rsidP="00732553">
      <w:pPr>
        <w:spacing w:line="240" w:lineRule="auto"/>
        <w:rPr>
          <w:rFonts w:eastAsia="Times New Roman" w:cs="Arial"/>
          <w:color w:val="000000"/>
          <w:szCs w:val="20"/>
          <w:u w:val="single"/>
          <w:lang w:eastAsia="bg-BG"/>
        </w:rPr>
      </w:pPr>
    </w:p>
    <w:p w14:paraId="6B372536" w14:textId="26C71945"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u w:val="single"/>
          <w:lang w:eastAsia="bg-BG"/>
        </w:rPr>
        <w:t>Трансплантация на черва</w:t>
      </w:r>
    </w:p>
    <w:p w14:paraId="3D9B66CD"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lastRenderedPageBreak/>
        <w:t>Публикуваният клиничен опит на един център за употреба на такролимус за първично лечение след трансплантация на черва показва, че статистическата степен на преживяемост на 155 пациенти (65 - само черва, 75 - черен дроб и черва и 25 - мултивисцерални), приемали такролимус и преднизон, е 75% на първата година, 54% на петата и 42% на 10-та година.</w:t>
      </w:r>
    </w:p>
    <w:p w14:paraId="0DC3ACC1" w14:textId="77777777" w:rsidR="00732553" w:rsidRPr="00732553" w:rsidRDefault="00732553" w:rsidP="00732553">
      <w:pPr>
        <w:spacing w:line="240" w:lineRule="auto"/>
        <w:rPr>
          <w:rFonts w:eastAsia="Times New Roman" w:cs="Arial"/>
          <w:sz w:val="28"/>
          <w:szCs w:val="24"/>
        </w:rPr>
      </w:pPr>
      <w:r w:rsidRPr="00732553">
        <w:rPr>
          <w:rFonts w:eastAsia="Times New Roman" w:cs="Arial"/>
          <w:color w:val="000000"/>
          <w:szCs w:val="20"/>
          <w:lang w:eastAsia="bg-BG"/>
        </w:rPr>
        <w:t xml:space="preserve">В ранните години началната орална доза такролимус е 0.3 </w:t>
      </w:r>
      <w:r w:rsidRPr="00732553">
        <w:rPr>
          <w:rFonts w:eastAsia="Times New Roman" w:cs="Arial"/>
          <w:color w:val="000000"/>
          <w:szCs w:val="20"/>
          <w:lang w:val="en-US"/>
        </w:rPr>
        <w:t>mg</w:t>
      </w:r>
      <w:r w:rsidRPr="00732553">
        <w:rPr>
          <w:rFonts w:eastAsia="Times New Roman" w:cs="Arial"/>
          <w:color w:val="000000"/>
          <w:szCs w:val="20"/>
          <w:lang w:val="ru-RU"/>
        </w:rPr>
        <w:t>/</w:t>
      </w:r>
      <w:r w:rsidRPr="00732553">
        <w:rPr>
          <w:rFonts w:eastAsia="Times New Roman" w:cs="Arial"/>
          <w:color w:val="000000"/>
          <w:szCs w:val="20"/>
          <w:lang w:val="en-US"/>
        </w:rPr>
        <w:t>kg</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дневно. Резултатите непрекъснато се подобряват с натрупването на опит в течение на 11 години. Различни нововъведения, като техники за ранно откриване на </w:t>
      </w:r>
      <w:r w:rsidRPr="00732553">
        <w:rPr>
          <w:rFonts w:eastAsia="Times New Roman" w:cs="Arial"/>
          <w:color w:val="000000"/>
          <w:szCs w:val="20"/>
          <w:lang w:val="en-US"/>
        </w:rPr>
        <w:t>Epstein</w:t>
      </w:r>
      <w:r w:rsidRPr="00732553">
        <w:rPr>
          <w:rFonts w:eastAsia="Times New Roman" w:cs="Arial"/>
          <w:color w:val="000000"/>
          <w:szCs w:val="20"/>
          <w:lang w:val="ru-RU"/>
        </w:rPr>
        <w:t>-</w:t>
      </w:r>
      <w:r w:rsidRPr="00732553">
        <w:rPr>
          <w:rFonts w:eastAsia="Times New Roman" w:cs="Arial"/>
          <w:color w:val="000000"/>
          <w:szCs w:val="20"/>
          <w:lang w:val="en-US"/>
        </w:rPr>
        <w:t>Barr</w:t>
      </w:r>
      <w:r w:rsidRPr="00732553">
        <w:rPr>
          <w:rFonts w:eastAsia="Times New Roman" w:cs="Arial"/>
          <w:color w:val="000000"/>
          <w:szCs w:val="20"/>
          <w:lang w:val="ru-RU"/>
        </w:rPr>
        <w:t xml:space="preserve"> (</w:t>
      </w:r>
      <w:r w:rsidRPr="00732553">
        <w:rPr>
          <w:rFonts w:eastAsia="Times New Roman" w:cs="Arial"/>
          <w:color w:val="000000"/>
          <w:szCs w:val="20"/>
          <w:lang w:val="en-US"/>
        </w:rPr>
        <w:t>EBV</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и </w:t>
      </w:r>
      <w:r w:rsidRPr="00732553">
        <w:rPr>
          <w:rFonts w:eastAsia="Times New Roman" w:cs="Arial"/>
          <w:i/>
          <w:iCs/>
          <w:color w:val="000000"/>
          <w:szCs w:val="20"/>
          <w:lang w:val="en-US"/>
        </w:rPr>
        <w:t>Cytomegalovirus</w:t>
      </w:r>
      <w:r w:rsidRPr="00732553">
        <w:rPr>
          <w:rFonts w:eastAsia="Times New Roman" w:cs="Arial"/>
          <w:i/>
          <w:iCs/>
          <w:color w:val="000000"/>
          <w:szCs w:val="20"/>
          <w:lang w:val="ru-RU"/>
        </w:rPr>
        <w:t xml:space="preserve"> </w:t>
      </w:r>
      <w:r w:rsidRPr="00732553">
        <w:rPr>
          <w:rFonts w:eastAsia="Times New Roman" w:cs="Arial"/>
          <w:color w:val="000000"/>
          <w:szCs w:val="20"/>
          <w:lang w:val="ru-RU"/>
        </w:rPr>
        <w:t>(</w:t>
      </w:r>
      <w:r w:rsidRPr="00732553">
        <w:rPr>
          <w:rFonts w:eastAsia="Times New Roman" w:cs="Arial"/>
          <w:color w:val="000000"/>
          <w:szCs w:val="20"/>
          <w:lang w:val="en-US"/>
        </w:rPr>
        <w:t>CMV</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инфекциите, костномозъчно стимулиране, едновременно приложение на интерлевкин-2-антагониста даклизумаб, по-ниски начални дози такролимус с желани концентрации в кръвта 10 до 15 </w:t>
      </w:r>
      <w:r w:rsidRPr="00732553">
        <w:rPr>
          <w:rFonts w:eastAsia="Times New Roman" w:cs="Arial"/>
          <w:color w:val="000000"/>
          <w:szCs w:val="20"/>
          <w:lang w:val="en-US"/>
        </w:rPr>
        <w:t>ng</w:t>
      </w:r>
      <w:r w:rsidRPr="00732553">
        <w:rPr>
          <w:rFonts w:eastAsia="Times New Roman" w:cs="Arial"/>
          <w:color w:val="000000"/>
          <w:szCs w:val="20"/>
          <w:lang w:val="ru-RU"/>
        </w:rPr>
        <w:t>/</w:t>
      </w:r>
      <w:r w:rsidRPr="00732553">
        <w:rPr>
          <w:rFonts w:eastAsia="Times New Roman" w:cs="Arial"/>
          <w:color w:val="000000"/>
          <w:szCs w:val="20"/>
          <w:lang w:val="en-US"/>
        </w:rPr>
        <w:t>ml</w:t>
      </w:r>
      <w:r w:rsidRPr="00732553">
        <w:rPr>
          <w:rFonts w:eastAsia="Times New Roman" w:cs="Arial"/>
          <w:color w:val="000000"/>
          <w:szCs w:val="20"/>
          <w:lang w:val="ru-RU"/>
        </w:rPr>
        <w:t xml:space="preserve"> </w:t>
      </w:r>
      <w:r w:rsidRPr="00732553">
        <w:rPr>
          <w:rFonts w:eastAsia="Times New Roman" w:cs="Arial"/>
          <w:color w:val="000000"/>
          <w:szCs w:val="20"/>
          <w:lang w:eastAsia="bg-BG"/>
        </w:rPr>
        <w:t xml:space="preserve">и напоследък облъчване на трансплантата, се смята, че допринасят за подобрените резултати за това показание с времето </w:t>
      </w:r>
      <w:r w:rsidRPr="00732553">
        <w:rPr>
          <w:rFonts w:eastAsia="Times New Roman" w:cs="Arial"/>
          <w:color w:val="000000"/>
          <w:szCs w:val="20"/>
          <w:lang w:val="ru-RU"/>
        </w:rPr>
        <w:t>(</w:t>
      </w:r>
      <w:r w:rsidRPr="00732553">
        <w:rPr>
          <w:rFonts w:eastAsia="Times New Roman" w:cs="Arial"/>
          <w:color w:val="000000"/>
          <w:szCs w:val="20"/>
          <w:lang w:val="en-US"/>
        </w:rPr>
        <w:t>Abu</w:t>
      </w:r>
      <w:r w:rsidRPr="00732553">
        <w:rPr>
          <w:rFonts w:eastAsia="Times New Roman" w:cs="Arial"/>
          <w:color w:val="000000"/>
          <w:szCs w:val="20"/>
          <w:lang w:val="ru-RU"/>
        </w:rPr>
        <w:t xml:space="preserve"> </w:t>
      </w:r>
      <w:proofErr w:type="spellStart"/>
      <w:r w:rsidRPr="00732553">
        <w:rPr>
          <w:rFonts w:eastAsia="Times New Roman" w:cs="Arial"/>
          <w:color w:val="000000"/>
          <w:szCs w:val="20"/>
          <w:lang w:val="en-US"/>
        </w:rPr>
        <w:t>Elmagd</w:t>
      </w:r>
      <w:proofErr w:type="spellEnd"/>
      <w:r w:rsidRPr="00732553">
        <w:rPr>
          <w:rFonts w:eastAsia="Times New Roman" w:cs="Arial"/>
          <w:color w:val="000000"/>
          <w:szCs w:val="20"/>
          <w:lang w:val="ru-RU"/>
        </w:rPr>
        <w:t xml:space="preserve"> </w:t>
      </w:r>
      <w:r w:rsidRPr="00732553">
        <w:rPr>
          <w:rFonts w:eastAsia="Times New Roman" w:cs="Arial"/>
          <w:color w:val="000000"/>
          <w:szCs w:val="20"/>
          <w:lang w:val="en-US"/>
        </w:rPr>
        <w:t>et</w:t>
      </w:r>
      <w:r w:rsidRPr="00732553">
        <w:rPr>
          <w:rFonts w:eastAsia="Times New Roman" w:cs="Arial"/>
          <w:color w:val="000000"/>
          <w:szCs w:val="20"/>
          <w:lang w:val="ru-RU"/>
        </w:rPr>
        <w:t xml:space="preserve"> </w:t>
      </w:r>
      <w:r w:rsidRPr="00732553">
        <w:rPr>
          <w:rFonts w:eastAsia="Times New Roman" w:cs="Arial"/>
          <w:color w:val="000000"/>
          <w:szCs w:val="20"/>
          <w:lang w:val="en-US"/>
        </w:rPr>
        <w:t>al</w:t>
      </w:r>
      <w:r w:rsidRPr="00732553">
        <w:rPr>
          <w:rFonts w:eastAsia="Times New Roman" w:cs="Arial"/>
          <w:color w:val="000000"/>
          <w:szCs w:val="20"/>
          <w:lang w:val="ru-RU"/>
        </w:rPr>
        <w:t xml:space="preserve"> </w:t>
      </w:r>
      <w:r w:rsidRPr="00732553">
        <w:rPr>
          <w:rFonts w:eastAsia="Times New Roman" w:cs="Arial"/>
          <w:color w:val="000000"/>
          <w:szCs w:val="20"/>
          <w:lang w:val="en-US"/>
        </w:rPr>
        <w:t>Ann</w:t>
      </w:r>
      <w:r w:rsidRPr="00732553">
        <w:rPr>
          <w:rFonts w:eastAsia="Times New Roman" w:cs="Arial"/>
          <w:color w:val="000000"/>
          <w:szCs w:val="20"/>
          <w:lang w:val="ru-RU"/>
        </w:rPr>
        <w:t xml:space="preserve"> </w:t>
      </w:r>
      <w:proofErr w:type="spellStart"/>
      <w:r w:rsidRPr="00732553">
        <w:rPr>
          <w:rFonts w:eastAsia="Times New Roman" w:cs="Arial"/>
          <w:color w:val="000000"/>
          <w:szCs w:val="20"/>
          <w:lang w:val="en-US"/>
        </w:rPr>
        <w:t>Surg</w:t>
      </w:r>
      <w:proofErr w:type="spellEnd"/>
      <w:r w:rsidRPr="00732553">
        <w:rPr>
          <w:rFonts w:eastAsia="Times New Roman" w:cs="Arial"/>
          <w:color w:val="000000"/>
          <w:szCs w:val="20"/>
          <w:lang w:val="ru-RU"/>
        </w:rPr>
        <w:t xml:space="preserve"> 2001; 234:404).</w:t>
      </w:r>
    </w:p>
    <w:p w14:paraId="06F6DD16" w14:textId="450D1C4A" w:rsidR="00732553" w:rsidRPr="00732553" w:rsidRDefault="00732553" w:rsidP="00732553"/>
    <w:p w14:paraId="346B622B" w14:textId="7E25015B" w:rsidR="00875EEC" w:rsidRDefault="002C50EE" w:rsidP="005726E3">
      <w:pPr>
        <w:pStyle w:val="Heading2"/>
      </w:pPr>
      <w:r>
        <w:t>5.2. Фармакокинетични свойства</w:t>
      </w:r>
    </w:p>
    <w:p w14:paraId="6CB1F0E6" w14:textId="017396AD" w:rsidR="008F5B65" w:rsidRDefault="008F5B65" w:rsidP="008F5B65"/>
    <w:p w14:paraId="0DBAE20A" w14:textId="77777777" w:rsidR="008F5B65" w:rsidRPr="008F5B65" w:rsidRDefault="008F5B65" w:rsidP="008F5B65">
      <w:pPr>
        <w:pStyle w:val="Heading3"/>
        <w:rPr>
          <w:rFonts w:eastAsia="Times New Roman"/>
          <w:sz w:val="28"/>
          <w:u w:val="single"/>
        </w:rPr>
      </w:pPr>
      <w:r w:rsidRPr="008F5B65">
        <w:rPr>
          <w:rFonts w:eastAsia="Times New Roman"/>
          <w:u w:val="single"/>
          <w:lang w:eastAsia="bg-BG"/>
        </w:rPr>
        <w:t>Абсорбция</w:t>
      </w:r>
    </w:p>
    <w:p w14:paraId="557E5892"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Показано е, че при човек такролимус се абсорбира в стомашно-чревния тракт. След перорално приложение на Програф капсули максимални концентрации (С</w:t>
      </w:r>
      <w:r w:rsidRPr="008F5B65">
        <w:rPr>
          <w:rFonts w:eastAsia="Times New Roman" w:cs="Arial"/>
          <w:color w:val="000000"/>
          <w:szCs w:val="20"/>
          <w:vertAlign w:val="subscript"/>
          <w:lang w:val="en-US"/>
        </w:rPr>
        <w:t>max</w:t>
      </w:r>
      <w:r w:rsidRPr="008F5B65">
        <w:rPr>
          <w:rFonts w:eastAsia="Times New Roman" w:cs="Arial"/>
          <w:color w:val="000000"/>
          <w:szCs w:val="20"/>
          <w:lang w:val="ru-RU"/>
        </w:rPr>
        <w:t xml:space="preserve">) </w:t>
      </w:r>
      <w:r w:rsidRPr="008F5B65">
        <w:rPr>
          <w:rFonts w:eastAsia="Times New Roman" w:cs="Arial"/>
          <w:color w:val="000000"/>
          <w:szCs w:val="20"/>
          <w:lang w:eastAsia="bg-BG"/>
        </w:rPr>
        <w:t>На такролимус в кръвта се достигат за около 1 -3 часа. При някои пациенти изглежда, че такролимус се абсорбира непрекъснато в по-дълъг период, като профилът на абсорбция е относително равен. Средната бионаличност след перорален прием е от порядъка на 20- 25%.</w:t>
      </w:r>
    </w:p>
    <w:p w14:paraId="4A682CB6" w14:textId="1696BFEB" w:rsidR="008F5B65" w:rsidRPr="008F5B65" w:rsidRDefault="008F5B65" w:rsidP="008F5B65">
      <w:pPr>
        <w:spacing w:line="240" w:lineRule="auto"/>
        <w:rPr>
          <w:rFonts w:eastAsia="Times New Roman" w:cs="Arial"/>
          <w:color w:val="000000"/>
          <w:szCs w:val="20"/>
          <w:lang w:eastAsia="bg-BG"/>
        </w:rPr>
      </w:pPr>
      <w:r w:rsidRPr="008F5B65">
        <w:rPr>
          <w:rFonts w:eastAsia="Times New Roman" w:cs="Arial"/>
          <w:color w:val="000000"/>
          <w:szCs w:val="20"/>
          <w:lang w:eastAsia="bg-BG"/>
        </w:rPr>
        <w:t xml:space="preserve">След перорално приложение (0.30 </w:t>
      </w:r>
      <w:r w:rsidRPr="008F5B65">
        <w:rPr>
          <w:rFonts w:eastAsia="Times New Roman" w:cs="Arial"/>
          <w:color w:val="000000"/>
          <w:szCs w:val="20"/>
          <w:lang w:val="en-US"/>
        </w:rPr>
        <w:t>mg</w:t>
      </w:r>
      <w:r w:rsidRPr="008F5B65">
        <w:rPr>
          <w:rFonts w:eastAsia="Times New Roman" w:cs="Arial"/>
          <w:color w:val="000000"/>
          <w:szCs w:val="20"/>
          <w:lang w:val="ru-RU"/>
        </w:rPr>
        <w:t>/</w:t>
      </w:r>
      <w:r w:rsidRPr="008F5B65">
        <w:rPr>
          <w:rFonts w:eastAsia="Times New Roman" w:cs="Arial"/>
          <w:color w:val="000000"/>
          <w:szCs w:val="20"/>
          <w:lang w:val="en-US"/>
        </w:rPr>
        <w:t>kg</w:t>
      </w:r>
      <w:r w:rsidRPr="008F5B65">
        <w:rPr>
          <w:rFonts w:eastAsia="Times New Roman" w:cs="Arial"/>
          <w:color w:val="000000"/>
          <w:szCs w:val="20"/>
          <w:lang w:eastAsia="bg-BG"/>
        </w:rPr>
        <w:t>/дневно) при пациенти с чернодробна</w:t>
      </w:r>
      <w:r w:rsidRPr="008F5B65">
        <w:rPr>
          <w:rFonts w:eastAsia="Times New Roman" w:cs="Arial"/>
          <w:sz w:val="28"/>
          <w:szCs w:val="24"/>
        </w:rPr>
        <w:t xml:space="preserve"> </w:t>
      </w:r>
      <w:r w:rsidRPr="008F5B65">
        <w:rPr>
          <w:rFonts w:eastAsia="Times New Roman" w:cs="Arial"/>
          <w:color w:val="000000"/>
          <w:szCs w:val="20"/>
          <w:lang w:eastAsia="bg-BG"/>
        </w:rPr>
        <w:t>трансплантация, равновесни концентрации Програф се достигат за 3 дни при</w:t>
      </w:r>
      <w:r w:rsidRPr="008F5B65">
        <w:rPr>
          <w:rFonts w:eastAsia="Times New Roman" w:cs="Arial"/>
          <w:color w:val="000000"/>
          <w:szCs w:val="20"/>
          <w:lang w:val="ru-RU"/>
        </w:rPr>
        <w:t xml:space="preserve"> </w:t>
      </w:r>
      <w:r w:rsidRPr="008F5B65">
        <w:rPr>
          <w:rFonts w:eastAsia="Times New Roman" w:cs="Arial"/>
          <w:color w:val="000000"/>
          <w:szCs w:val="20"/>
          <w:lang w:eastAsia="bg-BG"/>
        </w:rPr>
        <w:t>мнозинството</w:t>
      </w:r>
      <w:r w:rsidRPr="008F5B65">
        <w:rPr>
          <w:rFonts w:eastAsia="Times New Roman" w:cs="Arial"/>
          <w:smallCaps/>
          <w:color w:val="000000"/>
          <w:szCs w:val="20"/>
          <w:lang w:eastAsia="bg-BG"/>
        </w:rPr>
        <w:t xml:space="preserve"> </w:t>
      </w:r>
      <w:r w:rsidRPr="008F5B65">
        <w:rPr>
          <w:rFonts w:eastAsia="Times New Roman" w:cs="Arial"/>
          <w:color w:val="000000"/>
          <w:szCs w:val="20"/>
          <w:lang w:eastAsia="bg-BG"/>
        </w:rPr>
        <w:t>пациенти.</w:t>
      </w:r>
    </w:p>
    <w:p w14:paraId="304D5065" w14:textId="21120B1C" w:rsidR="008F5B65" w:rsidRPr="008F5B65" w:rsidRDefault="008F5B65" w:rsidP="008F5B65">
      <w:pPr>
        <w:spacing w:line="240" w:lineRule="auto"/>
        <w:rPr>
          <w:rFonts w:eastAsia="Times New Roman" w:cs="Arial"/>
          <w:color w:val="000000"/>
          <w:szCs w:val="20"/>
          <w:lang w:eastAsia="bg-BG"/>
        </w:rPr>
      </w:pPr>
    </w:p>
    <w:p w14:paraId="1A4C08A1"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При здрави доброволци Програф твърди капсули 0.5 </w:t>
      </w:r>
      <w:r w:rsidRPr="008F5B65">
        <w:rPr>
          <w:rFonts w:eastAsia="Times New Roman" w:cs="Arial"/>
          <w:color w:val="000000"/>
          <w:szCs w:val="20"/>
          <w:lang w:val="en-US"/>
        </w:rPr>
        <w:t>mg</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1 </w:t>
      </w:r>
      <w:r w:rsidRPr="008F5B65">
        <w:rPr>
          <w:rFonts w:eastAsia="Times New Roman" w:cs="Arial"/>
          <w:color w:val="000000"/>
          <w:szCs w:val="20"/>
          <w:lang w:val="en-US"/>
        </w:rPr>
        <w:t>mg</w:t>
      </w:r>
      <w:r w:rsidRPr="008F5B65">
        <w:rPr>
          <w:rFonts w:eastAsia="Times New Roman" w:cs="Arial"/>
          <w:color w:val="000000"/>
          <w:szCs w:val="20"/>
          <w:lang w:val="ru-RU"/>
        </w:rPr>
        <w:t xml:space="preserve"> </w:t>
      </w:r>
      <w:r w:rsidRPr="008F5B65">
        <w:rPr>
          <w:rFonts w:eastAsia="Times New Roman" w:cs="Arial"/>
          <w:color w:val="000000"/>
          <w:szCs w:val="20"/>
          <w:lang w:eastAsia="bg-BG"/>
        </w:rPr>
        <w:t>и</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5 </w:t>
      </w:r>
      <w:r w:rsidRPr="008F5B65">
        <w:rPr>
          <w:rFonts w:eastAsia="Times New Roman" w:cs="Arial"/>
          <w:color w:val="000000"/>
          <w:szCs w:val="20"/>
          <w:lang w:val="en-US"/>
        </w:rPr>
        <w:t>mg</w:t>
      </w:r>
      <w:r w:rsidRPr="008F5B65">
        <w:rPr>
          <w:rFonts w:eastAsia="Times New Roman" w:cs="Arial"/>
          <w:color w:val="000000"/>
          <w:szCs w:val="20"/>
          <w:lang w:val="ru-RU"/>
        </w:rPr>
        <w:t xml:space="preserve"> </w:t>
      </w:r>
      <w:r w:rsidRPr="008F5B65">
        <w:rPr>
          <w:rFonts w:eastAsia="Times New Roman" w:cs="Arial"/>
          <w:color w:val="000000"/>
          <w:szCs w:val="20"/>
          <w:lang w:eastAsia="bg-BG"/>
        </w:rPr>
        <w:t>са биоеквивалентни, когато се прилагат в еквивалентна доза.</w:t>
      </w:r>
    </w:p>
    <w:p w14:paraId="2EEBFF7D" w14:textId="371AD12E"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Скоростта и степента на абсорбция на такролимус е по-голяма, когато се приема на гладно. Присъствието на храна намалява и скоростта и степента на абсорбция на такролимус, като този ефект е най-силно изразен след прием на храна с високо съдържание на мазнини. Храна с високо съдържание на въглехидрати оказва по-малко изразен ефект.При стабилизирани пациенти с чернодробна трансплантация оралната бионаличност на Програф намалява, когато се прилага след прием на храна с умерено съдържание на мазнини (34% от калориите). Понижението на </w:t>
      </w:r>
      <w:r w:rsidRPr="008F5B65">
        <w:rPr>
          <w:rFonts w:eastAsia="Times New Roman" w:cs="Arial"/>
          <w:color w:val="000000"/>
          <w:szCs w:val="20"/>
          <w:lang w:val="en-US"/>
        </w:rPr>
        <w:t>AUC</w:t>
      </w:r>
      <w:r w:rsidRPr="008F5B65">
        <w:rPr>
          <w:rFonts w:eastAsia="Times New Roman" w:cs="Arial"/>
          <w:color w:val="000000"/>
          <w:szCs w:val="20"/>
          <w:lang w:val="ru-RU"/>
        </w:rPr>
        <w:t xml:space="preserve"> </w:t>
      </w:r>
      <w:r w:rsidRPr="008F5B65">
        <w:rPr>
          <w:rFonts w:eastAsia="Times New Roman" w:cs="Arial"/>
          <w:color w:val="000000"/>
          <w:szCs w:val="20"/>
          <w:lang w:eastAsia="bg-BG"/>
        </w:rPr>
        <w:t>(27%) и на С</w:t>
      </w:r>
      <w:r w:rsidRPr="008F5B65">
        <w:rPr>
          <w:rFonts w:eastAsia="Times New Roman" w:cs="Arial"/>
          <w:color w:val="000000"/>
          <w:szCs w:val="20"/>
          <w:vertAlign w:val="subscript"/>
          <w:lang w:val="en-US"/>
        </w:rPr>
        <w:t>max</w:t>
      </w:r>
      <w:r w:rsidRPr="008F5B65">
        <w:rPr>
          <w:rFonts w:eastAsia="Times New Roman" w:cs="Arial"/>
          <w:color w:val="000000"/>
          <w:szCs w:val="20"/>
          <w:lang w:eastAsia="bg-BG"/>
        </w:rPr>
        <w:t xml:space="preserve"> (50%) и увеличението на </w:t>
      </w:r>
      <w:proofErr w:type="spellStart"/>
      <w:r w:rsidRPr="008F5B65">
        <w:rPr>
          <w:rFonts w:eastAsia="Times New Roman" w:cs="Arial"/>
          <w:color w:val="000000"/>
          <w:szCs w:val="20"/>
          <w:lang w:val="en-US"/>
        </w:rPr>
        <w:t>t</w:t>
      </w:r>
      <w:r w:rsidRPr="008F5B65">
        <w:rPr>
          <w:rFonts w:eastAsia="Times New Roman" w:cs="Arial"/>
          <w:color w:val="000000"/>
          <w:szCs w:val="20"/>
          <w:vertAlign w:val="subscript"/>
          <w:lang w:val="en-US"/>
        </w:rPr>
        <w:t>max</w:t>
      </w:r>
      <w:proofErr w:type="spellEnd"/>
      <w:r w:rsidRPr="008F5B65">
        <w:rPr>
          <w:rFonts w:eastAsia="Times New Roman" w:cs="Arial"/>
          <w:color w:val="000000"/>
          <w:szCs w:val="20"/>
          <w:lang w:val="ru-RU"/>
        </w:rPr>
        <w:t xml:space="preserve"> </w:t>
      </w:r>
      <w:r w:rsidRPr="008F5B65">
        <w:rPr>
          <w:rFonts w:eastAsia="Times New Roman" w:cs="Arial"/>
          <w:color w:val="000000"/>
          <w:szCs w:val="20"/>
          <w:lang w:eastAsia="bg-BG"/>
        </w:rPr>
        <w:t>(173%) в пълноценна кръв е очевидно.</w:t>
      </w:r>
    </w:p>
    <w:p w14:paraId="2EB534A7"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В проучване, в което участват стабилизирани пациенти с бъбречна трансплантация, на които е приложен Програф веднага след стандартна континентална закуска, ефектът върху бионаличността е по-малко изразен. Пониженията на </w:t>
      </w:r>
      <w:r w:rsidRPr="008F5B65">
        <w:rPr>
          <w:rFonts w:eastAsia="Times New Roman" w:cs="Arial"/>
          <w:color w:val="000000"/>
          <w:szCs w:val="20"/>
          <w:lang w:val="en-US"/>
        </w:rPr>
        <w:t>AUC</w:t>
      </w:r>
      <w:r w:rsidRPr="008F5B65">
        <w:rPr>
          <w:rFonts w:eastAsia="Times New Roman" w:cs="Arial"/>
          <w:color w:val="000000"/>
          <w:szCs w:val="20"/>
          <w:lang w:val="ru-RU"/>
        </w:rPr>
        <w:t xml:space="preserve"> </w:t>
      </w:r>
      <w:r w:rsidRPr="008F5B65">
        <w:rPr>
          <w:rFonts w:eastAsia="Times New Roman" w:cs="Arial"/>
          <w:color w:val="000000"/>
          <w:szCs w:val="20"/>
          <w:lang w:eastAsia="bg-BG"/>
        </w:rPr>
        <w:t>(2 до 12%) и на С</w:t>
      </w:r>
      <w:r w:rsidRPr="008F5B65">
        <w:rPr>
          <w:rFonts w:eastAsia="Times New Roman" w:cs="Arial"/>
          <w:color w:val="000000"/>
          <w:szCs w:val="20"/>
          <w:vertAlign w:val="subscript"/>
          <w:lang w:val="en-US"/>
        </w:rPr>
        <w:t>m</w:t>
      </w:r>
      <w:r w:rsidRPr="008F5B65">
        <w:rPr>
          <w:rFonts w:eastAsia="Times New Roman" w:cs="Arial"/>
          <w:color w:val="000000"/>
          <w:szCs w:val="20"/>
          <w:vertAlign w:val="subscript"/>
          <w:lang w:eastAsia="bg-BG"/>
        </w:rPr>
        <w:t>ах</w:t>
      </w:r>
      <w:r w:rsidRPr="008F5B65">
        <w:rPr>
          <w:rFonts w:eastAsia="Times New Roman" w:cs="Arial"/>
          <w:color w:val="000000"/>
          <w:szCs w:val="20"/>
          <w:lang w:eastAsia="bg-BG"/>
        </w:rPr>
        <w:t xml:space="preserve">(15 до 38%) и увеличението на </w:t>
      </w:r>
      <w:proofErr w:type="spellStart"/>
      <w:r w:rsidRPr="008F5B65">
        <w:rPr>
          <w:rFonts w:eastAsia="Times New Roman" w:cs="Arial"/>
          <w:color w:val="000000"/>
          <w:szCs w:val="20"/>
          <w:lang w:val="en-US"/>
        </w:rPr>
        <w:t>t</w:t>
      </w:r>
      <w:r w:rsidRPr="008F5B65">
        <w:rPr>
          <w:rFonts w:eastAsia="Times New Roman" w:cs="Arial"/>
          <w:color w:val="000000"/>
          <w:szCs w:val="20"/>
          <w:vertAlign w:val="subscript"/>
          <w:lang w:val="en-US"/>
        </w:rPr>
        <w:t>max</w:t>
      </w:r>
      <w:proofErr w:type="spellEnd"/>
      <w:r w:rsidRPr="008F5B65">
        <w:rPr>
          <w:rFonts w:eastAsia="Times New Roman" w:cs="Arial"/>
          <w:color w:val="000000"/>
          <w:szCs w:val="20"/>
          <w:lang w:val="ru-RU"/>
        </w:rPr>
        <w:t xml:space="preserve"> </w:t>
      </w:r>
      <w:r w:rsidRPr="008F5B65">
        <w:rPr>
          <w:rFonts w:eastAsia="Times New Roman" w:cs="Arial"/>
          <w:color w:val="000000"/>
          <w:szCs w:val="20"/>
          <w:lang w:eastAsia="bg-BG"/>
        </w:rPr>
        <w:t>(38 до 80%) в пълноценна кръв са очевидни.</w:t>
      </w:r>
    </w:p>
    <w:p w14:paraId="78B1C720"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Притокът на жлъчка не влияе върху абсорбцията на Програф.</w:t>
      </w:r>
    </w:p>
    <w:p w14:paraId="57311C5F"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Съществува силна корелация между </w:t>
      </w:r>
      <w:r w:rsidRPr="008F5B65">
        <w:rPr>
          <w:rFonts w:eastAsia="Times New Roman" w:cs="Arial"/>
          <w:color w:val="000000"/>
          <w:szCs w:val="20"/>
          <w:lang w:val="en-US"/>
        </w:rPr>
        <w:t>AUC</w:t>
      </w:r>
      <w:r w:rsidRPr="008F5B65">
        <w:rPr>
          <w:rFonts w:eastAsia="Times New Roman" w:cs="Arial"/>
          <w:color w:val="000000"/>
          <w:szCs w:val="20"/>
          <w:lang w:val="ru-RU"/>
        </w:rPr>
        <w:t xml:space="preserve"> </w:t>
      </w:r>
      <w:r w:rsidRPr="008F5B65">
        <w:rPr>
          <w:rFonts w:eastAsia="Times New Roman" w:cs="Arial"/>
          <w:color w:val="000000"/>
          <w:szCs w:val="20"/>
          <w:lang w:eastAsia="bg-BG"/>
        </w:rPr>
        <w:t>и равновесните концентрации в кръвта. Поради това мониторирането на концентрациите в пълноценната кръв дава добра представа за системното излагане на такролимус.</w:t>
      </w:r>
    </w:p>
    <w:p w14:paraId="20CB19B8" w14:textId="77777777" w:rsidR="008F5B65" w:rsidRPr="008F5B65" w:rsidRDefault="008F5B65" w:rsidP="008F5B65">
      <w:pPr>
        <w:spacing w:line="240" w:lineRule="auto"/>
        <w:rPr>
          <w:rFonts w:eastAsia="Times New Roman" w:cs="Arial"/>
          <w:color w:val="000000"/>
          <w:szCs w:val="20"/>
          <w:u w:val="single"/>
          <w:lang w:eastAsia="bg-BG"/>
        </w:rPr>
      </w:pPr>
    </w:p>
    <w:p w14:paraId="121A4B32" w14:textId="329F3543" w:rsidR="008F5B65" w:rsidRPr="008F5B65" w:rsidRDefault="008F5B65" w:rsidP="008F5B65">
      <w:pPr>
        <w:pStyle w:val="Heading3"/>
        <w:rPr>
          <w:rFonts w:eastAsia="Times New Roman"/>
          <w:sz w:val="28"/>
          <w:u w:val="single"/>
        </w:rPr>
      </w:pPr>
      <w:r w:rsidRPr="008F5B65">
        <w:rPr>
          <w:rFonts w:eastAsia="Times New Roman"/>
          <w:u w:val="single"/>
          <w:lang w:eastAsia="bg-BG"/>
        </w:rPr>
        <w:t>Разпределение и елиминиране</w:t>
      </w:r>
    </w:p>
    <w:p w14:paraId="15C3791C" w14:textId="64A49F49"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При човек разпределението на такролимус след интравенозна инфузия може да се опише като двуфазово. В системното кръвообращение такролимус се свързва стабилно с </w:t>
      </w:r>
      <w:r w:rsidRPr="008F5B65">
        <w:rPr>
          <w:rFonts w:eastAsia="Times New Roman" w:cs="Arial"/>
          <w:color w:val="000000"/>
          <w:szCs w:val="20"/>
          <w:lang w:eastAsia="bg-BG"/>
        </w:rPr>
        <w:lastRenderedPageBreak/>
        <w:t>еритроцитите, което води до съотношение в разпределението на концентрациите около 20:1 за пълноценна кръв:плазма. В плазмата такролимус е свързан в голяма степен (&gt;98.8%) с плазмените протеини, главно със серумния албумин и а-1-кисел гликопротеин. Такролимус е широко разпределен в тялото. Постоянният обем на разпределение на база плазмени концентрации е около 13001. (здрави доброволци). Съответните данни на база пълноценна кръв са средно 47.6 1.</w:t>
      </w:r>
    </w:p>
    <w:p w14:paraId="0709E6A4"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 xml:space="preserve">Такролимус е субстанция с нисък клирънс. При здрави доброволци средният тотален клирънс от тялото (ТВС), определен чрез концентрациите на пълноценна кръв, е 2.25 </w:t>
      </w:r>
      <w:r w:rsidRPr="008F5B65">
        <w:rPr>
          <w:rFonts w:eastAsia="Times New Roman" w:cs="Arial"/>
          <w:color w:val="000000"/>
          <w:szCs w:val="20"/>
          <w:lang w:val="en-US"/>
        </w:rPr>
        <w:t>l</w:t>
      </w:r>
      <w:r w:rsidRPr="008F5B65">
        <w:rPr>
          <w:rFonts w:eastAsia="Times New Roman" w:cs="Arial"/>
          <w:color w:val="000000"/>
          <w:szCs w:val="20"/>
          <w:lang w:val="ru-RU"/>
        </w:rPr>
        <w:t>./</w:t>
      </w:r>
      <w:proofErr w:type="gramStart"/>
      <w:r w:rsidRPr="008F5B65">
        <w:rPr>
          <w:rFonts w:eastAsia="Times New Roman" w:cs="Arial"/>
          <w:color w:val="000000"/>
          <w:szCs w:val="20"/>
          <w:lang w:val="en-US"/>
        </w:rPr>
        <w:t>h</w:t>
      </w:r>
      <w:proofErr w:type="gramEnd"/>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При възрастни пациенти с трансплантация на черен дроб, бъбрек и сърце се наблюдават стойности от 4.1 </w:t>
      </w:r>
      <w:r w:rsidRPr="008F5B65">
        <w:rPr>
          <w:rFonts w:eastAsia="Times New Roman" w:cs="Arial"/>
          <w:color w:val="000000"/>
          <w:szCs w:val="20"/>
          <w:lang w:val="en-US"/>
        </w:rPr>
        <w:t>l</w:t>
      </w:r>
      <w:r w:rsidRPr="008F5B65">
        <w:rPr>
          <w:rFonts w:eastAsia="Times New Roman" w:cs="Arial"/>
          <w:color w:val="000000"/>
          <w:szCs w:val="20"/>
          <w:lang w:val="ru-RU"/>
        </w:rPr>
        <w:t>./</w:t>
      </w:r>
      <w:r w:rsidRPr="008F5B65">
        <w:rPr>
          <w:rFonts w:eastAsia="Times New Roman" w:cs="Arial"/>
          <w:color w:val="000000"/>
          <w:szCs w:val="20"/>
          <w:lang w:val="en-US"/>
        </w:rPr>
        <w:t>h</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6.7 </w:t>
      </w:r>
      <w:r w:rsidRPr="008F5B65">
        <w:rPr>
          <w:rFonts w:eastAsia="Times New Roman" w:cs="Arial"/>
          <w:color w:val="000000"/>
          <w:szCs w:val="20"/>
          <w:lang w:val="en-US"/>
        </w:rPr>
        <w:t>l</w:t>
      </w:r>
      <w:r w:rsidRPr="008F5B65">
        <w:rPr>
          <w:rFonts w:eastAsia="Times New Roman" w:cs="Arial"/>
          <w:color w:val="000000"/>
          <w:szCs w:val="20"/>
          <w:lang w:val="ru-RU"/>
        </w:rPr>
        <w:t>./</w:t>
      </w:r>
      <w:r w:rsidRPr="008F5B65">
        <w:rPr>
          <w:rFonts w:eastAsia="Times New Roman" w:cs="Arial"/>
          <w:color w:val="000000"/>
          <w:szCs w:val="20"/>
          <w:lang w:val="en-US"/>
        </w:rPr>
        <w:t>h</w:t>
      </w:r>
      <w:r w:rsidRPr="008F5B65">
        <w:rPr>
          <w:rFonts w:eastAsia="Times New Roman" w:cs="Arial"/>
          <w:color w:val="000000"/>
          <w:szCs w:val="20"/>
          <w:lang w:val="ru-RU"/>
        </w:rPr>
        <w:t xml:space="preserve"> </w:t>
      </w:r>
      <w:r w:rsidRPr="008F5B65">
        <w:rPr>
          <w:rFonts w:eastAsia="Times New Roman" w:cs="Arial"/>
          <w:color w:val="000000"/>
          <w:szCs w:val="20"/>
          <w:lang w:val="en-US"/>
        </w:rPr>
        <w:t>u</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3.9 </w:t>
      </w:r>
      <w:r w:rsidRPr="008F5B65">
        <w:rPr>
          <w:rFonts w:eastAsia="Times New Roman" w:cs="Arial"/>
          <w:color w:val="000000"/>
          <w:szCs w:val="20"/>
          <w:lang w:val="ru-RU"/>
        </w:rPr>
        <w:t>17</w:t>
      </w:r>
      <w:r w:rsidRPr="008F5B65">
        <w:rPr>
          <w:rFonts w:eastAsia="Times New Roman" w:cs="Arial"/>
          <w:color w:val="000000"/>
          <w:szCs w:val="20"/>
          <w:lang w:val="en-US"/>
        </w:rPr>
        <w:t>h</w:t>
      </w:r>
      <w:r w:rsidRPr="008F5B65">
        <w:rPr>
          <w:rFonts w:eastAsia="Times New Roman" w:cs="Arial"/>
          <w:color w:val="000000"/>
          <w:szCs w:val="20"/>
          <w:lang w:val="ru-RU"/>
        </w:rPr>
        <w:t xml:space="preserve"> </w:t>
      </w:r>
      <w:r w:rsidRPr="008F5B65">
        <w:rPr>
          <w:rFonts w:eastAsia="Times New Roman" w:cs="Arial"/>
          <w:color w:val="000000"/>
          <w:szCs w:val="20"/>
          <w:lang w:eastAsia="bg-BG"/>
        </w:rPr>
        <w:t xml:space="preserve">съответно. Децата-реципиенти с чернодробна трансплантация имат ТВС, приблизително двоен на този при възрастни пациенти с чернодробна трансплантация. Счита се, че фактори като ниски хематокрит и протеинови нива, които предизвикват увеличение на несвързаната фракция такролимус, както </w:t>
      </w:r>
      <w:r w:rsidRPr="008F5B65">
        <w:rPr>
          <w:rFonts w:eastAsia="Times New Roman" w:cs="Arial"/>
          <w:i/>
          <w:iCs/>
          <w:color w:val="000000"/>
          <w:szCs w:val="20"/>
          <w:lang w:eastAsia="bg-BG"/>
        </w:rPr>
        <w:t xml:space="preserve">и </w:t>
      </w:r>
      <w:r w:rsidRPr="008F5B65">
        <w:rPr>
          <w:rFonts w:eastAsia="Times New Roman" w:cs="Arial"/>
          <w:color w:val="000000"/>
          <w:szCs w:val="20"/>
          <w:lang w:eastAsia="bg-BG"/>
        </w:rPr>
        <w:t>увеличеният под действието на кортикостероиди метаболизъм, са отговорни за по-високия клирънс, наблюдаван след трансплантацията.</w:t>
      </w:r>
    </w:p>
    <w:p w14:paraId="21E1CF49"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Времето на полуживот на такролимус е дълго и променливо. При здрави доброволци средното време на полуживот от пълноценна кръв е около 43 часа. При възрастни и деца с чернодробна трансплантация той е средно 11.7 часа и 12.4 часа съответно, сравнен с 15.6 часа при възрастни реципиенти на бъбречен трансплантант. Увеличените стойности на клирънса допринасят за по-краткото време на полуживот, наблюдавано при пациентите с трансплантация.</w:t>
      </w:r>
    </w:p>
    <w:p w14:paraId="4B046AB8" w14:textId="77777777" w:rsidR="008F5B65" w:rsidRPr="008F5B65" w:rsidRDefault="008F5B65" w:rsidP="008F5B65">
      <w:pPr>
        <w:spacing w:line="240" w:lineRule="auto"/>
        <w:rPr>
          <w:rFonts w:eastAsia="Times New Roman" w:cs="Arial"/>
          <w:color w:val="000000"/>
          <w:szCs w:val="20"/>
          <w:u w:val="single"/>
          <w:lang w:eastAsia="bg-BG"/>
        </w:rPr>
      </w:pPr>
    </w:p>
    <w:p w14:paraId="6ED9F5B7" w14:textId="2AA65B2C" w:rsidR="008F5B65" w:rsidRPr="008F5B65" w:rsidRDefault="008F5B65" w:rsidP="008F5B65">
      <w:pPr>
        <w:pStyle w:val="Heading3"/>
        <w:rPr>
          <w:rFonts w:eastAsia="Times New Roman"/>
          <w:sz w:val="28"/>
          <w:u w:val="single"/>
        </w:rPr>
      </w:pPr>
      <w:r w:rsidRPr="008F5B65">
        <w:rPr>
          <w:rFonts w:eastAsia="Times New Roman"/>
          <w:u w:val="single"/>
          <w:lang w:eastAsia="bg-BG"/>
        </w:rPr>
        <w:t>Метаболизъм и биотрансформация</w:t>
      </w:r>
    </w:p>
    <w:p w14:paraId="0CE4C25E" w14:textId="77777777" w:rsidR="008F5B65" w:rsidRPr="008F5B65" w:rsidRDefault="008F5B65" w:rsidP="008F5B65">
      <w:pPr>
        <w:rPr>
          <w:rFonts w:eastAsia="Times New Roman" w:cs="Arial"/>
          <w:sz w:val="28"/>
          <w:szCs w:val="24"/>
        </w:rPr>
      </w:pPr>
      <w:r w:rsidRPr="008F5B65">
        <w:rPr>
          <w:rFonts w:eastAsia="Times New Roman" w:cs="Arial"/>
          <w:color w:val="000000"/>
          <w:szCs w:val="20"/>
          <w:lang w:eastAsia="bg-BG"/>
        </w:rPr>
        <w:t xml:space="preserve">Такролимус се метаболизира основно в черния дроб, предимно чрез цитохром Р450-ЗА4. Той се метаболизира значително и в чревната стена. Идентифицирани са няколко метаболита. Само един от тях обаче </w:t>
      </w:r>
      <w:r w:rsidRPr="008F5B65">
        <w:rPr>
          <w:rFonts w:eastAsia="Times New Roman" w:cs="Arial"/>
          <w:i/>
          <w:iCs/>
          <w:color w:val="000000"/>
          <w:szCs w:val="20"/>
          <w:lang w:val="en-US"/>
        </w:rPr>
        <w:t>in</w:t>
      </w:r>
      <w:r w:rsidRPr="008F5B65">
        <w:rPr>
          <w:rFonts w:eastAsia="Times New Roman" w:cs="Arial"/>
          <w:i/>
          <w:iCs/>
          <w:color w:val="000000"/>
          <w:szCs w:val="20"/>
          <w:lang w:val="ru-RU"/>
        </w:rPr>
        <w:t xml:space="preserve"> </w:t>
      </w:r>
      <w:r w:rsidRPr="008F5B65">
        <w:rPr>
          <w:rFonts w:eastAsia="Times New Roman" w:cs="Arial"/>
          <w:i/>
          <w:iCs/>
          <w:color w:val="000000"/>
          <w:szCs w:val="20"/>
          <w:lang w:val="en-US"/>
        </w:rPr>
        <w:t>vitro</w:t>
      </w:r>
      <w:r w:rsidRPr="008F5B65">
        <w:rPr>
          <w:rFonts w:eastAsia="Times New Roman" w:cs="Arial"/>
          <w:i/>
          <w:iCs/>
          <w:color w:val="000000"/>
          <w:szCs w:val="20"/>
          <w:lang w:val="ru-RU"/>
        </w:rPr>
        <w:t xml:space="preserve"> </w:t>
      </w:r>
      <w:r w:rsidRPr="008F5B65">
        <w:rPr>
          <w:rFonts w:eastAsia="Times New Roman" w:cs="Arial"/>
          <w:i/>
          <w:iCs/>
          <w:color w:val="000000"/>
          <w:szCs w:val="20"/>
          <w:lang w:eastAsia="bg-BG"/>
        </w:rPr>
        <w:t>има</w:t>
      </w:r>
      <w:r w:rsidRPr="008F5B65">
        <w:rPr>
          <w:rFonts w:eastAsia="Times New Roman" w:cs="Arial"/>
          <w:color w:val="000000"/>
          <w:szCs w:val="20"/>
          <w:lang w:eastAsia="bg-BG"/>
        </w:rPr>
        <w:t xml:space="preserve"> имуносупресивна активност, подобна на такролимус. Другите метаболити имат много слаба или въобще нямат имуносупресивна активност, В системното кръвообращение присъства само един от неактивните метаболити в ниска концентрация. Затова метаболитите не допринасят за фармакологичната активност на такролимус.</w:t>
      </w:r>
    </w:p>
    <w:p w14:paraId="3F97F4A3" w14:textId="77777777" w:rsidR="008F5B65" w:rsidRPr="008F5B65" w:rsidRDefault="008F5B65" w:rsidP="008F5B65">
      <w:pPr>
        <w:spacing w:line="240" w:lineRule="auto"/>
        <w:rPr>
          <w:rFonts w:eastAsia="Times New Roman" w:cs="Arial"/>
          <w:color w:val="000000"/>
          <w:szCs w:val="20"/>
          <w:u w:val="single"/>
          <w:lang w:eastAsia="bg-BG"/>
        </w:rPr>
      </w:pPr>
    </w:p>
    <w:p w14:paraId="3F014C17" w14:textId="7E348324"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u w:val="single"/>
          <w:lang w:eastAsia="bg-BG"/>
        </w:rPr>
        <w:t>Екскреция</w:t>
      </w:r>
    </w:p>
    <w:p w14:paraId="2FD0F42F" w14:textId="77777777" w:rsidR="008F5B65" w:rsidRPr="008F5B65" w:rsidRDefault="008F5B65" w:rsidP="008F5B65">
      <w:pPr>
        <w:spacing w:line="240" w:lineRule="auto"/>
        <w:rPr>
          <w:rFonts w:eastAsia="Times New Roman" w:cs="Arial"/>
          <w:sz w:val="28"/>
          <w:szCs w:val="24"/>
        </w:rPr>
      </w:pPr>
      <w:r w:rsidRPr="008F5B65">
        <w:rPr>
          <w:rFonts w:eastAsia="Times New Roman" w:cs="Arial"/>
          <w:color w:val="000000"/>
          <w:szCs w:val="20"/>
          <w:lang w:eastAsia="bg-BG"/>
        </w:rPr>
        <w:t>След интравенозно и перорално приложение на такролимус, белязан с С</w:t>
      </w:r>
      <w:r w:rsidRPr="008F5B65">
        <w:rPr>
          <w:rFonts w:eastAsia="Times New Roman" w:cs="Arial"/>
          <w:color w:val="000000"/>
          <w:szCs w:val="20"/>
          <w:vertAlign w:val="superscript"/>
          <w:lang w:eastAsia="bg-BG"/>
        </w:rPr>
        <w:t>14</w:t>
      </w:r>
      <w:r w:rsidRPr="008F5B65">
        <w:rPr>
          <w:rFonts w:eastAsia="Times New Roman" w:cs="Arial"/>
          <w:color w:val="000000"/>
          <w:szCs w:val="20"/>
          <w:lang w:eastAsia="bg-BG"/>
        </w:rPr>
        <w:t>, повечето радиоактивност се елиминира с изпражненията, а около 2% - с урината. По-малко от 1% непроменен такролимус се открива в изпражненията и урината, което показва, че такролимус се метаболизира почти напълно преди елиминирането, като жлъчката е главният път на елиминиране.</w:t>
      </w:r>
    </w:p>
    <w:p w14:paraId="051DFDC2" w14:textId="1AD7B525" w:rsidR="008F5B65" w:rsidRPr="008F5B65" w:rsidRDefault="008F5B65" w:rsidP="008F5B65"/>
    <w:p w14:paraId="4F31844C" w14:textId="604D0157" w:rsidR="00875EEC" w:rsidRDefault="002C50EE" w:rsidP="005726E3">
      <w:pPr>
        <w:pStyle w:val="Heading2"/>
      </w:pPr>
      <w:r>
        <w:t>5.3. Предклинични данни за безопасност</w:t>
      </w:r>
    </w:p>
    <w:p w14:paraId="05394997" w14:textId="01C8D750" w:rsidR="008F5B65" w:rsidRDefault="008F5B65" w:rsidP="008F5B65"/>
    <w:p w14:paraId="6081428A" w14:textId="77777777" w:rsidR="008F5B65" w:rsidRPr="008F5B65" w:rsidRDefault="008F5B65" w:rsidP="008F5B65">
      <w:pPr>
        <w:rPr>
          <w:sz w:val="24"/>
          <w:szCs w:val="24"/>
        </w:rPr>
      </w:pPr>
      <w:r w:rsidRPr="008F5B65">
        <w:rPr>
          <w:lang w:eastAsia="bg-BG"/>
        </w:rPr>
        <w:t>Бъбреците и панкреасът са органите, първично засегнати при изследванията за токсичност, извършени с плъхове и бабуини. При плъхове такролимус оказва токсични ефекти върху нервната система и очите. Обратими кардиотоксични ефекти се наблюдават при зайци след интравенозно приложение на такролимус.</w:t>
      </w:r>
    </w:p>
    <w:p w14:paraId="59E298E6" w14:textId="77777777" w:rsidR="008F5B65" w:rsidRPr="008F5B65" w:rsidRDefault="008F5B65" w:rsidP="008F5B65">
      <w:pPr>
        <w:rPr>
          <w:sz w:val="24"/>
          <w:szCs w:val="24"/>
        </w:rPr>
      </w:pPr>
      <w:r w:rsidRPr="008F5B65">
        <w:rPr>
          <w:lang w:eastAsia="bg-BG"/>
        </w:rPr>
        <w:t xml:space="preserve">Когато такролимус се прилага интравенозно като бърза инфузия/болус инжекция при дози от 0,1 до 1,0 </w:t>
      </w:r>
      <w:r w:rsidRPr="008F5B65">
        <w:rPr>
          <w:lang w:val="en-US"/>
        </w:rPr>
        <w:t>mg</w:t>
      </w:r>
      <w:r w:rsidRPr="008F5B65">
        <w:rPr>
          <w:lang w:val="ru-RU"/>
        </w:rPr>
        <w:t>/</w:t>
      </w:r>
      <w:r w:rsidRPr="008F5B65">
        <w:rPr>
          <w:lang w:val="en-US"/>
        </w:rPr>
        <w:t>kg</w:t>
      </w:r>
      <w:r w:rsidRPr="008F5B65">
        <w:rPr>
          <w:lang w:val="ru-RU"/>
        </w:rPr>
        <w:t xml:space="preserve"> </w:t>
      </w:r>
      <w:r w:rsidRPr="008F5B65">
        <w:rPr>
          <w:lang w:eastAsia="bg-BG"/>
        </w:rPr>
        <w:t xml:space="preserve">се наблюдава </w:t>
      </w:r>
      <w:proofErr w:type="spellStart"/>
      <w:r w:rsidRPr="008F5B65">
        <w:rPr>
          <w:lang w:val="en-US"/>
        </w:rPr>
        <w:t>QTc</w:t>
      </w:r>
      <w:proofErr w:type="spellEnd"/>
      <w:r w:rsidRPr="008F5B65">
        <w:rPr>
          <w:lang w:val="ru-RU"/>
        </w:rPr>
        <w:t xml:space="preserve"> </w:t>
      </w:r>
      <w:r w:rsidRPr="008F5B65">
        <w:rPr>
          <w:lang w:eastAsia="bg-BG"/>
        </w:rPr>
        <w:t>удължаване при някои животински видове.</w:t>
      </w:r>
    </w:p>
    <w:p w14:paraId="6510978E" w14:textId="77777777" w:rsidR="008F5B65" w:rsidRPr="008F5B65" w:rsidRDefault="008F5B65" w:rsidP="008F5B65">
      <w:pPr>
        <w:rPr>
          <w:sz w:val="24"/>
          <w:szCs w:val="24"/>
        </w:rPr>
      </w:pPr>
      <w:r w:rsidRPr="008F5B65">
        <w:rPr>
          <w:lang w:eastAsia="bg-BG"/>
        </w:rPr>
        <w:t xml:space="preserve">Достигнатите с тези дози пикови концентрации в кръвта са над 150 </w:t>
      </w:r>
      <w:r w:rsidRPr="008F5B65">
        <w:rPr>
          <w:lang w:val="en-US"/>
        </w:rPr>
        <w:t>ng</w:t>
      </w:r>
      <w:r w:rsidRPr="008F5B65">
        <w:rPr>
          <w:lang w:val="ru-RU"/>
        </w:rPr>
        <w:t>/</w:t>
      </w:r>
      <w:r w:rsidRPr="008F5B65">
        <w:rPr>
          <w:lang w:val="en-US"/>
        </w:rPr>
        <w:t>ml</w:t>
      </w:r>
      <w:r w:rsidRPr="008F5B65">
        <w:rPr>
          <w:lang w:val="ru-RU"/>
        </w:rPr>
        <w:t xml:space="preserve">, </w:t>
      </w:r>
      <w:r w:rsidRPr="008F5B65">
        <w:rPr>
          <w:lang w:eastAsia="bg-BG"/>
        </w:rPr>
        <w:t xml:space="preserve">което е над 6 пъти повече от средните пикови концентрации, наблюдавани с </w:t>
      </w:r>
      <w:proofErr w:type="spellStart"/>
      <w:r w:rsidRPr="008F5B65">
        <w:rPr>
          <w:lang w:val="en-US"/>
        </w:rPr>
        <w:t>Prograf</w:t>
      </w:r>
      <w:proofErr w:type="spellEnd"/>
      <w:r w:rsidRPr="008F5B65">
        <w:rPr>
          <w:lang w:val="ru-RU"/>
        </w:rPr>
        <w:t xml:space="preserve"> </w:t>
      </w:r>
      <w:r w:rsidRPr="008F5B65">
        <w:rPr>
          <w:lang w:eastAsia="bg-BG"/>
        </w:rPr>
        <w:t>при клинични трансплантации.</w:t>
      </w:r>
    </w:p>
    <w:p w14:paraId="489300EC" w14:textId="77777777" w:rsidR="008F5B65" w:rsidRPr="008F5B65" w:rsidRDefault="008F5B65" w:rsidP="008F5B65">
      <w:pPr>
        <w:rPr>
          <w:sz w:val="24"/>
          <w:szCs w:val="24"/>
        </w:rPr>
      </w:pPr>
      <w:r w:rsidRPr="008F5B65">
        <w:rPr>
          <w:lang w:eastAsia="bg-BG"/>
        </w:rPr>
        <w:lastRenderedPageBreak/>
        <w:t>При плъхове и зайци е наблюдавана ембриофетална токсичност и е била ограничена до дози, които предизвикват значителна токсичност при животните-майки. При плъхове женската репродуктивна функция, включително раждане, се уврежда при токсични дози и в котилото се наблюдава по-ниско тегло при раждане, намалени жизнеспособност и растеж.</w:t>
      </w:r>
    </w:p>
    <w:p w14:paraId="10F8C70C" w14:textId="4A972B82" w:rsidR="008F5B65" w:rsidRPr="008F5B65" w:rsidRDefault="008F5B65" w:rsidP="008F5B65">
      <w:r w:rsidRPr="008F5B65">
        <w:rPr>
          <w:lang w:eastAsia="bg-BG"/>
        </w:rPr>
        <w:t>При плъхове е наблюдаван отрицателен ефект на такролимус върху мъжкия фертилитет под форма на намален брой сперматозоиди и намалена подвижност.</w:t>
      </w:r>
    </w:p>
    <w:p w14:paraId="1BA6531D" w14:textId="246D08E6" w:rsidR="00B6672E" w:rsidRDefault="002C50EE" w:rsidP="00936AD0">
      <w:pPr>
        <w:pStyle w:val="Heading1"/>
      </w:pPr>
      <w:r>
        <w:t>7. ПРИТЕЖАТЕЛ НА РАЗРЕШЕНИЕТО ЗА УПОТРЕБА</w:t>
      </w:r>
    </w:p>
    <w:p w14:paraId="05FB1DE6" w14:textId="0DB6B8D4" w:rsidR="008F5B65" w:rsidRDefault="008F5B65" w:rsidP="008F5B65"/>
    <w:p w14:paraId="4B4C6573" w14:textId="77777777" w:rsidR="008F5B65" w:rsidRDefault="008F5B65" w:rsidP="008F5B65">
      <w:pPr>
        <w:rPr>
          <w:lang w:val="en-US"/>
        </w:rPr>
      </w:pPr>
      <w:proofErr w:type="spellStart"/>
      <w:r w:rsidRPr="008F5B65">
        <w:rPr>
          <w:lang w:val="en-US"/>
        </w:rPr>
        <w:t>Astellas</w:t>
      </w:r>
      <w:proofErr w:type="spellEnd"/>
      <w:r w:rsidRPr="008F5B65">
        <w:rPr>
          <w:lang w:val="en-US"/>
        </w:rPr>
        <w:t xml:space="preserve"> Pharma Europe B.V. </w:t>
      </w:r>
    </w:p>
    <w:p w14:paraId="5003C74E" w14:textId="77777777" w:rsidR="008F5B65" w:rsidRDefault="008F5B65" w:rsidP="008F5B65">
      <w:pPr>
        <w:rPr>
          <w:lang w:val="en-US"/>
        </w:rPr>
      </w:pPr>
      <w:proofErr w:type="spellStart"/>
      <w:r w:rsidRPr="008F5B65">
        <w:rPr>
          <w:lang w:val="en-US"/>
        </w:rPr>
        <w:t>Sylviusweg</w:t>
      </w:r>
      <w:proofErr w:type="spellEnd"/>
      <w:r w:rsidRPr="008F5B65">
        <w:rPr>
          <w:lang w:val="en-US"/>
        </w:rPr>
        <w:t xml:space="preserve"> 62 </w:t>
      </w:r>
    </w:p>
    <w:p w14:paraId="57AC6B38" w14:textId="4CDCDC7F" w:rsidR="008F5B65" w:rsidRPr="008F5B65" w:rsidRDefault="008F5B65" w:rsidP="008F5B65">
      <w:pPr>
        <w:rPr>
          <w:sz w:val="24"/>
          <w:szCs w:val="24"/>
          <w:lang w:val="en-US"/>
        </w:rPr>
      </w:pPr>
      <w:r w:rsidRPr="008F5B65">
        <w:rPr>
          <w:lang w:val="en-US"/>
        </w:rPr>
        <w:t>2333 BE Leiden</w:t>
      </w:r>
    </w:p>
    <w:p w14:paraId="6860B1E3" w14:textId="5B0EE2EE" w:rsidR="008F5B65" w:rsidRPr="008F5B65" w:rsidRDefault="008F5B65" w:rsidP="008F5B65">
      <w:pPr>
        <w:rPr>
          <w:lang w:eastAsia="bg-BG"/>
        </w:rPr>
      </w:pPr>
      <w:r w:rsidRPr="008F5B65">
        <w:rPr>
          <w:lang w:eastAsia="bg-BG"/>
        </w:rPr>
        <w:t>Нидерландия</w:t>
      </w:r>
    </w:p>
    <w:p w14:paraId="508F3A54" w14:textId="3C01ED01" w:rsidR="00B6672E" w:rsidRDefault="00936AD0" w:rsidP="00936AD0">
      <w:pPr>
        <w:pStyle w:val="Heading1"/>
      </w:pPr>
      <w:r>
        <w:t>8.</w:t>
      </w:r>
      <w:r w:rsidR="002C50EE">
        <w:t>НОМЕР НА РАЗРЕШЕНИЕТО ЗА УПОТРЕБА</w:t>
      </w:r>
    </w:p>
    <w:p w14:paraId="30EE07E5" w14:textId="36B1AF70" w:rsidR="008F5B65" w:rsidRDefault="008F5B65" w:rsidP="008F5B65"/>
    <w:p w14:paraId="24B5719A" w14:textId="77777777" w:rsidR="008F5B65" w:rsidRPr="008F5B65" w:rsidRDefault="008F5B65" w:rsidP="008F5B65">
      <w:pPr>
        <w:rPr>
          <w:sz w:val="24"/>
          <w:szCs w:val="24"/>
        </w:rPr>
      </w:pPr>
      <w:r w:rsidRPr="008F5B65">
        <w:rPr>
          <w:lang w:eastAsia="bg-BG"/>
        </w:rPr>
        <w:t xml:space="preserve">Програф 0,5 </w:t>
      </w:r>
      <w:r w:rsidRPr="008F5B65">
        <w:rPr>
          <w:lang w:val="en-US"/>
        </w:rPr>
        <w:t>mg</w:t>
      </w:r>
      <w:r w:rsidRPr="008F5B65">
        <w:rPr>
          <w:lang w:val="ru-RU"/>
        </w:rPr>
        <w:t xml:space="preserve"> </w:t>
      </w:r>
      <w:r w:rsidRPr="008F5B65">
        <w:rPr>
          <w:lang w:eastAsia="bg-BG"/>
        </w:rPr>
        <w:t>твърди капсули 20060599</w:t>
      </w:r>
    </w:p>
    <w:p w14:paraId="3877AFDE" w14:textId="77777777" w:rsidR="008F5B65" w:rsidRDefault="008F5B65" w:rsidP="008F5B65">
      <w:pPr>
        <w:rPr>
          <w:lang w:eastAsia="bg-BG"/>
        </w:rPr>
      </w:pPr>
    </w:p>
    <w:p w14:paraId="5FD3E61A" w14:textId="5F2F6662" w:rsidR="008F5B65" w:rsidRPr="008F5B65" w:rsidRDefault="008F5B65" w:rsidP="008F5B65">
      <w:pPr>
        <w:rPr>
          <w:sz w:val="24"/>
          <w:szCs w:val="24"/>
        </w:rPr>
      </w:pPr>
      <w:r w:rsidRPr="008F5B65">
        <w:rPr>
          <w:lang w:eastAsia="bg-BG"/>
        </w:rPr>
        <w:t xml:space="preserve">Програф 1 </w:t>
      </w:r>
      <w:r w:rsidRPr="008F5B65">
        <w:rPr>
          <w:lang w:val="en-US"/>
        </w:rPr>
        <w:t>mg</w:t>
      </w:r>
      <w:r w:rsidRPr="008F5B65">
        <w:rPr>
          <w:lang w:val="ru-RU"/>
        </w:rPr>
        <w:t xml:space="preserve"> </w:t>
      </w:r>
      <w:r w:rsidRPr="008F5B65">
        <w:rPr>
          <w:lang w:eastAsia="bg-BG"/>
        </w:rPr>
        <w:t>твърди капсули 20060600</w:t>
      </w:r>
    </w:p>
    <w:p w14:paraId="59A42DF5" w14:textId="77777777" w:rsidR="008F5B65" w:rsidRPr="008F5B65" w:rsidRDefault="008F5B65" w:rsidP="008F5B65"/>
    <w:p w14:paraId="3BC5EC53" w14:textId="62A2B190" w:rsidR="00875EEC" w:rsidRDefault="002C50EE" w:rsidP="005726E3">
      <w:pPr>
        <w:pStyle w:val="Heading1"/>
      </w:pPr>
      <w:r>
        <w:t>9. ДАТА НА ПЪРВО РАЗРЕШАВАНЕ/ПОДНОВЯВАНЕ НА РАЗРЕШЕНИЕТО ЗА УПОТРЕБА</w:t>
      </w:r>
    </w:p>
    <w:p w14:paraId="1682B9F5" w14:textId="30249AE9" w:rsidR="008F5B65" w:rsidRDefault="008F5B65" w:rsidP="008F5B65"/>
    <w:p w14:paraId="1CD99E23" w14:textId="77777777" w:rsidR="008F5B65" w:rsidRPr="008F5B65" w:rsidRDefault="008F5B65" w:rsidP="008F5B65">
      <w:pPr>
        <w:rPr>
          <w:sz w:val="24"/>
          <w:szCs w:val="24"/>
        </w:rPr>
      </w:pPr>
      <w:r w:rsidRPr="008F5B65">
        <w:rPr>
          <w:lang w:eastAsia="bg-BG"/>
        </w:rPr>
        <w:t>Дата на първо разрешаване: 31.10.2006</w:t>
      </w:r>
    </w:p>
    <w:p w14:paraId="0757AB40" w14:textId="08E0680A" w:rsidR="008F5B65" w:rsidRPr="008F5B65" w:rsidRDefault="008F5B65" w:rsidP="008F5B65">
      <w:pPr>
        <w:rPr>
          <w:sz w:val="24"/>
          <w:szCs w:val="24"/>
        </w:rPr>
      </w:pPr>
      <w:r w:rsidRPr="008F5B65">
        <w:rPr>
          <w:lang w:eastAsia="bg-BG"/>
        </w:rPr>
        <w:t>Дата на последно подновяване: 12.01.2012</w:t>
      </w:r>
    </w:p>
    <w:p w14:paraId="43FB38A2" w14:textId="0679DE96" w:rsidR="007C605B" w:rsidRDefault="002C50EE" w:rsidP="005726E3">
      <w:pPr>
        <w:pStyle w:val="Heading1"/>
      </w:pPr>
      <w:r>
        <w:t>10. ДАТА НА АКТУАЛИЗИРАНЕ НА ТЕКСТА</w:t>
      </w:r>
      <w:bookmarkEnd w:id="0"/>
    </w:p>
    <w:p w14:paraId="0C5CCBE1" w14:textId="5F0630BB" w:rsidR="008F5B65" w:rsidRDefault="008F5B65" w:rsidP="008F5B65"/>
    <w:p w14:paraId="0B886668" w14:textId="6A349EBF" w:rsidR="008F5B65" w:rsidRPr="008F5B65" w:rsidRDefault="008F5B65" w:rsidP="008F5B65">
      <w:r>
        <w:t>05/2022</w:t>
      </w:r>
      <w:bookmarkStart w:id="3" w:name="_GoBack"/>
      <w:bookmarkEnd w:id="3"/>
    </w:p>
    <w:sectPr w:rsidR="008F5B65" w:rsidRPr="008F5B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9"/>
  </w:num>
  <w:num w:numId="25">
    <w:abstractNumId w:val="23"/>
  </w:num>
  <w:num w:numId="26">
    <w:abstractNumId w:val="22"/>
  </w:num>
  <w:num w:numId="27">
    <w:abstractNumId w:val="32"/>
  </w:num>
  <w:num w:numId="28">
    <w:abstractNumId w:val="6"/>
  </w:num>
  <w:num w:numId="29">
    <w:abstractNumId w:val="21"/>
  </w:num>
  <w:num w:numId="30">
    <w:abstractNumId w:val="35"/>
  </w:num>
  <w:num w:numId="31">
    <w:abstractNumId w:val="5"/>
  </w:num>
  <w:num w:numId="32">
    <w:abstractNumId w:val="34"/>
  </w:num>
  <w:num w:numId="33">
    <w:abstractNumId w:val="29"/>
  </w:num>
  <w:num w:numId="34">
    <w:abstractNumId w:val="33"/>
  </w:num>
  <w:num w:numId="35">
    <w:abstractNumId w:val="7"/>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6C7468"/>
    <w:rsid w:val="007122AD"/>
    <w:rsid w:val="00732553"/>
    <w:rsid w:val="0075649D"/>
    <w:rsid w:val="007C605B"/>
    <w:rsid w:val="008134C8"/>
    <w:rsid w:val="00814073"/>
    <w:rsid w:val="00826F0D"/>
    <w:rsid w:val="00875EEC"/>
    <w:rsid w:val="00893B92"/>
    <w:rsid w:val="008A6AF2"/>
    <w:rsid w:val="008C70A2"/>
    <w:rsid w:val="008F5B65"/>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10013</Words>
  <Characters>57077</Characters>
  <Application>Microsoft Office Word</Application>
  <DocSecurity>0</DocSecurity>
  <Lines>475</Lines>
  <Paragraphs>133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2022-10-29T20:32:00Z</dcterms:created>
  <dcterms:modified xsi:type="dcterms:W3CDTF">2022-10-29T20:32:00Z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