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320F4BE" w14:textId="1C536A4D" w:rsidR="00C40420" w:rsidRDefault="00DD466D" w:rsidP="004A448E">
      <w:pPr>
        <w:pStyle w:val="Heading1"/>
      </w:pPr>
      <w:r>
        <w:t>1.ИМЕ НА ЛЕКАРСТВЕНИЯ ПРОДУКТ</w:t>
      </w:r>
    </w:p>
    <w:p w14:paraId="4721C2E5" w14:textId="753EAA7F" w:rsidR="004F572F" w:rsidRDefault="004F572F" w:rsidP="004F572F"/>
    <w:p w14:paraId="52F1E9BD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ПРОМЕРОЛ 50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eastAsia="bg-BG"/>
        </w:rPr>
        <w:t>филмирани таблетки</w:t>
      </w:r>
    </w:p>
    <w:p w14:paraId="25A0E163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val="en-US"/>
        </w:rPr>
        <w:t>PROMEROL</w:t>
      </w:r>
      <w:r w:rsidRPr="004F572F">
        <w:t xml:space="preserve"> </w:t>
      </w:r>
      <w:r w:rsidRPr="004F572F">
        <w:rPr>
          <w:lang w:eastAsia="bg-BG"/>
        </w:rPr>
        <w:t xml:space="preserve">50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val="en-US"/>
        </w:rPr>
        <w:t>film</w:t>
      </w:r>
      <w:r w:rsidRPr="004F572F">
        <w:t>-</w:t>
      </w:r>
      <w:r w:rsidRPr="004F572F">
        <w:rPr>
          <w:lang w:val="en-US"/>
        </w:rPr>
        <w:t>coated</w:t>
      </w:r>
      <w:r w:rsidRPr="004F572F">
        <w:t xml:space="preserve"> </w:t>
      </w:r>
      <w:r w:rsidRPr="004F572F">
        <w:rPr>
          <w:lang w:val="en-US"/>
        </w:rPr>
        <w:t>tablets</w:t>
      </w:r>
    </w:p>
    <w:p w14:paraId="27F351C2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ПРОМЕРОЛ </w:t>
      </w:r>
      <w:r w:rsidRPr="004F572F">
        <w:t xml:space="preserve">100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eastAsia="bg-BG"/>
        </w:rPr>
        <w:t>филмирани Таблетки</w:t>
      </w:r>
    </w:p>
    <w:p w14:paraId="3C943B32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val="en-US"/>
        </w:rPr>
        <w:t>PROMEROL</w:t>
      </w:r>
      <w:r w:rsidRPr="004F572F">
        <w:t xml:space="preserve"> </w:t>
      </w:r>
      <w:r w:rsidRPr="004F572F">
        <w:rPr>
          <w:lang w:eastAsia="bg-BG"/>
        </w:rPr>
        <w:t xml:space="preserve">100 </w:t>
      </w:r>
      <w:r w:rsidRPr="004F572F">
        <w:rPr>
          <w:lang w:val="en-US"/>
        </w:rPr>
        <w:t>mg</w:t>
      </w:r>
      <w:r w:rsidRPr="004F572F">
        <w:t xml:space="preserve"> </w:t>
      </w:r>
      <w:r w:rsidRPr="004F572F">
        <w:rPr>
          <w:lang w:val="en-US"/>
        </w:rPr>
        <w:t>film</w:t>
      </w:r>
      <w:r w:rsidRPr="004F572F">
        <w:t>-</w:t>
      </w:r>
      <w:r w:rsidRPr="004F572F">
        <w:rPr>
          <w:lang w:val="en-US"/>
        </w:rPr>
        <w:t>coated</w:t>
      </w:r>
      <w:r w:rsidRPr="004F572F">
        <w:t xml:space="preserve"> </w:t>
      </w:r>
      <w:r w:rsidRPr="004F572F">
        <w:rPr>
          <w:lang w:val="en-US"/>
        </w:rPr>
        <w:t>tablets</w:t>
      </w:r>
    </w:p>
    <w:p w14:paraId="001FCC24" w14:textId="77777777" w:rsidR="004F572F" w:rsidRPr="004F572F" w:rsidRDefault="004F572F" w:rsidP="004F572F"/>
    <w:p w14:paraId="6920A680" w14:textId="1DAFBE17" w:rsidR="00C40420" w:rsidRDefault="00DD466D" w:rsidP="004A448E">
      <w:pPr>
        <w:pStyle w:val="Heading1"/>
      </w:pPr>
      <w:r>
        <w:t>2. КАЧЕСТВЕН И КОЛИЧЕСТВЕН СЪСТАВ</w:t>
      </w:r>
    </w:p>
    <w:p w14:paraId="7A1C326C" w14:textId="26C750AC" w:rsidR="004F572F" w:rsidRDefault="004F572F" w:rsidP="004F572F"/>
    <w:p w14:paraId="3689D32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Всяка филмирана таблетка съдържа активно-вещество метопрололов тартарат (</w:t>
      </w:r>
      <w:r w:rsidRPr="004F572F">
        <w:rPr>
          <w:i/>
          <w:iCs/>
          <w:lang w:val="en-US"/>
        </w:rPr>
        <w:t>metoprolol</w:t>
      </w:r>
      <w:r w:rsidRPr="004F572F">
        <w:rPr>
          <w:i/>
          <w:iCs/>
          <w:lang w:val="ru-RU"/>
        </w:rPr>
        <w:t xml:space="preserve"> </w:t>
      </w:r>
      <w:r w:rsidRPr="004F572F">
        <w:rPr>
          <w:i/>
          <w:iCs/>
          <w:lang w:val="en-US"/>
        </w:rPr>
        <w:t>tartrate</w:t>
      </w:r>
      <w:r w:rsidRPr="004F572F">
        <w:rPr>
          <w:i/>
          <w:iCs/>
          <w:lang w:val="ru-RU"/>
        </w:rPr>
        <w:t>)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50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или 100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. </w:t>
      </w:r>
    </w:p>
    <w:p w14:paraId="60777043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Помощно вещество с известно действие: лактоза монохидрат.</w:t>
      </w:r>
    </w:p>
    <w:p w14:paraId="476E9EA4" w14:textId="77777777" w:rsidR="004F572F" w:rsidRPr="004F572F" w:rsidRDefault="004F572F" w:rsidP="004F572F"/>
    <w:p w14:paraId="614984C4" w14:textId="611AB166" w:rsidR="008A6AF2" w:rsidRDefault="00DD466D" w:rsidP="002C50EE">
      <w:pPr>
        <w:pStyle w:val="Heading1"/>
      </w:pPr>
      <w:r>
        <w:t>3. ЛЕКАРСТВЕНА ФОРМА</w:t>
      </w:r>
    </w:p>
    <w:p w14:paraId="581487F2" w14:textId="26B02C5A" w:rsidR="004F572F" w:rsidRDefault="004F572F" w:rsidP="004F572F"/>
    <w:p w14:paraId="5ED044B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Филмирана таблетка</w:t>
      </w:r>
    </w:p>
    <w:p w14:paraId="76E855E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>Филмирани таблетки 50 т</w:t>
      </w:r>
      <w:r w:rsidRPr="004F572F">
        <w:rPr>
          <w:rFonts w:eastAsia="Times New Roman" w:cs="Arial"/>
          <w:i/>
          <w:iCs/>
          <w:color w:val="000000"/>
          <w:lang w:val="en-US"/>
        </w:rPr>
        <w:t>g</w:t>
      </w:r>
    </w:p>
    <w:p w14:paraId="4A35493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Кръгли, двойноизпъкнали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филмирани таблетки с кремаворозов цвят и делителна черта, диаметър 8 </w:t>
      </w:r>
      <w:r w:rsidRPr="004F572F">
        <w:rPr>
          <w:rFonts w:eastAsia="Times New Roman" w:cs="Arial"/>
          <w:color w:val="000000"/>
          <w:lang w:val="en-US"/>
        </w:rPr>
        <w:t>mm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79461D23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Делителната черта е само за улесняване на счупването с цел по-лесно поглъщане, а не за разделяне на равни дози.</w:t>
      </w:r>
    </w:p>
    <w:p w14:paraId="11D8D256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 xml:space="preserve">Филмирани таблетки 100 </w:t>
      </w:r>
      <w:r w:rsidRPr="004F572F">
        <w:rPr>
          <w:rFonts w:eastAsia="Times New Roman" w:cs="Arial"/>
          <w:i/>
          <w:iCs/>
          <w:color w:val="000000"/>
          <w:lang w:val="en-US"/>
        </w:rPr>
        <w:t>mg</w:t>
      </w:r>
    </w:p>
    <w:p w14:paraId="4609E237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Кръгли, двойноизпъкнали филмирани таблетки с бял цвят и делителна черта, диаметър 10 </w:t>
      </w:r>
      <w:r w:rsidRPr="004F572F">
        <w:rPr>
          <w:rFonts w:eastAsia="Times New Roman" w:cs="Arial"/>
          <w:color w:val="000000"/>
          <w:lang w:val="en-US"/>
        </w:rPr>
        <w:t>mm</w:t>
      </w:r>
      <w:r w:rsidRPr="004F572F">
        <w:rPr>
          <w:rFonts w:eastAsia="Times New Roman" w:cs="Arial"/>
          <w:color w:val="000000"/>
          <w:lang w:val="ru-RU"/>
        </w:rPr>
        <w:t xml:space="preserve">. </w:t>
      </w:r>
      <w:r w:rsidRPr="004F572F">
        <w:rPr>
          <w:rFonts w:eastAsia="Times New Roman" w:cs="Arial"/>
          <w:color w:val="000000"/>
          <w:lang w:eastAsia="bg-BG"/>
        </w:rPr>
        <w:t>Делителната черта е само за улесняване на счупването с цел по-лесно поглъщане, а не за разделяне на равни дози.</w:t>
      </w:r>
    </w:p>
    <w:p w14:paraId="4FA23F94" w14:textId="77777777" w:rsidR="004F572F" w:rsidRPr="004F572F" w:rsidRDefault="004F572F" w:rsidP="004F572F"/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0C8E6903" w14:textId="5657A6B4" w:rsidR="008134C8" w:rsidRDefault="002C50EE" w:rsidP="004A448E">
      <w:pPr>
        <w:pStyle w:val="Heading2"/>
      </w:pPr>
      <w:r>
        <w:t>4.1. Терапевтични показания</w:t>
      </w:r>
    </w:p>
    <w:p w14:paraId="7BA31FE1" w14:textId="3C0AE86F" w:rsidR="004F572F" w:rsidRDefault="004F572F" w:rsidP="004F572F"/>
    <w:p w14:paraId="236ACBF2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Лечение на артериална хипертония (като монотерапия или в съчетание с други антихипертензивни средства).</w:t>
      </w:r>
    </w:p>
    <w:p w14:paraId="466AF1AA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Лечение на ангина пекторис.</w:t>
      </w:r>
    </w:p>
    <w:p w14:paraId="61F667AB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Контрол на камерната честота при надкамерни аритмии.</w:t>
      </w:r>
    </w:p>
    <w:p w14:paraId="78829A28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Продължително лечение след сърдечен инфаркт (профилактика на рецидивите).</w:t>
      </w:r>
    </w:p>
    <w:p w14:paraId="3309F1CF" w14:textId="77777777" w:rsid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Тиреотоксикоза - като допълнително средство в комплексната терапия.</w:t>
      </w:r>
    </w:p>
    <w:p w14:paraId="77FF573F" w14:textId="78A02720" w:rsidR="004F572F" w:rsidRPr="004F572F" w:rsidRDefault="004F572F" w:rsidP="004F572F">
      <w:pPr>
        <w:pStyle w:val="ListParagraph"/>
        <w:numPr>
          <w:ilvl w:val="0"/>
          <w:numId w:val="35"/>
        </w:numPr>
        <w:rPr>
          <w:lang w:eastAsia="bg-BG"/>
        </w:rPr>
      </w:pPr>
      <w:r w:rsidRPr="004F572F">
        <w:rPr>
          <w:lang w:eastAsia="bg-BG"/>
        </w:rPr>
        <w:t>Профилактика на мигрена.</w:t>
      </w:r>
    </w:p>
    <w:p w14:paraId="0983C12B" w14:textId="77777777" w:rsidR="004F572F" w:rsidRPr="004F572F" w:rsidRDefault="004F572F" w:rsidP="004F572F"/>
    <w:p w14:paraId="30BE2C7B" w14:textId="1F8E5D5B" w:rsidR="008134C8" w:rsidRDefault="002C50EE" w:rsidP="004A448E">
      <w:pPr>
        <w:pStyle w:val="Heading2"/>
      </w:pPr>
      <w:r>
        <w:t>4.2. Дозировка и начин на приложение</w:t>
      </w:r>
    </w:p>
    <w:p w14:paraId="33A026A7" w14:textId="21F7B028" w:rsidR="004F572F" w:rsidRDefault="004F572F" w:rsidP="004F572F"/>
    <w:p w14:paraId="102D9DCA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lastRenderedPageBreak/>
        <w:t>Прилага се перорално, като таблетките се приемат несдъвкани, с достатъчно количество вода. Необходимо е дозата да се титрира в зависимост от индивидуалните нужди на пациента, като се започва с ниска доза, която постепенно се повишава до постигане на ефективна бета-блокада (сърдечна честота в покой под 60 удара/минута).</w:t>
      </w:r>
    </w:p>
    <w:p w14:paraId="58295FFC" w14:textId="77777777" w:rsidR="004F572F" w:rsidRPr="004F572F" w:rsidRDefault="004F572F" w:rsidP="004F572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10B0F1F" w14:textId="06C53FB3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>Възрастни</w:t>
      </w:r>
    </w:p>
    <w:p w14:paraId="604FEFB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Артериална хипертония</w:t>
      </w:r>
    </w:p>
    <w:p w14:paraId="75ABA541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Началната доза е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еднократно дневно. При недостатъчен отговор дозата може да бъде</w:t>
      </w:r>
    </w:p>
    <w:p w14:paraId="7E6B1C88" w14:textId="77777777" w:rsidR="004F572F" w:rsidRDefault="004F572F" w:rsidP="004F572F">
      <w:pPr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lang w:eastAsia="bg-BG"/>
        </w:rPr>
        <w:t xml:space="preserve">повишена до 100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. </w:t>
      </w:r>
      <w:r w:rsidRPr="004F572F">
        <w:rPr>
          <w:rFonts w:eastAsia="Times New Roman" w:cs="Arial"/>
          <w:color w:val="000000"/>
          <w:lang w:eastAsia="bg-BG"/>
        </w:rPr>
        <w:t xml:space="preserve">При повечето пациенти дневна доза от 100-200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, </w:t>
      </w:r>
      <w:r w:rsidRPr="004F572F">
        <w:rPr>
          <w:rFonts w:eastAsia="Times New Roman" w:cs="Arial"/>
          <w:color w:val="000000"/>
          <w:lang w:eastAsia="bg-BG"/>
        </w:rPr>
        <w:t>разделена на 2 приема</w:t>
      </w:r>
      <w:r w:rsidRPr="004F572F">
        <w:rPr>
          <w:rFonts w:eastAsia="Times New Roman" w:cs="Arial"/>
          <w:color w:val="000000"/>
          <w:lang w:val="ru-RU" w:eastAsia="bg-BG"/>
        </w:rPr>
        <w:t xml:space="preserve"> </w:t>
      </w:r>
      <w:r w:rsidRPr="004F572F">
        <w:rPr>
          <w:rFonts w:cs="Arial"/>
          <w:lang w:eastAsia="bg-BG"/>
        </w:rPr>
        <w:t>е</w:t>
      </w:r>
      <w:r w:rsidRPr="004F572F">
        <w:rPr>
          <w:rFonts w:eastAsia="Times New Roman" w:cs="Arial"/>
          <w:color w:val="000000"/>
          <w:sz w:val="44"/>
          <w:szCs w:val="44"/>
          <w:lang w:eastAsia="bg-BG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достатъчна за достигане на терапевтичен ефект. При необходимост Промерол може да се прилага в комбинация с диуретици или други средства, понижаващи кръвното налягане. </w:t>
      </w:r>
    </w:p>
    <w:p w14:paraId="23A63479" w14:textId="77777777" w:rsidR="004F572F" w:rsidRDefault="004F572F" w:rsidP="004F572F">
      <w:pPr>
        <w:rPr>
          <w:rFonts w:eastAsia="Times New Roman" w:cs="Arial"/>
          <w:color w:val="000000"/>
          <w:lang w:eastAsia="bg-BG"/>
        </w:rPr>
      </w:pPr>
    </w:p>
    <w:p w14:paraId="3B8CDA24" w14:textId="6E32885C" w:rsidR="004F572F" w:rsidRPr="004F572F" w:rsidRDefault="004F572F" w:rsidP="004F572F">
      <w:pPr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Ангина пекторис</w:t>
      </w:r>
    </w:p>
    <w:p w14:paraId="25996DE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Началната доза е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дневно. При необходимост дозата може постепенно да се повиши до 100-200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дневно, разделено на 2 приема.</w:t>
      </w:r>
    </w:p>
    <w:p w14:paraId="2D235BFC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A1ABE38" w14:textId="592CF798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Сърдечни аритмии</w:t>
      </w:r>
    </w:p>
    <w:p w14:paraId="3F0028C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Начална доза по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2 пъти дневно. При необходимост дозата може да се повиши през седмични интервали до достигане на терапевтичен ефект.</w:t>
      </w:r>
    </w:p>
    <w:p w14:paraId="6D797DC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4288015" w14:textId="408C9D40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Профилактика на рецидиви след миокарден инфаркт</w:t>
      </w:r>
    </w:p>
    <w:p w14:paraId="20C664C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Поддържаща доза 100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2 пъти дневно в продължение на 3 месеца.</w:t>
      </w:r>
    </w:p>
    <w:p w14:paraId="1EFBA8A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6159E4D" w14:textId="68DA6FB0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Тиреотоксикоза</w:t>
      </w:r>
    </w:p>
    <w:p w14:paraId="3666F90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При тахикардии обичайната доза е по 50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4 пъти дневно. При достигане на еутиреоиден статус дозата се намалява постепенно.</w:t>
      </w:r>
    </w:p>
    <w:p w14:paraId="327AA66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6BF0D6" w14:textId="676F436D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Профилактика на мигрена</w:t>
      </w:r>
    </w:p>
    <w:p w14:paraId="7303082C" w14:textId="1DFBFEEB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По 100-200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дневно, сутрин и вечер.</w:t>
      </w:r>
    </w:p>
    <w:p w14:paraId="565D764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lang w:eastAsia="bg-BG"/>
        </w:rPr>
        <w:t>Пациенти над 65-годишна възраст</w:t>
      </w:r>
    </w:p>
    <w:p w14:paraId="5A4B6A2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lang w:eastAsia="bg-BG"/>
        </w:rPr>
        <w:t xml:space="preserve">Както и при останалите пациенти, дозата на метопролол трябва да се определя индивидуално, с оглед възможна поява на брадикардия или значително понижаване на артериалното налягане. При пациенти с тежка чернодробна дисфункция може да е необходимо понижаване на дозата. </w:t>
      </w:r>
    </w:p>
    <w:p w14:paraId="36BA5AB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A901441" w14:textId="1A33225F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i/>
          <w:iCs/>
          <w:color w:val="000000"/>
          <w:u w:val="single"/>
          <w:lang w:eastAsia="bg-BG"/>
        </w:rPr>
        <w:t>Педиатрична популация</w:t>
      </w:r>
    </w:p>
    <w:p w14:paraId="6465E8DD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Поради недостатъчните данни за ефективност и безопасност на метопролол не се препоръчва употребата му при деца.</w:t>
      </w:r>
    </w:p>
    <w:p w14:paraId="362DC00E" w14:textId="0B534E7A" w:rsidR="004F572F" w:rsidRPr="004F572F" w:rsidRDefault="004F572F" w:rsidP="004F572F"/>
    <w:p w14:paraId="28C984E8" w14:textId="3A37D3F5" w:rsidR="008134C8" w:rsidRDefault="002C50EE" w:rsidP="004A448E">
      <w:pPr>
        <w:pStyle w:val="Heading2"/>
      </w:pPr>
      <w:r>
        <w:t>4.3. Противопоказания</w:t>
      </w:r>
    </w:p>
    <w:p w14:paraId="0ACB3B38" w14:textId="31AB8552" w:rsidR="004F572F" w:rsidRDefault="004F572F" w:rsidP="004F572F"/>
    <w:p w14:paraId="4824892E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Свръхчувствителност към активното вещество или някое от помощните вещества, изброени в точка 6.1;</w:t>
      </w:r>
    </w:p>
    <w:p w14:paraId="405A32E7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Тежка бронхиална астма или заболявания, съпроводени с бронхоспазъм;</w:t>
      </w:r>
    </w:p>
    <w:p w14:paraId="28202BDF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val="en-US"/>
        </w:rPr>
        <w:t>AV</w:t>
      </w:r>
      <w:r w:rsidRPr="004F572F">
        <w:rPr>
          <w:lang w:eastAsia="bg-BG"/>
        </w:rPr>
        <w:t>-блок II - III степен;</w:t>
      </w:r>
    </w:p>
    <w:p w14:paraId="252BEF05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Неконтролирана сърдечна недостатъчност;</w:t>
      </w:r>
    </w:p>
    <w:p w14:paraId="43B99B4A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Изразена брадикардия - пулс под 50 удара/мин преди започване на лечението;</w:t>
      </w:r>
    </w:p>
    <w:p w14:paraId="6ECAEB37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lastRenderedPageBreak/>
        <w:t>Синдром на болния синусов възел;</w:t>
      </w:r>
    </w:p>
    <w:p w14:paraId="796D88BD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Тежки нарушения на периферното кръвообращение;</w:t>
      </w:r>
    </w:p>
    <w:p w14:paraId="367694DC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Кардиогенен шок;</w:t>
      </w:r>
    </w:p>
    <w:p w14:paraId="64353FEF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Хипотония;</w:t>
      </w:r>
    </w:p>
    <w:p w14:paraId="30C3247B" w14:textId="77777777" w:rsid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Метаболитна ацидоза;</w:t>
      </w:r>
    </w:p>
    <w:p w14:paraId="41920E0D" w14:textId="5393B15B" w:rsidR="004F572F" w:rsidRP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 xml:space="preserve">Метопролол не се прилага при инфаркт на миокарда и сърдечна честота под 50 удара/мин, </w:t>
      </w:r>
      <w:r w:rsidRPr="004F572F">
        <w:rPr>
          <w:lang w:val="en-US"/>
        </w:rPr>
        <w:t>PQ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интервал &gt; 0,24 секунди или систолно артериално налягане &lt; 100 </w:t>
      </w:r>
      <w:r w:rsidRPr="004F572F">
        <w:rPr>
          <w:lang w:val="en-US"/>
        </w:rPr>
        <w:t>mm</w:t>
      </w:r>
      <w:r w:rsidRPr="004F572F">
        <w:rPr>
          <w:lang w:val="ru-RU"/>
        </w:rPr>
        <w:t xml:space="preserve"> </w:t>
      </w:r>
      <w:r w:rsidRPr="004F572F">
        <w:rPr>
          <w:lang w:val="en-US"/>
        </w:rPr>
        <w:t>Hg</w:t>
      </w:r>
      <w:r>
        <w:rPr>
          <w:lang w:val="ru-RU"/>
        </w:rPr>
        <w:t>,</w:t>
      </w:r>
    </w:p>
    <w:p w14:paraId="401379EA" w14:textId="02D1B179" w:rsidR="004F572F" w:rsidRPr="004F572F" w:rsidRDefault="004F572F" w:rsidP="004F572F">
      <w:pPr>
        <w:pStyle w:val="ListParagraph"/>
        <w:numPr>
          <w:ilvl w:val="0"/>
          <w:numId w:val="36"/>
        </w:numPr>
        <w:rPr>
          <w:lang w:eastAsia="bg-BG"/>
        </w:rPr>
      </w:pPr>
      <w:r w:rsidRPr="004F572F">
        <w:rPr>
          <w:lang w:eastAsia="bg-BG"/>
        </w:rPr>
        <w:t>Висока степен синоатриален блок</w:t>
      </w:r>
    </w:p>
    <w:p w14:paraId="1C267A8D" w14:textId="77777777" w:rsidR="004F572F" w:rsidRPr="004F572F" w:rsidRDefault="004F572F" w:rsidP="004F572F"/>
    <w:p w14:paraId="212F509C" w14:textId="6407C2B4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18C5661C" w14:textId="67EAF72B" w:rsidR="004F572F" w:rsidRDefault="004F572F" w:rsidP="004F572F"/>
    <w:p w14:paraId="61176D01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Назначаването на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 при пациенти с нелекувана конгестивна сърдечна недостатъчност е нежелателно поради потенциален риск от понижаване на миокардния контрактилитет.</w:t>
      </w:r>
    </w:p>
    <w:p w14:paraId="2295A090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Поради отрицателен дромотропен ефект β-блокерите, включително и метопролол, трябва да се назначават с внимание при </w:t>
      </w:r>
      <w:r w:rsidRPr="004F572F">
        <w:rPr>
          <w:lang w:val="en-US"/>
        </w:rPr>
        <w:t>AV</w:t>
      </w:r>
      <w:r w:rsidRPr="004F572F">
        <w:rPr>
          <w:lang w:eastAsia="bg-BG"/>
        </w:rPr>
        <w:t>-блок I степен.</w:t>
      </w:r>
    </w:p>
    <w:p w14:paraId="3D74C965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Метопролол трябва да се назначава изключително внимателно при пациенти със стенокардия на </w:t>
      </w:r>
      <w:proofErr w:type="spellStart"/>
      <w:r w:rsidRPr="004F572F">
        <w:rPr>
          <w:i/>
          <w:iCs/>
          <w:lang w:val="en-US"/>
        </w:rPr>
        <w:t>Prinzmetal</w:t>
      </w:r>
      <w:proofErr w:type="spellEnd"/>
      <w:r w:rsidRPr="004F572F">
        <w:rPr>
          <w:i/>
          <w:iCs/>
          <w:lang w:val="ru-RU"/>
        </w:rPr>
        <w:t>.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В тези случаи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-блокерите могат да повишат броя и времетраенето на ангинозните пристъпи.</w:t>
      </w:r>
    </w:p>
    <w:p w14:paraId="2AAE507B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поява на симптоматична брадикардия (пулс под 50-55 удара/мин) и периферни циркулаторни нарушения по време на лечение с метопролол е необходимо намаляване на дозата.</w:t>
      </w:r>
    </w:p>
    <w:p w14:paraId="1536A148" w14:textId="77777777" w:rsidR="004F572F" w:rsidRP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β-блокери трябва да се прилагат с особено внимание при пациенти с обструктивни</w:t>
      </w:r>
      <w:r w:rsidRPr="004F572F">
        <w:rPr>
          <w:lang w:val="ru-RU" w:eastAsia="bg-BG"/>
        </w:rPr>
        <w:t xml:space="preserve"> </w:t>
      </w:r>
      <w:r w:rsidRPr="004F572F">
        <w:rPr>
          <w:lang w:eastAsia="bg-BG"/>
        </w:rPr>
        <w:t>белодробни заболявания, въпреки по-слабо изразеният ефект върху белодробната функция, свързано с тяхната кардиоселективност. При необходимост от лечение на такива пациенти с метопролол трябва да се предписват β</w:t>
      </w:r>
      <w:r w:rsidRPr="004F572F">
        <w:rPr>
          <w:vertAlign w:val="subscript"/>
          <w:lang w:eastAsia="bg-BG"/>
        </w:rPr>
        <w:t>2</w:t>
      </w:r>
      <w:r w:rsidRPr="004F572F">
        <w:rPr>
          <w:lang w:eastAsia="bg-BG"/>
        </w:rPr>
        <w:t xml:space="preserve">-адренергични агойисти. Лечението с метопролол трябва да се провежда с възможно най-ниската доза - 200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, </w:t>
      </w:r>
      <w:r w:rsidRPr="004F572F">
        <w:rPr>
          <w:lang w:eastAsia="bg-BG"/>
        </w:rPr>
        <w:t xml:space="preserve">тъй като кардиоселективностга се запазва при дневни дози, непревишаващи 200 </w:t>
      </w:r>
      <w:r w:rsidRPr="004F572F">
        <w:rPr>
          <w:lang w:val="en-US"/>
        </w:rPr>
        <w:t>mg</w:t>
      </w:r>
      <w:r w:rsidRPr="004F572F">
        <w:rPr>
          <w:lang w:val="ru-RU"/>
        </w:rPr>
        <w:t>.</w:t>
      </w:r>
    </w:p>
    <w:p w14:paraId="54C4E2FE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пациенти със захарен диабет антидиабетното лечение трябва да се съобрази с лечението с метопролол - потенциален риск от хипогликемия поради потискане на симпатикусовите функции.</w:t>
      </w:r>
    </w:p>
    <w:p w14:paraId="452C8461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пациенти с увредена чернодробна функция е необходимо коригиране на дозата поради метаболизирането на метопролол в черния дроб.</w:t>
      </w:r>
    </w:p>
    <w:p w14:paraId="0E9BE16A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При пациенти с феохромоцитом метопролол трябва да се прилага само съвместно с алфа- адренергичен блокер.</w:t>
      </w:r>
    </w:p>
    <w:p w14:paraId="3525A4E9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β-блокерите могат да маскират някои клинични признаци на тиреотокснкоза, поради което метопролол трябва да се назначава с внимание при пациенти със съмнение за тиреотокснкоза, като е необходимо монигориране на тиреоидната и сърдечна функции при тях.</w:t>
      </w:r>
    </w:p>
    <w:p w14:paraId="721CCCB9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По възможност трябва да се избягва назначаване на β-блокери при пациенти с повишен</w:t>
      </w:r>
      <w:r w:rsidRPr="004F572F">
        <w:rPr>
          <w:lang w:val="ru-RU" w:eastAsia="bg-BG"/>
        </w:rPr>
        <w:t xml:space="preserve"> </w:t>
      </w:r>
      <w:r w:rsidRPr="004F572F">
        <w:rPr>
          <w:lang w:eastAsia="bg-BG"/>
        </w:rPr>
        <w:t>риск към развитие на анафйлактични реакции, тъй като те протичат особено тежко при пациенти на лечение с β-блокери. При такива пациенти се наблюдава резистентност към нормални дози адреналин.</w:t>
      </w:r>
    </w:p>
    <w:p w14:paraId="0616C260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lastRenderedPageBreak/>
        <w:t xml:space="preserve">При оперативни интервенции, провеждани на фона на лечение с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-блокери, включително и метопролол, е необходимо да се избере общ анестетик с най-нисък възможен отрицателен инотропен ефект (халотан/азотен оксид).</w:t>
      </w:r>
    </w:p>
    <w:p w14:paraId="04EB307E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При пациенти с данни за псориазис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 трябва да се прилагат само след внимателна</w:t>
      </w:r>
      <w:r w:rsidRPr="004F572F">
        <w:rPr>
          <w:lang w:val="ru-RU" w:eastAsia="bg-BG"/>
        </w:rPr>
        <w:t xml:space="preserve"> </w:t>
      </w:r>
      <w:r w:rsidRPr="004F572F">
        <w:rPr>
          <w:lang w:eastAsia="bg-BG"/>
        </w:rPr>
        <w:t>преценка на съотношението полза/риск.</w:t>
      </w:r>
    </w:p>
    <w:p w14:paraId="30732C1A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>По време на лечение с метопролол пациентите трябва да се наблюдават внимателно за потенциални нежелани очни реакции. При поява на сухота в очите с или без кожни обриви (окулумукокутанеозен синдром) е необходимо прекъсване на лечението.</w:t>
      </w:r>
    </w:p>
    <w:p w14:paraId="78E995D4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Рязко прекратяване на терапията с </w:t>
      </w:r>
      <w:r w:rsidRPr="004F572F">
        <w:rPr>
          <w:lang w:val="en-US"/>
        </w:rPr>
        <w:t>p</w:t>
      </w:r>
      <w:r w:rsidRPr="004F572F">
        <w:rPr>
          <w:lang w:eastAsia="bg-BG"/>
        </w:rPr>
        <w:t xml:space="preserve">-блокери трябва да се избягва, особено при пациенти с исхемична болест на сърцето. Лечението с метопролол се прекъсва постепенно за период над 10 дни, като през последните 6 дни се Приема доза от 25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. </w:t>
      </w:r>
      <w:r w:rsidRPr="004F572F">
        <w:rPr>
          <w:lang w:eastAsia="bg-BG"/>
        </w:rPr>
        <w:t>По време на намаляване на дозата пациента трябва да бъде под наблюдение.</w:t>
      </w:r>
    </w:p>
    <w:p w14:paraId="4AD4FAC3" w14:textId="77777777" w:rsid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По време на лечение с метопролол терапевтичният отговор към адреналин може да бъде намален в дози, които нормално се употребяват за лечение на алергични реакции. Макар и малко вероятно, прилагането на адреналин при пациенти на лечение с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-блокери е възможно да доведе до повишаване на артериалното налягане и брадикардия.</w:t>
      </w:r>
    </w:p>
    <w:p w14:paraId="7AAB2FEA" w14:textId="07405A4D" w:rsidR="004F572F" w:rsidRPr="004F572F" w:rsidRDefault="004F572F" w:rsidP="004F572F">
      <w:pPr>
        <w:pStyle w:val="ListParagraph"/>
        <w:numPr>
          <w:ilvl w:val="0"/>
          <w:numId w:val="37"/>
        </w:numPr>
        <w:rPr>
          <w:lang w:eastAsia="bg-BG"/>
        </w:rPr>
      </w:pPr>
      <w:r w:rsidRPr="004F572F">
        <w:rPr>
          <w:lang w:eastAsia="bg-BG"/>
        </w:rPr>
        <w:t xml:space="preserve">Лекарственият продукт съдържа лактоза. Пациенти с редки наследствени проблеми на галактозна непоносимост, </w:t>
      </w:r>
      <w:r w:rsidRPr="004F572F">
        <w:rPr>
          <w:lang w:val="en-US"/>
        </w:rPr>
        <w:t>Lapp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лактазен дефицит или глюкозо-галактозна малабсорбция не трябва да приемат това лекарство.</w:t>
      </w:r>
    </w:p>
    <w:p w14:paraId="3C1912E6" w14:textId="59340F76" w:rsidR="004F572F" w:rsidRPr="004F572F" w:rsidRDefault="004F572F" w:rsidP="004F572F"/>
    <w:p w14:paraId="619DED1E" w14:textId="67A4ECEB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D21EAA8" w14:textId="3D42194E" w:rsidR="004F572F" w:rsidRDefault="004F572F" w:rsidP="004F572F"/>
    <w:p w14:paraId="241AC085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едновременно приложение на метопролол с други антихипертензивни лекарствени продукти се наблюдава синергизъм по отношение на артериалното налягане. Комбинирано лечение от този тип често се прилага с оглед по-добър контрол на артериалното налягане, но е необходимо то да се провежда под контрол поради възможна поява на хипотония.</w:t>
      </w:r>
    </w:p>
    <w:p w14:paraId="1E95F8AB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Поради влиянието на метопролол върху периферното кръвообращение е необходимо с особено внимание да се прилага с лекарствени продукти, които могат да предизвикат периферен съдов спазъм (ерготамин).</w:t>
      </w:r>
    </w:p>
    <w:p w14:paraId="2CB504B7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Пациенти на лечение с ганглиоблокери или други β-блокери (включително капи за очи) трябва да бъдат под наблюдение.</w:t>
      </w:r>
    </w:p>
    <w:p w14:paraId="345FB98D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Метопролол не трябва да се прилага едновременно с</w:t>
      </w:r>
      <w:r w:rsidRPr="004F572F">
        <w:rPr>
          <w:vertAlign w:val="superscript"/>
          <w:lang w:eastAsia="bg-BG"/>
        </w:rPr>
        <w:t>:</w:t>
      </w:r>
      <w:r w:rsidRPr="004F572F">
        <w:rPr>
          <w:lang w:eastAsia="bg-BG"/>
        </w:rPr>
        <w:t xml:space="preserve"> МАО-А инхибитори. При едновременно приложение с МАО-В инхибитори е необходимо особено внимание и проследяване на пациента.</w:t>
      </w:r>
    </w:p>
    <w:p w14:paraId="1EC1B000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едновременна употреба на метопролол и калциеви антагонисти, като верапамил и дилтиазем, се изисква внимателно наблюдение на пациентите поради риск от хипотония и брадикардия. Интравенозното приложение на калциеви антагонисти, като верапамил и дилтиазем, е противопоказано при пациенти, които са на лечение с метопролол поради риск от сърдечен арест (освен при интензивни случаи).</w:t>
      </w:r>
    </w:p>
    <w:p w14:paraId="3E32C425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lastRenderedPageBreak/>
        <w:t>При едновременно приложение на метопролол с амиодарон, пропафенон и други антиаритмични лекарствени продукти клас I и инхалационни анестетици е необходимо мониториране поради риск от поява на симптоматична брадикардия.</w:t>
      </w:r>
    </w:p>
    <w:p w14:paraId="0E054BEB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Метопролол антагонизира β</w:t>
      </w:r>
      <w:r w:rsidRPr="004F572F">
        <w:rPr>
          <w:vertAlign w:val="subscript"/>
          <w:lang w:eastAsia="bg-BG"/>
        </w:rPr>
        <w:t>1</w:t>
      </w:r>
      <w:r w:rsidRPr="004F572F">
        <w:rPr>
          <w:lang w:eastAsia="bg-BG"/>
        </w:rPr>
        <w:t>-ефекга на симпатикомиметичните лекарствени продукти, но влияе по-слабо на бронходилататорния ефект на β</w:t>
      </w:r>
      <w:r w:rsidRPr="004F572F">
        <w:rPr>
          <w:vertAlign w:val="subscript"/>
          <w:lang w:eastAsia="bg-BG"/>
        </w:rPr>
        <w:t>2</w:t>
      </w:r>
      <w:r w:rsidRPr="004F572F">
        <w:rPr>
          <w:lang w:eastAsia="bg-BG"/>
        </w:rPr>
        <w:t>-агонистите в обичайните терапевтични дози.</w:t>
      </w:r>
    </w:p>
    <w:p w14:paraId="1793F9EC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 xml:space="preserve">При пациенти със захарен диабет на лечение с инсулин и перорални антидиабетни лекарства, прилагането на </w:t>
      </w:r>
      <w:r w:rsidRPr="004F572F">
        <w:rPr>
          <w:lang w:val="en-US"/>
        </w:rPr>
        <w:t>p</w:t>
      </w:r>
      <w:r w:rsidRPr="004F572F">
        <w:rPr>
          <w:lang w:eastAsia="bg-BG"/>
        </w:rPr>
        <w:t>-блокер може да доведе до засилване на хийогликемичния му ефект, при което симптомите на хипогликемия (особено тахикардия и тремор) могат да са маскирани.</w:t>
      </w:r>
    </w:p>
    <w:p w14:paraId="0A6A6A63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едновременно приложение с индометацин и други лекарствени продукти, инхибитори на простагландиновата синтеза, антихипертензивния ефект на метопролол може да бъде намален.</w:t>
      </w:r>
    </w:p>
    <w:p w14:paraId="0F5D085A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 xml:space="preserve">Едновременното прилагане на метопролол със сърдечни глюкозиди, резерпин, нитрати, клонидин повишава риска от развитие на артериална хипотония, брадикардия, </w:t>
      </w:r>
      <w:r w:rsidRPr="004F572F">
        <w:rPr>
          <w:lang w:val="en-US"/>
        </w:rPr>
        <w:t>AV</w:t>
      </w:r>
      <w:r w:rsidRPr="004F572F">
        <w:rPr>
          <w:lang w:eastAsia="bg-BG"/>
        </w:rPr>
        <w:t>-блок. Възможно е усилване на отрицателния инотропен ефект в тези случаи.</w:t>
      </w:r>
    </w:p>
    <w:p w14:paraId="244E0A57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пациенти на лечение с клонидин и метопролол е възможно ексцесивно повишаване на артериалното налягане при внезапно прекратяване на приема на клонидин. Лечението с клонидин трябва да се преустанови, само ако приложението на метопролол е прекратено няколко дни по-рано.</w:t>
      </w:r>
    </w:p>
    <w:p w14:paraId="08CFFC10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Ензимни индуктори, като рифампицин, може да понижат плазмената концентрация на метопролол.</w:t>
      </w:r>
    </w:p>
    <w:p w14:paraId="363EBBE2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 xml:space="preserve">Лекарства, инхибитори на </w:t>
      </w:r>
      <w:r w:rsidRPr="004F572F">
        <w:rPr>
          <w:lang w:val="en-US"/>
        </w:rPr>
        <w:t>CYP</w:t>
      </w:r>
      <w:r w:rsidRPr="004F572F">
        <w:rPr>
          <w:lang w:val="ru-RU"/>
        </w:rPr>
        <w:t>2</w:t>
      </w:r>
      <w:r w:rsidRPr="004F572F">
        <w:rPr>
          <w:lang w:val="en-US"/>
        </w:rPr>
        <w:t>D</w:t>
      </w:r>
      <w:r w:rsidRPr="004F572F">
        <w:rPr>
          <w:lang w:val="ru-RU"/>
        </w:rPr>
        <w:t xml:space="preserve">6 </w:t>
      </w:r>
      <w:r w:rsidRPr="004F572F">
        <w:rPr>
          <w:lang w:eastAsia="bg-BG"/>
        </w:rPr>
        <w:t>като: флуоксетин, пароксетин или бупропион, тиоридазин, хинидин, ритонавир, дифенхидрамин, хидроксихлороквин, хинин, тербинафин, циметидин, перорални контрацептиви може да повишат плазмената концентрация на метопролол при едновременно приложение.</w:t>
      </w:r>
    </w:p>
    <w:p w14:paraId="5C91D2A8" w14:textId="77777777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При едновремената употреба на алкохол и метопролол концентрацията на алкохол в кръвта може да достигне по-високи нива и може да се понижи по-бавна.</w:t>
      </w:r>
    </w:p>
    <w:p w14:paraId="204C3E14" w14:textId="16944AFB" w:rsidR="004F572F" w:rsidRDefault="004F572F" w:rsidP="004F572F">
      <w:pPr>
        <w:pStyle w:val="ListParagraph"/>
        <w:numPr>
          <w:ilvl w:val="0"/>
          <w:numId w:val="38"/>
        </w:numPr>
        <w:rPr>
          <w:lang w:eastAsia="bg-BG"/>
        </w:rPr>
      </w:pPr>
      <w:r w:rsidRPr="004F572F">
        <w:rPr>
          <w:lang w:eastAsia="bg-BG"/>
        </w:rPr>
        <w:t>Метопролол може да наруши излъчването на лидокаин при едновременната им употреба.</w:t>
      </w:r>
    </w:p>
    <w:p w14:paraId="520D2E63" w14:textId="77777777" w:rsidR="004F572F" w:rsidRPr="004F572F" w:rsidRDefault="004F572F" w:rsidP="004F572F">
      <w:pPr>
        <w:rPr>
          <w:lang w:eastAsia="bg-BG"/>
        </w:rPr>
      </w:pPr>
    </w:p>
    <w:p w14:paraId="394A7584" w14:textId="614B531E" w:rsidR="004F498A" w:rsidRDefault="002C50EE" w:rsidP="004A448E">
      <w:pPr>
        <w:pStyle w:val="Heading2"/>
      </w:pPr>
      <w:r>
        <w:t>4.6. Фертилитет, бременност и кърмене</w:t>
      </w:r>
    </w:p>
    <w:p w14:paraId="21C088CE" w14:textId="724D17AE" w:rsidR="004F572F" w:rsidRDefault="004F572F" w:rsidP="004F572F"/>
    <w:p w14:paraId="65470839" w14:textId="77777777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Бременност</w:t>
      </w:r>
    </w:p>
    <w:p w14:paraId="71135DC7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При бременност (особено в I триместър) метопролол се назначава само при строги показания, когато очаквания терапевтичен ефект надвишава потенциалния риск.</w:t>
      </w:r>
    </w:p>
    <w:p w14:paraId="0F018ACA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Вета-блокерите намаляват плацентарната перфузия и могат да причинят смърт на плода и преждевременно раждане. Вътрематочно забавяне на растежа е наблюдавано след продължително лечение на бременна жена с лека до умерена хипертония. Има съобщения за бета-блокерите, че могат да причинят продължително раждане, фетал на тахикардия и тахикардия на новороденото. Има и съобщения за хипогликемия, хипотензия и повишена билирубинемия при новородените.</w:t>
      </w:r>
    </w:p>
    <w:p w14:paraId="493625A6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Ако е необходимо провеждане на лечение с метопролол, то трябва да бъде прекратено 48-72 часа преди планираното раждане. Ако това не е възможно, новородените трябва внимателно да бъдат проследявани първите 48-72 часа след раждането.</w:t>
      </w:r>
    </w:p>
    <w:p w14:paraId="5778BF18" w14:textId="77777777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</w:p>
    <w:p w14:paraId="56ACDB86" w14:textId="4E47E571" w:rsidR="004F572F" w:rsidRPr="004F572F" w:rsidRDefault="004F572F" w:rsidP="004F572F">
      <w:pPr>
        <w:pStyle w:val="Heading3"/>
        <w:rPr>
          <w:rFonts w:eastAsia="Times New Roman"/>
          <w:u w:val="single"/>
          <w:lang w:eastAsia="bg-BG"/>
        </w:rPr>
      </w:pPr>
      <w:r w:rsidRPr="004F572F">
        <w:rPr>
          <w:rFonts w:eastAsia="Times New Roman"/>
          <w:u w:val="single"/>
          <w:lang w:eastAsia="bg-BG"/>
        </w:rPr>
        <w:lastRenderedPageBreak/>
        <w:t>Кърмене</w:t>
      </w:r>
    </w:p>
    <w:p w14:paraId="373A0534" w14:textId="2A1A6CC0" w:rsidR="004F572F" w:rsidRDefault="004F572F" w:rsidP="004F572F">
      <w:pPr>
        <w:rPr>
          <w:rFonts w:cs="Arial"/>
        </w:rPr>
      </w:pPr>
      <w:r w:rsidRPr="004F572F">
        <w:rPr>
          <w:rFonts w:cs="Arial"/>
        </w:rPr>
        <w:t>Метопролол се излъчва с кърмата. Употребата на метопролол не се препоръчва в периода на кърмене.</w:t>
      </w:r>
    </w:p>
    <w:p w14:paraId="52CACD94" w14:textId="77777777" w:rsidR="004F572F" w:rsidRPr="004F572F" w:rsidRDefault="004F572F" w:rsidP="004F572F">
      <w:pPr>
        <w:rPr>
          <w:rFonts w:cs="Arial"/>
        </w:rPr>
      </w:pPr>
    </w:p>
    <w:p w14:paraId="064DF1DE" w14:textId="493D79B6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567317E1" w14:textId="1867E7A3" w:rsidR="004F572F" w:rsidRDefault="004F572F" w:rsidP="004F572F"/>
    <w:p w14:paraId="61EED368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Промерол може да предизвика замаяност, умора, нарушения в зрението, сънливост, особено в началото на лечението и при повишаване на дозата, което изисква внимателното му прилагане при шофьори и оператори на машини при точна оценка на полза/риск.</w:t>
      </w:r>
    </w:p>
    <w:p w14:paraId="652E03F9" w14:textId="77777777" w:rsidR="004F572F" w:rsidRPr="004F572F" w:rsidRDefault="004F572F" w:rsidP="004F572F"/>
    <w:p w14:paraId="37A3FD9F" w14:textId="22313678" w:rsidR="00CF77F7" w:rsidRDefault="002C50EE" w:rsidP="004A448E">
      <w:pPr>
        <w:pStyle w:val="Heading2"/>
      </w:pPr>
      <w:r>
        <w:t>4.8. Нежелани лекарствени реакции</w:t>
      </w:r>
    </w:p>
    <w:p w14:paraId="55034C78" w14:textId="7A997E3E" w:rsidR="004F572F" w:rsidRDefault="004F572F" w:rsidP="004F572F"/>
    <w:p w14:paraId="749174F8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Нежеланите лекарствени реакции са описани по-долу, класифицирани по органи и системи и по честота. Нежеланите реакции се класифицират по честота по следния начин: много чести (≥ 1/10), чести 1/100 и &lt;1/10), нечести (≥ 1/1 000 и &lt;1/100), редки (≥1/10 000 и &lt;1/1 000), много редки (&lt;1/10 000) и с неизвестна честота (от наличните данни не може да бъде направена оценка).</w:t>
      </w:r>
    </w:p>
    <w:p w14:paraId="0B41526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Метопролол обикновено се понася добре. Нежеланите лекарствени реакции, като правило, могат да се наблюдават в началото на курса на лечение или при прилагане на продукта във високи дози.</w:t>
      </w:r>
    </w:p>
    <w:p w14:paraId="6403A451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Възможните нежелани реакции при приложение на метопролол са следните:</w:t>
      </w:r>
    </w:p>
    <w:p w14:paraId="2D2BF2C5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DC3B849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Изследвания: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7AC3A245" w14:textId="20AED23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повишаване на телесното тегло, промяна в серумните трансаминази.</w:t>
      </w:r>
    </w:p>
    <w:p w14:paraId="35C1064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28BBA9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Сърдечни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3E353205" w14:textId="0881B1B9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симптоматична брадикардия; нечести - нарушение на атрио- вентрикуларната проводимост; редки - аритмии, палпитации, обостряне на сърдечна недостатъчност; много редки - прекордиални болки.</w:t>
      </w:r>
    </w:p>
    <w:p w14:paraId="0840E00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2AF8D3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кръвта и лимфната система: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19CCB486" w14:textId="7D961BA5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тромбоцитопения.</w:t>
      </w:r>
    </w:p>
    <w:p w14:paraId="0D7D811E" w14:textId="22CF1645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85FC1E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нервната система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5D362FD3" w14:textId="23C85B35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замаяност, главоболие; редки - парестезии, нарушение на концентрацията, сомнолентност или безсъние.</w:t>
      </w:r>
    </w:p>
    <w:p w14:paraId="124F5A5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D9D5F55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очите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02D5A5DF" w14:textId="6C9E3D2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нарушения в зрението, намалено сълзоотделяне (това трябва да се има предвид, ако се носят контактни лещи) и/или конюнктивит.</w:t>
      </w:r>
    </w:p>
    <w:p w14:paraId="3ADEE3F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EC5639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ухото и лабиринта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594904EC" w14:textId="695F0915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много редки - шум в ушите; при дози, превишаващи препоръчаните - нарушения в слуха.</w:t>
      </w:r>
    </w:p>
    <w:p w14:paraId="6EB1EA8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9AEF4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Респираторни, гръдни и медиастинални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614EB251" w14:textId="6EB4C29D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задух при усилие; редки — бронхоспазъм (който може да се наблюдава при пациенти без предхождащи обструктивни заболявания на белите дробове); много редки - ринити.</w:t>
      </w:r>
    </w:p>
    <w:p w14:paraId="6D0AB1F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9BB2A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231BC371" w14:textId="7C8F4DF6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lang w:eastAsia="bg-BG"/>
        </w:rPr>
        <w:t>чести - гадене, повръщане, коремна болка; редки - диария или констипация; много редки - сухота в устата; с неизвестна честота - ретроперитонеална фиброза (връзката с употребата на метопролол не е доказана със сигурност).</w:t>
      </w:r>
    </w:p>
    <w:p w14:paraId="5FA200E1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8F04A91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7B257CBF" w14:textId="6D2E232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редки - кожни обриви (уртикария, псориазоподобни и дистрофични кожни лезии); много редки - фоточувствителност, повишено потоотделяне, алопеция, обостряне на псориазис.</w:t>
      </w:r>
    </w:p>
    <w:p w14:paraId="170D3230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CC0CC8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мускулно-скелетната система и съединителната тъкан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682F9C27" w14:textId="6E48E6D3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редки - мускулни крампи; много редки - артрити.</w:t>
      </w:r>
    </w:p>
    <w:p w14:paraId="0B934CA8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C9EAC6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Съдови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05866C3F" w14:textId="06260BC8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чести — ортостатична хипотония (понякога и синкоп); редки - отоци, обостряне на оплакванията при пациенти с периферни разстройства на кръвообращението (включително със синдром на </w:t>
      </w:r>
      <w:r w:rsidRPr="004F572F">
        <w:rPr>
          <w:rFonts w:eastAsia="Times New Roman" w:cs="Arial"/>
          <w:i/>
          <w:iCs/>
          <w:color w:val="000000"/>
          <w:lang w:val="en-US"/>
        </w:rPr>
        <w:t>Raynaud</w:t>
      </w:r>
      <w:r w:rsidRPr="004F572F">
        <w:rPr>
          <w:rFonts w:eastAsia="Times New Roman" w:cs="Arial"/>
          <w:i/>
          <w:iCs/>
          <w:color w:val="000000"/>
          <w:lang w:val="ru-RU"/>
        </w:rPr>
        <w:t>);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много редки - гангрена при пациенти с предхождащи тежки периферни циркулаторни нарушения.</w:t>
      </w:r>
    </w:p>
    <w:p w14:paraId="20E558E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1CD904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Общи нарушения и ефекти на мястото на приложение: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10F36BD4" w14:textId="4EDAFA9F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чести - умора.</w:t>
      </w:r>
    </w:p>
    <w:p w14:paraId="4F4B3A23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D728EB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Хепатобилиарни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657C6DAB" w14:textId="03382F13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с неизвестна честота - хепатити.</w:t>
      </w:r>
    </w:p>
    <w:p w14:paraId="35CAB15B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B3A360B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Нарушения на репродуктивната система</w:t>
      </w:r>
      <w:r w:rsidRPr="004F572F">
        <w:rPr>
          <w:rFonts w:eastAsia="Times New Roman" w:cs="Arial"/>
          <w:color w:val="000000"/>
          <w:lang w:eastAsia="bg-BG"/>
        </w:rPr>
        <w:t xml:space="preserve">: </w:t>
      </w:r>
    </w:p>
    <w:p w14:paraId="7188282A" w14:textId="2A402E3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много редки - нарушения на либидото и потентността; с неизвестна честота - </w:t>
      </w:r>
      <w:proofErr w:type="spellStart"/>
      <w:r w:rsidRPr="004F572F">
        <w:rPr>
          <w:rFonts w:eastAsia="Times New Roman" w:cs="Arial"/>
          <w:i/>
          <w:iCs/>
          <w:color w:val="000000"/>
          <w:lang w:val="en-US"/>
        </w:rPr>
        <w:t>Peyronie</w:t>
      </w:r>
      <w:proofErr w:type="spellEnd"/>
      <w:r w:rsidRPr="004F572F">
        <w:rPr>
          <w:rFonts w:eastAsia="Times New Roman" w:cs="Arial"/>
          <w:i/>
          <w:iCs/>
          <w:color w:val="000000"/>
          <w:lang w:val="ru-RU"/>
        </w:rPr>
        <w:t>’</w:t>
      </w:r>
      <w:r w:rsidRPr="004F572F">
        <w:rPr>
          <w:rFonts w:eastAsia="Times New Roman" w:cs="Arial"/>
          <w:i/>
          <w:iCs/>
          <w:color w:val="000000"/>
          <w:lang w:val="en-US"/>
        </w:rPr>
        <w:t>s</w:t>
      </w:r>
      <w:r w:rsidRPr="004F572F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4F572F">
        <w:rPr>
          <w:rFonts w:eastAsia="Times New Roman" w:cs="Arial"/>
          <w:i/>
          <w:iCs/>
          <w:color w:val="000000"/>
          <w:lang w:val="en-US"/>
        </w:rPr>
        <w:t>disease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(връзката с употребата на метопролол не е доказана със сигурност).</w:t>
      </w:r>
    </w:p>
    <w:p w14:paraId="53168212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E16582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Психични нарушения:</w:t>
      </w:r>
      <w:r w:rsidRPr="004F572F">
        <w:rPr>
          <w:rFonts w:eastAsia="Times New Roman" w:cs="Arial"/>
          <w:color w:val="000000"/>
          <w:lang w:eastAsia="bg-BG"/>
        </w:rPr>
        <w:t xml:space="preserve"> </w:t>
      </w:r>
    </w:p>
    <w:p w14:paraId="0F79B471" w14:textId="6CA5C228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редки - депресия, кошмари; много редки — личностни нарушения (променливо настроение, преходна амнезия), халюцинации.</w:t>
      </w:r>
    </w:p>
    <w:p w14:paraId="168E5028" w14:textId="77777777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</w:p>
    <w:p w14:paraId="6D8D0AE1" w14:textId="2188C22F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Постмаркетингов период</w:t>
      </w:r>
    </w:p>
    <w:p w14:paraId="0C238FF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Следните нежелани лекарствени реакции са съобщавани за метопролол след одобрение за употреба: състояние на обърканост, повишаване на триглицеридите, понижаване на лиропротеините с ниска плътност </w:t>
      </w:r>
      <w:r w:rsidRPr="004F572F">
        <w:rPr>
          <w:rFonts w:eastAsia="Times New Roman" w:cs="Arial"/>
          <w:color w:val="000000"/>
          <w:lang w:val="ru-RU"/>
        </w:rPr>
        <w:t>(</w:t>
      </w:r>
      <w:r w:rsidRPr="004F572F">
        <w:rPr>
          <w:rFonts w:eastAsia="Times New Roman" w:cs="Arial"/>
          <w:color w:val="000000"/>
          <w:lang w:val="en-US"/>
        </w:rPr>
        <w:t>HDL</w:t>
      </w:r>
      <w:r w:rsidRPr="004F572F">
        <w:rPr>
          <w:rFonts w:eastAsia="Times New Roman" w:cs="Arial"/>
          <w:color w:val="000000"/>
          <w:lang w:val="ru-RU"/>
        </w:rPr>
        <w:t xml:space="preserve">). </w:t>
      </w:r>
      <w:r w:rsidRPr="004F572F">
        <w:rPr>
          <w:rFonts w:eastAsia="Times New Roman" w:cs="Arial"/>
          <w:color w:val="000000"/>
          <w:lang w:eastAsia="bg-BG"/>
        </w:rPr>
        <w:t>Тъй като тези съобщения са от популация с неустановен брой и са обект на различни съпътстващи фактори, не е възможно достоверно определяне на честотата.</w:t>
      </w:r>
    </w:p>
    <w:p w14:paraId="55C9008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B55DEED" w14:textId="56DC201E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385603CA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 Дамян Груев № 8, 1303 София, тел: +359 28903417, уебсайт: </w:t>
      </w:r>
      <w:hyperlink r:id="rId5" w:history="1">
        <w:r w:rsidRPr="004F572F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  <w:r w:rsidRPr="004F572F">
        <w:rPr>
          <w:rFonts w:eastAsia="Times New Roman" w:cs="Arial"/>
          <w:color w:val="000000"/>
          <w:lang w:val="en-US"/>
        </w:rPr>
        <w:t>.</w:t>
      </w:r>
    </w:p>
    <w:p w14:paraId="3BE142DA" w14:textId="77777777" w:rsidR="004F572F" w:rsidRPr="004F572F" w:rsidRDefault="004F572F" w:rsidP="004F572F"/>
    <w:p w14:paraId="0A023CE0" w14:textId="7C246772" w:rsidR="00CF77F7" w:rsidRDefault="002C50EE" w:rsidP="004A448E">
      <w:pPr>
        <w:pStyle w:val="Heading2"/>
      </w:pPr>
      <w:r>
        <w:t>4.9. Предозиране</w:t>
      </w:r>
    </w:p>
    <w:p w14:paraId="1BA18A36" w14:textId="1F3FEE98" w:rsidR="004F572F" w:rsidRDefault="004F572F" w:rsidP="004F572F"/>
    <w:p w14:paraId="5CAD7E6E" w14:textId="77777777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lastRenderedPageBreak/>
        <w:t>Симптоми</w:t>
      </w:r>
    </w:p>
    <w:p w14:paraId="06D8229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Началните симптоми на предозиране се появяват от 20 минути до 2 часа след приемане на метопролол.</w:t>
      </w:r>
    </w:p>
    <w:p w14:paraId="2CB4ED61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Основните симптоми са от страна на сърдечно-съдовата и ЦНС система: хипотония, брадикардия, стигаща до сърдечен арест, сърдечна недостатъчност и кардиогенен шок. Възможни са затруднения в дишането, бронхоспазъм, нарушения в съзнанието, понякога генерализирани гърчове.</w:t>
      </w:r>
    </w:p>
    <w:p w14:paraId="16880648" w14:textId="77777777" w:rsidR="004F572F" w:rsidRDefault="004F572F" w:rsidP="004F572F">
      <w:pPr>
        <w:rPr>
          <w:lang w:eastAsia="bg-BG"/>
        </w:rPr>
      </w:pPr>
    </w:p>
    <w:p w14:paraId="34035DE2" w14:textId="1D3F0AA4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Лечение</w:t>
      </w:r>
    </w:p>
    <w:p w14:paraId="0035710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Симптоматично лечение. Необходимо е мониториране на жизнените показатели и при необходимост се коригират в условията на интензивни отделения. При брадикардия и нарушения в проводимостта е показано интравенозно болусно въвеждане на атропин в доза 0,5-2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 xml:space="preserve">и/или поставяне на временен пейсмейкър. При резистентна хипотония и сърдечна недостатъчност се прилага глюкагон интравенозно в начална доза 1-10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, </w:t>
      </w:r>
      <w:r w:rsidRPr="004F572F">
        <w:rPr>
          <w:lang w:eastAsia="bg-BG"/>
        </w:rPr>
        <w:t xml:space="preserve">последвана от доза 2-2,5 </w:t>
      </w:r>
      <w:r w:rsidRPr="004F572F">
        <w:rPr>
          <w:lang w:val="en-US"/>
        </w:rPr>
        <w:t>mg</w:t>
      </w:r>
      <w:r w:rsidRPr="004F572F">
        <w:rPr>
          <w:lang w:val="ru-RU"/>
        </w:rPr>
        <w:t>/</w:t>
      </w:r>
      <w:r w:rsidRPr="004F572F">
        <w:rPr>
          <w:lang w:val="en-US"/>
        </w:rPr>
        <w:t>h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под форма на продължителна капелна инфузия. При генерализирани гърчове се препоръчва бавно интравенозно прилагане на диазепам.</w:t>
      </w:r>
    </w:p>
    <w:p w14:paraId="72B100CD" w14:textId="77777777" w:rsidR="004F572F" w:rsidRPr="004F572F" w:rsidRDefault="004F572F" w:rsidP="004F572F"/>
    <w:p w14:paraId="02081B24" w14:textId="1F46E296" w:rsidR="00395555" w:rsidRPr="00395555" w:rsidRDefault="002C50EE" w:rsidP="008A6AF2">
      <w:pPr>
        <w:pStyle w:val="Heading1"/>
      </w:pPr>
      <w:r>
        <w:t>5. ФАРМАКОЛОГИЧНИ СВОЙСТВА</w:t>
      </w:r>
    </w:p>
    <w:p w14:paraId="32B6DE66" w14:textId="7B65ABB4" w:rsidR="00CF77F7" w:rsidRDefault="002C50EE" w:rsidP="004A448E">
      <w:pPr>
        <w:pStyle w:val="Heading2"/>
      </w:pPr>
      <w:r>
        <w:t>5.1. Фармакодинамични свойства</w:t>
      </w:r>
    </w:p>
    <w:p w14:paraId="06791766" w14:textId="6E835308" w:rsidR="004F572F" w:rsidRDefault="004F572F" w:rsidP="004F572F"/>
    <w:p w14:paraId="053EB75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Фармакотерапевтична група: Кардиоселективни β-блокери, АТС код: С07АВ02</w:t>
      </w:r>
    </w:p>
    <w:p w14:paraId="44CFC94A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0BC417" w14:textId="6C2AE63E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Метопролол е кардиоселективен </w:t>
      </w:r>
      <w:r w:rsidRPr="004F572F">
        <w:rPr>
          <w:rFonts w:eastAsia="Times New Roman" w:cs="Arial"/>
          <w:color w:val="000000"/>
          <w:lang w:val="en-US"/>
        </w:rPr>
        <w:t>p</w:t>
      </w:r>
      <w:r w:rsidRPr="004F572F">
        <w:rPr>
          <w:rFonts w:eastAsia="Times New Roman" w:cs="Arial"/>
          <w:color w:val="000000"/>
          <w:lang w:eastAsia="bg-BG"/>
        </w:rPr>
        <w:t xml:space="preserve">-блокер без вътрешна симпатикомиметична активност и със слабо изразено мембраностабилизиращо действие. Оказва антихипертензивно, антиангинално и антиаритмично действие. Понижава съкратимостта и възбудимостта на миокарда, понижава минутния сърдечен обем и намалява потребностите на миокарда от кислород. Понижава честотата и контрактилитета на сърцето, скоростта на </w:t>
      </w:r>
      <w:r w:rsidRPr="004F572F">
        <w:rPr>
          <w:rFonts w:eastAsia="Times New Roman" w:cs="Arial"/>
          <w:color w:val="000000"/>
          <w:lang w:val="en-US"/>
        </w:rPr>
        <w:t>AV</w:t>
      </w:r>
      <w:r w:rsidRPr="004F572F">
        <w:rPr>
          <w:rFonts w:eastAsia="Times New Roman" w:cs="Arial"/>
          <w:color w:val="000000"/>
          <w:lang w:eastAsia="bg-BG"/>
        </w:rPr>
        <w:t xml:space="preserve">-проводимостта. При прилагане в средни терапевтични дози оказва по-слабо изразено влияние върху гладката мускулатура на бронхите и периферните артерии в сравнение с неселективните </w:t>
      </w:r>
      <w:r w:rsidRPr="004F572F">
        <w:rPr>
          <w:rFonts w:eastAsia="Times New Roman" w:cs="Arial"/>
          <w:color w:val="000000"/>
          <w:lang w:eastAsia="bg-BG"/>
        </w:rPr>
        <w:t>β</w:t>
      </w:r>
      <w:r w:rsidRPr="004F572F">
        <w:rPr>
          <w:rFonts w:eastAsia="Times New Roman" w:cs="Arial"/>
          <w:color w:val="000000"/>
          <w:lang w:eastAsia="bg-BG"/>
        </w:rPr>
        <w:t xml:space="preserve"> -блокери. Притежава антимигренозна активност.</w:t>
      </w:r>
    </w:p>
    <w:p w14:paraId="3F1555D7" w14:textId="77777777" w:rsidR="004F572F" w:rsidRPr="004F572F" w:rsidRDefault="004F572F" w:rsidP="004F572F"/>
    <w:p w14:paraId="35F84B81" w14:textId="005616BE" w:rsidR="00CF77F7" w:rsidRDefault="002C50EE" w:rsidP="004A448E">
      <w:pPr>
        <w:pStyle w:val="Heading2"/>
      </w:pPr>
      <w:r>
        <w:t>5.2. Фармакокинетични свойства</w:t>
      </w:r>
    </w:p>
    <w:p w14:paraId="01B331D9" w14:textId="528BF580" w:rsidR="004F572F" w:rsidRDefault="004F572F" w:rsidP="004F572F"/>
    <w:p w14:paraId="437C01B4" w14:textId="77777777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Абсорбция</w:t>
      </w:r>
    </w:p>
    <w:p w14:paraId="075A3A0D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Метопролол бързо и почти пълно (около 95%) се резорбира в стомашно-чревния тракт. Максимална плазмена концентрация се достига след 1,5 - 2 </w:t>
      </w:r>
      <w:r w:rsidRPr="004F572F">
        <w:rPr>
          <w:rFonts w:eastAsia="Times New Roman" w:cs="Arial"/>
          <w:color w:val="000000"/>
          <w:lang w:val="en-US"/>
        </w:rPr>
        <w:t>h</w:t>
      </w:r>
      <w:r w:rsidRPr="004F572F">
        <w:rPr>
          <w:rFonts w:eastAsia="Times New Roman" w:cs="Arial"/>
          <w:color w:val="000000"/>
          <w:lang w:val="ru-RU"/>
        </w:rPr>
        <w:t xml:space="preserve">. </w:t>
      </w:r>
      <w:r w:rsidRPr="004F572F">
        <w:rPr>
          <w:rFonts w:eastAsia="Times New Roman" w:cs="Arial"/>
          <w:color w:val="000000"/>
          <w:lang w:eastAsia="bg-BG"/>
        </w:rPr>
        <w:t>Вследствие на интензивен</w:t>
      </w:r>
      <w:r w:rsidRPr="004F572F">
        <w:rPr>
          <w:rFonts w:eastAsia="Times New Roman" w:cs="Arial"/>
          <w:color w:val="000000"/>
          <w:u w:val="single"/>
          <w:lang w:eastAsia="bg-BG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 xml:space="preserve">чернодробен </w:t>
      </w:r>
      <w:r w:rsidRPr="004F572F">
        <w:rPr>
          <w:rFonts w:eastAsia="Times New Roman" w:cs="Arial"/>
          <w:i/>
          <w:iCs/>
          <w:color w:val="000000"/>
          <w:lang w:val="en-US"/>
        </w:rPr>
        <w:t>first</w:t>
      </w:r>
      <w:r w:rsidRPr="004F572F">
        <w:rPr>
          <w:rFonts w:eastAsia="Times New Roman" w:cs="Arial"/>
          <w:i/>
          <w:iCs/>
          <w:color w:val="000000"/>
          <w:lang w:val="ru-RU"/>
        </w:rPr>
        <w:t>-</w:t>
      </w:r>
      <w:r w:rsidRPr="004F572F">
        <w:rPr>
          <w:rFonts w:eastAsia="Times New Roman" w:cs="Arial"/>
          <w:i/>
          <w:iCs/>
          <w:color w:val="000000"/>
          <w:lang w:val="en-US"/>
        </w:rPr>
        <w:t>past</w:t>
      </w:r>
      <w:r w:rsidRPr="004F572F">
        <w:rPr>
          <w:rFonts w:eastAsia="Times New Roman" w:cs="Arial"/>
          <w:color w:val="000000"/>
          <w:lang w:val="ru-RU"/>
        </w:rPr>
        <w:t xml:space="preserve"> </w:t>
      </w:r>
      <w:r w:rsidRPr="004F572F">
        <w:rPr>
          <w:rFonts w:eastAsia="Times New Roman" w:cs="Arial"/>
          <w:color w:val="000000"/>
          <w:lang w:eastAsia="bg-BG"/>
        </w:rPr>
        <w:t>метаболизъм бионаличността е около 50%. Бионаличността се повишава ако метопролол се приема с храна.</w:t>
      </w:r>
    </w:p>
    <w:p w14:paraId="254C4F51" w14:textId="77777777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</w:p>
    <w:p w14:paraId="5E560308" w14:textId="7B8BA133" w:rsidR="004F572F" w:rsidRPr="004F572F" w:rsidRDefault="004F572F" w:rsidP="004F572F">
      <w:pPr>
        <w:rPr>
          <w:rFonts w:eastAsia="Times New Roman" w:cs="Arial"/>
          <w:color w:val="000000"/>
          <w:u w:val="single"/>
          <w:lang w:eastAsia="bg-BG"/>
        </w:rPr>
      </w:pPr>
      <w:r w:rsidRPr="004F572F">
        <w:rPr>
          <w:rStyle w:val="Heading3Char"/>
          <w:u w:val="single"/>
          <w:lang w:eastAsia="bg-BG"/>
        </w:rPr>
        <w:t>Разпределени</w:t>
      </w:r>
      <w:r w:rsidRPr="004F572F">
        <w:rPr>
          <w:rFonts w:eastAsia="Times New Roman" w:cs="Arial"/>
          <w:color w:val="000000"/>
          <w:u w:val="single"/>
          <w:lang w:eastAsia="bg-BG"/>
        </w:rPr>
        <w:t>е</w:t>
      </w:r>
    </w:p>
    <w:p w14:paraId="16A365C8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С плазмените протеини се свързва до 10%. Обемът на разпределение е 5,5 </w:t>
      </w:r>
      <w:r w:rsidRPr="004F572F">
        <w:rPr>
          <w:rFonts w:eastAsia="Times New Roman" w:cs="Arial"/>
          <w:color w:val="000000"/>
          <w:lang w:val="ru-RU"/>
        </w:rPr>
        <w:t>1/</w:t>
      </w:r>
      <w:r w:rsidRPr="004F572F">
        <w:rPr>
          <w:rFonts w:eastAsia="Times New Roman" w:cs="Arial"/>
          <w:color w:val="000000"/>
          <w:lang w:val="en-US"/>
        </w:rPr>
        <w:t>kg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1548BD8F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58463CE" w14:textId="0492F835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Биотрансформация</w:t>
      </w:r>
    </w:p>
    <w:p w14:paraId="12F58784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Метопролол почти напълно се метаболизира в черния дроб, предимно чрез цитохром Р450, изоензим </w:t>
      </w:r>
      <w:r w:rsidRPr="004F572F">
        <w:rPr>
          <w:rFonts w:eastAsia="Times New Roman" w:cs="Arial"/>
          <w:color w:val="000000"/>
          <w:lang w:val="ru-RU"/>
        </w:rPr>
        <w:t>2</w:t>
      </w:r>
      <w:r w:rsidRPr="004F572F">
        <w:rPr>
          <w:rFonts w:eastAsia="Times New Roman" w:cs="Arial"/>
          <w:color w:val="000000"/>
          <w:lang w:val="en-US"/>
        </w:rPr>
        <w:t>D</w:t>
      </w:r>
      <w:r w:rsidRPr="004F572F">
        <w:rPr>
          <w:rFonts w:eastAsia="Times New Roman" w:cs="Arial"/>
          <w:color w:val="000000"/>
          <w:lang w:val="ru-RU"/>
        </w:rPr>
        <w:t>6 (</w:t>
      </w:r>
      <w:r w:rsidRPr="004F572F">
        <w:rPr>
          <w:rFonts w:eastAsia="Times New Roman" w:cs="Arial"/>
          <w:color w:val="000000"/>
          <w:lang w:val="en-US"/>
        </w:rPr>
        <w:t>CYP</w:t>
      </w:r>
      <w:r w:rsidRPr="004F572F">
        <w:rPr>
          <w:rFonts w:eastAsia="Times New Roman" w:cs="Arial"/>
          <w:color w:val="000000"/>
          <w:lang w:val="ru-RU"/>
        </w:rPr>
        <w:t xml:space="preserve"> 2</w:t>
      </w:r>
      <w:r w:rsidRPr="004F572F">
        <w:rPr>
          <w:rFonts w:eastAsia="Times New Roman" w:cs="Arial"/>
          <w:color w:val="000000"/>
          <w:lang w:val="en-US"/>
        </w:rPr>
        <w:t>D</w:t>
      </w:r>
      <w:r w:rsidRPr="004F572F">
        <w:rPr>
          <w:rFonts w:eastAsia="Times New Roman" w:cs="Arial"/>
          <w:color w:val="000000"/>
          <w:lang w:val="ru-RU"/>
        </w:rPr>
        <w:t xml:space="preserve">6). </w:t>
      </w:r>
      <w:r w:rsidRPr="004F572F">
        <w:rPr>
          <w:rFonts w:eastAsia="Times New Roman" w:cs="Arial"/>
          <w:color w:val="000000"/>
          <w:lang w:eastAsia="bg-BG"/>
        </w:rPr>
        <w:t>Два от трите основни метаболита показват слаби бета-блокиращи свойства, които не са от клинично значение.</w:t>
      </w:r>
    </w:p>
    <w:p w14:paraId="17F74807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05C96D6" w14:textId="2607E560" w:rsidR="004F572F" w:rsidRPr="004F572F" w:rsidRDefault="004F572F" w:rsidP="004F572F">
      <w:pPr>
        <w:pStyle w:val="Heading3"/>
        <w:rPr>
          <w:rFonts w:eastAsia="Times New Roman"/>
          <w:u w:val="single"/>
        </w:rPr>
      </w:pPr>
      <w:r w:rsidRPr="004F572F">
        <w:rPr>
          <w:rFonts w:eastAsia="Times New Roman"/>
          <w:u w:val="single"/>
          <w:lang w:eastAsia="bg-BG"/>
        </w:rPr>
        <w:t>Елиминиране</w:t>
      </w:r>
    </w:p>
    <w:p w14:paraId="2B137F50" w14:textId="77777777" w:rsidR="004F572F" w:rsidRPr="004F572F" w:rsidRDefault="004F572F" w:rsidP="004F57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72F">
        <w:rPr>
          <w:rFonts w:eastAsia="Times New Roman" w:cs="Arial"/>
          <w:color w:val="000000"/>
          <w:lang w:eastAsia="bg-BG"/>
        </w:rPr>
        <w:t>Метопролол и неговите метаболити се елиминират основно чрез бъбреците (до 95%). Време на полуживот - 3,5 часа.</w:t>
      </w:r>
    </w:p>
    <w:p w14:paraId="36B42C5F" w14:textId="77777777" w:rsidR="004F572F" w:rsidRPr="004F572F" w:rsidRDefault="004F572F" w:rsidP="004F572F"/>
    <w:p w14:paraId="648E39DA" w14:textId="08EFC7C3" w:rsidR="00CF77F7" w:rsidRDefault="002C50EE" w:rsidP="004A448E">
      <w:pPr>
        <w:pStyle w:val="Heading2"/>
      </w:pPr>
      <w:r>
        <w:t>5.3. Предклинични данни за безопасност</w:t>
      </w:r>
    </w:p>
    <w:p w14:paraId="71CF36CA" w14:textId="3575D101" w:rsidR="004F572F" w:rsidRDefault="004F572F" w:rsidP="004F572F"/>
    <w:p w14:paraId="2B9016A5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Токсичност при продължителен прием</w:t>
      </w:r>
    </w:p>
    <w:p w14:paraId="51C18651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Изследванията на хронична токсичност върху различни видове животни не показват данни за токсични ефекти, предизвикани от метопролол.</w:t>
      </w:r>
    </w:p>
    <w:p w14:paraId="7BADED24" w14:textId="77777777" w:rsidR="004F572F" w:rsidRPr="004F572F" w:rsidRDefault="004F572F" w:rsidP="004F572F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84AAB1E" w14:textId="4D70CE7A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u w:val="single"/>
          <w:lang w:eastAsia="bg-BG"/>
        </w:rPr>
        <w:t>Репродуктивна токсичност</w:t>
      </w:r>
    </w:p>
    <w:p w14:paraId="339361A2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>Токсикологични проучвания при мишки, плъхове и зайци не показват данни за тератогенност.</w:t>
      </w:r>
    </w:p>
    <w:p w14:paraId="3815657C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Няма данни за влошаване на фертилитета при плъхове в орални дози над 500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>/</w:t>
      </w:r>
      <w:r w:rsidRPr="004F572F">
        <w:rPr>
          <w:rFonts w:eastAsia="Times New Roman" w:cs="Arial"/>
          <w:color w:val="000000"/>
          <w:lang w:val="en-US"/>
        </w:rPr>
        <w:t>kg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27E31386" w14:textId="77777777" w:rsidR="004F572F" w:rsidRPr="004F572F" w:rsidRDefault="004F572F" w:rsidP="004F572F">
      <w:pPr>
        <w:spacing w:line="240" w:lineRule="auto"/>
        <w:rPr>
          <w:rFonts w:eastAsia="Times New Roman" w:cs="Arial"/>
        </w:rPr>
      </w:pPr>
      <w:r w:rsidRPr="004F572F">
        <w:rPr>
          <w:rFonts w:eastAsia="Times New Roman" w:cs="Arial"/>
          <w:color w:val="000000"/>
          <w:lang w:eastAsia="bg-BG"/>
        </w:rPr>
        <w:t xml:space="preserve">Липсват данни за карциногенен ефект в опити при мишки и плъхове, третирани с метопролол 21-24 месеца с дози 800 </w:t>
      </w:r>
      <w:r w:rsidRPr="004F572F">
        <w:rPr>
          <w:rFonts w:eastAsia="Times New Roman" w:cs="Arial"/>
          <w:color w:val="000000"/>
          <w:lang w:val="en-US"/>
        </w:rPr>
        <w:t>mg</w:t>
      </w:r>
      <w:r w:rsidRPr="004F572F">
        <w:rPr>
          <w:rFonts w:eastAsia="Times New Roman" w:cs="Arial"/>
          <w:color w:val="000000"/>
          <w:lang w:val="ru-RU"/>
        </w:rPr>
        <w:t>/</w:t>
      </w:r>
      <w:r w:rsidRPr="004F572F">
        <w:rPr>
          <w:rFonts w:eastAsia="Times New Roman" w:cs="Arial"/>
          <w:color w:val="000000"/>
          <w:lang w:val="en-US"/>
        </w:rPr>
        <w:t>kg</w:t>
      </w:r>
      <w:r w:rsidRPr="004F572F">
        <w:rPr>
          <w:rFonts w:eastAsia="Times New Roman" w:cs="Arial"/>
          <w:color w:val="000000"/>
          <w:lang w:val="ru-RU"/>
        </w:rPr>
        <w:t>.</w:t>
      </w:r>
    </w:p>
    <w:p w14:paraId="03DFE351" w14:textId="77777777" w:rsidR="004F572F" w:rsidRPr="004F572F" w:rsidRDefault="004F572F" w:rsidP="004F572F"/>
    <w:p w14:paraId="6A7820AB" w14:textId="251ACAEC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0FE78D37" w14:textId="4121236A" w:rsidR="004F572F" w:rsidRDefault="004F572F" w:rsidP="004F572F"/>
    <w:p w14:paraId="398CA04A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СОФАРМА АД</w:t>
      </w:r>
    </w:p>
    <w:p w14:paraId="62EE11FF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ул. Илиенско шосе 16, 1220 София, България</w:t>
      </w:r>
    </w:p>
    <w:p w14:paraId="2F586855" w14:textId="77777777" w:rsidR="004F572F" w:rsidRPr="004F572F" w:rsidRDefault="004F572F" w:rsidP="004F572F"/>
    <w:p w14:paraId="7BA1BA64" w14:textId="62354425" w:rsidR="00CF77F7" w:rsidRDefault="002C50EE" w:rsidP="004A448E">
      <w:pPr>
        <w:pStyle w:val="Heading1"/>
      </w:pPr>
      <w:r>
        <w:t>8. НОМЕР НА РАЗРЕШЕНИЕТО ЗА УПОТРЕБА</w:t>
      </w:r>
    </w:p>
    <w:p w14:paraId="3084177C" w14:textId="5685B3EE" w:rsidR="004F572F" w:rsidRDefault="004F572F" w:rsidP="004F572F"/>
    <w:p w14:paraId="56AAF663" w14:textId="77777777" w:rsidR="004F572F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 xml:space="preserve">ПРОМЕРОЛ 50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филмирани таблетки: 20100219</w:t>
      </w:r>
    </w:p>
    <w:p w14:paraId="6254A107" w14:textId="77BB06C2" w:rsidR="004F572F" w:rsidRPr="004F572F" w:rsidRDefault="004F572F" w:rsidP="004F572F">
      <w:r w:rsidRPr="004F572F">
        <w:rPr>
          <w:lang w:eastAsia="bg-BG"/>
        </w:rPr>
        <w:t xml:space="preserve">ПРОМЕРОЛ100 </w:t>
      </w:r>
      <w:r w:rsidRPr="004F572F">
        <w:rPr>
          <w:lang w:val="en-US"/>
        </w:rPr>
        <w:t>mg</w:t>
      </w:r>
      <w:r w:rsidRPr="004F572F">
        <w:rPr>
          <w:lang w:val="ru-RU"/>
        </w:rPr>
        <w:t xml:space="preserve"> </w:t>
      </w:r>
      <w:r w:rsidRPr="004F572F">
        <w:rPr>
          <w:lang w:eastAsia="bg-BG"/>
        </w:rPr>
        <w:t>филмирани таблетки: 20100220</w:t>
      </w:r>
    </w:p>
    <w:p w14:paraId="2CCB5832" w14:textId="5CFF35AA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45BA97E5" w14:textId="2261FD91" w:rsidR="004F572F" w:rsidRDefault="004F572F" w:rsidP="004F572F"/>
    <w:p w14:paraId="24496132" w14:textId="0893B932" w:rsidR="004F572F" w:rsidRPr="004F572F" w:rsidRDefault="004F572F" w:rsidP="004F572F">
      <w:r>
        <w:t>31.3.2010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14E659A4" w:rsidR="007C605B" w:rsidRPr="004F572F" w:rsidRDefault="004F572F" w:rsidP="004F572F">
      <w:pPr>
        <w:rPr>
          <w:sz w:val="24"/>
          <w:szCs w:val="24"/>
        </w:rPr>
      </w:pPr>
      <w:r w:rsidRPr="004F572F">
        <w:rPr>
          <w:lang w:eastAsia="bg-BG"/>
        </w:rPr>
        <w:t>Декември 2014</w:t>
      </w:r>
      <w:bookmarkStart w:id="1" w:name="_GoBack"/>
      <w:bookmarkEnd w:id="1"/>
    </w:p>
    <w:sectPr w:rsidR="007C605B" w:rsidRPr="004F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008BD"/>
    <w:multiLevelType w:val="hybridMultilevel"/>
    <w:tmpl w:val="E5544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269F7"/>
    <w:multiLevelType w:val="hybridMultilevel"/>
    <w:tmpl w:val="10669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81101"/>
    <w:multiLevelType w:val="hybridMultilevel"/>
    <w:tmpl w:val="F0825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C0B97"/>
    <w:multiLevelType w:val="hybridMultilevel"/>
    <w:tmpl w:val="A1AA7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9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7"/>
  </w:num>
  <w:num w:numId="7">
    <w:abstractNumId w:val="12"/>
  </w:num>
  <w:num w:numId="8">
    <w:abstractNumId w:val="16"/>
  </w:num>
  <w:num w:numId="9">
    <w:abstractNumId w:val="2"/>
  </w:num>
  <w:num w:numId="10">
    <w:abstractNumId w:val="4"/>
  </w:num>
  <w:num w:numId="11">
    <w:abstractNumId w:val="33"/>
  </w:num>
  <w:num w:numId="12">
    <w:abstractNumId w:val="15"/>
  </w:num>
  <w:num w:numId="13">
    <w:abstractNumId w:val="20"/>
  </w:num>
  <w:num w:numId="14">
    <w:abstractNumId w:val="13"/>
  </w:num>
  <w:num w:numId="15">
    <w:abstractNumId w:val="32"/>
  </w:num>
  <w:num w:numId="16">
    <w:abstractNumId w:val="11"/>
  </w:num>
  <w:num w:numId="17">
    <w:abstractNumId w:val="26"/>
  </w:num>
  <w:num w:numId="18">
    <w:abstractNumId w:val="8"/>
  </w:num>
  <w:num w:numId="19">
    <w:abstractNumId w:val="28"/>
  </w:num>
  <w:num w:numId="20">
    <w:abstractNumId w:val="25"/>
  </w:num>
  <w:num w:numId="21">
    <w:abstractNumId w:val="18"/>
  </w:num>
  <w:num w:numId="22">
    <w:abstractNumId w:val="27"/>
  </w:num>
  <w:num w:numId="23">
    <w:abstractNumId w:val="19"/>
  </w:num>
  <w:num w:numId="24">
    <w:abstractNumId w:val="10"/>
  </w:num>
  <w:num w:numId="25">
    <w:abstractNumId w:val="24"/>
  </w:num>
  <w:num w:numId="26">
    <w:abstractNumId w:val="23"/>
  </w:num>
  <w:num w:numId="27">
    <w:abstractNumId w:val="34"/>
  </w:num>
  <w:num w:numId="28">
    <w:abstractNumId w:val="7"/>
  </w:num>
  <w:num w:numId="29">
    <w:abstractNumId w:val="22"/>
  </w:num>
  <w:num w:numId="30">
    <w:abstractNumId w:val="37"/>
  </w:num>
  <w:num w:numId="31">
    <w:abstractNumId w:val="5"/>
  </w:num>
  <w:num w:numId="32">
    <w:abstractNumId w:val="36"/>
  </w:num>
  <w:num w:numId="33">
    <w:abstractNumId w:val="30"/>
  </w:num>
  <w:num w:numId="34">
    <w:abstractNumId w:val="35"/>
  </w:num>
  <w:num w:numId="35">
    <w:abstractNumId w:val="9"/>
  </w:num>
  <w:num w:numId="36">
    <w:abstractNumId w:val="21"/>
  </w:num>
  <w:num w:numId="37">
    <w:abstractNumId w:val="31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4F572F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2850</Words>
  <Characters>16250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2022-03-27T16:47:00Z</dcterms:created>
  <dcterms:modified xsi:type="dcterms:W3CDTF">2022-03-27T16:47:00Z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