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0A9EBC20" w14:textId="2A6986F0" w:rsidR="009F77A4" w:rsidRDefault="00DD466D" w:rsidP="00387A66">
      <w:pPr>
        <w:pStyle w:val="Heading1"/>
      </w:pPr>
      <w:r>
        <w:t>1.ИМЕ НА ЛЕКАРСТВЕНИЯ ПРОДУКТ</w:t>
      </w:r>
    </w:p>
    <w:p w14:paraId="2D6A61A8" w14:textId="653133E9" w:rsidR="008F2A2A" w:rsidRDefault="008F2A2A" w:rsidP="008F2A2A"/>
    <w:p w14:paraId="0CFF00CB" w14:textId="77777777" w:rsidR="008F2A2A" w:rsidRPr="008F2A2A" w:rsidRDefault="008F2A2A" w:rsidP="008F2A2A">
      <w:pPr>
        <w:rPr>
          <w:sz w:val="24"/>
          <w:szCs w:val="24"/>
          <w:lang w:val="en-US" w:eastAsia="bg-BG"/>
        </w:rPr>
      </w:pPr>
      <w:r w:rsidRPr="008F2A2A">
        <w:rPr>
          <w:lang w:eastAsia="bg-BG"/>
        </w:rPr>
        <w:t xml:space="preserve">Пропранолол Акорд 40 </w:t>
      </w:r>
      <w:r w:rsidRPr="008F2A2A">
        <w:rPr>
          <w:lang w:val="en-US"/>
        </w:rPr>
        <w:t xml:space="preserve">mg </w:t>
      </w:r>
      <w:r w:rsidRPr="008F2A2A">
        <w:rPr>
          <w:lang w:eastAsia="bg-BG"/>
        </w:rPr>
        <w:t>филмирани таблетки</w:t>
      </w:r>
    </w:p>
    <w:p w14:paraId="2DCE133C" w14:textId="77777777" w:rsidR="008F2A2A" w:rsidRPr="008F2A2A" w:rsidRDefault="008F2A2A" w:rsidP="008F2A2A">
      <w:pPr>
        <w:rPr>
          <w:sz w:val="24"/>
          <w:szCs w:val="24"/>
          <w:lang w:val="en-US" w:eastAsia="bg-BG"/>
        </w:rPr>
      </w:pPr>
      <w:r w:rsidRPr="008F2A2A">
        <w:rPr>
          <w:lang w:val="en-US"/>
        </w:rPr>
        <w:t xml:space="preserve">Propranolol Accord </w:t>
      </w:r>
      <w:r w:rsidRPr="008F2A2A">
        <w:rPr>
          <w:lang w:eastAsia="bg-BG"/>
        </w:rPr>
        <w:t xml:space="preserve">40 </w:t>
      </w:r>
      <w:r w:rsidRPr="008F2A2A">
        <w:rPr>
          <w:lang w:val="en-US"/>
        </w:rPr>
        <w:t>mg film-coated tablets</w:t>
      </w:r>
    </w:p>
    <w:p w14:paraId="2BA14F3B" w14:textId="77777777" w:rsidR="008F2A2A" w:rsidRPr="008F2A2A" w:rsidRDefault="008F2A2A" w:rsidP="008F2A2A"/>
    <w:p w14:paraId="0DF202EC" w14:textId="2A193816" w:rsidR="00F53FB7" w:rsidRDefault="00DD466D" w:rsidP="00A93499">
      <w:pPr>
        <w:pStyle w:val="Heading1"/>
      </w:pPr>
      <w:r>
        <w:t>2. КАЧЕСТВЕН И КОЛИЧЕСТВЕН СЪСТАВ</w:t>
      </w:r>
    </w:p>
    <w:p w14:paraId="24897D75" w14:textId="499EC6B2" w:rsidR="008F2A2A" w:rsidRDefault="008F2A2A" w:rsidP="008F2A2A"/>
    <w:p w14:paraId="0017A70F" w14:textId="77777777" w:rsidR="008F2A2A" w:rsidRPr="008F2A2A" w:rsidRDefault="008F2A2A" w:rsidP="008F2A2A">
      <w:pPr>
        <w:rPr>
          <w:sz w:val="24"/>
          <w:szCs w:val="24"/>
          <w:lang w:eastAsia="bg-BG"/>
        </w:rPr>
      </w:pPr>
      <w:r w:rsidRPr="008F2A2A">
        <w:rPr>
          <w:lang w:eastAsia="bg-BG"/>
        </w:rPr>
        <w:t xml:space="preserve">Пропранолол Акорд 40 </w:t>
      </w:r>
      <w:r w:rsidRPr="008F2A2A">
        <w:rPr>
          <w:lang w:val="en-US"/>
        </w:rPr>
        <w:t xml:space="preserve">mg, </w:t>
      </w:r>
      <w:r w:rsidRPr="008F2A2A">
        <w:rPr>
          <w:lang w:eastAsia="bg-BG"/>
        </w:rPr>
        <w:t>филмирана таблетка</w:t>
      </w:r>
    </w:p>
    <w:p w14:paraId="26709C0E" w14:textId="77777777" w:rsidR="008F2A2A" w:rsidRPr="008F2A2A" w:rsidRDefault="008F2A2A" w:rsidP="008F2A2A">
      <w:pPr>
        <w:rPr>
          <w:sz w:val="24"/>
          <w:szCs w:val="24"/>
          <w:lang w:eastAsia="bg-BG"/>
        </w:rPr>
      </w:pPr>
      <w:r w:rsidRPr="008F2A2A">
        <w:rPr>
          <w:lang w:eastAsia="bg-BG"/>
        </w:rPr>
        <w:t xml:space="preserve">Всяка таблетка съдържа 40 </w:t>
      </w:r>
      <w:r w:rsidRPr="008F2A2A">
        <w:rPr>
          <w:lang w:val="en-US"/>
        </w:rPr>
        <w:t xml:space="preserve">mg </w:t>
      </w:r>
      <w:r w:rsidRPr="008F2A2A">
        <w:rPr>
          <w:lang w:eastAsia="bg-BG"/>
        </w:rPr>
        <w:t xml:space="preserve">пропранололов хидрохлорид </w:t>
      </w:r>
      <w:r w:rsidRPr="008F2A2A">
        <w:rPr>
          <w:i/>
          <w:iCs/>
          <w:lang w:val="en-US"/>
        </w:rPr>
        <w:t>(propranolol hydrochloride).</w:t>
      </w:r>
    </w:p>
    <w:p w14:paraId="6B3988A8" w14:textId="3E880896" w:rsidR="008F2A2A" w:rsidRPr="008F2A2A" w:rsidRDefault="008F2A2A" w:rsidP="008F2A2A">
      <w:pPr>
        <w:rPr>
          <w:sz w:val="24"/>
          <w:szCs w:val="24"/>
          <w:lang w:eastAsia="bg-BG"/>
        </w:rPr>
      </w:pPr>
      <w:r w:rsidRPr="008F2A2A">
        <w:rPr>
          <w:lang w:eastAsia="bg-BG"/>
        </w:rPr>
        <w:t xml:space="preserve">Също така съдържа 133,60 </w:t>
      </w:r>
      <w:r w:rsidRPr="008F2A2A">
        <w:rPr>
          <w:lang w:val="en-US"/>
        </w:rPr>
        <w:t xml:space="preserve">mg </w:t>
      </w:r>
      <w:r w:rsidRPr="008F2A2A">
        <w:rPr>
          <w:lang w:eastAsia="bg-BG"/>
        </w:rPr>
        <w:t>лактоза монохидрат.</w:t>
      </w:r>
    </w:p>
    <w:p w14:paraId="4CABB9ED" w14:textId="14F62D3F" w:rsidR="00F53FB7" w:rsidRDefault="00DD466D" w:rsidP="00A93499">
      <w:pPr>
        <w:pStyle w:val="Heading1"/>
      </w:pPr>
      <w:r>
        <w:t>3. ЛЕКАРСТВЕНА ФОРМА</w:t>
      </w:r>
    </w:p>
    <w:p w14:paraId="433281DC" w14:textId="03ACB9B4" w:rsidR="008F2A2A" w:rsidRDefault="008F2A2A" w:rsidP="008F2A2A"/>
    <w:p w14:paraId="71473476" w14:textId="77777777" w:rsidR="008F2A2A" w:rsidRPr="008F2A2A" w:rsidRDefault="008F2A2A" w:rsidP="008F2A2A">
      <w:pPr>
        <w:rPr>
          <w:sz w:val="24"/>
          <w:szCs w:val="24"/>
          <w:lang w:eastAsia="bg-BG"/>
        </w:rPr>
      </w:pPr>
      <w:r w:rsidRPr="008F2A2A">
        <w:rPr>
          <w:lang w:eastAsia="bg-BG"/>
        </w:rPr>
        <w:t>Филмирана таблетка.</w:t>
      </w:r>
    </w:p>
    <w:p w14:paraId="4BA382D7" w14:textId="77777777" w:rsidR="008F2A2A" w:rsidRDefault="008F2A2A" w:rsidP="008F2A2A">
      <w:pPr>
        <w:rPr>
          <w:lang w:eastAsia="bg-BG"/>
        </w:rPr>
      </w:pPr>
    </w:p>
    <w:p w14:paraId="53B497CF" w14:textId="44BE17CA" w:rsidR="008F2A2A" w:rsidRPr="008F2A2A" w:rsidRDefault="008F2A2A" w:rsidP="008F2A2A">
      <w:pPr>
        <w:rPr>
          <w:sz w:val="24"/>
          <w:szCs w:val="24"/>
          <w:lang w:eastAsia="bg-BG"/>
        </w:rPr>
      </w:pPr>
      <w:r w:rsidRPr="008F2A2A">
        <w:rPr>
          <w:lang w:eastAsia="bg-BG"/>
        </w:rPr>
        <w:t xml:space="preserve">40 </w:t>
      </w:r>
      <w:r w:rsidRPr="008F2A2A">
        <w:rPr>
          <w:lang w:val="en-US"/>
        </w:rPr>
        <w:t xml:space="preserve">mg: </w:t>
      </w:r>
      <w:r w:rsidRPr="008F2A2A">
        <w:rPr>
          <w:lang w:eastAsia="bg-BG"/>
        </w:rPr>
        <w:t xml:space="preserve">Бяла до почти бяла кръгла, двойноизпъкнала филмирана таблетка с надпис </w:t>
      </w:r>
      <w:r w:rsidRPr="008F2A2A">
        <w:rPr>
          <w:lang w:val="en-US"/>
        </w:rPr>
        <w:t xml:space="preserve">„AL” </w:t>
      </w:r>
      <w:r w:rsidRPr="008F2A2A">
        <w:rPr>
          <w:lang w:eastAsia="bg-BG"/>
        </w:rPr>
        <w:t>от едната страна и делителна черта от другата страна.</w:t>
      </w:r>
    </w:p>
    <w:p w14:paraId="5230BB16" w14:textId="77777777" w:rsidR="008F2A2A" w:rsidRPr="008F2A2A" w:rsidRDefault="008F2A2A" w:rsidP="008F2A2A">
      <w:pPr>
        <w:rPr>
          <w:sz w:val="24"/>
          <w:szCs w:val="24"/>
          <w:lang w:eastAsia="bg-BG"/>
        </w:rPr>
      </w:pPr>
      <w:r w:rsidRPr="008F2A2A">
        <w:rPr>
          <w:lang w:eastAsia="bg-BG"/>
        </w:rPr>
        <w:t xml:space="preserve">Забележка: Диаметърът на таблетката е 9,0 </w:t>
      </w:r>
      <w:r w:rsidRPr="008F2A2A">
        <w:rPr>
          <w:lang w:val="en-US"/>
        </w:rPr>
        <w:t>mm.</w:t>
      </w:r>
    </w:p>
    <w:p w14:paraId="6960E1AA" w14:textId="77777777" w:rsidR="008F2A2A" w:rsidRDefault="008F2A2A" w:rsidP="008F2A2A">
      <w:pPr>
        <w:rPr>
          <w:lang w:eastAsia="bg-BG"/>
        </w:rPr>
      </w:pPr>
    </w:p>
    <w:p w14:paraId="3286217F" w14:textId="7335934D" w:rsidR="008F2A2A" w:rsidRPr="008F2A2A" w:rsidRDefault="008F2A2A" w:rsidP="008F2A2A">
      <w:pPr>
        <w:rPr>
          <w:sz w:val="24"/>
          <w:szCs w:val="24"/>
          <w:lang w:eastAsia="bg-BG"/>
        </w:rPr>
      </w:pPr>
      <w:r w:rsidRPr="008F2A2A">
        <w:rPr>
          <w:lang w:eastAsia="bg-BG"/>
        </w:rPr>
        <w:t>Делителната черта е само за улесняване на счупването с цел по-лесно поглъщане, а не за разделяне на равни дози.</w:t>
      </w:r>
    </w:p>
    <w:p w14:paraId="145CEDA2" w14:textId="77777777" w:rsidR="008F2A2A" w:rsidRPr="008F2A2A" w:rsidRDefault="008F2A2A" w:rsidP="008F2A2A"/>
    <w:p w14:paraId="490FC2C4" w14:textId="6899DE43" w:rsidR="002C50EE" w:rsidRDefault="002C50EE" w:rsidP="002C50EE">
      <w:pPr>
        <w:pStyle w:val="Heading1"/>
      </w:pPr>
      <w:r>
        <w:t>4. КЛИНИЧНИ ДАННИ</w:t>
      </w:r>
    </w:p>
    <w:p w14:paraId="461901E4" w14:textId="45BAAF30" w:rsidR="009F77A4" w:rsidRDefault="002C50EE" w:rsidP="00387A66">
      <w:pPr>
        <w:pStyle w:val="Heading2"/>
      </w:pPr>
      <w:r>
        <w:t>4.1. Терапевтични показания</w:t>
      </w:r>
    </w:p>
    <w:p w14:paraId="25DFAA58" w14:textId="1096A6A6" w:rsidR="008F2A2A" w:rsidRDefault="008F2A2A" w:rsidP="008F2A2A"/>
    <w:p w14:paraId="0372A58E" w14:textId="77777777" w:rsidR="008F2A2A" w:rsidRPr="008F2A2A" w:rsidRDefault="008F2A2A" w:rsidP="008F2A2A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Ангина пекторис.</w:t>
      </w:r>
    </w:p>
    <w:p w14:paraId="57CE77A3" w14:textId="77777777" w:rsidR="008F2A2A" w:rsidRPr="008F2A2A" w:rsidRDefault="008F2A2A" w:rsidP="008F2A2A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Хипертония.</w:t>
      </w:r>
    </w:p>
    <w:p w14:paraId="646C8EDF" w14:textId="77777777" w:rsidR="008F2A2A" w:rsidRPr="008F2A2A" w:rsidRDefault="008F2A2A" w:rsidP="008F2A2A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Дългосрочна профилактика на реинфаркт след възстановяване от остър миокарден инфаркт.</w:t>
      </w:r>
    </w:p>
    <w:p w14:paraId="7A16AD80" w14:textId="77777777" w:rsidR="008F2A2A" w:rsidRPr="008F2A2A" w:rsidRDefault="008F2A2A" w:rsidP="008F2A2A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Хипертрофична обструктивна кардиомиопатия.</w:t>
      </w:r>
    </w:p>
    <w:p w14:paraId="6619F9D4" w14:textId="77777777" w:rsidR="008F2A2A" w:rsidRPr="008F2A2A" w:rsidRDefault="008F2A2A" w:rsidP="008F2A2A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Есенциален тремор.</w:t>
      </w:r>
    </w:p>
    <w:p w14:paraId="6980BA5A" w14:textId="77777777" w:rsidR="008F2A2A" w:rsidRPr="008F2A2A" w:rsidRDefault="008F2A2A" w:rsidP="008F2A2A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Надкамерна сърдечна аритмия.</w:t>
      </w:r>
    </w:p>
    <w:p w14:paraId="4F965DCE" w14:textId="77777777" w:rsidR="008F2A2A" w:rsidRPr="008F2A2A" w:rsidRDefault="008F2A2A" w:rsidP="008F2A2A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Камерни аритмии.</w:t>
      </w:r>
    </w:p>
    <w:p w14:paraId="31317FA6" w14:textId="77777777" w:rsidR="008F2A2A" w:rsidRPr="008F2A2A" w:rsidRDefault="008F2A2A" w:rsidP="008F2A2A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Хипертиреоидизъм и тиреотоксикоза.</w:t>
      </w:r>
    </w:p>
    <w:p w14:paraId="46AF750B" w14:textId="77777777" w:rsidR="008F2A2A" w:rsidRPr="008F2A2A" w:rsidRDefault="008F2A2A" w:rsidP="008F2A2A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Феохромоцитом (заедно с алфа-блокери).</w:t>
      </w:r>
    </w:p>
    <w:p w14:paraId="54ED45E1" w14:textId="77777777" w:rsidR="008F2A2A" w:rsidRPr="008F2A2A" w:rsidRDefault="008F2A2A" w:rsidP="008F2A2A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Мигрена.</w:t>
      </w:r>
    </w:p>
    <w:p w14:paraId="4C0C66FC" w14:textId="768B313F" w:rsidR="008F2A2A" w:rsidRPr="008F2A2A" w:rsidRDefault="008F2A2A" w:rsidP="008F2A2A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Профилактика на кървене от горните отдели на стомашно чревния тракт при пациенти с портална хипертония и варици на хранопровода.</w:t>
      </w:r>
    </w:p>
    <w:p w14:paraId="7E83D603" w14:textId="77777777" w:rsidR="008F2A2A" w:rsidRPr="008F2A2A" w:rsidRDefault="008F2A2A" w:rsidP="008F2A2A"/>
    <w:p w14:paraId="31744E5A" w14:textId="261B47A1" w:rsidR="009F77A4" w:rsidRDefault="002C50EE" w:rsidP="00387A66">
      <w:pPr>
        <w:pStyle w:val="Heading2"/>
      </w:pPr>
      <w:r>
        <w:lastRenderedPageBreak/>
        <w:t>4.2. Дозировка и начин на приложение</w:t>
      </w:r>
    </w:p>
    <w:p w14:paraId="7F97AE52" w14:textId="790780E3" w:rsidR="008F2A2A" w:rsidRDefault="008F2A2A" w:rsidP="008F2A2A"/>
    <w:p w14:paraId="4EFE9B28" w14:textId="77777777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bookmarkStart w:id="1" w:name="bookmark0"/>
      <w:r w:rsidRPr="008F2A2A">
        <w:rPr>
          <w:rFonts w:eastAsia="Times New Roman" w:cs="Arial"/>
          <w:b/>
          <w:bCs/>
          <w:color w:val="000000"/>
          <w:lang w:eastAsia="bg-BG"/>
        </w:rPr>
        <w:t>Възрастни:</w:t>
      </w:r>
      <w:bookmarkEnd w:id="1"/>
    </w:p>
    <w:p w14:paraId="5C6C356F" w14:textId="77777777" w:rsidR="008F2A2A" w:rsidRPr="008F2A2A" w:rsidRDefault="008F2A2A" w:rsidP="008F2A2A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18933FCD" w14:textId="1DE7B089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b/>
          <w:bCs/>
          <w:color w:val="000000"/>
          <w:lang w:eastAsia="bg-BG"/>
        </w:rPr>
        <w:t>Хипертония</w:t>
      </w:r>
    </w:p>
    <w:p w14:paraId="64034F05" w14:textId="3E4ACFF8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 xml:space="preserve">Начална доза от 40 </w:t>
      </w:r>
      <w:r w:rsidRPr="008F2A2A">
        <w:rPr>
          <w:rFonts w:eastAsia="Times New Roman" w:cs="Arial"/>
          <w:color w:val="000000"/>
          <w:lang w:val="en-US"/>
        </w:rPr>
        <w:t xml:space="preserve">mg </w:t>
      </w:r>
      <w:r w:rsidRPr="008F2A2A">
        <w:rPr>
          <w:rFonts w:eastAsia="Times New Roman" w:cs="Arial"/>
          <w:color w:val="000000"/>
          <w:lang w:eastAsia="bg-BG"/>
        </w:rPr>
        <w:t xml:space="preserve">два или три пъти дневно, която може да бъде повишавана с 80 </w:t>
      </w:r>
      <w:r w:rsidRPr="008F2A2A">
        <w:rPr>
          <w:rFonts w:eastAsia="Times New Roman" w:cs="Arial"/>
          <w:color w:val="000000"/>
          <w:lang w:val="en-US"/>
        </w:rPr>
        <w:t xml:space="preserve">mg </w:t>
      </w:r>
      <w:r w:rsidRPr="008F2A2A">
        <w:rPr>
          <w:rFonts w:eastAsia="Times New Roman" w:cs="Arial"/>
          <w:color w:val="000000"/>
          <w:lang w:eastAsia="bg-BG"/>
        </w:rPr>
        <w:t xml:space="preserve">дневно на седмични интервали в зависимост от отговора на пациента. Обичайната дозировка варира от 160 до 320 </w:t>
      </w:r>
      <w:r w:rsidRPr="008F2A2A">
        <w:rPr>
          <w:rFonts w:eastAsia="Times New Roman" w:cs="Arial"/>
          <w:color w:val="000000"/>
          <w:lang w:val="en-US"/>
        </w:rPr>
        <w:t xml:space="preserve">mg </w:t>
      </w:r>
      <w:r w:rsidRPr="008F2A2A">
        <w:rPr>
          <w:rFonts w:eastAsia="Times New Roman" w:cs="Arial"/>
          <w:color w:val="000000"/>
          <w:lang w:eastAsia="bg-BG"/>
        </w:rPr>
        <w:t>дневно. При едновременно приложение на диуретични или други антихипертензивни лекартвени продукти, се постига допълнително понижаване на кръвното налягане.</w:t>
      </w:r>
    </w:p>
    <w:p w14:paraId="57194578" w14:textId="7F8AE76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05A13FE" w14:textId="77777777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b/>
          <w:bCs/>
          <w:color w:val="000000"/>
          <w:lang w:eastAsia="bg-BG"/>
        </w:rPr>
        <w:t>Ангина, мигрена и есенциален тремор</w:t>
      </w:r>
    </w:p>
    <w:p w14:paraId="7ABDDAED" w14:textId="77777777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 xml:space="preserve">Началната доза е 40 </w:t>
      </w:r>
      <w:r w:rsidRPr="008F2A2A">
        <w:rPr>
          <w:rFonts w:eastAsia="Times New Roman" w:cs="Arial"/>
          <w:color w:val="000000"/>
          <w:lang w:val="en-US"/>
        </w:rPr>
        <w:t xml:space="preserve">mg </w:t>
      </w:r>
      <w:r w:rsidRPr="008F2A2A">
        <w:rPr>
          <w:rFonts w:eastAsia="Times New Roman" w:cs="Arial"/>
          <w:color w:val="000000"/>
          <w:lang w:eastAsia="bg-BG"/>
        </w:rPr>
        <w:t xml:space="preserve">два до три пъти дневно, която може да бъде повишавана със същото количество на седмични интервали в зависимост от отговора на пациента. Адекватен отговор при мигрена обикновено се наблюдава в диапазона 80 до 160 </w:t>
      </w:r>
      <w:r w:rsidRPr="008F2A2A">
        <w:rPr>
          <w:rFonts w:eastAsia="Times New Roman" w:cs="Arial"/>
          <w:color w:val="000000"/>
          <w:lang w:val="en-US"/>
        </w:rPr>
        <w:t xml:space="preserve">mg </w:t>
      </w:r>
      <w:r w:rsidRPr="008F2A2A">
        <w:rPr>
          <w:rFonts w:eastAsia="Times New Roman" w:cs="Arial"/>
          <w:color w:val="000000"/>
          <w:lang w:eastAsia="bg-BG"/>
        </w:rPr>
        <w:t xml:space="preserve">дневно, а при ангина и есенциален тремор - в диапазона 120 до 240 </w:t>
      </w:r>
      <w:r w:rsidRPr="008F2A2A">
        <w:rPr>
          <w:rFonts w:eastAsia="Times New Roman" w:cs="Arial"/>
          <w:color w:val="000000"/>
          <w:lang w:val="en-US"/>
        </w:rPr>
        <w:t xml:space="preserve">mg </w:t>
      </w:r>
      <w:r w:rsidRPr="008F2A2A">
        <w:rPr>
          <w:rFonts w:eastAsia="Times New Roman" w:cs="Arial"/>
          <w:color w:val="000000"/>
          <w:lang w:eastAsia="bg-BG"/>
        </w:rPr>
        <w:t>дневно.</w:t>
      </w:r>
    </w:p>
    <w:p w14:paraId="501A8AD6" w14:textId="77777777" w:rsidR="008F2A2A" w:rsidRPr="008F2A2A" w:rsidRDefault="008F2A2A" w:rsidP="008F2A2A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2" w:name="bookmark2"/>
    </w:p>
    <w:p w14:paraId="6084A643" w14:textId="6F69FCF7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b/>
          <w:bCs/>
          <w:color w:val="000000"/>
          <w:lang w:eastAsia="bg-BG"/>
        </w:rPr>
        <w:t>Аритмии, хипертрофична обструктивна кардиомиопатия и тиреотоксикоза</w:t>
      </w:r>
      <w:bookmarkEnd w:id="2"/>
    </w:p>
    <w:p w14:paraId="5BEB5565" w14:textId="77777777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 xml:space="preserve">Желаният отговор от лечението обикновено се постига при интервал на дозиране от 10 до 40 </w:t>
      </w:r>
      <w:r w:rsidRPr="008F2A2A">
        <w:rPr>
          <w:rFonts w:eastAsia="Times New Roman" w:cs="Arial"/>
          <w:color w:val="000000"/>
          <w:lang w:val="en-US"/>
        </w:rPr>
        <w:t xml:space="preserve">mg </w:t>
      </w:r>
      <w:r w:rsidRPr="008F2A2A">
        <w:rPr>
          <w:rFonts w:eastAsia="Times New Roman" w:cs="Arial"/>
          <w:color w:val="000000"/>
          <w:lang w:eastAsia="bg-BG"/>
        </w:rPr>
        <w:t>три или четири пъти дневно.</w:t>
      </w:r>
    </w:p>
    <w:p w14:paraId="1A92C1D6" w14:textId="77777777" w:rsidR="008F2A2A" w:rsidRPr="008F2A2A" w:rsidRDefault="008F2A2A" w:rsidP="008F2A2A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3" w:name="bookmark4"/>
    </w:p>
    <w:p w14:paraId="6E37E399" w14:textId="254D1E5E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b/>
          <w:bCs/>
          <w:color w:val="000000"/>
          <w:lang w:eastAsia="bg-BG"/>
        </w:rPr>
        <w:t>Състояние след инфаркт на миокарда</w:t>
      </w:r>
      <w:bookmarkEnd w:id="3"/>
    </w:p>
    <w:p w14:paraId="7123519A" w14:textId="77777777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 xml:space="preserve">Лечението трябва да започне между 5-ия и 21 -ия ден след след инфаркт на миокарда, с начална доза от 40 </w:t>
      </w:r>
      <w:r w:rsidRPr="008F2A2A">
        <w:rPr>
          <w:rFonts w:eastAsia="Times New Roman" w:cs="Arial"/>
          <w:color w:val="000000"/>
          <w:lang w:val="en-US"/>
        </w:rPr>
        <w:t xml:space="preserve">mg </w:t>
      </w:r>
      <w:r w:rsidRPr="008F2A2A">
        <w:rPr>
          <w:rFonts w:eastAsia="Times New Roman" w:cs="Arial"/>
          <w:color w:val="000000"/>
          <w:lang w:eastAsia="bg-BG"/>
        </w:rPr>
        <w:t xml:space="preserve">четири пъти дневно в продължение на два или три дни. За по-добър комплайънс след това, общата дневна доза може да се прилага като 80 </w:t>
      </w:r>
      <w:r w:rsidRPr="008F2A2A">
        <w:rPr>
          <w:rFonts w:eastAsia="Times New Roman" w:cs="Arial"/>
          <w:color w:val="000000"/>
          <w:lang w:val="en-US"/>
        </w:rPr>
        <w:t xml:space="preserve">mg </w:t>
      </w:r>
      <w:r w:rsidRPr="008F2A2A">
        <w:rPr>
          <w:rFonts w:eastAsia="Times New Roman" w:cs="Arial"/>
          <w:color w:val="000000"/>
          <w:lang w:eastAsia="bg-BG"/>
        </w:rPr>
        <w:t>два пъти дневно.</w:t>
      </w:r>
    </w:p>
    <w:p w14:paraId="53E014EE" w14:textId="77777777" w:rsidR="008F2A2A" w:rsidRPr="008F2A2A" w:rsidRDefault="008F2A2A" w:rsidP="008F2A2A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4" w:name="bookmark6"/>
    </w:p>
    <w:p w14:paraId="72FE65DF" w14:textId="0B22DF60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b/>
          <w:bCs/>
          <w:color w:val="000000"/>
          <w:lang w:eastAsia="bg-BG"/>
        </w:rPr>
        <w:t>Хилертиреоидизъм</w:t>
      </w:r>
      <w:bookmarkEnd w:id="4"/>
    </w:p>
    <w:p w14:paraId="24970FA1" w14:textId="77777777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Дозата се коригира в зависимост от клиничния отговор.</w:t>
      </w:r>
    </w:p>
    <w:p w14:paraId="656B7EFD" w14:textId="77777777" w:rsidR="008F2A2A" w:rsidRPr="008F2A2A" w:rsidRDefault="008F2A2A" w:rsidP="008F2A2A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5" w:name="bookmark8"/>
    </w:p>
    <w:p w14:paraId="523F5174" w14:textId="568FCAFF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b/>
          <w:bCs/>
          <w:color w:val="000000"/>
          <w:lang w:eastAsia="bg-BG"/>
        </w:rPr>
        <w:t>Портална хипертония</w:t>
      </w:r>
      <w:bookmarkEnd w:id="5"/>
    </w:p>
    <w:p w14:paraId="6224B14C" w14:textId="77777777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 xml:space="preserve">Дозата трябва да се титрира до достигане на приблизително 25% понижение на сърдечната честота в покой. Лечението трябва да започне с 40 </w:t>
      </w:r>
      <w:r w:rsidRPr="008F2A2A">
        <w:rPr>
          <w:rFonts w:eastAsia="Times New Roman" w:cs="Arial"/>
          <w:color w:val="000000"/>
          <w:lang w:val="en-US"/>
        </w:rPr>
        <w:t xml:space="preserve">mg </w:t>
      </w:r>
      <w:r w:rsidRPr="008F2A2A">
        <w:rPr>
          <w:rFonts w:eastAsia="Times New Roman" w:cs="Arial"/>
          <w:color w:val="000000"/>
          <w:lang w:eastAsia="bg-BG"/>
        </w:rPr>
        <w:t xml:space="preserve">два пъти дневно, като дозата се увеличава до 80 </w:t>
      </w:r>
      <w:r w:rsidRPr="008F2A2A">
        <w:rPr>
          <w:rFonts w:eastAsia="Times New Roman" w:cs="Arial"/>
          <w:color w:val="000000"/>
          <w:lang w:val="en-US"/>
        </w:rPr>
        <w:t xml:space="preserve">mg </w:t>
      </w:r>
      <w:r w:rsidRPr="008F2A2A">
        <w:rPr>
          <w:rFonts w:eastAsia="Times New Roman" w:cs="Arial"/>
          <w:color w:val="000000"/>
          <w:lang w:eastAsia="bg-BG"/>
        </w:rPr>
        <w:t xml:space="preserve">два пъти дневно в зависимост от отговора на сърдечната честота. Ако е необходимо, дозата може да се увеличи постепенно до максимум от 160 </w:t>
      </w:r>
      <w:r w:rsidRPr="008F2A2A">
        <w:rPr>
          <w:rFonts w:eastAsia="Times New Roman" w:cs="Arial"/>
          <w:color w:val="000000"/>
          <w:lang w:val="en-US"/>
        </w:rPr>
        <w:t xml:space="preserve">mg </w:t>
      </w:r>
      <w:r w:rsidRPr="008F2A2A">
        <w:rPr>
          <w:rFonts w:eastAsia="Times New Roman" w:cs="Arial"/>
          <w:color w:val="000000"/>
          <w:lang w:eastAsia="bg-BG"/>
        </w:rPr>
        <w:t>два пъти дневно.</w:t>
      </w:r>
    </w:p>
    <w:p w14:paraId="05AA9468" w14:textId="77777777" w:rsidR="008F2A2A" w:rsidRPr="008F2A2A" w:rsidRDefault="008F2A2A" w:rsidP="008F2A2A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6" w:name="bookmark10"/>
    </w:p>
    <w:p w14:paraId="34B28880" w14:textId="67F38E65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b/>
          <w:bCs/>
          <w:color w:val="000000"/>
          <w:lang w:eastAsia="bg-BG"/>
        </w:rPr>
        <w:t>Феохромоцитом</w:t>
      </w:r>
      <w:bookmarkEnd w:id="6"/>
    </w:p>
    <w:p w14:paraId="402B72D0" w14:textId="77777777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(Използва се само заедно с алфа-рецепторен блокер)</w:t>
      </w:r>
    </w:p>
    <w:p w14:paraId="5DE06702" w14:textId="77777777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 xml:space="preserve">Предоперативно: Препоръчват се 60 </w:t>
      </w:r>
      <w:r w:rsidRPr="008F2A2A">
        <w:rPr>
          <w:rFonts w:eastAsia="Times New Roman" w:cs="Arial"/>
          <w:color w:val="000000"/>
          <w:lang w:val="en-US"/>
        </w:rPr>
        <w:t xml:space="preserve">mg </w:t>
      </w:r>
      <w:r w:rsidRPr="008F2A2A">
        <w:rPr>
          <w:rFonts w:eastAsia="Times New Roman" w:cs="Arial"/>
          <w:color w:val="000000"/>
          <w:lang w:eastAsia="bg-BG"/>
        </w:rPr>
        <w:t xml:space="preserve">дневно в продължение на 3 дни. Неоперабилен злокачествен тумор: 30 </w:t>
      </w:r>
      <w:r w:rsidRPr="008F2A2A">
        <w:rPr>
          <w:rFonts w:eastAsia="Times New Roman" w:cs="Arial"/>
          <w:color w:val="000000"/>
          <w:lang w:val="en-US"/>
        </w:rPr>
        <w:t xml:space="preserve">mg </w:t>
      </w:r>
      <w:r w:rsidRPr="008F2A2A">
        <w:rPr>
          <w:rFonts w:eastAsia="Times New Roman" w:cs="Arial"/>
          <w:color w:val="000000"/>
          <w:lang w:eastAsia="bg-BG"/>
        </w:rPr>
        <w:t>дневно.</w:t>
      </w:r>
    </w:p>
    <w:p w14:paraId="774858EB" w14:textId="77777777" w:rsidR="008F2A2A" w:rsidRPr="008F2A2A" w:rsidRDefault="008F2A2A" w:rsidP="008F2A2A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7" w:name="bookmark12"/>
    </w:p>
    <w:p w14:paraId="04DCA294" w14:textId="7C0C19D7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b/>
          <w:bCs/>
          <w:color w:val="000000"/>
          <w:lang w:eastAsia="bg-BG"/>
        </w:rPr>
        <w:t>Чернодробно увреждане</w:t>
      </w:r>
      <w:bookmarkEnd w:id="7"/>
    </w:p>
    <w:p w14:paraId="5C456FC5" w14:textId="7777777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 xml:space="preserve">Бионаличността на пропранолол може да се повиши при пациенти с чернодробно увреждане и да се наложи коригиране на дозата. При пациенти с тежко чернодробно заболяване (например цироза) се препоръчва ниска начална доза (не повече от 20 </w:t>
      </w:r>
      <w:r w:rsidRPr="008F2A2A">
        <w:rPr>
          <w:rFonts w:eastAsia="Times New Roman" w:cs="Arial"/>
          <w:color w:val="000000"/>
          <w:lang w:val="en-US"/>
        </w:rPr>
        <w:t xml:space="preserve">mg </w:t>
      </w:r>
      <w:r w:rsidRPr="008F2A2A">
        <w:rPr>
          <w:rFonts w:eastAsia="Times New Roman" w:cs="Arial"/>
          <w:color w:val="000000"/>
          <w:lang w:eastAsia="bg-BG"/>
        </w:rPr>
        <w:t xml:space="preserve">три пъти дневно) с внимателно проследяване на отговора от </w:t>
      </w:r>
    </w:p>
    <w:p w14:paraId="1F55BBFE" w14:textId="2D882D7A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лечението (като ефекта върху сърдечната честота).</w:t>
      </w:r>
    </w:p>
    <w:p w14:paraId="4B17A5AF" w14:textId="77777777" w:rsidR="008F2A2A" w:rsidRPr="008F2A2A" w:rsidRDefault="008F2A2A" w:rsidP="008F2A2A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8" w:name="bookmark14"/>
    </w:p>
    <w:p w14:paraId="3719C9E7" w14:textId="6EDDB939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b/>
          <w:bCs/>
          <w:color w:val="000000"/>
          <w:lang w:eastAsia="bg-BG"/>
        </w:rPr>
        <w:t>Бъбречно увреждане</w:t>
      </w:r>
      <w:bookmarkEnd w:id="8"/>
    </w:p>
    <w:p w14:paraId="73637975" w14:textId="77777777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lastRenderedPageBreak/>
        <w:t>Концентрациите на пропранолол може да се повишат при пациенти със значително бъбречно увреждане и хемодиализа. При започване на лечението и при избора на начална доза трябва да се подхожда с внимание.</w:t>
      </w:r>
    </w:p>
    <w:p w14:paraId="2F26A2D9" w14:textId="7777777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BBE59F4" w14:textId="777719D3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 xml:space="preserve">Както при другите бета-адренорецепторни блокери, лечението не трябва да се преустановява рязко. Дозата трябва да се намалява постепенно за период от 7 до 14 дни. Или е необходимо заместително еквивалентно дозиране с друг бета-адренорецепторен блокер, или спирането на лечението с пропранолол трябва да става постепенно. Пациентите трябва да бъдат проследявани по време на спирането, особено тези с исхемична болест на сърцето. Необходимо е да бъде направена оценка полза/риск при спиране на бета-блокадата за </w:t>
      </w:r>
    </w:p>
    <w:p w14:paraId="4A3775D7" w14:textId="653C0CA7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всеки отделен пациент.</w:t>
      </w:r>
    </w:p>
    <w:p w14:paraId="39F497FA" w14:textId="77777777" w:rsidR="008F2A2A" w:rsidRPr="008F2A2A" w:rsidRDefault="008F2A2A" w:rsidP="008F2A2A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9" w:name="bookmark16"/>
    </w:p>
    <w:p w14:paraId="4CB08828" w14:textId="608DC612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b/>
          <w:bCs/>
          <w:color w:val="000000"/>
          <w:lang w:eastAsia="bg-BG"/>
        </w:rPr>
        <w:t>Старческа възраст:</w:t>
      </w:r>
      <w:bookmarkEnd w:id="9"/>
    </w:p>
    <w:p w14:paraId="2B643236" w14:textId="78422796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Данните относно връзката между плазмените концентрации и възрастта са противоречиви. Пропранолол трябва да се използва с повишено внимание за лечение на лица в старческа възраст. Предполага се, че лечението трябва да започне с най-ниската доза. Оптималната доза трябва да бъде определена индивидуално в зависимост от клиничния отговор.</w:t>
      </w:r>
    </w:p>
    <w:p w14:paraId="1CF58DA5" w14:textId="1347B901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7A7E492" w14:textId="77777777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b/>
          <w:bCs/>
          <w:color w:val="000000"/>
          <w:lang w:eastAsia="bg-BG"/>
        </w:rPr>
        <w:t>Педиатрична популация:</w:t>
      </w:r>
    </w:p>
    <w:p w14:paraId="2C2AC396" w14:textId="77777777" w:rsidR="008F2A2A" w:rsidRPr="008F2A2A" w:rsidRDefault="008F2A2A" w:rsidP="008F2A2A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3EF891F3" w14:textId="57712F27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b/>
          <w:bCs/>
          <w:color w:val="000000"/>
          <w:lang w:eastAsia="bg-BG"/>
        </w:rPr>
        <w:t>Аритмии</w:t>
      </w:r>
    </w:p>
    <w:p w14:paraId="6103FA1B" w14:textId="77777777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 xml:space="preserve">Дозировката трябва да се определи в зависимост от сърдечния статус на пациента и обстоятелствата, изискващи лечение. Дозата трябва да се коригира индивидуално и посоченото има насочващ характер: Деца и подрастващи: 0,25 до 0,5 </w:t>
      </w:r>
      <w:r w:rsidRPr="008F2A2A">
        <w:rPr>
          <w:rFonts w:eastAsia="Times New Roman" w:cs="Arial"/>
          <w:color w:val="000000"/>
          <w:lang w:val="en-US"/>
        </w:rPr>
        <w:t xml:space="preserve">mg/kg </w:t>
      </w:r>
      <w:r w:rsidRPr="008F2A2A">
        <w:rPr>
          <w:rFonts w:eastAsia="Times New Roman" w:cs="Arial"/>
          <w:color w:val="000000"/>
          <w:lang w:eastAsia="bg-BG"/>
        </w:rPr>
        <w:t>3-4 пъти дневно, в зависимост от клиничния отговор.</w:t>
      </w:r>
    </w:p>
    <w:p w14:paraId="6E1FD985" w14:textId="77777777" w:rsidR="008F2A2A" w:rsidRPr="008F2A2A" w:rsidRDefault="008F2A2A" w:rsidP="008F2A2A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10" w:name="bookmark3"/>
    </w:p>
    <w:p w14:paraId="709ECE0C" w14:textId="7F9E11DA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b/>
          <w:bCs/>
          <w:color w:val="000000"/>
          <w:lang w:eastAsia="bg-BG"/>
        </w:rPr>
        <w:t>Мигрена</w:t>
      </w:r>
      <w:bookmarkEnd w:id="10"/>
    </w:p>
    <w:p w14:paraId="1753A650" w14:textId="77777777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 xml:space="preserve">Перорално: Под 12-годишна възраст: 20 </w:t>
      </w:r>
      <w:r w:rsidRPr="008F2A2A">
        <w:rPr>
          <w:rFonts w:eastAsia="Times New Roman" w:cs="Arial"/>
          <w:color w:val="000000"/>
          <w:lang w:val="en-US"/>
        </w:rPr>
        <w:t xml:space="preserve">mg </w:t>
      </w:r>
      <w:r w:rsidRPr="008F2A2A">
        <w:rPr>
          <w:rFonts w:eastAsia="Times New Roman" w:cs="Arial"/>
          <w:color w:val="000000"/>
          <w:lang w:eastAsia="bg-BG"/>
        </w:rPr>
        <w:t>два или три пъти дневно. Над 12-годишна възраст: дозата за възрастни.</w:t>
      </w:r>
    </w:p>
    <w:p w14:paraId="37D8B723" w14:textId="77777777" w:rsidR="008F2A2A" w:rsidRPr="008F2A2A" w:rsidRDefault="008F2A2A" w:rsidP="008F2A2A">
      <w:pPr>
        <w:spacing w:line="240" w:lineRule="auto"/>
        <w:rPr>
          <w:rFonts w:eastAsia="Times New Roman" w:cs="Arial"/>
          <w:b/>
          <w:bCs/>
          <w:color w:val="000000"/>
          <w:u w:val="single"/>
          <w:lang w:eastAsia="bg-BG"/>
        </w:rPr>
      </w:pPr>
      <w:bookmarkStart w:id="11" w:name="bookmark5"/>
    </w:p>
    <w:p w14:paraId="7F1FF997" w14:textId="56E8B0EF" w:rsidR="008F2A2A" w:rsidRPr="008F2A2A" w:rsidRDefault="008F2A2A" w:rsidP="008F2A2A">
      <w:pPr>
        <w:pStyle w:val="Heading3"/>
        <w:rPr>
          <w:rFonts w:eastAsia="Times New Roman"/>
          <w:b/>
          <w:bCs/>
          <w:sz w:val="28"/>
          <w:szCs w:val="28"/>
          <w:u w:val="single"/>
          <w:lang w:eastAsia="bg-BG"/>
        </w:rPr>
      </w:pPr>
      <w:r w:rsidRPr="008F2A2A">
        <w:rPr>
          <w:rFonts w:eastAsia="Times New Roman"/>
          <w:b/>
          <w:bCs/>
          <w:u w:val="single"/>
          <w:lang w:eastAsia="bg-BG"/>
        </w:rPr>
        <w:t>Начин на приложение</w:t>
      </w:r>
      <w:bookmarkEnd w:id="11"/>
    </w:p>
    <w:p w14:paraId="08B70E58" w14:textId="77777777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За перорално приложение.</w:t>
      </w:r>
    </w:p>
    <w:p w14:paraId="2FE88378" w14:textId="77777777" w:rsidR="008F2A2A" w:rsidRPr="008F2A2A" w:rsidRDefault="008F2A2A" w:rsidP="008F2A2A"/>
    <w:p w14:paraId="5D9E65DA" w14:textId="2EA9AB50" w:rsidR="009F77A4" w:rsidRDefault="002C50EE" w:rsidP="00387A66">
      <w:pPr>
        <w:pStyle w:val="Heading2"/>
      </w:pPr>
      <w:r>
        <w:t>4.3. Противопоказания</w:t>
      </w:r>
    </w:p>
    <w:p w14:paraId="3E1DDF80" w14:textId="1B13F743" w:rsidR="008F2A2A" w:rsidRDefault="008F2A2A" w:rsidP="008F2A2A"/>
    <w:p w14:paraId="441A9AB0" w14:textId="77777777" w:rsidR="008F2A2A" w:rsidRPr="008F2A2A" w:rsidRDefault="008F2A2A" w:rsidP="008F2A2A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Свръхчувствителност към активното вещество или към някое от помощните вещества, изброени в точка 6.1.</w:t>
      </w:r>
    </w:p>
    <w:p w14:paraId="1C1F488E" w14:textId="77777777" w:rsidR="008F2A2A" w:rsidRPr="008F2A2A" w:rsidRDefault="008F2A2A" w:rsidP="008F2A2A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Сърдечна декомпенсация, която не е адекватно лекувана.</w:t>
      </w:r>
    </w:p>
    <w:p w14:paraId="673A4B73" w14:textId="77777777" w:rsidR="008F2A2A" w:rsidRPr="008F2A2A" w:rsidRDefault="008F2A2A" w:rsidP="008F2A2A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Синдром на синусовия възел</w:t>
      </w:r>
      <w:r w:rsidRPr="008F2A2A">
        <w:rPr>
          <w:rFonts w:eastAsia="Times New Roman" w:cs="Arial"/>
          <w:color w:val="000000"/>
          <w:lang w:val="en-US"/>
        </w:rPr>
        <w:t>/SA</w:t>
      </w:r>
      <w:r w:rsidRPr="008F2A2A">
        <w:rPr>
          <w:rFonts w:eastAsia="Times New Roman" w:cs="Arial"/>
          <w:color w:val="000000"/>
          <w:lang w:eastAsia="bg-BG"/>
        </w:rPr>
        <w:t>-блок.</w:t>
      </w:r>
    </w:p>
    <w:p w14:paraId="1AF0385A" w14:textId="77777777" w:rsidR="008F2A2A" w:rsidRPr="008F2A2A" w:rsidRDefault="008F2A2A" w:rsidP="008F2A2A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Анамнеза за бронхоспазъм или бронхиална астма, хронична обструктивна белодробна болест (ХОББ).</w:t>
      </w:r>
    </w:p>
    <w:p w14:paraId="58F6398D" w14:textId="77777777" w:rsidR="008F2A2A" w:rsidRPr="008F2A2A" w:rsidRDefault="008F2A2A" w:rsidP="008F2A2A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Метаболитна ацидоза.</w:t>
      </w:r>
    </w:p>
    <w:p w14:paraId="2C261582" w14:textId="77777777" w:rsidR="008F2A2A" w:rsidRPr="008F2A2A" w:rsidRDefault="008F2A2A" w:rsidP="008F2A2A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 xml:space="preserve">Втора и трета степен на </w:t>
      </w:r>
      <w:r w:rsidRPr="008F2A2A">
        <w:rPr>
          <w:rFonts w:eastAsia="Times New Roman" w:cs="Arial"/>
          <w:color w:val="000000"/>
          <w:lang w:val="en-US"/>
        </w:rPr>
        <w:t>AV</w:t>
      </w:r>
      <w:r w:rsidRPr="008F2A2A">
        <w:rPr>
          <w:rFonts w:eastAsia="Times New Roman" w:cs="Arial"/>
          <w:color w:val="000000"/>
          <w:lang w:eastAsia="bg-BG"/>
        </w:rPr>
        <w:t>-блок.</w:t>
      </w:r>
    </w:p>
    <w:p w14:paraId="723CA05E" w14:textId="77777777" w:rsidR="008F2A2A" w:rsidRPr="008F2A2A" w:rsidRDefault="008F2A2A" w:rsidP="008F2A2A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Пациенти склонни към хипогликемия, напр. дължаща се на продължително гладуване или пациенти с ограничен регулаторен резерв.</w:t>
      </w:r>
    </w:p>
    <w:p w14:paraId="04A28C4D" w14:textId="77777777" w:rsidR="008F2A2A" w:rsidRPr="008F2A2A" w:rsidRDefault="008F2A2A" w:rsidP="008F2A2A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lastRenderedPageBreak/>
        <w:t>Кардиогенен шок.</w:t>
      </w:r>
    </w:p>
    <w:p w14:paraId="3F6076E5" w14:textId="77777777" w:rsidR="008F2A2A" w:rsidRPr="008F2A2A" w:rsidRDefault="008F2A2A" w:rsidP="008F2A2A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Нелекуван феохромоцитом.</w:t>
      </w:r>
    </w:p>
    <w:p w14:paraId="3A465B3E" w14:textId="77777777" w:rsidR="008F2A2A" w:rsidRPr="008F2A2A" w:rsidRDefault="008F2A2A" w:rsidP="008F2A2A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Тежка брадикардия.</w:t>
      </w:r>
    </w:p>
    <w:p w14:paraId="61CA93A5" w14:textId="77777777" w:rsidR="008F2A2A" w:rsidRPr="008F2A2A" w:rsidRDefault="008F2A2A" w:rsidP="008F2A2A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Тежка хипотония.</w:t>
      </w:r>
    </w:p>
    <w:p w14:paraId="1DB37E30" w14:textId="77777777" w:rsidR="008F2A2A" w:rsidRPr="008F2A2A" w:rsidRDefault="008F2A2A" w:rsidP="008F2A2A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Тежки нарушения на периферната артериална циркулация.</w:t>
      </w:r>
    </w:p>
    <w:p w14:paraId="4C2A904A" w14:textId="62ACE3FE" w:rsidR="008F2A2A" w:rsidRPr="008F2A2A" w:rsidRDefault="008F2A2A" w:rsidP="008F2A2A">
      <w:pPr>
        <w:pStyle w:val="ListParagraph"/>
        <w:numPr>
          <w:ilvl w:val="0"/>
          <w:numId w:val="4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 xml:space="preserve">Ангина на </w:t>
      </w:r>
      <w:proofErr w:type="spellStart"/>
      <w:r w:rsidRPr="008F2A2A">
        <w:rPr>
          <w:rFonts w:eastAsia="Times New Roman" w:cs="Arial"/>
          <w:color w:val="000000"/>
          <w:lang w:val="en-US"/>
        </w:rPr>
        <w:t>Prinzmetal</w:t>
      </w:r>
      <w:proofErr w:type="spellEnd"/>
      <w:r w:rsidRPr="008F2A2A">
        <w:rPr>
          <w:rFonts w:eastAsia="Times New Roman" w:cs="Arial"/>
          <w:color w:val="000000"/>
          <w:lang w:val="en-US"/>
        </w:rPr>
        <w:t>.</w:t>
      </w:r>
    </w:p>
    <w:p w14:paraId="68017CEF" w14:textId="77777777" w:rsidR="008F2A2A" w:rsidRPr="008F2A2A" w:rsidRDefault="008F2A2A" w:rsidP="008F2A2A"/>
    <w:p w14:paraId="1C27CE53" w14:textId="0E397993" w:rsidR="009F77A4" w:rsidRDefault="002C50EE" w:rsidP="00387A66">
      <w:pPr>
        <w:pStyle w:val="Heading2"/>
      </w:pPr>
      <w:r>
        <w:t>4.4. Специални предупреждения и предпазни мерки при употреба</w:t>
      </w:r>
    </w:p>
    <w:p w14:paraId="4DF9B952" w14:textId="00474C1F" w:rsidR="008F2A2A" w:rsidRDefault="008F2A2A" w:rsidP="008F2A2A"/>
    <w:p w14:paraId="57401725" w14:textId="77777777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Пропранолол, както и другите бета-блокери:</w:t>
      </w:r>
    </w:p>
    <w:p w14:paraId="1412AD61" w14:textId="77777777" w:rsidR="008F2A2A" w:rsidRPr="008F2A2A" w:rsidRDefault="008F2A2A" w:rsidP="008F2A2A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Въпреки че е противопоказан при декомпенсирана сърдечна недостатъчност (виж точка 4.3), може да се използва при пациенти, чиито признаци на сърдечна недостатъчност са контролирани. Трябва да се внимава при пациенти, чието сърдечен резерв е ограничен.</w:t>
      </w:r>
    </w:p>
    <w:p w14:paraId="2F3F1F22" w14:textId="77777777" w:rsidR="008F2A2A" w:rsidRPr="008F2A2A" w:rsidRDefault="008F2A2A" w:rsidP="008F2A2A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Не трябва да се използва в комбинация с блокери на калциевите канали с отрицателни инотропни ефекти (например верапамил, дилтиазем), тъй като това може да доведе до засилване на тези ефекти, особено при пациенти с нарушена камерна функция и/или синоатриални и атриовентрикуларни нарушения в проводимостта. Това може да доведе до тежка хипотония, брадикардия и сърдечна недостатъчност. Както бета-блокерът, така и блокерът на калциевите канали не трябва да се прилагат интравенозно в рамките на 48 часа след преустановяване на другия продукт.</w:t>
      </w:r>
    </w:p>
    <w:p w14:paraId="4B870956" w14:textId="77777777" w:rsidR="008F2A2A" w:rsidRPr="008F2A2A" w:rsidRDefault="008F2A2A" w:rsidP="008F2A2A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Въпреки че е противопоказан при тежки периферни артериални циркулаторни нарушения (виж точка 4.3), също така може да влоши периферните артериални циркулаторни нарушения с по-малка тежест.</w:t>
      </w:r>
    </w:p>
    <w:p w14:paraId="3264BA45" w14:textId="77777777" w:rsidR="008F2A2A" w:rsidRPr="008F2A2A" w:rsidRDefault="008F2A2A" w:rsidP="008F2A2A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 xml:space="preserve">Поради негативното му въздействие върху преводното време, трябва да се внимава, ако се прилага при пациенти с първа степен </w:t>
      </w:r>
      <w:r w:rsidRPr="008F2A2A">
        <w:rPr>
          <w:rFonts w:eastAsia="Times New Roman" w:cs="Arial"/>
          <w:color w:val="000000"/>
          <w:lang w:val="en-US"/>
        </w:rPr>
        <w:t>AV</w:t>
      </w:r>
      <w:r w:rsidRPr="008F2A2A">
        <w:rPr>
          <w:rFonts w:eastAsia="Times New Roman" w:cs="Arial"/>
          <w:color w:val="000000"/>
          <w:lang w:eastAsia="bg-BG"/>
        </w:rPr>
        <w:t>-блок.</w:t>
      </w:r>
    </w:p>
    <w:p w14:paraId="60F927FA" w14:textId="77777777" w:rsidR="008F2A2A" w:rsidRPr="008F2A2A" w:rsidRDefault="008F2A2A" w:rsidP="008F2A2A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Може да блокира/модифицира признаците и симптомите на хипогликемия (особено тахикардията). Пропранолол понякога предизвиква хипогликемия, дори при пациенти без диабет, например новородени, бебета, деца, пациенти в старческа възраст, пациенти на хемодиализа или такива, страдащи от хронично заболяване на черния дроб, както и при предозиране. Тежката хипогликемия, свързана с пропранолол, е рядко представена с гърчове и/или кома в изолираните пациенти. Трябва да се внимава при едновременната употреба на пропранолол и хипогликемична терапия при пациенти с диабет. Пропранолол може да удължи хипогликемична реакция към инсулин (виж точка 4.3).</w:t>
      </w:r>
    </w:p>
    <w:p w14:paraId="6E57A8A7" w14:textId="77777777" w:rsidR="008F2A2A" w:rsidRPr="008F2A2A" w:rsidRDefault="008F2A2A" w:rsidP="008F2A2A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Може да маскира симптомите на тиреотоксикоза.</w:t>
      </w:r>
    </w:p>
    <w:p w14:paraId="48B2439D" w14:textId="77777777" w:rsidR="008F2A2A" w:rsidRPr="008F2A2A" w:rsidRDefault="008F2A2A" w:rsidP="008F2A2A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Не трябва да се използва при нелекуван феохромоцитом. Въпреки това, при пациенти с феохромоцитом, едновременно може да се прилага алфа-блокер.</w:t>
      </w:r>
    </w:p>
    <w:p w14:paraId="76E15526" w14:textId="77777777" w:rsidR="008F2A2A" w:rsidRPr="008F2A2A" w:rsidRDefault="008F2A2A" w:rsidP="008F2A2A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Намалява сърдечната честота като резултат от фармакологичното му действие. В редките случаи, когато лекуваният пациент развие симптоми, които могат да бъдат отдадени на ниската сърдечната честота, дозата може да бъде намалена.</w:t>
      </w:r>
    </w:p>
    <w:p w14:paraId="555B067D" w14:textId="4EF3B7DC" w:rsidR="008F2A2A" w:rsidRPr="008F2A2A" w:rsidRDefault="008F2A2A" w:rsidP="008F2A2A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Може да доведе до по-тежка реакция към различни алергени, когато се прилага при пациенти с анамнеза за анафилактична реакция към тези алергени. Такива пациенти могат да не отговорят на обичайните дози адреналин, използвани за лечение на алергични реакции.</w:t>
      </w:r>
    </w:p>
    <w:p w14:paraId="55B11CE2" w14:textId="7777777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014C6FF" w14:textId="3D8C9807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lastRenderedPageBreak/>
        <w:t>Внезапното спиране на бета-блокерите трябва да се избягва. Дозата трябва да се намалява постепенно за период от 7 до 14 дни. Пациентите трябва да бъдат проследявани в този период, особено тези с исхемична болест на сърцето.</w:t>
      </w:r>
    </w:p>
    <w:p w14:paraId="58F17C01" w14:textId="7777777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822F974" w14:textId="06ADE9DD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Когато пациентът е планиран за операция и е взето решение за спиране на лечението с бета- блокер, това трябва да бъде направено най-малко 48 часа преди процедурата. Съотношението полза/риск от спирането на бета-блокадата трябва да бъде определено за индивидуалния пациент.</w:t>
      </w:r>
    </w:p>
    <w:p w14:paraId="01D6B754" w14:textId="7777777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0C8C8A8" w14:textId="432F1F76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Тъй като полуживотът може да бъде удължен при пациенти със значително чернодробно или бъбречно увреждане, при започване на лечение и избор на началната доза трябва да се подхожда с повишено внимание.</w:t>
      </w:r>
    </w:p>
    <w:p w14:paraId="36199CBB" w14:textId="7777777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1C6B5FD" w14:textId="2543D39B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Пропранолол трябва да се използва с повишено внимание при пациенти с декомпенсирана цироза (виж точка 4.2). При пациенти с портална хипертония, чернодробната функция може да се влоши и може да се развие чернодробна енцефалопатия. Има съобщения подсказващи, че лечението с пропранолол може да увеличи риска от развитие на чернодробна енцефалопатия (виж точка 4.2).</w:t>
      </w:r>
    </w:p>
    <w:p w14:paraId="4E541466" w14:textId="7777777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F408665" w14:textId="0F9E7DFD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При пациенти с хронична обструктивна белодробна болест (ХОББ), неселективните бета- блокери като пропранолол могат да влошат обструктивното състояние. Поради това пропранолол не трябва да се използва при тези състояния (вж. точка 4.3).</w:t>
      </w:r>
    </w:p>
    <w:p w14:paraId="1ED10129" w14:textId="77777777" w:rsidR="008F2A2A" w:rsidRPr="008F2A2A" w:rsidRDefault="008F2A2A" w:rsidP="008F2A2A">
      <w:pPr>
        <w:rPr>
          <w:rFonts w:eastAsia="Times New Roman" w:cs="Arial"/>
          <w:color w:val="000000"/>
          <w:lang w:eastAsia="bg-BG"/>
        </w:rPr>
      </w:pPr>
    </w:p>
    <w:p w14:paraId="3B0C5D08" w14:textId="77777777" w:rsidR="008F2A2A" w:rsidRPr="008F2A2A" w:rsidRDefault="008F2A2A" w:rsidP="008F2A2A">
      <w:pPr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Бронхоспазмът обикновено може да бъде обратим с бета</w:t>
      </w:r>
      <w:r w:rsidRPr="008F2A2A">
        <w:rPr>
          <w:rFonts w:eastAsia="Times New Roman" w:cs="Arial"/>
          <w:color w:val="000000"/>
          <w:vertAlign w:val="subscript"/>
          <w:lang w:eastAsia="bg-BG"/>
        </w:rPr>
        <w:t>2</w:t>
      </w:r>
      <w:r w:rsidRPr="008F2A2A">
        <w:rPr>
          <w:rFonts w:eastAsia="Times New Roman" w:cs="Arial"/>
          <w:color w:val="000000"/>
          <w:lang w:eastAsia="bg-BG"/>
        </w:rPr>
        <w:t>-агонисти бронходилататори като салбутамол. Може да са необходими големи дози бета бронходилататор за преодоляване на бета блокадата, произведена от пропранолол, като дозата трябва да се титрира в съответствие с клиничния отговор; трябва да се вземат под внимание и интравенозното, и инхалационното приложение. Употребата на интравенозен аминофилин и/или употребата на ипратропиум</w:t>
      </w:r>
      <w:r w:rsidRPr="008F2A2A">
        <w:rPr>
          <w:rFonts w:eastAsia="Times New Roman" w:cs="Arial"/>
          <w:color w:val="000000"/>
          <w:lang w:eastAsia="bg-BG"/>
        </w:rPr>
        <w:t xml:space="preserve"> </w:t>
      </w:r>
      <w:r w:rsidRPr="008F2A2A">
        <w:rPr>
          <w:rFonts w:eastAsia="Times New Roman" w:cs="Arial"/>
          <w:color w:val="000000"/>
          <w:lang w:eastAsia="bg-BG"/>
        </w:rPr>
        <w:t xml:space="preserve">(даван с пулверизатор) може също да се има предвид. Съобщава се, че и глюкагон (от 1 до 2 </w:t>
      </w:r>
      <w:r w:rsidRPr="008F2A2A">
        <w:rPr>
          <w:rFonts w:eastAsia="Times New Roman" w:cs="Arial"/>
          <w:color w:val="000000"/>
          <w:lang w:val="en-US"/>
        </w:rPr>
        <w:t xml:space="preserve">mg, </w:t>
      </w:r>
      <w:r w:rsidRPr="008F2A2A">
        <w:rPr>
          <w:rFonts w:eastAsia="Times New Roman" w:cs="Arial"/>
          <w:color w:val="000000"/>
          <w:lang w:eastAsia="bg-BG"/>
        </w:rPr>
        <w:t>даван интравенозно) може да предизвика бронходилататорен ефект при пациенти с астма. При тежки случаи може да е необходим кислород или изкуствено дишане.</w:t>
      </w:r>
    </w:p>
    <w:p w14:paraId="2B78B4EC" w14:textId="7777777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459C21D" w14:textId="78F0083B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Съобщавани са изолирани случаи на миастения гравис-подобен синдром или обостряне на миастения гравис при пациенти, приемали пропранолол.</w:t>
      </w:r>
    </w:p>
    <w:p w14:paraId="53AB97EC" w14:textId="77777777" w:rsidR="008F2A2A" w:rsidRPr="008F2A2A" w:rsidRDefault="008F2A2A" w:rsidP="008F2A2A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278B3F1" w14:textId="1DB8C007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i/>
          <w:iCs/>
          <w:color w:val="000000"/>
          <w:lang w:eastAsia="bg-BG"/>
        </w:rPr>
        <w:t>Влияние върху лабораторни изследвания;</w:t>
      </w:r>
    </w:p>
    <w:p w14:paraId="4B9C037C" w14:textId="77777777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Съобщавано е, че пропранолол пречи на определянето на серумния билирубин с колориметричен метод (диазореакция) и на определянето на катехоламини с флуоресцентни методи.</w:t>
      </w:r>
    </w:p>
    <w:p w14:paraId="4AA7AD86" w14:textId="77777777" w:rsidR="008F2A2A" w:rsidRPr="008F2A2A" w:rsidRDefault="008F2A2A" w:rsidP="008F2A2A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B3E8B35" w14:textId="77DF4003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i/>
          <w:iCs/>
          <w:color w:val="000000"/>
          <w:lang w:eastAsia="bg-BG"/>
        </w:rPr>
        <w:t>Лактоза:</w:t>
      </w:r>
    </w:p>
    <w:p w14:paraId="696F3DF4" w14:textId="77777777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 xml:space="preserve">Това лекарство съдържа лактоза. Пациенти с редки наследствени проблеми на галактозна непоносимост, </w:t>
      </w:r>
      <w:r w:rsidRPr="008F2A2A">
        <w:rPr>
          <w:rFonts w:eastAsia="Times New Roman" w:cs="Arial"/>
          <w:color w:val="000000"/>
          <w:lang w:val="en-US"/>
        </w:rPr>
        <w:t xml:space="preserve">Lapp </w:t>
      </w:r>
      <w:r w:rsidRPr="008F2A2A">
        <w:rPr>
          <w:rFonts w:eastAsia="Times New Roman" w:cs="Arial"/>
          <w:color w:val="000000"/>
          <w:lang w:eastAsia="bg-BG"/>
        </w:rPr>
        <w:t>лактазен дефицит или глюкозо-галактозна малабсорбция не трябва да приемат това лекарство.</w:t>
      </w:r>
    </w:p>
    <w:p w14:paraId="69208236" w14:textId="6BA8A157" w:rsidR="008F2A2A" w:rsidRPr="008F2A2A" w:rsidRDefault="008F2A2A" w:rsidP="008F2A2A"/>
    <w:p w14:paraId="1DA47448" w14:textId="0CDE9E57" w:rsidR="009F77A4" w:rsidRDefault="002C50EE" w:rsidP="00387A66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</w:p>
    <w:p w14:paraId="536D36F0" w14:textId="1FE16C08" w:rsidR="008F2A2A" w:rsidRDefault="008F2A2A" w:rsidP="008F2A2A"/>
    <w:p w14:paraId="0625A0D3" w14:textId="77777777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i/>
          <w:iCs/>
          <w:color w:val="000000"/>
          <w:u w:val="single"/>
          <w:lang w:eastAsia="bg-BG"/>
        </w:rPr>
        <w:lastRenderedPageBreak/>
        <w:t>Не се препоръчва комбиниране</w:t>
      </w:r>
    </w:p>
    <w:p w14:paraId="6C977499" w14:textId="77777777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 xml:space="preserve">Комбинираната употреба на бета-блокери и блокери на калциевите канали с отрицателни инотропни ефекти (например, верапамил, дилтиазем) може да доведе до прекомерно засилване на негативното </w:t>
      </w:r>
      <w:r w:rsidRPr="008F2A2A">
        <w:rPr>
          <w:rFonts w:eastAsia="Times New Roman" w:cs="Arial"/>
          <w:color w:val="000000"/>
          <w:lang w:val="en-US"/>
        </w:rPr>
        <w:t xml:space="preserve">AV </w:t>
      </w:r>
      <w:r w:rsidRPr="008F2A2A">
        <w:rPr>
          <w:rFonts w:eastAsia="Times New Roman" w:cs="Arial"/>
          <w:color w:val="000000"/>
          <w:lang w:eastAsia="bg-BG"/>
        </w:rPr>
        <w:t>провеждане и функцията на синусовия възел, особено при пациенти с нарушена камерна функция и/или синоатриални и атриовентрикуларни аномалии на проводимостта. Това може да доведе до тежка хипотония и брадикардия. Комбинацията с пропранолол трябва да се избягва, особено при пациенти със сърдечна декомпенсация.</w:t>
      </w:r>
    </w:p>
    <w:p w14:paraId="75B06D1E" w14:textId="7777777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9610965" w14:textId="16632C8A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Едновременната употреба на симпатикомиметични средства, например адреналин, може да противодейства на ефекта на бета-блокерите. Необходимо е повишено внимание при парентерално приложение на продукти, съдържащи адреналин, на пациенти, приемащи бета- блокери, тъй като в редки случаи това може да доведе до вазоконстрикция, хипертония и брадикардия.</w:t>
      </w:r>
    </w:p>
    <w:p w14:paraId="00BDD7CE" w14:textId="7777777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AB22C40" w14:textId="0C570094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Бронходилататорни бета-агонисти:</w:t>
      </w:r>
    </w:p>
    <w:p w14:paraId="505874CE" w14:textId="77777777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Некардиоселективните бета-блокери се противопоставят на бронходилатиращият ефект на бета-агонистите. Пропранолол е противопоказан при пациенти с астма (вж. точка 4.3).</w:t>
      </w:r>
    </w:p>
    <w:p w14:paraId="16CF0E55" w14:textId="7777777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C85EFB4" w14:textId="0E0CA97E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Финголимод:</w:t>
      </w:r>
    </w:p>
    <w:p w14:paraId="6949C9AB" w14:textId="77777777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Потенцира ефектите на брадикардия с възможни фатални резултати. Лечението с финголимод не трябва да се започва при пациенти, приемащи бета-блокери. В случай, че се налага комбинация, се препоръчва подходящо наблюдение при започване на лечението, най-малко в продължение на денонощие.</w:t>
      </w:r>
    </w:p>
    <w:p w14:paraId="76485FF8" w14:textId="7777777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ECA99EF" w14:textId="2065A3C4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Барбитурати:</w:t>
      </w:r>
    </w:p>
    <w:p w14:paraId="4D80467B" w14:textId="77777777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Барбитуратите намаляват плазмените нива и ефекти на бета-блокерите. Барбитуратите са мощни индуктори на чернодробните ензими, които могат да повишат метаболизма на пропранолол.</w:t>
      </w:r>
    </w:p>
    <w:p w14:paraId="18A1EB01" w14:textId="7777777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D1CC2A9" w14:textId="51969368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Пропафенон:</w:t>
      </w:r>
    </w:p>
    <w:p w14:paraId="6364AF66" w14:textId="16C14042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 xml:space="preserve">Плазмените нива на пропранолол могат да бъдат увеличени до 100% от пропафенон. Това най- вероятно се получава, защото пропранолол частично се метаболизира от същия ензим като пропафенон </w:t>
      </w:r>
      <w:r w:rsidRPr="008F2A2A">
        <w:rPr>
          <w:rFonts w:eastAsia="Times New Roman" w:cs="Arial"/>
          <w:color w:val="000000"/>
          <w:lang w:val="en-US"/>
        </w:rPr>
        <w:t xml:space="preserve">(CYP2D6). </w:t>
      </w:r>
      <w:r w:rsidRPr="008F2A2A">
        <w:rPr>
          <w:rFonts w:eastAsia="Times New Roman" w:cs="Arial"/>
          <w:color w:val="000000"/>
          <w:lang w:eastAsia="bg-BG"/>
        </w:rPr>
        <w:t>Тази комбинация също не е препоръчителна, защото пропафенон има отрицателни инотропни ефекти.</w:t>
      </w:r>
    </w:p>
    <w:p w14:paraId="0ECAF4FA" w14:textId="1B24DBDC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0E1B52E" w14:textId="77777777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Варфарин:</w:t>
      </w:r>
    </w:p>
    <w:p w14:paraId="09DCC8EC" w14:textId="7777777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 xml:space="preserve">Пропранолол може да причини намаляване на клирънса и повишение на плазмените концентрации на </w:t>
      </w:r>
    </w:p>
    <w:p w14:paraId="1DF0943C" w14:textId="596EC733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варфарин.</w:t>
      </w:r>
    </w:p>
    <w:p w14:paraId="12549256" w14:textId="7777777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1737247" w14:textId="7614AD98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МАО-инхибитори:</w:t>
      </w:r>
    </w:p>
    <w:p w14:paraId="34F3D547" w14:textId="77777777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Едновременната употреба на МАО-инхибитори (с изключение на МАО-В инхибитори) с антихипертензивни продукти може да намали антихипертензивния ефект и да доведе до хипертонични реакции.</w:t>
      </w:r>
    </w:p>
    <w:p w14:paraId="05975A1A" w14:textId="7777777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949C336" w14:textId="517EB94B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Гликозиди:</w:t>
      </w:r>
    </w:p>
    <w:p w14:paraId="6DD2ADDB" w14:textId="77777777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Дигиталисовите гликозиди, заедно с бета-блокерите, могат да удължат предсърднокамерното проводно време.</w:t>
      </w:r>
    </w:p>
    <w:p w14:paraId="2CA4E1B4" w14:textId="77777777" w:rsidR="008F2A2A" w:rsidRPr="008F2A2A" w:rsidRDefault="008F2A2A" w:rsidP="008F2A2A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46649016" w14:textId="1A68417C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i/>
          <w:iCs/>
          <w:color w:val="000000"/>
          <w:u w:val="single"/>
          <w:lang w:eastAsia="bg-BG"/>
        </w:rPr>
        <w:lastRenderedPageBreak/>
        <w:t>Комбинации, които се използват с повишено внимание, или налагат корекция на дозата</w:t>
      </w:r>
    </w:p>
    <w:p w14:paraId="05B398AA" w14:textId="7777777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AF87AA1" w14:textId="4C737DF2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Амиодарон:</w:t>
      </w:r>
    </w:p>
    <w:p w14:paraId="498535C6" w14:textId="77777777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Има съобщения за случаи на тежка синусова брадикардия при пациенти, приемащи амиодарон едновременно с пропранолол. Амиодарон има изключително дълъг полуживот (около 50 дни), което означава, че взаимодействия могат да възникнат дълго след прекъсване на терапията.</w:t>
      </w:r>
    </w:p>
    <w:p w14:paraId="1D01B348" w14:textId="7777777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66CCB1E" w14:textId="55F46CE0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Антиаритмици клас I (дизопирамид, хинидин):</w:t>
      </w:r>
    </w:p>
    <w:p w14:paraId="66B8FDBC" w14:textId="77777777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Антиаритмичните лекарства клас I и бета-блокерите имат допълнителни отрицателни инотропни ефекти, които могат да доведат до хипотония и тежки хемодинамични нежелани реакции при пациенти с нарушена функция на лявата камера.</w:t>
      </w:r>
    </w:p>
    <w:p w14:paraId="03E60A75" w14:textId="7777777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1EB0C35" w14:textId="654785D4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Нестероидни противовъзпалителни/антиревматични средства (НСПВС):</w:t>
      </w:r>
    </w:p>
    <w:p w14:paraId="11403136" w14:textId="77777777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Нестероидните противовъзпалителните лекарства (НСПВС) могат да повишат кръвното налягане и притежават противоположен на антихипертензивния ефект на бета-блокерите. Той е проучен основно при индометацин. В проучване за диклофенак такова взаимодействие не може да бъде открито. Данни за СОХ-2 инхибиторите липсват.</w:t>
      </w:r>
    </w:p>
    <w:p w14:paraId="4E7C6602" w14:textId="7777777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6ACA3EE" w14:textId="2B2BE852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Циметидин:</w:t>
      </w:r>
    </w:p>
    <w:p w14:paraId="0819CDF6" w14:textId="77777777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Циметидин повишава нивата на пропранолол в плазмата, вероятно чрез инхибиране на първото му преминаване през черния дроб. Може да има риск от брадикардия след перорален прием.</w:t>
      </w:r>
    </w:p>
    <w:p w14:paraId="7478E57B" w14:textId="7777777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0FF0A71" w14:textId="15623ADD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Алкохол:</w:t>
      </w:r>
    </w:p>
    <w:p w14:paraId="3340741B" w14:textId="77777777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Едновременната употреба на алкохол може да повиши плазмените нива на пропранолол.</w:t>
      </w:r>
    </w:p>
    <w:p w14:paraId="2EB6DB8A" w14:textId="7777777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AB30E98" w14:textId="5D089E89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Анестетици:</w:t>
      </w:r>
    </w:p>
    <w:p w14:paraId="5243AE71" w14:textId="77777777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Едновременната употреба на бета-адренергични антагонисти и анестетици може да доведе до отслабване на рефлекторната тахикардия и да увеличи риска от хипотония (вж. точка 4.4). Общо правило е да се избягва внезапното спиране на лечението с бета-блокери. Анестезиолозите трябва да бъдат информирани, когато пациентът приема бета-адренергични антагонисти. Анестетиците, предизвикващи депресия на миокарда, най-добре да се избягват.</w:t>
      </w:r>
    </w:p>
    <w:p w14:paraId="03437947" w14:textId="7777777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987FAFF" w14:textId="38111AF2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Епинефрин (адреналин):</w:t>
      </w:r>
    </w:p>
    <w:p w14:paraId="40B4C93A" w14:textId="77777777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Има редица съобщения за тежка хипертония и брадикардия при пациенти, лекувани с пропранолол и адреналин. Тези клинични наблюдения са били потвърдени от изследвания при здрави доброволци. Също така се предполага, че вътресъдовото приложение на адреналин може да предизвика тези реакции.</w:t>
      </w:r>
    </w:p>
    <w:p w14:paraId="127CD137" w14:textId="7777777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2987F92" w14:textId="4E905795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Флувоксамин:</w:t>
      </w:r>
    </w:p>
    <w:p w14:paraId="5F630B82" w14:textId="5972EC8B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Флувоксамин инхибира оксидативния метаболизъм и увеличава плазмената концентрация на пропранолол. Това може да доведе до тежка брадикардия.</w:t>
      </w:r>
    </w:p>
    <w:p w14:paraId="28E967DD" w14:textId="1D425B2F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337565F" w14:textId="77777777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 xml:space="preserve">Централно действащи антихипертензивни средства (клонидин, моксонидин, метилдопа): Едновременната употреба с централно действащи антихипертензивни лекарства може да влоши сърдечната недостатъчност като потисне централния симпатикусов тонус (намаляване на сърдечната честота и сърдечния дебит, вазодилатация). Внезапното им </w:t>
      </w:r>
      <w:r w:rsidRPr="008F2A2A">
        <w:rPr>
          <w:rFonts w:eastAsia="Times New Roman" w:cs="Arial"/>
          <w:color w:val="000000"/>
          <w:lang w:eastAsia="bg-BG"/>
        </w:rPr>
        <w:lastRenderedPageBreak/>
        <w:t>прекъсване, особено ако е преди прекратяване на лечението с бета-блокера, може да увеличи риска от „рибаунд хипертония”.</w:t>
      </w:r>
    </w:p>
    <w:p w14:paraId="4CF93495" w14:textId="77777777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Ако двете лекарства се прилагат съвместно, бета-блокерът трябва да се прекъсне няколко дни преди спирането на клонидин. Ако клонидин се замени с терапия с бета-блокер, въвеждането на бета-блокерите трябва да се забави с няколко дни след спирането на клонидин.</w:t>
      </w:r>
    </w:p>
    <w:p w14:paraId="7F5C42CF" w14:textId="7777777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F630934" w14:textId="3C75697A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Рифампицин:</w:t>
      </w:r>
    </w:p>
    <w:p w14:paraId="6564D7E5" w14:textId="77777777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Метаболизмът на пропранолол може да се увеличи от мощния ензимен индуктор на черния дроб рифампицин.</w:t>
      </w:r>
    </w:p>
    <w:p w14:paraId="5E74B368" w14:textId="7777777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8BB5B62" w14:textId="117C0912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Алфа-блокери:</w:t>
      </w:r>
    </w:p>
    <w:p w14:paraId="76ADADB8" w14:textId="77777777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Едновременната употреба на алфа- блокери повишава риска от хипотония, особено ортостатична хипотония и тахикардия и сърцебиене.</w:t>
      </w:r>
    </w:p>
    <w:p w14:paraId="0C7B1AC6" w14:textId="7777777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FEE53FE" w14:textId="3E137BA4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Дихидропиридинови блокери на калциевите канали, напр. нифедипин:</w:t>
      </w:r>
    </w:p>
    <w:p w14:paraId="751923B1" w14:textId="77777777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Едновременната употреба може да увеличи риска от хипотония и може да възникне сърдечна недостатъчност с латентен период.</w:t>
      </w:r>
    </w:p>
    <w:p w14:paraId="5740C24A" w14:textId="7777777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07B3735" w14:textId="69BEC963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Хлорпромазин:</w:t>
      </w:r>
    </w:p>
    <w:p w14:paraId="7201DA78" w14:textId="77777777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Едновременното приложение на хлорпромазин с пропранолол може да доведе до значително повишаване на плазмените нива на двата лекарствени продукта, и по този начин да се повиши влиянието върху сърдечната честота и кръвното налягане, както и да се засили антипсихотичният ефект на хлорпромазин и антихипертензивния ефект на пропранолол.</w:t>
      </w:r>
    </w:p>
    <w:p w14:paraId="12530CF0" w14:textId="7777777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C273537" w14:textId="6A6A7D3A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Лидокаин:</w:t>
      </w:r>
    </w:p>
    <w:p w14:paraId="17315021" w14:textId="77777777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Прилагането на пропранолол по време на инфузия с лидокаин може да увеличи плазмената концентрация на лидокаин с приблизително 30%. Пациентите, които вече получават пропранолол могат да имат по-високи нива на лидокаин, отколкото тези от контролната група. Тази комбинация трябва да се избягва.</w:t>
      </w:r>
    </w:p>
    <w:p w14:paraId="5EBE3B4C" w14:textId="7777777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9DBD0F6" w14:textId="17241820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Антимигренозни лекарства:</w:t>
      </w:r>
    </w:p>
    <w:p w14:paraId="60EC5870" w14:textId="77777777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 xml:space="preserve">По време на съпътстващо лечение с пропранолол се инхибира метаболизма на първо преминаване на ризатриптан, чиято </w:t>
      </w:r>
      <w:r w:rsidRPr="008F2A2A">
        <w:rPr>
          <w:rFonts w:eastAsia="Times New Roman" w:cs="Arial"/>
          <w:color w:val="000000"/>
          <w:lang w:val="en-US"/>
        </w:rPr>
        <w:t xml:space="preserve">AUC </w:t>
      </w:r>
      <w:r w:rsidRPr="008F2A2A">
        <w:rPr>
          <w:rFonts w:eastAsia="Times New Roman" w:cs="Arial"/>
          <w:color w:val="000000"/>
          <w:lang w:eastAsia="bg-BG"/>
        </w:rPr>
        <w:t xml:space="preserve">се увеличава с 70-80%. Доза от 5 </w:t>
      </w:r>
      <w:r w:rsidRPr="008F2A2A">
        <w:rPr>
          <w:rFonts w:eastAsia="Times New Roman" w:cs="Arial"/>
          <w:color w:val="000000"/>
          <w:lang w:val="en-US"/>
        </w:rPr>
        <w:t xml:space="preserve">mg </w:t>
      </w:r>
      <w:r w:rsidRPr="008F2A2A">
        <w:rPr>
          <w:rFonts w:eastAsia="Times New Roman" w:cs="Arial"/>
          <w:color w:val="000000"/>
          <w:lang w:eastAsia="bg-BG"/>
        </w:rPr>
        <w:t>ризатриптан се препоръчва за комбинирана терапия. Съобщено е за вазоспастични реакции при пациенти, приемащи едновременно ерготамин и пропранолол.</w:t>
      </w:r>
    </w:p>
    <w:p w14:paraId="65A92C2A" w14:textId="7777777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609B02E" w14:textId="42F5AAE0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Теофилин:</w:t>
      </w:r>
    </w:p>
    <w:p w14:paraId="1CB8B958" w14:textId="77777777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 xml:space="preserve">Пропранолол намалява метаболитния клирънс на теофилин с около 30% при доза от 120 </w:t>
      </w:r>
      <w:r w:rsidRPr="008F2A2A">
        <w:rPr>
          <w:rFonts w:eastAsia="Times New Roman" w:cs="Arial"/>
          <w:color w:val="000000"/>
          <w:lang w:val="en-US"/>
        </w:rPr>
        <w:t>mg</w:t>
      </w:r>
      <w:r w:rsidRPr="008F2A2A">
        <w:rPr>
          <w:rFonts w:eastAsia="Times New Roman" w:cs="Arial"/>
          <w:color w:val="000000"/>
          <w:lang w:eastAsia="bg-BG"/>
        </w:rPr>
        <w:t xml:space="preserve">/ден и 50% при дози от 720 </w:t>
      </w:r>
      <w:r w:rsidRPr="008F2A2A">
        <w:rPr>
          <w:rFonts w:eastAsia="Times New Roman" w:cs="Arial"/>
          <w:color w:val="000000"/>
          <w:lang w:val="en-US"/>
        </w:rPr>
        <w:t>mg</w:t>
      </w:r>
      <w:r w:rsidRPr="008F2A2A">
        <w:rPr>
          <w:rFonts w:eastAsia="Times New Roman" w:cs="Arial"/>
          <w:color w:val="000000"/>
          <w:lang w:eastAsia="bg-BG"/>
        </w:rPr>
        <w:t>/ден.</w:t>
      </w:r>
    </w:p>
    <w:p w14:paraId="3E37926F" w14:textId="7777777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5AB1645" w14:textId="27F6B2D6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Инсулин и перорални антидиабетни лекарствени продукти:</w:t>
      </w:r>
    </w:p>
    <w:p w14:paraId="3F8242D6" w14:textId="77777777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Едновременната употреба може да маскира някои симптоми на хипогликемия (палпитации, тахикардия). Пропранолол може да удължи хипогликемичния отговор към инсулин.</w:t>
      </w:r>
    </w:p>
    <w:p w14:paraId="5539DD96" w14:textId="7777777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34AE9A2" w14:textId="26102A77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Тютюнопушене:</w:t>
      </w:r>
    </w:p>
    <w:p w14:paraId="6BF18FD1" w14:textId="77777777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Тютюнопушенето може да намали благоприятните ефекти на бета-блокерите върху сърдечната честота и кръвното налягане.</w:t>
      </w:r>
    </w:p>
    <w:p w14:paraId="15B0E202" w14:textId="77777777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</w:p>
    <w:p w14:paraId="7D0D72BA" w14:textId="77777777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lastRenderedPageBreak/>
        <w:t>Лабораторни изследвания:</w:t>
      </w:r>
    </w:p>
    <w:p w14:paraId="701353DF" w14:textId="529DDC36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Влияние върху лабораторни изследвания - пропранолол може да окаже влияние върху резултата на серумния билирубин, който се определя по метода с амоняк и при определянето на катехоламини с флуоресцентни методи.</w:t>
      </w:r>
    </w:p>
    <w:p w14:paraId="25FA3664" w14:textId="77777777" w:rsidR="008F2A2A" w:rsidRPr="008F2A2A" w:rsidRDefault="008F2A2A" w:rsidP="008F2A2A"/>
    <w:p w14:paraId="48846BBA" w14:textId="5F1D1FB3" w:rsidR="009F77A4" w:rsidRDefault="002C50EE" w:rsidP="00387A66">
      <w:pPr>
        <w:pStyle w:val="Heading2"/>
      </w:pPr>
      <w:r>
        <w:t>4.6. Фертилитет, бременност и кърмене</w:t>
      </w:r>
    </w:p>
    <w:p w14:paraId="7B5610AF" w14:textId="2FCAF0AD" w:rsidR="008F2A2A" w:rsidRDefault="008F2A2A" w:rsidP="008F2A2A"/>
    <w:p w14:paraId="3521816C" w14:textId="77777777" w:rsidR="008F2A2A" w:rsidRPr="008F2A2A" w:rsidRDefault="008F2A2A" w:rsidP="008F2A2A">
      <w:pPr>
        <w:pStyle w:val="Heading3"/>
        <w:rPr>
          <w:rFonts w:eastAsia="Times New Roman"/>
          <w:sz w:val="28"/>
          <w:szCs w:val="28"/>
          <w:u w:val="single"/>
          <w:lang w:eastAsia="bg-BG"/>
        </w:rPr>
      </w:pPr>
      <w:r w:rsidRPr="008F2A2A">
        <w:rPr>
          <w:rFonts w:eastAsia="Times New Roman"/>
          <w:u w:val="single"/>
          <w:lang w:eastAsia="bg-BG"/>
        </w:rPr>
        <w:t>Бременност:</w:t>
      </w:r>
    </w:p>
    <w:p w14:paraId="616ED86F" w14:textId="77777777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Както при всички лекарства, пропранолол не трябва да се прилага по време на бременност, освен ако неговото използване е от съществено значение.. Няма доказателства за тератогенност на пропранолол. Независимо от това, бета-блокерите намаляват плацентарната перфузия, което може да доведе до интраутеринна смърт на плода, ранни или преждевременни раждания. В допълнение, могат да се появят нежелани лекарствени реакции (особено хипогликемия и брадикардия при новороденото и брадикардия при плода). Съществува повишен риск от сърдечни и белодробни усложнения при новороденото в постнаталния период.</w:t>
      </w:r>
    </w:p>
    <w:p w14:paraId="0F907996" w14:textId="7777777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472101C" w14:textId="092FF32B" w:rsidR="008F2A2A" w:rsidRPr="008F2A2A" w:rsidRDefault="008F2A2A" w:rsidP="008F2A2A">
      <w:pPr>
        <w:pStyle w:val="Heading3"/>
        <w:rPr>
          <w:rFonts w:eastAsia="Times New Roman"/>
          <w:sz w:val="28"/>
          <w:szCs w:val="28"/>
          <w:u w:val="single"/>
          <w:lang w:eastAsia="bg-BG"/>
        </w:rPr>
      </w:pPr>
      <w:r w:rsidRPr="008F2A2A">
        <w:rPr>
          <w:rFonts w:eastAsia="Times New Roman"/>
          <w:u w:val="single"/>
          <w:lang w:eastAsia="bg-BG"/>
        </w:rPr>
        <w:t>Кърмене:</w:t>
      </w:r>
    </w:p>
    <w:p w14:paraId="56E0F0B1" w14:textId="77777777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Повечето бета-блокери, особено липофилните съединения, преминават в кърмата, макар и в различна степен. Ето защо, кърменето не се препоръчва след приложение тези съединения.</w:t>
      </w:r>
    </w:p>
    <w:p w14:paraId="6E95F048" w14:textId="7777777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E7E8D25" w14:textId="43E6213D" w:rsidR="008F2A2A" w:rsidRPr="008F2A2A" w:rsidRDefault="008F2A2A" w:rsidP="008F2A2A">
      <w:pPr>
        <w:pStyle w:val="Heading3"/>
        <w:rPr>
          <w:rFonts w:eastAsia="Times New Roman"/>
          <w:sz w:val="28"/>
          <w:szCs w:val="28"/>
          <w:u w:val="single"/>
          <w:lang w:eastAsia="bg-BG"/>
        </w:rPr>
      </w:pPr>
      <w:r w:rsidRPr="008F2A2A">
        <w:rPr>
          <w:rFonts w:eastAsia="Times New Roman"/>
          <w:u w:val="single"/>
          <w:lang w:eastAsia="bg-BG"/>
        </w:rPr>
        <w:t>Фертилитет:</w:t>
      </w:r>
    </w:p>
    <w:p w14:paraId="27F98BED" w14:textId="77777777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Няма налични данни за влиянието на пропранолол върху фертилитета при хора.</w:t>
      </w:r>
    </w:p>
    <w:p w14:paraId="177FF44B" w14:textId="77777777" w:rsidR="008F2A2A" w:rsidRPr="008F2A2A" w:rsidRDefault="008F2A2A" w:rsidP="008F2A2A"/>
    <w:p w14:paraId="321AAB00" w14:textId="6635DA74" w:rsidR="009F77A4" w:rsidRDefault="002C50EE" w:rsidP="00387A66">
      <w:pPr>
        <w:pStyle w:val="Heading2"/>
      </w:pPr>
      <w:r>
        <w:t>4.7. Ефекти върху способността за шофиране и работа с машини</w:t>
      </w:r>
    </w:p>
    <w:p w14:paraId="3B0A7459" w14:textId="1B1E5CDE" w:rsidR="008F2A2A" w:rsidRDefault="008F2A2A" w:rsidP="008F2A2A"/>
    <w:p w14:paraId="76DD5EA7" w14:textId="6E56F397" w:rsidR="008F2A2A" w:rsidRDefault="008F2A2A" w:rsidP="008F2A2A">
      <w:r>
        <w:t>Пропранолол няма или има пренебрежимо влияние върху способността за шофиране и работа с машини. Трябва да се има предвид, че понякога може да настъпи замаяност или умора.</w:t>
      </w:r>
    </w:p>
    <w:p w14:paraId="18CBDF98" w14:textId="77777777" w:rsidR="008F2A2A" w:rsidRPr="008F2A2A" w:rsidRDefault="008F2A2A" w:rsidP="008F2A2A"/>
    <w:p w14:paraId="136C86B8" w14:textId="604D87E2" w:rsidR="009F77A4" w:rsidRDefault="002C50EE" w:rsidP="00387A66">
      <w:pPr>
        <w:pStyle w:val="Heading2"/>
      </w:pPr>
      <w:r>
        <w:t>4.8. Нежелани лекарствени реакции</w:t>
      </w:r>
    </w:p>
    <w:p w14:paraId="1962D5C0" w14:textId="7FAEE8C2" w:rsidR="008F2A2A" w:rsidRDefault="008F2A2A" w:rsidP="008F2A2A"/>
    <w:p w14:paraId="5DAACE35" w14:textId="77777777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Пропранолол обикновено се понася добре. В клинични проучвания, съобщените нежелани реакции обикновено се дължат на фармакологичното действие на пропранолол.</w:t>
      </w:r>
    </w:p>
    <w:p w14:paraId="26EB299C" w14:textId="7777777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CB59FD1" w14:textId="734E8903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Нежеланите реакции, свързани с пропранолол са изброени по-долу по системо-органен клас и честота. Честотите са дефинирани като:</w:t>
      </w:r>
    </w:p>
    <w:p w14:paraId="5EC1150D" w14:textId="77777777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Много чести (≥1/10), чести (≥1/100 до &lt;1/10), нечести (≥1/1 000 до &lt;1/100); редки (≥1/10 000 до &lt;1/1 000), много редки (&lt;1/10 000), неизвестна честота (от наличните данни не може да бъде направена оценка).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4"/>
        <w:gridCol w:w="1406"/>
        <w:gridCol w:w="1424"/>
        <w:gridCol w:w="1701"/>
        <w:gridCol w:w="1606"/>
        <w:gridCol w:w="1479"/>
      </w:tblGrid>
      <w:tr w:rsidR="008F2A2A" w14:paraId="1E5BDDAF" w14:textId="77777777" w:rsidTr="008F2A2A">
        <w:tc>
          <w:tcPr>
            <w:tcW w:w="1777" w:type="dxa"/>
            <w:vAlign w:val="bottom"/>
          </w:tcPr>
          <w:p w14:paraId="2FE1EE58" w14:textId="567E6D43" w:rsidR="008F2A2A" w:rsidRPr="008F2A2A" w:rsidRDefault="008F2A2A" w:rsidP="008F2A2A">
            <w:r w:rsidRPr="008F2A2A">
              <w:rPr>
                <w:b/>
                <w:bCs/>
              </w:rPr>
              <w:t>Системо- органен клас</w:t>
            </w:r>
          </w:p>
        </w:tc>
        <w:tc>
          <w:tcPr>
            <w:tcW w:w="1439" w:type="dxa"/>
          </w:tcPr>
          <w:p w14:paraId="09816BA8" w14:textId="4B328220" w:rsidR="008F2A2A" w:rsidRPr="008F2A2A" w:rsidRDefault="008F2A2A" w:rsidP="008F2A2A">
            <w:r w:rsidRPr="008F2A2A">
              <w:rPr>
                <w:b/>
                <w:bCs/>
              </w:rPr>
              <w:t>Честота</w:t>
            </w:r>
          </w:p>
        </w:tc>
        <w:tc>
          <w:tcPr>
            <w:tcW w:w="1458" w:type="dxa"/>
          </w:tcPr>
          <w:p w14:paraId="450BBCA9" w14:textId="6BB6D6D8" w:rsidR="008F2A2A" w:rsidRPr="008F2A2A" w:rsidRDefault="008F2A2A" w:rsidP="008F2A2A">
            <w:r w:rsidRPr="008F2A2A">
              <w:rPr>
                <w:b/>
                <w:bCs/>
              </w:rPr>
              <w:t>Нечести</w:t>
            </w:r>
          </w:p>
        </w:tc>
        <w:tc>
          <w:tcPr>
            <w:tcW w:w="1743" w:type="dxa"/>
          </w:tcPr>
          <w:p w14:paraId="6E5174CF" w14:textId="605D18C6" w:rsidR="008F2A2A" w:rsidRPr="008F2A2A" w:rsidRDefault="008F2A2A" w:rsidP="008F2A2A">
            <w:r w:rsidRPr="008F2A2A">
              <w:rPr>
                <w:b/>
                <w:bCs/>
              </w:rPr>
              <w:t>Редки</w:t>
            </w:r>
          </w:p>
        </w:tc>
        <w:tc>
          <w:tcPr>
            <w:tcW w:w="1645" w:type="dxa"/>
          </w:tcPr>
          <w:p w14:paraId="45FB2C19" w14:textId="6E8C4AF4" w:rsidR="008F2A2A" w:rsidRPr="008F2A2A" w:rsidRDefault="008F2A2A" w:rsidP="008F2A2A">
            <w:r w:rsidRPr="008F2A2A">
              <w:rPr>
                <w:b/>
                <w:bCs/>
              </w:rPr>
              <w:t>Много редки</w:t>
            </w:r>
          </w:p>
        </w:tc>
        <w:tc>
          <w:tcPr>
            <w:tcW w:w="1514" w:type="dxa"/>
            <w:vAlign w:val="bottom"/>
          </w:tcPr>
          <w:p w14:paraId="4FD7A182" w14:textId="1724697B" w:rsidR="008F2A2A" w:rsidRPr="008F2A2A" w:rsidRDefault="008F2A2A" w:rsidP="008F2A2A">
            <w:r w:rsidRPr="008F2A2A">
              <w:rPr>
                <w:b/>
                <w:bCs/>
              </w:rPr>
              <w:t>С неизвестна честота</w:t>
            </w:r>
          </w:p>
        </w:tc>
      </w:tr>
      <w:tr w:rsidR="008F2A2A" w14:paraId="61495AE1" w14:textId="77777777" w:rsidTr="008F2A2A">
        <w:tc>
          <w:tcPr>
            <w:tcW w:w="1777" w:type="dxa"/>
            <w:vAlign w:val="bottom"/>
          </w:tcPr>
          <w:p w14:paraId="455433CD" w14:textId="6AEF4A74" w:rsidR="008F2A2A" w:rsidRPr="008F2A2A" w:rsidRDefault="008F2A2A" w:rsidP="008F2A2A">
            <w:r w:rsidRPr="008F2A2A">
              <w:rPr>
                <w:b/>
                <w:bCs/>
              </w:rPr>
              <w:t xml:space="preserve">Нарушения на кръвта и </w:t>
            </w:r>
            <w:r w:rsidRPr="008F2A2A">
              <w:rPr>
                <w:b/>
                <w:bCs/>
              </w:rPr>
              <w:lastRenderedPageBreak/>
              <w:t>лимфната система</w:t>
            </w:r>
          </w:p>
        </w:tc>
        <w:tc>
          <w:tcPr>
            <w:tcW w:w="1439" w:type="dxa"/>
          </w:tcPr>
          <w:p w14:paraId="4A542646" w14:textId="77777777" w:rsidR="008F2A2A" w:rsidRPr="008F2A2A" w:rsidRDefault="008F2A2A" w:rsidP="008F2A2A"/>
        </w:tc>
        <w:tc>
          <w:tcPr>
            <w:tcW w:w="1458" w:type="dxa"/>
          </w:tcPr>
          <w:p w14:paraId="194D2D5D" w14:textId="77777777" w:rsidR="008F2A2A" w:rsidRPr="008F2A2A" w:rsidRDefault="008F2A2A" w:rsidP="008F2A2A"/>
        </w:tc>
        <w:tc>
          <w:tcPr>
            <w:tcW w:w="1743" w:type="dxa"/>
          </w:tcPr>
          <w:p w14:paraId="40D20BC5" w14:textId="79083BDF" w:rsidR="008F2A2A" w:rsidRPr="008F2A2A" w:rsidRDefault="008F2A2A" w:rsidP="008F2A2A">
            <w:r w:rsidRPr="008F2A2A">
              <w:t>Тромбоцитопе- ния</w:t>
            </w:r>
          </w:p>
        </w:tc>
        <w:tc>
          <w:tcPr>
            <w:tcW w:w="1645" w:type="dxa"/>
          </w:tcPr>
          <w:p w14:paraId="551A6D3E" w14:textId="77777777" w:rsidR="008F2A2A" w:rsidRPr="008F2A2A" w:rsidRDefault="008F2A2A" w:rsidP="008F2A2A"/>
        </w:tc>
        <w:tc>
          <w:tcPr>
            <w:tcW w:w="1514" w:type="dxa"/>
          </w:tcPr>
          <w:p w14:paraId="71DDB3D8" w14:textId="4BEDE467" w:rsidR="008F2A2A" w:rsidRPr="008F2A2A" w:rsidRDefault="008F2A2A" w:rsidP="008F2A2A">
            <w:r w:rsidRPr="008F2A2A">
              <w:t>Агранулоцито- за</w:t>
            </w:r>
          </w:p>
        </w:tc>
      </w:tr>
      <w:tr w:rsidR="008F2A2A" w14:paraId="1F9913BF" w14:textId="77777777" w:rsidTr="008F2A2A">
        <w:tc>
          <w:tcPr>
            <w:tcW w:w="1777" w:type="dxa"/>
            <w:vAlign w:val="bottom"/>
          </w:tcPr>
          <w:p w14:paraId="56305BDA" w14:textId="00603025" w:rsidR="008F2A2A" w:rsidRPr="008F2A2A" w:rsidRDefault="008F2A2A" w:rsidP="008F2A2A">
            <w:r w:rsidRPr="008F2A2A">
              <w:rPr>
                <w:b/>
                <w:bCs/>
              </w:rPr>
              <w:t>Нарушения на имунната система</w:t>
            </w:r>
          </w:p>
        </w:tc>
        <w:tc>
          <w:tcPr>
            <w:tcW w:w="1439" w:type="dxa"/>
          </w:tcPr>
          <w:p w14:paraId="1840AC8A" w14:textId="77777777" w:rsidR="008F2A2A" w:rsidRPr="008F2A2A" w:rsidRDefault="008F2A2A" w:rsidP="008F2A2A"/>
        </w:tc>
        <w:tc>
          <w:tcPr>
            <w:tcW w:w="1458" w:type="dxa"/>
          </w:tcPr>
          <w:p w14:paraId="0427E4A8" w14:textId="77777777" w:rsidR="008F2A2A" w:rsidRPr="008F2A2A" w:rsidRDefault="008F2A2A" w:rsidP="008F2A2A"/>
        </w:tc>
        <w:tc>
          <w:tcPr>
            <w:tcW w:w="1743" w:type="dxa"/>
          </w:tcPr>
          <w:p w14:paraId="097BAF31" w14:textId="05239E10" w:rsidR="008F2A2A" w:rsidRPr="008F2A2A" w:rsidRDefault="008F2A2A" w:rsidP="008F2A2A">
            <w:r w:rsidRPr="008F2A2A">
              <w:t>Ангиоедем</w:t>
            </w:r>
          </w:p>
        </w:tc>
        <w:tc>
          <w:tcPr>
            <w:tcW w:w="1645" w:type="dxa"/>
          </w:tcPr>
          <w:p w14:paraId="68FC9A14" w14:textId="77777777" w:rsidR="008F2A2A" w:rsidRPr="008F2A2A" w:rsidRDefault="008F2A2A" w:rsidP="008F2A2A"/>
        </w:tc>
        <w:tc>
          <w:tcPr>
            <w:tcW w:w="1514" w:type="dxa"/>
          </w:tcPr>
          <w:p w14:paraId="3DAFE2B5" w14:textId="77777777" w:rsidR="008F2A2A" w:rsidRPr="008F2A2A" w:rsidRDefault="008F2A2A" w:rsidP="008F2A2A"/>
        </w:tc>
      </w:tr>
      <w:tr w:rsidR="008F2A2A" w14:paraId="68AA0AB9" w14:textId="77777777" w:rsidTr="008F2A2A">
        <w:trPr>
          <w:trHeight w:val="9376"/>
        </w:trPr>
        <w:tc>
          <w:tcPr>
            <w:tcW w:w="1777" w:type="dxa"/>
          </w:tcPr>
          <w:p w14:paraId="4E973FA2" w14:textId="42737C25" w:rsidR="008F2A2A" w:rsidRPr="008F2A2A" w:rsidRDefault="008F2A2A" w:rsidP="008F2A2A">
            <w:r w:rsidRPr="008F2A2A">
              <w:rPr>
                <w:b/>
                <w:bCs/>
              </w:rPr>
              <w:t>Нарушения на метаболизма и храненето</w:t>
            </w:r>
          </w:p>
        </w:tc>
        <w:tc>
          <w:tcPr>
            <w:tcW w:w="1439" w:type="dxa"/>
          </w:tcPr>
          <w:p w14:paraId="1B70FB00" w14:textId="77777777" w:rsidR="008F2A2A" w:rsidRPr="008F2A2A" w:rsidRDefault="008F2A2A" w:rsidP="008F2A2A"/>
        </w:tc>
        <w:tc>
          <w:tcPr>
            <w:tcW w:w="1458" w:type="dxa"/>
          </w:tcPr>
          <w:p w14:paraId="5859FDF9" w14:textId="77777777" w:rsidR="008F2A2A" w:rsidRPr="008F2A2A" w:rsidRDefault="008F2A2A" w:rsidP="008F2A2A"/>
        </w:tc>
        <w:tc>
          <w:tcPr>
            <w:tcW w:w="1743" w:type="dxa"/>
          </w:tcPr>
          <w:p w14:paraId="0F712488" w14:textId="77777777" w:rsidR="008F2A2A" w:rsidRPr="008F2A2A" w:rsidRDefault="008F2A2A" w:rsidP="008F2A2A"/>
        </w:tc>
        <w:tc>
          <w:tcPr>
            <w:tcW w:w="1645" w:type="dxa"/>
            <w:vAlign w:val="bottom"/>
          </w:tcPr>
          <w:p w14:paraId="2AECDB3C" w14:textId="77777777" w:rsidR="008F2A2A" w:rsidRPr="008F2A2A" w:rsidRDefault="008F2A2A" w:rsidP="008F2A2A">
            <w:pPr>
              <w:rPr>
                <w:sz w:val="24"/>
                <w:szCs w:val="24"/>
                <w:lang w:eastAsia="bg-BG"/>
              </w:rPr>
            </w:pPr>
            <w:r w:rsidRPr="008F2A2A">
              <w:t>Съобщавани са хипогликемия при новородени, бебета, деца, пациенти в старческа възраст, пациенти на хемодиализа,</w:t>
            </w:r>
            <w:r>
              <w:t xml:space="preserve"> </w:t>
            </w:r>
            <w:r w:rsidRPr="008F2A2A">
              <w:rPr>
                <w:lang w:eastAsia="bg-BG"/>
              </w:rPr>
              <w:t>пациенти, които са на съпътстваща антидиабетна терапия, пациенти на продължително гладуване и при пациенти с хронично чернодробно заболяване.</w:t>
            </w:r>
          </w:p>
          <w:p w14:paraId="02933E8A" w14:textId="2BB7A47F" w:rsidR="008F2A2A" w:rsidRPr="008F2A2A" w:rsidRDefault="008F2A2A" w:rsidP="008F2A2A">
            <w:pPr>
              <w:rPr>
                <w:sz w:val="24"/>
                <w:szCs w:val="24"/>
                <w:lang w:eastAsia="bg-BG"/>
              </w:rPr>
            </w:pPr>
            <w:r w:rsidRPr="008F2A2A">
              <w:rPr>
                <w:lang w:eastAsia="bg-BG"/>
              </w:rPr>
              <w:t>Промени в липидния метаболизъм (промени в концентрациите на триглицеридите и холестерола в кръвта). Тежката хипогликемия може рядко да доведе до припадъци или кома.</w:t>
            </w:r>
          </w:p>
        </w:tc>
        <w:tc>
          <w:tcPr>
            <w:tcW w:w="1514" w:type="dxa"/>
          </w:tcPr>
          <w:p w14:paraId="65D2F265" w14:textId="77777777" w:rsidR="008F2A2A" w:rsidRPr="008F2A2A" w:rsidRDefault="008F2A2A" w:rsidP="008F2A2A"/>
        </w:tc>
      </w:tr>
      <w:tr w:rsidR="008F2A2A" w14:paraId="10C029BC" w14:textId="77777777" w:rsidTr="008F2A2A">
        <w:tc>
          <w:tcPr>
            <w:tcW w:w="1777" w:type="dxa"/>
          </w:tcPr>
          <w:p w14:paraId="5E6A399D" w14:textId="2654D0B5" w:rsidR="008F2A2A" w:rsidRPr="008F2A2A" w:rsidRDefault="008F2A2A" w:rsidP="008F2A2A">
            <w:r w:rsidRPr="008F2A2A">
              <w:rPr>
                <w:b/>
                <w:bCs/>
              </w:rPr>
              <w:t>Психични нарушения</w:t>
            </w:r>
          </w:p>
        </w:tc>
        <w:tc>
          <w:tcPr>
            <w:tcW w:w="1439" w:type="dxa"/>
          </w:tcPr>
          <w:p w14:paraId="2C313725" w14:textId="1ED764A8" w:rsidR="008F2A2A" w:rsidRPr="008F2A2A" w:rsidRDefault="008F2A2A" w:rsidP="008F2A2A">
            <w:r w:rsidRPr="008F2A2A">
              <w:t xml:space="preserve">Нарушения на съня, </w:t>
            </w:r>
            <w:r w:rsidRPr="008F2A2A">
              <w:lastRenderedPageBreak/>
              <w:t>кошмари</w:t>
            </w:r>
          </w:p>
        </w:tc>
        <w:tc>
          <w:tcPr>
            <w:tcW w:w="1458" w:type="dxa"/>
          </w:tcPr>
          <w:p w14:paraId="771D4AA0" w14:textId="77777777" w:rsidR="008F2A2A" w:rsidRPr="008F2A2A" w:rsidRDefault="008F2A2A" w:rsidP="008F2A2A"/>
        </w:tc>
        <w:tc>
          <w:tcPr>
            <w:tcW w:w="1743" w:type="dxa"/>
            <w:vAlign w:val="bottom"/>
          </w:tcPr>
          <w:p w14:paraId="39C4C134" w14:textId="483D3DA6" w:rsidR="008F2A2A" w:rsidRPr="008F2A2A" w:rsidRDefault="008F2A2A" w:rsidP="008F2A2A">
            <w:r w:rsidRPr="008F2A2A">
              <w:t xml:space="preserve">Халюцинации, психози, </w:t>
            </w:r>
            <w:r w:rsidRPr="008F2A2A">
              <w:lastRenderedPageBreak/>
              <w:t>промени в настроението</w:t>
            </w:r>
          </w:p>
        </w:tc>
        <w:tc>
          <w:tcPr>
            <w:tcW w:w="1645" w:type="dxa"/>
          </w:tcPr>
          <w:p w14:paraId="4C34C314" w14:textId="77777777" w:rsidR="008F2A2A" w:rsidRPr="008F2A2A" w:rsidRDefault="008F2A2A" w:rsidP="008F2A2A"/>
        </w:tc>
        <w:tc>
          <w:tcPr>
            <w:tcW w:w="1514" w:type="dxa"/>
          </w:tcPr>
          <w:p w14:paraId="1F2CB248" w14:textId="7072E11E" w:rsidR="008F2A2A" w:rsidRPr="008F2A2A" w:rsidRDefault="008F2A2A" w:rsidP="008F2A2A">
            <w:r w:rsidRPr="008F2A2A">
              <w:t>Депресия</w:t>
            </w:r>
          </w:p>
        </w:tc>
      </w:tr>
      <w:tr w:rsidR="008F2A2A" w14:paraId="7EA5559D" w14:textId="77777777" w:rsidTr="008F2A2A">
        <w:tc>
          <w:tcPr>
            <w:tcW w:w="1777" w:type="dxa"/>
          </w:tcPr>
          <w:p w14:paraId="370DBFE7" w14:textId="0233379C" w:rsidR="008F2A2A" w:rsidRPr="008F2A2A" w:rsidRDefault="008F2A2A" w:rsidP="008F2A2A">
            <w:r w:rsidRPr="008F2A2A">
              <w:rPr>
                <w:b/>
                <w:bCs/>
              </w:rPr>
              <w:t>Нарушения на нервната система</w:t>
            </w:r>
          </w:p>
        </w:tc>
        <w:tc>
          <w:tcPr>
            <w:tcW w:w="1439" w:type="dxa"/>
          </w:tcPr>
          <w:p w14:paraId="2587DA02" w14:textId="77777777" w:rsidR="008F2A2A" w:rsidRPr="008F2A2A" w:rsidRDefault="008F2A2A" w:rsidP="008F2A2A"/>
        </w:tc>
        <w:tc>
          <w:tcPr>
            <w:tcW w:w="1458" w:type="dxa"/>
          </w:tcPr>
          <w:p w14:paraId="67C35771" w14:textId="77777777" w:rsidR="008F2A2A" w:rsidRPr="008F2A2A" w:rsidRDefault="008F2A2A" w:rsidP="008F2A2A"/>
        </w:tc>
        <w:tc>
          <w:tcPr>
            <w:tcW w:w="1743" w:type="dxa"/>
          </w:tcPr>
          <w:p w14:paraId="4BFE6649" w14:textId="01E90AF5" w:rsidR="008F2A2A" w:rsidRPr="008F2A2A" w:rsidRDefault="008F2A2A" w:rsidP="008F2A2A">
            <w:r w:rsidRPr="008F2A2A">
              <w:t>Обърканост, загуба на паметта, парестезия, замаяност</w:t>
            </w:r>
          </w:p>
        </w:tc>
        <w:tc>
          <w:tcPr>
            <w:tcW w:w="1645" w:type="dxa"/>
            <w:vAlign w:val="bottom"/>
          </w:tcPr>
          <w:p w14:paraId="79A6EF5C" w14:textId="6455FDB8" w:rsidR="008F2A2A" w:rsidRPr="008F2A2A" w:rsidRDefault="008F2A2A" w:rsidP="008F2A2A">
            <w:r w:rsidRPr="008F2A2A">
              <w:t>Изолирани съобщения за миастения гравис- подобен синдром или обостряне на миастения гравис</w:t>
            </w:r>
          </w:p>
        </w:tc>
        <w:tc>
          <w:tcPr>
            <w:tcW w:w="1514" w:type="dxa"/>
          </w:tcPr>
          <w:p w14:paraId="14398B65" w14:textId="51F36CD5" w:rsidR="008F2A2A" w:rsidRPr="008F2A2A" w:rsidRDefault="008F2A2A" w:rsidP="008F2A2A">
            <w:r w:rsidRPr="008F2A2A">
              <w:t>Главоболие, припадъци, звързани с хипогликемия</w:t>
            </w:r>
          </w:p>
        </w:tc>
      </w:tr>
      <w:tr w:rsidR="008F2A2A" w14:paraId="7DA67C78" w14:textId="77777777" w:rsidTr="008F2A2A">
        <w:tc>
          <w:tcPr>
            <w:tcW w:w="1777" w:type="dxa"/>
          </w:tcPr>
          <w:p w14:paraId="27D26385" w14:textId="02A2F648" w:rsidR="008F2A2A" w:rsidRPr="008F2A2A" w:rsidRDefault="008F2A2A" w:rsidP="008F2A2A">
            <w:r w:rsidRPr="008F2A2A">
              <w:rPr>
                <w:b/>
                <w:bCs/>
              </w:rPr>
              <w:t>Нарушения на окото</w:t>
            </w:r>
          </w:p>
        </w:tc>
        <w:tc>
          <w:tcPr>
            <w:tcW w:w="1439" w:type="dxa"/>
          </w:tcPr>
          <w:p w14:paraId="4D40A5FB" w14:textId="77777777" w:rsidR="008F2A2A" w:rsidRPr="008F2A2A" w:rsidRDefault="008F2A2A" w:rsidP="008F2A2A"/>
        </w:tc>
        <w:tc>
          <w:tcPr>
            <w:tcW w:w="1458" w:type="dxa"/>
          </w:tcPr>
          <w:p w14:paraId="442C5EA8" w14:textId="77777777" w:rsidR="008F2A2A" w:rsidRPr="008F2A2A" w:rsidRDefault="008F2A2A" w:rsidP="008F2A2A"/>
        </w:tc>
        <w:tc>
          <w:tcPr>
            <w:tcW w:w="1743" w:type="dxa"/>
            <w:vAlign w:val="bottom"/>
          </w:tcPr>
          <w:p w14:paraId="75383004" w14:textId="40CEE5E6" w:rsidR="008F2A2A" w:rsidRPr="008F2A2A" w:rsidRDefault="008F2A2A" w:rsidP="008F2A2A">
            <w:r w:rsidRPr="008F2A2A">
              <w:t>Очна сухота, зрителни нарушения</w:t>
            </w:r>
          </w:p>
        </w:tc>
        <w:tc>
          <w:tcPr>
            <w:tcW w:w="1645" w:type="dxa"/>
          </w:tcPr>
          <w:p w14:paraId="0796F341" w14:textId="77777777" w:rsidR="008F2A2A" w:rsidRPr="008F2A2A" w:rsidRDefault="008F2A2A" w:rsidP="008F2A2A"/>
        </w:tc>
        <w:tc>
          <w:tcPr>
            <w:tcW w:w="1514" w:type="dxa"/>
          </w:tcPr>
          <w:p w14:paraId="44FECA5F" w14:textId="5C5675CF" w:rsidR="008F2A2A" w:rsidRPr="008F2A2A" w:rsidRDefault="008F2A2A" w:rsidP="008F2A2A">
            <w:r w:rsidRPr="008F2A2A">
              <w:t>Конюнктивит</w:t>
            </w:r>
          </w:p>
        </w:tc>
      </w:tr>
      <w:tr w:rsidR="008F2A2A" w14:paraId="0E2113D7" w14:textId="77777777" w:rsidTr="008F2A2A">
        <w:tc>
          <w:tcPr>
            <w:tcW w:w="1777" w:type="dxa"/>
          </w:tcPr>
          <w:p w14:paraId="7701FF40" w14:textId="7BF25B17" w:rsidR="008F2A2A" w:rsidRPr="008F2A2A" w:rsidRDefault="008F2A2A" w:rsidP="008F2A2A">
            <w:r w:rsidRPr="008F2A2A">
              <w:rPr>
                <w:b/>
                <w:bCs/>
              </w:rPr>
              <w:t>Сърдечни нарушения</w:t>
            </w:r>
          </w:p>
        </w:tc>
        <w:tc>
          <w:tcPr>
            <w:tcW w:w="1439" w:type="dxa"/>
          </w:tcPr>
          <w:p w14:paraId="22AA3D9A" w14:textId="1B9D79D8" w:rsidR="008F2A2A" w:rsidRPr="008F2A2A" w:rsidRDefault="008F2A2A" w:rsidP="008F2A2A">
            <w:r w:rsidRPr="008F2A2A">
              <w:t>Брадикардия, студени крайници,</w:t>
            </w:r>
          </w:p>
        </w:tc>
        <w:tc>
          <w:tcPr>
            <w:tcW w:w="1458" w:type="dxa"/>
          </w:tcPr>
          <w:p w14:paraId="780A0074" w14:textId="77777777" w:rsidR="008F2A2A" w:rsidRPr="008F2A2A" w:rsidRDefault="008F2A2A" w:rsidP="008F2A2A"/>
        </w:tc>
        <w:tc>
          <w:tcPr>
            <w:tcW w:w="1743" w:type="dxa"/>
            <w:vAlign w:val="bottom"/>
          </w:tcPr>
          <w:p w14:paraId="32C0553B" w14:textId="035809F2" w:rsidR="008F2A2A" w:rsidRPr="008F2A2A" w:rsidRDefault="008F2A2A" w:rsidP="008F2A2A">
            <w:r w:rsidRPr="008F2A2A">
              <w:t>Влошаване на сърдечна недостатъчност, преципитиране на сърдечен блок, ортостатична хипотония, която може да бъде свързана със синкоп</w:t>
            </w:r>
          </w:p>
        </w:tc>
        <w:tc>
          <w:tcPr>
            <w:tcW w:w="1645" w:type="dxa"/>
          </w:tcPr>
          <w:p w14:paraId="17929247" w14:textId="77777777" w:rsidR="008F2A2A" w:rsidRPr="008F2A2A" w:rsidRDefault="008F2A2A" w:rsidP="008F2A2A"/>
        </w:tc>
        <w:tc>
          <w:tcPr>
            <w:tcW w:w="1514" w:type="dxa"/>
          </w:tcPr>
          <w:p w14:paraId="6D025919" w14:textId="63823E69" w:rsidR="008F2A2A" w:rsidRPr="008F2A2A" w:rsidRDefault="008F2A2A" w:rsidP="008F2A2A">
            <w:r w:rsidRPr="008F2A2A">
              <w:t>Влошаване на пристъпите на ангина пекторис</w:t>
            </w:r>
          </w:p>
        </w:tc>
      </w:tr>
      <w:tr w:rsidR="008F2A2A" w14:paraId="22ACE4CB" w14:textId="77777777" w:rsidTr="008F2A2A">
        <w:tc>
          <w:tcPr>
            <w:tcW w:w="1777" w:type="dxa"/>
          </w:tcPr>
          <w:p w14:paraId="2602C70B" w14:textId="16A13683" w:rsidR="008F2A2A" w:rsidRPr="008F2A2A" w:rsidRDefault="008F2A2A" w:rsidP="008F2A2A">
            <w:r w:rsidRPr="008F2A2A">
              <w:rPr>
                <w:b/>
                <w:bCs/>
              </w:rPr>
              <w:t>Съдови нарушения</w:t>
            </w:r>
          </w:p>
        </w:tc>
        <w:tc>
          <w:tcPr>
            <w:tcW w:w="1439" w:type="dxa"/>
          </w:tcPr>
          <w:p w14:paraId="539AC3B7" w14:textId="41B4F670" w:rsidR="008F2A2A" w:rsidRPr="008F2A2A" w:rsidRDefault="008F2A2A" w:rsidP="008F2A2A">
            <w:r w:rsidRPr="008F2A2A">
              <w:t>Синдром на Рейно</w:t>
            </w:r>
          </w:p>
        </w:tc>
        <w:tc>
          <w:tcPr>
            <w:tcW w:w="1458" w:type="dxa"/>
          </w:tcPr>
          <w:p w14:paraId="735331B2" w14:textId="77777777" w:rsidR="008F2A2A" w:rsidRPr="008F2A2A" w:rsidRDefault="008F2A2A" w:rsidP="008F2A2A"/>
        </w:tc>
        <w:tc>
          <w:tcPr>
            <w:tcW w:w="1743" w:type="dxa"/>
            <w:vAlign w:val="bottom"/>
          </w:tcPr>
          <w:p w14:paraId="59A68148" w14:textId="565EFF07" w:rsidR="008F2A2A" w:rsidRPr="008F2A2A" w:rsidRDefault="008F2A2A" w:rsidP="008F2A2A">
            <w:r w:rsidRPr="008F2A2A">
              <w:t>Обостряне на клаудикацио интермитенс</w:t>
            </w:r>
          </w:p>
        </w:tc>
        <w:tc>
          <w:tcPr>
            <w:tcW w:w="1645" w:type="dxa"/>
          </w:tcPr>
          <w:p w14:paraId="63BA9EAA" w14:textId="77777777" w:rsidR="008F2A2A" w:rsidRPr="008F2A2A" w:rsidRDefault="008F2A2A" w:rsidP="008F2A2A"/>
        </w:tc>
        <w:tc>
          <w:tcPr>
            <w:tcW w:w="1514" w:type="dxa"/>
          </w:tcPr>
          <w:p w14:paraId="0965D519" w14:textId="77777777" w:rsidR="008F2A2A" w:rsidRPr="008F2A2A" w:rsidRDefault="008F2A2A" w:rsidP="008F2A2A"/>
        </w:tc>
      </w:tr>
      <w:tr w:rsidR="008F2A2A" w14:paraId="25FC0574" w14:textId="77777777" w:rsidTr="008F2A2A">
        <w:tc>
          <w:tcPr>
            <w:tcW w:w="1777" w:type="dxa"/>
          </w:tcPr>
          <w:p w14:paraId="5DD208E0" w14:textId="156A8F4E" w:rsidR="008F2A2A" w:rsidRPr="008F2A2A" w:rsidRDefault="008F2A2A" w:rsidP="008F2A2A">
            <w:r w:rsidRPr="008F2A2A">
              <w:rPr>
                <w:b/>
                <w:bCs/>
              </w:rPr>
              <w:t>Респираторни, гръдни и медиастинални нарушения</w:t>
            </w:r>
          </w:p>
        </w:tc>
        <w:tc>
          <w:tcPr>
            <w:tcW w:w="1439" w:type="dxa"/>
          </w:tcPr>
          <w:p w14:paraId="5DAB5E01" w14:textId="34085C0F" w:rsidR="008F2A2A" w:rsidRPr="008F2A2A" w:rsidRDefault="008F2A2A" w:rsidP="008F2A2A">
            <w:r w:rsidRPr="008F2A2A">
              <w:t>Задух</w:t>
            </w:r>
          </w:p>
        </w:tc>
        <w:tc>
          <w:tcPr>
            <w:tcW w:w="1458" w:type="dxa"/>
          </w:tcPr>
          <w:p w14:paraId="12422408" w14:textId="77777777" w:rsidR="008F2A2A" w:rsidRPr="008F2A2A" w:rsidRDefault="008F2A2A" w:rsidP="008F2A2A"/>
        </w:tc>
        <w:tc>
          <w:tcPr>
            <w:tcW w:w="1743" w:type="dxa"/>
          </w:tcPr>
          <w:p w14:paraId="0E6D0E51" w14:textId="3FC0722F" w:rsidR="008F2A2A" w:rsidRPr="008F2A2A" w:rsidRDefault="008F2A2A" w:rsidP="008F2A2A">
            <w:r w:rsidRPr="008F2A2A">
              <w:t>Бронхоспазъм при пациенти с бронхиална астма или анамнеза за астматични оплаквания, понякога с фатален изход</w:t>
            </w:r>
          </w:p>
        </w:tc>
        <w:tc>
          <w:tcPr>
            <w:tcW w:w="1645" w:type="dxa"/>
          </w:tcPr>
          <w:p w14:paraId="08CAF0E0" w14:textId="77777777" w:rsidR="008F2A2A" w:rsidRPr="008F2A2A" w:rsidRDefault="008F2A2A" w:rsidP="008F2A2A"/>
        </w:tc>
        <w:tc>
          <w:tcPr>
            <w:tcW w:w="1514" w:type="dxa"/>
          </w:tcPr>
          <w:p w14:paraId="6C8784BC" w14:textId="54E93A88" w:rsidR="008F2A2A" w:rsidRPr="008F2A2A" w:rsidRDefault="008F2A2A" w:rsidP="008F2A2A">
            <w:r w:rsidRPr="008F2A2A">
              <w:t>Диспнея</w:t>
            </w:r>
          </w:p>
        </w:tc>
      </w:tr>
      <w:tr w:rsidR="008F2A2A" w14:paraId="22B4FEFA" w14:textId="77777777" w:rsidTr="008F2A2A">
        <w:tc>
          <w:tcPr>
            <w:tcW w:w="1777" w:type="dxa"/>
          </w:tcPr>
          <w:p w14:paraId="5069EF02" w14:textId="25AA2368" w:rsidR="008F2A2A" w:rsidRPr="008F2A2A" w:rsidRDefault="008F2A2A" w:rsidP="008F2A2A">
            <w:r w:rsidRPr="008F2A2A">
              <w:rPr>
                <w:b/>
                <w:bCs/>
              </w:rPr>
              <w:t>Стомашно- чревни нарушения</w:t>
            </w:r>
          </w:p>
        </w:tc>
        <w:tc>
          <w:tcPr>
            <w:tcW w:w="1439" w:type="dxa"/>
          </w:tcPr>
          <w:p w14:paraId="0B02FE97" w14:textId="77777777" w:rsidR="008F2A2A" w:rsidRPr="008F2A2A" w:rsidRDefault="008F2A2A" w:rsidP="008F2A2A"/>
        </w:tc>
        <w:tc>
          <w:tcPr>
            <w:tcW w:w="1458" w:type="dxa"/>
            <w:vAlign w:val="bottom"/>
          </w:tcPr>
          <w:p w14:paraId="0CED98B0" w14:textId="0B1D213B" w:rsidR="008F2A2A" w:rsidRPr="008F2A2A" w:rsidRDefault="008F2A2A" w:rsidP="008F2A2A">
            <w:r w:rsidRPr="008F2A2A">
              <w:t>Стомашно- чревни нарушения, като гадене, повръщане, диария</w:t>
            </w:r>
          </w:p>
        </w:tc>
        <w:tc>
          <w:tcPr>
            <w:tcW w:w="1743" w:type="dxa"/>
          </w:tcPr>
          <w:p w14:paraId="12074366" w14:textId="77777777" w:rsidR="008F2A2A" w:rsidRPr="008F2A2A" w:rsidRDefault="008F2A2A" w:rsidP="008F2A2A"/>
        </w:tc>
        <w:tc>
          <w:tcPr>
            <w:tcW w:w="1645" w:type="dxa"/>
          </w:tcPr>
          <w:p w14:paraId="3BB16105" w14:textId="77777777" w:rsidR="008F2A2A" w:rsidRPr="008F2A2A" w:rsidRDefault="008F2A2A" w:rsidP="008F2A2A"/>
        </w:tc>
        <w:tc>
          <w:tcPr>
            <w:tcW w:w="1514" w:type="dxa"/>
          </w:tcPr>
          <w:p w14:paraId="1EE3C2CD" w14:textId="77907CBE" w:rsidR="008F2A2A" w:rsidRPr="008F2A2A" w:rsidRDefault="008F2A2A" w:rsidP="008F2A2A">
            <w:r w:rsidRPr="008F2A2A">
              <w:t>Констипация, сухата в устатата</w:t>
            </w:r>
          </w:p>
        </w:tc>
      </w:tr>
      <w:tr w:rsidR="008F2A2A" w14:paraId="58B0A3A8" w14:textId="77777777" w:rsidTr="008F2A2A">
        <w:tc>
          <w:tcPr>
            <w:tcW w:w="1777" w:type="dxa"/>
          </w:tcPr>
          <w:p w14:paraId="14A681C2" w14:textId="7D0E7A95" w:rsidR="008F2A2A" w:rsidRPr="008F2A2A" w:rsidRDefault="008F2A2A" w:rsidP="008F2A2A">
            <w:r w:rsidRPr="008F2A2A">
              <w:rPr>
                <w:b/>
                <w:bCs/>
              </w:rPr>
              <w:lastRenderedPageBreak/>
              <w:t>Нарушения на кожата и подкожната тъкан</w:t>
            </w:r>
          </w:p>
        </w:tc>
        <w:tc>
          <w:tcPr>
            <w:tcW w:w="1439" w:type="dxa"/>
          </w:tcPr>
          <w:p w14:paraId="52CCA726" w14:textId="77777777" w:rsidR="008F2A2A" w:rsidRPr="008F2A2A" w:rsidRDefault="008F2A2A" w:rsidP="008F2A2A"/>
        </w:tc>
        <w:tc>
          <w:tcPr>
            <w:tcW w:w="1458" w:type="dxa"/>
          </w:tcPr>
          <w:p w14:paraId="10353513" w14:textId="77777777" w:rsidR="008F2A2A" w:rsidRPr="008F2A2A" w:rsidRDefault="008F2A2A" w:rsidP="008F2A2A"/>
        </w:tc>
        <w:tc>
          <w:tcPr>
            <w:tcW w:w="1743" w:type="dxa"/>
            <w:vAlign w:val="bottom"/>
          </w:tcPr>
          <w:p w14:paraId="6441CC54" w14:textId="2F81A62F" w:rsidR="008F2A2A" w:rsidRPr="008F2A2A" w:rsidRDefault="008F2A2A" w:rsidP="008F2A2A">
            <w:r w:rsidRPr="008F2A2A">
              <w:t>Пурпура, алопеция, псориазиформен и кожни реакции, обостряне на псориазис, кожни обриви</w:t>
            </w:r>
          </w:p>
        </w:tc>
        <w:tc>
          <w:tcPr>
            <w:tcW w:w="1645" w:type="dxa"/>
          </w:tcPr>
          <w:p w14:paraId="4B4895B8" w14:textId="1BD11CE3" w:rsidR="008F2A2A" w:rsidRPr="008F2A2A" w:rsidRDefault="008F2A2A" w:rsidP="008F2A2A">
            <w:r w:rsidRPr="008F2A2A">
              <w:t>Има съобщения за изолирани случаи на хиперхидроза</w:t>
            </w:r>
          </w:p>
        </w:tc>
        <w:tc>
          <w:tcPr>
            <w:tcW w:w="1514" w:type="dxa"/>
          </w:tcPr>
          <w:p w14:paraId="3AA4A091" w14:textId="77777777" w:rsidR="008F2A2A" w:rsidRPr="008F2A2A" w:rsidRDefault="008F2A2A" w:rsidP="008F2A2A"/>
        </w:tc>
      </w:tr>
      <w:tr w:rsidR="008F2A2A" w14:paraId="155CCAED" w14:textId="77777777" w:rsidTr="008F2A2A">
        <w:tc>
          <w:tcPr>
            <w:tcW w:w="1777" w:type="dxa"/>
            <w:vAlign w:val="bottom"/>
          </w:tcPr>
          <w:p w14:paraId="0B833ABA" w14:textId="404DF2B4" w:rsidR="008F2A2A" w:rsidRPr="008F2A2A" w:rsidRDefault="008F2A2A" w:rsidP="008F2A2A">
            <w:r w:rsidRPr="008F2A2A">
              <w:rPr>
                <w:b/>
                <w:bCs/>
              </w:rPr>
              <w:t>Нарушения на мускулно- скелетната система и съединителната тъкан</w:t>
            </w:r>
          </w:p>
        </w:tc>
        <w:tc>
          <w:tcPr>
            <w:tcW w:w="1439" w:type="dxa"/>
          </w:tcPr>
          <w:p w14:paraId="4470AB1E" w14:textId="77777777" w:rsidR="008F2A2A" w:rsidRPr="008F2A2A" w:rsidRDefault="008F2A2A" w:rsidP="008F2A2A"/>
        </w:tc>
        <w:tc>
          <w:tcPr>
            <w:tcW w:w="1458" w:type="dxa"/>
          </w:tcPr>
          <w:p w14:paraId="3161648F" w14:textId="77777777" w:rsidR="008F2A2A" w:rsidRPr="008F2A2A" w:rsidRDefault="008F2A2A" w:rsidP="008F2A2A"/>
        </w:tc>
        <w:tc>
          <w:tcPr>
            <w:tcW w:w="1743" w:type="dxa"/>
          </w:tcPr>
          <w:p w14:paraId="005B8072" w14:textId="77777777" w:rsidR="008F2A2A" w:rsidRPr="008F2A2A" w:rsidRDefault="008F2A2A" w:rsidP="008F2A2A"/>
        </w:tc>
        <w:tc>
          <w:tcPr>
            <w:tcW w:w="1645" w:type="dxa"/>
          </w:tcPr>
          <w:p w14:paraId="515B3542" w14:textId="77777777" w:rsidR="008F2A2A" w:rsidRPr="008F2A2A" w:rsidRDefault="008F2A2A" w:rsidP="008F2A2A"/>
        </w:tc>
        <w:tc>
          <w:tcPr>
            <w:tcW w:w="1514" w:type="dxa"/>
          </w:tcPr>
          <w:p w14:paraId="33170663" w14:textId="0964ACC0" w:rsidR="008F2A2A" w:rsidRPr="008F2A2A" w:rsidRDefault="008F2A2A" w:rsidP="008F2A2A">
            <w:r w:rsidRPr="008F2A2A">
              <w:t>Артралгия</w:t>
            </w:r>
          </w:p>
        </w:tc>
      </w:tr>
      <w:tr w:rsidR="008F2A2A" w14:paraId="4492B8AF" w14:textId="77777777" w:rsidTr="008F2A2A">
        <w:tc>
          <w:tcPr>
            <w:tcW w:w="1777" w:type="dxa"/>
          </w:tcPr>
          <w:p w14:paraId="23E19A1A" w14:textId="7643EE8E" w:rsidR="008F2A2A" w:rsidRPr="008F2A2A" w:rsidRDefault="008F2A2A" w:rsidP="008F2A2A">
            <w:r w:rsidRPr="008F2A2A">
              <w:rPr>
                <w:b/>
                <w:bCs/>
              </w:rPr>
              <w:t>Бъбречни и уринарни нарушения</w:t>
            </w:r>
          </w:p>
        </w:tc>
        <w:tc>
          <w:tcPr>
            <w:tcW w:w="1439" w:type="dxa"/>
          </w:tcPr>
          <w:p w14:paraId="20E18D2C" w14:textId="77777777" w:rsidR="008F2A2A" w:rsidRPr="008F2A2A" w:rsidRDefault="008F2A2A" w:rsidP="008F2A2A"/>
        </w:tc>
        <w:tc>
          <w:tcPr>
            <w:tcW w:w="1458" w:type="dxa"/>
          </w:tcPr>
          <w:p w14:paraId="07F18D88" w14:textId="77777777" w:rsidR="008F2A2A" w:rsidRPr="008F2A2A" w:rsidRDefault="008F2A2A" w:rsidP="008F2A2A"/>
        </w:tc>
        <w:tc>
          <w:tcPr>
            <w:tcW w:w="1743" w:type="dxa"/>
          </w:tcPr>
          <w:p w14:paraId="58CF44E4" w14:textId="77777777" w:rsidR="008F2A2A" w:rsidRPr="008F2A2A" w:rsidRDefault="008F2A2A" w:rsidP="008F2A2A"/>
        </w:tc>
        <w:tc>
          <w:tcPr>
            <w:tcW w:w="1645" w:type="dxa"/>
          </w:tcPr>
          <w:p w14:paraId="2292B84B" w14:textId="77777777" w:rsidR="008F2A2A" w:rsidRPr="008F2A2A" w:rsidRDefault="008F2A2A" w:rsidP="008F2A2A"/>
        </w:tc>
        <w:tc>
          <w:tcPr>
            <w:tcW w:w="1514" w:type="dxa"/>
            <w:vAlign w:val="bottom"/>
          </w:tcPr>
          <w:p w14:paraId="71B4EA70" w14:textId="2723AF41" w:rsidR="008F2A2A" w:rsidRPr="008F2A2A" w:rsidRDefault="008F2A2A" w:rsidP="008F2A2A">
            <w:r w:rsidRPr="008F2A2A">
              <w:t xml:space="preserve">Намален бъбречен кръвоток и </w:t>
            </w:r>
            <w:r w:rsidRPr="008F2A2A">
              <w:rPr>
                <w:lang w:val="en-US"/>
              </w:rPr>
              <w:t>GFR</w:t>
            </w:r>
          </w:p>
        </w:tc>
      </w:tr>
      <w:tr w:rsidR="008F2A2A" w14:paraId="7CB609CB" w14:textId="77777777" w:rsidTr="008F2A2A">
        <w:tc>
          <w:tcPr>
            <w:tcW w:w="1777" w:type="dxa"/>
            <w:vAlign w:val="bottom"/>
          </w:tcPr>
          <w:p w14:paraId="4BC3DDED" w14:textId="1F071939" w:rsidR="008F2A2A" w:rsidRPr="008F2A2A" w:rsidRDefault="008F2A2A" w:rsidP="008F2A2A">
            <w:r w:rsidRPr="008F2A2A">
              <w:rPr>
                <w:b/>
                <w:bCs/>
              </w:rPr>
              <w:t>Нарушения на репродуктивнат а система и гърдата</w:t>
            </w:r>
          </w:p>
        </w:tc>
        <w:tc>
          <w:tcPr>
            <w:tcW w:w="1439" w:type="dxa"/>
          </w:tcPr>
          <w:p w14:paraId="3425AA76" w14:textId="77777777" w:rsidR="008F2A2A" w:rsidRPr="008F2A2A" w:rsidRDefault="008F2A2A" w:rsidP="008F2A2A"/>
        </w:tc>
        <w:tc>
          <w:tcPr>
            <w:tcW w:w="1458" w:type="dxa"/>
          </w:tcPr>
          <w:p w14:paraId="240930C8" w14:textId="77777777" w:rsidR="008F2A2A" w:rsidRPr="008F2A2A" w:rsidRDefault="008F2A2A" w:rsidP="008F2A2A"/>
        </w:tc>
        <w:tc>
          <w:tcPr>
            <w:tcW w:w="1743" w:type="dxa"/>
          </w:tcPr>
          <w:p w14:paraId="0FA1402D" w14:textId="77777777" w:rsidR="008F2A2A" w:rsidRPr="008F2A2A" w:rsidRDefault="008F2A2A" w:rsidP="008F2A2A"/>
        </w:tc>
        <w:tc>
          <w:tcPr>
            <w:tcW w:w="1645" w:type="dxa"/>
          </w:tcPr>
          <w:p w14:paraId="3827B7D2" w14:textId="77777777" w:rsidR="008F2A2A" w:rsidRPr="008F2A2A" w:rsidRDefault="008F2A2A" w:rsidP="008F2A2A"/>
        </w:tc>
        <w:tc>
          <w:tcPr>
            <w:tcW w:w="1514" w:type="dxa"/>
          </w:tcPr>
          <w:p w14:paraId="66C3B2FA" w14:textId="6E5F538E" w:rsidR="008F2A2A" w:rsidRPr="008F2A2A" w:rsidRDefault="008F2A2A" w:rsidP="008F2A2A">
            <w:r w:rsidRPr="008F2A2A">
              <w:t>Импотентност</w:t>
            </w:r>
          </w:p>
        </w:tc>
      </w:tr>
      <w:tr w:rsidR="008F2A2A" w14:paraId="67037E4E" w14:textId="77777777" w:rsidTr="008F2A2A">
        <w:tc>
          <w:tcPr>
            <w:tcW w:w="1777" w:type="dxa"/>
            <w:vAlign w:val="bottom"/>
          </w:tcPr>
          <w:p w14:paraId="6EA29CF1" w14:textId="5A156319" w:rsidR="008F2A2A" w:rsidRPr="008F2A2A" w:rsidRDefault="008F2A2A" w:rsidP="008F2A2A">
            <w:r w:rsidRPr="008F2A2A">
              <w:rPr>
                <w:b/>
                <w:bCs/>
              </w:rPr>
              <w:t>Общи нарушения и ефекти на мястото на приложение</w:t>
            </w:r>
          </w:p>
        </w:tc>
        <w:tc>
          <w:tcPr>
            <w:tcW w:w="1439" w:type="dxa"/>
            <w:vAlign w:val="bottom"/>
          </w:tcPr>
          <w:p w14:paraId="6F6BAE7A" w14:textId="0187A14F" w:rsidR="008F2A2A" w:rsidRPr="008F2A2A" w:rsidRDefault="008F2A2A" w:rsidP="008F2A2A">
            <w:r w:rsidRPr="008F2A2A">
              <w:t>Отпадналост и/или изтощение (често преходни)</w:t>
            </w:r>
          </w:p>
        </w:tc>
        <w:tc>
          <w:tcPr>
            <w:tcW w:w="1458" w:type="dxa"/>
          </w:tcPr>
          <w:p w14:paraId="111171F0" w14:textId="77777777" w:rsidR="008F2A2A" w:rsidRPr="008F2A2A" w:rsidRDefault="008F2A2A" w:rsidP="008F2A2A"/>
        </w:tc>
        <w:tc>
          <w:tcPr>
            <w:tcW w:w="1743" w:type="dxa"/>
          </w:tcPr>
          <w:p w14:paraId="654CC227" w14:textId="4B440467" w:rsidR="008F2A2A" w:rsidRPr="008F2A2A" w:rsidRDefault="008F2A2A" w:rsidP="008F2A2A">
            <w:r w:rsidRPr="008F2A2A">
              <w:t>Замаяност</w:t>
            </w:r>
          </w:p>
        </w:tc>
        <w:tc>
          <w:tcPr>
            <w:tcW w:w="1645" w:type="dxa"/>
          </w:tcPr>
          <w:p w14:paraId="4CC13453" w14:textId="77777777" w:rsidR="008F2A2A" w:rsidRPr="008F2A2A" w:rsidRDefault="008F2A2A" w:rsidP="008F2A2A"/>
        </w:tc>
        <w:tc>
          <w:tcPr>
            <w:tcW w:w="1514" w:type="dxa"/>
          </w:tcPr>
          <w:p w14:paraId="2B012C0B" w14:textId="77777777" w:rsidR="008F2A2A" w:rsidRPr="008F2A2A" w:rsidRDefault="008F2A2A" w:rsidP="008F2A2A"/>
        </w:tc>
      </w:tr>
      <w:tr w:rsidR="008F2A2A" w14:paraId="3E788A4B" w14:textId="77777777" w:rsidTr="008F2A2A">
        <w:tc>
          <w:tcPr>
            <w:tcW w:w="1777" w:type="dxa"/>
          </w:tcPr>
          <w:p w14:paraId="0C116E26" w14:textId="0B69BFCF" w:rsidR="008F2A2A" w:rsidRPr="008F2A2A" w:rsidRDefault="008F2A2A" w:rsidP="008F2A2A">
            <w:r w:rsidRPr="008F2A2A">
              <w:rPr>
                <w:b/>
                <w:bCs/>
              </w:rPr>
              <w:t>Изследвания</w:t>
            </w:r>
          </w:p>
        </w:tc>
        <w:tc>
          <w:tcPr>
            <w:tcW w:w="1439" w:type="dxa"/>
          </w:tcPr>
          <w:p w14:paraId="13BB6C4B" w14:textId="77777777" w:rsidR="008F2A2A" w:rsidRPr="008F2A2A" w:rsidRDefault="008F2A2A" w:rsidP="008F2A2A"/>
        </w:tc>
        <w:tc>
          <w:tcPr>
            <w:tcW w:w="1458" w:type="dxa"/>
          </w:tcPr>
          <w:p w14:paraId="18362D79" w14:textId="72F025B6" w:rsidR="008F2A2A" w:rsidRPr="008F2A2A" w:rsidRDefault="008F2A2A" w:rsidP="008F2A2A">
            <w:r w:rsidRPr="008F2A2A">
              <w:t>Наблюдавано е повишение на АНА (антинуклеар ни антитела), но клиничното значение не е ясно</w:t>
            </w:r>
          </w:p>
        </w:tc>
        <w:tc>
          <w:tcPr>
            <w:tcW w:w="1743" w:type="dxa"/>
          </w:tcPr>
          <w:p w14:paraId="717B4595" w14:textId="77777777" w:rsidR="008F2A2A" w:rsidRPr="008F2A2A" w:rsidRDefault="008F2A2A" w:rsidP="008F2A2A"/>
        </w:tc>
        <w:tc>
          <w:tcPr>
            <w:tcW w:w="1645" w:type="dxa"/>
          </w:tcPr>
          <w:p w14:paraId="21296209" w14:textId="77777777" w:rsidR="008F2A2A" w:rsidRPr="008F2A2A" w:rsidRDefault="008F2A2A" w:rsidP="008F2A2A"/>
        </w:tc>
        <w:tc>
          <w:tcPr>
            <w:tcW w:w="1514" w:type="dxa"/>
          </w:tcPr>
          <w:p w14:paraId="4BA2C551" w14:textId="77777777" w:rsidR="008F2A2A" w:rsidRPr="008F2A2A" w:rsidRDefault="008F2A2A" w:rsidP="008F2A2A"/>
        </w:tc>
      </w:tr>
    </w:tbl>
    <w:p w14:paraId="7C18D58A" w14:textId="77777777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Преустановяване на приема на лекарството трябва да се предприеме, ако по преценка на лекуващия лекар, състоянието на пациента се влошава от някоя от гореспоменатите нежелани реакции. Спирането на лечението с бета-блокери трябва да става постепенно (вж. точка 4.4). В редките случаи на непоносимост, манифестирани с брадикардия и хипотония, лечението трябва да се преустанови и при необходимост да се започне лечение за предозиране (вж. точка 4.9).</w:t>
      </w:r>
    </w:p>
    <w:p w14:paraId="6AFC54D2" w14:textId="7777777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FC5158D" w14:textId="567F4163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u w:val="single"/>
          <w:lang w:eastAsia="bg-BG"/>
        </w:rPr>
        <w:t>Съобщаване на подозорани нежелани реакции</w:t>
      </w:r>
    </w:p>
    <w:p w14:paraId="26D8BD55" w14:textId="77777777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 xml:space="preserve">Съобщаването на подозирани нежелани реакции след разрешаване на употреба на лекарствения продукт е важно. Това позволява да продължи наблюдението на </w:t>
      </w:r>
      <w:r w:rsidRPr="008F2A2A">
        <w:rPr>
          <w:rFonts w:eastAsia="Times New Roman" w:cs="Arial"/>
          <w:color w:val="000000"/>
          <w:lang w:eastAsia="bg-BG"/>
        </w:rPr>
        <w:lastRenderedPageBreak/>
        <w:t>съотношението полза/риск за лекарствения продукт. От медицинските специалисти се изисква да съобщават всяка подозирана нежелана реакция чрез националната система за съобщаване:</w:t>
      </w:r>
    </w:p>
    <w:p w14:paraId="05C132FF" w14:textId="7777777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 xml:space="preserve">Изпълнителна агенция по лекарствата </w:t>
      </w:r>
    </w:p>
    <w:p w14:paraId="63E42A10" w14:textId="6D4EDEAB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ул. „Дамян Груев” № 8</w:t>
      </w:r>
    </w:p>
    <w:p w14:paraId="432E8CE4" w14:textId="77777777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1303 София</w:t>
      </w:r>
    </w:p>
    <w:p w14:paraId="6BDFE1F0" w14:textId="77777777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Тел.:+35 928903417</w:t>
      </w:r>
    </w:p>
    <w:p w14:paraId="06EBAF99" w14:textId="77777777" w:rsidR="008F2A2A" w:rsidRPr="008F2A2A" w:rsidRDefault="008F2A2A" w:rsidP="008F2A2A">
      <w:pPr>
        <w:spacing w:line="240" w:lineRule="auto"/>
        <w:rPr>
          <w:rFonts w:eastAsia="Times New Roman" w:cs="Arial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 xml:space="preserve">уебсайт: </w:t>
      </w:r>
      <w:hyperlink r:id="rId5" w:history="1">
        <w:r w:rsidRPr="008F2A2A">
          <w:rPr>
            <w:rFonts w:eastAsia="Times New Roman" w:cs="Arial"/>
            <w:color w:val="000000"/>
            <w:u w:val="single"/>
            <w:lang w:val="en-US"/>
          </w:rPr>
          <w:t>www.bda.bg</w:t>
        </w:r>
      </w:hyperlink>
    </w:p>
    <w:p w14:paraId="74245BA6" w14:textId="77777777" w:rsidR="008F2A2A" w:rsidRPr="008F2A2A" w:rsidRDefault="008F2A2A" w:rsidP="008F2A2A"/>
    <w:p w14:paraId="378A0F20" w14:textId="1EEACEAD" w:rsidR="001D095A" w:rsidRDefault="002C50EE" w:rsidP="00340E8D">
      <w:pPr>
        <w:pStyle w:val="Heading2"/>
      </w:pPr>
      <w:r>
        <w:t>4.9. Предозиране</w:t>
      </w:r>
    </w:p>
    <w:p w14:paraId="31078490" w14:textId="08754742" w:rsidR="008F2A2A" w:rsidRDefault="008F2A2A" w:rsidP="008F2A2A"/>
    <w:p w14:paraId="75B01150" w14:textId="77777777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b/>
          <w:bCs/>
          <w:color w:val="000000"/>
          <w:lang w:eastAsia="bg-BG"/>
        </w:rPr>
        <w:t>Токсичност:</w:t>
      </w:r>
    </w:p>
    <w:p w14:paraId="7E952E4F" w14:textId="77777777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 xml:space="preserve">Индивидуалният отговор варира значително, смърт при възрастни е настъпила след поглъщане на около 2 </w:t>
      </w:r>
      <w:r w:rsidRPr="008F2A2A">
        <w:rPr>
          <w:rFonts w:eastAsia="Times New Roman" w:cs="Arial"/>
          <w:color w:val="000000"/>
          <w:lang w:val="en-US"/>
        </w:rPr>
        <w:t xml:space="preserve">g. </w:t>
      </w:r>
      <w:r w:rsidRPr="008F2A2A">
        <w:rPr>
          <w:rFonts w:eastAsia="Times New Roman" w:cs="Arial"/>
          <w:color w:val="000000"/>
          <w:lang w:eastAsia="bg-BG"/>
        </w:rPr>
        <w:t xml:space="preserve">Поглъщането на повече от 40 </w:t>
      </w:r>
      <w:r w:rsidRPr="008F2A2A">
        <w:rPr>
          <w:rFonts w:eastAsia="Times New Roman" w:cs="Arial"/>
          <w:color w:val="000000"/>
          <w:lang w:val="en-US"/>
        </w:rPr>
        <w:t xml:space="preserve">mg </w:t>
      </w:r>
      <w:r w:rsidRPr="008F2A2A">
        <w:rPr>
          <w:rFonts w:eastAsia="Times New Roman" w:cs="Arial"/>
          <w:color w:val="000000"/>
          <w:lang w:eastAsia="bg-BG"/>
        </w:rPr>
        <w:t>може да предизвика сериозни проблеми при деца.</w:t>
      </w:r>
    </w:p>
    <w:p w14:paraId="75E3ABF0" w14:textId="77777777" w:rsidR="008F2A2A" w:rsidRPr="008F2A2A" w:rsidRDefault="008F2A2A" w:rsidP="008F2A2A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3C1E7D78" w14:textId="4321771F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b/>
          <w:bCs/>
          <w:color w:val="000000"/>
          <w:lang w:eastAsia="bg-BG"/>
        </w:rPr>
        <w:t>Симптоми:</w:t>
      </w:r>
    </w:p>
    <w:p w14:paraId="78C0264D" w14:textId="77777777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b/>
          <w:bCs/>
          <w:color w:val="000000"/>
          <w:lang w:eastAsia="bg-BG"/>
        </w:rPr>
        <w:t xml:space="preserve">Сърдечни - </w:t>
      </w:r>
      <w:r w:rsidRPr="008F2A2A">
        <w:rPr>
          <w:rFonts w:eastAsia="Times New Roman" w:cs="Arial"/>
          <w:color w:val="000000"/>
          <w:lang w:eastAsia="bg-BG"/>
        </w:rPr>
        <w:t xml:space="preserve">може да се развият брадикардия, хипотония, белодробен оток, синкоп и кардиогенен шок. Могат да се появят преводни нарушения, като първа или втора степен на </w:t>
      </w:r>
      <w:r w:rsidRPr="008F2A2A">
        <w:rPr>
          <w:rFonts w:eastAsia="Times New Roman" w:cs="Arial"/>
          <w:color w:val="000000"/>
          <w:lang w:val="en-US"/>
        </w:rPr>
        <w:t xml:space="preserve">AV </w:t>
      </w:r>
      <w:r w:rsidRPr="008F2A2A">
        <w:rPr>
          <w:rFonts w:eastAsia="Times New Roman" w:cs="Arial"/>
          <w:color w:val="000000"/>
          <w:lang w:eastAsia="bg-BG"/>
        </w:rPr>
        <w:t>блок. Рядко могат да развият аритмии. Възможно е развитие на сърдечно-съдови усложнения, ако едновременно са приети и други кардиоактивни лекарства, особено блокери на калциевите канали, дигоксин, циклични антидепресанти или невролептици. Възрастните хора и пациенти с анамнеза за исхемична болест на сърцето са изложени на риск от развитие на тежки сърдечно</w:t>
      </w:r>
      <w:r w:rsidRPr="008F2A2A">
        <w:rPr>
          <w:rFonts w:eastAsia="Times New Roman" w:cs="Arial"/>
          <w:color w:val="000000"/>
          <w:lang w:eastAsia="bg-BG"/>
        </w:rPr>
        <w:softHyphen/>
        <w:t>съдови усложнения.</w:t>
      </w:r>
    </w:p>
    <w:p w14:paraId="7770B006" w14:textId="77777777" w:rsidR="008F2A2A" w:rsidRPr="008F2A2A" w:rsidRDefault="008F2A2A" w:rsidP="008F2A2A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7E8A63A3" w14:textId="3A48018F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b/>
          <w:bCs/>
          <w:color w:val="000000"/>
          <w:lang w:eastAsia="bg-BG"/>
        </w:rPr>
        <w:t xml:space="preserve">Неврологични - </w:t>
      </w:r>
      <w:r w:rsidRPr="008F2A2A">
        <w:rPr>
          <w:rFonts w:eastAsia="Times New Roman" w:cs="Arial"/>
          <w:color w:val="000000"/>
          <w:lang w:eastAsia="bg-BG"/>
        </w:rPr>
        <w:t>сънливост, обърканост, гърчове, халюцинации, разширени зеници и при по- тежки случаи кома. Неврологични симптоми като кома или липса на зенични реакции са лоши прогностични показатели при ресусцитация.</w:t>
      </w:r>
    </w:p>
    <w:p w14:paraId="48E71D13" w14:textId="77777777" w:rsidR="008F2A2A" w:rsidRPr="008F2A2A" w:rsidRDefault="008F2A2A" w:rsidP="008F2A2A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1E1D543C" w14:textId="391DD7A8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b/>
          <w:bCs/>
          <w:color w:val="000000"/>
          <w:lang w:eastAsia="bg-BG"/>
        </w:rPr>
        <w:t xml:space="preserve">Други функции - </w:t>
      </w:r>
      <w:r w:rsidRPr="008F2A2A">
        <w:rPr>
          <w:rFonts w:eastAsia="Times New Roman" w:cs="Arial"/>
          <w:color w:val="000000"/>
          <w:lang w:eastAsia="bg-BG"/>
        </w:rPr>
        <w:t>могат да се появят бронхоспазъм, повръщане и понякога медиирана от ЦНС респираторна депресия. Концепцията за кардиоселективност е много по-малко приложима при предозиране и системните ефекти на бета-блокадата включват бронхоспазъм и цианоза, особено при пациенти с предварително съществуващо заболяване на дихателните пътища. Хипогликемията и хипокалциемията са редки и понякога може да се появи и генерализиран спазъм.</w:t>
      </w:r>
    </w:p>
    <w:p w14:paraId="46164EF6" w14:textId="77777777" w:rsidR="008F2A2A" w:rsidRPr="008F2A2A" w:rsidRDefault="008F2A2A" w:rsidP="008F2A2A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66354A8D" w14:textId="655341F5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b/>
          <w:bCs/>
          <w:color w:val="000000"/>
          <w:lang w:eastAsia="bg-BG"/>
        </w:rPr>
        <w:t>Лечение:</w:t>
      </w:r>
    </w:p>
    <w:p w14:paraId="2579EB60" w14:textId="77777777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В случай на предозиране или екстремно понижение на сърдечната честота или артериалното налягане, лечението с пропранолол трябва да бъде спряно. В допълнение към основните мерки за елиминиране на отравянето, жизнените параметри трябва да бъдат проследявани и съответно коригирани в интензивното отделение. В случай на сърдечен арест, се провежда ресусцитация в продължение на няколко часа.</w:t>
      </w:r>
    </w:p>
    <w:p w14:paraId="0ED1D725" w14:textId="7777777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14787C8" w14:textId="60E00FFA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 xml:space="preserve">Това включва общи симптоматични и поддържащи мерки, осигуряване на проходими дихателни пътища и мониториране на жизнените показатели, докато състоянието се стабилизира. Може да се приложи активен въглен (50 </w:t>
      </w:r>
      <w:r w:rsidRPr="008F2A2A">
        <w:rPr>
          <w:rFonts w:eastAsia="Times New Roman" w:cs="Arial"/>
          <w:color w:val="000000"/>
          <w:lang w:val="en-US"/>
        </w:rPr>
        <w:t xml:space="preserve">g </w:t>
      </w:r>
      <w:r w:rsidRPr="008F2A2A">
        <w:rPr>
          <w:rFonts w:eastAsia="Times New Roman" w:cs="Arial"/>
          <w:color w:val="000000"/>
          <w:lang w:eastAsia="bg-BG"/>
        </w:rPr>
        <w:t xml:space="preserve">за възрастни, 1 </w:t>
      </w:r>
      <w:r w:rsidRPr="008F2A2A">
        <w:rPr>
          <w:rFonts w:eastAsia="Times New Roman" w:cs="Arial"/>
          <w:color w:val="000000"/>
          <w:lang w:val="en-US"/>
        </w:rPr>
        <w:t xml:space="preserve">g/kg </w:t>
      </w:r>
      <w:r w:rsidRPr="008F2A2A">
        <w:rPr>
          <w:rFonts w:eastAsia="Times New Roman" w:cs="Arial"/>
          <w:color w:val="000000"/>
          <w:lang w:eastAsia="bg-BG"/>
        </w:rPr>
        <w:t xml:space="preserve">за деца) до един час след приема на повече от една терапевтична доза при възрастни и при всички количества над допустимото за деца. Атропин трябва да се прилага, ако това е необходимо, преди стомашната промивка, тъй като има риск от вагусова стимулация. При </w:t>
      </w:r>
      <w:r w:rsidRPr="008F2A2A">
        <w:rPr>
          <w:rFonts w:eastAsia="Times New Roman" w:cs="Arial"/>
          <w:color w:val="000000"/>
          <w:lang w:eastAsia="bg-BG"/>
        </w:rPr>
        <w:lastRenderedPageBreak/>
        <w:t>възрастни алтернативно се прави стомашна промивка в рамките на 1 час след животозастрашаващо предозиране.</w:t>
      </w:r>
    </w:p>
    <w:p w14:paraId="1D957D24" w14:textId="7777777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030EF8E" w14:textId="23375A72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 xml:space="preserve">Ексцесивната брадикардия може да се повлияе от високи дози атропин (3 </w:t>
      </w:r>
      <w:r w:rsidRPr="008F2A2A">
        <w:rPr>
          <w:rFonts w:eastAsia="Times New Roman" w:cs="Arial"/>
          <w:color w:val="000000"/>
          <w:lang w:val="en-US"/>
        </w:rPr>
        <w:t xml:space="preserve">mg </w:t>
      </w:r>
      <w:r w:rsidRPr="008F2A2A">
        <w:rPr>
          <w:rFonts w:eastAsia="Times New Roman" w:cs="Arial"/>
          <w:color w:val="000000"/>
          <w:lang w:eastAsia="bg-BG"/>
        </w:rPr>
        <w:t xml:space="preserve">интравенозно за възрастен и 0,04 </w:t>
      </w:r>
      <w:r w:rsidRPr="008F2A2A">
        <w:rPr>
          <w:rFonts w:eastAsia="Times New Roman" w:cs="Arial"/>
          <w:color w:val="000000"/>
          <w:lang w:val="en-US"/>
        </w:rPr>
        <w:t xml:space="preserve">mg/kg </w:t>
      </w:r>
      <w:r w:rsidRPr="008F2A2A">
        <w:rPr>
          <w:rFonts w:eastAsia="Times New Roman" w:cs="Arial"/>
          <w:color w:val="000000"/>
          <w:lang w:eastAsia="bg-BG"/>
        </w:rPr>
        <w:t>за дете) и/или сърдечен пейсмейкър.</w:t>
      </w:r>
    </w:p>
    <w:p w14:paraId="7C48C69B" w14:textId="7777777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062E3A4" w14:textId="0AEE8AA0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 xml:space="preserve">За тежка хипотония, сърдечна недостатъчност или кардиогенен шок при възрастни се прилага 5-10 </w:t>
      </w:r>
      <w:r w:rsidRPr="008F2A2A">
        <w:rPr>
          <w:rFonts w:eastAsia="Times New Roman" w:cs="Arial"/>
          <w:color w:val="000000"/>
          <w:lang w:val="en-US"/>
        </w:rPr>
        <w:t xml:space="preserve">mg </w:t>
      </w:r>
      <w:r w:rsidRPr="008F2A2A">
        <w:rPr>
          <w:rFonts w:eastAsia="Times New Roman" w:cs="Arial"/>
          <w:color w:val="000000"/>
          <w:lang w:eastAsia="bg-BG"/>
        </w:rPr>
        <w:t>интравенозен болус на глюкагон (50-150 микрограма</w:t>
      </w:r>
      <w:r w:rsidRPr="008F2A2A">
        <w:rPr>
          <w:rFonts w:eastAsia="Times New Roman" w:cs="Arial"/>
          <w:color w:val="000000"/>
          <w:lang w:val="en-US"/>
        </w:rPr>
        <w:t xml:space="preserve">/kg </w:t>
      </w:r>
      <w:r w:rsidRPr="008F2A2A">
        <w:rPr>
          <w:rFonts w:eastAsia="Times New Roman" w:cs="Arial"/>
          <w:color w:val="000000"/>
          <w:lang w:eastAsia="bg-BG"/>
        </w:rPr>
        <w:t xml:space="preserve">при деца) в продължение на 10 минути, за да се намали вероятността от повръщане, последвано от инфузия на 1 - 5 </w:t>
      </w:r>
      <w:r w:rsidRPr="008F2A2A">
        <w:rPr>
          <w:rFonts w:eastAsia="Times New Roman" w:cs="Arial"/>
          <w:color w:val="000000"/>
          <w:lang w:val="en-US"/>
        </w:rPr>
        <w:t>mg</w:t>
      </w:r>
      <w:r w:rsidRPr="008F2A2A">
        <w:rPr>
          <w:rFonts w:eastAsia="Times New Roman" w:cs="Arial"/>
          <w:color w:val="000000"/>
          <w:lang w:eastAsia="bg-BG"/>
        </w:rPr>
        <w:t>/час (50 микрограма</w:t>
      </w:r>
      <w:r w:rsidRPr="008F2A2A">
        <w:rPr>
          <w:rFonts w:eastAsia="Times New Roman" w:cs="Arial"/>
          <w:color w:val="000000"/>
          <w:lang w:val="en-US"/>
        </w:rPr>
        <w:t>/kg</w:t>
      </w:r>
      <w:r w:rsidRPr="008F2A2A">
        <w:rPr>
          <w:rFonts w:eastAsia="Times New Roman" w:cs="Arial"/>
          <w:color w:val="000000"/>
          <w:lang w:eastAsia="bg-BG"/>
        </w:rPr>
        <w:t>/час), която се титрира до получаване на клиничен отговор. Ако няма наличен глюкагон или в случай на тежка брадикардия или хипотония, които не се повлияват от глюкагон, на бета-блокиращите ефекти може да се противодейства чрез бавно интравенозно приложение на изопреналин хидрохлорид, допамин или норадреналин.</w:t>
      </w:r>
    </w:p>
    <w:p w14:paraId="65F8CC1C" w14:textId="77777777" w:rsidR="008F2A2A" w:rsidRPr="008F2A2A" w:rsidRDefault="008F2A2A" w:rsidP="008F2A2A">
      <w:pPr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При тежка хипотония, ако е необходимо, допълнително може да се приложи инотропна подкрепа с бета-агонист, като добутамин 2,5-40 микрограма</w:t>
      </w:r>
      <w:r w:rsidRPr="008F2A2A">
        <w:rPr>
          <w:rFonts w:eastAsia="Times New Roman" w:cs="Arial"/>
          <w:color w:val="000000"/>
          <w:lang w:val="en-US"/>
        </w:rPr>
        <w:t>/kg/</w:t>
      </w:r>
      <w:r w:rsidRPr="008F2A2A">
        <w:rPr>
          <w:rFonts w:eastAsia="Times New Roman" w:cs="Arial"/>
          <w:color w:val="000000"/>
          <w:lang w:eastAsia="bg-BG"/>
        </w:rPr>
        <w:t>минута</w:t>
      </w:r>
      <w:r w:rsidRPr="008F2A2A">
        <w:rPr>
          <w:rFonts w:eastAsia="Times New Roman" w:cs="Arial"/>
          <w:color w:val="000000"/>
          <w:lang w:val="en-US"/>
        </w:rPr>
        <w:t xml:space="preserve"> </w:t>
      </w:r>
      <w:r w:rsidRPr="008F2A2A">
        <w:rPr>
          <w:rFonts w:eastAsia="Times New Roman" w:cs="Arial"/>
          <w:color w:val="000000"/>
          <w:lang w:eastAsia="bg-BG"/>
        </w:rPr>
        <w:t>(възрастни и деца). Има</w:t>
      </w:r>
      <w:r w:rsidRPr="008F2A2A">
        <w:rPr>
          <w:rFonts w:eastAsia="Times New Roman" w:cs="Arial"/>
          <w:color w:val="000000"/>
          <w:lang w:eastAsia="bg-BG"/>
        </w:rPr>
        <w:t xml:space="preserve"> </w:t>
      </w:r>
      <w:r w:rsidRPr="008F2A2A">
        <w:rPr>
          <w:rFonts w:eastAsia="Times New Roman" w:cs="Arial"/>
          <w:color w:val="000000"/>
          <w:lang w:eastAsia="bg-BG"/>
        </w:rPr>
        <w:t>вероятност тези дози да не са достатъчни за обръщането на сърдечните ефекти на бета- блокадата, ако е прието голямо количество (предозиране). Следователно ако е необходимо, дозата добутамин трябва да се увеличи, за да се постигне необходимия отговор в съответствие с клиничното състояние на пациента.</w:t>
      </w:r>
    </w:p>
    <w:p w14:paraId="425F8356" w14:textId="7777777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4BB2D09" w14:textId="4326CBA6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 xml:space="preserve">При бронхоспазъм трябва да се прилага 2,5-5 </w:t>
      </w:r>
      <w:r w:rsidRPr="008F2A2A">
        <w:rPr>
          <w:rFonts w:eastAsia="Times New Roman" w:cs="Arial"/>
          <w:color w:val="000000"/>
          <w:lang w:val="en-US"/>
        </w:rPr>
        <w:t xml:space="preserve">mg </w:t>
      </w:r>
      <w:r w:rsidRPr="008F2A2A">
        <w:rPr>
          <w:rFonts w:eastAsia="Times New Roman" w:cs="Arial"/>
          <w:color w:val="000000"/>
          <w:lang w:eastAsia="bg-BG"/>
        </w:rPr>
        <w:t xml:space="preserve">небулизиран салбутамол. При тежки случаи може да се приложи аминофилин интравенозно (5 </w:t>
      </w:r>
      <w:r w:rsidRPr="008F2A2A">
        <w:rPr>
          <w:rFonts w:eastAsia="Times New Roman" w:cs="Arial"/>
          <w:color w:val="000000"/>
          <w:lang w:val="en-US"/>
        </w:rPr>
        <w:t xml:space="preserve">mg/kg </w:t>
      </w:r>
      <w:r w:rsidRPr="008F2A2A">
        <w:rPr>
          <w:rFonts w:eastAsia="Times New Roman" w:cs="Arial"/>
          <w:color w:val="000000"/>
          <w:lang w:eastAsia="bg-BG"/>
        </w:rPr>
        <w:t xml:space="preserve">в продължение на 30 минути, последвано от инфузия на 0,5-1 </w:t>
      </w:r>
      <w:r w:rsidRPr="008F2A2A">
        <w:rPr>
          <w:rFonts w:eastAsia="Times New Roman" w:cs="Arial"/>
          <w:color w:val="000000"/>
          <w:lang w:val="en-US"/>
        </w:rPr>
        <w:t xml:space="preserve">mg/kg/ </w:t>
      </w:r>
      <w:r w:rsidRPr="008F2A2A">
        <w:rPr>
          <w:rFonts w:eastAsia="Times New Roman" w:cs="Arial"/>
          <w:color w:val="000000"/>
          <w:lang w:eastAsia="bg-BG"/>
        </w:rPr>
        <w:t xml:space="preserve">час). Да не се прилага първоначално натоварваща доза от 5 </w:t>
      </w:r>
      <w:r w:rsidRPr="008F2A2A">
        <w:rPr>
          <w:rFonts w:eastAsia="Times New Roman" w:cs="Arial"/>
          <w:color w:val="000000"/>
          <w:lang w:val="en-US"/>
        </w:rPr>
        <w:t xml:space="preserve">mg/kg, </w:t>
      </w:r>
      <w:r w:rsidRPr="008F2A2A">
        <w:rPr>
          <w:rFonts w:eastAsia="Times New Roman" w:cs="Arial"/>
          <w:color w:val="000000"/>
          <w:lang w:eastAsia="bg-BG"/>
        </w:rPr>
        <w:t>ако пациентът приема перорално теофилин или аминофилин.</w:t>
      </w:r>
    </w:p>
    <w:p w14:paraId="6BBB6418" w14:textId="77777777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Сърдечното стимулиране може също да бъде ефективно за повишаване на сърдечната честота, но не винаги коригира хипотонията, вторична на миокардна депресия.</w:t>
      </w:r>
    </w:p>
    <w:p w14:paraId="0EFBE4E8" w14:textId="77777777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 xml:space="preserve">В случаи на генерализирани гърчове се препоръчва бавно интравенозно приложение на диазепам (0,1 -0,3 </w:t>
      </w:r>
      <w:r w:rsidRPr="008F2A2A">
        <w:rPr>
          <w:rFonts w:eastAsia="Times New Roman" w:cs="Arial"/>
          <w:color w:val="000000"/>
          <w:lang w:val="en-US"/>
        </w:rPr>
        <w:t xml:space="preserve">mg/kg </w:t>
      </w:r>
      <w:r w:rsidRPr="008F2A2A">
        <w:rPr>
          <w:rFonts w:eastAsia="Times New Roman" w:cs="Arial"/>
          <w:color w:val="000000"/>
          <w:lang w:eastAsia="bg-BG"/>
        </w:rPr>
        <w:t>телесно тегло).</w:t>
      </w:r>
    </w:p>
    <w:p w14:paraId="163B5245" w14:textId="7089593E" w:rsidR="008F2A2A" w:rsidRPr="008F2A2A" w:rsidRDefault="008F2A2A" w:rsidP="008F2A2A"/>
    <w:p w14:paraId="02081B24" w14:textId="36FE76F4" w:rsidR="00395555" w:rsidRPr="00395555" w:rsidRDefault="002C50EE" w:rsidP="008A6AF2">
      <w:pPr>
        <w:pStyle w:val="Heading1"/>
      </w:pPr>
      <w:r>
        <w:t>5. ФАРМАКОЛОГИЧНИ СВОЙСТВА</w:t>
      </w:r>
    </w:p>
    <w:p w14:paraId="7F6CC5E1" w14:textId="480257D2" w:rsidR="00F62E44" w:rsidRDefault="002C50EE" w:rsidP="00387A66">
      <w:pPr>
        <w:pStyle w:val="Heading2"/>
      </w:pPr>
      <w:r>
        <w:t>5.1. Фармакодинамични свойства</w:t>
      </w:r>
    </w:p>
    <w:p w14:paraId="1CEFE6E9" w14:textId="3A7A4765" w:rsidR="008F2A2A" w:rsidRDefault="008F2A2A" w:rsidP="008F2A2A"/>
    <w:p w14:paraId="1B9E45EA" w14:textId="77777777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Фармакотерапевтична група: бета-блокери, неселективни бета-блокери. АТС код: С07АА05</w:t>
      </w:r>
    </w:p>
    <w:p w14:paraId="07FC5AE8" w14:textId="7777777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1ECF0D6" w14:textId="2C2E5194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 xml:space="preserve">Пропранолол е конкурентен антагонист както на бета-1, така и на бета-2-адренорецепторите. Той няма свойствата на агонист към бета-адренорецепторите, но притежава мембраностабилизиращ ефект в концентрации, надвишаващи 1 до 3 </w:t>
      </w:r>
      <w:r w:rsidRPr="008F2A2A">
        <w:rPr>
          <w:rFonts w:eastAsia="Times New Roman" w:cs="Arial"/>
          <w:color w:val="000000"/>
          <w:lang w:val="en-US"/>
        </w:rPr>
        <w:t xml:space="preserve">mg/l, </w:t>
      </w:r>
      <w:r w:rsidRPr="008F2A2A">
        <w:rPr>
          <w:rFonts w:eastAsia="Times New Roman" w:cs="Arial"/>
          <w:color w:val="000000"/>
          <w:lang w:eastAsia="bg-BG"/>
        </w:rPr>
        <w:t>въпреки че такива концентрации рядко се постигат при перорална терапия.</w:t>
      </w:r>
    </w:p>
    <w:p w14:paraId="19E00F85" w14:textId="77777777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Компегитивната бета блокада е доказана при хора чрез паралелното изместване надясно на кривата на дозовия отговор при приложение на бета агонисти като изопреналин.</w:t>
      </w:r>
    </w:p>
    <w:p w14:paraId="436FA913" w14:textId="7777777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3C0299F" w14:textId="77383C56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Пропранолол, подобно на другите бета-блокери, има негативни инотропни ефекти, и следователно е противопоказан при декомпенсирана сърдечна недостатъчност.</w:t>
      </w:r>
    </w:p>
    <w:p w14:paraId="3E099D77" w14:textId="77777777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 xml:space="preserve">Пропранолол е рацемична смес и активната форма е </w:t>
      </w:r>
      <w:r w:rsidRPr="008F2A2A">
        <w:rPr>
          <w:rFonts w:eastAsia="Times New Roman" w:cs="Arial"/>
          <w:color w:val="000000"/>
          <w:lang w:val="en-US"/>
        </w:rPr>
        <w:t xml:space="preserve">S(-) </w:t>
      </w:r>
      <w:r w:rsidRPr="008F2A2A">
        <w:rPr>
          <w:rFonts w:eastAsia="Times New Roman" w:cs="Arial"/>
          <w:color w:val="000000"/>
          <w:lang w:eastAsia="bg-BG"/>
        </w:rPr>
        <w:t xml:space="preserve">изомер на пропранолол. С изключение на инхибирането на конверсията на тироксин в трийодтиронин е малко </w:t>
      </w:r>
      <w:r w:rsidRPr="008F2A2A">
        <w:rPr>
          <w:rFonts w:eastAsia="Times New Roman" w:cs="Arial"/>
          <w:color w:val="000000"/>
          <w:lang w:eastAsia="bg-BG"/>
        </w:rPr>
        <w:lastRenderedPageBreak/>
        <w:t xml:space="preserve">вероятно допълнителните спомагателни свойства, притежавани от </w:t>
      </w:r>
      <w:r w:rsidRPr="008F2A2A">
        <w:rPr>
          <w:rFonts w:eastAsia="Times New Roman" w:cs="Arial"/>
          <w:color w:val="000000"/>
          <w:lang w:val="en-US"/>
        </w:rPr>
        <w:t xml:space="preserve">R </w:t>
      </w:r>
      <w:r w:rsidRPr="008F2A2A">
        <w:rPr>
          <w:rFonts w:eastAsia="Times New Roman" w:cs="Arial"/>
          <w:color w:val="000000"/>
          <w:lang w:eastAsia="bg-BG"/>
        </w:rPr>
        <w:t>(+) пропранолол, в сравнение с рацемичната смес, да водят до различни терапевтични ефекти.</w:t>
      </w:r>
    </w:p>
    <w:p w14:paraId="3FBF0E6B" w14:textId="77777777" w:rsidR="008F2A2A" w:rsidRPr="008F2A2A" w:rsidRDefault="008F2A2A" w:rsidP="008F2A2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1EABCDE" w14:textId="2DB6253B" w:rsidR="008F2A2A" w:rsidRPr="008F2A2A" w:rsidRDefault="008F2A2A" w:rsidP="008F2A2A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F2A2A">
        <w:rPr>
          <w:rFonts w:eastAsia="Times New Roman" w:cs="Arial"/>
          <w:color w:val="000000"/>
          <w:lang w:eastAsia="bg-BG"/>
        </w:rPr>
        <w:t>Пропранолол е ефективен и се понася добре в повечето етнически популации, въпреки че при чернокожи пациенти отговорът може да бъде по-слаб.</w:t>
      </w:r>
    </w:p>
    <w:p w14:paraId="0011C3DD" w14:textId="77777777" w:rsidR="008F2A2A" w:rsidRPr="008F2A2A" w:rsidRDefault="008F2A2A" w:rsidP="008F2A2A"/>
    <w:p w14:paraId="544FFDAF" w14:textId="246BBCAF" w:rsidR="00F62E44" w:rsidRDefault="002C50EE" w:rsidP="00387A66">
      <w:pPr>
        <w:pStyle w:val="Heading2"/>
      </w:pPr>
      <w:r>
        <w:t>5.2. Фармакокинетични свойства</w:t>
      </w:r>
    </w:p>
    <w:p w14:paraId="54325AB1" w14:textId="2ACE1F54" w:rsidR="008F2A2A" w:rsidRDefault="008F2A2A" w:rsidP="008F2A2A"/>
    <w:p w14:paraId="121E591E" w14:textId="77777777" w:rsidR="008F2A2A" w:rsidRPr="008F2A2A" w:rsidRDefault="008F2A2A" w:rsidP="008F2A2A">
      <w:pPr>
        <w:rPr>
          <w:sz w:val="24"/>
          <w:szCs w:val="24"/>
          <w:lang w:eastAsia="bg-BG"/>
        </w:rPr>
      </w:pPr>
      <w:r w:rsidRPr="008F2A2A">
        <w:rPr>
          <w:lang w:eastAsia="bg-BG"/>
        </w:rPr>
        <w:t>След интравенозно приложение, плазменият полуживот на пропранолол е около 2 часа и съотношението на метаболитите към изходното лекарство в кръвта е по-ниско, отколкото след перорално приложение. По-специално 4-хидроксипропранолол не не открива след интравенозно приложение. Пропранолол се абсорбира напълно след перорално приложение и максимални плазмени концентрации се достигат 1 до 2 часа след прием на лекарството на гладно. Черният дроб отстранява до 90% от пероралната доза с елиминационен полуживот от 3 до 6 часа. Пропранолол широко и бързо се разпределя в целия организъм, с най-високи нива в белите дробове, черния дроб, бъбреците, мозъка и сърцето. Пропранолол се свързва във висока степен с протеините (80-95%).</w:t>
      </w:r>
    </w:p>
    <w:p w14:paraId="0BD20036" w14:textId="77777777" w:rsidR="008F2A2A" w:rsidRPr="008F2A2A" w:rsidRDefault="008F2A2A" w:rsidP="008F2A2A"/>
    <w:p w14:paraId="6925FEB0" w14:textId="5B56F8E6" w:rsidR="00F62E44" w:rsidRDefault="002C50EE" w:rsidP="00387A66">
      <w:pPr>
        <w:pStyle w:val="Heading2"/>
      </w:pPr>
      <w:r>
        <w:t>5.3. Предклинични данни за безопасност</w:t>
      </w:r>
    </w:p>
    <w:p w14:paraId="3297662C" w14:textId="75377EEC" w:rsidR="008F2A2A" w:rsidRDefault="008F2A2A" w:rsidP="008F2A2A"/>
    <w:p w14:paraId="6D0D14E0" w14:textId="64DE61CB" w:rsidR="008F2A2A" w:rsidRPr="008F2A2A" w:rsidRDefault="008F2A2A" w:rsidP="008F2A2A">
      <w:r>
        <w:t>Неклиничните данни не показват особен риск при хора, на база на конвенционалните фармакологични изпитвания за безопасност, токсичност при многократно прилагане, локална поносимост, генотоксичност, карциногенен потенциал и репродуктивна токсичност.</w:t>
      </w:r>
    </w:p>
    <w:p w14:paraId="357049A8" w14:textId="19DB65DC" w:rsidR="00BB22B4" w:rsidRDefault="002C50EE" w:rsidP="00471F10">
      <w:pPr>
        <w:pStyle w:val="Heading1"/>
      </w:pPr>
      <w:r>
        <w:t>7. ПРИТЕЖАТЕЛ НА РАЗРЕШЕНИЕТО ЗА УПОТРЕБА</w:t>
      </w:r>
    </w:p>
    <w:p w14:paraId="10DF66D1" w14:textId="657814C0" w:rsidR="008F2A2A" w:rsidRDefault="008F2A2A" w:rsidP="008F2A2A"/>
    <w:p w14:paraId="621978ED" w14:textId="77777777" w:rsidR="008F2A2A" w:rsidRPr="008F2A2A" w:rsidRDefault="008F2A2A" w:rsidP="008F2A2A">
      <w:pPr>
        <w:rPr>
          <w:sz w:val="24"/>
          <w:szCs w:val="24"/>
          <w:lang w:val="en-US" w:eastAsia="bg-BG"/>
        </w:rPr>
      </w:pPr>
      <w:r w:rsidRPr="008F2A2A">
        <w:rPr>
          <w:lang w:val="en-US"/>
        </w:rPr>
        <w:t xml:space="preserve">Accord Healthcare Polska Sp. z </w:t>
      </w:r>
      <w:proofErr w:type="spellStart"/>
      <w:r w:rsidRPr="008F2A2A">
        <w:rPr>
          <w:lang w:val="en-US"/>
        </w:rPr>
        <w:t>o.o.</w:t>
      </w:r>
      <w:proofErr w:type="spellEnd"/>
      <w:r w:rsidRPr="008F2A2A">
        <w:rPr>
          <w:lang w:val="en-US"/>
        </w:rPr>
        <w:t>,</w:t>
      </w:r>
    </w:p>
    <w:p w14:paraId="0640F4F7" w14:textId="77777777" w:rsidR="008F2A2A" w:rsidRPr="008F2A2A" w:rsidRDefault="008F2A2A" w:rsidP="008F2A2A">
      <w:pPr>
        <w:rPr>
          <w:sz w:val="24"/>
          <w:szCs w:val="24"/>
          <w:lang w:val="en-US" w:eastAsia="bg-BG"/>
        </w:rPr>
      </w:pPr>
      <w:proofErr w:type="spellStart"/>
      <w:r w:rsidRPr="008F2A2A">
        <w:rPr>
          <w:lang w:val="en-US"/>
        </w:rPr>
        <w:t>ul</w:t>
      </w:r>
      <w:proofErr w:type="spellEnd"/>
      <w:r w:rsidRPr="008F2A2A">
        <w:rPr>
          <w:lang w:val="en-US"/>
        </w:rPr>
        <w:t xml:space="preserve">. </w:t>
      </w:r>
      <w:proofErr w:type="spellStart"/>
      <w:r w:rsidRPr="008F2A2A">
        <w:rPr>
          <w:lang w:val="en-US"/>
        </w:rPr>
        <w:t>Tasmowa</w:t>
      </w:r>
      <w:proofErr w:type="spellEnd"/>
      <w:r w:rsidRPr="008F2A2A">
        <w:rPr>
          <w:lang w:val="en-US"/>
        </w:rPr>
        <w:t xml:space="preserve"> 7,</w:t>
      </w:r>
    </w:p>
    <w:p w14:paraId="05026B8B" w14:textId="77777777" w:rsidR="008F2A2A" w:rsidRPr="008F2A2A" w:rsidRDefault="008F2A2A" w:rsidP="008F2A2A">
      <w:pPr>
        <w:rPr>
          <w:sz w:val="24"/>
          <w:szCs w:val="24"/>
          <w:lang w:val="en-US" w:eastAsia="bg-BG"/>
        </w:rPr>
      </w:pPr>
      <w:r w:rsidRPr="008F2A2A">
        <w:rPr>
          <w:lang w:val="en-US"/>
        </w:rPr>
        <w:t xml:space="preserve">02-677, Warszawa, </w:t>
      </w:r>
      <w:proofErr w:type="spellStart"/>
      <w:r w:rsidRPr="008F2A2A">
        <w:rPr>
          <w:lang w:val="en-US"/>
        </w:rPr>
        <w:t>Mazowieckie</w:t>
      </w:r>
      <w:proofErr w:type="spellEnd"/>
      <w:r w:rsidRPr="008F2A2A">
        <w:rPr>
          <w:lang w:val="en-US"/>
        </w:rPr>
        <w:t>,</w:t>
      </w:r>
    </w:p>
    <w:p w14:paraId="48E475BC" w14:textId="77777777" w:rsidR="008F2A2A" w:rsidRPr="008F2A2A" w:rsidRDefault="008F2A2A" w:rsidP="008F2A2A">
      <w:pPr>
        <w:rPr>
          <w:sz w:val="24"/>
          <w:szCs w:val="24"/>
          <w:lang w:val="en-US" w:eastAsia="bg-BG"/>
        </w:rPr>
      </w:pPr>
      <w:r w:rsidRPr="008F2A2A">
        <w:rPr>
          <w:lang w:eastAsia="bg-BG"/>
        </w:rPr>
        <w:t>Полша</w:t>
      </w:r>
    </w:p>
    <w:p w14:paraId="4AC0E5C3" w14:textId="77777777" w:rsidR="008F2A2A" w:rsidRPr="008F2A2A" w:rsidRDefault="008F2A2A" w:rsidP="008F2A2A"/>
    <w:p w14:paraId="0A53321D" w14:textId="78FC27E5" w:rsidR="00EE6C97" w:rsidRDefault="00936AD0" w:rsidP="00A93499">
      <w:pPr>
        <w:pStyle w:val="Heading1"/>
      </w:pPr>
      <w:r>
        <w:t>8.</w:t>
      </w:r>
      <w:r w:rsidR="002C50EE">
        <w:t>НОМЕР НА РАЗРЕШЕНИЕТО ЗА УПОТРЕБА</w:t>
      </w:r>
    </w:p>
    <w:p w14:paraId="7C9384A2" w14:textId="42543236" w:rsidR="008F2A2A" w:rsidRDefault="008F2A2A" w:rsidP="008F2A2A"/>
    <w:p w14:paraId="33172918" w14:textId="001D1554" w:rsidR="008F2A2A" w:rsidRPr="008F2A2A" w:rsidRDefault="008F2A2A" w:rsidP="008F2A2A">
      <w:r>
        <w:rPr>
          <w:lang w:val="en-US"/>
        </w:rPr>
        <w:t xml:space="preserve">Per. </w:t>
      </w:r>
      <w:r>
        <w:t>№ 20120544</w:t>
      </w:r>
    </w:p>
    <w:p w14:paraId="7C2688F5" w14:textId="6D610EDF" w:rsidR="00F62E44" w:rsidRDefault="00F62E44" w:rsidP="00F62E44"/>
    <w:p w14:paraId="00481C21" w14:textId="7BF84238" w:rsidR="00F62E44" w:rsidRDefault="002C50EE" w:rsidP="00387A66">
      <w:pPr>
        <w:pStyle w:val="Heading1"/>
      </w:pPr>
      <w:r>
        <w:t>9. ДАТА НА ПЪРВО РАЗРЕШАВАНЕ/ПОДНОВЯВАНЕ НА РАЗРЕШЕНИЕТО ЗА УПОТРЕБА</w:t>
      </w:r>
    </w:p>
    <w:p w14:paraId="7E115421" w14:textId="79D56481" w:rsidR="008F2A2A" w:rsidRDefault="008F2A2A" w:rsidP="008F2A2A"/>
    <w:p w14:paraId="38CCB66A" w14:textId="77777777" w:rsidR="008F2A2A" w:rsidRPr="008F2A2A" w:rsidRDefault="008F2A2A" w:rsidP="008F2A2A">
      <w:pPr>
        <w:rPr>
          <w:sz w:val="24"/>
          <w:szCs w:val="24"/>
          <w:lang w:eastAsia="bg-BG"/>
        </w:rPr>
      </w:pPr>
      <w:r w:rsidRPr="008F2A2A">
        <w:rPr>
          <w:lang w:eastAsia="bg-BG"/>
        </w:rPr>
        <w:t>Дата на първо разрешаване: 21.11.2012 г.</w:t>
      </w:r>
    </w:p>
    <w:p w14:paraId="207EDBC6" w14:textId="77777777" w:rsidR="008F2A2A" w:rsidRPr="008F2A2A" w:rsidRDefault="008F2A2A" w:rsidP="008F2A2A">
      <w:pPr>
        <w:rPr>
          <w:sz w:val="24"/>
          <w:szCs w:val="24"/>
          <w:lang w:eastAsia="bg-BG"/>
        </w:rPr>
      </w:pPr>
      <w:r w:rsidRPr="008F2A2A">
        <w:rPr>
          <w:lang w:eastAsia="bg-BG"/>
        </w:rPr>
        <w:t>Дата на последно подновяване: 12.12.2018 г.</w:t>
      </w:r>
    </w:p>
    <w:p w14:paraId="0A7DA612" w14:textId="77777777" w:rsidR="008F2A2A" w:rsidRPr="008F2A2A" w:rsidRDefault="008F2A2A" w:rsidP="008F2A2A"/>
    <w:p w14:paraId="43FB38A2" w14:textId="0C18A683" w:rsidR="007C605B" w:rsidRDefault="002C50EE" w:rsidP="005726E3">
      <w:pPr>
        <w:pStyle w:val="Heading1"/>
      </w:pPr>
      <w:r>
        <w:lastRenderedPageBreak/>
        <w:t>10. ДАТА НА АКТУАЛИЗИРАНЕ НА ТЕКСТА</w:t>
      </w:r>
      <w:bookmarkEnd w:id="0"/>
    </w:p>
    <w:p w14:paraId="472617BD" w14:textId="436B433B" w:rsidR="00BB22B4" w:rsidRPr="00BB22B4" w:rsidRDefault="008F2A2A" w:rsidP="008F2A2A">
      <w:r>
        <w:t>Май 2019 г.</w:t>
      </w:r>
    </w:p>
    <w:sectPr w:rsidR="00BB22B4" w:rsidRPr="00BB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1702E72"/>
    <w:multiLevelType w:val="hybridMultilevel"/>
    <w:tmpl w:val="6A12986E"/>
    <w:lvl w:ilvl="0" w:tplc="E71CAE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D0D9E"/>
    <w:multiLevelType w:val="hybridMultilevel"/>
    <w:tmpl w:val="4E6C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C16F5"/>
    <w:multiLevelType w:val="hybridMultilevel"/>
    <w:tmpl w:val="E5EA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9304D31"/>
    <w:multiLevelType w:val="hybridMultilevel"/>
    <w:tmpl w:val="558E93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D37A7"/>
    <w:multiLevelType w:val="hybridMultilevel"/>
    <w:tmpl w:val="46CC86F0"/>
    <w:lvl w:ilvl="0" w:tplc="D1263D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A00A3"/>
    <w:multiLevelType w:val="hybridMultilevel"/>
    <w:tmpl w:val="5636F1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A66E8"/>
    <w:multiLevelType w:val="hybridMultilevel"/>
    <w:tmpl w:val="3A6829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06251"/>
    <w:multiLevelType w:val="hybridMultilevel"/>
    <w:tmpl w:val="1090AE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 w16cid:durableId="1574118384">
    <w:abstractNumId w:val="32"/>
  </w:num>
  <w:num w:numId="2" w16cid:durableId="1612932146">
    <w:abstractNumId w:val="0"/>
  </w:num>
  <w:num w:numId="3" w16cid:durableId="1810323821">
    <w:abstractNumId w:val="16"/>
  </w:num>
  <w:num w:numId="4" w16cid:durableId="2135319613">
    <w:abstractNumId w:val="3"/>
  </w:num>
  <w:num w:numId="5" w16cid:durableId="740105516">
    <w:abstractNumId w:val="1"/>
  </w:num>
  <w:num w:numId="6" w16cid:durableId="1668363208">
    <w:abstractNumId w:val="20"/>
  </w:num>
  <w:num w:numId="7" w16cid:durableId="1241988161">
    <w:abstractNumId w:val="13"/>
  </w:num>
  <w:num w:numId="8" w16cid:durableId="2102022361">
    <w:abstractNumId w:val="19"/>
  </w:num>
  <w:num w:numId="9" w16cid:durableId="1154613663">
    <w:abstractNumId w:val="2"/>
  </w:num>
  <w:num w:numId="10" w16cid:durableId="1733848127">
    <w:abstractNumId w:val="4"/>
  </w:num>
  <w:num w:numId="11" w16cid:durableId="1861704680">
    <w:abstractNumId w:val="35"/>
  </w:num>
  <w:num w:numId="12" w16cid:durableId="1434934028">
    <w:abstractNumId w:val="17"/>
  </w:num>
  <w:num w:numId="13" w16cid:durableId="479157895">
    <w:abstractNumId w:val="23"/>
  </w:num>
  <w:num w:numId="14" w16cid:durableId="1670476636">
    <w:abstractNumId w:val="15"/>
  </w:num>
  <w:num w:numId="15" w16cid:durableId="1000155783">
    <w:abstractNumId w:val="34"/>
  </w:num>
  <w:num w:numId="16" w16cid:durableId="2056420707">
    <w:abstractNumId w:val="12"/>
  </w:num>
  <w:num w:numId="17" w16cid:durableId="1787119182">
    <w:abstractNumId w:val="28"/>
  </w:num>
  <w:num w:numId="18" w16cid:durableId="722945139">
    <w:abstractNumId w:val="9"/>
  </w:num>
  <w:num w:numId="19" w16cid:durableId="1678728408">
    <w:abstractNumId w:val="31"/>
  </w:num>
  <w:num w:numId="20" w16cid:durableId="1970816657">
    <w:abstractNumId w:val="27"/>
  </w:num>
  <w:num w:numId="21" w16cid:durableId="1531146514">
    <w:abstractNumId w:val="21"/>
  </w:num>
  <w:num w:numId="22" w16cid:durableId="1276465">
    <w:abstractNumId w:val="29"/>
  </w:num>
  <w:num w:numId="23" w16cid:durableId="1624310558">
    <w:abstractNumId w:val="22"/>
  </w:num>
  <w:num w:numId="24" w16cid:durableId="1692877547">
    <w:abstractNumId w:val="10"/>
  </w:num>
  <w:num w:numId="25" w16cid:durableId="50930855">
    <w:abstractNumId w:val="26"/>
  </w:num>
  <w:num w:numId="26" w16cid:durableId="176701536">
    <w:abstractNumId w:val="25"/>
  </w:num>
  <w:num w:numId="27" w16cid:durableId="2050564750">
    <w:abstractNumId w:val="36"/>
  </w:num>
  <w:num w:numId="28" w16cid:durableId="1820733422">
    <w:abstractNumId w:val="6"/>
  </w:num>
  <w:num w:numId="29" w16cid:durableId="973678124">
    <w:abstractNumId w:val="24"/>
  </w:num>
  <w:num w:numId="30" w16cid:durableId="154884452">
    <w:abstractNumId w:val="41"/>
  </w:num>
  <w:num w:numId="31" w16cid:durableId="1053964910">
    <w:abstractNumId w:val="5"/>
  </w:num>
  <w:num w:numId="32" w16cid:durableId="2073575793">
    <w:abstractNumId w:val="39"/>
  </w:num>
  <w:num w:numId="33" w16cid:durableId="1566643170">
    <w:abstractNumId w:val="33"/>
  </w:num>
  <w:num w:numId="34" w16cid:durableId="2060787732">
    <w:abstractNumId w:val="37"/>
  </w:num>
  <w:num w:numId="35" w16cid:durableId="34161354">
    <w:abstractNumId w:val="8"/>
  </w:num>
  <w:num w:numId="36" w16cid:durableId="1976908676">
    <w:abstractNumId w:val="11"/>
  </w:num>
  <w:num w:numId="37" w16cid:durableId="758528303">
    <w:abstractNumId w:val="18"/>
  </w:num>
  <w:num w:numId="38" w16cid:durableId="178396561">
    <w:abstractNumId w:val="40"/>
  </w:num>
  <w:num w:numId="39" w16cid:durableId="934825996">
    <w:abstractNumId w:val="14"/>
  </w:num>
  <w:num w:numId="40" w16cid:durableId="1379546514">
    <w:abstractNumId w:val="30"/>
  </w:num>
  <w:num w:numId="41" w16cid:durableId="732703776">
    <w:abstractNumId w:val="38"/>
  </w:num>
  <w:num w:numId="42" w16cid:durableId="5252949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00"/>
    <w:rsid w:val="00185A46"/>
    <w:rsid w:val="001915B6"/>
    <w:rsid w:val="001A6EBD"/>
    <w:rsid w:val="001D095A"/>
    <w:rsid w:val="001D1B23"/>
    <w:rsid w:val="002B3C38"/>
    <w:rsid w:val="002B4DBB"/>
    <w:rsid w:val="002C50EE"/>
    <w:rsid w:val="00340A0A"/>
    <w:rsid w:val="00340E8D"/>
    <w:rsid w:val="003765DC"/>
    <w:rsid w:val="00387A66"/>
    <w:rsid w:val="00395555"/>
    <w:rsid w:val="003E3126"/>
    <w:rsid w:val="00426E5F"/>
    <w:rsid w:val="00471F10"/>
    <w:rsid w:val="004A448E"/>
    <w:rsid w:val="004D4D6B"/>
    <w:rsid w:val="004F1CE7"/>
    <w:rsid w:val="004F498A"/>
    <w:rsid w:val="00517A5B"/>
    <w:rsid w:val="005726E3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122AD"/>
    <w:rsid w:val="0075649D"/>
    <w:rsid w:val="007C605B"/>
    <w:rsid w:val="008134C8"/>
    <w:rsid w:val="00814073"/>
    <w:rsid w:val="00826F0D"/>
    <w:rsid w:val="00875EEC"/>
    <w:rsid w:val="00893B92"/>
    <w:rsid w:val="008A6AF2"/>
    <w:rsid w:val="008C70A2"/>
    <w:rsid w:val="008F2A2A"/>
    <w:rsid w:val="008F7F23"/>
    <w:rsid w:val="00936AD0"/>
    <w:rsid w:val="00954129"/>
    <w:rsid w:val="009773E4"/>
    <w:rsid w:val="009B171C"/>
    <w:rsid w:val="009F1313"/>
    <w:rsid w:val="009F77A4"/>
    <w:rsid w:val="00A20351"/>
    <w:rsid w:val="00A428B7"/>
    <w:rsid w:val="00A65A81"/>
    <w:rsid w:val="00A71DCF"/>
    <w:rsid w:val="00A93499"/>
    <w:rsid w:val="00AA23EC"/>
    <w:rsid w:val="00AC63CE"/>
    <w:rsid w:val="00AE2107"/>
    <w:rsid w:val="00B275A8"/>
    <w:rsid w:val="00B6672E"/>
    <w:rsid w:val="00BA5B74"/>
    <w:rsid w:val="00BB22B4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B32D3"/>
    <w:rsid w:val="00DD466D"/>
    <w:rsid w:val="00E9184E"/>
    <w:rsid w:val="00EB6364"/>
    <w:rsid w:val="00EE6C97"/>
    <w:rsid w:val="00F348BC"/>
    <w:rsid w:val="00F37B64"/>
    <w:rsid w:val="00F53FB7"/>
    <w:rsid w:val="00F62E4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4473</Words>
  <Characters>25497</Characters>
  <Application>Microsoft Office Word</Application>
  <DocSecurity>0</DocSecurity>
  <Lines>212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2023-03-07T17:35:00Z</dcterms:created>
  <dcterms:modified xsi:type="dcterms:W3CDTF">2023-03-07T17:35:00Z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