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19FF6BB0" w:rsidR="00AA23EC" w:rsidRDefault="00DD466D" w:rsidP="00DD466D">
      <w:pPr>
        <w:pStyle w:val="Heading1"/>
      </w:pPr>
      <w:r>
        <w:t>1.ИМЕ НА ЛЕКАРСТВЕНИЯ ПРОДУКТ</w:t>
      </w:r>
    </w:p>
    <w:p w14:paraId="76D2FF00" w14:textId="178D8875" w:rsidR="00AE7970" w:rsidRDefault="00AE7970" w:rsidP="00AE7970"/>
    <w:p w14:paraId="77E23219" w14:textId="77777777" w:rsidR="00AE7970" w:rsidRPr="00AE7970" w:rsidRDefault="00AE7970" w:rsidP="00AE7970">
      <w:pPr>
        <w:rPr>
          <w:sz w:val="24"/>
          <w:szCs w:val="24"/>
        </w:rPr>
      </w:pPr>
      <w:r w:rsidRPr="00AE7970">
        <w:rPr>
          <w:lang w:eastAsia="bg-BG"/>
        </w:rPr>
        <w:t xml:space="preserve">Пропранолол Актавис 20 </w:t>
      </w:r>
      <w:r w:rsidRPr="00AE7970">
        <w:rPr>
          <w:lang w:val="en-US"/>
        </w:rPr>
        <w:t>mg</w:t>
      </w:r>
      <w:r w:rsidRPr="00AE7970">
        <w:t xml:space="preserve"> </w:t>
      </w:r>
      <w:r w:rsidRPr="00AE7970">
        <w:rPr>
          <w:lang w:eastAsia="bg-BG"/>
        </w:rPr>
        <w:t>таблетки</w:t>
      </w:r>
    </w:p>
    <w:p w14:paraId="2BB8A1E2" w14:textId="3BA8D521" w:rsidR="00AE7970" w:rsidRPr="00AE7970" w:rsidRDefault="00AE7970" w:rsidP="00AE7970">
      <w:r w:rsidRPr="00AE7970">
        <w:rPr>
          <w:lang w:val="en-US"/>
        </w:rPr>
        <w:t>Propranolol</w:t>
      </w:r>
      <w:r w:rsidRPr="00AE7970">
        <w:t xml:space="preserve"> </w:t>
      </w:r>
      <w:r w:rsidRPr="00AE7970">
        <w:rPr>
          <w:lang w:val="en-US"/>
        </w:rPr>
        <w:t>Actavis</w:t>
      </w:r>
      <w:r w:rsidRPr="00AE7970">
        <w:t xml:space="preserve"> </w:t>
      </w:r>
      <w:r w:rsidRPr="00AE7970">
        <w:rPr>
          <w:lang w:eastAsia="bg-BG"/>
        </w:rPr>
        <w:t xml:space="preserve">20 </w:t>
      </w:r>
      <w:r w:rsidRPr="00AE7970">
        <w:rPr>
          <w:lang w:val="en-US"/>
        </w:rPr>
        <w:t>mg</w:t>
      </w:r>
      <w:r w:rsidRPr="00AE7970">
        <w:t xml:space="preserve"> </w:t>
      </w:r>
      <w:r w:rsidRPr="00AE7970">
        <w:rPr>
          <w:lang w:val="en-US"/>
        </w:rPr>
        <w:t>tablets</w:t>
      </w:r>
    </w:p>
    <w:p w14:paraId="0A368469" w14:textId="57052A21" w:rsidR="00C0049F" w:rsidRDefault="00DD466D" w:rsidP="009F1313">
      <w:pPr>
        <w:pStyle w:val="Heading1"/>
      </w:pPr>
      <w:r>
        <w:t>2. КАЧЕСТВЕН И КОЛИЧЕСТВЕН СЪСТАВ</w:t>
      </w:r>
    </w:p>
    <w:p w14:paraId="7C2E1757" w14:textId="0F425F44" w:rsidR="00AE7970" w:rsidRDefault="00AE7970" w:rsidP="00AE7970"/>
    <w:p w14:paraId="20158B93" w14:textId="77777777" w:rsidR="00AE7970" w:rsidRPr="00AE7970" w:rsidRDefault="00AE7970" w:rsidP="00AE7970">
      <w:pPr>
        <w:rPr>
          <w:sz w:val="24"/>
          <w:szCs w:val="24"/>
        </w:rPr>
      </w:pPr>
      <w:r w:rsidRPr="00AE7970">
        <w:rPr>
          <w:lang w:eastAsia="bg-BG"/>
        </w:rPr>
        <w:t xml:space="preserve">Всяка таблетка съдържа 20 </w:t>
      </w:r>
      <w:r w:rsidRPr="00AE7970">
        <w:rPr>
          <w:lang w:val="en-US"/>
        </w:rPr>
        <w:t>mg</w:t>
      </w:r>
      <w:r w:rsidRPr="00AE7970">
        <w:t xml:space="preserve"> </w:t>
      </w:r>
      <w:r w:rsidRPr="00AE7970">
        <w:rPr>
          <w:lang w:eastAsia="bg-BG"/>
        </w:rPr>
        <w:t xml:space="preserve">пропранололов хидрохлорид </w:t>
      </w:r>
      <w:r w:rsidRPr="00AE7970">
        <w:rPr>
          <w:i/>
          <w:iCs/>
        </w:rPr>
        <w:t>(</w:t>
      </w:r>
      <w:r w:rsidRPr="00AE7970">
        <w:rPr>
          <w:i/>
          <w:iCs/>
          <w:lang w:val="en-US"/>
        </w:rPr>
        <w:t>propranolol</w:t>
      </w:r>
      <w:r w:rsidRPr="00AE7970">
        <w:rPr>
          <w:i/>
          <w:iCs/>
        </w:rPr>
        <w:t xml:space="preserve"> </w:t>
      </w:r>
      <w:r w:rsidRPr="00AE7970">
        <w:rPr>
          <w:i/>
          <w:iCs/>
          <w:lang w:val="en-US"/>
        </w:rPr>
        <w:t>hydrochloride</w:t>
      </w:r>
      <w:r w:rsidRPr="00AE7970">
        <w:rPr>
          <w:i/>
          <w:iCs/>
        </w:rPr>
        <w:t>).</w:t>
      </w:r>
    </w:p>
    <w:p w14:paraId="1307D8F2" w14:textId="77777777" w:rsidR="00AE7970" w:rsidRDefault="00AE7970" w:rsidP="00AE7970">
      <w:pPr>
        <w:rPr>
          <w:u w:val="single"/>
          <w:lang w:eastAsia="bg-BG"/>
        </w:rPr>
      </w:pPr>
    </w:p>
    <w:p w14:paraId="75984138" w14:textId="57E8A4D1" w:rsidR="00AE7970" w:rsidRPr="00AE7970" w:rsidRDefault="00AE7970" w:rsidP="00AE7970">
      <w:pPr>
        <w:rPr>
          <w:sz w:val="24"/>
          <w:szCs w:val="24"/>
        </w:rPr>
      </w:pPr>
      <w:r w:rsidRPr="00AE7970">
        <w:rPr>
          <w:u w:val="single"/>
          <w:lang w:eastAsia="bg-BG"/>
        </w:rPr>
        <w:t>Помощни вещества с известно действие:</w:t>
      </w:r>
    </w:p>
    <w:p w14:paraId="6D0AF1BC" w14:textId="77777777" w:rsidR="00AE7970" w:rsidRPr="00AE7970" w:rsidRDefault="00AE7970" w:rsidP="00AE7970">
      <w:pPr>
        <w:rPr>
          <w:sz w:val="24"/>
          <w:szCs w:val="24"/>
        </w:rPr>
      </w:pPr>
      <w:r w:rsidRPr="00AE7970">
        <w:rPr>
          <w:lang w:eastAsia="bg-BG"/>
        </w:rPr>
        <w:t xml:space="preserve">Всяка таблетка съдържа 55 </w:t>
      </w:r>
      <w:r w:rsidRPr="00AE7970">
        <w:rPr>
          <w:lang w:val="en-US"/>
        </w:rPr>
        <w:t>mg</w:t>
      </w:r>
      <w:r w:rsidRPr="00AE7970">
        <w:rPr>
          <w:lang w:val="ru-RU"/>
        </w:rPr>
        <w:t xml:space="preserve"> </w:t>
      </w:r>
      <w:r w:rsidRPr="00AE7970">
        <w:rPr>
          <w:lang w:eastAsia="bg-BG"/>
        </w:rPr>
        <w:t xml:space="preserve">лактоза монохидрат и 42,5 </w:t>
      </w:r>
      <w:r w:rsidRPr="00AE7970">
        <w:rPr>
          <w:lang w:val="en-US"/>
        </w:rPr>
        <w:t>mg</w:t>
      </w:r>
      <w:r w:rsidRPr="00AE7970">
        <w:rPr>
          <w:lang w:val="ru-RU"/>
        </w:rPr>
        <w:t xml:space="preserve"> </w:t>
      </w:r>
      <w:r w:rsidRPr="00AE7970">
        <w:rPr>
          <w:lang w:eastAsia="bg-BG"/>
        </w:rPr>
        <w:t>пшенично нишесте.</w:t>
      </w:r>
    </w:p>
    <w:p w14:paraId="004D7485" w14:textId="77777777" w:rsidR="00AE7970" w:rsidRPr="00AE7970" w:rsidRDefault="00AE7970" w:rsidP="00AE7970"/>
    <w:p w14:paraId="614984C4" w14:textId="2F1A686C" w:rsidR="008A6AF2" w:rsidRDefault="00DD466D" w:rsidP="002C50EE">
      <w:pPr>
        <w:pStyle w:val="Heading1"/>
      </w:pPr>
      <w:r>
        <w:t>3. ЛЕКАРСТВЕНА ФОРМА</w:t>
      </w:r>
    </w:p>
    <w:p w14:paraId="2324CD08" w14:textId="55DA5E8F" w:rsidR="00AE7970" w:rsidRDefault="00AE7970" w:rsidP="00AE7970"/>
    <w:p w14:paraId="0EE44616" w14:textId="77777777" w:rsidR="00AE7970" w:rsidRPr="00AE7970" w:rsidRDefault="00AE7970" w:rsidP="00AE7970">
      <w:pPr>
        <w:rPr>
          <w:sz w:val="24"/>
          <w:szCs w:val="24"/>
        </w:rPr>
      </w:pPr>
      <w:r w:rsidRPr="00AE7970">
        <w:rPr>
          <w:lang w:eastAsia="bg-BG"/>
        </w:rPr>
        <w:t>Таблетка</w:t>
      </w:r>
    </w:p>
    <w:p w14:paraId="666162AD" w14:textId="77777777" w:rsidR="00AE7970" w:rsidRPr="00AE7970" w:rsidRDefault="00AE7970" w:rsidP="00AE7970">
      <w:pPr>
        <w:rPr>
          <w:sz w:val="24"/>
          <w:szCs w:val="24"/>
        </w:rPr>
      </w:pPr>
      <w:r w:rsidRPr="00AE7970">
        <w:rPr>
          <w:lang w:eastAsia="bg-BG"/>
        </w:rPr>
        <w:t>Кръгли, плоски таблетки с бял или почти бял цвят, двустранна фасета и черта от едната страна.Таблетката може да бъде разделена на две равни дози</w:t>
      </w:r>
    </w:p>
    <w:p w14:paraId="356A65B2" w14:textId="77777777" w:rsidR="00AE7970" w:rsidRPr="00AE7970" w:rsidRDefault="00AE7970" w:rsidP="00AE7970"/>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411378E4" w:rsidR="00395555" w:rsidRDefault="00395555" w:rsidP="00395555"/>
    <w:p w14:paraId="2AB72869" w14:textId="77777777" w:rsidR="00AE7970" w:rsidRPr="00AE7970" w:rsidRDefault="00AE7970" w:rsidP="00AE7970">
      <w:pPr>
        <w:pStyle w:val="ListParagraph"/>
        <w:numPr>
          <w:ilvl w:val="0"/>
          <w:numId w:val="32"/>
        </w:numPr>
        <w:rPr>
          <w:lang w:eastAsia="bg-BG"/>
        </w:rPr>
      </w:pPr>
      <w:r w:rsidRPr="00AE7970">
        <w:rPr>
          <w:lang w:eastAsia="bg-BG"/>
        </w:rPr>
        <w:t>Артериална хипертония.</w:t>
      </w:r>
    </w:p>
    <w:p w14:paraId="4F96039C" w14:textId="77777777" w:rsidR="00AE7970" w:rsidRPr="00AE7970" w:rsidRDefault="00AE7970" w:rsidP="00AE7970">
      <w:pPr>
        <w:pStyle w:val="ListParagraph"/>
        <w:numPr>
          <w:ilvl w:val="0"/>
          <w:numId w:val="32"/>
        </w:numPr>
        <w:rPr>
          <w:lang w:eastAsia="bg-BG"/>
        </w:rPr>
      </w:pPr>
      <w:r w:rsidRPr="00AE7970">
        <w:rPr>
          <w:lang w:eastAsia="bg-BG"/>
        </w:rPr>
        <w:t>Ангина пекторис.</w:t>
      </w:r>
    </w:p>
    <w:p w14:paraId="49154BBE" w14:textId="652351DC" w:rsidR="00AE7970" w:rsidRPr="00AE7970" w:rsidRDefault="00AE7970" w:rsidP="00AE7970">
      <w:pPr>
        <w:pStyle w:val="ListParagraph"/>
        <w:numPr>
          <w:ilvl w:val="0"/>
          <w:numId w:val="32"/>
        </w:numPr>
        <w:rPr>
          <w:lang w:eastAsia="bg-BG"/>
        </w:rPr>
      </w:pPr>
      <w:r>
        <w:rPr>
          <w:lang w:eastAsia="bg-BG"/>
        </w:rPr>
        <w:t xml:space="preserve">Продължителна профилактика срещу </w:t>
      </w:r>
      <w:r w:rsidRPr="00AE7970">
        <w:rPr>
          <w:lang w:eastAsia="bg-BG"/>
        </w:rPr>
        <w:t>повторен инфаркт след възстановяване от остър</w:t>
      </w:r>
    </w:p>
    <w:p w14:paraId="51078A38" w14:textId="77777777" w:rsidR="00AE7970" w:rsidRPr="00AE7970" w:rsidRDefault="00AE7970" w:rsidP="00AE7970">
      <w:pPr>
        <w:pStyle w:val="ListParagraph"/>
        <w:numPr>
          <w:ilvl w:val="0"/>
          <w:numId w:val="32"/>
        </w:numPr>
        <w:rPr>
          <w:sz w:val="24"/>
          <w:szCs w:val="24"/>
        </w:rPr>
      </w:pPr>
      <w:r w:rsidRPr="00AE7970">
        <w:rPr>
          <w:lang w:eastAsia="bg-BG"/>
        </w:rPr>
        <w:t>инфаркт на миокарда.</w:t>
      </w:r>
    </w:p>
    <w:p w14:paraId="294E6A26" w14:textId="77777777" w:rsidR="00AE7970" w:rsidRPr="00AE7970" w:rsidRDefault="00AE7970" w:rsidP="00AE7970">
      <w:pPr>
        <w:pStyle w:val="ListParagraph"/>
        <w:numPr>
          <w:ilvl w:val="0"/>
          <w:numId w:val="32"/>
        </w:numPr>
        <w:rPr>
          <w:lang w:eastAsia="bg-BG"/>
        </w:rPr>
      </w:pPr>
      <w:r w:rsidRPr="00AE7970">
        <w:rPr>
          <w:lang w:eastAsia="bg-BG"/>
        </w:rPr>
        <w:t>Хипертрофична обструктивна кардиомиопатия.</w:t>
      </w:r>
    </w:p>
    <w:p w14:paraId="404B0B8C" w14:textId="77777777" w:rsidR="00AE7970" w:rsidRPr="00AE7970" w:rsidRDefault="00AE7970" w:rsidP="00AE7970">
      <w:pPr>
        <w:pStyle w:val="ListParagraph"/>
        <w:numPr>
          <w:ilvl w:val="0"/>
          <w:numId w:val="32"/>
        </w:numPr>
        <w:rPr>
          <w:lang w:eastAsia="bg-BG"/>
        </w:rPr>
      </w:pPr>
      <w:r w:rsidRPr="00AE7970">
        <w:rPr>
          <w:lang w:eastAsia="bg-BG"/>
        </w:rPr>
        <w:t>Есенциален тремор.</w:t>
      </w:r>
    </w:p>
    <w:p w14:paraId="1A06C83D" w14:textId="77777777" w:rsidR="00AE7970" w:rsidRPr="00AE7970" w:rsidRDefault="00AE7970" w:rsidP="00AE7970">
      <w:pPr>
        <w:pStyle w:val="ListParagraph"/>
        <w:numPr>
          <w:ilvl w:val="0"/>
          <w:numId w:val="32"/>
        </w:numPr>
        <w:rPr>
          <w:lang w:eastAsia="bg-BG"/>
        </w:rPr>
      </w:pPr>
      <w:r w:rsidRPr="00AE7970">
        <w:rPr>
          <w:lang w:eastAsia="bg-BG"/>
        </w:rPr>
        <w:t>Облекчаване симптомите на ситуационно и общо безпокойство, особено такива от соматичен тип.</w:t>
      </w:r>
    </w:p>
    <w:p w14:paraId="113C7F7D" w14:textId="77777777" w:rsidR="00AE7970" w:rsidRPr="00AE7970" w:rsidRDefault="00AE7970" w:rsidP="00AE7970">
      <w:pPr>
        <w:pStyle w:val="ListParagraph"/>
        <w:numPr>
          <w:ilvl w:val="0"/>
          <w:numId w:val="32"/>
        </w:numPr>
        <w:rPr>
          <w:lang w:eastAsia="bg-BG"/>
        </w:rPr>
      </w:pPr>
      <w:r w:rsidRPr="00AE7970">
        <w:rPr>
          <w:lang w:eastAsia="bg-BG"/>
        </w:rPr>
        <w:t>Контрол на ритъмни нарушения на сърдечната дейност от различен произход.</w:t>
      </w:r>
    </w:p>
    <w:p w14:paraId="58F3A225" w14:textId="77777777" w:rsidR="00AE7970" w:rsidRPr="00AE7970" w:rsidRDefault="00AE7970" w:rsidP="00AE7970">
      <w:pPr>
        <w:pStyle w:val="ListParagraph"/>
        <w:numPr>
          <w:ilvl w:val="0"/>
          <w:numId w:val="32"/>
        </w:numPr>
        <w:rPr>
          <w:lang w:eastAsia="bg-BG"/>
        </w:rPr>
      </w:pPr>
      <w:r w:rsidRPr="00AE7970">
        <w:rPr>
          <w:lang w:eastAsia="bg-BG"/>
        </w:rPr>
        <w:t>Съпътстващо лечение при тиреотоксикоза и тиреотоксични кризи.</w:t>
      </w:r>
    </w:p>
    <w:p w14:paraId="15A04713" w14:textId="77777777" w:rsidR="00AE7970" w:rsidRPr="00AE7970" w:rsidRDefault="00AE7970" w:rsidP="00AE7970">
      <w:pPr>
        <w:pStyle w:val="ListParagraph"/>
        <w:numPr>
          <w:ilvl w:val="0"/>
          <w:numId w:val="32"/>
        </w:numPr>
        <w:rPr>
          <w:lang w:eastAsia="bg-BG"/>
        </w:rPr>
      </w:pPr>
      <w:r w:rsidRPr="00AE7970">
        <w:rPr>
          <w:lang w:eastAsia="bg-BG"/>
        </w:rPr>
        <w:t>Периоперативно лечение на феохромоцитом (заедно с алфа-блокер).</w:t>
      </w:r>
    </w:p>
    <w:p w14:paraId="40D37161" w14:textId="77777777" w:rsidR="00AE7970" w:rsidRPr="00AE7970" w:rsidRDefault="00AE7970" w:rsidP="00AE7970">
      <w:pPr>
        <w:pStyle w:val="ListParagraph"/>
        <w:numPr>
          <w:ilvl w:val="0"/>
          <w:numId w:val="32"/>
        </w:numPr>
        <w:rPr>
          <w:lang w:eastAsia="bg-BG"/>
        </w:rPr>
      </w:pPr>
      <w:r w:rsidRPr="00AE7970">
        <w:rPr>
          <w:lang w:eastAsia="bg-BG"/>
        </w:rPr>
        <w:t>Профилактика на мигрена.</w:t>
      </w:r>
    </w:p>
    <w:p w14:paraId="0AB1690A" w14:textId="77777777" w:rsidR="00AE7970" w:rsidRPr="00AE7970" w:rsidRDefault="00AE7970" w:rsidP="00AE7970">
      <w:pPr>
        <w:pStyle w:val="ListParagraph"/>
        <w:numPr>
          <w:ilvl w:val="0"/>
          <w:numId w:val="32"/>
        </w:numPr>
        <w:rPr>
          <w:lang w:eastAsia="bg-BG"/>
        </w:rPr>
      </w:pPr>
      <w:r w:rsidRPr="00AE7970">
        <w:rPr>
          <w:lang w:eastAsia="bg-BG"/>
        </w:rPr>
        <w:t>Профилактика на кървене от горната част на стомашно-чревния тракт при пациенти с портална хипертония и варици на хранопровода.</w:t>
      </w:r>
    </w:p>
    <w:p w14:paraId="53174D18" w14:textId="77777777" w:rsidR="00AE7970" w:rsidRPr="00AE7970" w:rsidRDefault="00AE7970" w:rsidP="00AE7970">
      <w:pPr>
        <w:pStyle w:val="ListParagraph"/>
        <w:numPr>
          <w:ilvl w:val="0"/>
          <w:numId w:val="32"/>
        </w:numPr>
        <w:rPr>
          <w:lang w:eastAsia="bg-BG"/>
        </w:rPr>
      </w:pPr>
      <w:r w:rsidRPr="00AE7970">
        <w:rPr>
          <w:lang w:eastAsia="bg-BG"/>
        </w:rPr>
        <w:t>Хиперкинетичен сърдечен синдром.</w:t>
      </w:r>
    </w:p>
    <w:p w14:paraId="231187D7" w14:textId="77777777" w:rsidR="00AE7970" w:rsidRPr="00395555" w:rsidRDefault="00AE7970" w:rsidP="00395555"/>
    <w:p w14:paraId="7C0CA5EB" w14:textId="17085697" w:rsidR="00C0049F" w:rsidRDefault="002C50EE" w:rsidP="009F1313">
      <w:pPr>
        <w:pStyle w:val="Heading2"/>
      </w:pPr>
      <w:r>
        <w:lastRenderedPageBreak/>
        <w:t>4.2. Дозировка и начин на приложение</w:t>
      </w:r>
    </w:p>
    <w:p w14:paraId="35EEA763" w14:textId="1F985436" w:rsidR="00AE7970" w:rsidRDefault="00AE7970" w:rsidP="00AE7970"/>
    <w:p w14:paraId="1255BCE6" w14:textId="77777777" w:rsidR="00AE7970" w:rsidRPr="00AE7970" w:rsidRDefault="00AE7970" w:rsidP="00AE7970">
      <w:pPr>
        <w:pStyle w:val="Heading3"/>
        <w:rPr>
          <w:rFonts w:eastAsia="Times New Roman"/>
          <w:sz w:val="28"/>
          <w:u w:val="single"/>
        </w:rPr>
      </w:pPr>
      <w:r w:rsidRPr="00AE7970">
        <w:rPr>
          <w:rFonts w:eastAsia="Times New Roman"/>
          <w:u w:val="single"/>
          <w:lang w:eastAsia="bg-BG"/>
        </w:rPr>
        <w:t>Дозировка</w:t>
      </w:r>
    </w:p>
    <w:p w14:paraId="79EA2F99" w14:textId="77777777" w:rsidR="00AE7970" w:rsidRPr="00AE7970" w:rsidRDefault="00AE7970" w:rsidP="00AE7970">
      <w:pPr>
        <w:spacing w:line="240" w:lineRule="auto"/>
        <w:rPr>
          <w:rFonts w:eastAsia="Times New Roman" w:cs="Arial"/>
          <w:color w:val="000000"/>
          <w:szCs w:val="20"/>
          <w:u w:val="single"/>
          <w:lang w:eastAsia="bg-BG"/>
        </w:rPr>
      </w:pPr>
    </w:p>
    <w:p w14:paraId="7E3C91DA" w14:textId="3F7801CF"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u w:val="single"/>
          <w:lang w:eastAsia="bg-BG"/>
        </w:rPr>
        <w:t>Възрастни</w:t>
      </w:r>
    </w:p>
    <w:p w14:paraId="31E36DE4" w14:textId="3027DD7E" w:rsidR="00AE7970" w:rsidRPr="00AE7970" w:rsidRDefault="00AE7970" w:rsidP="00AE7970">
      <w:pPr>
        <w:rPr>
          <w:rFonts w:eastAsia="Times New Roman" w:cs="Arial"/>
          <w:i/>
          <w:iCs/>
          <w:color w:val="000000"/>
          <w:szCs w:val="20"/>
          <w:lang w:eastAsia="bg-BG"/>
        </w:rPr>
      </w:pPr>
      <w:r w:rsidRPr="00AE7970">
        <w:rPr>
          <w:rFonts w:eastAsia="Times New Roman" w:cs="Arial"/>
          <w:i/>
          <w:iCs/>
          <w:color w:val="000000"/>
          <w:szCs w:val="20"/>
          <w:lang w:eastAsia="bg-BG"/>
        </w:rPr>
        <w:t>Ангина, мигрена и есенциапен тремор</w:t>
      </w:r>
    </w:p>
    <w:p w14:paraId="3B346235" w14:textId="186EA39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Начална доза 40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два-три пъти дневно, която може да се повиши със същото количество на интервали от една седмица в зависимост от отговора на пациента. Адекватен отговор при мигрена и есенциален тремор обикновено се наблюдава при дози 80-160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дневно, а при ангина пекторис при 120-240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дневно.</w:t>
      </w:r>
    </w:p>
    <w:p w14:paraId="51A740D2" w14:textId="77777777" w:rsidR="00AE7970" w:rsidRPr="00AE7970" w:rsidRDefault="00AE7970" w:rsidP="00AE7970">
      <w:pPr>
        <w:spacing w:line="240" w:lineRule="auto"/>
        <w:rPr>
          <w:rFonts w:eastAsia="Times New Roman" w:cs="Arial"/>
          <w:i/>
          <w:iCs/>
          <w:color w:val="000000"/>
          <w:szCs w:val="20"/>
          <w:lang w:eastAsia="bg-BG"/>
        </w:rPr>
      </w:pPr>
    </w:p>
    <w:p w14:paraId="63A85A60" w14:textId="6A4E1C79"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Хипертония</w:t>
      </w:r>
    </w:p>
    <w:p w14:paraId="4CA00DE2"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Начална доза 80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два пъти дневно, като тази доза може да се повишава на интервали от една седмица в зависимост от отговора на пациента. Обичайната дозировка е 160-320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дневно. При едновременно прилагане на диуретици или други антихипертензивни средства се постига допълнително понижаване на артериалното налягане.</w:t>
      </w:r>
    </w:p>
    <w:p w14:paraId="1FF08C96" w14:textId="77777777" w:rsidR="00AE7970" w:rsidRPr="00AE7970" w:rsidRDefault="00AE7970" w:rsidP="00AE7970">
      <w:pPr>
        <w:spacing w:line="240" w:lineRule="auto"/>
        <w:rPr>
          <w:rFonts w:eastAsia="Times New Roman" w:cs="Arial"/>
          <w:i/>
          <w:iCs/>
          <w:color w:val="000000"/>
          <w:szCs w:val="20"/>
          <w:lang w:eastAsia="bg-BG"/>
        </w:rPr>
      </w:pPr>
    </w:p>
    <w:p w14:paraId="33417E5B" w14:textId="5889222A"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Аритмии, тахикардия при безпокойство, хипертрофична обструктивна кардиомиопатия и тиреотоксикоза</w:t>
      </w:r>
    </w:p>
    <w:p w14:paraId="72992812"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При повечето пациенти се наблюдава ефект при доза 10-40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три-четири пъти дневно.</w:t>
      </w:r>
    </w:p>
    <w:p w14:paraId="4EACDC38" w14:textId="77777777" w:rsidR="00AE7970" w:rsidRPr="00AE7970" w:rsidRDefault="00AE7970" w:rsidP="00AE7970">
      <w:pPr>
        <w:spacing w:line="240" w:lineRule="auto"/>
        <w:rPr>
          <w:rFonts w:eastAsia="Times New Roman" w:cs="Arial"/>
          <w:i/>
          <w:iCs/>
          <w:color w:val="000000"/>
          <w:szCs w:val="20"/>
          <w:lang w:eastAsia="bg-BG"/>
        </w:rPr>
      </w:pPr>
    </w:p>
    <w:p w14:paraId="78A33186" w14:textId="5AC4E5B3"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Ситуационно и общо безпокойство</w:t>
      </w:r>
    </w:p>
    <w:p w14:paraId="27AFCC9B"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Приложевнието на доза от 40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дневно може да доведе до краткосрочно облекчение на острото ситуационно безпокойство. Безпокойството от общ характер, което изисква продължителна терапия, обикновено се повлиява от 40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два пъти дневно, като тази доза в отделни случаи може да бъде повишена до 40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три пъти дневно. Лечението трябва да продължи в зависимост от терапевтичния ефект. Пациентите трябва да бъдат изследвани след лечение продължило от шест до дванадесет месеца.</w:t>
      </w:r>
    </w:p>
    <w:p w14:paraId="6DD335D4" w14:textId="77777777" w:rsidR="00AE7970" w:rsidRPr="00AE7970" w:rsidRDefault="00AE7970" w:rsidP="00AE7970">
      <w:pPr>
        <w:spacing w:line="240" w:lineRule="auto"/>
        <w:rPr>
          <w:rFonts w:eastAsia="Times New Roman" w:cs="Arial"/>
          <w:i/>
          <w:iCs/>
          <w:color w:val="000000"/>
          <w:szCs w:val="20"/>
          <w:lang w:eastAsia="bg-BG"/>
        </w:rPr>
      </w:pPr>
    </w:p>
    <w:p w14:paraId="1E491194" w14:textId="053F70B3"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Състояние след инфаркт на миокарда</w:t>
      </w:r>
    </w:p>
    <w:p w14:paraId="7434283D"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Лечението трябва да започне между 5-ия и 21-ия ден след инфаркт на миокарда с начална доза 40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четири пъти дневно </w:t>
      </w:r>
      <w:r w:rsidRPr="00AE7970">
        <w:rPr>
          <w:rFonts w:eastAsia="Times New Roman" w:cs="Arial"/>
          <w:i/>
          <w:iCs/>
          <w:color w:val="000000"/>
          <w:szCs w:val="20"/>
          <w:lang w:eastAsia="bg-BG"/>
        </w:rPr>
        <w:t>в</w:t>
      </w:r>
      <w:r w:rsidRPr="00AE7970">
        <w:rPr>
          <w:rFonts w:eastAsia="Times New Roman" w:cs="Arial"/>
          <w:color w:val="000000"/>
          <w:szCs w:val="20"/>
          <w:lang w:eastAsia="bg-BG"/>
        </w:rPr>
        <w:t xml:space="preserve"> продължение на два до три дни. За по-добър комплайънс след това, цялата дневна доза може да се прилага като 80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два пъти дневно.</w:t>
      </w:r>
    </w:p>
    <w:p w14:paraId="22828BF1" w14:textId="77777777" w:rsidR="00AE7970" w:rsidRPr="00AE7970" w:rsidRDefault="00AE7970" w:rsidP="00AE7970">
      <w:pPr>
        <w:spacing w:line="240" w:lineRule="auto"/>
        <w:rPr>
          <w:rFonts w:eastAsia="Times New Roman" w:cs="Arial"/>
          <w:i/>
          <w:iCs/>
          <w:color w:val="000000"/>
          <w:szCs w:val="20"/>
          <w:lang w:eastAsia="bg-BG"/>
        </w:rPr>
      </w:pPr>
    </w:p>
    <w:p w14:paraId="0FF8A553" w14:textId="5E314074"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Феохромоцитом</w:t>
      </w:r>
      <w:r w:rsidRPr="00AE7970">
        <w:rPr>
          <w:rFonts w:eastAsia="Times New Roman" w:cs="Arial"/>
          <w:color w:val="000000"/>
          <w:szCs w:val="20"/>
          <w:lang w:eastAsia="bg-BG"/>
        </w:rPr>
        <w:t xml:space="preserve"> (използва се само заедно с алфа-рецепторен блокер)</w:t>
      </w:r>
    </w:p>
    <w:p w14:paraId="50EB09B0"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Преди операция се препоръчва 60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дневно в продължение на три дни. В случай на неоперабилен злокачествен тумор се препоръчва доза от 30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дневно.</w:t>
      </w:r>
    </w:p>
    <w:p w14:paraId="0029C9D9" w14:textId="77777777" w:rsidR="00AE7970" w:rsidRPr="00AE7970" w:rsidRDefault="00AE7970" w:rsidP="00AE7970">
      <w:pPr>
        <w:spacing w:line="240" w:lineRule="auto"/>
        <w:rPr>
          <w:rFonts w:eastAsia="Times New Roman" w:cs="Arial"/>
          <w:i/>
          <w:iCs/>
          <w:color w:val="000000"/>
          <w:szCs w:val="20"/>
          <w:lang w:eastAsia="bg-BG"/>
        </w:rPr>
      </w:pPr>
    </w:p>
    <w:p w14:paraId="63DF890A" w14:textId="4180AAEB"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Портална хипертензия</w:t>
      </w:r>
    </w:p>
    <w:p w14:paraId="11993840"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Дозата трябва да се титрира до постигане на приблизително 25% понижение на сърдечната честота в покой. Дозирането трябва да започне с 40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два пъти дневно, като дозата се повишава до 80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два пъти дневно в зависимост от терапевтичния ефект върху сърдечната честота. При необходимост дозата може да се повишава постепенно до максимум 160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два пъти дневно.</w:t>
      </w:r>
    </w:p>
    <w:p w14:paraId="544A4D34" w14:textId="77777777" w:rsidR="00AE7970" w:rsidRPr="00AE7970" w:rsidRDefault="00AE7970" w:rsidP="00AE7970">
      <w:pPr>
        <w:spacing w:line="240" w:lineRule="auto"/>
        <w:rPr>
          <w:rFonts w:eastAsia="Times New Roman" w:cs="Arial"/>
          <w:i/>
          <w:iCs/>
          <w:color w:val="000000"/>
          <w:szCs w:val="20"/>
          <w:lang w:eastAsia="bg-BG"/>
        </w:rPr>
      </w:pPr>
    </w:p>
    <w:p w14:paraId="3E0FAD24" w14:textId="05D4EB0F"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Хиперкинетичен сърдечен синдром</w:t>
      </w:r>
    </w:p>
    <w:p w14:paraId="7A721943"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По 20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2-4 пъти дневно (съответстващо на 40-80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пропранололов хидрохлорид дневно) до 120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дневно при необходимост.</w:t>
      </w:r>
    </w:p>
    <w:p w14:paraId="30353F94" w14:textId="77777777" w:rsidR="00AE7970" w:rsidRPr="00AE7970" w:rsidRDefault="00AE7970" w:rsidP="00AE7970">
      <w:pPr>
        <w:spacing w:line="240" w:lineRule="auto"/>
        <w:rPr>
          <w:rFonts w:eastAsia="Times New Roman" w:cs="Arial"/>
          <w:i/>
          <w:iCs/>
          <w:color w:val="000000"/>
          <w:szCs w:val="20"/>
          <w:lang w:eastAsia="bg-BG"/>
        </w:rPr>
      </w:pPr>
    </w:p>
    <w:p w14:paraId="064021B8" w14:textId="7A47D14C"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lastRenderedPageBreak/>
        <w:t>Старческа възраст</w:t>
      </w:r>
    </w:p>
    <w:p w14:paraId="655A456A"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Данните относно връзката между плазмените концентрации и възрастта са противоречиви. При пациентите в старческа възраст оптималната доза трябва да се определи индивидуално според клиничния отговор.</w:t>
      </w:r>
    </w:p>
    <w:p w14:paraId="2CF2D0FA" w14:textId="77777777" w:rsidR="00AE7970" w:rsidRPr="00AE7970" w:rsidRDefault="00AE7970" w:rsidP="00AE7970">
      <w:pPr>
        <w:spacing w:line="240" w:lineRule="auto"/>
        <w:rPr>
          <w:rFonts w:eastAsia="Times New Roman" w:cs="Arial"/>
          <w:i/>
          <w:iCs/>
          <w:color w:val="000000"/>
          <w:szCs w:val="20"/>
          <w:lang w:eastAsia="bg-BG"/>
        </w:rPr>
      </w:pPr>
    </w:p>
    <w:p w14:paraId="5325EED7" w14:textId="067761E2"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Чернодробни и бъбречни нарушения</w:t>
      </w:r>
    </w:p>
    <w:p w14:paraId="71488731" w14:textId="0468E79F" w:rsidR="00AE7970" w:rsidRPr="00AE7970" w:rsidRDefault="00AE7970" w:rsidP="00AE7970">
      <w:pPr>
        <w:spacing w:line="240" w:lineRule="auto"/>
        <w:rPr>
          <w:rFonts w:eastAsia="Times New Roman" w:cs="Arial"/>
          <w:color w:val="000000"/>
          <w:szCs w:val="20"/>
          <w:lang w:eastAsia="bg-BG"/>
        </w:rPr>
      </w:pPr>
      <w:r w:rsidRPr="00AE7970">
        <w:rPr>
          <w:rFonts w:eastAsia="Times New Roman" w:cs="Arial"/>
          <w:color w:val="000000"/>
          <w:szCs w:val="20"/>
          <w:lang w:eastAsia="bg-BG"/>
        </w:rPr>
        <w:t>При пациенти със значително чернодробно или бъбречно нарушение времето на полуживот може да бъде удължено, поради което се изисква внимание в началото на терапията и при определяне на първоначалната доза.</w:t>
      </w:r>
    </w:p>
    <w:p w14:paraId="478A5EC2" w14:textId="22620175" w:rsidR="00AE7970" w:rsidRPr="00AE7970" w:rsidRDefault="00AE7970" w:rsidP="00AE7970">
      <w:pPr>
        <w:spacing w:line="240" w:lineRule="auto"/>
        <w:rPr>
          <w:rFonts w:eastAsia="Times New Roman" w:cs="Arial"/>
          <w:color w:val="000000"/>
          <w:szCs w:val="20"/>
          <w:lang w:eastAsia="bg-BG"/>
        </w:rPr>
      </w:pPr>
    </w:p>
    <w:p w14:paraId="52BF35D3" w14:textId="77777777"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u w:val="single"/>
          <w:lang w:eastAsia="bg-BG"/>
        </w:rPr>
        <w:t>Педиатрична популация</w:t>
      </w:r>
    </w:p>
    <w:p w14:paraId="0C80D36C" w14:textId="77777777"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Аритмии</w:t>
      </w:r>
    </w:p>
    <w:p w14:paraId="453B7BB3"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Дозата се определя индивидуално и следните дози са само насочващи: 0,25-0,5 </w:t>
      </w:r>
      <w:r w:rsidRPr="00AE7970">
        <w:rPr>
          <w:rFonts w:eastAsia="Times New Roman" w:cs="Arial"/>
          <w:color w:val="000000"/>
          <w:szCs w:val="20"/>
          <w:lang w:val="en-US"/>
        </w:rPr>
        <w:t>mg</w:t>
      </w:r>
      <w:r w:rsidRPr="00AE7970">
        <w:rPr>
          <w:rFonts w:eastAsia="Times New Roman" w:cs="Arial"/>
          <w:color w:val="000000"/>
          <w:szCs w:val="20"/>
          <w:lang w:val="ru-RU"/>
        </w:rPr>
        <w:t>/</w:t>
      </w:r>
      <w:r w:rsidRPr="00AE7970">
        <w:rPr>
          <w:rFonts w:eastAsia="Times New Roman" w:cs="Arial"/>
          <w:color w:val="000000"/>
          <w:szCs w:val="20"/>
          <w:lang w:val="en-US"/>
        </w:rPr>
        <w:t>kg</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три-четири пъти дневно, в зависимост от терапевтичния отговор. Максимално 1 </w:t>
      </w:r>
      <w:r w:rsidRPr="00AE7970">
        <w:rPr>
          <w:rFonts w:eastAsia="Times New Roman" w:cs="Arial"/>
          <w:color w:val="000000"/>
          <w:szCs w:val="20"/>
          <w:lang w:val="en-US"/>
        </w:rPr>
        <w:t>mg</w:t>
      </w:r>
      <w:r w:rsidRPr="00AE7970">
        <w:rPr>
          <w:rFonts w:eastAsia="Times New Roman" w:cs="Arial"/>
          <w:color w:val="000000"/>
          <w:szCs w:val="20"/>
          <w:lang w:val="ru-RU"/>
        </w:rPr>
        <w:t>/</w:t>
      </w:r>
      <w:r w:rsidRPr="00AE7970">
        <w:rPr>
          <w:rFonts w:eastAsia="Times New Roman" w:cs="Arial"/>
          <w:color w:val="000000"/>
          <w:szCs w:val="20"/>
          <w:lang w:val="en-US"/>
        </w:rPr>
        <w:t>kg</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4 пъти дневно, като общата дневна доза не трябва да надвишава 160 </w:t>
      </w:r>
      <w:r w:rsidRPr="00AE7970">
        <w:rPr>
          <w:rFonts w:eastAsia="Times New Roman" w:cs="Arial"/>
          <w:color w:val="000000"/>
          <w:szCs w:val="20"/>
          <w:lang w:val="en-US"/>
        </w:rPr>
        <w:t>mg</w:t>
      </w:r>
      <w:r w:rsidRPr="00AE7970">
        <w:rPr>
          <w:rFonts w:eastAsia="Times New Roman" w:cs="Arial"/>
          <w:color w:val="000000"/>
          <w:szCs w:val="20"/>
          <w:lang w:val="ru-RU"/>
        </w:rPr>
        <w:t>.</w:t>
      </w:r>
    </w:p>
    <w:p w14:paraId="649AA448" w14:textId="77777777" w:rsidR="00AE7970" w:rsidRPr="00AE7970" w:rsidRDefault="00AE7970" w:rsidP="00AE7970">
      <w:pPr>
        <w:spacing w:line="240" w:lineRule="auto"/>
        <w:rPr>
          <w:rFonts w:eastAsia="Times New Roman" w:cs="Arial"/>
          <w:color w:val="000000"/>
          <w:szCs w:val="20"/>
          <w:u w:val="single"/>
          <w:lang w:eastAsia="bg-BG"/>
        </w:rPr>
      </w:pPr>
    </w:p>
    <w:p w14:paraId="160554FA" w14:textId="5430863D" w:rsidR="00AE7970" w:rsidRPr="00AE7970" w:rsidRDefault="00AE7970" w:rsidP="00AE7970">
      <w:pPr>
        <w:pStyle w:val="Heading3"/>
        <w:rPr>
          <w:rFonts w:eastAsia="Times New Roman"/>
          <w:sz w:val="28"/>
          <w:u w:val="single"/>
        </w:rPr>
      </w:pPr>
      <w:r w:rsidRPr="00AE7970">
        <w:rPr>
          <w:rFonts w:eastAsia="Times New Roman"/>
          <w:u w:val="single"/>
          <w:lang w:eastAsia="bg-BG"/>
        </w:rPr>
        <w:t>Начин на приложение</w:t>
      </w:r>
    </w:p>
    <w:p w14:paraId="24DEBC33" w14:textId="6599B13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Перорално приложение. Таблетките трябва да се приемат преди хранене.</w:t>
      </w:r>
    </w:p>
    <w:p w14:paraId="10ABB1C3" w14:textId="77777777" w:rsidR="00AE7970" w:rsidRPr="00AE7970" w:rsidRDefault="00AE7970" w:rsidP="00AE7970"/>
    <w:p w14:paraId="62B13D0B" w14:textId="13DE52B8" w:rsidR="00395555" w:rsidRDefault="002C50EE" w:rsidP="008A6AF2">
      <w:pPr>
        <w:pStyle w:val="Heading2"/>
      </w:pPr>
      <w:r>
        <w:t>4.3. Противопоказания</w:t>
      </w:r>
    </w:p>
    <w:p w14:paraId="531813C4" w14:textId="5DBB2583" w:rsidR="00AE7970" w:rsidRDefault="00AE7970" w:rsidP="00AE7970"/>
    <w:p w14:paraId="2E77A08A" w14:textId="77777777" w:rsidR="00AE7970" w:rsidRPr="00AE7970" w:rsidRDefault="00AE7970" w:rsidP="00AE7970">
      <w:pPr>
        <w:pStyle w:val="ListParagraph"/>
        <w:numPr>
          <w:ilvl w:val="0"/>
          <w:numId w:val="33"/>
        </w:numPr>
        <w:rPr>
          <w:sz w:val="24"/>
          <w:szCs w:val="24"/>
        </w:rPr>
      </w:pPr>
      <w:r w:rsidRPr="00AE7970">
        <w:rPr>
          <w:lang w:eastAsia="bg-BG"/>
        </w:rPr>
        <w:t>Свръхчувствителност към пропранололов хидрохлорид или към някое от помощните вещества, изброени в точка 6.1.</w:t>
      </w:r>
    </w:p>
    <w:p w14:paraId="4FDAA437" w14:textId="77777777" w:rsidR="00AE7970" w:rsidRPr="00AE7970" w:rsidRDefault="00AE7970" w:rsidP="00AE7970">
      <w:pPr>
        <w:pStyle w:val="ListParagraph"/>
        <w:numPr>
          <w:ilvl w:val="0"/>
          <w:numId w:val="33"/>
        </w:numPr>
        <w:rPr>
          <w:sz w:val="24"/>
          <w:szCs w:val="24"/>
        </w:rPr>
      </w:pPr>
      <w:r w:rsidRPr="00AE7970">
        <w:rPr>
          <w:lang w:eastAsia="bg-BG"/>
        </w:rPr>
        <w:t xml:space="preserve">Наличие на </w:t>
      </w:r>
      <w:r w:rsidRPr="00AE7970">
        <w:rPr>
          <w:lang w:val="en-US"/>
        </w:rPr>
        <w:t>AV</w:t>
      </w:r>
      <w:r w:rsidRPr="00AE7970">
        <w:rPr>
          <w:lang w:val="ru-RU"/>
        </w:rPr>
        <w:t xml:space="preserve"> </w:t>
      </w:r>
      <w:r w:rsidRPr="00AE7970">
        <w:rPr>
          <w:lang w:eastAsia="bg-BG"/>
        </w:rPr>
        <w:t>блок от втора или</w:t>
      </w:r>
      <w:r w:rsidRPr="00AE7970">
        <w:rPr>
          <w:lang w:eastAsia="bg-BG"/>
        </w:rPr>
        <w:tab/>
        <w:t>трета степен.</w:t>
      </w:r>
    </w:p>
    <w:p w14:paraId="53160DB9" w14:textId="77777777" w:rsidR="00AE7970" w:rsidRPr="00AE7970" w:rsidRDefault="00AE7970" w:rsidP="00AE7970">
      <w:pPr>
        <w:pStyle w:val="ListParagraph"/>
        <w:numPr>
          <w:ilvl w:val="0"/>
          <w:numId w:val="33"/>
        </w:numPr>
        <w:rPr>
          <w:sz w:val="24"/>
          <w:szCs w:val="24"/>
        </w:rPr>
      </w:pPr>
      <w:r w:rsidRPr="00AE7970">
        <w:rPr>
          <w:lang w:eastAsia="bg-BG"/>
        </w:rPr>
        <w:t>Кардиогенен шок.</w:t>
      </w:r>
    </w:p>
    <w:p w14:paraId="6A8163C4" w14:textId="77777777" w:rsidR="00AE7970" w:rsidRPr="00AE7970" w:rsidRDefault="00AE7970" w:rsidP="00AE7970">
      <w:pPr>
        <w:pStyle w:val="ListParagraph"/>
        <w:numPr>
          <w:ilvl w:val="0"/>
          <w:numId w:val="33"/>
        </w:numPr>
        <w:rPr>
          <w:sz w:val="24"/>
          <w:szCs w:val="24"/>
        </w:rPr>
      </w:pPr>
      <w:r w:rsidRPr="00AE7970">
        <w:rPr>
          <w:lang w:eastAsia="bg-BG"/>
        </w:rPr>
        <w:t xml:space="preserve">Ангина на </w:t>
      </w:r>
      <w:proofErr w:type="spellStart"/>
      <w:r w:rsidRPr="00AE7970">
        <w:rPr>
          <w:lang w:val="en-US"/>
        </w:rPr>
        <w:t>Prinzmetal</w:t>
      </w:r>
      <w:proofErr w:type="spellEnd"/>
    </w:p>
    <w:p w14:paraId="3FBEB92A" w14:textId="77777777" w:rsidR="00AE7970" w:rsidRPr="00AE7970" w:rsidRDefault="00AE7970" w:rsidP="00AE7970">
      <w:pPr>
        <w:pStyle w:val="ListParagraph"/>
        <w:numPr>
          <w:ilvl w:val="0"/>
          <w:numId w:val="33"/>
        </w:numPr>
        <w:rPr>
          <w:sz w:val="24"/>
          <w:szCs w:val="24"/>
        </w:rPr>
      </w:pPr>
      <w:r w:rsidRPr="00AE7970">
        <w:rPr>
          <w:lang w:eastAsia="bg-BG"/>
        </w:rPr>
        <w:t>Декомпенсирана сърдечна недостатъчност.</w:t>
      </w:r>
    </w:p>
    <w:p w14:paraId="2AFC6F2C" w14:textId="77777777" w:rsidR="00AE7970" w:rsidRPr="00AE7970" w:rsidRDefault="00AE7970" w:rsidP="00AE7970">
      <w:pPr>
        <w:pStyle w:val="ListParagraph"/>
        <w:numPr>
          <w:ilvl w:val="0"/>
          <w:numId w:val="33"/>
        </w:numPr>
        <w:rPr>
          <w:sz w:val="24"/>
          <w:szCs w:val="24"/>
        </w:rPr>
      </w:pPr>
      <w:r w:rsidRPr="00AE7970">
        <w:rPr>
          <w:lang w:eastAsia="bg-BG"/>
        </w:rPr>
        <w:t>Анамнеза за бронхоспазъм или бронхиална астма.</w:t>
      </w:r>
    </w:p>
    <w:p w14:paraId="7651AAD5" w14:textId="77777777" w:rsidR="00AE7970" w:rsidRPr="00AE7970" w:rsidRDefault="00AE7970" w:rsidP="00AE7970">
      <w:pPr>
        <w:pStyle w:val="ListParagraph"/>
        <w:numPr>
          <w:ilvl w:val="0"/>
          <w:numId w:val="33"/>
        </w:numPr>
        <w:rPr>
          <w:sz w:val="24"/>
          <w:szCs w:val="24"/>
        </w:rPr>
      </w:pPr>
      <w:r w:rsidRPr="00AE7970">
        <w:rPr>
          <w:lang w:eastAsia="bg-BG"/>
        </w:rPr>
        <w:t>Хронично обструктивно заболяване на дихателните пътища.</w:t>
      </w:r>
    </w:p>
    <w:p w14:paraId="432B6961" w14:textId="77777777" w:rsidR="00AE7970" w:rsidRPr="00AE7970" w:rsidRDefault="00AE7970" w:rsidP="00AE7970">
      <w:pPr>
        <w:pStyle w:val="ListParagraph"/>
        <w:numPr>
          <w:ilvl w:val="0"/>
          <w:numId w:val="33"/>
        </w:numPr>
        <w:rPr>
          <w:sz w:val="24"/>
          <w:szCs w:val="24"/>
        </w:rPr>
      </w:pPr>
      <w:r w:rsidRPr="00AE7970">
        <w:rPr>
          <w:lang w:eastAsia="bg-BG"/>
        </w:rPr>
        <w:t>Нелекуван феохромоцитом.</w:t>
      </w:r>
    </w:p>
    <w:p w14:paraId="5D880061" w14:textId="77777777" w:rsidR="00AE7970" w:rsidRPr="00AE7970" w:rsidRDefault="00AE7970" w:rsidP="00AE7970">
      <w:pPr>
        <w:pStyle w:val="ListParagraph"/>
        <w:numPr>
          <w:ilvl w:val="0"/>
          <w:numId w:val="33"/>
        </w:numPr>
        <w:rPr>
          <w:sz w:val="24"/>
          <w:szCs w:val="24"/>
        </w:rPr>
      </w:pPr>
      <w:r w:rsidRPr="00AE7970">
        <w:rPr>
          <w:lang w:eastAsia="bg-BG"/>
        </w:rPr>
        <w:t>Тежки нарушения на периферната артериална циркулация.</w:t>
      </w:r>
    </w:p>
    <w:p w14:paraId="5DB3553C" w14:textId="77777777" w:rsidR="00AE7970" w:rsidRPr="00AE7970" w:rsidRDefault="00AE7970" w:rsidP="00AE7970">
      <w:pPr>
        <w:pStyle w:val="ListParagraph"/>
        <w:numPr>
          <w:ilvl w:val="0"/>
          <w:numId w:val="33"/>
        </w:numPr>
        <w:rPr>
          <w:sz w:val="24"/>
          <w:szCs w:val="24"/>
        </w:rPr>
      </w:pPr>
      <w:r w:rsidRPr="00AE7970">
        <w:rPr>
          <w:lang w:eastAsia="bg-BG"/>
        </w:rPr>
        <w:t>Синдром на болния синусов възел.</w:t>
      </w:r>
    </w:p>
    <w:p w14:paraId="7C8CA710" w14:textId="77777777" w:rsidR="00AE7970" w:rsidRPr="00AE7970" w:rsidRDefault="00AE7970" w:rsidP="00AE7970">
      <w:pPr>
        <w:pStyle w:val="ListParagraph"/>
        <w:numPr>
          <w:ilvl w:val="0"/>
          <w:numId w:val="33"/>
        </w:numPr>
        <w:rPr>
          <w:sz w:val="24"/>
          <w:szCs w:val="24"/>
        </w:rPr>
      </w:pPr>
      <w:r w:rsidRPr="00AE7970">
        <w:rPr>
          <w:lang w:eastAsia="bg-BG"/>
        </w:rPr>
        <w:t>Брадикардия (сърдечна честота &lt;45-50 удара/минута).</w:t>
      </w:r>
    </w:p>
    <w:p w14:paraId="4CCB9D22" w14:textId="77777777" w:rsidR="00AE7970" w:rsidRPr="00AE7970" w:rsidRDefault="00AE7970" w:rsidP="00AE7970">
      <w:pPr>
        <w:pStyle w:val="ListParagraph"/>
        <w:numPr>
          <w:ilvl w:val="0"/>
          <w:numId w:val="33"/>
        </w:numPr>
        <w:rPr>
          <w:sz w:val="24"/>
          <w:szCs w:val="24"/>
        </w:rPr>
      </w:pPr>
      <w:r w:rsidRPr="00AE7970">
        <w:rPr>
          <w:lang w:eastAsia="bg-BG"/>
        </w:rPr>
        <w:t>Тежка хипотензия.</w:t>
      </w:r>
    </w:p>
    <w:p w14:paraId="6C763FEA" w14:textId="7979B2C1" w:rsidR="00AE7970" w:rsidRPr="00AE7970" w:rsidRDefault="00AE7970" w:rsidP="00AE7970">
      <w:pPr>
        <w:pStyle w:val="ListParagraph"/>
        <w:numPr>
          <w:ilvl w:val="0"/>
          <w:numId w:val="33"/>
        </w:numPr>
        <w:rPr>
          <w:sz w:val="24"/>
          <w:szCs w:val="24"/>
        </w:rPr>
      </w:pPr>
      <w:r w:rsidRPr="00AE7970">
        <w:rPr>
          <w:lang w:eastAsia="bg-BG"/>
        </w:rPr>
        <w:t>Метаболитна ацидоза</w:t>
      </w:r>
    </w:p>
    <w:p w14:paraId="6F9AEE39" w14:textId="77777777" w:rsidR="00AE7970" w:rsidRPr="00AE7970" w:rsidRDefault="00AE7970" w:rsidP="00AE7970"/>
    <w:p w14:paraId="5A4AC413" w14:textId="3A58077B" w:rsidR="00395555" w:rsidRDefault="002C50EE" w:rsidP="008A6AF2">
      <w:pPr>
        <w:pStyle w:val="Heading2"/>
      </w:pPr>
      <w:r>
        <w:t>4.4. Специални предупреждения и предпазни мерки при употреба</w:t>
      </w:r>
    </w:p>
    <w:p w14:paraId="5E23C343" w14:textId="1D06C96B" w:rsidR="00AE7970" w:rsidRDefault="00AE7970" w:rsidP="00AE7970"/>
    <w:p w14:paraId="55C7CF83"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Пропранолол е противопоказан при декомпенсирана сърдечна недостатъчност, но може да се използва при пациенти с контролирана сърдечна недостатъчност. Необходимо е специално внимание при пациенти с влошена сърдечна функция. Употребата на бета-блокери при манифестна сърдечна недостатъчност трябва да се избягва.</w:t>
      </w:r>
    </w:p>
    <w:p w14:paraId="7BA9921E" w14:textId="77777777" w:rsidR="00AE7970" w:rsidRPr="00AE7970" w:rsidRDefault="00AE7970" w:rsidP="00AE7970">
      <w:pPr>
        <w:spacing w:line="240" w:lineRule="auto"/>
        <w:rPr>
          <w:rFonts w:eastAsia="Times New Roman" w:cs="Arial"/>
          <w:color w:val="000000"/>
          <w:szCs w:val="20"/>
          <w:lang w:eastAsia="bg-BG"/>
        </w:rPr>
      </w:pPr>
    </w:p>
    <w:p w14:paraId="6D70ACC7" w14:textId="1CEAED98"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Пропранолол може да маскира адренергичните симптоми на тиреотоксикоза.</w:t>
      </w:r>
    </w:p>
    <w:p w14:paraId="400B3E01" w14:textId="77777777" w:rsidR="00AE7970" w:rsidRPr="00AE7970" w:rsidRDefault="00AE7970" w:rsidP="00AE7970">
      <w:pPr>
        <w:spacing w:line="240" w:lineRule="auto"/>
        <w:rPr>
          <w:rFonts w:eastAsia="Times New Roman" w:cs="Arial"/>
          <w:color w:val="000000"/>
          <w:szCs w:val="20"/>
          <w:lang w:eastAsia="bg-BG"/>
        </w:rPr>
      </w:pPr>
    </w:p>
    <w:p w14:paraId="16A1467B" w14:textId="3357880E"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lastRenderedPageBreak/>
        <w:t>При пациенти с исхемична болест на сърцето лечението не трябва да се прекратява внезапно. Дозата се понижава постепенно и ако е необходимо едновременно се въвежда заместителна терапия, за да се предотврати обостряне на ангина пекторис и влошаване на сърдечната дейност.</w:t>
      </w:r>
    </w:p>
    <w:p w14:paraId="32874029" w14:textId="77777777" w:rsidR="00AE7970" w:rsidRPr="00AE7970" w:rsidRDefault="00AE7970" w:rsidP="00AE7970">
      <w:pPr>
        <w:spacing w:line="240" w:lineRule="auto"/>
        <w:rPr>
          <w:rFonts w:eastAsia="Times New Roman" w:cs="Arial"/>
          <w:color w:val="000000"/>
          <w:szCs w:val="20"/>
          <w:lang w:eastAsia="bg-BG"/>
        </w:rPr>
      </w:pPr>
    </w:p>
    <w:p w14:paraId="44199DA6" w14:textId="0A5679B1"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Бета-адренорецепторните блокери са противопоказани при тежки периферни циркулаторни нарушения, но могат да влошат и по-леките по тежест форми. Пропранолол трябва да се прилага с повишено внимание при състояния като болест/синдром на Рейно или клаудикацио интермитенс.</w:t>
      </w:r>
    </w:p>
    <w:p w14:paraId="25C1AF4A"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Бета-блокерите могат да маскират симптомите на хипогликемия (тахикардия и тремор). Неселективните бета-блокери могат да удължат времето за нормализиране на стойностите на кръвната захар след инсулин предизвикана хипогликемия.</w:t>
      </w:r>
    </w:p>
    <w:p w14:paraId="08CA28C2" w14:textId="77777777" w:rsidR="00AE7970" w:rsidRPr="00AE7970" w:rsidRDefault="00AE7970" w:rsidP="00AE7970">
      <w:pPr>
        <w:spacing w:line="240" w:lineRule="auto"/>
        <w:rPr>
          <w:rFonts w:eastAsia="Times New Roman" w:cs="Arial"/>
          <w:color w:val="000000"/>
          <w:szCs w:val="20"/>
          <w:lang w:eastAsia="bg-BG"/>
        </w:rPr>
      </w:pPr>
    </w:p>
    <w:p w14:paraId="126E7663" w14:textId="09B53BF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Преди извършване на хирургична интервенция (вкл. стоматологична) анестезиологът трябва да е предупреден за лечението с бета-блокер. Препоръчва се избор на анестетик е възможно отрицателна инотропна активност. Лчението с бета-блокера се прекратява 48ч преди обща</w:t>
      </w:r>
    </w:p>
    <w:p w14:paraId="32C078E6"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анестезия.</w:t>
      </w:r>
    </w:p>
    <w:p w14:paraId="2869CCD0" w14:textId="4E8A4C87" w:rsidR="00AE7970" w:rsidRPr="00AE7970" w:rsidRDefault="00AE7970" w:rsidP="00AE7970">
      <w:pPr>
        <w:rPr>
          <w:rFonts w:cs="Arial"/>
          <w:sz w:val="24"/>
        </w:rPr>
      </w:pPr>
    </w:p>
    <w:p w14:paraId="2192D8DC"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Необходимо е повишено внимание когато пропранолол се прилага на пациенти с </w:t>
      </w:r>
      <w:r w:rsidRPr="00AE7970">
        <w:rPr>
          <w:rFonts w:eastAsia="Times New Roman" w:cs="Arial"/>
          <w:color w:val="000000"/>
          <w:szCs w:val="20"/>
          <w:lang w:val="en-US"/>
        </w:rPr>
        <w:t>AV</w:t>
      </w:r>
      <w:r w:rsidRPr="00AE7970">
        <w:rPr>
          <w:rFonts w:eastAsia="Times New Roman" w:cs="Arial"/>
          <w:color w:val="000000"/>
          <w:szCs w:val="20"/>
          <w:lang w:val="ru-RU"/>
        </w:rPr>
        <w:t xml:space="preserve"> </w:t>
      </w:r>
      <w:r w:rsidRPr="00AE7970">
        <w:rPr>
          <w:rFonts w:eastAsia="Times New Roman" w:cs="Arial"/>
          <w:color w:val="000000"/>
          <w:szCs w:val="20"/>
          <w:lang w:eastAsia="bg-BG"/>
        </w:rPr>
        <w:t>блок първа степен, поради отрицателния дромотропен ефект на бета-блокерите.</w:t>
      </w:r>
    </w:p>
    <w:p w14:paraId="2886F84E" w14:textId="77777777" w:rsidR="00AE7970" w:rsidRPr="00AE7970" w:rsidRDefault="00AE7970" w:rsidP="00AE7970">
      <w:pPr>
        <w:spacing w:line="240" w:lineRule="auto"/>
        <w:rPr>
          <w:rFonts w:eastAsia="Times New Roman" w:cs="Arial"/>
          <w:color w:val="000000"/>
          <w:szCs w:val="20"/>
          <w:lang w:eastAsia="bg-BG"/>
        </w:rPr>
      </w:pPr>
    </w:p>
    <w:p w14:paraId="199634A2" w14:textId="56702D4E"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Наблюдавани са изолирани случаи на мастения гравис-подобен синдром или обостряне на миастения гравис при пациенти, приемали пропранолол.</w:t>
      </w:r>
    </w:p>
    <w:p w14:paraId="3AC298E4" w14:textId="77777777" w:rsidR="00AE7970" w:rsidRPr="00AE7970" w:rsidRDefault="00AE7970" w:rsidP="00AE7970">
      <w:pPr>
        <w:spacing w:line="240" w:lineRule="auto"/>
        <w:rPr>
          <w:rFonts w:eastAsia="Times New Roman" w:cs="Arial"/>
          <w:color w:val="000000"/>
          <w:szCs w:val="20"/>
          <w:lang w:eastAsia="bg-BG"/>
        </w:rPr>
      </w:pPr>
    </w:p>
    <w:p w14:paraId="326DF3FC" w14:textId="3090B6D3"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При употребата на бета-адренорецепторни блокери може да се наблюдава обостряне на псориазис.</w:t>
      </w:r>
    </w:p>
    <w:p w14:paraId="388DBCCC" w14:textId="77777777" w:rsidR="00AE7970" w:rsidRPr="00AE7970" w:rsidRDefault="00AE7970" w:rsidP="00AE7970">
      <w:pPr>
        <w:spacing w:line="240" w:lineRule="auto"/>
        <w:rPr>
          <w:rFonts w:eastAsia="Times New Roman" w:cs="Arial"/>
          <w:color w:val="000000"/>
          <w:szCs w:val="20"/>
          <w:lang w:eastAsia="bg-BG"/>
        </w:rPr>
      </w:pPr>
    </w:p>
    <w:p w14:paraId="3F35C8D0" w14:textId="52022D39"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Пропранолол трябва да се използва с внимание при пациенти с декомпенсирана цироза.</w:t>
      </w:r>
    </w:p>
    <w:p w14:paraId="0A1E9336" w14:textId="77777777" w:rsidR="00AE7970" w:rsidRPr="00AE7970" w:rsidRDefault="00AE7970" w:rsidP="00AE7970">
      <w:pPr>
        <w:spacing w:line="240" w:lineRule="auto"/>
        <w:rPr>
          <w:rFonts w:eastAsia="Times New Roman" w:cs="Arial"/>
          <w:color w:val="000000"/>
          <w:szCs w:val="20"/>
          <w:lang w:eastAsia="bg-BG"/>
        </w:rPr>
      </w:pPr>
    </w:p>
    <w:p w14:paraId="0D65AB3B" w14:textId="09CFF60A"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При пациенти с нелекуван феохромоцитом не трябва да се използват бета блокери (вж. точка 4.3). На пациенти с феохромоцитом пропранолол може да се прилага след предварителна алфа-блокада.</w:t>
      </w:r>
    </w:p>
    <w:p w14:paraId="792133DF" w14:textId="77777777" w:rsidR="00AE7970" w:rsidRPr="00AE7970" w:rsidRDefault="00AE7970" w:rsidP="00AE7970">
      <w:pPr>
        <w:spacing w:line="240" w:lineRule="auto"/>
        <w:rPr>
          <w:rFonts w:eastAsia="Times New Roman" w:cs="Arial"/>
          <w:color w:val="000000"/>
          <w:szCs w:val="20"/>
          <w:lang w:eastAsia="bg-BG"/>
        </w:rPr>
      </w:pPr>
    </w:p>
    <w:p w14:paraId="1066BDD8" w14:textId="225384FA"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Бета-адренорецепторните блокери могат да причинят по-тежка реакция към различни алергени, когато се прилагат на пациенти с анамнеза за анафилактична реакция към такива алергени. При такива пациенти може да се наблюдава липса на терапевтичен ефект към обичайните дози адреналин, използван за лечение на алергични реакции. Изисква се повишено внимание, когато се прилагат бета-блокери на пациенти с анамнеза за анафилаксия.</w:t>
      </w:r>
    </w:p>
    <w:p w14:paraId="0A8A1B6C" w14:textId="77777777" w:rsidR="00AE7970" w:rsidRPr="00AE7970" w:rsidRDefault="00AE7970" w:rsidP="00AE7970">
      <w:pPr>
        <w:spacing w:line="240" w:lineRule="auto"/>
        <w:rPr>
          <w:rFonts w:eastAsia="Times New Roman" w:cs="Arial"/>
          <w:color w:val="000000"/>
          <w:szCs w:val="20"/>
          <w:u w:val="single"/>
          <w:lang w:eastAsia="bg-BG"/>
        </w:rPr>
      </w:pPr>
    </w:p>
    <w:p w14:paraId="508DBEEA" w14:textId="36B9A20A"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u w:val="single"/>
          <w:lang w:eastAsia="bg-BG"/>
        </w:rPr>
        <w:t>Помощни вещества</w:t>
      </w:r>
    </w:p>
    <w:p w14:paraId="68E200BB" w14:textId="6F4AC424"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Лактоза</w:t>
      </w:r>
    </w:p>
    <w:p w14:paraId="4142EB16"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2494B211" w14:textId="77777777" w:rsidR="00AE7970" w:rsidRPr="00AE7970" w:rsidRDefault="00AE7970" w:rsidP="00AE7970">
      <w:pPr>
        <w:spacing w:line="240" w:lineRule="auto"/>
        <w:rPr>
          <w:rFonts w:eastAsia="Times New Roman" w:cs="Arial"/>
          <w:i/>
          <w:iCs/>
          <w:color w:val="000000"/>
          <w:szCs w:val="20"/>
          <w:lang w:eastAsia="bg-BG"/>
        </w:rPr>
      </w:pPr>
    </w:p>
    <w:p w14:paraId="3F418D13" w14:textId="05839917"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Пшенично нишесте</w:t>
      </w:r>
    </w:p>
    <w:p w14:paraId="2AA6BDC5" w14:textId="074D055C" w:rsidR="00AE7970" w:rsidRDefault="00AE7970" w:rsidP="00AE7970">
      <w:pPr>
        <w:rPr>
          <w:rFonts w:eastAsia="Times New Roman" w:cs="Arial"/>
          <w:color w:val="000000"/>
          <w:szCs w:val="20"/>
          <w:lang w:eastAsia="bg-BG"/>
        </w:rPr>
      </w:pPr>
      <w:r w:rsidRPr="00AE7970">
        <w:rPr>
          <w:rFonts w:eastAsia="Times New Roman" w:cs="Arial"/>
          <w:color w:val="000000"/>
          <w:szCs w:val="20"/>
          <w:lang w:eastAsia="bg-BG"/>
        </w:rPr>
        <w:t xml:space="preserve">Пшеничното нишесте в този лекарствен продукт съдържа съвсем малки количества глутен (счита се че не съдържа глутен) и е много малко вероятно да предизвика </w:t>
      </w:r>
      <w:r w:rsidRPr="00AE7970">
        <w:rPr>
          <w:rFonts w:eastAsia="Times New Roman" w:cs="Arial"/>
          <w:color w:val="000000"/>
          <w:szCs w:val="20"/>
          <w:lang w:eastAsia="bg-BG"/>
        </w:rPr>
        <w:lastRenderedPageBreak/>
        <w:t>проблеми при пациенти с цьолиакия. Една таблетка съдържа не повече от 4,25 микрограма глутен. Пациенти с алергия към пшеница (различна от цьолиакия) не трябва да приемат този лекарствен продукт.</w:t>
      </w:r>
    </w:p>
    <w:p w14:paraId="30D35325" w14:textId="77777777" w:rsidR="00AE7970" w:rsidRPr="00AE7970" w:rsidRDefault="00AE7970" w:rsidP="00AE7970">
      <w:pPr>
        <w:rPr>
          <w:rFonts w:cs="Arial"/>
          <w:sz w:val="24"/>
        </w:rPr>
      </w:pPr>
    </w:p>
    <w:p w14:paraId="1244F76A" w14:textId="3629792D" w:rsidR="00395555" w:rsidRDefault="002C50EE" w:rsidP="008A6AF2">
      <w:pPr>
        <w:pStyle w:val="Heading2"/>
      </w:pPr>
      <w:r>
        <w:t>4.5. Взаимодействие с други лекарствени продукти и други форми на взаимодействие</w:t>
      </w:r>
    </w:p>
    <w:p w14:paraId="701A78CE" w14:textId="42995F49" w:rsidR="00AE7970" w:rsidRDefault="00AE7970" w:rsidP="00AE7970"/>
    <w:p w14:paraId="4A28EDAE" w14:textId="77777777"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Адреналин</w:t>
      </w:r>
    </w:p>
    <w:p w14:paraId="1F3314AA"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Необходимо е повишено внимание при парентерално прилагане на продукти съдържащи адреналин (епинефрин) при пациенти, които приемат бета-блокери, тъй като в редки случаи може да възникнат вазоконстрикция, хипертензия и брадикардия.</w:t>
      </w:r>
    </w:p>
    <w:p w14:paraId="781E3839" w14:textId="77777777" w:rsidR="00AE7970" w:rsidRPr="00AE7970" w:rsidRDefault="00AE7970" w:rsidP="00AE7970">
      <w:pPr>
        <w:spacing w:line="240" w:lineRule="auto"/>
        <w:rPr>
          <w:rFonts w:eastAsia="Times New Roman" w:cs="Arial"/>
          <w:i/>
          <w:iCs/>
          <w:color w:val="000000"/>
          <w:szCs w:val="20"/>
          <w:lang w:eastAsia="bg-BG"/>
        </w:rPr>
      </w:pPr>
    </w:p>
    <w:p w14:paraId="05AC792E" w14:textId="2C4F4531"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Анестетици</w:t>
      </w:r>
    </w:p>
    <w:p w14:paraId="44B18EC3"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Необходимо е повишено внимание, когато анестетици се използват заедно с пропранолол. Анестезиологьт трябва да бъде информиран и трябва да избере анестетик с възможно най-малко негативно инотропно действие.</w:t>
      </w:r>
    </w:p>
    <w:p w14:paraId="446D3321" w14:textId="77777777" w:rsidR="00AE7970" w:rsidRPr="00AE7970" w:rsidRDefault="00AE7970" w:rsidP="00AE7970">
      <w:pPr>
        <w:spacing w:line="240" w:lineRule="auto"/>
        <w:rPr>
          <w:rFonts w:eastAsia="Times New Roman" w:cs="Arial"/>
          <w:i/>
          <w:iCs/>
          <w:color w:val="000000"/>
          <w:szCs w:val="20"/>
          <w:lang w:eastAsia="bg-BG"/>
        </w:rPr>
      </w:pPr>
    </w:p>
    <w:p w14:paraId="6ABE9964" w14:textId="375EA1AD"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 xml:space="preserve">Антиаритмици клас </w:t>
      </w:r>
      <w:r w:rsidRPr="00AE7970">
        <w:rPr>
          <w:rFonts w:eastAsia="Times New Roman" w:cs="Arial"/>
          <w:i/>
          <w:iCs/>
          <w:color w:val="000000"/>
          <w:szCs w:val="20"/>
          <w:lang w:val="en-US"/>
        </w:rPr>
        <w:t>I</w:t>
      </w:r>
    </w:p>
    <w:p w14:paraId="2D0F8744"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Трябва да се внимава, когато едновременно се изписват бета-адренорецепторни блокери с антиаритмици клас I, като дизопирамид, хинидин, тъй като това може да окаже влияние </w:t>
      </w:r>
      <w:r w:rsidRPr="00AE7970">
        <w:rPr>
          <w:rFonts w:eastAsia="Times New Roman" w:cs="Arial"/>
          <w:i/>
          <w:iCs/>
          <w:color w:val="000000"/>
          <w:szCs w:val="20"/>
          <w:lang w:eastAsia="bg-BG"/>
        </w:rPr>
        <w:t xml:space="preserve">върху </w:t>
      </w:r>
      <w:r w:rsidRPr="00AE7970">
        <w:rPr>
          <w:rFonts w:eastAsia="Times New Roman" w:cs="Arial"/>
          <w:color w:val="000000"/>
          <w:szCs w:val="20"/>
          <w:lang w:eastAsia="bg-BG"/>
        </w:rPr>
        <w:t>артериалното проводно време и да предизвика отрицателен инотропен ефект.</w:t>
      </w:r>
    </w:p>
    <w:p w14:paraId="47C511CC"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При прилагане на пропранолол по време на инфузия на лидокаин плазмената концентрация на лидокаин може да се повиши с приблизително 30%. При пациентите, които вече получават пропранолол концентрациите на лидокаин са по-високи в сравнение с контролите. Комбинацията трябва да се избягва.</w:t>
      </w:r>
    </w:p>
    <w:p w14:paraId="56849540" w14:textId="77777777" w:rsidR="00AE7970" w:rsidRPr="00AE7970" w:rsidRDefault="00AE7970" w:rsidP="00AE7970">
      <w:pPr>
        <w:rPr>
          <w:rFonts w:eastAsia="Times New Roman" w:cs="Arial"/>
          <w:i/>
          <w:iCs/>
          <w:color w:val="000000"/>
          <w:szCs w:val="20"/>
          <w:lang w:eastAsia="bg-BG"/>
        </w:rPr>
      </w:pPr>
    </w:p>
    <w:p w14:paraId="10E95574" w14:textId="3A5FD13A" w:rsidR="00AE7970" w:rsidRPr="00AE7970" w:rsidRDefault="00AE7970" w:rsidP="00AE7970">
      <w:pPr>
        <w:rPr>
          <w:rFonts w:eastAsia="Times New Roman" w:cs="Arial"/>
          <w:i/>
          <w:iCs/>
          <w:color w:val="000000"/>
          <w:szCs w:val="20"/>
          <w:lang w:eastAsia="bg-BG"/>
        </w:rPr>
      </w:pPr>
      <w:r w:rsidRPr="00AE7970">
        <w:rPr>
          <w:rFonts w:eastAsia="Times New Roman" w:cs="Arial"/>
          <w:i/>
          <w:iCs/>
          <w:color w:val="000000"/>
          <w:szCs w:val="20"/>
          <w:lang w:eastAsia="bg-BG"/>
        </w:rPr>
        <w:t>Блокатори на калциевите канали</w:t>
      </w:r>
    </w:p>
    <w:p w14:paraId="10747684"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Комбинираната употреба на бета-адренорецепторни блокери и блокатори на калциевите канали с негативни инотропни ефекти (например верапамил, дилтиазем), може да доведе до удължаване на </w:t>
      </w:r>
      <w:r w:rsidRPr="00AE7970">
        <w:rPr>
          <w:rFonts w:eastAsia="Times New Roman" w:cs="Arial"/>
          <w:color w:val="000000"/>
          <w:szCs w:val="20"/>
          <w:lang w:val="en-US"/>
        </w:rPr>
        <w:t>SA</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и </w:t>
      </w:r>
      <w:r w:rsidRPr="00AE7970">
        <w:rPr>
          <w:rFonts w:eastAsia="Times New Roman" w:cs="Arial"/>
          <w:color w:val="000000"/>
          <w:szCs w:val="20"/>
          <w:lang w:val="en-US"/>
        </w:rPr>
        <w:t>AV</w:t>
      </w:r>
      <w:r w:rsidRPr="00AE7970">
        <w:rPr>
          <w:rFonts w:eastAsia="Times New Roman" w:cs="Arial"/>
          <w:color w:val="000000"/>
          <w:szCs w:val="20"/>
          <w:lang w:val="ru-RU"/>
        </w:rPr>
        <w:t xml:space="preserve"> </w:t>
      </w:r>
      <w:r w:rsidRPr="00AE7970">
        <w:rPr>
          <w:rFonts w:eastAsia="Times New Roman" w:cs="Arial"/>
          <w:color w:val="000000"/>
          <w:szCs w:val="20"/>
          <w:lang w:eastAsia="bg-BG"/>
        </w:rPr>
        <w:t>проводимостта, особено при пациенти с увредена вентрикуларна функция или нарушена проводимост. Резултатът може да бъде тежка хипотензия и брадикардия. Нито бета-блокерите, нито калциевите антагонисти не трябва да се прилагат интравенозно преди да са изминали 48 часа от спиране съответно на другото лекарство.</w:t>
      </w:r>
    </w:p>
    <w:p w14:paraId="5EF357A1"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Едновременното лечение с дихидропиридинови блокатори на калциевите канали, например ннфедипин, увеличава риска от хипотония и манифестирано на латентна сърдечна недостатъчност.</w:t>
      </w:r>
    </w:p>
    <w:p w14:paraId="53CC38E3" w14:textId="77777777" w:rsidR="00AE7970" w:rsidRPr="00AE7970" w:rsidRDefault="00AE7970" w:rsidP="00AE7970">
      <w:pPr>
        <w:spacing w:line="240" w:lineRule="auto"/>
        <w:rPr>
          <w:rFonts w:eastAsia="Times New Roman" w:cs="Arial"/>
          <w:i/>
          <w:iCs/>
          <w:color w:val="000000"/>
          <w:szCs w:val="20"/>
          <w:lang w:eastAsia="bg-BG"/>
        </w:rPr>
      </w:pPr>
    </w:p>
    <w:p w14:paraId="3875A5BD" w14:textId="10923371"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Антихипертензивни средства</w:t>
      </w:r>
    </w:p>
    <w:p w14:paraId="14640CDE"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Едновременната употреба с антихипертензивни средства (гванетидин, резерпин, диуретици или други антихипертензивни средства) води до усилване на хипертензивния ефект.</w:t>
      </w:r>
    </w:p>
    <w:p w14:paraId="12E2598D" w14:textId="77777777" w:rsidR="00AE7970" w:rsidRPr="00AE7970" w:rsidRDefault="00AE7970" w:rsidP="00AE7970">
      <w:pPr>
        <w:spacing w:line="240" w:lineRule="auto"/>
        <w:rPr>
          <w:rFonts w:eastAsia="Times New Roman" w:cs="Arial"/>
          <w:i/>
          <w:iCs/>
          <w:color w:val="000000"/>
          <w:szCs w:val="20"/>
          <w:lang w:eastAsia="bg-BG"/>
        </w:rPr>
      </w:pPr>
    </w:p>
    <w:p w14:paraId="5D4E65E1" w14:textId="3FCF6855"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Дигиталис</w:t>
      </w:r>
    </w:p>
    <w:p w14:paraId="23A762A6"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Дигиталисовите гликозиди в комбинация с бета-адренорецепторни блокери могат да увеличат времето на </w:t>
      </w:r>
      <w:r w:rsidRPr="00AE7970">
        <w:rPr>
          <w:rFonts w:eastAsia="Times New Roman" w:cs="Arial"/>
          <w:color w:val="000000"/>
          <w:szCs w:val="20"/>
          <w:lang w:val="en-US"/>
        </w:rPr>
        <w:t>AV</w:t>
      </w:r>
      <w:r w:rsidRPr="00AE7970">
        <w:rPr>
          <w:rFonts w:eastAsia="Times New Roman" w:cs="Arial"/>
          <w:color w:val="000000"/>
          <w:szCs w:val="20"/>
          <w:lang w:val="ru-RU"/>
        </w:rPr>
        <w:t xml:space="preserve"> </w:t>
      </w:r>
      <w:r w:rsidRPr="00AE7970">
        <w:rPr>
          <w:rFonts w:eastAsia="Times New Roman" w:cs="Arial"/>
          <w:color w:val="000000"/>
          <w:szCs w:val="20"/>
          <w:lang w:eastAsia="bg-BG"/>
        </w:rPr>
        <w:t>проводимост.</w:t>
      </w:r>
    </w:p>
    <w:p w14:paraId="3880C9ED" w14:textId="77777777" w:rsidR="00AE7970" w:rsidRPr="00AE7970" w:rsidRDefault="00AE7970" w:rsidP="00AE7970">
      <w:pPr>
        <w:spacing w:line="240" w:lineRule="auto"/>
        <w:rPr>
          <w:rFonts w:eastAsia="Times New Roman" w:cs="Arial"/>
          <w:i/>
          <w:iCs/>
          <w:color w:val="000000"/>
          <w:szCs w:val="20"/>
          <w:lang w:eastAsia="bg-BG"/>
        </w:rPr>
      </w:pPr>
    </w:p>
    <w:p w14:paraId="67804215" w14:textId="48351C05"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Противодиабетни</w:t>
      </w:r>
    </w:p>
    <w:p w14:paraId="3E742048"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lastRenderedPageBreak/>
        <w:t>Пропранолол модифицира тахикардията при хипогликемия. Поради това е необходимо повишено внимание при едновременната употреба на пропранолол и хипогликемизиращи лекарства при пациенти с диабет. Пропранолол може да удължи хипогликемичния отговор към инсулин.</w:t>
      </w:r>
    </w:p>
    <w:p w14:paraId="5A4946FC" w14:textId="77777777" w:rsidR="00AE7970" w:rsidRPr="00AE7970" w:rsidRDefault="00AE7970" w:rsidP="00AE7970">
      <w:pPr>
        <w:spacing w:line="240" w:lineRule="auto"/>
        <w:rPr>
          <w:rFonts w:eastAsia="Times New Roman" w:cs="Arial"/>
          <w:i/>
          <w:iCs/>
          <w:color w:val="000000"/>
          <w:szCs w:val="20"/>
          <w:lang w:eastAsia="bg-BG"/>
        </w:rPr>
      </w:pPr>
    </w:p>
    <w:p w14:paraId="08073F47" w14:textId="12CCEA68"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Клонидин</w:t>
      </w:r>
    </w:p>
    <w:p w14:paraId="19134775"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Бета-блокерите могат да обострят ребаунд хипертензията, която може да настъпи вследствие преустановяване на лечението с клонцдин. Ако тези продукти се прилагат едновременно, бета- блокерът трябва да се прекрати няколко дни преди спирането на клонидина. Ако се замества клонидин с бета-блокер, въвеждането на бета-блокера трябва да се отложи с няколко дни след спиране приема на клонидин.</w:t>
      </w:r>
    </w:p>
    <w:p w14:paraId="4C311A5B" w14:textId="77777777" w:rsidR="00AE7970" w:rsidRPr="00AE7970" w:rsidRDefault="00AE7970" w:rsidP="00AE7970">
      <w:pPr>
        <w:spacing w:line="240" w:lineRule="auto"/>
        <w:rPr>
          <w:rFonts w:eastAsia="Times New Roman" w:cs="Arial"/>
          <w:i/>
          <w:iCs/>
          <w:color w:val="000000"/>
          <w:szCs w:val="20"/>
          <w:lang w:eastAsia="bg-BG"/>
        </w:rPr>
      </w:pPr>
    </w:p>
    <w:p w14:paraId="13A923FB" w14:textId="6B44DF22"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Ерготамин, дихидроерготамин</w:t>
      </w:r>
    </w:p>
    <w:p w14:paraId="5AD60ACE"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Изисква се повишено внимание при едновременна употреба, поради наблюдавана вазоспастична реакция при няколко пациенти.</w:t>
      </w:r>
    </w:p>
    <w:p w14:paraId="6DE452AE" w14:textId="77777777" w:rsidR="00AE7970" w:rsidRPr="00AE7970" w:rsidRDefault="00AE7970" w:rsidP="00AE7970">
      <w:pPr>
        <w:spacing w:line="240" w:lineRule="auto"/>
        <w:rPr>
          <w:rFonts w:eastAsia="Times New Roman" w:cs="Arial"/>
          <w:i/>
          <w:iCs/>
          <w:color w:val="000000"/>
          <w:szCs w:val="20"/>
          <w:lang w:eastAsia="bg-BG"/>
        </w:rPr>
      </w:pPr>
    </w:p>
    <w:p w14:paraId="60696AA2" w14:textId="2B0159F2"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Ризатргттан</w:t>
      </w:r>
    </w:p>
    <w:p w14:paraId="472CB4F9"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Пропранолол инхибира метаболизма на ризатриптан и може значително да повиши плазмените му концентрации. Препоръчва се понижаване на дозата до 5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Между приема на двата продукта се изисква интервал от 2 часа.</w:t>
      </w:r>
    </w:p>
    <w:p w14:paraId="5F0DAF0C" w14:textId="77777777" w:rsidR="00AE7970" w:rsidRPr="00AE7970" w:rsidRDefault="00AE7970" w:rsidP="00AE7970">
      <w:pPr>
        <w:spacing w:line="240" w:lineRule="auto"/>
        <w:rPr>
          <w:rFonts w:eastAsia="Times New Roman" w:cs="Arial"/>
          <w:i/>
          <w:iCs/>
          <w:color w:val="000000"/>
          <w:szCs w:val="20"/>
          <w:lang w:eastAsia="bg-BG"/>
        </w:rPr>
      </w:pPr>
    </w:p>
    <w:p w14:paraId="1927926B" w14:textId="5EE3AA6B"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Барбитурати</w:t>
      </w:r>
    </w:p>
    <w:p w14:paraId="1E28E42C"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Барбитуратите са мощни ензимни индуктори и усилват метаболизма на пропранолол.</w:t>
      </w:r>
    </w:p>
    <w:p w14:paraId="7706E748" w14:textId="77777777" w:rsidR="00AE7970" w:rsidRPr="00AE7970" w:rsidRDefault="00AE7970" w:rsidP="00AE7970">
      <w:pPr>
        <w:spacing w:line="240" w:lineRule="auto"/>
        <w:rPr>
          <w:rFonts w:eastAsia="Times New Roman" w:cs="Arial"/>
          <w:i/>
          <w:iCs/>
          <w:color w:val="000000"/>
          <w:szCs w:val="20"/>
          <w:lang w:eastAsia="bg-BG"/>
        </w:rPr>
      </w:pPr>
    </w:p>
    <w:p w14:paraId="21C62289" w14:textId="160C7591"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Инхибитори на моноаминооксидазата:</w:t>
      </w:r>
    </w:p>
    <w:p w14:paraId="49279E3D"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Хипотензивните ефекти на бета-блокерите могат да бъдат усилени от МАО-инхибиторите.</w:t>
      </w:r>
    </w:p>
    <w:p w14:paraId="454F80C9" w14:textId="77777777" w:rsidR="00AE7970" w:rsidRPr="00AE7970" w:rsidRDefault="00AE7970" w:rsidP="00AE7970">
      <w:pPr>
        <w:spacing w:line="240" w:lineRule="auto"/>
        <w:rPr>
          <w:rFonts w:eastAsia="Times New Roman" w:cs="Arial"/>
          <w:i/>
          <w:iCs/>
          <w:color w:val="000000"/>
          <w:szCs w:val="20"/>
          <w:lang w:eastAsia="bg-BG"/>
        </w:rPr>
      </w:pPr>
    </w:p>
    <w:p w14:paraId="0FEE540B" w14:textId="7716EB58"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Селективните инхибитори на обратното захващане на серотонина:</w:t>
      </w:r>
    </w:p>
    <w:p w14:paraId="451AE138"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Флувоксамин инхибира оксидативния метаболизъм и повишава плазмените концентрации на пропранолол. Това може да доведе до тежка брадикардия.</w:t>
      </w:r>
    </w:p>
    <w:p w14:paraId="6968DDEE" w14:textId="77777777" w:rsidR="00AE7970" w:rsidRPr="00AE7970" w:rsidRDefault="00AE7970" w:rsidP="00AE7970">
      <w:pPr>
        <w:spacing w:line="240" w:lineRule="auto"/>
        <w:rPr>
          <w:rFonts w:eastAsia="Times New Roman" w:cs="Arial"/>
          <w:i/>
          <w:iCs/>
          <w:color w:val="000000"/>
          <w:szCs w:val="20"/>
          <w:lang w:eastAsia="bg-BG"/>
        </w:rPr>
      </w:pPr>
    </w:p>
    <w:p w14:paraId="333EF62A" w14:textId="085CC11B"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Циметидин</w:t>
      </w:r>
    </w:p>
    <w:p w14:paraId="08EA74EA" w14:textId="2BFCBCCE" w:rsidR="00AE7970" w:rsidRDefault="00AE7970" w:rsidP="00AE7970">
      <w:pPr>
        <w:rPr>
          <w:rFonts w:eastAsia="Times New Roman" w:cs="Arial"/>
          <w:color w:val="000000"/>
          <w:szCs w:val="20"/>
          <w:lang w:eastAsia="bg-BG"/>
        </w:rPr>
      </w:pPr>
      <w:r w:rsidRPr="00AE7970">
        <w:rPr>
          <w:rFonts w:eastAsia="Times New Roman" w:cs="Arial"/>
          <w:color w:val="000000"/>
          <w:szCs w:val="20"/>
          <w:lang w:eastAsia="bg-BG"/>
        </w:rPr>
        <w:t>Едновременната употреба с циметидин води до повишени плазмени концентрации на пропранолол.</w:t>
      </w:r>
    </w:p>
    <w:p w14:paraId="19E3FD8F" w14:textId="5A831ECE" w:rsidR="00AE7970" w:rsidRDefault="00AE7970" w:rsidP="00AE7970">
      <w:pPr>
        <w:rPr>
          <w:rFonts w:eastAsia="Times New Roman" w:cs="Arial"/>
          <w:color w:val="000000"/>
          <w:szCs w:val="20"/>
          <w:lang w:eastAsia="bg-BG"/>
        </w:rPr>
      </w:pPr>
    </w:p>
    <w:p w14:paraId="66832FD1" w14:textId="77777777"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Хлорпромазин</w:t>
      </w:r>
    </w:p>
    <w:p w14:paraId="51CE47AE"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Едновременното прилагане на пропранолол и хлорпромазин може да доведе до повишен антихипертензивен ефект за пропранолол.</w:t>
      </w:r>
    </w:p>
    <w:p w14:paraId="07DF63AE" w14:textId="77777777" w:rsidR="00AE7970" w:rsidRPr="00AE7970" w:rsidRDefault="00AE7970" w:rsidP="00AE7970">
      <w:pPr>
        <w:spacing w:line="240" w:lineRule="auto"/>
        <w:rPr>
          <w:rFonts w:eastAsia="Times New Roman" w:cs="Arial"/>
          <w:i/>
          <w:iCs/>
          <w:color w:val="000000"/>
          <w:szCs w:val="20"/>
          <w:lang w:eastAsia="bg-BG"/>
        </w:rPr>
      </w:pPr>
    </w:p>
    <w:p w14:paraId="71A0C77C" w14:textId="6540F40C"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Имипрамин</w:t>
      </w:r>
    </w:p>
    <w:p w14:paraId="4011C1C1"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Пропранолол може да повиши плазмените концентрации на имипрамин.</w:t>
      </w:r>
    </w:p>
    <w:p w14:paraId="62A168DE" w14:textId="77777777" w:rsidR="00AE7970" w:rsidRPr="00AE7970" w:rsidRDefault="00AE7970" w:rsidP="00AE7970">
      <w:pPr>
        <w:spacing w:line="240" w:lineRule="auto"/>
        <w:rPr>
          <w:rFonts w:eastAsia="Times New Roman" w:cs="Arial"/>
          <w:i/>
          <w:iCs/>
          <w:color w:val="000000"/>
          <w:szCs w:val="20"/>
          <w:lang w:eastAsia="bg-BG"/>
        </w:rPr>
      </w:pPr>
    </w:p>
    <w:p w14:paraId="0442DD90" w14:textId="104FDB6C"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Хидралазин</w:t>
      </w:r>
    </w:p>
    <w:p w14:paraId="143A85A0"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Едновременното приложение с хидралазин повишава плазмените концентрации на пропранолол.</w:t>
      </w:r>
    </w:p>
    <w:p w14:paraId="3417CE3D" w14:textId="77777777" w:rsidR="00AE7970" w:rsidRPr="00AE7970" w:rsidRDefault="00AE7970" w:rsidP="00AE7970">
      <w:pPr>
        <w:spacing w:line="240" w:lineRule="auto"/>
        <w:rPr>
          <w:rFonts w:eastAsia="Times New Roman" w:cs="Arial"/>
          <w:i/>
          <w:iCs/>
          <w:color w:val="000000"/>
          <w:szCs w:val="20"/>
          <w:lang w:eastAsia="bg-BG"/>
        </w:rPr>
      </w:pPr>
    </w:p>
    <w:p w14:paraId="24251A54" w14:textId="5E31B5C9"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Индометацин</w:t>
      </w:r>
    </w:p>
    <w:p w14:paraId="3E6FBBC4"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Индометацин може да редуцира хипотензивния ефект на бета-блокерите.</w:t>
      </w:r>
    </w:p>
    <w:p w14:paraId="2F43FC45" w14:textId="77777777" w:rsidR="00AE7970" w:rsidRPr="00AE7970" w:rsidRDefault="00AE7970" w:rsidP="00AE7970">
      <w:pPr>
        <w:spacing w:line="240" w:lineRule="auto"/>
        <w:rPr>
          <w:rFonts w:eastAsia="Times New Roman" w:cs="Arial"/>
          <w:i/>
          <w:iCs/>
          <w:color w:val="000000"/>
          <w:szCs w:val="20"/>
          <w:lang w:eastAsia="bg-BG"/>
        </w:rPr>
      </w:pPr>
    </w:p>
    <w:p w14:paraId="5F833155" w14:textId="4A761658"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Варфарин</w:t>
      </w:r>
    </w:p>
    <w:p w14:paraId="47086FA2"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lastRenderedPageBreak/>
        <w:t>Пропранолол може да понижи клирънса и да повиши плазмените концентрации на варфарин.</w:t>
      </w:r>
    </w:p>
    <w:p w14:paraId="0AF3EA74" w14:textId="77777777" w:rsidR="00AE7970" w:rsidRPr="00AE7970" w:rsidRDefault="00AE7970" w:rsidP="00AE7970">
      <w:pPr>
        <w:spacing w:line="240" w:lineRule="auto"/>
        <w:rPr>
          <w:rFonts w:eastAsia="Times New Roman" w:cs="Arial"/>
          <w:i/>
          <w:iCs/>
          <w:color w:val="000000"/>
          <w:szCs w:val="20"/>
          <w:lang w:eastAsia="bg-BG"/>
        </w:rPr>
      </w:pPr>
    </w:p>
    <w:p w14:paraId="29AF66F4" w14:textId="61A8272E"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Теофилин</w:t>
      </w:r>
    </w:p>
    <w:p w14:paraId="490D74F5"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Пропранолол може да понижи клирънса и да повиши плазмените концентрации на теофилин.</w:t>
      </w:r>
    </w:p>
    <w:p w14:paraId="71AF0037" w14:textId="77777777" w:rsidR="00AE7970" w:rsidRPr="00AE7970" w:rsidRDefault="00AE7970" w:rsidP="00AE7970">
      <w:pPr>
        <w:spacing w:line="240" w:lineRule="auto"/>
        <w:rPr>
          <w:rFonts w:eastAsia="Times New Roman" w:cs="Arial"/>
          <w:i/>
          <w:iCs/>
          <w:color w:val="000000"/>
          <w:szCs w:val="20"/>
          <w:lang w:eastAsia="bg-BG"/>
        </w:rPr>
      </w:pPr>
    </w:p>
    <w:p w14:paraId="244CBE70" w14:textId="60211EFF"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Ензимни индуктори (фенобарбитал, рифампицин)</w:t>
      </w:r>
    </w:p>
    <w:p w14:paraId="2F328397"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Метаболизмът на пропранолол може да бъде повишен от мощни индуктори на чернодробни ензими, вследствие на което ефектът му отслабва.</w:t>
      </w:r>
    </w:p>
    <w:p w14:paraId="3069A664" w14:textId="77777777" w:rsidR="00AE7970" w:rsidRPr="00AE7970" w:rsidRDefault="00AE7970" w:rsidP="00AE7970">
      <w:pPr>
        <w:spacing w:line="240" w:lineRule="auto"/>
        <w:rPr>
          <w:rFonts w:eastAsia="Times New Roman" w:cs="Arial"/>
          <w:i/>
          <w:iCs/>
          <w:color w:val="000000"/>
          <w:szCs w:val="20"/>
          <w:lang w:eastAsia="bg-BG"/>
        </w:rPr>
      </w:pPr>
    </w:p>
    <w:p w14:paraId="3FEEF479" w14:textId="0BE02149" w:rsidR="00AE7970" w:rsidRPr="00AE7970" w:rsidRDefault="00AE7970" w:rsidP="00AE7970">
      <w:pPr>
        <w:spacing w:line="240" w:lineRule="auto"/>
        <w:rPr>
          <w:rFonts w:eastAsia="Times New Roman" w:cs="Arial"/>
          <w:sz w:val="28"/>
          <w:szCs w:val="24"/>
        </w:rPr>
      </w:pPr>
      <w:r w:rsidRPr="00AE7970">
        <w:rPr>
          <w:rFonts w:eastAsia="Times New Roman" w:cs="Arial"/>
          <w:i/>
          <w:iCs/>
          <w:color w:val="000000"/>
          <w:szCs w:val="20"/>
          <w:lang w:eastAsia="bg-BG"/>
        </w:rPr>
        <w:t>Алкохол</w:t>
      </w:r>
    </w:p>
    <w:p w14:paraId="4D259DC6" w14:textId="28D8451D"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Увеличава плазмените концентрации на пропранолол.</w:t>
      </w:r>
    </w:p>
    <w:p w14:paraId="7341A617" w14:textId="77777777" w:rsidR="00AE7970" w:rsidRPr="00AE7970" w:rsidRDefault="00AE7970" w:rsidP="00AE7970">
      <w:pPr>
        <w:rPr>
          <w:rFonts w:cs="Arial"/>
          <w:sz w:val="24"/>
        </w:rPr>
      </w:pPr>
    </w:p>
    <w:p w14:paraId="6EADE4D6" w14:textId="5CE50B89" w:rsidR="00395555" w:rsidRDefault="002C50EE" w:rsidP="008A6AF2">
      <w:pPr>
        <w:pStyle w:val="Heading2"/>
      </w:pPr>
      <w:r>
        <w:t>4.6. Фертилитет, бременност и кърмене</w:t>
      </w:r>
    </w:p>
    <w:p w14:paraId="59F870CB" w14:textId="2B0BF669" w:rsidR="00AE7970" w:rsidRDefault="00AE7970" w:rsidP="00AE7970"/>
    <w:p w14:paraId="3C47D3BD" w14:textId="77777777" w:rsidR="00AE7970" w:rsidRPr="00AE7970" w:rsidRDefault="00AE7970" w:rsidP="00AE7970">
      <w:pPr>
        <w:pStyle w:val="Heading3"/>
        <w:rPr>
          <w:rFonts w:eastAsia="Times New Roman"/>
          <w:sz w:val="28"/>
          <w:u w:val="single"/>
        </w:rPr>
      </w:pPr>
      <w:r w:rsidRPr="00AE7970">
        <w:rPr>
          <w:rFonts w:eastAsia="Times New Roman"/>
          <w:u w:val="single"/>
          <w:lang w:eastAsia="bg-BG"/>
        </w:rPr>
        <w:t>Бременност</w:t>
      </w:r>
    </w:p>
    <w:p w14:paraId="2A92CB69"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Както и всички други лекарства, пропранолол не трябва да се прилага при бременност или кърмене, освен ако употребата му не е наложителна.</w:t>
      </w:r>
    </w:p>
    <w:p w14:paraId="5C923523"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Няма данни за тератогенни ефекти на пропранолол. Бета-блокерите намаляват плацентарната перфузия, което може да доведе до интраутеринно забавяне на растежа и преждевременно раждане. Освен това могат да настъпят нежелани лекарствени реакции (особено хипогликемия и брадикардия при новороденото и брадикардия при плода). Съществува повишен риск от сърдечно</w:t>
      </w:r>
      <w:r w:rsidRPr="00AE7970">
        <w:rPr>
          <w:rFonts w:eastAsia="Times New Roman" w:cs="Arial"/>
          <w:color w:val="000000"/>
          <w:szCs w:val="20"/>
          <w:lang w:eastAsia="bg-BG"/>
        </w:rPr>
        <w:softHyphen/>
        <w:t>съдови и белодробни усложнения при новороденото в пост-наталния период.</w:t>
      </w:r>
    </w:p>
    <w:p w14:paraId="5077889C" w14:textId="77777777" w:rsidR="00AE7970" w:rsidRPr="00AE7970" w:rsidRDefault="00AE7970" w:rsidP="00AE7970">
      <w:pPr>
        <w:spacing w:line="240" w:lineRule="auto"/>
        <w:rPr>
          <w:rFonts w:eastAsia="Times New Roman" w:cs="Arial"/>
          <w:color w:val="000000"/>
          <w:szCs w:val="20"/>
          <w:u w:val="single"/>
          <w:lang w:eastAsia="bg-BG"/>
        </w:rPr>
      </w:pPr>
    </w:p>
    <w:p w14:paraId="700D702E" w14:textId="59709E58" w:rsidR="00AE7970" w:rsidRPr="00AE7970" w:rsidRDefault="00AE7970" w:rsidP="00AE7970">
      <w:pPr>
        <w:pStyle w:val="Heading3"/>
        <w:rPr>
          <w:rFonts w:eastAsia="Times New Roman"/>
          <w:sz w:val="28"/>
          <w:u w:val="single"/>
        </w:rPr>
      </w:pPr>
      <w:r w:rsidRPr="00AE7970">
        <w:rPr>
          <w:rFonts w:eastAsia="Times New Roman"/>
          <w:u w:val="single"/>
          <w:lang w:eastAsia="bg-BG"/>
        </w:rPr>
        <w:t>Кърмене</w:t>
      </w:r>
    </w:p>
    <w:p w14:paraId="04F8EBBF" w14:textId="6B01CFEE" w:rsidR="00AE7970" w:rsidRDefault="00AE7970" w:rsidP="00AE7970">
      <w:pPr>
        <w:rPr>
          <w:rFonts w:eastAsia="Times New Roman" w:cs="Arial"/>
          <w:color w:val="000000"/>
          <w:szCs w:val="20"/>
          <w:lang w:eastAsia="bg-BG"/>
        </w:rPr>
      </w:pPr>
      <w:r w:rsidRPr="00AE7970">
        <w:rPr>
          <w:rFonts w:eastAsia="Times New Roman" w:cs="Arial"/>
          <w:color w:val="000000"/>
          <w:szCs w:val="20"/>
          <w:lang w:eastAsia="bg-BG"/>
        </w:rPr>
        <w:t>Пропранолол хидрохлорид преминава в кърмата. Въпреки, че количествата, отделени в млякото вероятно не представляват опасност за детето кърмачетата трябва да се наблюдават.</w:t>
      </w:r>
    </w:p>
    <w:p w14:paraId="3F92DCB1" w14:textId="77777777" w:rsidR="00AE7970" w:rsidRPr="00AE7970" w:rsidRDefault="00AE7970" w:rsidP="00AE7970">
      <w:pPr>
        <w:rPr>
          <w:rFonts w:cs="Arial"/>
          <w:sz w:val="24"/>
        </w:rPr>
      </w:pPr>
    </w:p>
    <w:p w14:paraId="5766770B" w14:textId="3BF4FDAC" w:rsidR="00395555" w:rsidRDefault="002C50EE" w:rsidP="008A6AF2">
      <w:pPr>
        <w:pStyle w:val="Heading2"/>
      </w:pPr>
      <w:r>
        <w:t>4.7. Ефекти върху способността за шофиране и работа с машини</w:t>
      </w:r>
    </w:p>
    <w:p w14:paraId="40B49696" w14:textId="00293644" w:rsidR="00AE7970" w:rsidRDefault="00AE7970" w:rsidP="00AE7970"/>
    <w:p w14:paraId="62C449E6" w14:textId="77777777" w:rsidR="00AE7970" w:rsidRPr="00AE7970" w:rsidRDefault="00AE7970" w:rsidP="00AE7970">
      <w:pPr>
        <w:rPr>
          <w:sz w:val="24"/>
          <w:szCs w:val="24"/>
        </w:rPr>
      </w:pPr>
      <w:r w:rsidRPr="00AE7970">
        <w:rPr>
          <w:lang w:eastAsia="bg-BG"/>
        </w:rPr>
        <w:t>Слабо вероятно е употребата на пропранолол да доведе до значимо увреждане на способността за шофиране и работа с машини. Все пак пациентите трябва да бъдат предупредени, че понякога могат да се наблюдават визуални нарушения, халюцинации, умствено объркване, замайване или отпадналост и не трябва да шофират или работят с машини, ако се чувстват засегнати.</w:t>
      </w:r>
    </w:p>
    <w:p w14:paraId="48137883" w14:textId="77777777" w:rsidR="00AE7970" w:rsidRPr="00AE7970" w:rsidRDefault="00AE7970" w:rsidP="00AE7970"/>
    <w:p w14:paraId="4FE16E21" w14:textId="1F53E947" w:rsidR="00395555" w:rsidRDefault="002C50EE" w:rsidP="008A6AF2">
      <w:pPr>
        <w:pStyle w:val="Heading2"/>
      </w:pPr>
      <w:r>
        <w:t>4.8. Нежелани лекарствени реакции</w:t>
      </w:r>
    </w:p>
    <w:p w14:paraId="712911C5" w14:textId="4F9BAF9F" w:rsidR="00AE7970" w:rsidRDefault="00AE7970" w:rsidP="00AE7970"/>
    <w:p w14:paraId="39B4A2FF" w14:textId="60D90AAC" w:rsidR="00AE7970" w:rsidRPr="00AE7970" w:rsidRDefault="00AE7970" w:rsidP="00AE7970">
      <w:pPr>
        <w:rPr>
          <w:sz w:val="24"/>
          <w:szCs w:val="24"/>
        </w:rPr>
      </w:pPr>
      <w:r w:rsidRPr="00AE7970">
        <w:rPr>
          <w:lang w:eastAsia="bg-BG"/>
        </w:rPr>
        <w:t xml:space="preserve">Представените по-долу нежелани реакции са представени според системо-органната класификация </w:t>
      </w:r>
      <w:proofErr w:type="spellStart"/>
      <w:r w:rsidRPr="00AE7970">
        <w:rPr>
          <w:lang w:val="en-US"/>
        </w:rPr>
        <w:t>MedDRA</w:t>
      </w:r>
      <w:proofErr w:type="spellEnd"/>
      <w:r w:rsidRPr="00AE7970">
        <w:rPr>
          <w:lang w:val="ru-RU"/>
        </w:rPr>
        <w:t xml:space="preserve">, </w:t>
      </w:r>
      <w:r w:rsidRPr="00AE7970">
        <w:rPr>
          <w:lang w:eastAsia="bg-BG"/>
        </w:rPr>
        <w:t>подредени по честота: много чести (≥1/10), чести (≥1/100 до &lt;1/10), нечести (≥1/1 000 до</w:t>
      </w:r>
      <w:r>
        <w:rPr>
          <w:lang w:eastAsia="bg-BG"/>
        </w:rPr>
        <w:t xml:space="preserve"> </w:t>
      </w:r>
      <w:r>
        <w:t>&lt;1/100), редки (≥1/10 000 до &lt;1/1 000), много редки (&lt;1/10 000), с неизвестна честота (от наличните данни не може да бъде направена оценка).</w:t>
      </w:r>
    </w:p>
    <w:p w14:paraId="22AD46BF" w14:textId="017B48EC" w:rsidR="00AE7970" w:rsidRDefault="00AE7970" w:rsidP="00AE7970"/>
    <w:tbl>
      <w:tblPr>
        <w:tblStyle w:val="TableGrid"/>
        <w:tblW w:w="0" w:type="auto"/>
        <w:tblLook w:val="04A0" w:firstRow="1" w:lastRow="0" w:firstColumn="1" w:lastColumn="0" w:noHBand="0" w:noVBand="1"/>
      </w:tblPr>
      <w:tblGrid>
        <w:gridCol w:w="4671"/>
        <w:gridCol w:w="4679"/>
      </w:tblGrid>
      <w:tr w:rsidR="00AE7970" w14:paraId="1E13E86D" w14:textId="77777777" w:rsidTr="00AE7970">
        <w:tc>
          <w:tcPr>
            <w:tcW w:w="4788" w:type="dxa"/>
          </w:tcPr>
          <w:p w14:paraId="7580E742" w14:textId="5F37C0A8" w:rsidR="00AE7970" w:rsidRPr="00AE7970" w:rsidRDefault="00AE7970" w:rsidP="00AE7970">
            <w:r w:rsidRPr="00AE7970">
              <w:rPr>
                <w:szCs w:val="20"/>
              </w:rPr>
              <w:lastRenderedPageBreak/>
              <w:t xml:space="preserve">Системно-органна класификация по </w:t>
            </w:r>
            <w:proofErr w:type="spellStart"/>
            <w:r w:rsidRPr="00AE7970">
              <w:rPr>
                <w:szCs w:val="20"/>
                <w:lang w:val="en-US"/>
              </w:rPr>
              <w:t>MedDRA</w:t>
            </w:r>
            <w:proofErr w:type="spellEnd"/>
          </w:p>
        </w:tc>
        <w:tc>
          <w:tcPr>
            <w:tcW w:w="4788" w:type="dxa"/>
          </w:tcPr>
          <w:p w14:paraId="6D34CFC7" w14:textId="78E6D986" w:rsidR="00AE7970" w:rsidRPr="00AE7970" w:rsidRDefault="00AE7970" w:rsidP="00AE7970">
            <w:r w:rsidRPr="00AE7970">
              <w:rPr>
                <w:szCs w:val="20"/>
              </w:rPr>
              <w:t>Симптом (РТ)</w:t>
            </w:r>
          </w:p>
        </w:tc>
      </w:tr>
      <w:tr w:rsidR="00AE7970" w14:paraId="7B266A72" w14:textId="77777777" w:rsidTr="00AE7970">
        <w:tc>
          <w:tcPr>
            <w:tcW w:w="4788" w:type="dxa"/>
          </w:tcPr>
          <w:p w14:paraId="4B33EA7B" w14:textId="77777777" w:rsidR="00AE7970" w:rsidRPr="00AE7970" w:rsidRDefault="00AE7970" w:rsidP="00AE7970">
            <w:r w:rsidRPr="00AE7970">
              <w:rPr>
                <w:b/>
                <w:bCs/>
                <w:szCs w:val="20"/>
              </w:rPr>
              <w:t>Нарушения на кръвта и лимфната система</w:t>
            </w:r>
          </w:p>
          <w:p w14:paraId="7CC85D0F" w14:textId="21B753D1" w:rsidR="00AE7970" w:rsidRPr="00AE7970" w:rsidRDefault="00AE7970" w:rsidP="00AE7970">
            <w:r w:rsidRPr="00AE7970">
              <w:rPr>
                <w:szCs w:val="20"/>
              </w:rPr>
              <w:t>Редки</w:t>
            </w:r>
          </w:p>
        </w:tc>
        <w:tc>
          <w:tcPr>
            <w:tcW w:w="4788" w:type="dxa"/>
          </w:tcPr>
          <w:p w14:paraId="689C483F" w14:textId="77777777" w:rsidR="00AE7970" w:rsidRDefault="00AE7970" w:rsidP="00AE7970">
            <w:pPr>
              <w:rPr>
                <w:szCs w:val="20"/>
              </w:rPr>
            </w:pPr>
          </w:p>
          <w:p w14:paraId="7FC07CB8" w14:textId="77777777" w:rsidR="00AE7970" w:rsidRDefault="00AE7970" w:rsidP="00AE7970">
            <w:pPr>
              <w:rPr>
                <w:szCs w:val="20"/>
              </w:rPr>
            </w:pPr>
          </w:p>
          <w:p w14:paraId="2DA702E2" w14:textId="4E8C8469" w:rsidR="00AE7970" w:rsidRPr="00AE7970" w:rsidRDefault="00AE7970" w:rsidP="00AE7970">
            <w:r w:rsidRPr="00AE7970">
              <w:rPr>
                <w:szCs w:val="20"/>
              </w:rPr>
              <w:t>Тромбоцитопения</w:t>
            </w:r>
          </w:p>
        </w:tc>
      </w:tr>
      <w:tr w:rsidR="00AE7970" w14:paraId="32CB28C6" w14:textId="77777777" w:rsidTr="00C11FAF">
        <w:trPr>
          <w:trHeight w:val="1089"/>
        </w:trPr>
        <w:tc>
          <w:tcPr>
            <w:tcW w:w="4788" w:type="dxa"/>
          </w:tcPr>
          <w:p w14:paraId="6A34B929" w14:textId="77777777" w:rsidR="00AE7970" w:rsidRDefault="00AE7970" w:rsidP="00AE7970">
            <w:pPr>
              <w:rPr>
                <w:b/>
                <w:bCs/>
                <w:szCs w:val="20"/>
              </w:rPr>
            </w:pPr>
            <w:r w:rsidRPr="00AE7970">
              <w:rPr>
                <w:b/>
                <w:bCs/>
                <w:szCs w:val="20"/>
              </w:rPr>
              <w:t xml:space="preserve">Сърдечни нарушения </w:t>
            </w:r>
          </w:p>
          <w:p w14:paraId="79F802B3" w14:textId="77777777" w:rsidR="00AE7970" w:rsidRPr="00AE7970" w:rsidRDefault="00AE7970" w:rsidP="00AE7970">
            <w:r w:rsidRPr="00AE7970">
              <w:rPr>
                <w:szCs w:val="20"/>
              </w:rPr>
              <w:t>Чести</w:t>
            </w:r>
          </w:p>
          <w:p w14:paraId="54CFA420" w14:textId="77777777" w:rsidR="00AE7970" w:rsidRDefault="00AE7970" w:rsidP="00AE7970">
            <w:pPr>
              <w:rPr>
                <w:szCs w:val="20"/>
              </w:rPr>
            </w:pPr>
          </w:p>
          <w:p w14:paraId="0BCE8929" w14:textId="7024F4C9" w:rsidR="00AE7970" w:rsidRPr="00AE7970" w:rsidRDefault="00AE7970" w:rsidP="00AE7970">
            <w:r w:rsidRPr="00AE7970">
              <w:rPr>
                <w:szCs w:val="20"/>
              </w:rPr>
              <w:t>Редки</w:t>
            </w:r>
          </w:p>
        </w:tc>
        <w:tc>
          <w:tcPr>
            <w:tcW w:w="4788" w:type="dxa"/>
          </w:tcPr>
          <w:p w14:paraId="1A9ADB03" w14:textId="77777777" w:rsidR="00AE7970" w:rsidRDefault="00AE7970" w:rsidP="00AE7970">
            <w:pPr>
              <w:rPr>
                <w:szCs w:val="20"/>
              </w:rPr>
            </w:pPr>
          </w:p>
          <w:p w14:paraId="1030E2B0" w14:textId="77777777" w:rsidR="00AE7970" w:rsidRPr="00AE7970" w:rsidRDefault="00AE7970" w:rsidP="00AE7970">
            <w:r w:rsidRPr="00AE7970">
              <w:rPr>
                <w:szCs w:val="20"/>
              </w:rPr>
              <w:t>Брадикардия</w:t>
            </w:r>
          </w:p>
          <w:p w14:paraId="50774100" w14:textId="77777777" w:rsidR="00AE7970" w:rsidRDefault="00AE7970" w:rsidP="00AE7970">
            <w:pPr>
              <w:rPr>
                <w:szCs w:val="20"/>
              </w:rPr>
            </w:pPr>
          </w:p>
          <w:p w14:paraId="0D70932F" w14:textId="3CD8490D" w:rsidR="00AE7970" w:rsidRPr="00AE7970" w:rsidRDefault="00AE7970" w:rsidP="00AE7970">
            <w:r w:rsidRPr="00AE7970">
              <w:rPr>
                <w:szCs w:val="20"/>
              </w:rPr>
              <w:t>Влошаване на сърдечна недостатъчност, сърдечен блок</w:t>
            </w:r>
          </w:p>
        </w:tc>
      </w:tr>
      <w:tr w:rsidR="00AE7970" w14:paraId="292FF38D" w14:textId="77777777" w:rsidTr="00835D58">
        <w:trPr>
          <w:trHeight w:val="810"/>
        </w:trPr>
        <w:tc>
          <w:tcPr>
            <w:tcW w:w="4788" w:type="dxa"/>
          </w:tcPr>
          <w:p w14:paraId="78C42EAA" w14:textId="77777777" w:rsidR="00AE7970" w:rsidRDefault="00AE7970" w:rsidP="00AE7970">
            <w:pPr>
              <w:rPr>
                <w:b/>
                <w:bCs/>
                <w:szCs w:val="20"/>
              </w:rPr>
            </w:pPr>
            <w:r w:rsidRPr="00AE7970">
              <w:rPr>
                <w:b/>
                <w:bCs/>
                <w:szCs w:val="20"/>
              </w:rPr>
              <w:t>Нарушения на очите</w:t>
            </w:r>
          </w:p>
          <w:p w14:paraId="304843F0" w14:textId="77777777" w:rsidR="00AE7970" w:rsidRPr="00AE7970" w:rsidRDefault="00AE7970" w:rsidP="00AE7970">
            <w:pPr>
              <w:rPr>
                <w:b/>
                <w:bCs/>
                <w:szCs w:val="20"/>
              </w:rPr>
            </w:pPr>
            <w:r w:rsidRPr="00AE7970">
              <w:rPr>
                <w:szCs w:val="20"/>
              </w:rPr>
              <w:t>Редки</w:t>
            </w:r>
          </w:p>
          <w:p w14:paraId="216DDEC1" w14:textId="5F631119" w:rsidR="00AE7970" w:rsidRPr="00AE7970" w:rsidRDefault="00AE7970" w:rsidP="00AE7970">
            <w:pPr>
              <w:rPr>
                <w:b/>
                <w:bCs/>
                <w:szCs w:val="20"/>
              </w:rPr>
            </w:pPr>
            <w:r w:rsidRPr="00AE7970">
              <w:rPr>
                <w:szCs w:val="20"/>
              </w:rPr>
              <w:t>Много редки</w:t>
            </w:r>
          </w:p>
        </w:tc>
        <w:tc>
          <w:tcPr>
            <w:tcW w:w="4788" w:type="dxa"/>
          </w:tcPr>
          <w:p w14:paraId="426EB589" w14:textId="77777777" w:rsidR="00AE7970" w:rsidRDefault="00AE7970" w:rsidP="00AE7970">
            <w:pPr>
              <w:rPr>
                <w:szCs w:val="20"/>
              </w:rPr>
            </w:pPr>
          </w:p>
          <w:p w14:paraId="01F76D9A" w14:textId="206D3CAE" w:rsidR="00AE7970" w:rsidRPr="00AE7970" w:rsidRDefault="00AE7970" w:rsidP="00AE7970">
            <w:r w:rsidRPr="00AE7970">
              <w:rPr>
                <w:szCs w:val="20"/>
              </w:rPr>
              <w:t>Сухота в очите</w:t>
            </w:r>
          </w:p>
          <w:p w14:paraId="0F076164" w14:textId="0C345EC7" w:rsidR="00AE7970" w:rsidRPr="00AE7970" w:rsidRDefault="00AE7970" w:rsidP="00AE7970">
            <w:r w:rsidRPr="00AE7970">
              <w:rPr>
                <w:szCs w:val="20"/>
              </w:rPr>
              <w:t>Визуални нарушения</w:t>
            </w:r>
          </w:p>
        </w:tc>
      </w:tr>
      <w:tr w:rsidR="00AE7970" w14:paraId="163A1644" w14:textId="77777777" w:rsidTr="00AE7970">
        <w:tc>
          <w:tcPr>
            <w:tcW w:w="4788" w:type="dxa"/>
          </w:tcPr>
          <w:p w14:paraId="03B54A10" w14:textId="77777777" w:rsidR="00AE7970" w:rsidRPr="00AE7970" w:rsidRDefault="00AE7970" w:rsidP="00AE7970">
            <w:r w:rsidRPr="00AE7970">
              <w:rPr>
                <w:b/>
                <w:bCs/>
                <w:szCs w:val="20"/>
              </w:rPr>
              <w:t>Общи нарушения</w:t>
            </w:r>
          </w:p>
          <w:p w14:paraId="2E073C17" w14:textId="5CE6EB1A" w:rsidR="00AE7970" w:rsidRPr="00AE7970" w:rsidRDefault="00AE7970" w:rsidP="00AE7970">
            <w:r w:rsidRPr="00AE7970">
              <w:rPr>
                <w:szCs w:val="20"/>
              </w:rPr>
              <w:t>Чести</w:t>
            </w:r>
          </w:p>
        </w:tc>
        <w:tc>
          <w:tcPr>
            <w:tcW w:w="4788" w:type="dxa"/>
          </w:tcPr>
          <w:p w14:paraId="1D40471B" w14:textId="77777777" w:rsidR="00AE7970" w:rsidRDefault="00AE7970" w:rsidP="00AE7970">
            <w:pPr>
              <w:rPr>
                <w:szCs w:val="20"/>
              </w:rPr>
            </w:pPr>
          </w:p>
          <w:p w14:paraId="6698FD4B" w14:textId="19BDB11C" w:rsidR="00AE7970" w:rsidRPr="00AE7970" w:rsidRDefault="00AE7970" w:rsidP="00AE7970">
            <w:r w:rsidRPr="00AE7970">
              <w:rPr>
                <w:szCs w:val="20"/>
              </w:rPr>
              <w:t>Умора</w:t>
            </w:r>
          </w:p>
        </w:tc>
      </w:tr>
      <w:tr w:rsidR="00AE7970" w14:paraId="7FBF280C" w14:textId="77777777" w:rsidTr="00AE7970">
        <w:tc>
          <w:tcPr>
            <w:tcW w:w="4788" w:type="dxa"/>
          </w:tcPr>
          <w:p w14:paraId="13992B1B" w14:textId="77777777" w:rsidR="00AE7970" w:rsidRPr="00AE7970" w:rsidRDefault="00AE7970" w:rsidP="00AE7970">
            <w:r w:rsidRPr="00AE7970">
              <w:rPr>
                <w:b/>
                <w:bCs/>
                <w:szCs w:val="20"/>
              </w:rPr>
              <w:t>Стомашно-чревни нарушения</w:t>
            </w:r>
          </w:p>
          <w:p w14:paraId="4D74F762" w14:textId="76176CF8" w:rsidR="00AE7970" w:rsidRPr="00AE7970" w:rsidRDefault="00AE7970" w:rsidP="00AE7970">
            <w:r w:rsidRPr="00AE7970">
              <w:rPr>
                <w:szCs w:val="20"/>
              </w:rPr>
              <w:t>Нечести</w:t>
            </w:r>
          </w:p>
        </w:tc>
        <w:tc>
          <w:tcPr>
            <w:tcW w:w="4788" w:type="dxa"/>
          </w:tcPr>
          <w:p w14:paraId="51B99F32" w14:textId="77777777" w:rsidR="00AE7970" w:rsidRDefault="00AE7970" w:rsidP="00AE7970">
            <w:pPr>
              <w:rPr>
                <w:szCs w:val="20"/>
              </w:rPr>
            </w:pPr>
          </w:p>
          <w:p w14:paraId="1B434BC9" w14:textId="7395B7D0" w:rsidR="00AE7970" w:rsidRPr="00AE7970" w:rsidRDefault="00AE7970" w:rsidP="00AE7970">
            <w:r w:rsidRPr="00AE7970">
              <w:rPr>
                <w:szCs w:val="20"/>
              </w:rPr>
              <w:t>Диария, гадене, повръщане</w:t>
            </w:r>
          </w:p>
        </w:tc>
      </w:tr>
      <w:tr w:rsidR="00AE7970" w14:paraId="5AFDF7FC" w14:textId="77777777" w:rsidTr="00AE7970">
        <w:tc>
          <w:tcPr>
            <w:tcW w:w="4788" w:type="dxa"/>
          </w:tcPr>
          <w:p w14:paraId="02298BEA" w14:textId="77777777" w:rsidR="00AE7970" w:rsidRPr="00AE7970" w:rsidRDefault="00AE7970" w:rsidP="00AE7970">
            <w:r w:rsidRPr="00AE7970">
              <w:rPr>
                <w:b/>
                <w:bCs/>
                <w:szCs w:val="20"/>
              </w:rPr>
              <w:t>Нарушения на метаболизма и храненето</w:t>
            </w:r>
          </w:p>
          <w:p w14:paraId="63703FE1" w14:textId="0EE94296" w:rsidR="00AE7970" w:rsidRPr="00AE7970" w:rsidRDefault="00AE7970" w:rsidP="00AE7970">
            <w:r w:rsidRPr="00AE7970">
              <w:rPr>
                <w:szCs w:val="20"/>
              </w:rPr>
              <w:t>С неизвестна честота</w:t>
            </w:r>
          </w:p>
        </w:tc>
        <w:tc>
          <w:tcPr>
            <w:tcW w:w="4788" w:type="dxa"/>
          </w:tcPr>
          <w:p w14:paraId="4F31298C" w14:textId="77777777" w:rsidR="00AE7970" w:rsidRDefault="00AE7970" w:rsidP="00AE7970">
            <w:pPr>
              <w:rPr>
                <w:szCs w:val="20"/>
              </w:rPr>
            </w:pPr>
          </w:p>
          <w:p w14:paraId="644F8DC0" w14:textId="591D2C16" w:rsidR="00AE7970" w:rsidRPr="00AE7970" w:rsidRDefault="00AE7970" w:rsidP="00AE7970">
            <w:r w:rsidRPr="00AE7970">
              <w:rPr>
                <w:szCs w:val="20"/>
              </w:rPr>
              <w:t>Хипогликемия при деца, вкл. свързани с хипогликемията гърчове</w:t>
            </w:r>
          </w:p>
        </w:tc>
      </w:tr>
      <w:tr w:rsidR="00AE7970" w14:paraId="6CB4B382" w14:textId="77777777" w:rsidTr="0096092D">
        <w:trPr>
          <w:trHeight w:val="820"/>
        </w:trPr>
        <w:tc>
          <w:tcPr>
            <w:tcW w:w="4788" w:type="dxa"/>
          </w:tcPr>
          <w:p w14:paraId="5C04358C" w14:textId="77777777" w:rsidR="00AE7970" w:rsidRPr="00AE7970" w:rsidRDefault="00AE7970" w:rsidP="00AE7970">
            <w:r w:rsidRPr="00AE7970">
              <w:rPr>
                <w:b/>
                <w:bCs/>
                <w:szCs w:val="20"/>
              </w:rPr>
              <w:t>Нарушения на нервната система</w:t>
            </w:r>
          </w:p>
          <w:p w14:paraId="1D57192B" w14:textId="77777777" w:rsidR="00AE7970" w:rsidRPr="00AE7970" w:rsidRDefault="00AE7970" w:rsidP="00AE7970">
            <w:r w:rsidRPr="00AE7970">
              <w:rPr>
                <w:szCs w:val="20"/>
              </w:rPr>
              <w:t>Чести</w:t>
            </w:r>
          </w:p>
          <w:p w14:paraId="5C1F5457" w14:textId="316D500D" w:rsidR="00AE7970" w:rsidRPr="00AE7970" w:rsidRDefault="00AE7970" w:rsidP="00AE7970">
            <w:r w:rsidRPr="00AE7970">
              <w:rPr>
                <w:szCs w:val="20"/>
              </w:rPr>
              <w:t>Редки</w:t>
            </w:r>
          </w:p>
        </w:tc>
        <w:tc>
          <w:tcPr>
            <w:tcW w:w="4788" w:type="dxa"/>
          </w:tcPr>
          <w:p w14:paraId="0EA1F8DB" w14:textId="77777777" w:rsidR="00AE7970" w:rsidRDefault="00AE7970" w:rsidP="00AE7970">
            <w:pPr>
              <w:rPr>
                <w:szCs w:val="20"/>
              </w:rPr>
            </w:pPr>
          </w:p>
          <w:p w14:paraId="48C568E9" w14:textId="77777777" w:rsidR="00AE7970" w:rsidRPr="00AE7970" w:rsidRDefault="00AE7970" w:rsidP="00AE7970">
            <w:r w:rsidRPr="00AE7970">
              <w:rPr>
                <w:szCs w:val="20"/>
              </w:rPr>
              <w:t>Смущения в съня, нощни кошмари</w:t>
            </w:r>
          </w:p>
          <w:p w14:paraId="38F3669F" w14:textId="5856922D" w:rsidR="00AE7970" w:rsidRPr="00AE7970" w:rsidRDefault="00AE7970" w:rsidP="00AE7970">
            <w:r w:rsidRPr="00AE7970">
              <w:rPr>
                <w:szCs w:val="20"/>
              </w:rPr>
              <w:t>Халюцинации, парестезии, замайване</w:t>
            </w:r>
          </w:p>
        </w:tc>
      </w:tr>
      <w:tr w:rsidR="00AE7970" w14:paraId="74B5688B" w14:textId="77777777" w:rsidTr="00AE7970">
        <w:tc>
          <w:tcPr>
            <w:tcW w:w="4788" w:type="dxa"/>
          </w:tcPr>
          <w:p w14:paraId="76CC1BC6" w14:textId="77777777" w:rsidR="00AE7970" w:rsidRPr="00AE7970" w:rsidRDefault="00AE7970" w:rsidP="00AE7970">
            <w:r w:rsidRPr="00AE7970">
              <w:rPr>
                <w:b/>
                <w:bCs/>
                <w:szCs w:val="20"/>
              </w:rPr>
              <w:t>Психични нарушения</w:t>
            </w:r>
          </w:p>
          <w:p w14:paraId="58514539" w14:textId="0F527F42" w:rsidR="00AE7970" w:rsidRPr="00AE7970" w:rsidRDefault="00AE7970" w:rsidP="00AE7970">
            <w:r w:rsidRPr="00AE7970">
              <w:rPr>
                <w:szCs w:val="20"/>
              </w:rPr>
              <w:t>С неизвестна честота</w:t>
            </w:r>
          </w:p>
        </w:tc>
        <w:tc>
          <w:tcPr>
            <w:tcW w:w="4788" w:type="dxa"/>
          </w:tcPr>
          <w:p w14:paraId="427AA96F" w14:textId="77777777" w:rsidR="00AE7970" w:rsidRDefault="00AE7970" w:rsidP="00AE7970">
            <w:pPr>
              <w:rPr>
                <w:szCs w:val="20"/>
              </w:rPr>
            </w:pPr>
          </w:p>
          <w:p w14:paraId="40D98AFA" w14:textId="10EBD5ED" w:rsidR="00AE7970" w:rsidRPr="00AE7970" w:rsidRDefault="00AE7970" w:rsidP="00AE7970">
            <w:r w:rsidRPr="00AE7970">
              <w:rPr>
                <w:szCs w:val="20"/>
              </w:rPr>
              <w:t>Депресия, обърканост</w:t>
            </w:r>
          </w:p>
        </w:tc>
      </w:tr>
      <w:tr w:rsidR="00AE7970" w14:paraId="0F5C157A" w14:textId="77777777" w:rsidTr="00AE7970">
        <w:tc>
          <w:tcPr>
            <w:tcW w:w="4788" w:type="dxa"/>
          </w:tcPr>
          <w:p w14:paraId="7C03D44B" w14:textId="77777777" w:rsidR="00AE7970" w:rsidRPr="00AE7970" w:rsidRDefault="00AE7970" w:rsidP="00AE7970">
            <w:r w:rsidRPr="00AE7970">
              <w:rPr>
                <w:b/>
                <w:bCs/>
                <w:szCs w:val="20"/>
              </w:rPr>
              <w:t>Респираторни, гръдни в медиастнналнн нарушения</w:t>
            </w:r>
          </w:p>
          <w:p w14:paraId="6E788086" w14:textId="39F44259" w:rsidR="00AE7970" w:rsidRPr="00AE7970" w:rsidRDefault="00AE7970" w:rsidP="00AE7970">
            <w:r w:rsidRPr="00AE7970">
              <w:rPr>
                <w:szCs w:val="20"/>
              </w:rPr>
              <w:t>Редки</w:t>
            </w:r>
          </w:p>
        </w:tc>
        <w:tc>
          <w:tcPr>
            <w:tcW w:w="4788" w:type="dxa"/>
          </w:tcPr>
          <w:p w14:paraId="2B4AF0B1" w14:textId="77777777" w:rsidR="00AE7970" w:rsidRDefault="00AE7970" w:rsidP="00AE7970">
            <w:pPr>
              <w:rPr>
                <w:szCs w:val="20"/>
              </w:rPr>
            </w:pPr>
          </w:p>
          <w:p w14:paraId="5A298CD5" w14:textId="77777777" w:rsidR="00AE7970" w:rsidRDefault="00AE7970" w:rsidP="00AE7970">
            <w:pPr>
              <w:rPr>
                <w:szCs w:val="20"/>
              </w:rPr>
            </w:pPr>
          </w:p>
          <w:p w14:paraId="1FE78167" w14:textId="61FDA180" w:rsidR="00AE7970" w:rsidRPr="00AE7970" w:rsidRDefault="00AE7970" w:rsidP="00AE7970">
            <w:r w:rsidRPr="00AE7970">
              <w:rPr>
                <w:szCs w:val="20"/>
              </w:rPr>
              <w:t>Бронхоспазъм при пациенти с бронхиална астма или анамнеза за астматични оплаквания</w:t>
            </w:r>
          </w:p>
        </w:tc>
      </w:tr>
      <w:tr w:rsidR="00AE7970" w14:paraId="5E7D5D78" w14:textId="77777777" w:rsidTr="000453AD">
        <w:trPr>
          <w:trHeight w:val="1099"/>
        </w:trPr>
        <w:tc>
          <w:tcPr>
            <w:tcW w:w="4788" w:type="dxa"/>
          </w:tcPr>
          <w:p w14:paraId="53B7EB44" w14:textId="77777777" w:rsidR="00AE7970" w:rsidRPr="00AE7970" w:rsidRDefault="00AE7970" w:rsidP="00AE7970">
            <w:r w:rsidRPr="00AE7970">
              <w:rPr>
                <w:b/>
                <w:bCs/>
                <w:szCs w:val="20"/>
              </w:rPr>
              <w:t>Нарушения на кожата и подкожната тъкан</w:t>
            </w:r>
          </w:p>
          <w:p w14:paraId="51C967E5" w14:textId="77777777" w:rsidR="00AE7970" w:rsidRPr="00AE7970" w:rsidRDefault="00AE7970" w:rsidP="00AE7970">
            <w:r w:rsidRPr="00AE7970">
              <w:rPr>
                <w:szCs w:val="20"/>
              </w:rPr>
              <w:t>Редки</w:t>
            </w:r>
          </w:p>
          <w:p w14:paraId="5AB0A09E" w14:textId="36A38E04" w:rsidR="00AE7970" w:rsidRPr="00AE7970" w:rsidRDefault="00AE7970" w:rsidP="00AE7970">
            <w:r w:rsidRPr="00AE7970">
              <w:rPr>
                <w:szCs w:val="20"/>
              </w:rPr>
              <w:t>Много редки</w:t>
            </w:r>
          </w:p>
        </w:tc>
        <w:tc>
          <w:tcPr>
            <w:tcW w:w="4788" w:type="dxa"/>
          </w:tcPr>
          <w:p w14:paraId="07E15500" w14:textId="77777777" w:rsidR="00AE7970" w:rsidRDefault="00AE7970" w:rsidP="00AE7970">
            <w:pPr>
              <w:rPr>
                <w:szCs w:val="20"/>
              </w:rPr>
            </w:pPr>
          </w:p>
          <w:p w14:paraId="46ECAA26" w14:textId="77777777" w:rsidR="00AE7970" w:rsidRDefault="00AE7970" w:rsidP="00AE7970">
            <w:pPr>
              <w:rPr>
                <w:szCs w:val="20"/>
              </w:rPr>
            </w:pPr>
          </w:p>
          <w:p w14:paraId="618E577A" w14:textId="6A868D6E" w:rsidR="00AE7970" w:rsidRPr="00AE7970" w:rsidRDefault="00AE7970" w:rsidP="00AE7970">
            <w:r w:rsidRPr="00AE7970">
              <w:rPr>
                <w:szCs w:val="20"/>
              </w:rPr>
              <w:t>Алопеция, пурпура, обрив,</w:t>
            </w:r>
          </w:p>
          <w:p w14:paraId="450EA930" w14:textId="2CBEBD03" w:rsidR="00AE7970" w:rsidRPr="00AE7970" w:rsidRDefault="00AE7970" w:rsidP="00AE7970">
            <w:r w:rsidRPr="00AE7970">
              <w:rPr>
                <w:szCs w:val="20"/>
              </w:rPr>
              <w:t>Псориазиформени кожни реакции, обостряне на псориазис</w:t>
            </w:r>
          </w:p>
        </w:tc>
      </w:tr>
      <w:tr w:rsidR="00AE7970" w14:paraId="7AD3D403" w14:textId="77777777" w:rsidTr="00DA34BA">
        <w:trPr>
          <w:trHeight w:val="820"/>
        </w:trPr>
        <w:tc>
          <w:tcPr>
            <w:tcW w:w="4788" w:type="dxa"/>
          </w:tcPr>
          <w:p w14:paraId="1F7CE439" w14:textId="77777777" w:rsidR="00AE7970" w:rsidRPr="00AE7970" w:rsidRDefault="00AE7970" w:rsidP="00AE7970">
            <w:r w:rsidRPr="00AE7970">
              <w:rPr>
                <w:b/>
                <w:bCs/>
                <w:szCs w:val="20"/>
              </w:rPr>
              <w:t>Съдови нарушения</w:t>
            </w:r>
          </w:p>
          <w:p w14:paraId="5B7980FB" w14:textId="77777777" w:rsidR="00AE7970" w:rsidRPr="00AE7970" w:rsidRDefault="00AE7970" w:rsidP="00AE7970">
            <w:r w:rsidRPr="00AE7970">
              <w:rPr>
                <w:szCs w:val="20"/>
              </w:rPr>
              <w:t>Чести</w:t>
            </w:r>
          </w:p>
          <w:p w14:paraId="3A01C088" w14:textId="5F560CC0" w:rsidR="00AE7970" w:rsidRPr="00AE7970" w:rsidRDefault="00AE7970" w:rsidP="00AE7970">
            <w:r w:rsidRPr="00AE7970">
              <w:rPr>
                <w:szCs w:val="20"/>
              </w:rPr>
              <w:t>Редки</w:t>
            </w:r>
          </w:p>
        </w:tc>
        <w:tc>
          <w:tcPr>
            <w:tcW w:w="4788" w:type="dxa"/>
          </w:tcPr>
          <w:p w14:paraId="7155FEEC" w14:textId="77777777" w:rsidR="00AE7970" w:rsidRDefault="00AE7970" w:rsidP="00AE7970">
            <w:pPr>
              <w:rPr>
                <w:szCs w:val="20"/>
              </w:rPr>
            </w:pPr>
          </w:p>
          <w:p w14:paraId="201C66B9" w14:textId="77777777" w:rsidR="00AE7970" w:rsidRPr="00AE7970" w:rsidRDefault="00AE7970" w:rsidP="00AE7970">
            <w:r w:rsidRPr="00AE7970">
              <w:rPr>
                <w:szCs w:val="20"/>
              </w:rPr>
              <w:t>Студени крайници</w:t>
            </w:r>
          </w:p>
          <w:p w14:paraId="7043F9D2" w14:textId="7C9D7775" w:rsidR="00AE7970" w:rsidRPr="00AE7970" w:rsidRDefault="00AE7970" w:rsidP="00AE7970">
            <w:r w:rsidRPr="00AE7970">
              <w:rPr>
                <w:szCs w:val="20"/>
              </w:rPr>
              <w:t>Постурална хипотензия (със синкоп)</w:t>
            </w:r>
          </w:p>
        </w:tc>
      </w:tr>
    </w:tbl>
    <w:p w14:paraId="66835D6F" w14:textId="77777777" w:rsidR="00AE7970" w:rsidRDefault="00AE7970" w:rsidP="00AE7970">
      <w:pPr>
        <w:spacing w:line="240" w:lineRule="auto"/>
        <w:rPr>
          <w:rFonts w:ascii="Times New Roman" w:eastAsia="Times New Roman" w:hAnsi="Times New Roman" w:cs="Times New Roman"/>
          <w:color w:val="000000"/>
          <w:sz w:val="20"/>
          <w:szCs w:val="20"/>
          <w:lang w:eastAsia="bg-BG"/>
        </w:rPr>
      </w:pPr>
    </w:p>
    <w:p w14:paraId="58ADC3D2" w14:textId="78296136" w:rsidR="00AE7970" w:rsidRPr="00AE7970" w:rsidRDefault="00AE7970" w:rsidP="00AE7970">
      <w:pPr>
        <w:spacing w:line="240" w:lineRule="auto"/>
        <w:rPr>
          <w:rFonts w:eastAsia="Times New Roman" w:cs="Arial"/>
        </w:rPr>
      </w:pPr>
      <w:r w:rsidRPr="00AE7970">
        <w:rPr>
          <w:rFonts w:eastAsia="Times New Roman" w:cs="Arial"/>
          <w:color w:val="000000"/>
          <w:lang w:eastAsia="bg-BG"/>
        </w:rPr>
        <w:t>Съществуват съобщения за изолирани случаи на миастения гравис подобен синдром или обостряне на миастения гравис при пациенти лекувани с пропранолол.</w:t>
      </w:r>
    </w:p>
    <w:p w14:paraId="34E680ED" w14:textId="77777777" w:rsidR="00AE7970" w:rsidRPr="00AE7970" w:rsidRDefault="00AE7970" w:rsidP="00AE7970">
      <w:pPr>
        <w:rPr>
          <w:rFonts w:eastAsia="Times New Roman" w:cs="Arial"/>
          <w:color w:val="000000"/>
          <w:lang w:eastAsia="bg-BG"/>
        </w:rPr>
      </w:pPr>
    </w:p>
    <w:p w14:paraId="71A93071" w14:textId="09ECCECE" w:rsidR="00AE7970" w:rsidRPr="00AE7970" w:rsidRDefault="00AE7970" w:rsidP="00AE7970">
      <w:pPr>
        <w:rPr>
          <w:rFonts w:eastAsia="Times New Roman" w:cs="Arial"/>
          <w:color w:val="000000"/>
          <w:lang w:eastAsia="bg-BG"/>
        </w:rPr>
      </w:pPr>
      <w:r w:rsidRPr="00AE7970">
        <w:rPr>
          <w:rFonts w:eastAsia="Times New Roman" w:cs="Arial"/>
          <w:color w:val="000000"/>
          <w:lang w:eastAsia="bg-BG"/>
        </w:rPr>
        <w:t>Не може да се изключи и повишена честота на пристъпите на ангина пекторис.</w:t>
      </w:r>
    </w:p>
    <w:p w14:paraId="5CC66BFB" w14:textId="43297066" w:rsidR="00AE7970" w:rsidRPr="00AE7970" w:rsidRDefault="00AE7970" w:rsidP="00AE7970">
      <w:pPr>
        <w:rPr>
          <w:rFonts w:eastAsia="Times New Roman" w:cs="Arial"/>
          <w:color w:val="000000"/>
          <w:lang w:eastAsia="bg-BG"/>
        </w:rPr>
      </w:pPr>
    </w:p>
    <w:p w14:paraId="4A29D84A" w14:textId="77777777" w:rsidR="00AE7970" w:rsidRPr="00AE7970" w:rsidRDefault="00AE7970" w:rsidP="00AE7970">
      <w:pPr>
        <w:spacing w:line="240" w:lineRule="auto"/>
        <w:rPr>
          <w:rFonts w:eastAsia="Times New Roman" w:cs="Arial"/>
        </w:rPr>
      </w:pPr>
      <w:r w:rsidRPr="00AE7970">
        <w:rPr>
          <w:rFonts w:eastAsia="Times New Roman" w:cs="Arial"/>
          <w:color w:val="000000"/>
          <w:u w:val="single"/>
          <w:lang w:eastAsia="bg-BG"/>
        </w:rPr>
        <w:t>Съобщаване на подозирани нежелани реакпии</w:t>
      </w:r>
    </w:p>
    <w:p w14:paraId="27C9C855" w14:textId="61D8501F" w:rsidR="00AE7970" w:rsidRDefault="00AE7970" w:rsidP="00AE7970">
      <w:pPr>
        <w:rPr>
          <w:rFonts w:eastAsia="Times New Roman" w:cs="Arial"/>
        </w:rPr>
      </w:pPr>
      <w:r w:rsidRPr="00AE7970">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w:t>
      </w:r>
      <w:r w:rsidRPr="00AE7970">
        <w:rPr>
          <w:rFonts w:eastAsia="Times New Roman" w:cs="Arial"/>
          <w:color w:val="000000"/>
          <w:lang w:eastAsia="bg-BG"/>
        </w:rPr>
        <w:lastRenderedPageBreak/>
        <w:t xml:space="preserve">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8,1303 София, тел.: 02 8903417, уебсайт: </w:t>
      </w:r>
      <w:r w:rsidRPr="00AE7970">
        <w:rPr>
          <w:rFonts w:eastAsia="Times New Roman" w:cs="Arial"/>
        </w:rPr>
        <w:fldChar w:fldCharType="begin"/>
      </w:r>
      <w:r w:rsidRPr="00AE7970">
        <w:rPr>
          <w:rFonts w:eastAsia="Times New Roman" w:cs="Arial"/>
        </w:rPr>
        <w:instrText xml:space="preserve"> HYPERLINK "http://www.bda.bg" </w:instrText>
      </w:r>
      <w:r w:rsidRPr="00AE7970">
        <w:rPr>
          <w:rFonts w:eastAsia="Times New Roman" w:cs="Arial"/>
        </w:rPr>
      </w:r>
      <w:r w:rsidRPr="00AE7970">
        <w:rPr>
          <w:rFonts w:eastAsia="Times New Roman" w:cs="Arial"/>
        </w:rPr>
        <w:fldChar w:fldCharType="separate"/>
      </w:r>
      <w:r w:rsidRPr="00AE7970">
        <w:rPr>
          <w:rFonts w:eastAsia="Times New Roman" w:cs="Arial"/>
          <w:color w:val="000000"/>
          <w:u w:val="single"/>
          <w:lang w:val="en-US"/>
        </w:rPr>
        <w:t>www</w:t>
      </w:r>
      <w:r w:rsidRPr="00AE7970">
        <w:rPr>
          <w:rFonts w:eastAsia="Times New Roman" w:cs="Arial"/>
          <w:color w:val="000000"/>
          <w:u w:val="single"/>
          <w:lang w:val="ru-RU"/>
        </w:rPr>
        <w:t>.</w:t>
      </w:r>
      <w:proofErr w:type="spellStart"/>
      <w:r w:rsidRPr="00AE7970">
        <w:rPr>
          <w:rFonts w:eastAsia="Times New Roman" w:cs="Arial"/>
          <w:color w:val="000000"/>
          <w:u w:val="single"/>
          <w:lang w:val="en-US"/>
        </w:rPr>
        <w:t>bda</w:t>
      </w:r>
      <w:proofErr w:type="spellEnd"/>
      <w:r w:rsidRPr="00AE7970">
        <w:rPr>
          <w:rFonts w:eastAsia="Times New Roman" w:cs="Arial"/>
          <w:color w:val="000000"/>
          <w:u w:val="single"/>
          <w:lang w:val="ru-RU"/>
        </w:rPr>
        <w:t>.</w:t>
      </w:r>
      <w:proofErr w:type="spellStart"/>
      <w:r w:rsidRPr="00AE7970">
        <w:rPr>
          <w:rFonts w:eastAsia="Times New Roman" w:cs="Arial"/>
          <w:color w:val="000000"/>
          <w:u w:val="single"/>
          <w:lang w:val="en-US"/>
        </w:rPr>
        <w:t>bg</w:t>
      </w:r>
      <w:proofErr w:type="spellEnd"/>
      <w:r w:rsidRPr="00AE7970">
        <w:rPr>
          <w:rFonts w:eastAsia="Times New Roman" w:cs="Arial"/>
        </w:rPr>
        <w:fldChar w:fldCharType="end"/>
      </w:r>
    </w:p>
    <w:p w14:paraId="42868FA0" w14:textId="77777777" w:rsidR="00AE7970" w:rsidRPr="00AE7970" w:rsidRDefault="00AE7970" w:rsidP="00AE7970">
      <w:pPr>
        <w:rPr>
          <w:rFonts w:cs="Arial"/>
        </w:rPr>
      </w:pPr>
    </w:p>
    <w:p w14:paraId="4ED30546" w14:textId="3F40C936" w:rsidR="007C605B" w:rsidRDefault="002C50EE" w:rsidP="009F1313">
      <w:pPr>
        <w:pStyle w:val="Heading2"/>
      </w:pPr>
      <w:r>
        <w:t>4.9. Предозиране</w:t>
      </w:r>
    </w:p>
    <w:p w14:paraId="3373FF86" w14:textId="041E8888" w:rsidR="00AE7970" w:rsidRDefault="00AE7970" w:rsidP="00AE7970"/>
    <w:p w14:paraId="300DC926" w14:textId="77777777" w:rsidR="00AE7970" w:rsidRPr="00AE7970" w:rsidRDefault="00AE7970" w:rsidP="00AE7970">
      <w:pPr>
        <w:pStyle w:val="Heading3"/>
        <w:rPr>
          <w:rFonts w:eastAsia="Times New Roman"/>
          <w:i/>
          <w:sz w:val="28"/>
        </w:rPr>
      </w:pPr>
      <w:r w:rsidRPr="00AE7970">
        <w:rPr>
          <w:rFonts w:eastAsia="Times New Roman"/>
          <w:i/>
          <w:lang w:eastAsia="bg-BG"/>
        </w:rPr>
        <w:t>Симптоми на предозиране</w:t>
      </w:r>
    </w:p>
    <w:p w14:paraId="1BEA92F8"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Клиничната картина се характеризира с нарушения на сърдечно-съдовата система в зависимост от степента на интоксикация. Предозирането може да доведе до тежка хипотензия, брадикардия, или </w:t>
      </w:r>
      <w:r w:rsidRPr="00AE7970">
        <w:rPr>
          <w:rFonts w:eastAsia="Times New Roman" w:cs="Arial"/>
          <w:color w:val="000000"/>
          <w:szCs w:val="20"/>
          <w:lang w:val="en-US"/>
        </w:rPr>
        <w:t>AV</w:t>
      </w:r>
      <w:r w:rsidRPr="00AE7970">
        <w:rPr>
          <w:rFonts w:eastAsia="Times New Roman" w:cs="Arial"/>
          <w:color w:val="000000"/>
          <w:szCs w:val="20"/>
          <w:lang w:val="ru-RU"/>
        </w:rPr>
        <w:t xml:space="preserve"> </w:t>
      </w:r>
      <w:r w:rsidRPr="00AE7970">
        <w:rPr>
          <w:rFonts w:eastAsia="Times New Roman" w:cs="Arial"/>
          <w:color w:val="000000"/>
          <w:szCs w:val="20"/>
          <w:lang w:eastAsia="bg-BG"/>
        </w:rPr>
        <w:t>блок първа и втора степен. Възможно е да се наблюдава бронхоспазъм.</w:t>
      </w:r>
    </w:p>
    <w:p w14:paraId="701A1A96" w14:textId="77777777" w:rsidR="00AE7970" w:rsidRPr="00AE7970" w:rsidRDefault="00AE7970" w:rsidP="00AE7970">
      <w:pPr>
        <w:spacing w:line="240" w:lineRule="auto"/>
        <w:rPr>
          <w:rFonts w:eastAsia="Times New Roman" w:cs="Arial"/>
          <w:i/>
          <w:iCs/>
          <w:color w:val="000000"/>
          <w:szCs w:val="20"/>
          <w:lang w:eastAsia="bg-BG"/>
        </w:rPr>
      </w:pPr>
    </w:p>
    <w:p w14:paraId="1114F79B" w14:textId="4703993A" w:rsidR="00AE7970" w:rsidRPr="00AE7970" w:rsidRDefault="00AE7970" w:rsidP="00AE7970">
      <w:pPr>
        <w:pStyle w:val="Heading3"/>
        <w:rPr>
          <w:rFonts w:eastAsia="Times New Roman"/>
          <w:i/>
          <w:sz w:val="28"/>
        </w:rPr>
      </w:pPr>
      <w:r w:rsidRPr="00AE7970">
        <w:rPr>
          <w:rFonts w:eastAsia="Times New Roman"/>
          <w:i/>
          <w:lang w:eastAsia="bg-BG"/>
        </w:rPr>
        <w:t>Лечение на предозиране</w:t>
      </w:r>
    </w:p>
    <w:p w14:paraId="6C6BC208"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В случай на предозиране или при екстремно понижение на сърдечната честота или артериалното налягане, лечението с пропранолол трябва да бъде прекратено. Прилагат се мерки за първично елиминиране на лекарството, жизнените показатели се проследяват и коригират в интензивно отделение.</w:t>
      </w:r>
    </w:p>
    <w:p w14:paraId="6A3641A7" w14:textId="77777777" w:rsidR="00AE7970" w:rsidRPr="00AE7970" w:rsidRDefault="00AE7970" w:rsidP="00AE7970">
      <w:pPr>
        <w:spacing w:line="240" w:lineRule="auto"/>
        <w:rPr>
          <w:rFonts w:eastAsia="Times New Roman" w:cs="Arial"/>
          <w:color w:val="000000"/>
          <w:szCs w:val="20"/>
          <w:lang w:eastAsia="bg-BG"/>
        </w:rPr>
      </w:pPr>
    </w:p>
    <w:p w14:paraId="7CFFAD1B" w14:textId="347AE880"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Необходимо е да се проведе симптоматично и поддържащо лечение, включително поддържане на проходими дихателни пътища и мониториране на виталните показатели до стабилизирането на пациента. Прилага се активен въглен (50 </w:t>
      </w:r>
      <w:r w:rsidRPr="00AE7970">
        <w:rPr>
          <w:rFonts w:eastAsia="Times New Roman" w:cs="Arial"/>
          <w:color w:val="000000"/>
          <w:szCs w:val="20"/>
          <w:lang w:val="en-US"/>
        </w:rPr>
        <w:t>g</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за възрастни, 1 </w:t>
      </w:r>
      <w:r w:rsidRPr="00AE7970">
        <w:rPr>
          <w:rFonts w:eastAsia="Times New Roman" w:cs="Arial"/>
          <w:color w:val="000000"/>
          <w:szCs w:val="20"/>
          <w:lang w:val="en-US"/>
        </w:rPr>
        <w:t>g</w:t>
      </w:r>
      <w:r w:rsidRPr="00AE7970">
        <w:rPr>
          <w:rFonts w:eastAsia="Times New Roman" w:cs="Arial"/>
          <w:color w:val="000000"/>
          <w:szCs w:val="20"/>
          <w:lang w:val="ru-RU"/>
        </w:rPr>
        <w:t>/</w:t>
      </w:r>
      <w:r w:rsidRPr="00AE7970">
        <w:rPr>
          <w:rFonts w:eastAsia="Times New Roman" w:cs="Arial"/>
          <w:color w:val="000000"/>
          <w:szCs w:val="20"/>
          <w:lang w:val="en-US"/>
        </w:rPr>
        <w:t>kg</w:t>
      </w:r>
      <w:r w:rsidRPr="00AE7970">
        <w:rPr>
          <w:rFonts w:eastAsia="Times New Roman" w:cs="Arial"/>
          <w:color w:val="000000"/>
          <w:szCs w:val="20"/>
          <w:lang w:val="ru-RU"/>
        </w:rPr>
        <w:t xml:space="preserve"> </w:t>
      </w:r>
      <w:r w:rsidRPr="00AE7970">
        <w:rPr>
          <w:rFonts w:eastAsia="Times New Roman" w:cs="Arial"/>
          <w:color w:val="000000"/>
          <w:szCs w:val="20"/>
          <w:lang w:eastAsia="bg-BG"/>
        </w:rPr>
        <w:t>за деца) до един час след приемане на повече от една терапевтична доза при възрастни и при всички количества над допустимото за деца. При възрастни алтернативно се провежда лаваж на стомаха в рамките на един час след животозастрашаващо предозиране.</w:t>
      </w:r>
    </w:p>
    <w:p w14:paraId="09C9C99E" w14:textId="77777777" w:rsidR="00AE7970" w:rsidRPr="00AE7970" w:rsidRDefault="00AE7970" w:rsidP="00AE7970">
      <w:pPr>
        <w:spacing w:line="240" w:lineRule="auto"/>
        <w:rPr>
          <w:rFonts w:eastAsia="Times New Roman" w:cs="Arial"/>
          <w:color w:val="000000"/>
          <w:szCs w:val="20"/>
          <w:lang w:eastAsia="bg-BG"/>
        </w:rPr>
      </w:pPr>
    </w:p>
    <w:p w14:paraId="77A0DCEA" w14:textId="3E8184A0"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Брадикардията може да се повлияе от високи дози атропин (3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интравенозно за възрастни и 0,04 </w:t>
      </w:r>
      <w:r w:rsidRPr="00AE7970">
        <w:rPr>
          <w:rFonts w:eastAsia="Times New Roman" w:cs="Arial"/>
          <w:color w:val="000000"/>
          <w:szCs w:val="20"/>
          <w:lang w:val="en-US"/>
        </w:rPr>
        <w:t>mg</w:t>
      </w:r>
      <w:r w:rsidRPr="00AE7970">
        <w:rPr>
          <w:rFonts w:eastAsia="Times New Roman" w:cs="Arial"/>
          <w:color w:val="000000"/>
          <w:szCs w:val="20"/>
          <w:lang w:val="ru-RU"/>
        </w:rPr>
        <w:t>/</w:t>
      </w:r>
      <w:r w:rsidRPr="00AE7970">
        <w:rPr>
          <w:rFonts w:eastAsia="Times New Roman" w:cs="Arial"/>
          <w:color w:val="000000"/>
          <w:szCs w:val="20"/>
          <w:lang w:val="en-US"/>
        </w:rPr>
        <w:t>kg</w:t>
      </w:r>
      <w:r w:rsidRPr="00AE7970">
        <w:rPr>
          <w:rFonts w:eastAsia="Times New Roman" w:cs="Arial"/>
          <w:color w:val="000000"/>
          <w:szCs w:val="20"/>
          <w:lang w:val="ru-RU"/>
        </w:rPr>
        <w:t xml:space="preserve"> </w:t>
      </w:r>
      <w:r w:rsidRPr="00AE7970">
        <w:rPr>
          <w:rFonts w:eastAsia="Times New Roman" w:cs="Arial"/>
          <w:color w:val="000000"/>
          <w:szCs w:val="20"/>
          <w:lang w:eastAsia="bg-BG"/>
        </w:rPr>
        <w:t>за деца).</w:t>
      </w:r>
    </w:p>
    <w:p w14:paraId="7C3A0266" w14:textId="77777777" w:rsidR="00AE7970" w:rsidRPr="00AE7970" w:rsidRDefault="00AE7970" w:rsidP="00AE7970">
      <w:pPr>
        <w:spacing w:line="240" w:lineRule="auto"/>
        <w:rPr>
          <w:rFonts w:eastAsia="Times New Roman" w:cs="Arial"/>
          <w:color w:val="000000"/>
          <w:szCs w:val="20"/>
          <w:lang w:eastAsia="bg-BG"/>
        </w:rPr>
      </w:pPr>
    </w:p>
    <w:p w14:paraId="714803CD" w14:textId="1D485D8F"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При възрастни с тежка хипотензия се прилагат 5-10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глюкагон болусно интравенозно (50- 150 </w:t>
      </w:r>
      <w:r w:rsidRPr="00AE7970">
        <w:rPr>
          <w:rFonts w:eastAsia="Times New Roman" w:cs="Arial"/>
          <w:color w:val="000000"/>
          <w:szCs w:val="20"/>
          <w:lang w:val="en-US"/>
        </w:rPr>
        <w:t>micrograms</w:t>
      </w:r>
      <w:r w:rsidRPr="00AE7970">
        <w:rPr>
          <w:rFonts w:eastAsia="Times New Roman" w:cs="Arial"/>
          <w:color w:val="000000"/>
          <w:szCs w:val="20"/>
          <w:lang w:val="ru-RU"/>
        </w:rPr>
        <w:t>/</w:t>
      </w:r>
      <w:r w:rsidRPr="00AE7970">
        <w:rPr>
          <w:rFonts w:eastAsia="Times New Roman" w:cs="Arial"/>
          <w:color w:val="000000"/>
          <w:szCs w:val="20"/>
          <w:lang w:val="en-US"/>
        </w:rPr>
        <w:t>kg</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при деца) в продължение на повече от 10 мин. за да се намали вероятността от повръщане, последвано от инфузия на 1-5 </w:t>
      </w:r>
      <w:r w:rsidRPr="00AE7970">
        <w:rPr>
          <w:rFonts w:eastAsia="Times New Roman" w:cs="Arial"/>
          <w:color w:val="000000"/>
          <w:szCs w:val="20"/>
          <w:lang w:val="en-US"/>
        </w:rPr>
        <w:t>mg</w:t>
      </w:r>
      <w:r w:rsidRPr="00AE7970">
        <w:rPr>
          <w:rFonts w:eastAsia="Times New Roman" w:cs="Arial"/>
          <w:color w:val="000000"/>
          <w:szCs w:val="20"/>
          <w:lang w:eastAsia="bg-BG"/>
        </w:rPr>
        <w:t xml:space="preserve">/час (50 </w:t>
      </w:r>
      <w:r w:rsidRPr="00AE7970">
        <w:rPr>
          <w:rFonts w:eastAsia="Times New Roman" w:cs="Arial"/>
          <w:color w:val="000000"/>
          <w:szCs w:val="20"/>
          <w:lang w:val="en-US"/>
        </w:rPr>
        <w:t>micrograms</w:t>
      </w:r>
      <w:r w:rsidRPr="00AE7970">
        <w:rPr>
          <w:rFonts w:eastAsia="Times New Roman" w:cs="Arial"/>
          <w:color w:val="000000"/>
          <w:szCs w:val="20"/>
          <w:lang w:val="ru-RU"/>
        </w:rPr>
        <w:t>/</w:t>
      </w:r>
      <w:r w:rsidRPr="00AE7970">
        <w:rPr>
          <w:rFonts w:eastAsia="Times New Roman" w:cs="Arial"/>
          <w:color w:val="000000"/>
          <w:szCs w:val="20"/>
          <w:lang w:val="en-US"/>
        </w:rPr>
        <w:t>kg</w:t>
      </w:r>
      <w:r w:rsidRPr="00AE7970">
        <w:rPr>
          <w:rFonts w:eastAsia="Times New Roman" w:cs="Arial"/>
          <w:color w:val="000000"/>
          <w:szCs w:val="20"/>
          <w:lang w:eastAsia="bg-BG"/>
        </w:rPr>
        <w:t>/час), която се титрира до получаване на клиничен отговор.</w:t>
      </w:r>
    </w:p>
    <w:p w14:paraId="72C6C6FB"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Ако няма на разположение глюкагон или в случай на тежка брадикардия или хипотензия, които не отговарят на лечение с глюкагон, може да се приложи изопреналин чрез интравенозна инфузия със скорост 5-10 </w:t>
      </w:r>
      <w:r w:rsidRPr="00AE7970">
        <w:rPr>
          <w:rFonts w:eastAsia="Times New Roman" w:cs="Arial"/>
          <w:color w:val="000000"/>
          <w:szCs w:val="20"/>
          <w:lang w:val="en-US"/>
        </w:rPr>
        <w:t>micrograms</w:t>
      </w:r>
      <w:r w:rsidRPr="00AE7970">
        <w:rPr>
          <w:rFonts w:eastAsia="Times New Roman" w:cs="Arial"/>
          <w:color w:val="000000"/>
          <w:szCs w:val="20"/>
          <w:lang w:eastAsia="bg-BG"/>
        </w:rPr>
        <w:t xml:space="preserve">/минута (0,02 </w:t>
      </w:r>
      <w:r w:rsidRPr="00AE7970">
        <w:rPr>
          <w:rFonts w:eastAsia="Times New Roman" w:cs="Arial"/>
          <w:color w:val="000000"/>
          <w:szCs w:val="20"/>
          <w:lang w:val="en-US"/>
        </w:rPr>
        <w:t>micrograms</w:t>
      </w:r>
      <w:r w:rsidRPr="00AE7970">
        <w:rPr>
          <w:rFonts w:eastAsia="Times New Roman" w:cs="Arial"/>
          <w:color w:val="000000"/>
          <w:szCs w:val="20"/>
          <w:lang w:val="ru-RU"/>
        </w:rPr>
        <w:t>/</w:t>
      </w:r>
      <w:r w:rsidRPr="00AE7970">
        <w:rPr>
          <w:rFonts w:eastAsia="Times New Roman" w:cs="Arial"/>
          <w:color w:val="000000"/>
          <w:szCs w:val="20"/>
          <w:lang w:val="en-US"/>
        </w:rPr>
        <w:t>kg</w:t>
      </w:r>
      <w:r w:rsidRPr="00AE7970">
        <w:rPr>
          <w:rFonts w:eastAsia="Times New Roman" w:cs="Arial"/>
          <w:color w:val="000000"/>
          <w:szCs w:val="20"/>
          <w:lang w:eastAsia="bg-BG"/>
        </w:rPr>
        <w:t xml:space="preserve">/минута при деца, която може да се повиши до максимум 0,5 </w:t>
      </w:r>
      <w:r w:rsidRPr="00AE7970">
        <w:rPr>
          <w:rFonts w:eastAsia="Times New Roman" w:cs="Arial"/>
          <w:color w:val="000000"/>
          <w:szCs w:val="20"/>
          <w:lang w:val="en-US"/>
        </w:rPr>
        <w:t>micrograms</w:t>
      </w:r>
      <w:r w:rsidRPr="00AE7970">
        <w:rPr>
          <w:rFonts w:eastAsia="Times New Roman" w:cs="Arial"/>
          <w:color w:val="000000"/>
          <w:szCs w:val="20"/>
          <w:lang w:val="ru-RU"/>
        </w:rPr>
        <w:t>/</w:t>
      </w:r>
      <w:r w:rsidRPr="00AE7970">
        <w:rPr>
          <w:rFonts w:eastAsia="Times New Roman" w:cs="Arial"/>
          <w:color w:val="000000"/>
          <w:szCs w:val="20"/>
          <w:lang w:val="en-US"/>
        </w:rPr>
        <w:t>kg</w:t>
      </w:r>
      <w:r w:rsidRPr="00AE7970">
        <w:rPr>
          <w:rFonts w:eastAsia="Times New Roman" w:cs="Arial"/>
          <w:color w:val="000000"/>
          <w:szCs w:val="20"/>
          <w:lang w:eastAsia="bg-BG"/>
        </w:rPr>
        <w:t>/минута). Дозата се повишава колкото е необходимо до достигане на клиничен отговор.</w:t>
      </w:r>
    </w:p>
    <w:p w14:paraId="01B7729F" w14:textId="77777777" w:rsidR="00AE7970" w:rsidRPr="00AE7970" w:rsidRDefault="00AE7970" w:rsidP="00AE7970">
      <w:pPr>
        <w:spacing w:line="240" w:lineRule="auto"/>
        <w:rPr>
          <w:rFonts w:eastAsia="Times New Roman" w:cs="Arial"/>
          <w:color w:val="000000"/>
          <w:szCs w:val="20"/>
          <w:lang w:eastAsia="bg-BG"/>
        </w:rPr>
      </w:pPr>
    </w:p>
    <w:p w14:paraId="4ECC8098" w14:textId="587AFFE2"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При тежка хипотензия ако е необходимо допълнително може да се приложи инотропна подкрепа с бета-агонист, като добутамин 2,5-40 </w:t>
      </w:r>
      <w:r w:rsidRPr="00AE7970">
        <w:rPr>
          <w:rFonts w:eastAsia="Times New Roman" w:cs="Arial"/>
          <w:color w:val="000000"/>
          <w:szCs w:val="20"/>
          <w:lang w:val="en-US"/>
        </w:rPr>
        <w:t>micrograms</w:t>
      </w:r>
      <w:r w:rsidRPr="00AE7970">
        <w:rPr>
          <w:rFonts w:eastAsia="Times New Roman" w:cs="Arial"/>
          <w:color w:val="000000"/>
          <w:szCs w:val="20"/>
          <w:lang w:val="ru-RU"/>
        </w:rPr>
        <w:t>/</w:t>
      </w:r>
      <w:r w:rsidRPr="00AE7970">
        <w:rPr>
          <w:rFonts w:eastAsia="Times New Roman" w:cs="Arial"/>
          <w:color w:val="000000"/>
          <w:szCs w:val="20"/>
          <w:lang w:val="en-US"/>
        </w:rPr>
        <w:t>kg</w:t>
      </w:r>
      <w:r w:rsidRPr="00AE7970">
        <w:rPr>
          <w:rFonts w:eastAsia="Times New Roman" w:cs="Arial"/>
          <w:color w:val="000000"/>
          <w:szCs w:val="20"/>
          <w:lang w:eastAsia="bg-BG"/>
        </w:rPr>
        <w:t>/минута (възрастни и деца).</w:t>
      </w:r>
    </w:p>
    <w:p w14:paraId="3AA8968D" w14:textId="77777777" w:rsidR="00AE7970" w:rsidRPr="00AE7970" w:rsidRDefault="00AE7970" w:rsidP="00AE7970">
      <w:pPr>
        <w:spacing w:line="240" w:lineRule="auto"/>
        <w:rPr>
          <w:rFonts w:eastAsia="Times New Roman" w:cs="Arial"/>
          <w:color w:val="000000"/>
          <w:szCs w:val="20"/>
          <w:lang w:eastAsia="bg-BG"/>
        </w:rPr>
      </w:pPr>
    </w:p>
    <w:p w14:paraId="166E3956" w14:textId="75B4F85A"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При бронхоспазъм може да се приложи небулизиран салбутамол 2,5-5 </w:t>
      </w:r>
      <w:r w:rsidRPr="00AE7970">
        <w:rPr>
          <w:rFonts w:eastAsia="Times New Roman" w:cs="Arial"/>
          <w:color w:val="000000"/>
          <w:szCs w:val="20"/>
          <w:lang w:val="en-US"/>
        </w:rPr>
        <w:t>mg</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При тежки случаи може да бъде от полза интравенозното прилагане на аминофилин (5 </w:t>
      </w:r>
      <w:r w:rsidRPr="00AE7970">
        <w:rPr>
          <w:rFonts w:eastAsia="Times New Roman" w:cs="Arial"/>
          <w:color w:val="000000"/>
          <w:szCs w:val="20"/>
          <w:lang w:val="en-US"/>
        </w:rPr>
        <w:t>mg</w:t>
      </w:r>
      <w:r w:rsidRPr="00AE7970">
        <w:rPr>
          <w:rFonts w:eastAsia="Times New Roman" w:cs="Arial"/>
          <w:color w:val="000000"/>
          <w:szCs w:val="20"/>
          <w:lang w:val="ru-RU"/>
        </w:rPr>
        <w:t>/</w:t>
      </w:r>
      <w:r w:rsidRPr="00AE7970">
        <w:rPr>
          <w:rFonts w:eastAsia="Times New Roman" w:cs="Arial"/>
          <w:color w:val="000000"/>
          <w:szCs w:val="20"/>
          <w:lang w:val="en-US"/>
        </w:rPr>
        <w:t>kg</w:t>
      </w:r>
      <w:r w:rsidRPr="00AE7970">
        <w:rPr>
          <w:rFonts w:eastAsia="Times New Roman" w:cs="Arial"/>
          <w:color w:val="000000"/>
          <w:szCs w:val="20"/>
          <w:lang w:val="ru-RU"/>
        </w:rPr>
        <w:t xml:space="preserve"> </w:t>
      </w:r>
      <w:r w:rsidRPr="00AE7970">
        <w:rPr>
          <w:rFonts w:eastAsia="Times New Roman" w:cs="Arial"/>
          <w:color w:val="000000"/>
          <w:szCs w:val="20"/>
          <w:lang w:eastAsia="bg-BG"/>
        </w:rPr>
        <w:t xml:space="preserve">за над 30 мин, последвано от инфузия на 0,5-1 </w:t>
      </w:r>
      <w:r w:rsidRPr="00AE7970">
        <w:rPr>
          <w:rFonts w:eastAsia="Times New Roman" w:cs="Arial"/>
          <w:color w:val="000000"/>
          <w:szCs w:val="20"/>
          <w:lang w:val="en-US"/>
        </w:rPr>
        <w:t>mg</w:t>
      </w:r>
      <w:r w:rsidRPr="00AE7970">
        <w:rPr>
          <w:rFonts w:eastAsia="Times New Roman" w:cs="Arial"/>
          <w:color w:val="000000"/>
          <w:szCs w:val="20"/>
          <w:lang w:val="ru-RU"/>
        </w:rPr>
        <w:t>/</w:t>
      </w:r>
      <w:r w:rsidRPr="00AE7970">
        <w:rPr>
          <w:rFonts w:eastAsia="Times New Roman" w:cs="Arial"/>
          <w:color w:val="000000"/>
          <w:szCs w:val="20"/>
          <w:lang w:val="en-US"/>
        </w:rPr>
        <w:t>kg</w:t>
      </w:r>
      <w:r w:rsidRPr="00AE7970">
        <w:rPr>
          <w:rFonts w:eastAsia="Times New Roman" w:cs="Arial"/>
          <w:color w:val="000000"/>
          <w:szCs w:val="20"/>
          <w:lang w:eastAsia="bg-BG"/>
        </w:rPr>
        <w:t xml:space="preserve">/час). Да не се прилага първоначално натоварваща доза от 5 </w:t>
      </w:r>
      <w:r w:rsidRPr="00AE7970">
        <w:rPr>
          <w:rFonts w:eastAsia="Times New Roman" w:cs="Arial"/>
          <w:color w:val="000000"/>
          <w:szCs w:val="20"/>
          <w:lang w:val="en-US"/>
        </w:rPr>
        <w:t>mg</w:t>
      </w:r>
      <w:r w:rsidRPr="00AE7970">
        <w:rPr>
          <w:rFonts w:eastAsia="Times New Roman" w:cs="Arial"/>
          <w:color w:val="000000"/>
          <w:szCs w:val="20"/>
          <w:lang w:val="ru-RU"/>
        </w:rPr>
        <w:t>/</w:t>
      </w:r>
      <w:r w:rsidRPr="00AE7970">
        <w:rPr>
          <w:rFonts w:eastAsia="Times New Roman" w:cs="Arial"/>
          <w:color w:val="000000"/>
          <w:szCs w:val="20"/>
          <w:lang w:val="en-US"/>
        </w:rPr>
        <w:t>kg</w:t>
      </w:r>
      <w:r w:rsidRPr="00AE7970">
        <w:rPr>
          <w:rFonts w:eastAsia="Times New Roman" w:cs="Arial"/>
          <w:color w:val="000000"/>
          <w:szCs w:val="20"/>
          <w:lang w:val="ru-RU"/>
        </w:rPr>
        <w:t xml:space="preserve">, </w:t>
      </w:r>
      <w:r w:rsidRPr="00AE7970">
        <w:rPr>
          <w:rFonts w:eastAsia="Times New Roman" w:cs="Arial"/>
          <w:color w:val="000000"/>
          <w:szCs w:val="20"/>
          <w:lang w:eastAsia="bg-BG"/>
        </w:rPr>
        <w:t>ако пациентът приема перорално теофилин или аминофилин.</w:t>
      </w:r>
    </w:p>
    <w:p w14:paraId="6D38D559" w14:textId="77777777" w:rsidR="00AE7970" w:rsidRPr="00AE7970" w:rsidRDefault="00AE7970" w:rsidP="00AE7970">
      <w:pPr>
        <w:spacing w:line="240" w:lineRule="auto"/>
        <w:rPr>
          <w:rFonts w:eastAsia="Times New Roman" w:cs="Arial"/>
          <w:color w:val="000000"/>
          <w:szCs w:val="20"/>
          <w:lang w:eastAsia="bg-BG"/>
        </w:rPr>
      </w:pPr>
    </w:p>
    <w:p w14:paraId="1D9A6439" w14:textId="385DB523" w:rsidR="00AE7970" w:rsidRPr="00AE7970" w:rsidRDefault="00AE7970" w:rsidP="00AE7970">
      <w:pPr>
        <w:spacing w:line="240" w:lineRule="auto"/>
        <w:rPr>
          <w:rFonts w:eastAsia="Times New Roman" w:cs="Arial"/>
          <w:color w:val="000000"/>
          <w:szCs w:val="20"/>
          <w:lang w:eastAsia="bg-BG"/>
        </w:rPr>
      </w:pPr>
      <w:r w:rsidRPr="00AE7970">
        <w:rPr>
          <w:rFonts w:eastAsia="Times New Roman" w:cs="Arial"/>
          <w:color w:val="000000"/>
          <w:szCs w:val="20"/>
          <w:lang w:eastAsia="bg-BG"/>
        </w:rPr>
        <w:lastRenderedPageBreak/>
        <w:t>Сърдечното стимулиране може също да бъде ефективно за повишаване на сърдечната чистота, но не винаги я коригира при вторична на миокардна депресия хипотензия.</w:t>
      </w:r>
    </w:p>
    <w:p w14:paraId="7DFAD8A7" w14:textId="1B566FD0" w:rsidR="00AE7970" w:rsidRPr="00AE7970" w:rsidRDefault="00AE7970" w:rsidP="00AE7970">
      <w:pPr>
        <w:spacing w:line="240" w:lineRule="auto"/>
        <w:rPr>
          <w:rFonts w:eastAsia="Times New Roman" w:cs="Arial"/>
          <w:color w:val="000000"/>
          <w:szCs w:val="20"/>
          <w:lang w:eastAsia="bg-BG"/>
        </w:rPr>
      </w:pPr>
    </w:p>
    <w:p w14:paraId="22687C82" w14:textId="4E374E45" w:rsidR="00AE7970" w:rsidRPr="00AE7970" w:rsidRDefault="00AE7970" w:rsidP="00AE7970">
      <w:pPr>
        <w:spacing w:line="240" w:lineRule="auto"/>
        <w:rPr>
          <w:rFonts w:eastAsia="Times New Roman" w:cs="Arial"/>
          <w:sz w:val="28"/>
          <w:szCs w:val="24"/>
        </w:rPr>
      </w:pPr>
      <w:r w:rsidRPr="00AE7970">
        <w:rPr>
          <w:rFonts w:cs="Arial"/>
          <w:szCs w:val="20"/>
        </w:rPr>
        <w:t>В случай на генерализирани гърчове се препоръчва бавно интравенозно приложение на диазепам.</w:t>
      </w:r>
    </w:p>
    <w:p w14:paraId="02081B24" w14:textId="1F46E296" w:rsidR="00395555" w:rsidRPr="00395555" w:rsidRDefault="002C50EE" w:rsidP="008A6AF2">
      <w:pPr>
        <w:pStyle w:val="Heading1"/>
      </w:pPr>
      <w:r>
        <w:t>5. ФАРМАКОЛОГИЧНИ СВОЙСТВА</w:t>
      </w:r>
    </w:p>
    <w:p w14:paraId="5350637D" w14:textId="3AC28149" w:rsidR="00395555" w:rsidRDefault="002C50EE" w:rsidP="008A6AF2">
      <w:pPr>
        <w:pStyle w:val="Heading2"/>
      </w:pPr>
      <w:r>
        <w:t>5.1. Фармакодинамични свойства</w:t>
      </w:r>
    </w:p>
    <w:p w14:paraId="52E6ADA7" w14:textId="76A0BB3A" w:rsidR="00AE7970" w:rsidRDefault="00AE7970" w:rsidP="00AE7970"/>
    <w:p w14:paraId="75CA60D4"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Фармакотерапевтична група: Неселективен бета-блокер, АТС код: С07АА05</w:t>
      </w:r>
    </w:p>
    <w:p w14:paraId="18DC3016" w14:textId="77777777" w:rsidR="00AE7970" w:rsidRPr="00AE7970" w:rsidRDefault="00AE7970" w:rsidP="00AE7970">
      <w:pPr>
        <w:spacing w:line="240" w:lineRule="auto"/>
        <w:rPr>
          <w:rFonts w:eastAsia="Times New Roman" w:cs="Arial"/>
          <w:color w:val="000000"/>
          <w:szCs w:val="20"/>
          <w:u w:val="single"/>
          <w:lang w:eastAsia="bg-BG"/>
        </w:rPr>
      </w:pPr>
    </w:p>
    <w:p w14:paraId="6FF1AB5C" w14:textId="50E268D2"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u w:val="single"/>
          <w:lang w:eastAsia="bg-BG"/>
        </w:rPr>
        <w:t>Механизъм на действие</w:t>
      </w:r>
    </w:p>
    <w:p w14:paraId="2547DC7D" w14:textId="77777777" w:rsidR="00AE7970" w:rsidRPr="00AE7970" w:rsidRDefault="00AE7970" w:rsidP="00AE7970">
      <w:pPr>
        <w:spacing w:line="240" w:lineRule="auto"/>
        <w:rPr>
          <w:rFonts w:eastAsia="Times New Roman" w:cs="Arial"/>
          <w:sz w:val="28"/>
          <w:szCs w:val="24"/>
        </w:rPr>
      </w:pPr>
      <w:r w:rsidRPr="00AE7970">
        <w:rPr>
          <w:rFonts w:eastAsia="Times New Roman" w:cs="Arial"/>
          <w:color w:val="000000"/>
          <w:szCs w:val="20"/>
          <w:lang w:eastAsia="bg-BG"/>
        </w:rPr>
        <w:t xml:space="preserve">Пропранолол е конкурентен антагонист на бета-1 и бета-2 адренорецепторите. Той няма агонистично действие спрямо бета-адренорецепторите, но има мембрано-стабилизиращо действие при концентрации над 1-3 </w:t>
      </w:r>
      <w:r w:rsidRPr="00AE7970">
        <w:rPr>
          <w:rFonts w:eastAsia="Times New Roman" w:cs="Arial"/>
          <w:color w:val="000000"/>
          <w:szCs w:val="20"/>
          <w:lang w:val="en-US"/>
        </w:rPr>
        <w:t>mg</w:t>
      </w:r>
      <w:r w:rsidRPr="00AE7970">
        <w:rPr>
          <w:rFonts w:eastAsia="Times New Roman" w:cs="Arial"/>
          <w:color w:val="000000"/>
          <w:szCs w:val="20"/>
          <w:lang w:val="ru-RU"/>
        </w:rPr>
        <w:t xml:space="preserve">/1, </w:t>
      </w:r>
      <w:r w:rsidRPr="00AE7970">
        <w:rPr>
          <w:rFonts w:eastAsia="Times New Roman" w:cs="Arial"/>
          <w:color w:val="000000"/>
          <w:szCs w:val="20"/>
          <w:lang w:eastAsia="bg-BG"/>
        </w:rPr>
        <w:t>въпреки че такива концентрации рядко се достигат при перорално лечение. Конкурентната блокада на бета-адренорецепторите е демонстрирана при хора чрез успоредно изместване надясно на кривата доза-отговор на честотата на сърдечна дейност към бета- агонисти като изопреналин.</w:t>
      </w:r>
    </w:p>
    <w:p w14:paraId="0F3B9EED" w14:textId="77777777" w:rsidR="00AE7970" w:rsidRPr="00AE7970" w:rsidRDefault="00AE7970" w:rsidP="00AE7970"/>
    <w:p w14:paraId="26535098" w14:textId="04C8F526" w:rsidR="00395555" w:rsidRDefault="002C50EE" w:rsidP="008A6AF2">
      <w:pPr>
        <w:pStyle w:val="Heading2"/>
      </w:pPr>
      <w:r>
        <w:t>5.2. Фармакокинетични свойства</w:t>
      </w:r>
    </w:p>
    <w:p w14:paraId="2C7152CD" w14:textId="12824B75" w:rsidR="00AE7970" w:rsidRDefault="00AE7970" w:rsidP="00AE7970"/>
    <w:p w14:paraId="1AAA6D00" w14:textId="77777777" w:rsidR="00AE7970" w:rsidRPr="00AE7970" w:rsidRDefault="00AE7970" w:rsidP="00AE7970">
      <w:pPr>
        <w:pStyle w:val="Heading3"/>
        <w:rPr>
          <w:rFonts w:eastAsia="Times New Roman"/>
          <w:u w:val="single"/>
        </w:rPr>
      </w:pPr>
      <w:r w:rsidRPr="00AE7970">
        <w:rPr>
          <w:rFonts w:eastAsia="Times New Roman"/>
          <w:u w:val="single"/>
          <w:lang w:eastAsia="bg-BG"/>
        </w:rPr>
        <w:t>Абсорбция</w:t>
      </w:r>
    </w:p>
    <w:p w14:paraId="172450E6" w14:textId="77777777" w:rsidR="00AE7970" w:rsidRPr="00AE7970" w:rsidRDefault="00AE7970" w:rsidP="00AE7970">
      <w:pPr>
        <w:rPr>
          <w:sz w:val="24"/>
          <w:szCs w:val="24"/>
        </w:rPr>
      </w:pPr>
      <w:r w:rsidRPr="00AE7970">
        <w:rPr>
          <w:lang w:eastAsia="bg-BG"/>
        </w:rPr>
        <w:t xml:space="preserve">Пропранолол почти напълно се абсорбира в стомашно-чревния тракт, но претърпява значителен </w:t>
      </w:r>
      <w:r w:rsidRPr="00AE7970">
        <w:rPr>
          <w:lang w:val="en-US"/>
        </w:rPr>
        <w:t>first</w:t>
      </w:r>
      <w:r w:rsidRPr="00AE7970">
        <w:rPr>
          <w:lang w:val="ru-RU"/>
        </w:rPr>
        <w:t>-</w:t>
      </w:r>
      <w:r w:rsidRPr="00AE7970">
        <w:rPr>
          <w:lang w:val="en-US"/>
        </w:rPr>
        <w:t>pass</w:t>
      </w:r>
      <w:r w:rsidRPr="00AE7970">
        <w:rPr>
          <w:lang w:val="ru-RU"/>
        </w:rPr>
        <w:t xml:space="preserve"> </w:t>
      </w:r>
      <w:r w:rsidRPr="00AE7970">
        <w:rPr>
          <w:lang w:eastAsia="bg-BG"/>
        </w:rPr>
        <w:t>метаболизъм. Максимални плазмени концентрации се установяват около 2 часа след прием на дозата.</w:t>
      </w:r>
    </w:p>
    <w:p w14:paraId="1638C33A" w14:textId="77777777" w:rsidR="00AE7970" w:rsidRDefault="00AE7970" w:rsidP="00AE7970">
      <w:pPr>
        <w:rPr>
          <w:lang w:eastAsia="bg-BG"/>
        </w:rPr>
      </w:pPr>
    </w:p>
    <w:p w14:paraId="67404E5C" w14:textId="0720F3E1" w:rsidR="00AE7970" w:rsidRPr="00AE7970" w:rsidRDefault="00AE7970" w:rsidP="00AE7970">
      <w:pPr>
        <w:pStyle w:val="Heading3"/>
        <w:rPr>
          <w:rFonts w:eastAsia="Times New Roman"/>
          <w:u w:val="single"/>
        </w:rPr>
      </w:pPr>
      <w:r w:rsidRPr="00AE7970">
        <w:rPr>
          <w:rFonts w:eastAsia="Times New Roman"/>
          <w:u w:val="single"/>
          <w:lang w:eastAsia="bg-BG"/>
        </w:rPr>
        <w:t>Биотрансформация</w:t>
      </w:r>
    </w:p>
    <w:p w14:paraId="290B1237" w14:textId="77777777" w:rsidR="00AE7970" w:rsidRPr="00AE7970" w:rsidRDefault="00AE7970" w:rsidP="00AE7970">
      <w:pPr>
        <w:rPr>
          <w:sz w:val="24"/>
          <w:szCs w:val="24"/>
        </w:rPr>
      </w:pPr>
      <w:r w:rsidRPr="00AE7970">
        <w:rPr>
          <w:lang w:eastAsia="bg-BG"/>
        </w:rPr>
        <w:t>Метаболизира се в черния дроб, като метаболитите се екскретират в урината заедно със съвсем малки количества непроменен пропранолол. Най-малко един от неговите метаболити се счита за биологично активен.</w:t>
      </w:r>
    </w:p>
    <w:p w14:paraId="3DABE946" w14:textId="77777777" w:rsidR="00AE7970" w:rsidRDefault="00AE7970" w:rsidP="00AE7970">
      <w:pPr>
        <w:rPr>
          <w:lang w:eastAsia="bg-BG"/>
        </w:rPr>
      </w:pPr>
    </w:p>
    <w:p w14:paraId="28C685F3" w14:textId="169DC56F" w:rsidR="00AE7970" w:rsidRPr="00AE7970" w:rsidRDefault="00AE7970" w:rsidP="00AE7970">
      <w:pPr>
        <w:pStyle w:val="Heading3"/>
        <w:rPr>
          <w:rFonts w:eastAsia="Times New Roman"/>
          <w:u w:val="single"/>
        </w:rPr>
      </w:pPr>
      <w:r w:rsidRPr="00AE7970">
        <w:rPr>
          <w:rFonts w:eastAsia="Times New Roman"/>
          <w:u w:val="single"/>
          <w:lang w:eastAsia="bg-BG"/>
        </w:rPr>
        <w:t>Елиминиране</w:t>
      </w:r>
    </w:p>
    <w:p w14:paraId="630D7711" w14:textId="77777777" w:rsidR="00AE7970" w:rsidRPr="00AE7970" w:rsidRDefault="00AE7970" w:rsidP="00AE7970">
      <w:pPr>
        <w:rPr>
          <w:sz w:val="24"/>
          <w:szCs w:val="24"/>
        </w:rPr>
      </w:pPr>
      <w:r w:rsidRPr="00AE7970">
        <w:rPr>
          <w:lang w:eastAsia="bg-BG"/>
        </w:rPr>
        <w:t>Биологичният полуживот на пропранолол е по-дълъг отколкото би се очаквало от неговия плазмен полуживот от около 3 до 6 часа.</w:t>
      </w:r>
    </w:p>
    <w:p w14:paraId="2B9577D6" w14:textId="77777777" w:rsidR="00AE7970" w:rsidRPr="00AE7970" w:rsidRDefault="00AE7970" w:rsidP="00AE7970"/>
    <w:p w14:paraId="028E658A" w14:textId="1AA63C4C" w:rsidR="00395555" w:rsidRDefault="002C50EE" w:rsidP="008A6AF2">
      <w:pPr>
        <w:pStyle w:val="Heading2"/>
      </w:pPr>
      <w:r>
        <w:t>5.3. Предклинични данни за безопасност</w:t>
      </w:r>
    </w:p>
    <w:p w14:paraId="7663FA3C" w14:textId="7483CCB3" w:rsidR="00AE7970" w:rsidRDefault="00AE7970" w:rsidP="00AE7970"/>
    <w:p w14:paraId="6C55373C" w14:textId="23BFD68C" w:rsidR="00AE7970" w:rsidRPr="00AE7970" w:rsidRDefault="00AE7970" w:rsidP="00AE7970">
      <w:pPr>
        <w:rPr>
          <w:sz w:val="24"/>
          <w:szCs w:val="24"/>
        </w:rPr>
      </w:pPr>
      <w:r w:rsidRPr="00AE7970">
        <w:rPr>
          <w:lang w:eastAsia="bg-BG"/>
        </w:rPr>
        <w:t>Няма налични предклинични данни, които да се налага да бъдат включени в допълнение към вече включенит</w:t>
      </w:r>
      <w:r>
        <w:rPr>
          <w:lang w:eastAsia="bg-BG"/>
        </w:rPr>
        <w:t>е данни в другите части на КХП.</w:t>
      </w:r>
    </w:p>
    <w:p w14:paraId="7F50E76F" w14:textId="77777777" w:rsidR="00AE7970" w:rsidRPr="00AE7970" w:rsidRDefault="00AE7970" w:rsidP="00AE7970"/>
    <w:p w14:paraId="6A7820AB" w14:textId="119685AA" w:rsidR="008A6AF2" w:rsidRDefault="002C50EE" w:rsidP="00395555">
      <w:pPr>
        <w:pStyle w:val="Heading1"/>
      </w:pPr>
      <w:r>
        <w:t>7. ПРИТЕЖАТЕЛ НА РАЗРЕШЕНИЕТО ЗА УПОТРЕБА</w:t>
      </w:r>
    </w:p>
    <w:p w14:paraId="61305939" w14:textId="77777777" w:rsidR="00AE7970" w:rsidRDefault="00AE7970" w:rsidP="00AE7970">
      <w:pPr>
        <w:rPr>
          <w:lang w:eastAsia="bg-BG"/>
        </w:rPr>
      </w:pPr>
    </w:p>
    <w:p w14:paraId="278B4673" w14:textId="59A67055" w:rsidR="00AE7970" w:rsidRPr="00AE7970" w:rsidRDefault="00AE7970" w:rsidP="00AE7970">
      <w:pPr>
        <w:rPr>
          <w:sz w:val="24"/>
          <w:szCs w:val="24"/>
        </w:rPr>
      </w:pPr>
      <w:r w:rsidRPr="00AE7970">
        <w:rPr>
          <w:lang w:eastAsia="bg-BG"/>
        </w:rPr>
        <w:t>Тева Фарма ЕАД</w:t>
      </w:r>
    </w:p>
    <w:p w14:paraId="251A81F8" w14:textId="77777777" w:rsidR="00AE7970" w:rsidRPr="00AE7970" w:rsidRDefault="00AE7970" w:rsidP="00AE7970">
      <w:pPr>
        <w:rPr>
          <w:sz w:val="24"/>
          <w:szCs w:val="24"/>
        </w:rPr>
      </w:pPr>
      <w:r w:rsidRPr="00AE7970">
        <w:rPr>
          <w:lang w:eastAsia="bg-BG"/>
        </w:rPr>
        <w:t>ул. „Люба Величкова“ № 9</w:t>
      </w:r>
    </w:p>
    <w:p w14:paraId="56928533" w14:textId="04F8D8EB" w:rsidR="00AE7970" w:rsidRPr="00AE7970" w:rsidRDefault="00AE7970" w:rsidP="00AE7970">
      <w:r w:rsidRPr="00AE7970">
        <w:rPr>
          <w:lang w:eastAsia="bg-BG"/>
        </w:rPr>
        <w:t>1407 София, България</w:t>
      </w:r>
    </w:p>
    <w:p w14:paraId="04840D59" w14:textId="16DBD293" w:rsidR="002C50EE" w:rsidRDefault="002C50EE" w:rsidP="00395555">
      <w:pPr>
        <w:pStyle w:val="Heading1"/>
      </w:pPr>
      <w:r>
        <w:lastRenderedPageBreak/>
        <w:t>8. НОМЕР НА РАЗРЕШЕНИЕТО ЗА УПОТРЕБА</w:t>
      </w:r>
    </w:p>
    <w:p w14:paraId="0A2A1657" w14:textId="03F082B9" w:rsidR="00AE7970" w:rsidRPr="00AE7970" w:rsidRDefault="00AE7970" w:rsidP="00AE7970">
      <w:pPr>
        <w:rPr>
          <w:sz w:val="24"/>
          <w:szCs w:val="24"/>
        </w:rPr>
      </w:pPr>
      <w:r w:rsidRPr="00AE7970">
        <w:rPr>
          <w:lang w:val="en-US"/>
        </w:rPr>
        <w:t>Per</w:t>
      </w:r>
      <w:r w:rsidRPr="00AE7970">
        <w:rPr>
          <w:lang w:val="ru-RU"/>
        </w:rPr>
        <w:t xml:space="preserve">. </w:t>
      </w:r>
      <w:r w:rsidRPr="00AE7970">
        <w:rPr>
          <w:lang w:eastAsia="bg-BG"/>
        </w:rPr>
        <w:t>№ 20090510</w:t>
      </w:r>
    </w:p>
    <w:p w14:paraId="2CCB5832" w14:textId="3CD39C58" w:rsidR="007C605B" w:rsidRDefault="002C50EE" w:rsidP="007C605B">
      <w:pPr>
        <w:pStyle w:val="Heading1"/>
      </w:pPr>
      <w:r>
        <w:t>9. ДАТА НА ПЪРВО РАЗРЕШАВАНЕ/ПОДНОВЯВАНЕ НА РАЗРЕШЕНИЕТО ЗА УПОТРЕБА</w:t>
      </w:r>
    </w:p>
    <w:p w14:paraId="48C642D8" w14:textId="77777777" w:rsidR="00AE7970" w:rsidRPr="00AE7970" w:rsidRDefault="00AE7970" w:rsidP="00AE7970">
      <w:pPr>
        <w:rPr>
          <w:sz w:val="24"/>
          <w:szCs w:val="24"/>
        </w:rPr>
      </w:pPr>
      <w:bookmarkStart w:id="1" w:name="_GoBack"/>
      <w:r w:rsidRPr="00AE7970">
        <w:rPr>
          <w:lang w:eastAsia="bg-BG"/>
        </w:rPr>
        <w:t>Дата на първо разрешаване: 20.11.2009 г.</w:t>
      </w:r>
    </w:p>
    <w:p w14:paraId="1D21AB18" w14:textId="78FF269E" w:rsidR="00AE7970" w:rsidRPr="00AE7970" w:rsidRDefault="00AE7970" w:rsidP="00AE7970">
      <w:r w:rsidRPr="00AE7970">
        <w:rPr>
          <w:lang w:eastAsia="bg-BG"/>
        </w:rPr>
        <w:t>Дата на последно подновяване: 03.02.2015 г.</w:t>
      </w:r>
    </w:p>
    <w:bookmarkEnd w:id="1"/>
    <w:p w14:paraId="0E9D0119" w14:textId="0245C6D7" w:rsidR="002C50EE" w:rsidRDefault="002C50EE" w:rsidP="002C50EE">
      <w:pPr>
        <w:pStyle w:val="Heading1"/>
      </w:pPr>
      <w:r>
        <w:t>10. ДАТА НА АКТУАЛИЗИРАНЕ НА ТЕКСТА</w:t>
      </w:r>
    </w:p>
    <w:bookmarkEnd w:id="0"/>
    <w:p w14:paraId="43FB38A2" w14:textId="1D8A3B61" w:rsidR="007C605B" w:rsidRPr="003E3126" w:rsidRDefault="007C605B" w:rsidP="00395555"/>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16D31E2"/>
    <w:multiLevelType w:val="hybridMultilevel"/>
    <w:tmpl w:val="C44C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70158"/>
    <w:multiLevelType w:val="hybridMultilevel"/>
    <w:tmpl w:val="98C6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0"/>
  </w:num>
  <w:num w:numId="12">
    <w:abstractNumId w:val="15"/>
  </w:num>
  <w:num w:numId="13">
    <w:abstractNumId w:val="20"/>
  </w:num>
  <w:num w:numId="14">
    <w:abstractNumId w:val="13"/>
  </w:num>
  <w:num w:numId="15">
    <w:abstractNumId w:val="29"/>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1"/>
  </w:num>
  <w:num w:numId="28">
    <w:abstractNumId w:val="6"/>
  </w:num>
  <w:num w:numId="29">
    <w:abstractNumId w:val="21"/>
  </w:num>
  <w:num w:numId="30">
    <w:abstractNumId w:val="32"/>
  </w:num>
  <w:num w:numId="31">
    <w:abstractNumId w:val="5"/>
  </w:num>
  <w:num w:numId="32">
    <w:abstractNumId w:val="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AE7970"/>
    <w:rsid w:val="00B275A8"/>
    <w:rsid w:val="00BF2600"/>
    <w:rsid w:val="00C0049F"/>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3053</Words>
  <Characters>17407</Characters>
  <Application>Microsoft Office Word</Application>
  <DocSecurity>0</DocSecurity>
  <Lines>145</Lines>
  <Paragraphs>40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2022-02-10T14:54:00Z</dcterms:created>
  <dcterms:modified xsi:type="dcterms:W3CDTF">2022-02-10T14:54:00Z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