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0A9EBC20" w14:textId="07B3C8AD" w:rsidR="009F77A4" w:rsidRDefault="00DD466D" w:rsidP="00387A66">
      <w:pPr>
        <w:pStyle w:val="Heading1"/>
      </w:pPr>
      <w:r>
        <w:t>1.ИМЕ НА ЛЕКАРСТВЕНИЯ ПРОДУКТ</w:t>
      </w:r>
    </w:p>
    <w:p w14:paraId="1726404F" w14:textId="317DD7AA" w:rsidR="003813FF" w:rsidRDefault="003813FF" w:rsidP="003813FF"/>
    <w:p w14:paraId="7F28F773" w14:textId="77777777" w:rsidR="003813FF" w:rsidRDefault="003813FF" w:rsidP="003813FF">
      <w:pPr>
        <w:rPr>
          <w:lang w:eastAsia="bg-BG"/>
        </w:rPr>
      </w:pPr>
      <w:r w:rsidRPr="003813FF">
        <w:rPr>
          <w:lang w:eastAsia="bg-BG"/>
        </w:rPr>
        <w:t xml:space="preserve">Простамол уно 320 </w:t>
      </w:r>
      <w:r w:rsidRPr="003813FF">
        <w:rPr>
          <w:lang w:val="en-US"/>
        </w:rPr>
        <w:t xml:space="preserve">mg </w:t>
      </w:r>
      <w:r w:rsidRPr="003813FF">
        <w:rPr>
          <w:lang w:eastAsia="bg-BG"/>
        </w:rPr>
        <w:t xml:space="preserve">меки капсули </w:t>
      </w:r>
    </w:p>
    <w:p w14:paraId="4390D802" w14:textId="1061488D" w:rsidR="003813FF" w:rsidRPr="003813FF" w:rsidRDefault="003813FF" w:rsidP="003813FF">
      <w:pPr>
        <w:rPr>
          <w:sz w:val="24"/>
          <w:szCs w:val="24"/>
          <w:lang w:eastAsia="bg-BG"/>
        </w:rPr>
      </w:pPr>
      <w:proofErr w:type="spellStart"/>
      <w:r w:rsidRPr="003813FF">
        <w:rPr>
          <w:lang w:val="en-US"/>
        </w:rPr>
        <w:t>Prostamol</w:t>
      </w:r>
      <w:proofErr w:type="spellEnd"/>
      <w:r w:rsidRPr="003813FF">
        <w:rPr>
          <w:lang w:val="en-US"/>
        </w:rPr>
        <w:t xml:space="preserve"> uno </w:t>
      </w:r>
      <w:r w:rsidRPr="003813FF">
        <w:rPr>
          <w:lang w:eastAsia="bg-BG"/>
        </w:rPr>
        <w:t xml:space="preserve">320 </w:t>
      </w:r>
      <w:r w:rsidRPr="003813FF">
        <w:rPr>
          <w:lang w:val="en-US"/>
        </w:rPr>
        <w:t>mg soft capsules</w:t>
      </w:r>
    </w:p>
    <w:p w14:paraId="43C75ABE" w14:textId="0523D12F" w:rsidR="003813FF" w:rsidRPr="003813FF" w:rsidRDefault="003813FF" w:rsidP="003813FF"/>
    <w:p w14:paraId="0DF202EC" w14:textId="71ED37B8" w:rsidR="00F53FB7" w:rsidRDefault="00DD466D" w:rsidP="00A93499">
      <w:pPr>
        <w:pStyle w:val="Heading1"/>
      </w:pPr>
      <w:r>
        <w:t>2. КАЧЕСТВЕН И КОЛИЧЕСТВЕН СЪСТАВ</w:t>
      </w:r>
    </w:p>
    <w:p w14:paraId="347F8727" w14:textId="1B70C002" w:rsidR="003813FF" w:rsidRDefault="003813FF" w:rsidP="003813FF"/>
    <w:p w14:paraId="56EBC8A8" w14:textId="77777777" w:rsidR="003813FF" w:rsidRPr="003813FF" w:rsidRDefault="003813FF" w:rsidP="003813FF">
      <w:pPr>
        <w:rPr>
          <w:sz w:val="24"/>
          <w:szCs w:val="24"/>
          <w:lang w:eastAsia="bg-BG"/>
        </w:rPr>
      </w:pPr>
      <w:r w:rsidRPr="003813FF">
        <w:rPr>
          <w:lang w:eastAsia="bg-BG"/>
        </w:rPr>
        <w:t xml:space="preserve">Всяка мека капсула съдържа 320 </w:t>
      </w:r>
      <w:r w:rsidRPr="003813FF">
        <w:rPr>
          <w:lang w:val="en-US"/>
        </w:rPr>
        <w:t xml:space="preserve">mg </w:t>
      </w:r>
      <w:r w:rsidRPr="003813FF">
        <w:rPr>
          <w:lang w:eastAsia="bg-BG"/>
        </w:rPr>
        <w:t xml:space="preserve">гъст екстракт от плодовете па Сереноа репенс </w:t>
      </w:r>
      <w:r w:rsidRPr="003813FF">
        <w:rPr>
          <w:i/>
          <w:iCs/>
          <w:lang w:val="en-US"/>
        </w:rPr>
        <w:t>(</w:t>
      </w:r>
      <w:proofErr w:type="spellStart"/>
      <w:r w:rsidRPr="003813FF">
        <w:rPr>
          <w:i/>
          <w:iCs/>
          <w:lang w:val="en-US"/>
        </w:rPr>
        <w:t>Serenoae</w:t>
      </w:r>
      <w:proofErr w:type="spellEnd"/>
      <w:r w:rsidRPr="003813FF">
        <w:rPr>
          <w:i/>
          <w:iCs/>
          <w:lang w:val="en-US"/>
        </w:rPr>
        <w:t xml:space="preserve"> </w:t>
      </w:r>
      <w:proofErr w:type="spellStart"/>
      <w:r w:rsidRPr="003813FF">
        <w:rPr>
          <w:i/>
          <w:iCs/>
          <w:lang w:val="en-US"/>
        </w:rPr>
        <w:t>repentis</w:t>
      </w:r>
      <w:proofErr w:type="spellEnd"/>
      <w:r w:rsidRPr="003813FF">
        <w:rPr>
          <w:i/>
          <w:iCs/>
          <w:lang w:val="en-US"/>
        </w:rPr>
        <w:t xml:space="preserve"> fructus </w:t>
      </w:r>
      <w:proofErr w:type="spellStart"/>
      <w:r w:rsidRPr="003813FF">
        <w:rPr>
          <w:i/>
          <w:iCs/>
          <w:lang w:val="en-US"/>
        </w:rPr>
        <w:t>extractum</w:t>
      </w:r>
      <w:proofErr w:type="spellEnd"/>
      <w:r w:rsidRPr="003813FF">
        <w:rPr>
          <w:i/>
          <w:iCs/>
          <w:lang w:val="en-US"/>
        </w:rPr>
        <w:t xml:space="preserve"> </w:t>
      </w:r>
      <w:proofErr w:type="spellStart"/>
      <w:r w:rsidRPr="003813FF">
        <w:rPr>
          <w:i/>
          <w:iCs/>
          <w:lang w:val="en-US"/>
        </w:rPr>
        <w:t>spissum</w:t>
      </w:r>
      <w:proofErr w:type="spellEnd"/>
      <w:r w:rsidRPr="003813FF">
        <w:rPr>
          <w:i/>
          <w:iCs/>
          <w:lang w:val="en-US"/>
        </w:rPr>
        <w:t>)</w:t>
      </w:r>
      <w:r w:rsidRPr="003813FF">
        <w:rPr>
          <w:lang w:val="en-US"/>
        </w:rPr>
        <w:t xml:space="preserve"> (9-11:1).</w:t>
      </w:r>
    </w:p>
    <w:p w14:paraId="2E7DB444" w14:textId="77777777" w:rsidR="003813FF" w:rsidRPr="003813FF" w:rsidRDefault="003813FF" w:rsidP="003813FF">
      <w:pPr>
        <w:rPr>
          <w:sz w:val="24"/>
          <w:szCs w:val="24"/>
          <w:lang w:eastAsia="bg-BG"/>
        </w:rPr>
      </w:pPr>
      <w:r w:rsidRPr="003813FF">
        <w:rPr>
          <w:lang w:eastAsia="bg-BG"/>
        </w:rPr>
        <w:t xml:space="preserve">Екстрагент: етанол </w:t>
      </w:r>
      <w:r w:rsidRPr="003813FF">
        <w:rPr>
          <w:lang w:val="en-US"/>
        </w:rPr>
        <w:t>96%.</w:t>
      </w:r>
    </w:p>
    <w:p w14:paraId="4F82C23A" w14:textId="77777777" w:rsidR="003813FF" w:rsidRPr="003813FF" w:rsidRDefault="003813FF" w:rsidP="003813FF"/>
    <w:p w14:paraId="4CABB9ED" w14:textId="0A81CB2F" w:rsidR="00F53FB7" w:rsidRDefault="00DD466D" w:rsidP="00A93499">
      <w:pPr>
        <w:pStyle w:val="Heading1"/>
      </w:pPr>
      <w:r>
        <w:t>3. ЛЕКАРСТВЕНА ФОРМА</w:t>
      </w:r>
    </w:p>
    <w:p w14:paraId="305C9262" w14:textId="6A6877F1" w:rsidR="003813FF" w:rsidRDefault="003813FF" w:rsidP="003813FF"/>
    <w:p w14:paraId="2DE14A27" w14:textId="77777777" w:rsidR="003813FF" w:rsidRPr="003813FF" w:rsidRDefault="003813FF" w:rsidP="003813FF">
      <w:pPr>
        <w:rPr>
          <w:sz w:val="24"/>
          <w:szCs w:val="24"/>
          <w:lang w:eastAsia="bg-BG"/>
        </w:rPr>
      </w:pPr>
      <w:r w:rsidRPr="003813FF">
        <w:rPr>
          <w:lang w:eastAsia="bg-BG"/>
        </w:rPr>
        <w:t>Мека капсула</w:t>
      </w:r>
    </w:p>
    <w:p w14:paraId="2C6318EE" w14:textId="77777777" w:rsidR="003813FF" w:rsidRDefault="003813FF" w:rsidP="003813FF">
      <w:pPr>
        <w:rPr>
          <w:lang w:eastAsia="bg-BG"/>
        </w:rPr>
      </w:pPr>
    </w:p>
    <w:p w14:paraId="36E673A4" w14:textId="32240F13" w:rsidR="003813FF" w:rsidRPr="003813FF" w:rsidRDefault="003813FF" w:rsidP="003813FF">
      <w:pPr>
        <w:rPr>
          <w:sz w:val="24"/>
          <w:szCs w:val="24"/>
          <w:lang w:eastAsia="bg-BG"/>
        </w:rPr>
      </w:pPr>
      <w:r w:rsidRPr="003813FF">
        <w:rPr>
          <w:lang w:eastAsia="bg-BG"/>
        </w:rPr>
        <w:t>Овална мека желатинова капсула с непрозрачна, двуцветна червено-черна обвивка с кафява до жълтеникаво-кафява или зеленикаво-кафява (маслена) течност.</w:t>
      </w:r>
    </w:p>
    <w:p w14:paraId="44CE372F" w14:textId="77777777" w:rsidR="003813FF" w:rsidRPr="003813FF" w:rsidRDefault="003813FF" w:rsidP="003813FF"/>
    <w:p w14:paraId="490FC2C4" w14:textId="6899DE43" w:rsidR="002C50EE" w:rsidRDefault="002C50EE" w:rsidP="002C50EE">
      <w:pPr>
        <w:pStyle w:val="Heading1"/>
      </w:pPr>
      <w:r>
        <w:t>4. КЛИНИЧНИ ДАННИ</w:t>
      </w:r>
    </w:p>
    <w:p w14:paraId="461901E4" w14:textId="45A47AD5" w:rsidR="009F77A4" w:rsidRDefault="002C50EE" w:rsidP="00387A66">
      <w:pPr>
        <w:pStyle w:val="Heading2"/>
      </w:pPr>
      <w:r>
        <w:t>4.1. Терапевтични показания</w:t>
      </w:r>
    </w:p>
    <w:p w14:paraId="52091AF7" w14:textId="425C4A8D" w:rsidR="003813FF" w:rsidRDefault="003813FF" w:rsidP="003813FF"/>
    <w:p w14:paraId="1875898E" w14:textId="77777777" w:rsidR="003813FF" w:rsidRPr="003813FF" w:rsidRDefault="003813FF" w:rsidP="003813FF">
      <w:pPr>
        <w:spacing w:line="240" w:lineRule="auto"/>
        <w:rPr>
          <w:rFonts w:eastAsia="Times New Roman" w:cs="Arial"/>
          <w:sz w:val="12"/>
          <w:szCs w:val="12"/>
          <w:lang w:eastAsia="bg-BG"/>
        </w:rPr>
      </w:pPr>
      <w:r w:rsidRPr="003813FF">
        <w:rPr>
          <w:rFonts w:eastAsia="Times New Roman" w:cs="Arial"/>
          <w:color w:val="000000"/>
          <w:lang w:eastAsia="bg-BG"/>
        </w:rPr>
        <w:t xml:space="preserve">Простамол уно с използва при възрастни мъже за лечение на смущения в уринирането при доброкачествена хиперплазия на простатата I и II стадий според </w:t>
      </w:r>
      <w:r w:rsidRPr="003813FF">
        <w:rPr>
          <w:rFonts w:eastAsia="Times New Roman" w:cs="Arial"/>
          <w:color w:val="000000"/>
          <w:lang w:val="en-US"/>
        </w:rPr>
        <w:t>Aiken.</w:t>
      </w:r>
    </w:p>
    <w:p w14:paraId="08E275AF" w14:textId="77777777" w:rsidR="003813FF" w:rsidRPr="003813FF" w:rsidRDefault="003813FF" w:rsidP="003813FF">
      <w:pPr>
        <w:spacing w:line="240" w:lineRule="auto"/>
        <w:rPr>
          <w:rFonts w:eastAsia="Times New Roman" w:cs="Arial"/>
          <w:color w:val="000000"/>
          <w:lang w:eastAsia="bg-BG"/>
        </w:rPr>
      </w:pPr>
    </w:p>
    <w:p w14:paraId="702AC3A8" w14:textId="79958D1B" w:rsidR="003813FF" w:rsidRDefault="003813FF" w:rsidP="003813FF">
      <w:pPr>
        <w:spacing w:line="240" w:lineRule="auto"/>
        <w:rPr>
          <w:rFonts w:eastAsia="Times New Roman" w:cs="Arial"/>
          <w:i/>
          <w:iCs/>
          <w:color w:val="000000"/>
          <w:lang w:eastAsia="bg-BG"/>
        </w:rPr>
      </w:pPr>
      <w:r w:rsidRPr="003813FF">
        <w:rPr>
          <w:rFonts w:eastAsia="Times New Roman" w:cs="Arial"/>
          <w:color w:val="000000"/>
          <w:lang w:eastAsia="bg-BG"/>
        </w:rPr>
        <w:t xml:space="preserve">Класификация на стадиите на доброкачествената хиперплазия на простатата (според </w:t>
      </w:r>
      <w:r w:rsidRPr="003813FF">
        <w:rPr>
          <w:rFonts w:eastAsia="Times New Roman" w:cs="Arial"/>
          <w:i/>
          <w:iCs/>
          <w:color w:val="000000"/>
          <w:lang w:eastAsia="bg-BG"/>
        </w:rPr>
        <w:t>А</w:t>
      </w:r>
      <w:r w:rsidRPr="003813FF">
        <w:rPr>
          <w:rFonts w:eastAsia="Times New Roman" w:cs="Arial"/>
          <w:i/>
          <w:iCs/>
          <w:color w:val="000000"/>
          <w:lang w:val="en-US"/>
        </w:rPr>
        <w:t>l</w:t>
      </w:r>
      <w:r w:rsidRPr="003813FF">
        <w:rPr>
          <w:rFonts w:eastAsia="Times New Roman" w:cs="Arial"/>
          <w:i/>
          <w:iCs/>
          <w:color w:val="000000"/>
          <w:lang w:eastAsia="bg-BG"/>
        </w:rPr>
        <w:t>кеп*):</w:t>
      </w:r>
    </w:p>
    <w:tbl>
      <w:tblPr>
        <w:tblStyle w:val="TableGrid"/>
        <w:tblW w:w="0" w:type="auto"/>
        <w:tblLook w:val="04A0" w:firstRow="1" w:lastRow="0" w:firstColumn="1" w:lastColumn="0" w:noHBand="0" w:noVBand="1"/>
      </w:tblPr>
      <w:tblGrid>
        <w:gridCol w:w="3092"/>
        <w:gridCol w:w="3133"/>
        <w:gridCol w:w="3125"/>
      </w:tblGrid>
      <w:tr w:rsidR="003813FF" w14:paraId="163D0E15" w14:textId="77777777" w:rsidTr="00DD39C0">
        <w:tc>
          <w:tcPr>
            <w:tcW w:w="3166" w:type="dxa"/>
            <w:vAlign w:val="bottom"/>
          </w:tcPr>
          <w:p w14:paraId="66A365B0" w14:textId="4B12E44A" w:rsidR="003813FF" w:rsidRPr="003813FF" w:rsidRDefault="003813FF" w:rsidP="003813FF">
            <w:pPr>
              <w:spacing w:line="240" w:lineRule="auto"/>
              <w:rPr>
                <w:rFonts w:eastAsia="Times New Roman" w:cs="Arial"/>
                <w:lang w:eastAsia="bg-BG"/>
              </w:rPr>
            </w:pPr>
            <w:r w:rsidRPr="003813FF">
              <w:rPr>
                <w:b/>
                <w:bCs/>
              </w:rPr>
              <w:t>Стадий</w:t>
            </w:r>
          </w:p>
        </w:tc>
        <w:tc>
          <w:tcPr>
            <w:tcW w:w="3167" w:type="dxa"/>
            <w:vAlign w:val="bottom"/>
          </w:tcPr>
          <w:p w14:paraId="2580F724" w14:textId="2ECCCCF7" w:rsidR="003813FF" w:rsidRPr="003813FF" w:rsidRDefault="003813FF" w:rsidP="003813FF">
            <w:pPr>
              <w:spacing w:line="240" w:lineRule="auto"/>
              <w:rPr>
                <w:rFonts w:eastAsia="Times New Roman" w:cs="Arial"/>
                <w:lang w:eastAsia="bg-BG"/>
              </w:rPr>
            </w:pPr>
            <w:r w:rsidRPr="003813FF">
              <w:rPr>
                <w:b/>
                <w:bCs/>
              </w:rPr>
              <w:t>Наименование</w:t>
            </w:r>
          </w:p>
        </w:tc>
        <w:tc>
          <w:tcPr>
            <w:tcW w:w="3167" w:type="dxa"/>
            <w:vAlign w:val="bottom"/>
          </w:tcPr>
          <w:p w14:paraId="5F95F0A0" w14:textId="01DFF0A8" w:rsidR="003813FF" w:rsidRPr="003813FF" w:rsidRDefault="003813FF" w:rsidP="003813FF">
            <w:pPr>
              <w:spacing w:line="240" w:lineRule="auto"/>
              <w:rPr>
                <w:rFonts w:eastAsia="Times New Roman" w:cs="Arial"/>
                <w:lang w:eastAsia="bg-BG"/>
              </w:rPr>
            </w:pPr>
            <w:r w:rsidRPr="003813FF">
              <w:rPr>
                <w:b/>
                <w:bCs/>
              </w:rPr>
              <w:t>Характеристики</w:t>
            </w:r>
          </w:p>
        </w:tc>
      </w:tr>
      <w:tr w:rsidR="003813FF" w14:paraId="75EE7F29" w14:textId="77777777" w:rsidTr="00DD39C0">
        <w:tc>
          <w:tcPr>
            <w:tcW w:w="3166" w:type="dxa"/>
          </w:tcPr>
          <w:p w14:paraId="3F51FAF2" w14:textId="0720171B" w:rsidR="003813FF" w:rsidRPr="003813FF" w:rsidRDefault="003813FF" w:rsidP="003813FF">
            <w:pPr>
              <w:spacing w:line="240" w:lineRule="auto"/>
              <w:rPr>
                <w:rFonts w:eastAsia="Times New Roman" w:cs="Arial"/>
                <w:lang w:eastAsia="bg-BG"/>
              </w:rPr>
            </w:pPr>
            <w:r w:rsidRPr="003813FF">
              <w:rPr>
                <w:rFonts w:cs="Arial"/>
                <w:b/>
                <w:bCs/>
                <w:lang w:val="en-US"/>
              </w:rPr>
              <w:t>I</w:t>
            </w:r>
          </w:p>
        </w:tc>
        <w:tc>
          <w:tcPr>
            <w:tcW w:w="3167" w:type="dxa"/>
          </w:tcPr>
          <w:p w14:paraId="4714DC0C" w14:textId="75231184" w:rsidR="003813FF" w:rsidRPr="003813FF" w:rsidRDefault="003813FF" w:rsidP="003813FF">
            <w:pPr>
              <w:spacing w:line="240" w:lineRule="auto"/>
              <w:rPr>
                <w:rFonts w:eastAsia="Times New Roman" w:cs="Arial"/>
                <w:lang w:eastAsia="bg-BG"/>
              </w:rPr>
            </w:pPr>
            <w:r w:rsidRPr="003813FF">
              <w:t>Възпалителен стадий</w:t>
            </w:r>
          </w:p>
        </w:tc>
        <w:tc>
          <w:tcPr>
            <w:tcW w:w="3167" w:type="dxa"/>
            <w:vAlign w:val="bottom"/>
          </w:tcPr>
          <w:p w14:paraId="064A92CD" w14:textId="5D63FA51" w:rsidR="003813FF" w:rsidRPr="003813FF" w:rsidRDefault="003813FF" w:rsidP="003813FF">
            <w:pPr>
              <w:spacing w:line="240" w:lineRule="auto"/>
              <w:rPr>
                <w:rFonts w:eastAsia="Times New Roman" w:cs="Arial"/>
                <w:lang w:eastAsia="bg-BG"/>
              </w:rPr>
            </w:pPr>
            <w:r w:rsidRPr="003813FF">
              <w:t>Полакиурия (дневна и нощна), никтурия, забавено начало на уриниране, слаба струя по време на уриниране, пълно изпразване на пикочния мехур</w:t>
            </w:r>
          </w:p>
        </w:tc>
      </w:tr>
      <w:tr w:rsidR="003813FF" w14:paraId="76E5435C" w14:textId="77777777" w:rsidTr="00DD39C0">
        <w:tc>
          <w:tcPr>
            <w:tcW w:w="3166" w:type="dxa"/>
          </w:tcPr>
          <w:p w14:paraId="59914D0A" w14:textId="5F86CC6A" w:rsidR="003813FF" w:rsidRPr="003813FF" w:rsidRDefault="003813FF" w:rsidP="003813FF">
            <w:pPr>
              <w:spacing w:line="240" w:lineRule="auto"/>
              <w:rPr>
                <w:rFonts w:eastAsia="Times New Roman" w:cs="Arial"/>
                <w:lang w:eastAsia="bg-BG"/>
              </w:rPr>
            </w:pPr>
            <w:r w:rsidRPr="003813FF">
              <w:rPr>
                <w:rFonts w:cs="Arial"/>
                <w:b/>
                <w:bCs/>
              </w:rPr>
              <w:t>II</w:t>
            </w:r>
          </w:p>
        </w:tc>
        <w:tc>
          <w:tcPr>
            <w:tcW w:w="3167" w:type="dxa"/>
            <w:vAlign w:val="bottom"/>
          </w:tcPr>
          <w:p w14:paraId="3645704B" w14:textId="515CFA4A" w:rsidR="003813FF" w:rsidRPr="003813FF" w:rsidRDefault="003813FF" w:rsidP="003813FF">
            <w:pPr>
              <w:spacing w:line="240" w:lineRule="auto"/>
              <w:rPr>
                <w:rFonts w:eastAsia="Times New Roman" w:cs="Arial"/>
                <w:lang w:eastAsia="bg-BG"/>
              </w:rPr>
            </w:pPr>
            <w:r w:rsidRPr="003813FF">
              <w:t>Стадий на остатъчна урина</w:t>
            </w:r>
          </w:p>
        </w:tc>
        <w:tc>
          <w:tcPr>
            <w:tcW w:w="3167" w:type="dxa"/>
            <w:vAlign w:val="bottom"/>
          </w:tcPr>
          <w:p w14:paraId="20F1CA29" w14:textId="76FAC56B" w:rsidR="003813FF" w:rsidRPr="003813FF" w:rsidRDefault="003813FF" w:rsidP="003813FF">
            <w:pPr>
              <w:spacing w:line="240" w:lineRule="auto"/>
              <w:rPr>
                <w:rFonts w:eastAsia="Times New Roman" w:cs="Arial"/>
                <w:lang w:eastAsia="bg-BG"/>
              </w:rPr>
            </w:pPr>
            <w:r w:rsidRPr="003813FF">
              <w:t>Начална декомпенсация, непълно изпразване на пикочния мехур, остатъчна урина</w:t>
            </w:r>
          </w:p>
        </w:tc>
      </w:tr>
      <w:tr w:rsidR="003813FF" w14:paraId="4746F751" w14:textId="77777777" w:rsidTr="00DD39C0">
        <w:tc>
          <w:tcPr>
            <w:tcW w:w="3166" w:type="dxa"/>
          </w:tcPr>
          <w:p w14:paraId="545610AA" w14:textId="0D74803A" w:rsidR="003813FF" w:rsidRPr="003813FF" w:rsidRDefault="003813FF" w:rsidP="003813FF">
            <w:pPr>
              <w:spacing w:line="240" w:lineRule="auto"/>
              <w:rPr>
                <w:rFonts w:eastAsia="Times New Roman" w:cs="Arial"/>
                <w:lang w:eastAsia="bg-BG"/>
              </w:rPr>
            </w:pPr>
            <w:r w:rsidRPr="003813FF">
              <w:rPr>
                <w:rFonts w:cs="Arial"/>
                <w:b/>
                <w:bCs/>
                <w:lang w:val="en-US"/>
              </w:rPr>
              <w:t>III</w:t>
            </w:r>
          </w:p>
        </w:tc>
        <w:tc>
          <w:tcPr>
            <w:tcW w:w="3167" w:type="dxa"/>
          </w:tcPr>
          <w:p w14:paraId="04CA277F" w14:textId="4967E957" w:rsidR="003813FF" w:rsidRPr="003813FF" w:rsidRDefault="003813FF" w:rsidP="003813FF">
            <w:pPr>
              <w:spacing w:line="240" w:lineRule="auto"/>
              <w:rPr>
                <w:rFonts w:eastAsia="Times New Roman" w:cs="Arial"/>
                <w:lang w:eastAsia="bg-BG"/>
              </w:rPr>
            </w:pPr>
            <w:r w:rsidRPr="003813FF">
              <w:t>Декомпенсационен стади й</w:t>
            </w:r>
          </w:p>
        </w:tc>
        <w:tc>
          <w:tcPr>
            <w:tcW w:w="3167" w:type="dxa"/>
            <w:vAlign w:val="bottom"/>
          </w:tcPr>
          <w:p w14:paraId="5A59EF87" w14:textId="326F9841" w:rsidR="003813FF" w:rsidRPr="003813FF" w:rsidRDefault="003813FF" w:rsidP="003813FF">
            <w:pPr>
              <w:spacing w:line="240" w:lineRule="auto"/>
              <w:rPr>
                <w:rFonts w:eastAsia="Times New Roman" w:cs="Arial"/>
                <w:lang w:eastAsia="bg-BG"/>
              </w:rPr>
            </w:pPr>
            <w:r w:rsidRPr="003813FF">
              <w:t xml:space="preserve">Ишурия парадокса, остра ретенция на урина, </w:t>
            </w:r>
            <w:r w:rsidRPr="003813FF">
              <w:lastRenderedPageBreak/>
              <w:t>бъбречен застой, хидронефроза, бъбречна недостатъчност</w:t>
            </w:r>
          </w:p>
        </w:tc>
      </w:tr>
    </w:tbl>
    <w:p w14:paraId="69A4CE60" w14:textId="5AE86576" w:rsidR="003813FF" w:rsidRDefault="003813FF" w:rsidP="003813FF">
      <w:r>
        <w:rPr>
          <w:lang w:eastAsia="bg-BG"/>
        </w:rPr>
        <w:lastRenderedPageBreak/>
        <w:t>*А</w:t>
      </w:r>
      <w:proofErr w:type="spellStart"/>
      <w:r>
        <w:rPr>
          <w:lang w:val="en-US" w:eastAsia="bg-BG"/>
        </w:rPr>
        <w:t>lken</w:t>
      </w:r>
      <w:proofErr w:type="spellEnd"/>
      <w:r>
        <w:rPr>
          <w:lang w:eastAsia="bg-BG"/>
        </w:rPr>
        <w:t xml:space="preserve"> СЕ, </w:t>
      </w:r>
      <w:r>
        <w:t>Leitfaden der Vrologie. Stittgart: Thieme, 1973 180-2</w:t>
      </w:r>
    </w:p>
    <w:p w14:paraId="39B792C2" w14:textId="77777777" w:rsidR="003813FF" w:rsidRPr="003813FF" w:rsidRDefault="003813FF" w:rsidP="003813FF"/>
    <w:p w14:paraId="31744E5A" w14:textId="2D9E4FE0" w:rsidR="009F77A4" w:rsidRDefault="002C50EE" w:rsidP="00387A66">
      <w:pPr>
        <w:pStyle w:val="Heading2"/>
      </w:pPr>
      <w:r>
        <w:t>4.2. Дозировка и начин на приложение</w:t>
      </w:r>
    </w:p>
    <w:p w14:paraId="2D6B0770" w14:textId="20893D88" w:rsidR="003813FF" w:rsidRDefault="003813FF" w:rsidP="003813FF"/>
    <w:p w14:paraId="15AB0BAF" w14:textId="77777777" w:rsidR="003813FF" w:rsidRPr="003813FF" w:rsidRDefault="003813FF" w:rsidP="003813FF">
      <w:pPr>
        <w:spacing w:line="240" w:lineRule="auto"/>
        <w:rPr>
          <w:rFonts w:eastAsia="Times New Roman" w:cs="Arial"/>
          <w:lang w:eastAsia="bg-BG"/>
        </w:rPr>
      </w:pPr>
      <w:r w:rsidRPr="003813FF">
        <w:rPr>
          <w:rFonts w:eastAsia="Times New Roman" w:cs="Arial"/>
          <w:color w:val="000000"/>
          <w:u w:val="single"/>
          <w:lang w:eastAsia="bg-BG"/>
        </w:rPr>
        <w:t>Дозировка</w:t>
      </w:r>
    </w:p>
    <w:p w14:paraId="5DEBE29C" w14:textId="3B231351" w:rsidR="003813FF" w:rsidRPr="003813FF" w:rsidRDefault="003813FF" w:rsidP="003813FF">
      <w:pPr>
        <w:spacing w:line="240" w:lineRule="auto"/>
        <w:rPr>
          <w:rFonts w:eastAsia="Times New Roman" w:cs="Arial"/>
          <w:color w:val="000000"/>
          <w:lang w:eastAsia="bg-BG"/>
        </w:rPr>
      </w:pPr>
      <w:r w:rsidRPr="003813FF">
        <w:rPr>
          <w:rFonts w:eastAsia="Times New Roman" w:cs="Arial"/>
          <w:color w:val="000000"/>
          <w:lang w:val="en-US" w:eastAsia="bg-BG"/>
        </w:rPr>
        <w:t xml:space="preserve">1 </w:t>
      </w:r>
      <w:r w:rsidRPr="003813FF">
        <w:rPr>
          <w:rFonts w:eastAsia="Times New Roman" w:cs="Arial"/>
          <w:color w:val="000000"/>
          <w:lang w:eastAsia="bg-BG"/>
        </w:rPr>
        <w:t>мека капсула Простамол уно дневно се приема по едно и също време на деня.</w:t>
      </w:r>
    </w:p>
    <w:p w14:paraId="70CEF46B" w14:textId="77777777" w:rsidR="003813FF" w:rsidRPr="003813FF" w:rsidRDefault="003813FF" w:rsidP="003813FF">
      <w:pPr>
        <w:spacing w:line="240" w:lineRule="auto"/>
        <w:rPr>
          <w:rFonts w:eastAsia="Times New Roman" w:cs="Arial"/>
          <w:i/>
          <w:iCs/>
          <w:color w:val="000000"/>
          <w:lang w:eastAsia="bg-BG"/>
        </w:rPr>
      </w:pPr>
    </w:p>
    <w:p w14:paraId="3D6150B1" w14:textId="7E0A6B9A" w:rsidR="003813FF" w:rsidRPr="003813FF" w:rsidRDefault="003813FF" w:rsidP="003813FF">
      <w:pPr>
        <w:spacing w:line="240" w:lineRule="auto"/>
        <w:rPr>
          <w:rFonts w:eastAsia="Times New Roman" w:cs="Arial"/>
          <w:lang w:eastAsia="bg-BG"/>
        </w:rPr>
      </w:pPr>
      <w:r w:rsidRPr="003813FF">
        <w:rPr>
          <w:rFonts w:eastAsia="Times New Roman" w:cs="Arial"/>
          <w:i/>
          <w:iCs/>
          <w:color w:val="000000"/>
          <w:lang w:eastAsia="bg-BG"/>
        </w:rPr>
        <w:t>Педиатрична популация</w:t>
      </w:r>
    </w:p>
    <w:p w14:paraId="74C2F9C1" w14:textId="77777777" w:rsidR="003813FF" w:rsidRPr="003813FF" w:rsidRDefault="003813FF" w:rsidP="003813FF">
      <w:pPr>
        <w:rPr>
          <w:rFonts w:eastAsia="Times New Roman" w:cs="Arial"/>
          <w:sz w:val="12"/>
          <w:szCs w:val="12"/>
          <w:lang w:eastAsia="bg-BG"/>
        </w:rPr>
      </w:pPr>
      <w:r w:rsidRPr="003813FF">
        <w:rPr>
          <w:rFonts w:eastAsia="Times New Roman" w:cs="Arial"/>
          <w:color w:val="000000"/>
          <w:lang w:eastAsia="bg-BG"/>
        </w:rPr>
        <w:t>Простамол уно не е показан за употреба при деца и юноши под 18-годишна възраст за показание</w:t>
      </w:r>
      <w:r>
        <w:rPr>
          <w:rFonts w:eastAsia="Times New Roman" w:cs="Arial"/>
          <w:color w:val="000000"/>
          <w:lang w:val="en-US" w:eastAsia="bg-BG"/>
        </w:rPr>
        <w:t xml:space="preserve"> </w:t>
      </w:r>
      <w:r w:rsidRPr="003813FF">
        <w:rPr>
          <w:rFonts w:eastAsia="Times New Roman" w:cs="Arial"/>
          <w:color w:val="000000"/>
          <w:lang w:eastAsia="bg-BG"/>
        </w:rPr>
        <w:t>смущения в уринирането при доброкачествена хиперплазия на простатата I и II стадий.</w:t>
      </w:r>
    </w:p>
    <w:p w14:paraId="17BF2204" w14:textId="77777777" w:rsidR="003813FF" w:rsidRPr="003813FF" w:rsidRDefault="003813FF" w:rsidP="003813FF">
      <w:pPr>
        <w:spacing w:line="240" w:lineRule="auto"/>
        <w:rPr>
          <w:rFonts w:eastAsia="Times New Roman" w:cs="Arial"/>
          <w:color w:val="000000"/>
          <w:u w:val="single"/>
          <w:lang w:eastAsia="bg-BG"/>
        </w:rPr>
      </w:pPr>
    </w:p>
    <w:p w14:paraId="76F46116" w14:textId="13394956" w:rsidR="003813FF" w:rsidRPr="003813FF" w:rsidRDefault="003813FF" w:rsidP="003813FF">
      <w:pPr>
        <w:spacing w:line="240" w:lineRule="auto"/>
        <w:rPr>
          <w:rFonts w:eastAsia="Times New Roman" w:cs="Arial"/>
          <w:sz w:val="12"/>
          <w:szCs w:val="12"/>
          <w:lang w:eastAsia="bg-BG"/>
        </w:rPr>
      </w:pPr>
      <w:r w:rsidRPr="003813FF">
        <w:rPr>
          <w:rFonts w:eastAsia="Times New Roman" w:cs="Arial"/>
          <w:color w:val="000000"/>
          <w:u w:val="single"/>
          <w:lang w:eastAsia="bg-BG"/>
        </w:rPr>
        <w:t>Начин на приложение</w:t>
      </w:r>
    </w:p>
    <w:p w14:paraId="183D927D" w14:textId="77777777" w:rsidR="003813FF" w:rsidRPr="003813FF" w:rsidRDefault="003813FF" w:rsidP="003813FF">
      <w:pPr>
        <w:spacing w:line="240" w:lineRule="auto"/>
        <w:rPr>
          <w:rFonts w:eastAsia="Times New Roman" w:cs="Arial"/>
          <w:sz w:val="12"/>
          <w:szCs w:val="12"/>
          <w:lang w:eastAsia="bg-BG"/>
        </w:rPr>
      </w:pPr>
      <w:r w:rsidRPr="003813FF">
        <w:rPr>
          <w:rFonts w:eastAsia="Times New Roman" w:cs="Arial"/>
          <w:color w:val="000000"/>
          <w:lang w:eastAsia="bg-BG"/>
        </w:rPr>
        <w:t>Перорално приложение</w:t>
      </w:r>
    </w:p>
    <w:p w14:paraId="0D2984E1" w14:textId="77777777" w:rsidR="003813FF" w:rsidRPr="003813FF" w:rsidRDefault="003813FF" w:rsidP="003813FF">
      <w:pPr>
        <w:spacing w:line="240" w:lineRule="auto"/>
        <w:rPr>
          <w:rFonts w:eastAsia="Times New Roman" w:cs="Arial"/>
          <w:sz w:val="12"/>
          <w:szCs w:val="12"/>
          <w:lang w:eastAsia="bg-BG"/>
        </w:rPr>
      </w:pPr>
      <w:r w:rsidRPr="003813FF">
        <w:rPr>
          <w:rFonts w:eastAsia="Times New Roman" w:cs="Arial"/>
          <w:color w:val="000000"/>
          <w:lang w:eastAsia="bg-BG"/>
        </w:rPr>
        <w:t>Меката капсула трябва да се приема цяла, с достатъчно количество течност, след хранене.</w:t>
      </w:r>
    </w:p>
    <w:p w14:paraId="0241B27E" w14:textId="77777777" w:rsidR="003813FF" w:rsidRPr="003813FF" w:rsidRDefault="003813FF" w:rsidP="003813FF">
      <w:pPr>
        <w:spacing w:line="240" w:lineRule="auto"/>
        <w:rPr>
          <w:rFonts w:eastAsia="Times New Roman" w:cs="Arial"/>
          <w:color w:val="000000"/>
          <w:u w:val="single"/>
          <w:lang w:eastAsia="bg-BG"/>
        </w:rPr>
      </w:pPr>
    </w:p>
    <w:p w14:paraId="0CDB5973" w14:textId="2747A2EA" w:rsidR="003813FF" w:rsidRPr="003813FF" w:rsidRDefault="003813FF" w:rsidP="003813FF">
      <w:pPr>
        <w:spacing w:line="240" w:lineRule="auto"/>
        <w:rPr>
          <w:rFonts w:eastAsia="Times New Roman" w:cs="Arial"/>
          <w:color w:val="000000"/>
          <w:u w:val="single"/>
          <w:lang w:eastAsia="bg-BG"/>
        </w:rPr>
      </w:pPr>
      <w:r w:rsidRPr="003813FF">
        <w:rPr>
          <w:rFonts w:eastAsia="Times New Roman" w:cs="Arial"/>
          <w:color w:val="000000"/>
          <w:u w:val="single"/>
          <w:lang w:eastAsia="bg-BG"/>
        </w:rPr>
        <w:t>Продължителност на лечението</w:t>
      </w:r>
    </w:p>
    <w:p w14:paraId="56033C9C" w14:textId="77777777" w:rsidR="003813FF" w:rsidRPr="003813FF" w:rsidRDefault="003813FF" w:rsidP="003813FF">
      <w:pPr>
        <w:spacing w:line="240" w:lineRule="auto"/>
        <w:rPr>
          <w:rFonts w:eastAsia="Times New Roman" w:cs="Arial"/>
          <w:sz w:val="12"/>
          <w:szCs w:val="12"/>
          <w:lang w:eastAsia="bg-BG"/>
        </w:rPr>
      </w:pPr>
      <w:r w:rsidRPr="003813FF">
        <w:rPr>
          <w:rFonts w:eastAsia="Times New Roman" w:cs="Arial"/>
          <w:color w:val="000000"/>
          <w:lang w:eastAsia="bg-BG"/>
        </w:rPr>
        <w:t>Продължителността на лечението зависи от вида, тежестта и протичането на заболяването и не е ограничена във времето. Редовният ежедневен прием е много важен за успеха на лечението. Подобрение в оплакванията може да се очаква след около шест седмици. За постигане на пълна ефективност може да са необходими около три месеца. Ако оплакванията не се подобрят или се влошат, пациентът трябва да се консултира с лекар.</w:t>
      </w:r>
    </w:p>
    <w:p w14:paraId="3EA9224C" w14:textId="77777777" w:rsidR="003813FF" w:rsidRPr="003813FF" w:rsidRDefault="003813FF" w:rsidP="003813FF"/>
    <w:p w14:paraId="5D9E65DA" w14:textId="12F7409E" w:rsidR="009F77A4" w:rsidRDefault="002C50EE" w:rsidP="00387A66">
      <w:pPr>
        <w:pStyle w:val="Heading2"/>
      </w:pPr>
      <w:r>
        <w:t>4.3. Противопоказания</w:t>
      </w:r>
    </w:p>
    <w:p w14:paraId="3276A260" w14:textId="0C400077" w:rsidR="003813FF" w:rsidRDefault="003813FF" w:rsidP="003813FF"/>
    <w:p w14:paraId="0E5E8291" w14:textId="4187492C" w:rsidR="003813FF" w:rsidRDefault="003813FF" w:rsidP="003813FF">
      <w:r>
        <w:t>Свръхчувствителност към активното вещество или към някое от помощните вещества, изброени в т. 6.1.</w:t>
      </w:r>
    </w:p>
    <w:p w14:paraId="7E0EF8EB" w14:textId="77777777" w:rsidR="003813FF" w:rsidRPr="003813FF" w:rsidRDefault="003813FF" w:rsidP="003813FF"/>
    <w:p w14:paraId="1C27CE53" w14:textId="4FF32F71" w:rsidR="009F77A4" w:rsidRDefault="002C50EE" w:rsidP="00387A66">
      <w:pPr>
        <w:pStyle w:val="Heading2"/>
      </w:pPr>
      <w:r>
        <w:t>4.4. Специални предупреждения и предпазни мерки при употреба</w:t>
      </w:r>
    </w:p>
    <w:p w14:paraId="3F6FDD3D" w14:textId="1F704AB5" w:rsidR="003813FF" w:rsidRDefault="003813FF" w:rsidP="003813FF"/>
    <w:p w14:paraId="1B49282D" w14:textId="77777777" w:rsidR="003813FF" w:rsidRPr="003813FF" w:rsidRDefault="003813FF" w:rsidP="003813FF">
      <w:pPr>
        <w:rPr>
          <w:sz w:val="24"/>
          <w:szCs w:val="24"/>
          <w:lang w:eastAsia="bg-BG"/>
        </w:rPr>
      </w:pPr>
      <w:r w:rsidRPr="003813FF">
        <w:rPr>
          <w:lang w:eastAsia="bg-BG"/>
        </w:rPr>
        <w:t>Простамол уно само подобрява симптомите на уголемена простата, без да намалява увеличения й размер. Поради това през определени интервали пациентите трябва да посещават лекар.</w:t>
      </w:r>
    </w:p>
    <w:p w14:paraId="60970BCE" w14:textId="77777777" w:rsidR="003813FF" w:rsidRPr="003813FF" w:rsidRDefault="003813FF" w:rsidP="003813FF">
      <w:pPr>
        <w:rPr>
          <w:sz w:val="24"/>
          <w:szCs w:val="24"/>
          <w:lang w:eastAsia="bg-BG"/>
        </w:rPr>
      </w:pPr>
      <w:r w:rsidRPr="003813FF">
        <w:rPr>
          <w:lang w:eastAsia="bg-BG"/>
        </w:rPr>
        <w:t>Пациентът трябва да се консултира с лекар особено при наличие на повишена температура, спазъм или кръв в урината, болезнено уриниране, ищурия парадокса или остро задържане на урина, Простамол уно не трябва да се приема по време на декомпенсационния стадий (стадий III) на доброкачествената хиперплазия на простатата (вижте т, 4.1).</w:t>
      </w:r>
    </w:p>
    <w:p w14:paraId="31EEB4A2" w14:textId="77777777" w:rsidR="003813FF" w:rsidRPr="003813FF" w:rsidRDefault="003813FF" w:rsidP="003813FF"/>
    <w:p w14:paraId="1DA47448" w14:textId="213180F2" w:rsidR="009F77A4" w:rsidRDefault="002C50EE" w:rsidP="00387A66">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032C845B" w14:textId="5DDE52A0" w:rsidR="003813FF" w:rsidRDefault="003813FF" w:rsidP="003813FF"/>
    <w:p w14:paraId="4D40DAFE" w14:textId="77777777" w:rsidR="003813FF" w:rsidRPr="003813FF" w:rsidRDefault="003813FF" w:rsidP="003813FF">
      <w:pPr>
        <w:rPr>
          <w:sz w:val="24"/>
          <w:szCs w:val="24"/>
          <w:lang w:eastAsia="bg-BG"/>
        </w:rPr>
      </w:pPr>
      <w:r w:rsidRPr="003813FF">
        <w:rPr>
          <w:lang w:eastAsia="bg-BG"/>
        </w:rPr>
        <w:lastRenderedPageBreak/>
        <w:t xml:space="preserve">Описани са само няколко случая на предполагаеми взаимодействия с варфарин. Описани са случаи на повишени стойности на </w:t>
      </w:r>
      <w:r w:rsidRPr="003813FF">
        <w:rPr>
          <w:lang w:val="en-US"/>
        </w:rPr>
        <w:t>INR.</w:t>
      </w:r>
    </w:p>
    <w:p w14:paraId="3514AD7A" w14:textId="77777777" w:rsidR="003813FF" w:rsidRPr="003813FF" w:rsidRDefault="003813FF" w:rsidP="003813FF"/>
    <w:p w14:paraId="48846BBA" w14:textId="1865D4F8" w:rsidR="009F77A4" w:rsidRDefault="002C50EE" w:rsidP="00387A66">
      <w:pPr>
        <w:pStyle w:val="Heading2"/>
      </w:pPr>
      <w:r>
        <w:t>4.6. Фертилитет, бременност и кърмене</w:t>
      </w:r>
    </w:p>
    <w:p w14:paraId="15A7E5B2" w14:textId="65238899" w:rsidR="003813FF" w:rsidRDefault="003813FF" w:rsidP="003813FF"/>
    <w:p w14:paraId="7FCD84D2" w14:textId="77777777" w:rsidR="003813FF" w:rsidRPr="003813FF" w:rsidRDefault="003813FF" w:rsidP="003813FF">
      <w:pPr>
        <w:rPr>
          <w:sz w:val="24"/>
          <w:szCs w:val="24"/>
          <w:lang w:eastAsia="bg-BG"/>
        </w:rPr>
      </w:pPr>
      <w:r w:rsidRPr="003813FF">
        <w:rPr>
          <w:lang w:eastAsia="bg-BG"/>
        </w:rPr>
        <w:t>Бременност и кърмене: не е приложимо, тъй като лекарственият продукт е показан само при възрастни мъже.</w:t>
      </w:r>
    </w:p>
    <w:p w14:paraId="0A6D593D" w14:textId="77777777" w:rsidR="003813FF" w:rsidRPr="003813FF" w:rsidRDefault="003813FF" w:rsidP="003813FF">
      <w:pPr>
        <w:rPr>
          <w:sz w:val="24"/>
          <w:szCs w:val="24"/>
          <w:lang w:eastAsia="bg-BG"/>
        </w:rPr>
      </w:pPr>
      <w:r w:rsidRPr="003813FF">
        <w:rPr>
          <w:lang w:eastAsia="bg-BG"/>
        </w:rPr>
        <w:t>Няма данни по отношение на фертилитета.</w:t>
      </w:r>
    </w:p>
    <w:p w14:paraId="1F3C327F" w14:textId="77777777" w:rsidR="003813FF" w:rsidRPr="003813FF" w:rsidRDefault="003813FF" w:rsidP="003813FF"/>
    <w:p w14:paraId="321AAB00" w14:textId="05C61EC6" w:rsidR="009F77A4" w:rsidRDefault="002C50EE" w:rsidP="00387A66">
      <w:pPr>
        <w:pStyle w:val="Heading2"/>
      </w:pPr>
      <w:r>
        <w:t>4.7. Ефекти върху способността за шофиране и работа с машини</w:t>
      </w:r>
    </w:p>
    <w:p w14:paraId="1C974688" w14:textId="72799683" w:rsidR="003813FF" w:rsidRDefault="003813FF" w:rsidP="003813FF"/>
    <w:p w14:paraId="44112D47" w14:textId="77777777" w:rsidR="003813FF" w:rsidRPr="003813FF" w:rsidRDefault="003813FF" w:rsidP="003813FF">
      <w:pPr>
        <w:rPr>
          <w:sz w:val="24"/>
          <w:szCs w:val="24"/>
          <w:lang w:eastAsia="bg-BG"/>
        </w:rPr>
      </w:pPr>
      <w:r w:rsidRPr="003813FF">
        <w:rPr>
          <w:lang w:eastAsia="bg-BG"/>
        </w:rPr>
        <w:t>Не са провеждани проучвания за ефекта върху способността за шофиране и работа с машини.</w:t>
      </w:r>
    </w:p>
    <w:p w14:paraId="3D9007E4" w14:textId="77777777" w:rsidR="003813FF" w:rsidRPr="003813FF" w:rsidRDefault="003813FF" w:rsidP="003813FF"/>
    <w:p w14:paraId="136C86B8" w14:textId="679D384B" w:rsidR="009F77A4" w:rsidRDefault="002C50EE" w:rsidP="00387A66">
      <w:pPr>
        <w:pStyle w:val="Heading2"/>
      </w:pPr>
      <w:r>
        <w:t>4.8. Нежелани лекарствени реакции</w:t>
      </w:r>
    </w:p>
    <w:p w14:paraId="158589FD" w14:textId="3F0B623D" w:rsidR="003813FF" w:rsidRDefault="003813FF" w:rsidP="003813FF"/>
    <w:p w14:paraId="6A58D38C" w14:textId="77777777" w:rsidR="003813FF" w:rsidRPr="003813FF" w:rsidRDefault="003813FF" w:rsidP="003813FF">
      <w:pPr>
        <w:spacing w:line="240" w:lineRule="auto"/>
        <w:rPr>
          <w:rFonts w:eastAsia="Times New Roman" w:cs="Arial"/>
          <w:lang w:eastAsia="bg-BG"/>
        </w:rPr>
      </w:pPr>
      <w:r w:rsidRPr="003813FF">
        <w:rPr>
          <w:rFonts w:eastAsia="Times New Roman" w:cs="Arial"/>
          <w:color w:val="000000"/>
          <w:lang w:eastAsia="bg-BG"/>
        </w:rPr>
        <w:t>Използва се следната честота за класификацията на нежеланите реакции.</w:t>
      </w:r>
    </w:p>
    <w:p w14:paraId="6CB894DF" w14:textId="40BBEC5D" w:rsidR="003813FF" w:rsidRPr="003813FF" w:rsidRDefault="003813FF" w:rsidP="003813FF">
      <w:pPr>
        <w:spacing w:line="240" w:lineRule="auto"/>
        <w:rPr>
          <w:rFonts w:eastAsia="Times New Roman" w:cs="Arial"/>
          <w:lang w:eastAsia="bg-BG"/>
        </w:rPr>
      </w:pPr>
      <w:r w:rsidRPr="003813FF">
        <w:rPr>
          <w:rFonts w:eastAsia="Times New Roman" w:cs="Arial"/>
          <w:color w:val="000000"/>
          <w:lang w:eastAsia="bg-BG"/>
        </w:rPr>
        <w:t>Много чести:</w:t>
      </w:r>
      <w:r>
        <w:rPr>
          <w:rFonts w:eastAsia="Times New Roman" w:cs="Arial"/>
          <w:color w:val="000000"/>
          <w:lang w:val="en-US" w:eastAsia="bg-BG"/>
        </w:rPr>
        <w:t xml:space="preserve"> </w:t>
      </w:r>
      <w:r w:rsidRPr="003813FF">
        <w:rPr>
          <w:rFonts w:eastAsia="Times New Roman" w:cs="Arial"/>
          <w:color w:val="000000"/>
          <w:lang w:eastAsia="bg-BG"/>
        </w:rPr>
        <w:t>≥1/10</w:t>
      </w:r>
    </w:p>
    <w:p w14:paraId="00342840" w14:textId="77777777" w:rsidR="003813FF" w:rsidRPr="003813FF" w:rsidRDefault="003813FF" w:rsidP="003813FF">
      <w:pPr>
        <w:spacing w:line="240" w:lineRule="auto"/>
        <w:rPr>
          <w:rFonts w:eastAsia="Times New Roman" w:cs="Arial"/>
          <w:lang w:eastAsia="bg-BG"/>
        </w:rPr>
      </w:pPr>
      <w:r w:rsidRPr="003813FF">
        <w:rPr>
          <w:rFonts w:eastAsia="Times New Roman" w:cs="Arial"/>
          <w:color w:val="000000"/>
          <w:lang w:eastAsia="bg-BG"/>
        </w:rPr>
        <w:t>Чести:</w:t>
      </w:r>
      <w:r w:rsidRPr="003813FF">
        <w:rPr>
          <w:rFonts w:eastAsia="Times New Roman" w:cs="Arial"/>
          <w:color w:val="000000"/>
          <w:lang w:eastAsia="bg-BG"/>
        </w:rPr>
        <w:tab/>
        <w:t>≥ 1/100 до &lt;1/10</w:t>
      </w:r>
    </w:p>
    <w:p w14:paraId="6BF8CED4" w14:textId="48A3E60C" w:rsidR="003813FF" w:rsidRPr="003813FF" w:rsidRDefault="003813FF" w:rsidP="003813FF">
      <w:pPr>
        <w:spacing w:line="240" w:lineRule="auto"/>
        <w:rPr>
          <w:rFonts w:eastAsia="Times New Roman" w:cs="Arial"/>
          <w:lang w:eastAsia="bg-BG"/>
        </w:rPr>
      </w:pPr>
      <w:r w:rsidRPr="003813FF">
        <w:rPr>
          <w:rFonts w:eastAsia="Times New Roman" w:cs="Arial"/>
          <w:color w:val="000000"/>
          <w:lang w:eastAsia="bg-BG"/>
        </w:rPr>
        <w:t>Нечести:</w:t>
      </w:r>
      <w:r>
        <w:rPr>
          <w:rFonts w:eastAsia="Times New Roman" w:cs="Arial"/>
          <w:color w:val="000000"/>
          <w:lang w:val="en-US" w:eastAsia="bg-BG"/>
        </w:rPr>
        <w:t xml:space="preserve"> </w:t>
      </w:r>
      <w:r w:rsidRPr="003813FF">
        <w:rPr>
          <w:rFonts w:eastAsia="Times New Roman" w:cs="Arial"/>
          <w:color w:val="000000"/>
          <w:lang w:eastAsia="bg-BG"/>
        </w:rPr>
        <w:t>≥1/1000 до &lt; 1/100</w:t>
      </w:r>
    </w:p>
    <w:p w14:paraId="432381F8" w14:textId="77777777" w:rsidR="003813FF" w:rsidRPr="003813FF" w:rsidRDefault="003813FF" w:rsidP="003813FF">
      <w:pPr>
        <w:spacing w:line="240" w:lineRule="auto"/>
        <w:rPr>
          <w:rFonts w:eastAsia="Times New Roman" w:cs="Arial"/>
          <w:lang w:eastAsia="bg-BG"/>
        </w:rPr>
      </w:pPr>
      <w:r w:rsidRPr="003813FF">
        <w:rPr>
          <w:rFonts w:eastAsia="Times New Roman" w:cs="Arial"/>
          <w:color w:val="000000"/>
          <w:lang w:eastAsia="bg-BG"/>
        </w:rPr>
        <w:t>Редки:</w:t>
      </w:r>
      <w:r w:rsidRPr="003813FF">
        <w:rPr>
          <w:rFonts w:eastAsia="Times New Roman" w:cs="Arial"/>
          <w:color w:val="000000"/>
          <w:lang w:eastAsia="bg-BG"/>
        </w:rPr>
        <w:tab/>
        <w:t>≥ 1/10 000 до &lt; 1/1 000</w:t>
      </w:r>
    </w:p>
    <w:p w14:paraId="443DDEFC" w14:textId="22907CCE" w:rsidR="003813FF" w:rsidRPr="003813FF" w:rsidRDefault="003813FF" w:rsidP="003813FF">
      <w:pPr>
        <w:spacing w:line="240" w:lineRule="auto"/>
        <w:rPr>
          <w:rFonts w:eastAsia="Times New Roman" w:cs="Arial"/>
          <w:lang w:eastAsia="bg-BG"/>
        </w:rPr>
      </w:pPr>
      <w:r w:rsidRPr="003813FF">
        <w:rPr>
          <w:rFonts w:eastAsia="Times New Roman" w:cs="Arial"/>
          <w:color w:val="000000"/>
          <w:lang w:eastAsia="bg-BG"/>
        </w:rPr>
        <w:t>Много редки:</w:t>
      </w:r>
      <w:r>
        <w:rPr>
          <w:rFonts w:eastAsia="Times New Roman" w:cs="Arial"/>
          <w:color w:val="000000"/>
          <w:lang w:val="en-US" w:eastAsia="bg-BG"/>
        </w:rPr>
        <w:t xml:space="preserve"> </w:t>
      </w:r>
      <w:r w:rsidRPr="003813FF">
        <w:rPr>
          <w:rFonts w:eastAsia="Times New Roman" w:cs="Arial"/>
          <w:color w:val="000000"/>
          <w:lang w:eastAsia="bg-BG"/>
        </w:rPr>
        <w:t>&lt; 1/10 000</w:t>
      </w:r>
    </w:p>
    <w:p w14:paraId="509F0858" w14:textId="47BE0557" w:rsidR="003813FF" w:rsidRPr="003813FF" w:rsidRDefault="003813FF" w:rsidP="003813FF">
      <w:pPr>
        <w:spacing w:line="240" w:lineRule="auto"/>
        <w:rPr>
          <w:rFonts w:eastAsia="Times New Roman" w:cs="Arial"/>
          <w:lang w:eastAsia="bg-BG"/>
        </w:rPr>
      </w:pPr>
      <w:r w:rsidRPr="003813FF">
        <w:rPr>
          <w:rFonts w:eastAsia="Times New Roman" w:cs="Arial"/>
          <w:color w:val="000000"/>
          <w:lang w:eastAsia="bg-BG"/>
        </w:rPr>
        <w:t>С неизвестна честота:</w:t>
      </w:r>
      <w:r>
        <w:rPr>
          <w:rFonts w:eastAsia="Times New Roman" w:cs="Arial"/>
          <w:color w:val="000000"/>
          <w:lang w:val="en-US" w:eastAsia="bg-BG"/>
        </w:rPr>
        <w:t xml:space="preserve"> </w:t>
      </w:r>
      <w:r w:rsidRPr="003813FF">
        <w:rPr>
          <w:rFonts w:eastAsia="Times New Roman" w:cs="Arial"/>
          <w:color w:val="000000"/>
          <w:lang w:eastAsia="bg-BG"/>
        </w:rPr>
        <w:t>не може да се определи от наличните данни</w:t>
      </w:r>
    </w:p>
    <w:p w14:paraId="0A4E046F" w14:textId="77777777" w:rsidR="003813FF" w:rsidRDefault="003813FF" w:rsidP="003813FF">
      <w:pPr>
        <w:spacing w:line="240" w:lineRule="auto"/>
        <w:rPr>
          <w:rFonts w:eastAsia="Times New Roman" w:cs="Arial"/>
          <w:color w:val="000000"/>
          <w:u w:val="single"/>
          <w:lang w:eastAsia="bg-BG"/>
        </w:rPr>
      </w:pPr>
    </w:p>
    <w:p w14:paraId="000FEBBF" w14:textId="1D66C2DB" w:rsidR="003813FF" w:rsidRPr="003813FF" w:rsidRDefault="003813FF" w:rsidP="003813FF">
      <w:pPr>
        <w:spacing w:line="240" w:lineRule="auto"/>
        <w:rPr>
          <w:rFonts w:eastAsia="Times New Roman" w:cs="Arial"/>
          <w:lang w:eastAsia="bg-BG"/>
        </w:rPr>
      </w:pPr>
      <w:r w:rsidRPr="003813FF">
        <w:rPr>
          <w:rFonts w:eastAsia="Times New Roman" w:cs="Arial"/>
          <w:color w:val="000000"/>
          <w:u w:val="single"/>
          <w:lang w:eastAsia="bg-BG"/>
        </w:rPr>
        <w:t>Стомашно-чревни нарушения</w:t>
      </w:r>
    </w:p>
    <w:p w14:paraId="7DD3A559" w14:textId="77777777" w:rsidR="003813FF" w:rsidRPr="003813FF" w:rsidRDefault="003813FF" w:rsidP="003813FF">
      <w:pPr>
        <w:spacing w:line="240" w:lineRule="auto"/>
        <w:rPr>
          <w:rFonts w:eastAsia="Times New Roman" w:cs="Arial"/>
          <w:lang w:eastAsia="bg-BG"/>
        </w:rPr>
      </w:pPr>
      <w:r w:rsidRPr="003813FF">
        <w:rPr>
          <w:rFonts w:eastAsia="Times New Roman" w:cs="Arial"/>
          <w:color w:val="000000"/>
          <w:lang w:eastAsia="bg-BG"/>
        </w:rPr>
        <w:t>Нечести: гадене, повръщане, диария, коремна болка (особено когато се приема на гладно).</w:t>
      </w:r>
    </w:p>
    <w:p w14:paraId="0F959E4C" w14:textId="77777777" w:rsidR="003813FF" w:rsidRDefault="003813FF" w:rsidP="003813FF">
      <w:pPr>
        <w:spacing w:line="240" w:lineRule="auto"/>
        <w:rPr>
          <w:rFonts w:eastAsia="Times New Roman" w:cs="Arial"/>
          <w:color w:val="000000"/>
          <w:u w:val="single"/>
          <w:lang w:eastAsia="bg-BG"/>
        </w:rPr>
      </w:pPr>
    </w:p>
    <w:p w14:paraId="3B7B328E" w14:textId="04677239" w:rsidR="003813FF" w:rsidRPr="003813FF" w:rsidRDefault="003813FF" w:rsidP="003813FF">
      <w:pPr>
        <w:spacing w:line="240" w:lineRule="auto"/>
        <w:rPr>
          <w:rFonts w:eastAsia="Times New Roman" w:cs="Arial"/>
          <w:lang w:eastAsia="bg-BG"/>
        </w:rPr>
      </w:pPr>
      <w:r w:rsidRPr="003813FF">
        <w:rPr>
          <w:rFonts w:eastAsia="Times New Roman" w:cs="Arial"/>
          <w:color w:val="000000"/>
          <w:u w:val="single"/>
          <w:lang w:eastAsia="bg-BG"/>
        </w:rPr>
        <w:t>Нарушения на имунната система</w:t>
      </w:r>
    </w:p>
    <w:p w14:paraId="004F565E" w14:textId="77777777" w:rsidR="003813FF" w:rsidRPr="003813FF" w:rsidRDefault="003813FF" w:rsidP="003813FF">
      <w:pPr>
        <w:spacing w:line="240" w:lineRule="auto"/>
        <w:rPr>
          <w:rFonts w:eastAsia="Times New Roman" w:cs="Arial"/>
          <w:lang w:eastAsia="bg-BG"/>
        </w:rPr>
      </w:pPr>
      <w:r w:rsidRPr="003813FF">
        <w:rPr>
          <w:rFonts w:eastAsia="Times New Roman" w:cs="Arial"/>
          <w:color w:val="000000"/>
          <w:lang w:eastAsia="bg-BG"/>
        </w:rPr>
        <w:t>Възможна е появата на алергични реакции или реакции на свръхчуствителност. Честотата не е известна.</w:t>
      </w:r>
    </w:p>
    <w:p w14:paraId="1942B336" w14:textId="77777777" w:rsidR="003813FF" w:rsidRDefault="003813FF" w:rsidP="003813FF">
      <w:pPr>
        <w:spacing w:line="240" w:lineRule="auto"/>
        <w:rPr>
          <w:rFonts w:eastAsia="Times New Roman" w:cs="Arial"/>
          <w:color w:val="000000"/>
          <w:u w:val="single"/>
          <w:lang w:eastAsia="bg-BG"/>
        </w:rPr>
      </w:pPr>
    </w:p>
    <w:p w14:paraId="7EB11362" w14:textId="79E675D0" w:rsidR="003813FF" w:rsidRPr="003813FF" w:rsidRDefault="003813FF" w:rsidP="003813FF">
      <w:pPr>
        <w:spacing w:line="240" w:lineRule="auto"/>
        <w:rPr>
          <w:rFonts w:eastAsia="Times New Roman" w:cs="Arial"/>
          <w:lang w:eastAsia="bg-BG"/>
        </w:rPr>
      </w:pPr>
      <w:r w:rsidRPr="003813FF">
        <w:rPr>
          <w:rFonts w:eastAsia="Times New Roman" w:cs="Arial"/>
          <w:color w:val="000000"/>
          <w:u w:val="single"/>
          <w:lang w:eastAsia="bg-BG"/>
        </w:rPr>
        <w:t>Нарушения на нервната система</w:t>
      </w:r>
    </w:p>
    <w:p w14:paraId="6A41A27E" w14:textId="77777777" w:rsidR="003813FF" w:rsidRPr="003813FF" w:rsidRDefault="003813FF" w:rsidP="003813FF">
      <w:pPr>
        <w:spacing w:line="240" w:lineRule="auto"/>
        <w:rPr>
          <w:rFonts w:eastAsia="Times New Roman" w:cs="Arial"/>
          <w:lang w:eastAsia="bg-BG"/>
        </w:rPr>
      </w:pPr>
      <w:r w:rsidRPr="003813FF">
        <w:rPr>
          <w:rFonts w:eastAsia="Times New Roman" w:cs="Arial"/>
          <w:color w:val="000000"/>
          <w:lang w:eastAsia="bg-BG"/>
        </w:rPr>
        <w:t>Възможна е появата на главоболие. Честотата не е известна.</w:t>
      </w:r>
    </w:p>
    <w:p w14:paraId="7303A8CB" w14:textId="77777777" w:rsidR="003813FF" w:rsidRPr="003813FF" w:rsidRDefault="003813FF" w:rsidP="003813FF">
      <w:pPr>
        <w:spacing w:line="240" w:lineRule="auto"/>
        <w:rPr>
          <w:rFonts w:eastAsia="Times New Roman" w:cs="Arial"/>
          <w:lang w:eastAsia="bg-BG"/>
        </w:rPr>
      </w:pPr>
      <w:r w:rsidRPr="003813FF">
        <w:rPr>
          <w:rFonts w:eastAsia="Times New Roman" w:cs="Arial"/>
          <w:color w:val="000000"/>
          <w:lang w:eastAsia="bg-BG"/>
        </w:rPr>
        <w:t>При поява на други нежелани реакции, неописани по-горе, трябва да се потърси консултация с лекар или фармацевт.</w:t>
      </w:r>
    </w:p>
    <w:p w14:paraId="2AA1593C" w14:textId="77777777" w:rsidR="003813FF" w:rsidRDefault="003813FF" w:rsidP="003813FF">
      <w:pPr>
        <w:spacing w:line="240" w:lineRule="auto"/>
        <w:rPr>
          <w:rFonts w:eastAsia="Times New Roman" w:cs="Arial"/>
          <w:color w:val="000000"/>
          <w:u w:val="single"/>
          <w:lang w:eastAsia="bg-BG"/>
        </w:rPr>
      </w:pPr>
    </w:p>
    <w:p w14:paraId="6E6F5899" w14:textId="2EE1E1D4" w:rsidR="003813FF" w:rsidRPr="003813FF" w:rsidRDefault="003813FF" w:rsidP="003813FF">
      <w:pPr>
        <w:spacing w:line="240" w:lineRule="auto"/>
        <w:rPr>
          <w:rFonts w:eastAsia="Times New Roman" w:cs="Arial"/>
          <w:lang w:eastAsia="bg-BG"/>
        </w:rPr>
      </w:pPr>
      <w:r w:rsidRPr="003813FF">
        <w:rPr>
          <w:rFonts w:eastAsia="Times New Roman" w:cs="Arial"/>
          <w:color w:val="000000"/>
          <w:u w:val="single"/>
          <w:lang w:eastAsia="bg-BG"/>
        </w:rPr>
        <w:t>Съобщаване на подозирани нежелани реакции</w:t>
      </w:r>
    </w:p>
    <w:p w14:paraId="40A6D24E" w14:textId="77777777" w:rsidR="003813FF" w:rsidRPr="003813FF" w:rsidRDefault="003813FF" w:rsidP="003813FF">
      <w:pPr>
        <w:spacing w:line="240" w:lineRule="auto"/>
        <w:rPr>
          <w:rFonts w:eastAsia="Times New Roman" w:cs="Arial"/>
          <w:lang w:eastAsia="bg-BG"/>
        </w:rPr>
      </w:pPr>
      <w:r w:rsidRPr="003813FF">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национална система за съобщаване:</w:t>
      </w:r>
    </w:p>
    <w:p w14:paraId="5927AB3A" w14:textId="77777777" w:rsidR="003813FF" w:rsidRDefault="003813FF" w:rsidP="003813FF">
      <w:pPr>
        <w:spacing w:line="240" w:lineRule="auto"/>
        <w:rPr>
          <w:rFonts w:eastAsia="Times New Roman" w:cs="Arial"/>
          <w:color w:val="000000"/>
          <w:lang w:eastAsia="bg-BG"/>
        </w:rPr>
      </w:pPr>
    </w:p>
    <w:p w14:paraId="62E7F793" w14:textId="7811AD06" w:rsidR="003813FF" w:rsidRDefault="003813FF" w:rsidP="003813FF">
      <w:pPr>
        <w:spacing w:line="240" w:lineRule="auto"/>
        <w:rPr>
          <w:rFonts w:eastAsia="Times New Roman" w:cs="Arial"/>
          <w:color w:val="000000"/>
          <w:lang w:eastAsia="bg-BG"/>
        </w:rPr>
      </w:pPr>
      <w:r w:rsidRPr="003813FF">
        <w:rPr>
          <w:rFonts w:eastAsia="Times New Roman" w:cs="Arial"/>
          <w:color w:val="000000"/>
          <w:lang w:eastAsia="bg-BG"/>
        </w:rPr>
        <w:t xml:space="preserve">Изпълнителна агенция </w:t>
      </w:r>
      <w:r w:rsidRPr="003813FF">
        <w:rPr>
          <w:rFonts w:eastAsia="Times New Roman" w:cs="Arial"/>
          <w:color w:val="000000"/>
          <w:u w:val="single"/>
          <w:lang w:eastAsia="bg-BG"/>
        </w:rPr>
        <w:t>по лекар</w:t>
      </w:r>
      <w:r w:rsidRPr="003813FF">
        <w:rPr>
          <w:rFonts w:eastAsia="Times New Roman" w:cs="Arial"/>
          <w:color w:val="000000"/>
          <w:lang w:eastAsia="bg-BG"/>
        </w:rPr>
        <w:t xml:space="preserve">ствата </w:t>
      </w:r>
    </w:p>
    <w:p w14:paraId="5ADEC364" w14:textId="412927C8" w:rsidR="003813FF" w:rsidRPr="003813FF" w:rsidRDefault="003813FF" w:rsidP="003813FF">
      <w:pPr>
        <w:spacing w:line="240" w:lineRule="auto"/>
        <w:rPr>
          <w:rFonts w:eastAsia="Times New Roman" w:cs="Arial"/>
          <w:lang w:eastAsia="bg-BG"/>
        </w:rPr>
      </w:pPr>
      <w:r w:rsidRPr="003813FF">
        <w:rPr>
          <w:rFonts w:eastAsia="Times New Roman" w:cs="Arial"/>
          <w:color w:val="000000"/>
          <w:lang w:eastAsia="bg-BG"/>
        </w:rPr>
        <w:t>ул. „Дамян Груев” № 8</w:t>
      </w:r>
    </w:p>
    <w:p w14:paraId="2EFAB0FD" w14:textId="77777777" w:rsidR="003813FF" w:rsidRPr="003813FF" w:rsidRDefault="003813FF" w:rsidP="003813FF">
      <w:pPr>
        <w:spacing w:line="240" w:lineRule="auto"/>
        <w:rPr>
          <w:rFonts w:eastAsia="Times New Roman" w:cs="Arial"/>
          <w:lang w:eastAsia="bg-BG"/>
        </w:rPr>
      </w:pPr>
      <w:r w:rsidRPr="003813FF">
        <w:rPr>
          <w:rFonts w:eastAsia="Times New Roman" w:cs="Arial"/>
          <w:color w:val="000000"/>
          <w:lang w:eastAsia="bg-BG"/>
        </w:rPr>
        <w:t>1303 София</w:t>
      </w:r>
    </w:p>
    <w:p w14:paraId="2B1AE0A7" w14:textId="77777777" w:rsidR="003813FF" w:rsidRDefault="003813FF" w:rsidP="003813FF">
      <w:pPr>
        <w:spacing w:line="240" w:lineRule="auto"/>
        <w:rPr>
          <w:rFonts w:eastAsia="Times New Roman" w:cs="Arial"/>
          <w:color w:val="000000"/>
          <w:lang w:eastAsia="bg-BG"/>
        </w:rPr>
      </w:pPr>
      <w:r w:rsidRPr="003813FF">
        <w:rPr>
          <w:rFonts w:eastAsia="Times New Roman" w:cs="Arial"/>
          <w:color w:val="000000"/>
          <w:lang w:eastAsia="bg-BG"/>
        </w:rPr>
        <w:t xml:space="preserve">Тел.:+359 28903417 </w:t>
      </w:r>
    </w:p>
    <w:p w14:paraId="6264B5B2" w14:textId="0AE916C3" w:rsidR="003813FF" w:rsidRPr="003813FF" w:rsidRDefault="003813FF" w:rsidP="003813FF">
      <w:pPr>
        <w:spacing w:line="240" w:lineRule="auto"/>
        <w:rPr>
          <w:rFonts w:eastAsia="Times New Roman" w:cs="Arial"/>
          <w:lang w:eastAsia="bg-BG"/>
        </w:rPr>
      </w:pPr>
      <w:r w:rsidRPr="003813FF">
        <w:rPr>
          <w:rFonts w:eastAsia="Times New Roman" w:cs="Arial"/>
          <w:color w:val="000000"/>
          <w:lang w:eastAsia="bg-BG"/>
        </w:rPr>
        <w:t xml:space="preserve">уебсайт: </w:t>
      </w:r>
      <w:r w:rsidRPr="003813FF">
        <w:rPr>
          <w:rFonts w:eastAsia="Times New Roman" w:cs="Arial"/>
          <w:lang w:eastAsia="bg-BG"/>
        </w:rPr>
        <w:fldChar w:fldCharType="begin"/>
      </w:r>
      <w:r w:rsidRPr="003813FF">
        <w:rPr>
          <w:rFonts w:eastAsia="Times New Roman" w:cs="Arial"/>
          <w:lang w:eastAsia="bg-BG"/>
        </w:rPr>
        <w:instrText xml:space="preserve"> HYPERLINK "http://www.bda.bg" </w:instrText>
      </w:r>
      <w:r w:rsidRPr="003813FF">
        <w:rPr>
          <w:rFonts w:eastAsia="Times New Roman" w:cs="Arial"/>
          <w:lang w:eastAsia="bg-BG"/>
        </w:rPr>
      </w:r>
      <w:r w:rsidRPr="003813FF">
        <w:rPr>
          <w:rFonts w:eastAsia="Times New Roman" w:cs="Arial"/>
          <w:lang w:eastAsia="bg-BG"/>
        </w:rPr>
        <w:fldChar w:fldCharType="separate"/>
      </w:r>
      <w:r w:rsidRPr="003813FF">
        <w:rPr>
          <w:rFonts w:eastAsia="Times New Roman" w:cs="Arial"/>
          <w:color w:val="000000"/>
          <w:lang w:val="en-US"/>
        </w:rPr>
        <w:t>www.bda.bg</w:t>
      </w:r>
      <w:r w:rsidRPr="003813FF">
        <w:rPr>
          <w:rFonts w:eastAsia="Times New Roman" w:cs="Arial"/>
          <w:lang w:eastAsia="bg-BG"/>
        </w:rPr>
        <w:fldChar w:fldCharType="end"/>
      </w:r>
    </w:p>
    <w:p w14:paraId="2A7B5351" w14:textId="77777777" w:rsidR="003813FF" w:rsidRPr="003813FF" w:rsidRDefault="003813FF" w:rsidP="003813FF"/>
    <w:p w14:paraId="378A0F20" w14:textId="61E0A736" w:rsidR="001D095A" w:rsidRDefault="002C50EE" w:rsidP="00340E8D">
      <w:pPr>
        <w:pStyle w:val="Heading2"/>
      </w:pPr>
      <w:r>
        <w:t>4.9. Предозиране</w:t>
      </w:r>
    </w:p>
    <w:p w14:paraId="027BA5FA" w14:textId="5C9B15C0" w:rsidR="003813FF" w:rsidRDefault="003813FF" w:rsidP="003813FF"/>
    <w:p w14:paraId="449E4DDB" w14:textId="57E95194" w:rsidR="003813FF" w:rsidRPr="003813FF" w:rsidRDefault="003813FF" w:rsidP="003813FF">
      <w:pPr>
        <w:rPr>
          <w:sz w:val="24"/>
          <w:szCs w:val="24"/>
          <w:lang w:eastAsia="bg-BG"/>
        </w:rPr>
      </w:pPr>
      <w:r w:rsidRPr="003813FF">
        <w:rPr>
          <w:lang w:eastAsia="bg-BG"/>
        </w:rPr>
        <w:t>Досега няма описани случаи на предозиране с Простамол уно.</w:t>
      </w:r>
    </w:p>
    <w:p w14:paraId="02081B24" w14:textId="36FE76F4" w:rsidR="00395555" w:rsidRPr="00395555" w:rsidRDefault="002C50EE" w:rsidP="008A6AF2">
      <w:pPr>
        <w:pStyle w:val="Heading1"/>
      </w:pPr>
      <w:r>
        <w:t>5. ФАРМАКОЛОГИЧНИ СВОЙСТВА</w:t>
      </w:r>
    </w:p>
    <w:p w14:paraId="7F6CC5E1" w14:textId="07505410" w:rsidR="00F62E44" w:rsidRDefault="002C50EE" w:rsidP="00387A66">
      <w:pPr>
        <w:pStyle w:val="Heading2"/>
      </w:pPr>
      <w:r>
        <w:t>5.1. Фармакодинамични свойства</w:t>
      </w:r>
    </w:p>
    <w:p w14:paraId="2FB59C04" w14:textId="652F13C0" w:rsidR="003813FF" w:rsidRDefault="003813FF" w:rsidP="003813FF"/>
    <w:p w14:paraId="365AF6E8" w14:textId="77777777" w:rsidR="003813FF" w:rsidRPr="003813FF" w:rsidRDefault="003813FF" w:rsidP="003813FF">
      <w:pPr>
        <w:spacing w:line="240" w:lineRule="auto"/>
        <w:rPr>
          <w:rFonts w:eastAsia="Times New Roman" w:cs="Arial"/>
          <w:lang w:eastAsia="bg-BG"/>
        </w:rPr>
      </w:pPr>
      <w:r w:rsidRPr="003813FF">
        <w:rPr>
          <w:rFonts w:eastAsia="Times New Roman" w:cs="Arial"/>
          <w:color w:val="000000"/>
          <w:lang w:eastAsia="bg-BG"/>
        </w:rPr>
        <w:t>Фармакотерапевтична група: урологични средства, лекарства, използвани при доброкачествена хипертрофия на простатата</w:t>
      </w:r>
    </w:p>
    <w:p w14:paraId="5ABEE232" w14:textId="77777777" w:rsidR="003813FF" w:rsidRPr="003813FF" w:rsidRDefault="003813FF" w:rsidP="003813FF">
      <w:pPr>
        <w:spacing w:line="240" w:lineRule="auto"/>
        <w:rPr>
          <w:rFonts w:eastAsia="Times New Roman" w:cs="Arial"/>
          <w:lang w:eastAsia="bg-BG"/>
        </w:rPr>
      </w:pPr>
      <w:r w:rsidRPr="003813FF">
        <w:rPr>
          <w:rFonts w:eastAsia="Times New Roman" w:cs="Arial"/>
          <w:color w:val="000000"/>
          <w:lang w:eastAsia="bg-BG"/>
        </w:rPr>
        <w:t xml:space="preserve">АТС код: </w:t>
      </w:r>
      <w:r w:rsidRPr="003813FF">
        <w:rPr>
          <w:rFonts w:eastAsia="Times New Roman" w:cs="Arial"/>
          <w:color w:val="000000"/>
          <w:lang w:val="en-US"/>
        </w:rPr>
        <w:t>G04CX02</w:t>
      </w:r>
    </w:p>
    <w:p w14:paraId="62D49F27" w14:textId="77777777" w:rsidR="003813FF" w:rsidRDefault="003813FF" w:rsidP="003813FF">
      <w:pPr>
        <w:spacing w:line="240" w:lineRule="auto"/>
        <w:rPr>
          <w:rFonts w:eastAsia="Times New Roman" w:cs="Arial"/>
          <w:color w:val="000000"/>
          <w:lang w:eastAsia="bg-BG"/>
        </w:rPr>
      </w:pPr>
    </w:p>
    <w:p w14:paraId="67F86FAE" w14:textId="07144CA5" w:rsidR="003813FF" w:rsidRPr="003813FF" w:rsidRDefault="003813FF" w:rsidP="003813FF">
      <w:pPr>
        <w:spacing w:line="240" w:lineRule="auto"/>
        <w:rPr>
          <w:rFonts w:eastAsia="Times New Roman" w:cs="Arial"/>
          <w:lang w:eastAsia="bg-BG"/>
        </w:rPr>
      </w:pPr>
      <w:r w:rsidRPr="003813FF">
        <w:rPr>
          <w:rFonts w:eastAsia="Times New Roman" w:cs="Arial"/>
          <w:color w:val="000000"/>
          <w:lang w:eastAsia="bg-BG"/>
        </w:rPr>
        <w:t xml:space="preserve">Повишеното образуване на андрогена дихидротестостерон </w:t>
      </w:r>
      <w:r w:rsidRPr="003813FF">
        <w:rPr>
          <w:rFonts w:eastAsia="Times New Roman" w:cs="Arial"/>
          <w:color w:val="000000"/>
          <w:lang w:val="en-US"/>
        </w:rPr>
        <w:t xml:space="preserve">(DHT) </w:t>
      </w:r>
      <w:r w:rsidRPr="003813FF">
        <w:rPr>
          <w:rFonts w:eastAsia="Times New Roman" w:cs="Arial"/>
          <w:color w:val="000000"/>
          <w:lang w:eastAsia="bg-BG"/>
        </w:rPr>
        <w:t xml:space="preserve">има основно значение за етиологията на доброкачествената хиперплазия на простатата. </w:t>
      </w:r>
      <w:r w:rsidRPr="003813FF">
        <w:rPr>
          <w:rFonts w:eastAsia="Times New Roman" w:cs="Arial"/>
          <w:color w:val="000000"/>
          <w:lang w:val="en-US"/>
        </w:rPr>
        <w:t xml:space="preserve">DHT </w:t>
      </w:r>
      <w:r w:rsidRPr="003813FF">
        <w:rPr>
          <w:rFonts w:eastAsia="Times New Roman" w:cs="Arial"/>
          <w:color w:val="000000"/>
          <w:lang w:eastAsia="bg-BG"/>
        </w:rPr>
        <w:t xml:space="preserve">индуцира растежа на тъканите на простатата, като се свързва с цитозолните андрогенни рецептори. </w:t>
      </w:r>
      <w:r w:rsidRPr="003813FF">
        <w:rPr>
          <w:rFonts w:eastAsia="Times New Roman" w:cs="Arial"/>
          <w:color w:val="000000"/>
          <w:lang w:val="en-US"/>
        </w:rPr>
        <w:t xml:space="preserve">DHT </w:t>
      </w:r>
      <w:r w:rsidRPr="003813FF">
        <w:rPr>
          <w:rFonts w:eastAsia="Times New Roman" w:cs="Arial"/>
          <w:color w:val="000000"/>
          <w:lang w:eastAsia="bg-BG"/>
        </w:rPr>
        <w:t>се получава от тестостерон, чрез активиране на ензима 5-</w:t>
      </w:r>
      <w:r w:rsidR="00CB0C7C" w:rsidRPr="00CB0C7C">
        <w:rPr>
          <w:rFonts w:eastAsia="Times New Roman" w:cs="Arial"/>
          <w:color w:val="000000"/>
          <w:lang w:eastAsia="bg-BG"/>
        </w:rPr>
        <w:t>α</w:t>
      </w:r>
      <w:r w:rsidRPr="003813FF">
        <w:rPr>
          <w:rFonts w:eastAsia="Times New Roman" w:cs="Arial"/>
          <w:color w:val="000000"/>
          <w:lang w:eastAsia="bg-BG"/>
        </w:rPr>
        <w:t xml:space="preserve">-редуктаза. Счита се, че начинът на действие на екстракта от плодовете на Сереноа репенс е оказване на антиандрогенен ефект. Екстрактът от плодовете на Сереноа репенс блокира свързването на </w:t>
      </w:r>
      <w:r w:rsidRPr="003813FF">
        <w:rPr>
          <w:rFonts w:eastAsia="Times New Roman" w:cs="Arial"/>
          <w:color w:val="000000"/>
          <w:lang w:val="en-US"/>
        </w:rPr>
        <w:t xml:space="preserve">DHT </w:t>
      </w:r>
      <w:r w:rsidRPr="003813FF">
        <w:rPr>
          <w:rFonts w:eastAsia="Times New Roman" w:cs="Arial"/>
          <w:color w:val="000000"/>
          <w:lang w:eastAsia="bg-BG"/>
        </w:rPr>
        <w:t xml:space="preserve">с рецептора </w:t>
      </w:r>
      <w:r w:rsidRPr="003813FF">
        <w:rPr>
          <w:rFonts w:eastAsia="Times New Roman" w:cs="Arial"/>
          <w:i/>
          <w:iCs/>
          <w:color w:val="000000"/>
          <w:lang w:eastAsia="bg-BG"/>
        </w:rPr>
        <w:t>и</w:t>
      </w:r>
      <w:r w:rsidRPr="003813FF">
        <w:rPr>
          <w:rFonts w:eastAsia="Times New Roman" w:cs="Arial"/>
          <w:color w:val="000000"/>
          <w:lang w:eastAsia="bg-BG"/>
        </w:rPr>
        <w:t xml:space="preserve"> инхибира активността на 5-α-редуктазата.</w:t>
      </w:r>
    </w:p>
    <w:p w14:paraId="5F249098" w14:textId="77777777" w:rsidR="003813FF" w:rsidRDefault="003813FF" w:rsidP="003813FF">
      <w:pPr>
        <w:spacing w:line="240" w:lineRule="auto"/>
        <w:rPr>
          <w:rFonts w:eastAsia="Times New Roman" w:cs="Arial"/>
          <w:color w:val="000000"/>
          <w:lang w:eastAsia="bg-BG"/>
        </w:rPr>
      </w:pPr>
    </w:p>
    <w:p w14:paraId="50F63510" w14:textId="77777777" w:rsidR="00CB0C7C" w:rsidRDefault="003813FF" w:rsidP="003813FF">
      <w:pPr>
        <w:spacing w:line="240" w:lineRule="auto"/>
        <w:rPr>
          <w:rFonts w:eastAsia="Times New Roman" w:cs="Arial"/>
          <w:color w:val="000000"/>
          <w:lang w:eastAsia="bg-BG"/>
        </w:rPr>
      </w:pPr>
      <w:r w:rsidRPr="003813FF">
        <w:rPr>
          <w:rFonts w:eastAsia="Times New Roman" w:cs="Arial"/>
          <w:color w:val="000000"/>
          <w:lang w:eastAsia="bg-BG"/>
        </w:rPr>
        <w:t xml:space="preserve">Други фактори, които могат да имат значение за инхибирането растежа на простатата, са: </w:t>
      </w:r>
    </w:p>
    <w:p w14:paraId="62C2A67D" w14:textId="77777777" w:rsidR="00CB0C7C" w:rsidRPr="00CB0C7C" w:rsidRDefault="003813FF" w:rsidP="00CB0C7C">
      <w:pPr>
        <w:pStyle w:val="ListParagraph"/>
        <w:numPr>
          <w:ilvl w:val="0"/>
          <w:numId w:val="40"/>
        </w:numPr>
        <w:spacing w:line="240" w:lineRule="auto"/>
        <w:rPr>
          <w:rFonts w:eastAsia="Times New Roman" w:cs="Arial"/>
          <w:lang w:eastAsia="bg-BG"/>
        </w:rPr>
      </w:pPr>
      <w:r w:rsidRPr="00CB0C7C">
        <w:rPr>
          <w:rFonts w:eastAsia="Times New Roman" w:cs="Arial"/>
          <w:color w:val="000000"/>
          <w:lang w:eastAsia="bg-BG"/>
        </w:rPr>
        <w:t>инхибиране свързването с рецепторите за пролактин и потискане процесите на сигнална трансмисия;</w:t>
      </w:r>
    </w:p>
    <w:p w14:paraId="7A79D43D" w14:textId="77777777" w:rsidR="00CB0C7C" w:rsidRPr="00CB0C7C" w:rsidRDefault="00CB0C7C" w:rsidP="00CB0C7C">
      <w:pPr>
        <w:pStyle w:val="ListParagraph"/>
        <w:numPr>
          <w:ilvl w:val="0"/>
          <w:numId w:val="40"/>
        </w:numPr>
        <w:spacing w:line="240" w:lineRule="auto"/>
        <w:rPr>
          <w:rFonts w:eastAsia="Times New Roman" w:cs="Arial"/>
          <w:lang w:eastAsia="bg-BG"/>
        </w:rPr>
      </w:pPr>
      <w:r w:rsidRPr="00CB0C7C">
        <w:rPr>
          <w:lang w:eastAsia="bg-BG"/>
        </w:rPr>
        <w:t>противовъзпалителен ефект в резултат на инхибиране на 5-липооксигеназата;</w:t>
      </w:r>
    </w:p>
    <w:p w14:paraId="0C65E0F7" w14:textId="77777777" w:rsidR="00CB0C7C" w:rsidRPr="00CB0C7C" w:rsidRDefault="00CB0C7C" w:rsidP="00CB0C7C">
      <w:pPr>
        <w:pStyle w:val="ListParagraph"/>
        <w:numPr>
          <w:ilvl w:val="0"/>
          <w:numId w:val="40"/>
        </w:numPr>
        <w:spacing w:line="240" w:lineRule="auto"/>
        <w:rPr>
          <w:rFonts w:eastAsia="Times New Roman" w:cs="Arial"/>
          <w:lang w:eastAsia="bg-BG"/>
        </w:rPr>
      </w:pPr>
      <w:r w:rsidRPr="00CB0C7C">
        <w:rPr>
          <w:lang w:eastAsia="bg-BG"/>
        </w:rPr>
        <w:t>потискане на пролиферацията на епителните клетки на простатата;</w:t>
      </w:r>
    </w:p>
    <w:p w14:paraId="324EF5D3" w14:textId="6C0163FD" w:rsidR="00CB0C7C" w:rsidRPr="00CB0C7C" w:rsidRDefault="00CB0C7C" w:rsidP="00CB0C7C">
      <w:pPr>
        <w:pStyle w:val="ListParagraph"/>
        <w:numPr>
          <w:ilvl w:val="0"/>
          <w:numId w:val="40"/>
        </w:numPr>
        <w:spacing w:line="240" w:lineRule="auto"/>
        <w:rPr>
          <w:rFonts w:eastAsia="Times New Roman" w:cs="Arial"/>
          <w:lang w:eastAsia="bg-BG"/>
        </w:rPr>
      </w:pPr>
      <w:r w:rsidRPr="00CB0C7C">
        <w:rPr>
          <w:lang w:eastAsia="bg-BG"/>
        </w:rPr>
        <w:t>противооточно действие.</w:t>
      </w:r>
    </w:p>
    <w:p w14:paraId="721DC1BB" w14:textId="77777777" w:rsidR="00CB0C7C" w:rsidRDefault="00CB0C7C" w:rsidP="00CB0C7C">
      <w:pPr>
        <w:rPr>
          <w:lang w:eastAsia="bg-BG"/>
        </w:rPr>
      </w:pPr>
    </w:p>
    <w:p w14:paraId="1A397A78" w14:textId="3B74278B" w:rsidR="00CB0C7C" w:rsidRPr="00CB0C7C" w:rsidRDefault="00CB0C7C" w:rsidP="00CB0C7C">
      <w:pPr>
        <w:rPr>
          <w:sz w:val="24"/>
          <w:szCs w:val="24"/>
          <w:lang w:eastAsia="bg-BG"/>
        </w:rPr>
      </w:pPr>
      <w:r w:rsidRPr="00CB0C7C">
        <w:rPr>
          <w:lang w:eastAsia="bg-BG"/>
        </w:rPr>
        <w:t>Простамол уно не нарушава сексуалната функция.</w:t>
      </w:r>
    </w:p>
    <w:p w14:paraId="6E3614A0" w14:textId="77777777" w:rsidR="00CB0C7C" w:rsidRPr="003813FF" w:rsidRDefault="00CB0C7C" w:rsidP="003813FF"/>
    <w:p w14:paraId="544FFDAF" w14:textId="7A9E12A6" w:rsidR="00F62E44" w:rsidRDefault="002C50EE" w:rsidP="00387A66">
      <w:pPr>
        <w:pStyle w:val="Heading2"/>
      </w:pPr>
      <w:r>
        <w:t>5.2. Фармакокинетични свойства</w:t>
      </w:r>
    </w:p>
    <w:p w14:paraId="1D3E63EA" w14:textId="7D8BDA5A" w:rsidR="00CB0C7C" w:rsidRDefault="00CB0C7C" w:rsidP="00CB0C7C"/>
    <w:p w14:paraId="2F761DC3" w14:textId="77777777" w:rsidR="00CB0C7C" w:rsidRPr="00CB0C7C" w:rsidRDefault="00CB0C7C" w:rsidP="00CB0C7C">
      <w:pPr>
        <w:rPr>
          <w:sz w:val="24"/>
          <w:szCs w:val="24"/>
          <w:lang w:eastAsia="bg-BG"/>
        </w:rPr>
      </w:pPr>
      <w:r w:rsidRPr="00CB0C7C">
        <w:rPr>
          <w:lang w:eastAsia="bg-BG"/>
        </w:rPr>
        <w:t>Екстрактът от плодовете на Сереноа репенс се резорбира бързо. След перорално приложение, максимална плазмена концентрация се достига след около 1,5 часа. Други фармакокинетични данни засега не са известни. Независимо от това, липсата на тези данни се компенсира от дългогодишния клиничен опит с Простамол уно.</w:t>
      </w:r>
    </w:p>
    <w:p w14:paraId="7944A06F" w14:textId="77777777" w:rsidR="00CB0C7C" w:rsidRPr="00CB0C7C" w:rsidRDefault="00CB0C7C" w:rsidP="00CB0C7C"/>
    <w:p w14:paraId="6925FEB0" w14:textId="361B7AC1" w:rsidR="00F62E44" w:rsidRDefault="002C50EE" w:rsidP="00387A66">
      <w:pPr>
        <w:pStyle w:val="Heading2"/>
      </w:pPr>
      <w:r>
        <w:t>5.3. Предклинични данни за безопасност</w:t>
      </w:r>
    </w:p>
    <w:p w14:paraId="574103CC" w14:textId="743B8019" w:rsidR="00CB0C7C" w:rsidRDefault="00CB0C7C" w:rsidP="00CB0C7C"/>
    <w:p w14:paraId="4D870C53" w14:textId="77777777" w:rsidR="00CB0C7C" w:rsidRPr="00CB0C7C" w:rsidRDefault="00CB0C7C" w:rsidP="00CB0C7C">
      <w:pPr>
        <w:rPr>
          <w:sz w:val="24"/>
          <w:szCs w:val="24"/>
          <w:lang w:eastAsia="bg-BG"/>
        </w:rPr>
      </w:pPr>
      <w:r w:rsidRPr="00CB0C7C">
        <w:rPr>
          <w:lang w:eastAsia="bg-BG"/>
        </w:rPr>
        <w:t>При опити с животни, след еднократно или многократно приложение не са наблюдавани симптоми на интоксикация. Неклиничните данни не показват особен риск за хора въз основа на конвенционални проучвания за фармакологична безопасност, токсичност при многократно приложение, генотоксичност, канцерогенен потенциал и репродуктивна токсичност.</w:t>
      </w:r>
    </w:p>
    <w:p w14:paraId="29AE3ADE" w14:textId="77777777" w:rsidR="00CB0C7C" w:rsidRPr="00CB0C7C" w:rsidRDefault="00CB0C7C" w:rsidP="00CB0C7C"/>
    <w:p w14:paraId="357049A8" w14:textId="5B91AEF2" w:rsidR="00BB22B4" w:rsidRDefault="002C50EE" w:rsidP="00471F10">
      <w:pPr>
        <w:pStyle w:val="Heading1"/>
      </w:pPr>
      <w:r>
        <w:lastRenderedPageBreak/>
        <w:t>7. ПРИТЕЖАТЕЛ НА РАЗРЕШЕНИЕТО ЗА УПОТРЕБА</w:t>
      </w:r>
    </w:p>
    <w:p w14:paraId="7EF161E9" w14:textId="0D462C59" w:rsidR="00CB0C7C" w:rsidRDefault="00CB0C7C" w:rsidP="00CB0C7C"/>
    <w:p w14:paraId="3AA069D1" w14:textId="77777777" w:rsidR="00CB0C7C" w:rsidRPr="00CB0C7C" w:rsidRDefault="00CB0C7C" w:rsidP="00CB0C7C">
      <w:pPr>
        <w:rPr>
          <w:sz w:val="24"/>
          <w:szCs w:val="24"/>
          <w:lang w:val="en-US" w:eastAsia="bg-BG"/>
        </w:rPr>
      </w:pPr>
      <w:r w:rsidRPr="00CB0C7C">
        <w:rPr>
          <w:lang w:val="en-US"/>
        </w:rPr>
        <w:t>BERLIN-CHEMIE AG (MENARINI GROUP)</w:t>
      </w:r>
    </w:p>
    <w:p w14:paraId="3708398A" w14:textId="77777777" w:rsidR="00CB0C7C" w:rsidRPr="00CB0C7C" w:rsidRDefault="00CB0C7C" w:rsidP="00CB0C7C">
      <w:pPr>
        <w:rPr>
          <w:sz w:val="24"/>
          <w:szCs w:val="24"/>
          <w:lang w:val="en-US" w:eastAsia="bg-BG"/>
        </w:rPr>
      </w:pPr>
      <w:proofErr w:type="spellStart"/>
      <w:r w:rsidRPr="00CB0C7C">
        <w:rPr>
          <w:lang w:val="en-US"/>
        </w:rPr>
        <w:t>Glienicker</w:t>
      </w:r>
      <w:proofErr w:type="spellEnd"/>
      <w:r w:rsidRPr="00CB0C7C">
        <w:rPr>
          <w:lang w:val="en-US"/>
        </w:rPr>
        <w:t xml:space="preserve"> </w:t>
      </w:r>
      <w:proofErr w:type="spellStart"/>
      <w:r w:rsidRPr="00CB0C7C">
        <w:rPr>
          <w:lang w:val="en-US"/>
        </w:rPr>
        <w:t>Weg</w:t>
      </w:r>
      <w:proofErr w:type="spellEnd"/>
      <w:r w:rsidRPr="00CB0C7C">
        <w:rPr>
          <w:lang w:val="en-US"/>
        </w:rPr>
        <w:t xml:space="preserve"> </w:t>
      </w:r>
      <w:r w:rsidRPr="00CB0C7C">
        <w:rPr>
          <w:lang w:eastAsia="bg-BG"/>
        </w:rPr>
        <w:t>125</w:t>
      </w:r>
    </w:p>
    <w:p w14:paraId="581FF9D1" w14:textId="519428F7" w:rsidR="00CB0C7C" w:rsidRPr="00CB0C7C" w:rsidRDefault="00CB0C7C" w:rsidP="00CB0C7C">
      <w:r w:rsidRPr="00CB0C7C">
        <w:rPr>
          <w:lang w:eastAsia="bg-BG"/>
        </w:rPr>
        <w:t xml:space="preserve">12489 </w:t>
      </w:r>
      <w:r w:rsidRPr="00CB0C7C">
        <w:rPr>
          <w:lang w:val="en-US"/>
        </w:rPr>
        <w:t xml:space="preserve">Berlin, </w:t>
      </w:r>
      <w:r w:rsidRPr="00CB0C7C">
        <w:rPr>
          <w:lang w:eastAsia="bg-BG"/>
        </w:rPr>
        <w:t>Германия</w:t>
      </w:r>
    </w:p>
    <w:p w14:paraId="0A53321D" w14:textId="719AF5AE" w:rsidR="00EE6C97" w:rsidRDefault="00936AD0" w:rsidP="00A93499">
      <w:pPr>
        <w:pStyle w:val="Heading1"/>
      </w:pPr>
      <w:r>
        <w:t>8.</w:t>
      </w:r>
      <w:r w:rsidR="002C50EE">
        <w:t>НОМЕР НА РАЗРЕШЕНИЕТО ЗА УПОТРЕБА</w:t>
      </w:r>
    </w:p>
    <w:p w14:paraId="60D005CD" w14:textId="277B7166" w:rsidR="00CB0C7C" w:rsidRDefault="00CB0C7C" w:rsidP="00CB0C7C"/>
    <w:p w14:paraId="45BA2D6C" w14:textId="2D48A3DF" w:rsidR="00CB0C7C" w:rsidRPr="00CB0C7C" w:rsidRDefault="00CB0C7C" w:rsidP="00CB0C7C">
      <w:r>
        <w:t>20000410</w:t>
      </w:r>
    </w:p>
    <w:p w14:paraId="7C2688F5" w14:textId="6D610EDF" w:rsidR="00F62E44" w:rsidRDefault="00F62E44" w:rsidP="00F62E44"/>
    <w:p w14:paraId="00481C21" w14:textId="53197879" w:rsidR="00F62E44" w:rsidRDefault="002C50EE" w:rsidP="00387A66">
      <w:pPr>
        <w:pStyle w:val="Heading1"/>
      </w:pPr>
      <w:r>
        <w:t>9. ДАТА НА ПЪРВО РАЗРЕШАВАНЕ/ПОДНОВЯВАНЕ НА РАЗРЕШЕНИЕТО ЗА УПОТРЕБА</w:t>
      </w:r>
    </w:p>
    <w:p w14:paraId="132FA5B5" w14:textId="25F4CBE0" w:rsidR="00CB0C7C" w:rsidRDefault="00CB0C7C" w:rsidP="00CB0C7C"/>
    <w:p w14:paraId="63467FDA" w14:textId="77777777" w:rsidR="00CB0C7C" w:rsidRPr="00CB0C7C" w:rsidRDefault="00CB0C7C" w:rsidP="00CB0C7C">
      <w:pPr>
        <w:rPr>
          <w:sz w:val="24"/>
          <w:szCs w:val="24"/>
          <w:lang w:eastAsia="bg-BG"/>
        </w:rPr>
      </w:pPr>
      <w:r w:rsidRPr="00CB0C7C">
        <w:rPr>
          <w:lang w:eastAsia="bg-BG"/>
        </w:rPr>
        <w:t>Дата на първо разрешаване: 29.12.1999 г.</w:t>
      </w:r>
    </w:p>
    <w:p w14:paraId="3B3E0FEA" w14:textId="22A3BA18" w:rsidR="00CB0C7C" w:rsidRPr="00CB0C7C" w:rsidRDefault="00CB0C7C" w:rsidP="00CB0C7C">
      <w:r w:rsidRPr="00CB0C7C">
        <w:rPr>
          <w:lang w:eastAsia="bg-BG"/>
        </w:rPr>
        <w:t>Дата на последно подновяване: 16.06.2010 г.</w:t>
      </w:r>
    </w:p>
    <w:p w14:paraId="43FB38A2" w14:textId="0C18A683" w:rsidR="007C605B" w:rsidRDefault="002C50EE" w:rsidP="005726E3">
      <w:pPr>
        <w:pStyle w:val="Heading1"/>
      </w:pPr>
      <w:r>
        <w:t>10. ДАТА НА АКТУАЛИЗИРАНЕ НА ТЕКСТА</w:t>
      </w:r>
      <w:bookmarkEnd w:id="0"/>
    </w:p>
    <w:p w14:paraId="472617BD" w14:textId="10734177" w:rsidR="00BB22B4" w:rsidRPr="00BB22B4" w:rsidRDefault="00CB0C7C" w:rsidP="00CB0C7C">
      <w:r>
        <w:t>Октомври, 2019</w:t>
      </w:r>
    </w:p>
    <w:sectPr w:rsidR="00BB22B4" w:rsidRPr="00BB2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6D11E1"/>
    <w:multiLevelType w:val="hybridMultilevel"/>
    <w:tmpl w:val="530EAFF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3"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9304D31"/>
    <w:multiLevelType w:val="hybridMultilevel"/>
    <w:tmpl w:val="558E93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6D37A7"/>
    <w:multiLevelType w:val="hybridMultilevel"/>
    <w:tmpl w:val="46CC86F0"/>
    <w:lvl w:ilvl="0" w:tplc="D1263D34">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5"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E06251"/>
    <w:multiLevelType w:val="hybridMultilevel"/>
    <w:tmpl w:val="1090AE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16cid:durableId="1574118384">
    <w:abstractNumId w:val="31"/>
  </w:num>
  <w:num w:numId="2" w16cid:durableId="1612932146">
    <w:abstractNumId w:val="0"/>
  </w:num>
  <w:num w:numId="3" w16cid:durableId="1810323821">
    <w:abstractNumId w:val="16"/>
  </w:num>
  <w:num w:numId="4" w16cid:durableId="2135319613">
    <w:abstractNumId w:val="3"/>
  </w:num>
  <w:num w:numId="5" w16cid:durableId="740105516">
    <w:abstractNumId w:val="1"/>
  </w:num>
  <w:num w:numId="6" w16cid:durableId="1668363208">
    <w:abstractNumId w:val="20"/>
  </w:num>
  <w:num w:numId="7" w16cid:durableId="1241988161">
    <w:abstractNumId w:val="13"/>
  </w:num>
  <w:num w:numId="8" w16cid:durableId="2102022361">
    <w:abstractNumId w:val="19"/>
  </w:num>
  <w:num w:numId="9" w16cid:durableId="1154613663">
    <w:abstractNumId w:val="2"/>
  </w:num>
  <w:num w:numId="10" w16cid:durableId="1733848127">
    <w:abstractNumId w:val="4"/>
  </w:num>
  <w:num w:numId="11" w16cid:durableId="1861704680">
    <w:abstractNumId w:val="34"/>
  </w:num>
  <w:num w:numId="12" w16cid:durableId="1434934028">
    <w:abstractNumId w:val="17"/>
  </w:num>
  <w:num w:numId="13" w16cid:durableId="479157895">
    <w:abstractNumId w:val="23"/>
  </w:num>
  <w:num w:numId="14" w16cid:durableId="1670476636">
    <w:abstractNumId w:val="15"/>
  </w:num>
  <w:num w:numId="15" w16cid:durableId="1000155783">
    <w:abstractNumId w:val="33"/>
  </w:num>
  <w:num w:numId="16" w16cid:durableId="2056420707">
    <w:abstractNumId w:val="12"/>
  </w:num>
  <w:num w:numId="17" w16cid:durableId="1787119182">
    <w:abstractNumId w:val="28"/>
  </w:num>
  <w:num w:numId="18" w16cid:durableId="722945139">
    <w:abstractNumId w:val="8"/>
  </w:num>
  <w:num w:numId="19" w16cid:durableId="1678728408">
    <w:abstractNumId w:val="30"/>
  </w:num>
  <w:num w:numId="20" w16cid:durableId="1970816657">
    <w:abstractNumId w:val="27"/>
  </w:num>
  <w:num w:numId="21" w16cid:durableId="1531146514">
    <w:abstractNumId w:val="21"/>
  </w:num>
  <w:num w:numId="22" w16cid:durableId="1276465">
    <w:abstractNumId w:val="29"/>
  </w:num>
  <w:num w:numId="23" w16cid:durableId="1624310558">
    <w:abstractNumId w:val="22"/>
  </w:num>
  <w:num w:numId="24" w16cid:durableId="1692877547">
    <w:abstractNumId w:val="9"/>
  </w:num>
  <w:num w:numId="25" w16cid:durableId="50930855">
    <w:abstractNumId w:val="26"/>
  </w:num>
  <w:num w:numId="26" w16cid:durableId="176701536">
    <w:abstractNumId w:val="25"/>
  </w:num>
  <w:num w:numId="27" w16cid:durableId="2050564750">
    <w:abstractNumId w:val="35"/>
  </w:num>
  <w:num w:numId="28" w16cid:durableId="1820733422">
    <w:abstractNumId w:val="6"/>
  </w:num>
  <w:num w:numId="29" w16cid:durableId="973678124">
    <w:abstractNumId w:val="24"/>
  </w:num>
  <w:num w:numId="30" w16cid:durableId="154884452">
    <w:abstractNumId w:val="39"/>
  </w:num>
  <w:num w:numId="31" w16cid:durableId="1053964910">
    <w:abstractNumId w:val="5"/>
  </w:num>
  <w:num w:numId="32" w16cid:durableId="2073575793">
    <w:abstractNumId w:val="37"/>
  </w:num>
  <w:num w:numId="33" w16cid:durableId="1566643170">
    <w:abstractNumId w:val="32"/>
  </w:num>
  <w:num w:numId="34" w16cid:durableId="2060787732">
    <w:abstractNumId w:val="36"/>
  </w:num>
  <w:num w:numId="35" w16cid:durableId="34161354">
    <w:abstractNumId w:val="7"/>
  </w:num>
  <w:num w:numId="36" w16cid:durableId="1976908676">
    <w:abstractNumId w:val="10"/>
  </w:num>
  <w:num w:numId="37" w16cid:durableId="758528303">
    <w:abstractNumId w:val="18"/>
  </w:num>
  <w:num w:numId="38" w16cid:durableId="178396561">
    <w:abstractNumId w:val="38"/>
  </w:num>
  <w:num w:numId="39" w16cid:durableId="934825996">
    <w:abstractNumId w:val="14"/>
  </w:num>
  <w:num w:numId="40" w16cid:durableId="10466848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00"/>
    <w:rsid w:val="00185A46"/>
    <w:rsid w:val="001915B6"/>
    <w:rsid w:val="001A6EBD"/>
    <w:rsid w:val="001D095A"/>
    <w:rsid w:val="001D1B23"/>
    <w:rsid w:val="002B3C38"/>
    <w:rsid w:val="002B4DBB"/>
    <w:rsid w:val="002C50EE"/>
    <w:rsid w:val="00340A0A"/>
    <w:rsid w:val="00340E8D"/>
    <w:rsid w:val="003765DC"/>
    <w:rsid w:val="003813FF"/>
    <w:rsid w:val="00387A66"/>
    <w:rsid w:val="00395555"/>
    <w:rsid w:val="003E3126"/>
    <w:rsid w:val="00426E5F"/>
    <w:rsid w:val="00471F10"/>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C70A2"/>
    <w:rsid w:val="008F7F23"/>
    <w:rsid w:val="00936AD0"/>
    <w:rsid w:val="00954129"/>
    <w:rsid w:val="009773E4"/>
    <w:rsid w:val="009B171C"/>
    <w:rsid w:val="009F1313"/>
    <w:rsid w:val="009F77A4"/>
    <w:rsid w:val="00A20351"/>
    <w:rsid w:val="00A428B7"/>
    <w:rsid w:val="00A65A81"/>
    <w:rsid w:val="00A71DCF"/>
    <w:rsid w:val="00A93499"/>
    <w:rsid w:val="00AA23EC"/>
    <w:rsid w:val="00AC63CE"/>
    <w:rsid w:val="00AE2107"/>
    <w:rsid w:val="00B275A8"/>
    <w:rsid w:val="00B6672E"/>
    <w:rsid w:val="00BA5B74"/>
    <w:rsid w:val="00BB22B4"/>
    <w:rsid w:val="00BF2600"/>
    <w:rsid w:val="00C0049F"/>
    <w:rsid w:val="00C07B84"/>
    <w:rsid w:val="00C33464"/>
    <w:rsid w:val="00C40420"/>
    <w:rsid w:val="00C809A7"/>
    <w:rsid w:val="00C83063"/>
    <w:rsid w:val="00C87E90"/>
    <w:rsid w:val="00CA1B57"/>
    <w:rsid w:val="00CB0C7C"/>
    <w:rsid w:val="00CF77F7"/>
    <w:rsid w:val="00D86297"/>
    <w:rsid w:val="00DB32D3"/>
    <w:rsid w:val="00DD466D"/>
    <w:rsid w:val="00E9184E"/>
    <w:rsid w:val="00EB6364"/>
    <w:rsid w:val="00EE6C97"/>
    <w:rsid w:val="00F37B64"/>
    <w:rsid w:val="00F53FB7"/>
    <w:rsid w:val="00F62E4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1046</Words>
  <Characters>5965</Characters>
  <Application>Microsoft Office Word</Application>
  <DocSecurity>0</DocSecurity>
  <Lines>49</Lines>
  <Paragraphs>13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2023-03-07T17:18:00Z</dcterms:created>
  <dcterms:modified xsi:type="dcterms:W3CDTF">2023-03-07T17:18:00Z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