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593FEB13" w:rsidR="00AA23EC" w:rsidRDefault="00DD466D" w:rsidP="00DD466D">
      <w:pPr>
        <w:pStyle w:val="Heading1"/>
      </w:pPr>
      <w:r>
        <w:t>1.ИМЕ НА ЛЕКАРСТВЕНИЯ ПРОДУКТ</w:t>
      </w:r>
    </w:p>
    <w:p w14:paraId="7AB88D38" w14:textId="77777777" w:rsidR="00250EA6" w:rsidRDefault="00250EA6" w:rsidP="00250EA6">
      <w:proofErr w:type="spellStart"/>
      <w:r>
        <w:t>Проставазин</w:t>
      </w:r>
      <w:proofErr w:type="spellEnd"/>
      <w:r>
        <w:t xml:space="preserve"> 20 микрограма прах за </w:t>
      </w:r>
      <w:proofErr w:type="spellStart"/>
      <w:r>
        <w:t>инфузионен</w:t>
      </w:r>
      <w:proofErr w:type="spellEnd"/>
      <w:r>
        <w:t xml:space="preserve"> разтвор </w:t>
      </w:r>
    </w:p>
    <w:p w14:paraId="042A2DC5" w14:textId="382190B0" w:rsidR="00250EA6" w:rsidRPr="00250EA6" w:rsidRDefault="00250EA6" w:rsidP="00250EA6">
      <w:proofErr w:type="spellStart"/>
      <w:r>
        <w:rPr>
          <w:lang w:val="en-US"/>
        </w:rPr>
        <w:t>Prostavasin</w:t>
      </w:r>
      <w:proofErr w:type="spellEnd"/>
      <w:r>
        <w:rPr>
          <w:lang w:val="en-US"/>
        </w:rPr>
        <w:t xml:space="preserve"> </w:t>
      </w:r>
      <w:r>
        <w:t xml:space="preserve">20 </w:t>
      </w:r>
      <w:r>
        <w:rPr>
          <w:lang w:val="en-US"/>
        </w:rPr>
        <w:t>micrograms powder for solution for infusion</w:t>
      </w:r>
    </w:p>
    <w:p w14:paraId="4D88B710" w14:textId="150EA305" w:rsidR="00D86297" w:rsidRDefault="00DD466D" w:rsidP="00AA23EC">
      <w:pPr>
        <w:pStyle w:val="Heading1"/>
      </w:pPr>
      <w:r>
        <w:t>2. КАЧЕСТВЕН И КОЛИЧЕСТВЕН СЪСТАВ</w:t>
      </w:r>
    </w:p>
    <w:p w14:paraId="333BF9D3" w14:textId="77777777" w:rsidR="00250EA6" w:rsidRDefault="00250EA6" w:rsidP="00250EA6">
      <w:pPr>
        <w:rPr>
          <w:lang w:eastAsia="bg-BG"/>
        </w:rPr>
      </w:pPr>
    </w:p>
    <w:p w14:paraId="6D90AC17" w14:textId="0EF39F89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1 ампула с 48,2 </w:t>
      </w:r>
      <w:r w:rsidRPr="00250EA6">
        <w:rPr>
          <w:lang w:val="en-US"/>
        </w:rPr>
        <w:t xml:space="preserve">mg </w:t>
      </w:r>
      <w:r w:rsidRPr="00250EA6">
        <w:rPr>
          <w:lang w:eastAsia="bg-BG"/>
        </w:rPr>
        <w:t xml:space="preserve">сухо вещество съдържа 20 микрограма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</w:t>
      </w:r>
      <w:r w:rsidRPr="00250EA6">
        <w:rPr>
          <w:lang w:val="en-US"/>
        </w:rPr>
        <w:t xml:space="preserve">(alprostadil) </w:t>
      </w:r>
      <w:r w:rsidRPr="00250EA6">
        <w:rPr>
          <w:lang w:eastAsia="bg-BG"/>
        </w:rPr>
        <w:t xml:space="preserve">(под формата на комплекс с </w:t>
      </w:r>
      <w:proofErr w:type="spellStart"/>
      <w:r w:rsidRPr="00250EA6">
        <w:rPr>
          <w:lang w:eastAsia="bg-BG"/>
        </w:rPr>
        <w:t>алфадекс</w:t>
      </w:r>
      <w:proofErr w:type="spellEnd"/>
      <w:r w:rsidRPr="00250EA6">
        <w:rPr>
          <w:lang w:eastAsia="bg-BG"/>
        </w:rPr>
        <w:t xml:space="preserve"> в съотношение 1:1)</w:t>
      </w:r>
    </w:p>
    <w:p w14:paraId="5E332777" w14:textId="37CCCFAC" w:rsidR="005A66D9" w:rsidRDefault="00DD466D" w:rsidP="00CA1B57">
      <w:pPr>
        <w:pStyle w:val="Heading1"/>
      </w:pPr>
      <w:r>
        <w:t>3. ЛЕКАРСТВЕНА ФОРМА</w:t>
      </w:r>
    </w:p>
    <w:p w14:paraId="32E27A4E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Прах за </w:t>
      </w:r>
      <w:proofErr w:type="spellStart"/>
      <w:r w:rsidRPr="00250EA6">
        <w:rPr>
          <w:lang w:eastAsia="bg-BG"/>
        </w:rPr>
        <w:t>инфузионен</w:t>
      </w:r>
      <w:proofErr w:type="spellEnd"/>
      <w:r w:rsidRPr="00250EA6">
        <w:rPr>
          <w:lang w:eastAsia="bg-BG"/>
        </w:rPr>
        <w:t xml:space="preserve"> разтвор.</w:t>
      </w:r>
    </w:p>
    <w:p w14:paraId="4747BDBE" w14:textId="357AD788" w:rsidR="00250EA6" w:rsidRPr="00250EA6" w:rsidRDefault="00250EA6" w:rsidP="00250EA6">
      <w:r w:rsidRPr="00250EA6">
        <w:rPr>
          <w:lang w:eastAsia="bg-BG"/>
        </w:rPr>
        <w:t>Бял, сух прах.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44AB440A" w:rsidR="00FD69E8" w:rsidRDefault="002C50EE" w:rsidP="00AA23EC">
      <w:pPr>
        <w:pStyle w:val="Heading2"/>
      </w:pPr>
      <w:r>
        <w:t>4.1. Терапевтични показания</w:t>
      </w:r>
    </w:p>
    <w:p w14:paraId="0CF7D2FF" w14:textId="77777777" w:rsidR="00250EA6" w:rsidRDefault="00250EA6" w:rsidP="00250EA6">
      <w:pPr>
        <w:rPr>
          <w:lang w:eastAsia="bg-BG"/>
        </w:rPr>
      </w:pPr>
    </w:p>
    <w:p w14:paraId="49BF71B8" w14:textId="537D677C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Лечение на хронична </w:t>
      </w:r>
      <w:proofErr w:type="spellStart"/>
      <w:r w:rsidRPr="00250EA6">
        <w:rPr>
          <w:lang w:eastAsia="bg-BG"/>
        </w:rPr>
        <w:t>оклузивна</w:t>
      </w:r>
      <w:proofErr w:type="spellEnd"/>
      <w:r w:rsidRPr="00250EA6">
        <w:rPr>
          <w:lang w:eastAsia="bg-BG"/>
        </w:rPr>
        <w:t xml:space="preserve"> болест - </w:t>
      </w:r>
      <w:r w:rsidRPr="00250EA6">
        <w:rPr>
          <w:lang w:val="en-US"/>
        </w:rPr>
        <w:t xml:space="preserve">III </w:t>
      </w:r>
      <w:r w:rsidRPr="00250EA6">
        <w:rPr>
          <w:lang w:eastAsia="bg-BG"/>
        </w:rPr>
        <w:t xml:space="preserve">и IV стадий (класификация на </w:t>
      </w:r>
      <w:r w:rsidRPr="00250EA6">
        <w:rPr>
          <w:lang w:val="en-US"/>
        </w:rPr>
        <w:t xml:space="preserve">Fontaine) </w:t>
      </w:r>
      <w:r w:rsidRPr="00250EA6">
        <w:rPr>
          <w:lang w:eastAsia="bg-BG"/>
        </w:rPr>
        <w:t xml:space="preserve">при пациенти, които не са подходящи за </w:t>
      </w:r>
      <w:proofErr w:type="spellStart"/>
      <w:r w:rsidRPr="00250EA6">
        <w:rPr>
          <w:lang w:eastAsia="bg-BG"/>
        </w:rPr>
        <w:t>реваскуларизация</w:t>
      </w:r>
      <w:proofErr w:type="spellEnd"/>
      <w:r w:rsidRPr="00250EA6">
        <w:rPr>
          <w:lang w:eastAsia="bg-BG"/>
        </w:rPr>
        <w:t xml:space="preserve"> или при които </w:t>
      </w:r>
      <w:proofErr w:type="spellStart"/>
      <w:r w:rsidRPr="00250EA6">
        <w:rPr>
          <w:lang w:eastAsia="bg-BG"/>
        </w:rPr>
        <w:t>реваскуларизацията</w:t>
      </w:r>
      <w:proofErr w:type="spellEnd"/>
      <w:r w:rsidRPr="00250EA6">
        <w:rPr>
          <w:lang w:eastAsia="bg-BG"/>
        </w:rPr>
        <w:t xml:space="preserve"> е била неуспешна.</w:t>
      </w:r>
    </w:p>
    <w:p w14:paraId="00CCFFC9" w14:textId="77777777" w:rsidR="00250EA6" w:rsidRDefault="00250EA6" w:rsidP="00250EA6">
      <w:pPr>
        <w:rPr>
          <w:lang w:eastAsia="bg-BG"/>
        </w:rPr>
      </w:pPr>
    </w:p>
    <w:p w14:paraId="795DFFFB" w14:textId="2BFF4BA7" w:rsidR="00250EA6" w:rsidRDefault="00250EA6" w:rsidP="00250EA6">
      <w:pPr>
        <w:rPr>
          <w:lang w:eastAsia="bg-BG"/>
        </w:rPr>
      </w:pPr>
      <w:r w:rsidRPr="00250EA6">
        <w:rPr>
          <w:lang w:eastAsia="bg-BG"/>
        </w:rPr>
        <w:t xml:space="preserve">Не се препоръчва интравенозно приложение при хронична </w:t>
      </w:r>
      <w:proofErr w:type="spellStart"/>
      <w:r w:rsidRPr="00250EA6">
        <w:rPr>
          <w:lang w:eastAsia="bg-BG"/>
        </w:rPr>
        <w:t>оклузивна</w:t>
      </w:r>
      <w:proofErr w:type="spellEnd"/>
      <w:r w:rsidRPr="00250EA6">
        <w:rPr>
          <w:lang w:eastAsia="bg-BG"/>
        </w:rPr>
        <w:t xml:space="preserve"> болест, стадий IV.</w:t>
      </w:r>
    </w:p>
    <w:p w14:paraId="7C060F18" w14:textId="77777777" w:rsidR="00250EA6" w:rsidRPr="00250EA6" w:rsidRDefault="00250EA6" w:rsidP="00250EA6"/>
    <w:p w14:paraId="127F2AC9" w14:textId="1A664280" w:rsidR="00FD69E8" w:rsidRDefault="002C50EE" w:rsidP="00AA23EC">
      <w:pPr>
        <w:pStyle w:val="Heading2"/>
      </w:pPr>
      <w:r>
        <w:t>4.2. Дозировка и начин на приложение</w:t>
      </w:r>
    </w:p>
    <w:p w14:paraId="048C599C" w14:textId="77777777" w:rsid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1DB4D2" w14:textId="3DDDE44E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Не се препоръчва интравенозно приложение при хронична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оклузивна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болест, стадий IV.</w:t>
      </w:r>
    </w:p>
    <w:p w14:paraId="370F0E6E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7AED60C" w14:textId="6B8A6344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Интравенозно приложение при стадий III</w:t>
      </w:r>
    </w:p>
    <w:p w14:paraId="69566A91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Въз основа на настоящата информация, освен ако не е предписано друго, за интравенозното приложение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е подходяща следната схема на дозиране: съдържанието на 2 ампули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сухо вещество (40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) се разтваря в 50-250 </w:t>
      </w:r>
      <w:r w:rsidRPr="00250EA6">
        <w:rPr>
          <w:rFonts w:eastAsia="Times New Roman" w:cs="Arial"/>
          <w:color w:val="000000"/>
          <w:lang w:val="en-US"/>
        </w:rPr>
        <w:t xml:space="preserve">ml </w:t>
      </w:r>
      <w:r w:rsidRPr="00250EA6">
        <w:rPr>
          <w:rFonts w:eastAsia="Times New Roman" w:cs="Arial"/>
          <w:color w:val="000000"/>
          <w:lang w:eastAsia="bg-BG"/>
        </w:rPr>
        <w:t xml:space="preserve">физиологичен разтвор; полученият разтвор се влива </w:t>
      </w:r>
      <w:r w:rsidRPr="00250EA6">
        <w:rPr>
          <w:rFonts w:eastAsia="Times New Roman" w:cs="Arial"/>
          <w:color w:val="000000"/>
          <w:lang w:val="en-US"/>
        </w:rPr>
        <w:t xml:space="preserve">/.v. </w:t>
      </w:r>
      <w:r w:rsidRPr="00250EA6">
        <w:rPr>
          <w:rFonts w:eastAsia="Times New Roman" w:cs="Arial"/>
          <w:color w:val="000000"/>
          <w:lang w:eastAsia="bg-BG"/>
        </w:rPr>
        <w:t xml:space="preserve">в продължение на 2 часа. Дозата се прилага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i.v.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>два пъти дневно.</w:t>
      </w:r>
    </w:p>
    <w:p w14:paraId="33431F35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Друга възможност е 3 ампули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(60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) да се разтворят в 50-250 </w:t>
      </w:r>
      <w:r w:rsidRPr="00250EA6">
        <w:rPr>
          <w:rFonts w:eastAsia="Times New Roman" w:cs="Arial"/>
          <w:color w:val="000000"/>
          <w:lang w:val="en-US"/>
        </w:rPr>
        <w:t xml:space="preserve">ml </w:t>
      </w:r>
      <w:r w:rsidRPr="00250EA6">
        <w:rPr>
          <w:rFonts w:eastAsia="Times New Roman" w:cs="Arial"/>
          <w:color w:val="000000"/>
          <w:lang w:eastAsia="bg-BG"/>
        </w:rPr>
        <w:t xml:space="preserve">физиологичен разтвор и да се вливат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i.v.</w:t>
      </w:r>
      <w:proofErr w:type="spellEnd"/>
      <w:r w:rsidRPr="00250EA6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250EA6">
        <w:rPr>
          <w:rFonts w:eastAsia="Times New Roman" w:cs="Arial"/>
          <w:i/>
          <w:iCs/>
          <w:color w:val="000000"/>
          <w:lang w:eastAsia="bg-BG"/>
        </w:rPr>
        <w:t>в</w:t>
      </w:r>
      <w:r w:rsidRPr="00250EA6">
        <w:rPr>
          <w:rFonts w:eastAsia="Times New Roman" w:cs="Arial"/>
          <w:color w:val="000000"/>
          <w:lang w:eastAsia="bg-BG"/>
        </w:rPr>
        <w:t xml:space="preserve"> продължение на 2 часа, веднъж дневно.</w:t>
      </w:r>
    </w:p>
    <w:p w14:paraId="19C76714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1108A0" w14:textId="57A96CFF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При пациенти с бъбречна недостатъчност и сърдечно болни, които ще бъдат изложени на риск поради степента на заболяването, обемът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инфузионния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разтвор трябва да се ограничи до 50- 100 </w:t>
      </w:r>
      <w:r w:rsidRPr="00250EA6">
        <w:rPr>
          <w:rFonts w:eastAsia="Times New Roman" w:cs="Arial"/>
          <w:color w:val="000000"/>
          <w:lang w:val="en-US"/>
        </w:rPr>
        <w:t xml:space="preserve">ml </w:t>
      </w:r>
      <w:r w:rsidRPr="00250EA6">
        <w:rPr>
          <w:rFonts w:eastAsia="Times New Roman" w:cs="Arial"/>
          <w:color w:val="000000"/>
          <w:lang w:eastAsia="bg-BG"/>
        </w:rPr>
        <w:t xml:space="preserve">дневно и инфузиите следва да се прилагат посредством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помпа.</w:t>
      </w:r>
    </w:p>
    <w:p w14:paraId="137081DA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584A9D4" w14:textId="11CA2816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i/>
          <w:iCs/>
          <w:color w:val="000000"/>
          <w:lang w:eastAsia="bg-BG"/>
        </w:rPr>
        <w:t>Интраартериално</w:t>
      </w:r>
      <w:proofErr w:type="spellEnd"/>
      <w:r w:rsidRPr="00250EA6">
        <w:rPr>
          <w:rFonts w:eastAsia="Times New Roman" w:cs="Arial"/>
          <w:i/>
          <w:iCs/>
          <w:color w:val="000000"/>
          <w:lang w:eastAsia="bg-BG"/>
        </w:rPr>
        <w:t xml:space="preserve"> приложение при стадий </w:t>
      </w:r>
      <w:r w:rsidRPr="00250EA6">
        <w:rPr>
          <w:rFonts w:eastAsia="Times New Roman" w:cs="Arial"/>
          <w:i/>
          <w:iCs/>
          <w:color w:val="000000"/>
          <w:lang w:val="en-US"/>
        </w:rPr>
        <w:t xml:space="preserve">III </w:t>
      </w:r>
      <w:r w:rsidRPr="00250EA6">
        <w:rPr>
          <w:rFonts w:eastAsia="Times New Roman" w:cs="Arial"/>
          <w:i/>
          <w:iCs/>
          <w:color w:val="000000"/>
          <w:lang w:eastAsia="bg-BG"/>
        </w:rPr>
        <w:t>и IV</w:t>
      </w:r>
    </w:p>
    <w:p w14:paraId="7D7423B2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Въз основа на настоящата информация, за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интраартериалното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приложение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е подходяща следната схема на дозиране: съдържанието на 1 ампула </w:t>
      </w:r>
      <w:proofErr w:type="spellStart"/>
      <w:r w:rsidRPr="00250EA6">
        <w:rPr>
          <w:rFonts w:eastAsia="Times New Roman" w:cs="Arial"/>
          <w:color w:val="000000"/>
          <w:lang w:eastAsia="bg-BG"/>
        </w:rPr>
        <w:lastRenderedPageBreak/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сухо вещество (равняващо се на 20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) се разтваря в 50 </w:t>
      </w:r>
      <w:r w:rsidRPr="00250EA6">
        <w:rPr>
          <w:rFonts w:eastAsia="Times New Roman" w:cs="Arial"/>
          <w:color w:val="000000"/>
          <w:lang w:val="en-US"/>
        </w:rPr>
        <w:t xml:space="preserve">ml </w:t>
      </w:r>
      <w:r w:rsidRPr="00250EA6">
        <w:rPr>
          <w:rFonts w:eastAsia="Times New Roman" w:cs="Arial"/>
          <w:color w:val="000000"/>
          <w:lang w:eastAsia="bg-BG"/>
        </w:rPr>
        <w:t>физиологичен разтвор.</w:t>
      </w:r>
    </w:p>
    <w:p w14:paraId="6011F560" w14:textId="71C221BC" w:rsidR="00250EA6" w:rsidRDefault="00250EA6" w:rsidP="00250EA6"/>
    <w:p w14:paraId="41A4E20E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Освен ако не е предписано друго, половин ампула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сухо вещество (равняващо се на 10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) се прилага като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интраартериална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инфузия в продължение на 60-120 минути с помощта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помпа. Ако е необходимо, особено при наличието на некрози, дозата може да бъде увеличена до една ампула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(20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>), докато поносимостта е удовлетворяваща. Приложението е веднъж дневно.</w:t>
      </w:r>
    </w:p>
    <w:p w14:paraId="4FA36E27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810EF2" w14:textId="4DA1B4D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Ако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интарартериалното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вливане се прилага през постоянен катетър, в зависимост от поносимостта и тежестта на заболяването, се препоръчва дозировка от 0,1-0,6 </w:t>
      </w:r>
      <w:r w:rsidRPr="00250EA6">
        <w:rPr>
          <w:rFonts w:eastAsia="Times New Roman" w:cs="Arial"/>
          <w:color w:val="000000"/>
          <w:lang w:val="en-US"/>
        </w:rPr>
        <w:t xml:space="preserve">ng/kg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 за минута, посредством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помпа в продължение на 12 часа (съответно равняващо се на 1/4 до 1</w:t>
      </w:r>
      <w:r w:rsidRPr="00250EA6">
        <w:rPr>
          <w:rFonts w:eastAsia="Times New Roman" w:cs="Arial"/>
          <w:color w:val="000000"/>
          <w:vertAlign w:val="subscript"/>
          <w:lang w:eastAsia="bg-BG"/>
        </w:rPr>
        <w:t>1/2</w:t>
      </w:r>
      <w:r w:rsidRPr="00250EA6">
        <w:rPr>
          <w:rFonts w:eastAsia="Times New Roman" w:cs="Arial"/>
          <w:color w:val="000000"/>
          <w:lang w:eastAsia="bg-BG"/>
        </w:rPr>
        <w:t xml:space="preserve"> ампули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20 микрограма).</w:t>
      </w:r>
    </w:p>
    <w:p w14:paraId="6D1B5BE8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B274E48" w14:textId="00D7AD2E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 xml:space="preserve">Интравенозно и </w:t>
      </w:r>
      <w:proofErr w:type="spellStart"/>
      <w:r w:rsidRPr="00250EA6">
        <w:rPr>
          <w:rFonts w:eastAsia="Times New Roman" w:cs="Arial"/>
          <w:i/>
          <w:iCs/>
          <w:color w:val="000000"/>
          <w:lang w:eastAsia="bg-BG"/>
        </w:rPr>
        <w:t>интраартериална</w:t>
      </w:r>
      <w:proofErr w:type="spellEnd"/>
      <w:r w:rsidRPr="00250EA6">
        <w:rPr>
          <w:rFonts w:eastAsia="Times New Roman" w:cs="Arial"/>
          <w:i/>
          <w:iCs/>
          <w:color w:val="000000"/>
          <w:lang w:eastAsia="bg-BG"/>
        </w:rPr>
        <w:t xml:space="preserve"> приложение</w:t>
      </w:r>
    </w:p>
    <w:p w14:paraId="7DF2D713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>Продължителността на лечението не трябва да надвишава 3-4 седмици. Разтворът трябва да се приготвя непосредствено преди приложението.</w:t>
      </w:r>
    </w:p>
    <w:p w14:paraId="1A77CBF1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31F993" w14:textId="0EE8F7D1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1A7829D1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040580A" w14:textId="29C58B2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1F7E5718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Пациенти с леко </w:t>
      </w:r>
      <w:r w:rsidRPr="00250EA6">
        <w:rPr>
          <w:rFonts w:eastAsia="Times New Roman" w:cs="Arial"/>
          <w:color w:val="000000"/>
          <w:lang w:val="en-US"/>
        </w:rPr>
        <w:t>(GFR ≤</w:t>
      </w:r>
      <w:r w:rsidRPr="00250EA6">
        <w:rPr>
          <w:rFonts w:eastAsia="Times New Roman" w:cs="Arial"/>
          <w:color w:val="000000"/>
          <w:lang w:eastAsia="bg-BG"/>
        </w:rPr>
        <w:t xml:space="preserve">89 </w:t>
      </w:r>
      <w:r w:rsidRPr="00250EA6">
        <w:rPr>
          <w:rFonts w:eastAsia="Times New Roman" w:cs="Arial"/>
          <w:color w:val="000000"/>
          <w:lang w:val="en-US"/>
        </w:rPr>
        <w:t>ml/min/1,73m</w:t>
      </w:r>
      <w:r w:rsidRPr="00250EA6">
        <w:rPr>
          <w:rFonts w:eastAsia="Times New Roman" w:cs="Arial"/>
          <w:color w:val="000000"/>
          <w:vertAlign w:val="superscript"/>
          <w:lang w:val="en-US"/>
        </w:rPr>
        <w:t>2</w:t>
      </w:r>
      <w:r w:rsidRPr="00250EA6">
        <w:rPr>
          <w:rFonts w:eastAsia="Times New Roman" w:cs="Arial"/>
          <w:color w:val="000000"/>
          <w:lang w:val="en-US"/>
        </w:rPr>
        <w:t xml:space="preserve">) </w:t>
      </w:r>
      <w:r w:rsidRPr="00250EA6">
        <w:rPr>
          <w:rFonts w:eastAsia="Times New Roman" w:cs="Arial"/>
          <w:color w:val="000000"/>
          <w:lang w:eastAsia="bg-BG"/>
        </w:rPr>
        <w:t xml:space="preserve">и умерено </w:t>
      </w:r>
      <w:r w:rsidRPr="00250EA6">
        <w:rPr>
          <w:rFonts w:eastAsia="Times New Roman" w:cs="Arial"/>
          <w:color w:val="000000"/>
          <w:lang w:val="en-US"/>
        </w:rPr>
        <w:t>(GFR ≤</w:t>
      </w:r>
      <w:r w:rsidRPr="00250EA6">
        <w:rPr>
          <w:rFonts w:eastAsia="Times New Roman" w:cs="Arial"/>
          <w:color w:val="000000"/>
          <w:lang w:eastAsia="bg-BG"/>
        </w:rPr>
        <w:t xml:space="preserve">59 </w:t>
      </w:r>
      <w:r w:rsidRPr="00250EA6">
        <w:rPr>
          <w:rFonts w:eastAsia="Times New Roman" w:cs="Arial"/>
          <w:color w:val="000000"/>
          <w:lang w:val="en-US"/>
        </w:rPr>
        <w:t>ml/min/ 1,73m</w:t>
      </w:r>
      <w:r w:rsidRPr="00250EA6">
        <w:rPr>
          <w:rFonts w:eastAsia="Times New Roman" w:cs="Arial"/>
          <w:color w:val="000000"/>
          <w:vertAlign w:val="superscript"/>
          <w:lang w:val="en-US"/>
        </w:rPr>
        <w:t>2</w:t>
      </w:r>
      <w:r w:rsidRPr="00250EA6">
        <w:rPr>
          <w:rFonts w:eastAsia="Times New Roman" w:cs="Arial"/>
          <w:color w:val="000000"/>
          <w:lang w:val="en-US"/>
        </w:rPr>
        <w:t xml:space="preserve">) </w:t>
      </w:r>
      <w:r w:rsidRPr="00250EA6">
        <w:rPr>
          <w:rFonts w:eastAsia="Times New Roman" w:cs="Arial"/>
          <w:color w:val="000000"/>
          <w:lang w:eastAsia="bg-BG"/>
        </w:rPr>
        <w:t>бъбречно увреждане трябва да бъдат внимателно наблюдавани (например баланса на течности и бъбречни функционални тестове).</w:t>
      </w:r>
    </w:p>
    <w:p w14:paraId="751B0CC3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CDFF6EE" w14:textId="6215B058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710DFAD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се препоръчва за употреба в педиатричната популация.</w:t>
      </w:r>
    </w:p>
    <w:p w14:paraId="30525864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D61DA2B" w14:textId="1855D829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Жени в детеродна възраст</w:t>
      </w:r>
    </w:p>
    <w:p w14:paraId="5DFB9A28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трябва да се прилага при жени, които могат да забременеят.</w:t>
      </w:r>
    </w:p>
    <w:p w14:paraId="3F9516FE" w14:textId="77777777" w:rsidR="00250EA6" w:rsidRPr="00250EA6" w:rsidRDefault="00250EA6" w:rsidP="00250EA6"/>
    <w:p w14:paraId="0E366821" w14:textId="17565DE9" w:rsidR="00FD69E8" w:rsidRDefault="002C50EE" w:rsidP="00AA23EC">
      <w:pPr>
        <w:pStyle w:val="Heading2"/>
      </w:pPr>
      <w:r>
        <w:t>4.3. Противопоказания</w:t>
      </w:r>
    </w:p>
    <w:p w14:paraId="4BA489D1" w14:textId="77777777" w:rsidR="00250EA6" w:rsidRDefault="00250EA6" w:rsidP="00250EA6">
      <w:pPr>
        <w:rPr>
          <w:lang w:eastAsia="bg-BG"/>
        </w:rPr>
      </w:pPr>
    </w:p>
    <w:p w14:paraId="706AF49E" w14:textId="62790812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Свръхчувствителност към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или към някое от помощните вещества на продукта;</w:t>
      </w:r>
    </w:p>
    <w:p w14:paraId="523742C4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Нарушение на сърдечната функция, като сърдечна недостатъчност клас III и IV по </w:t>
      </w:r>
      <w:r w:rsidRPr="00250EA6">
        <w:rPr>
          <w:lang w:val="en-US"/>
        </w:rPr>
        <w:t xml:space="preserve">New York Heart Association (NYHA), </w:t>
      </w:r>
      <w:proofErr w:type="spellStart"/>
      <w:r w:rsidRPr="00250EA6">
        <w:rPr>
          <w:lang w:eastAsia="bg-BG"/>
        </w:rPr>
        <w:t>хемодинамично</w:t>
      </w:r>
      <w:proofErr w:type="spellEnd"/>
      <w:r w:rsidRPr="00250EA6">
        <w:rPr>
          <w:lang w:eastAsia="bg-BG"/>
        </w:rPr>
        <w:t xml:space="preserve"> зависима аритмия, коронарна болест на сърцето с лош </w:t>
      </w:r>
      <w:proofErr w:type="spellStart"/>
      <w:r w:rsidRPr="00250EA6">
        <w:rPr>
          <w:lang w:eastAsia="bg-BG"/>
        </w:rPr>
        <w:t>котрол</w:t>
      </w:r>
      <w:proofErr w:type="spellEnd"/>
      <w:r w:rsidRPr="00250EA6">
        <w:rPr>
          <w:lang w:eastAsia="bg-BG"/>
        </w:rPr>
        <w:t xml:space="preserve">, </w:t>
      </w:r>
      <w:proofErr w:type="spellStart"/>
      <w:r w:rsidRPr="00250EA6">
        <w:rPr>
          <w:lang w:eastAsia="bg-BG"/>
        </w:rPr>
        <w:t>стеноза</w:t>
      </w:r>
      <w:proofErr w:type="spellEnd"/>
      <w:r w:rsidRPr="00250EA6">
        <w:rPr>
          <w:lang w:eastAsia="bg-BG"/>
        </w:rPr>
        <w:t xml:space="preserve"> на </w:t>
      </w:r>
      <w:proofErr w:type="spellStart"/>
      <w:r w:rsidRPr="00250EA6">
        <w:rPr>
          <w:lang w:eastAsia="bg-BG"/>
        </w:rPr>
        <w:t>митралната</w:t>
      </w:r>
      <w:proofErr w:type="spellEnd"/>
      <w:r w:rsidRPr="00250EA6">
        <w:rPr>
          <w:lang w:eastAsia="bg-BG"/>
        </w:rPr>
        <w:t xml:space="preserve"> и/или аортната клапа и/или недостатъчност. Състояние след прекаран инфаркт на миокарда през последните шест месеца;</w:t>
      </w:r>
    </w:p>
    <w:p w14:paraId="2D092C4D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>Остър белодробен оток или след състояние на белодробен оток при пациенти със сърдечна недостатъчност;</w:t>
      </w:r>
    </w:p>
    <w:p w14:paraId="53F54A4E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Тежка форма на хронична </w:t>
      </w:r>
      <w:proofErr w:type="spellStart"/>
      <w:r w:rsidRPr="00250EA6">
        <w:rPr>
          <w:lang w:eastAsia="bg-BG"/>
        </w:rPr>
        <w:t>обструктивна</w:t>
      </w:r>
      <w:proofErr w:type="spellEnd"/>
      <w:r w:rsidRPr="00250EA6">
        <w:rPr>
          <w:lang w:eastAsia="bg-BG"/>
        </w:rPr>
        <w:t xml:space="preserve"> белодробна болест (ХОББ) или белодробна </w:t>
      </w:r>
      <w:proofErr w:type="spellStart"/>
      <w:r w:rsidRPr="00250EA6">
        <w:rPr>
          <w:lang w:eastAsia="bg-BG"/>
        </w:rPr>
        <w:t>венооклузивна</w:t>
      </w:r>
      <w:proofErr w:type="spellEnd"/>
      <w:r w:rsidRPr="00250EA6">
        <w:rPr>
          <w:lang w:eastAsia="bg-BG"/>
        </w:rPr>
        <w:t xml:space="preserve"> болест (БВОБ);</w:t>
      </w:r>
    </w:p>
    <w:p w14:paraId="0430855B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250EA6">
        <w:rPr>
          <w:lang w:eastAsia="bg-BG"/>
        </w:rPr>
        <w:t>Дисеминирана</w:t>
      </w:r>
      <w:proofErr w:type="spellEnd"/>
      <w:r w:rsidRPr="00250EA6">
        <w:rPr>
          <w:lang w:eastAsia="bg-BG"/>
        </w:rPr>
        <w:t xml:space="preserve"> белодробна инфилтрация;</w:t>
      </w:r>
    </w:p>
    <w:p w14:paraId="5478A091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Хеморагична </w:t>
      </w:r>
      <w:proofErr w:type="spellStart"/>
      <w:r w:rsidRPr="00250EA6">
        <w:rPr>
          <w:lang w:eastAsia="bg-BG"/>
        </w:rPr>
        <w:t>диатеза</w:t>
      </w:r>
      <w:proofErr w:type="spellEnd"/>
    </w:p>
    <w:p w14:paraId="32B4B078" w14:textId="1EF2B29F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Активно или потенциално място на кървене, като остър ерозивен гастрит, активна стомашна или </w:t>
      </w:r>
      <w:proofErr w:type="spellStart"/>
      <w:r w:rsidRPr="00250EA6">
        <w:rPr>
          <w:lang w:eastAsia="bg-BG"/>
        </w:rPr>
        <w:t>дуоденална</w:t>
      </w:r>
      <w:proofErr w:type="spellEnd"/>
      <w:r w:rsidRPr="00250EA6">
        <w:rPr>
          <w:lang w:eastAsia="bg-BG"/>
        </w:rPr>
        <w:t xml:space="preserve"> язва или съмнение за </w:t>
      </w:r>
      <w:proofErr w:type="spellStart"/>
      <w:r w:rsidRPr="00250EA6">
        <w:rPr>
          <w:lang w:eastAsia="bg-BG"/>
        </w:rPr>
        <w:t>интрацеребрален</w:t>
      </w:r>
      <w:proofErr w:type="spellEnd"/>
      <w:r w:rsidRPr="00250EA6">
        <w:rPr>
          <w:lang w:eastAsia="bg-BG"/>
        </w:rPr>
        <w:t xml:space="preserve"> кръвоизлив;</w:t>
      </w:r>
    </w:p>
    <w:p w14:paraId="58E2C49B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lastRenderedPageBreak/>
        <w:t>Бременни жени;</w:t>
      </w:r>
    </w:p>
    <w:p w14:paraId="0E9D666C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>Кърмещи майки;</w:t>
      </w:r>
    </w:p>
    <w:p w14:paraId="476EF73B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Случай на </w:t>
      </w:r>
      <w:proofErr w:type="spellStart"/>
      <w:r w:rsidRPr="00250EA6">
        <w:rPr>
          <w:lang w:eastAsia="bg-BG"/>
        </w:rPr>
        <w:t>цереброваскуларен</w:t>
      </w:r>
      <w:proofErr w:type="spellEnd"/>
      <w:r w:rsidRPr="00250EA6">
        <w:rPr>
          <w:lang w:eastAsia="bg-BG"/>
        </w:rPr>
        <w:t xml:space="preserve"> инцидент в рамките на 6 месеца;</w:t>
      </w:r>
    </w:p>
    <w:p w14:paraId="070F5C8B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>Тежка хипотония;</w:t>
      </w:r>
    </w:p>
    <w:p w14:paraId="735DE642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>Пациенти с тежка бъбречна дисфункция (</w:t>
      </w:r>
      <w:proofErr w:type="spellStart"/>
      <w:r w:rsidRPr="00250EA6">
        <w:rPr>
          <w:lang w:eastAsia="bg-BG"/>
        </w:rPr>
        <w:t>олигоанурия</w:t>
      </w:r>
      <w:proofErr w:type="spellEnd"/>
      <w:r w:rsidRPr="00250EA6">
        <w:rPr>
          <w:lang w:eastAsia="bg-BG"/>
        </w:rPr>
        <w:t xml:space="preserve">) </w:t>
      </w:r>
      <w:r w:rsidRPr="00250EA6">
        <w:rPr>
          <w:lang w:val="en-US"/>
        </w:rPr>
        <w:t>(GFR ≤</w:t>
      </w:r>
      <w:r w:rsidRPr="00250EA6">
        <w:rPr>
          <w:lang w:eastAsia="bg-BG"/>
        </w:rPr>
        <w:t xml:space="preserve"> 29 </w:t>
      </w:r>
      <w:r w:rsidRPr="00250EA6">
        <w:rPr>
          <w:lang w:val="en-US"/>
        </w:rPr>
        <w:t>ml/min/1,73m</w:t>
      </w:r>
      <w:r w:rsidRPr="00250EA6">
        <w:rPr>
          <w:vertAlign w:val="superscript"/>
          <w:lang w:val="en-US"/>
        </w:rPr>
        <w:t>2</w:t>
      </w:r>
      <w:r w:rsidRPr="00250EA6">
        <w:rPr>
          <w:lang w:val="en-US"/>
        </w:rPr>
        <w:t>);</w:t>
      </w:r>
    </w:p>
    <w:p w14:paraId="745760CB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Пациенти с признаци за тежко чернодробно увреждане (повишени </w:t>
      </w:r>
      <w:proofErr w:type="spellStart"/>
      <w:r w:rsidRPr="00250EA6">
        <w:rPr>
          <w:lang w:eastAsia="bg-BG"/>
        </w:rPr>
        <w:t>трансаминази</w:t>
      </w:r>
      <w:proofErr w:type="spellEnd"/>
      <w:r w:rsidRPr="00250EA6">
        <w:rPr>
          <w:lang w:eastAsia="bg-BG"/>
        </w:rPr>
        <w:t xml:space="preserve"> или гама</w:t>
      </w:r>
      <w:r w:rsidRPr="00250EA6">
        <w:rPr>
          <w:lang w:val="en-US"/>
        </w:rPr>
        <w:t xml:space="preserve">-GT) </w:t>
      </w:r>
      <w:r w:rsidRPr="00250EA6">
        <w:rPr>
          <w:lang w:eastAsia="bg-BG"/>
        </w:rPr>
        <w:t>или с установено тежко чернодробно увреждане (включително история за такова);</w:t>
      </w:r>
    </w:p>
    <w:p w14:paraId="57293E76" w14:textId="77777777" w:rsidR="00250EA6" w:rsidRPr="00250EA6" w:rsidRDefault="00250EA6" w:rsidP="00250EA6">
      <w:pPr>
        <w:pStyle w:val="ListParagraph"/>
        <w:numPr>
          <w:ilvl w:val="0"/>
          <w:numId w:val="24"/>
        </w:numPr>
        <w:rPr>
          <w:lang w:eastAsia="bg-BG"/>
        </w:rPr>
      </w:pPr>
      <w:r w:rsidRPr="00250EA6">
        <w:rPr>
          <w:lang w:eastAsia="bg-BG"/>
        </w:rPr>
        <w:t xml:space="preserve">Общи противопоказания за </w:t>
      </w:r>
      <w:proofErr w:type="spellStart"/>
      <w:r w:rsidRPr="00250EA6">
        <w:rPr>
          <w:lang w:eastAsia="bg-BG"/>
        </w:rPr>
        <w:t>инфузионно</w:t>
      </w:r>
      <w:proofErr w:type="spellEnd"/>
      <w:r w:rsidRPr="00250EA6">
        <w:rPr>
          <w:lang w:eastAsia="bg-BG"/>
        </w:rPr>
        <w:t xml:space="preserve"> лечение (като застойна сърдечна недостатъчност, белодробен или мозъчен оток и хиперхидратация).</w:t>
      </w:r>
    </w:p>
    <w:p w14:paraId="675D7BE0" w14:textId="77777777" w:rsidR="00250EA6" w:rsidRPr="00250EA6" w:rsidRDefault="00250EA6" w:rsidP="00250EA6"/>
    <w:p w14:paraId="6DDF89B4" w14:textId="2A867F3D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04CC0308" w14:textId="219D0268" w:rsidR="00250EA6" w:rsidRPr="00250EA6" w:rsidRDefault="00250EA6" w:rsidP="00250EA6">
      <w:pPr>
        <w:rPr>
          <w:rFonts w:cs="Arial"/>
        </w:rPr>
      </w:pPr>
    </w:p>
    <w:p w14:paraId="3F64CBCD" w14:textId="77777777" w:rsidR="00250EA6" w:rsidRPr="00250EA6" w:rsidRDefault="00250EA6" w:rsidP="00250EA6">
      <w:pPr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Пациентите, приемащи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, трябва да бъдат внимателно наблюдавани по време на приложение на всяка доза. Необходимо е да се извършват чести проверки на сърдечно-съдовата система, включително следене на кръвното налягане, сърдечната честота </w:t>
      </w:r>
      <w:r w:rsidRPr="00250EA6">
        <w:rPr>
          <w:rFonts w:eastAsia="Times New Roman" w:cs="Arial"/>
          <w:i/>
          <w:iCs/>
          <w:color w:val="000000"/>
          <w:lang w:eastAsia="bg-BG"/>
        </w:rPr>
        <w:t>и</w:t>
      </w:r>
      <w:r w:rsidRPr="00250EA6">
        <w:rPr>
          <w:rFonts w:eastAsia="Times New Roman" w:cs="Arial"/>
          <w:color w:val="000000"/>
          <w:lang w:eastAsia="bg-BG"/>
        </w:rPr>
        <w:t xml:space="preserve"> баланса на течностите. За да се избегнат симптомите на хиперхидратация е необходимо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инфузионния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обем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да не надвишава 50 - 100 </w:t>
      </w:r>
      <w:r w:rsidRPr="00250EA6">
        <w:rPr>
          <w:rFonts w:eastAsia="Times New Roman" w:cs="Arial"/>
          <w:color w:val="000000"/>
          <w:lang w:val="en-US"/>
        </w:rPr>
        <w:t>ml</w:t>
      </w:r>
      <w:r w:rsidRPr="00250EA6">
        <w:rPr>
          <w:rFonts w:eastAsia="Times New Roman" w:cs="Arial"/>
          <w:color w:val="000000"/>
          <w:lang w:eastAsia="bg-BG"/>
        </w:rPr>
        <w:t>/ден (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инфузионна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помпа) и трябва да се спазва стриктно продължителността на инфузията, както е посочено в точка 4.2. Пациентът трябва да се изпише след установяване на стабилно сърдечно-съдово състояние.</w:t>
      </w:r>
    </w:p>
    <w:p w14:paraId="18EB48EC" w14:textId="77777777" w:rsidR="00250EA6" w:rsidRPr="00250EA6" w:rsidRDefault="00250EA6" w:rsidP="00250EA6">
      <w:pPr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Пациенти с леко </w:t>
      </w:r>
      <w:r w:rsidRPr="00250EA6">
        <w:rPr>
          <w:rFonts w:eastAsia="Times New Roman" w:cs="Arial"/>
          <w:color w:val="000000"/>
          <w:lang w:val="en-US"/>
        </w:rPr>
        <w:t>(GFR ≤</w:t>
      </w:r>
      <w:r w:rsidRPr="00250EA6">
        <w:rPr>
          <w:rFonts w:eastAsia="Times New Roman" w:cs="Arial"/>
          <w:color w:val="000000"/>
          <w:lang w:eastAsia="bg-BG"/>
        </w:rPr>
        <w:t xml:space="preserve">89 </w:t>
      </w:r>
      <w:r w:rsidRPr="00250EA6">
        <w:rPr>
          <w:rFonts w:eastAsia="Times New Roman" w:cs="Arial"/>
          <w:color w:val="000000"/>
          <w:lang w:val="en-US"/>
        </w:rPr>
        <w:t>ml/min/1,73m</w:t>
      </w:r>
      <w:r w:rsidRPr="00250EA6">
        <w:rPr>
          <w:rFonts w:eastAsia="Times New Roman" w:cs="Arial"/>
          <w:color w:val="000000"/>
          <w:vertAlign w:val="superscript"/>
          <w:lang w:val="en-US"/>
        </w:rPr>
        <w:t>2</w:t>
      </w:r>
      <w:r w:rsidRPr="00250EA6">
        <w:rPr>
          <w:rFonts w:eastAsia="Times New Roman" w:cs="Arial"/>
          <w:color w:val="000000"/>
          <w:lang w:val="en-US"/>
        </w:rPr>
        <w:t xml:space="preserve">) </w:t>
      </w:r>
      <w:r w:rsidRPr="00250EA6">
        <w:rPr>
          <w:rFonts w:eastAsia="Times New Roman" w:cs="Arial"/>
          <w:color w:val="000000"/>
          <w:lang w:eastAsia="bg-BG"/>
        </w:rPr>
        <w:t xml:space="preserve">и умерено </w:t>
      </w:r>
      <w:r w:rsidRPr="00250EA6">
        <w:rPr>
          <w:rFonts w:eastAsia="Times New Roman" w:cs="Arial"/>
          <w:color w:val="000000"/>
          <w:lang w:val="en-US"/>
        </w:rPr>
        <w:t>(GFR ≤</w:t>
      </w:r>
      <w:r w:rsidRPr="00250EA6">
        <w:rPr>
          <w:rFonts w:eastAsia="Times New Roman" w:cs="Arial"/>
          <w:color w:val="000000"/>
          <w:lang w:eastAsia="bg-BG"/>
        </w:rPr>
        <w:t xml:space="preserve">59 </w:t>
      </w:r>
      <w:r w:rsidRPr="00250EA6">
        <w:rPr>
          <w:rFonts w:eastAsia="Times New Roman" w:cs="Arial"/>
          <w:color w:val="000000"/>
          <w:lang w:val="en-US"/>
        </w:rPr>
        <w:t>ml/min/1,73m</w:t>
      </w:r>
      <w:r w:rsidRPr="00250EA6">
        <w:rPr>
          <w:rFonts w:eastAsia="Times New Roman" w:cs="Arial"/>
          <w:color w:val="000000"/>
          <w:vertAlign w:val="superscript"/>
          <w:lang w:val="en-US"/>
        </w:rPr>
        <w:t>2</w:t>
      </w:r>
      <w:r w:rsidRPr="00250EA6">
        <w:rPr>
          <w:rFonts w:eastAsia="Times New Roman" w:cs="Arial"/>
          <w:color w:val="000000"/>
          <w:lang w:val="en-US"/>
        </w:rPr>
        <w:t xml:space="preserve">) </w:t>
      </w:r>
      <w:r w:rsidRPr="00250EA6">
        <w:rPr>
          <w:rFonts w:eastAsia="Times New Roman" w:cs="Arial"/>
          <w:color w:val="000000"/>
          <w:lang w:eastAsia="bg-BG"/>
        </w:rPr>
        <w:t>бъбречно увреждане трябва внимателно да бъдат наблюдавани (напр. изследвания за баланс на течностите и на бъбречната функция).</w:t>
      </w:r>
    </w:p>
    <w:p w14:paraId="15594A39" w14:textId="77777777" w:rsidR="00250EA6" w:rsidRPr="00250EA6" w:rsidRDefault="00250EA6" w:rsidP="00250EA6">
      <w:pPr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трябва да се прилага само от лекари, които имат опит в лечението на периферна артериална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оклузивна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болест, компетентни са в проследяването на сърдечно</w:t>
      </w:r>
      <w:r w:rsidRPr="00250EA6">
        <w:rPr>
          <w:rFonts w:eastAsia="Times New Roman" w:cs="Arial"/>
          <w:color w:val="000000"/>
          <w:lang w:eastAsia="bg-BG"/>
        </w:rPr>
        <w:softHyphen/>
        <w:t xml:space="preserve">съдовите функции и разполагат с необходимите за това условия.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трябва да се прилага под формата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болус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инжекция.</w:t>
      </w:r>
    </w:p>
    <w:p w14:paraId="1D8120EF" w14:textId="77777777" w:rsidR="00250EA6" w:rsidRPr="00250EA6" w:rsidRDefault="00250EA6" w:rsidP="00250EA6">
      <w:pPr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трябва да се прилага на жени, които е възможно да забременеят.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се препоръчва за употреба при педиатрична популация.</w:t>
      </w:r>
    </w:p>
    <w:p w14:paraId="7DD93B73" w14:textId="77777777" w:rsidR="00250EA6" w:rsidRPr="00250EA6" w:rsidRDefault="00250EA6" w:rsidP="00250EA6">
      <w:pPr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трябва да се прилага с повишено внимание при пациенти с анамнеза за гастроинтестинално заболяване, вкл. ерозивен гастрит; гастроинтестинално кървене и стомашна и/или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дуоденална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язва и анамнеза за съмнение за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интрацеребрален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кръвоизлив или други състояния на кървене (виж т. 4.3).</w:t>
      </w:r>
    </w:p>
    <w:p w14:paraId="12C04B79" w14:textId="77777777" w:rsidR="00250EA6" w:rsidRPr="00250EA6" w:rsidRDefault="00250EA6" w:rsidP="00250EA6">
      <w:pPr>
        <w:rPr>
          <w:rFonts w:eastAsia="Times New Roman" w:cs="Arial"/>
          <w:color w:val="000000"/>
          <w:lang w:eastAsia="bg-BG"/>
        </w:rPr>
      </w:pPr>
    </w:p>
    <w:p w14:paraId="11CAA7B0" w14:textId="725DC7A0" w:rsidR="00250EA6" w:rsidRPr="00250EA6" w:rsidRDefault="00250EA6" w:rsidP="00250EA6">
      <w:pPr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Препоръчва се повишено внимание при пациенти, подложени на терапия с други лекарствени средства, които може да повишат риска от кървене, напр. антикоагуланти или инхибитори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тромбоцитната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агрегация (виж т. 4.5).</w:t>
      </w:r>
    </w:p>
    <w:p w14:paraId="3236CABC" w14:textId="77777777" w:rsidR="00250EA6" w:rsidRPr="00250EA6" w:rsidRDefault="00250EA6" w:rsidP="00250EA6">
      <w:pPr>
        <w:rPr>
          <w:rFonts w:eastAsia="Times New Roman" w:cs="Arial"/>
          <w:color w:val="000000"/>
          <w:lang w:eastAsia="bg-BG"/>
        </w:rPr>
      </w:pPr>
    </w:p>
    <w:p w14:paraId="1F72019C" w14:textId="7ED239D2" w:rsidR="00250EA6" w:rsidRDefault="00250EA6" w:rsidP="00250EA6">
      <w:pPr>
        <w:rPr>
          <w:rFonts w:eastAsia="Times New Roman" w:cs="Arial"/>
          <w:color w:val="000000"/>
          <w:lang w:eastAsia="bg-BG"/>
        </w:rPr>
      </w:pPr>
      <w:r w:rsidRPr="00250EA6">
        <w:rPr>
          <w:rFonts w:eastAsia="Times New Roman" w:cs="Arial"/>
          <w:color w:val="000000"/>
          <w:lang w:eastAsia="bg-BG"/>
        </w:rPr>
        <w:t xml:space="preserve">Тези пациенти трябва да бъдат внимателно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мониторирани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за следи и симптоми на кървене.</w:t>
      </w:r>
    </w:p>
    <w:p w14:paraId="62011B48" w14:textId="77777777" w:rsidR="00250EA6" w:rsidRPr="00250EA6" w:rsidRDefault="00250EA6" w:rsidP="00250EA6">
      <w:pPr>
        <w:rPr>
          <w:rFonts w:cs="Arial"/>
        </w:rPr>
      </w:pPr>
    </w:p>
    <w:p w14:paraId="5D37E947" w14:textId="4ECC2236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BB7C7BB" w14:textId="77777777" w:rsidR="00250EA6" w:rsidRDefault="00250EA6" w:rsidP="00250EA6"/>
    <w:p w14:paraId="08494B16" w14:textId="347640A7" w:rsidR="00250EA6" w:rsidRDefault="00250EA6" w:rsidP="00250EA6">
      <w:r>
        <w:t xml:space="preserve">Поради действието </w:t>
      </w:r>
      <w:r>
        <w:rPr>
          <w:i/>
          <w:iCs/>
          <w:lang w:val="en-US"/>
        </w:rPr>
        <w:t>in vitro</w:t>
      </w:r>
      <w:r>
        <w:rPr>
          <w:lang w:val="en-US"/>
        </w:rPr>
        <w:t xml:space="preserve"> </w:t>
      </w:r>
      <w:r>
        <w:t xml:space="preserve">на </w:t>
      </w:r>
      <w:proofErr w:type="spellStart"/>
      <w:r>
        <w:t>Проставазин</w:t>
      </w:r>
      <w:proofErr w:type="spellEnd"/>
      <w:r>
        <w:t xml:space="preserve"> като слаб инхибитор на </w:t>
      </w:r>
      <w:proofErr w:type="spellStart"/>
      <w:r>
        <w:t>тромбоцитната</w:t>
      </w:r>
      <w:proofErr w:type="spellEnd"/>
      <w:r>
        <w:t xml:space="preserve"> агрегация, е необходимо повишено внимание при пациенти, приемащи едновременно </w:t>
      </w:r>
      <w:r>
        <w:lastRenderedPageBreak/>
        <w:t xml:space="preserve">антикоагуланти и инхибитори на </w:t>
      </w:r>
      <w:proofErr w:type="spellStart"/>
      <w:r>
        <w:t>тромбоцитната</w:t>
      </w:r>
      <w:proofErr w:type="spellEnd"/>
      <w:r>
        <w:t xml:space="preserve"> агрегация. </w:t>
      </w:r>
      <w:proofErr w:type="spellStart"/>
      <w:r>
        <w:t>Проставазин</w:t>
      </w:r>
      <w:proofErr w:type="spellEnd"/>
      <w:r>
        <w:t xml:space="preserve"> може да усили ефекта на лекарствата, понижаващи кръвното налягане (напр. антихипертензивни лекарства, </w:t>
      </w:r>
      <w:proofErr w:type="spellStart"/>
      <w:r>
        <w:t>вазодилататори</w:t>
      </w:r>
      <w:proofErr w:type="spellEnd"/>
      <w:r>
        <w:t>), затова при пациенти, приемащи такива лекарства, трябва да се извършва внимателно наблюдение на кръвното налягане.</w:t>
      </w:r>
    </w:p>
    <w:p w14:paraId="379B19D7" w14:textId="77777777" w:rsidR="00250EA6" w:rsidRPr="00250EA6" w:rsidRDefault="00250EA6" w:rsidP="00250EA6"/>
    <w:p w14:paraId="2A6346D7" w14:textId="354CC5DC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5D4F605D" w14:textId="77777777" w:rsidR="00250EA6" w:rsidRPr="00250EA6" w:rsidRDefault="00250EA6" w:rsidP="00250EA6"/>
    <w:p w14:paraId="0A2A0F7B" w14:textId="77777777" w:rsidR="00250EA6" w:rsidRPr="00250EA6" w:rsidRDefault="00250EA6" w:rsidP="00250EA6">
      <w:pPr>
        <w:pStyle w:val="Heading3"/>
        <w:rPr>
          <w:rFonts w:eastAsia="Times New Roman"/>
          <w:u w:val="single"/>
        </w:rPr>
      </w:pPr>
      <w:r w:rsidRPr="00250EA6">
        <w:rPr>
          <w:rFonts w:eastAsia="Times New Roman"/>
          <w:u w:val="single"/>
          <w:lang w:eastAsia="bg-BG"/>
        </w:rPr>
        <w:t>Бременност</w:t>
      </w:r>
    </w:p>
    <w:p w14:paraId="0AA0856E" w14:textId="77777777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Проставазин</w:t>
      </w:r>
      <w:proofErr w:type="spellEnd"/>
      <w:r w:rsidRPr="00250EA6">
        <w:rPr>
          <w:lang w:eastAsia="bg-BG"/>
        </w:rPr>
        <w:t xml:space="preserve"> не трябва да се прилага на жени, които е възможно да забременеят или бременни жени. Жени с детероден потенциал, които ще приемат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, трябва да бъдат </w:t>
      </w:r>
      <w:proofErr w:type="spellStart"/>
      <w:r w:rsidRPr="00250EA6">
        <w:rPr>
          <w:lang w:eastAsia="bg-BG"/>
        </w:rPr>
        <w:t>посъветватни</w:t>
      </w:r>
      <w:proofErr w:type="spellEnd"/>
      <w:r w:rsidRPr="00250EA6">
        <w:rPr>
          <w:lang w:eastAsia="bg-BG"/>
        </w:rPr>
        <w:t xml:space="preserve"> да използват ефективни методи за контрацепция по време на лечението.</w:t>
      </w:r>
    </w:p>
    <w:p w14:paraId="61FA48D0" w14:textId="77777777" w:rsidR="00250EA6" w:rsidRDefault="00250EA6" w:rsidP="00250EA6">
      <w:pPr>
        <w:rPr>
          <w:lang w:eastAsia="bg-BG"/>
        </w:rPr>
      </w:pPr>
    </w:p>
    <w:p w14:paraId="4B2B72B9" w14:textId="088B459D" w:rsidR="00250EA6" w:rsidRPr="00250EA6" w:rsidRDefault="00250EA6" w:rsidP="00250EA6">
      <w:pPr>
        <w:pStyle w:val="Heading3"/>
        <w:rPr>
          <w:rFonts w:eastAsia="Times New Roman"/>
          <w:u w:val="single"/>
        </w:rPr>
      </w:pPr>
      <w:r w:rsidRPr="00250EA6">
        <w:rPr>
          <w:rFonts w:eastAsia="Times New Roman"/>
          <w:u w:val="single"/>
          <w:lang w:eastAsia="bg-BG"/>
        </w:rPr>
        <w:t>Кърмене</w:t>
      </w:r>
    </w:p>
    <w:p w14:paraId="5CDD1206" w14:textId="77777777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Проставазин</w:t>
      </w:r>
      <w:proofErr w:type="spellEnd"/>
      <w:r w:rsidRPr="00250EA6">
        <w:rPr>
          <w:lang w:eastAsia="bg-BG"/>
        </w:rPr>
        <w:t xml:space="preserve"> не трябва да се прилага на кърмещи майки.</w:t>
      </w:r>
    </w:p>
    <w:p w14:paraId="70EFA9AA" w14:textId="77777777" w:rsidR="00250EA6" w:rsidRDefault="00250EA6" w:rsidP="00250EA6">
      <w:pPr>
        <w:rPr>
          <w:lang w:eastAsia="bg-BG"/>
        </w:rPr>
      </w:pPr>
    </w:p>
    <w:p w14:paraId="280962D2" w14:textId="59C836EB" w:rsidR="00250EA6" w:rsidRPr="00250EA6" w:rsidRDefault="00250EA6" w:rsidP="00250EA6">
      <w:pPr>
        <w:pStyle w:val="Heading3"/>
        <w:rPr>
          <w:rFonts w:eastAsia="Times New Roman"/>
          <w:u w:val="single"/>
        </w:rPr>
      </w:pPr>
      <w:proofErr w:type="spellStart"/>
      <w:r w:rsidRPr="00250EA6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7A243CAC" w14:textId="4930A8A6" w:rsidR="00250EA6" w:rsidRDefault="00250EA6" w:rsidP="00250EA6">
      <w:pPr>
        <w:rPr>
          <w:lang w:eastAsia="bg-BG"/>
        </w:rPr>
      </w:pPr>
      <w:r w:rsidRPr="00250EA6">
        <w:rPr>
          <w:lang w:eastAsia="bg-BG"/>
        </w:rPr>
        <w:t xml:space="preserve">Проведени са предклинични изпитвания за </w:t>
      </w:r>
      <w:proofErr w:type="spellStart"/>
      <w:r w:rsidRPr="00250EA6">
        <w:rPr>
          <w:lang w:eastAsia="bg-BG"/>
        </w:rPr>
        <w:t>Фертилитет</w:t>
      </w:r>
      <w:proofErr w:type="spellEnd"/>
      <w:r w:rsidRPr="00250EA6">
        <w:rPr>
          <w:lang w:eastAsia="bg-BG"/>
        </w:rPr>
        <w:t xml:space="preserve"> при препоръчителната клинична дозировка за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; не се очакват ефекти върху </w:t>
      </w:r>
      <w:proofErr w:type="spellStart"/>
      <w:r w:rsidRPr="00250EA6">
        <w:rPr>
          <w:lang w:eastAsia="bg-BG"/>
        </w:rPr>
        <w:t>фертилитета</w:t>
      </w:r>
      <w:proofErr w:type="spellEnd"/>
      <w:r w:rsidRPr="00250EA6">
        <w:rPr>
          <w:lang w:eastAsia="bg-BG"/>
        </w:rPr>
        <w:t>.</w:t>
      </w:r>
    </w:p>
    <w:p w14:paraId="6AC2D27A" w14:textId="77777777" w:rsidR="00250EA6" w:rsidRPr="00250EA6" w:rsidRDefault="00250EA6" w:rsidP="00250EA6"/>
    <w:p w14:paraId="71DE6E9A" w14:textId="4F117AEB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30C29F05" w14:textId="77777777" w:rsidR="00250EA6" w:rsidRDefault="00250EA6" w:rsidP="00250EA6">
      <w:pPr>
        <w:rPr>
          <w:lang w:eastAsia="bg-BG"/>
        </w:rPr>
      </w:pPr>
    </w:p>
    <w:p w14:paraId="62B6DBE2" w14:textId="55B8E1FE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може да причини понижаване на </w:t>
      </w:r>
      <w:proofErr w:type="spellStart"/>
      <w:r w:rsidRPr="00250EA6">
        <w:rPr>
          <w:lang w:eastAsia="bg-BG"/>
        </w:rPr>
        <w:t>систоличното</w:t>
      </w:r>
      <w:proofErr w:type="spellEnd"/>
      <w:r w:rsidRPr="00250EA6">
        <w:rPr>
          <w:lang w:eastAsia="bg-BG"/>
        </w:rPr>
        <w:t xml:space="preserve"> кръвно налягане и по този начин може да повлияе в умерена степен на способността за шофиране и работа с машини.</w:t>
      </w:r>
    </w:p>
    <w:p w14:paraId="6CA57916" w14:textId="113E5145" w:rsidR="00250EA6" w:rsidRDefault="00250EA6" w:rsidP="00250EA6">
      <w:pPr>
        <w:rPr>
          <w:lang w:eastAsia="bg-BG"/>
        </w:rPr>
      </w:pPr>
      <w:r w:rsidRPr="00250EA6">
        <w:rPr>
          <w:lang w:eastAsia="bg-BG"/>
        </w:rPr>
        <w:t>Пациентите трябва да се предупредят за тази вероятност и да бъдат уведомени, че е необходимо повишено внимание при шофиране на автомобил или работа с машини.</w:t>
      </w:r>
    </w:p>
    <w:p w14:paraId="1EC08C86" w14:textId="77777777" w:rsidR="00250EA6" w:rsidRPr="00250EA6" w:rsidRDefault="00250EA6" w:rsidP="00250EA6"/>
    <w:p w14:paraId="6698E6B8" w14:textId="355B632D" w:rsidR="00C809A7" w:rsidRDefault="002C50EE" w:rsidP="00AA23EC">
      <w:pPr>
        <w:pStyle w:val="Heading2"/>
      </w:pPr>
      <w:r>
        <w:t>4.8. Нежелани лекарствени реакции</w:t>
      </w:r>
    </w:p>
    <w:p w14:paraId="0533AB83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B59823" w14:textId="34FA664F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>Класификацията на нежеланите реакции според честотата е: много чести (</w:t>
      </w:r>
      <w:r w:rsidRPr="00250EA6">
        <w:rPr>
          <w:rFonts w:eastAsia="Times New Roman" w:cs="Arial"/>
          <w:color w:val="000000"/>
          <w:lang w:val="en-US"/>
        </w:rPr>
        <w:t>≥</w:t>
      </w:r>
      <w:r w:rsidRPr="00250EA6">
        <w:rPr>
          <w:rFonts w:eastAsia="Times New Roman" w:cs="Arial"/>
          <w:color w:val="000000"/>
          <w:lang w:eastAsia="bg-BG"/>
        </w:rPr>
        <w:t>1/10), чести ((</w:t>
      </w:r>
      <w:r w:rsidRPr="00250EA6">
        <w:rPr>
          <w:rFonts w:eastAsia="Times New Roman" w:cs="Arial"/>
          <w:color w:val="000000"/>
          <w:lang w:val="en-US"/>
        </w:rPr>
        <w:t>≥</w:t>
      </w:r>
      <w:r w:rsidRPr="00250EA6">
        <w:rPr>
          <w:rFonts w:eastAsia="Times New Roman" w:cs="Arial"/>
          <w:color w:val="000000"/>
          <w:lang w:eastAsia="bg-BG"/>
        </w:rPr>
        <w:t>1/100, &lt;1/10), нечести (</w:t>
      </w:r>
      <w:r w:rsidRPr="00250EA6">
        <w:rPr>
          <w:rFonts w:eastAsia="Times New Roman" w:cs="Arial"/>
          <w:color w:val="000000"/>
          <w:lang w:val="en-US"/>
        </w:rPr>
        <w:t>≥</w:t>
      </w:r>
      <w:r w:rsidRPr="00250EA6">
        <w:rPr>
          <w:rFonts w:eastAsia="Times New Roman" w:cs="Arial"/>
          <w:color w:val="000000"/>
          <w:lang w:eastAsia="bg-BG"/>
        </w:rPr>
        <w:t>1/1000, &lt;1/100), редки (</w:t>
      </w:r>
      <w:r w:rsidRPr="00250EA6">
        <w:rPr>
          <w:rFonts w:eastAsia="Times New Roman" w:cs="Arial"/>
          <w:color w:val="000000"/>
          <w:lang w:val="en-US"/>
        </w:rPr>
        <w:t>≥</w:t>
      </w:r>
      <w:r w:rsidRPr="00250EA6">
        <w:rPr>
          <w:rFonts w:eastAsia="Times New Roman" w:cs="Arial"/>
          <w:color w:val="000000"/>
          <w:lang w:eastAsia="bg-BG"/>
        </w:rPr>
        <w:t>1/10000, &lt;1/1000), много редки (&lt;1/10000), с неизвестна честота (от наличните данни не може да бъде направена оценка).</w:t>
      </w:r>
    </w:p>
    <w:p w14:paraId="0E9A5128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При приложението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могат да се наблюдават следните нежелани лекарствени реакции:</w:t>
      </w:r>
    </w:p>
    <w:p w14:paraId="55518F7C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282839" w14:textId="4D1C64BD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Нарушения на кръвта и лимфната система</w:t>
      </w:r>
    </w:p>
    <w:p w14:paraId="0C9BF17F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Редки:</w:t>
      </w:r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тромбоцитопения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левкопения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левкоцитоза</w:t>
      </w:r>
      <w:proofErr w:type="spellEnd"/>
    </w:p>
    <w:p w14:paraId="6B8E4C92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8C3FFF" w14:textId="2573EE6B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007FEF95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Чести:</w:t>
      </w:r>
      <w:r w:rsidRPr="00250EA6">
        <w:rPr>
          <w:rFonts w:eastAsia="Times New Roman" w:cs="Arial"/>
          <w:color w:val="000000"/>
          <w:lang w:eastAsia="bg-BG"/>
        </w:rPr>
        <w:t xml:space="preserve"> главоболие</w:t>
      </w:r>
    </w:p>
    <w:p w14:paraId="4716E7B8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Редки:</w:t>
      </w:r>
      <w:r w:rsidRPr="00250EA6">
        <w:rPr>
          <w:rFonts w:eastAsia="Times New Roman" w:cs="Arial"/>
          <w:color w:val="000000"/>
          <w:lang w:eastAsia="bg-BG"/>
        </w:rPr>
        <w:t xml:space="preserve"> състояние на обърканост, конвулсии с церебрален произход</w:t>
      </w:r>
    </w:p>
    <w:p w14:paraId="54C44759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С </w:t>
      </w:r>
      <w:r w:rsidRPr="00250EA6">
        <w:rPr>
          <w:rFonts w:eastAsia="Times New Roman" w:cs="Arial"/>
          <w:i/>
          <w:iCs/>
          <w:color w:val="000000"/>
          <w:lang w:eastAsia="bg-BG"/>
        </w:rPr>
        <w:t>неизвестна честота:</w:t>
      </w:r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цереброваскуларен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инцидент</w:t>
      </w:r>
    </w:p>
    <w:p w14:paraId="3BCF942A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8F20DE8" w14:textId="5AA660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490C3853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250EA6">
        <w:rPr>
          <w:rFonts w:eastAsia="Times New Roman" w:cs="Arial"/>
          <w:color w:val="000000"/>
          <w:lang w:eastAsia="bg-BG"/>
        </w:rPr>
        <w:t xml:space="preserve"> понижаване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систоличното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кръвно налягане, тахикардия, ангина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пекторис</w:t>
      </w:r>
      <w:proofErr w:type="spellEnd"/>
    </w:p>
    <w:p w14:paraId="74D9A715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lastRenderedPageBreak/>
        <w:t>Редки:</w:t>
      </w:r>
      <w:r w:rsidRPr="00250EA6">
        <w:rPr>
          <w:rFonts w:eastAsia="Times New Roman" w:cs="Arial"/>
          <w:color w:val="000000"/>
          <w:lang w:eastAsia="bg-BG"/>
        </w:rPr>
        <w:t xml:space="preserve"> аритмия, двукамерна сърдечна недостатъчност</w:t>
      </w:r>
    </w:p>
    <w:p w14:paraId="5CEBD626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250EA6">
        <w:rPr>
          <w:rFonts w:eastAsia="Times New Roman" w:cs="Arial"/>
          <w:color w:val="000000"/>
          <w:lang w:eastAsia="bg-BG"/>
        </w:rPr>
        <w:t xml:space="preserve"> инфаркт на миокарда</w:t>
      </w:r>
    </w:p>
    <w:p w14:paraId="69C58C5B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836404" w14:textId="534A705D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 xml:space="preserve">Респираторни, гръдни и </w:t>
      </w:r>
      <w:proofErr w:type="spellStart"/>
      <w:r w:rsidRPr="00250EA6">
        <w:rPr>
          <w:rFonts w:eastAsia="Times New Roman" w:cs="Arial"/>
          <w:color w:val="000000"/>
          <w:u w:val="single"/>
          <w:lang w:eastAsia="bg-BG"/>
        </w:rPr>
        <w:t>медиастинални</w:t>
      </w:r>
      <w:proofErr w:type="spellEnd"/>
      <w:r w:rsidRPr="00250EA6">
        <w:rPr>
          <w:rFonts w:eastAsia="Times New Roman" w:cs="Arial"/>
          <w:color w:val="000000"/>
          <w:u w:val="single"/>
          <w:lang w:eastAsia="bg-BG"/>
        </w:rPr>
        <w:t xml:space="preserve"> нарушения</w:t>
      </w:r>
    </w:p>
    <w:p w14:paraId="71A0E316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Редки:</w:t>
      </w:r>
      <w:r w:rsidRPr="00250EA6">
        <w:rPr>
          <w:rFonts w:eastAsia="Times New Roman" w:cs="Arial"/>
          <w:color w:val="000000"/>
          <w:lang w:eastAsia="bg-BG"/>
        </w:rPr>
        <w:t xml:space="preserve"> белодробен оток</w:t>
      </w:r>
    </w:p>
    <w:p w14:paraId="4434C9F0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диспнея</w:t>
      </w:r>
      <w:proofErr w:type="spellEnd"/>
    </w:p>
    <w:p w14:paraId="0B799B60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33DB46" w14:textId="55A08E22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386FD32A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250EA6">
        <w:rPr>
          <w:rFonts w:eastAsia="Times New Roman" w:cs="Arial"/>
          <w:color w:val="000000"/>
          <w:lang w:eastAsia="bg-BG"/>
        </w:rPr>
        <w:t xml:space="preserve"> стомашно-чревни реакции (гадене, повръщане); стимулира перисталтиката (диария, гадене, повръщане)</w:t>
      </w:r>
    </w:p>
    <w:p w14:paraId="3504B7B8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С </w:t>
      </w:r>
      <w:r w:rsidRPr="00250EA6">
        <w:rPr>
          <w:rFonts w:eastAsia="Times New Roman" w:cs="Arial"/>
          <w:i/>
          <w:iCs/>
          <w:color w:val="000000"/>
          <w:lang w:eastAsia="bg-BG"/>
        </w:rPr>
        <w:t>неизвестна честота:</w:t>
      </w:r>
      <w:r w:rsidRPr="00250EA6">
        <w:rPr>
          <w:rFonts w:eastAsia="Times New Roman" w:cs="Arial"/>
          <w:color w:val="000000"/>
          <w:lang w:eastAsia="bg-BG"/>
        </w:rPr>
        <w:t xml:space="preserve"> стомашно-чревен кръвоизлив</w:t>
      </w:r>
    </w:p>
    <w:p w14:paraId="7BB7CF81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08CFEF" w14:textId="0F1D8D06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1A1DBF3F" w14:textId="6A569EAD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u w:val="single"/>
          <w:lang w:eastAsia="bg-BG"/>
        </w:rPr>
        <w:t>С неизвестна честота:</w:t>
      </w:r>
      <w:r w:rsidRPr="00250EA6">
        <w:rPr>
          <w:rFonts w:eastAsia="Times New Roman" w:cs="Arial"/>
          <w:color w:val="000000"/>
          <w:u w:val="single"/>
          <w:lang w:eastAsia="bg-BG"/>
        </w:rPr>
        <w:t xml:space="preserve"> кръвоизлив</w:t>
      </w:r>
    </w:p>
    <w:p w14:paraId="08C0DFCE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23E88F1" w14:textId="09FB4CE0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u w:val="single"/>
          <w:lang w:eastAsia="bg-BG"/>
        </w:rPr>
        <w:t>Хепатобилиарни</w:t>
      </w:r>
      <w:proofErr w:type="spellEnd"/>
      <w:r w:rsidRPr="00250EA6">
        <w:rPr>
          <w:rFonts w:eastAsia="Times New Roman" w:cs="Arial"/>
          <w:color w:val="000000"/>
          <w:u w:val="single"/>
          <w:lang w:eastAsia="bg-BG"/>
        </w:rPr>
        <w:t xml:space="preserve"> нарушения</w:t>
      </w:r>
    </w:p>
    <w:p w14:paraId="341829BE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Редки:</w:t>
      </w:r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абнормни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стойности на чернодробните ензими</w:t>
      </w:r>
    </w:p>
    <w:p w14:paraId="421A6757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E062D9A" w14:textId="070ABDA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6E1033AD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Чести:</w:t>
      </w:r>
      <w:r w:rsidRPr="00250EA6">
        <w:rPr>
          <w:rFonts w:eastAsia="Times New Roman" w:cs="Arial"/>
          <w:color w:val="000000"/>
          <w:lang w:eastAsia="bg-BG"/>
        </w:rPr>
        <w:t xml:space="preserve"> зачервяване, оток, зачервяване на лицето</w:t>
      </w:r>
    </w:p>
    <w:p w14:paraId="7E9B5FAA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250EA6">
        <w:rPr>
          <w:rFonts w:eastAsia="Times New Roman" w:cs="Arial"/>
          <w:color w:val="000000"/>
          <w:lang w:eastAsia="bg-BG"/>
        </w:rPr>
        <w:t xml:space="preserve"> алергични реакции (кожна свръхчувствителност като обрив, дискомфорт в ставите,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фебрилни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реакции, изпотяване, студени тръпки)</w:t>
      </w:r>
    </w:p>
    <w:p w14:paraId="079C0223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B20BA6" w14:textId="2FBD2E0A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u w:val="single"/>
          <w:lang w:eastAsia="bg-BG"/>
        </w:rPr>
        <w:t>Обши нарушения и ефекти на мястото на приложение</w:t>
      </w:r>
    </w:p>
    <w:p w14:paraId="2E75A1C4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Чести:</w:t>
      </w:r>
      <w:r w:rsidRPr="00250EA6">
        <w:rPr>
          <w:rFonts w:eastAsia="Times New Roman" w:cs="Arial"/>
          <w:color w:val="000000"/>
          <w:lang w:eastAsia="bg-BG"/>
        </w:rPr>
        <w:t xml:space="preserve"> болка, главоболие, след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интрааргериално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приложение: усещане за затопляне, усещане за подуване, локализиран оток,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парестезия</w:t>
      </w:r>
      <w:proofErr w:type="spellEnd"/>
    </w:p>
    <w:p w14:paraId="0DF87F75" w14:textId="2F4ECCB6" w:rsidR="00250EA6" w:rsidRDefault="00250EA6" w:rsidP="00250EA6">
      <w:pPr>
        <w:rPr>
          <w:rFonts w:eastAsia="Times New Roman" w:cs="Arial"/>
          <w:color w:val="000000"/>
          <w:lang w:eastAsia="bg-BG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250EA6">
        <w:rPr>
          <w:rFonts w:eastAsia="Times New Roman" w:cs="Arial"/>
          <w:color w:val="000000"/>
          <w:lang w:eastAsia="bg-BG"/>
        </w:rPr>
        <w:t xml:space="preserve"> след интравенозно приложение: усещане за затопляне, усещане за подуване, локализиран оток,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парестезия</w:t>
      </w:r>
      <w:proofErr w:type="spellEnd"/>
    </w:p>
    <w:p w14:paraId="7991C2B5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i/>
          <w:iCs/>
          <w:lang w:eastAsia="bg-BG"/>
        </w:rPr>
        <w:t>Много редки:</w:t>
      </w:r>
      <w:r w:rsidRPr="00250EA6">
        <w:rPr>
          <w:lang w:eastAsia="bg-BG"/>
        </w:rPr>
        <w:t xml:space="preserve"> </w:t>
      </w:r>
      <w:proofErr w:type="spellStart"/>
      <w:r w:rsidRPr="00250EA6">
        <w:rPr>
          <w:lang w:eastAsia="bg-BG"/>
        </w:rPr>
        <w:t>анафилактични</w:t>
      </w:r>
      <w:proofErr w:type="spellEnd"/>
      <w:r w:rsidRPr="00250EA6">
        <w:rPr>
          <w:lang w:eastAsia="bg-BG"/>
        </w:rPr>
        <w:t xml:space="preserve"> / </w:t>
      </w:r>
      <w:proofErr w:type="spellStart"/>
      <w:r w:rsidRPr="00250EA6">
        <w:rPr>
          <w:lang w:eastAsia="bg-BG"/>
        </w:rPr>
        <w:t>анафилактоидни</w:t>
      </w:r>
      <w:proofErr w:type="spellEnd"/>
      <w:r w:rsidRPr="00250EA6">
        <w:rPr>
          <w:lang w:eastAsia="bg-BG"/>
        </w:rPr>
        <w:t xml:space="preserve"> реакции</w:t>
      </w:r>
    </w:p>
    <w:p w14:paraId="67E79190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i/>
          <w:iCs/>
          <w:lang w:eastAsia="bg-BG"/>
        </w:rPr>
        <w:t>С неизвестна честота:</w:t>
      </w:r>
      <w:r w:rsidRPr="00250EA6">
        <w:rPr>
          <w:lang w:eastAsia="bg-BG"/>
        </w:rPr>
        <w:t xml:space="preserve"> флебит на мястото на инжектиране, тромбоза на мястото в края на катетъра, локално кървене.</w:t>
      </w:r>
    </w:p>
    <w:p w14:paraId="7B64BA0E" w14:textId="77777777" w:rsidR="00250EA6" w:rsidRDefault="00250EA6" w:rsidP="00250EA6">
      <w:pPr>
        <w:rPr>
          <w:u w:val="single"/>
          <w:lang w:eastAsia="bg-BG"/>
        </w:rPr>
      </w:pPr>
    </w:p>
    <w:p w14:paraId="39C82C3C" w14:textId="7277DCF6" w:rsidR="00250EA6" w:rsidRPr="00250EA6" w:rsidRDefault="00250EA6" w:rsidP="00250EA6">
      <w:pPr>
        <w:rPr>
          <w:sz w:val="24"/>
          <w:szCs w:val="24"/>
        </w:rPr>
      </w:pPr>
      <w:r w:rsidRPr="00250EA6">
        <w:rPr>
          <w:u w:val="single"/>
          <w:lang w:eastAsia="bg-BG"/>
        </w:rPr>
        <w:t>Съобщаване на подозирани нежелани реакции</w:t>
      </w:r>
    </w:p>
    <w:p w14:paraId="4F55DB5A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Съобщаването на подозирани нежелани реакции след разрешаване за употреба </w:t>
      </w:r>
      <w:proofErr w:type="spellStart"/>
      <w:r w:rsidRPr="00250EA6">
        <w:rPr>
          <w:lang w:eastAsia="bg-BG"/>
        </w:rPr>
        <w:t>иа</w:t>
      </w:r>
      <w:proofErr w:type="spellEnd"/>
      <w:r w:rsidRPr="00250EA6">
        <w:rPr>
          <w:lang w:eastAsia="bg-BG"/>
        </w:rPr>
        <w:t xml:space="preserve">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2BCCF891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>Изпълнителна агенция по лекарствата</w:t>
      </w:r>
    </w:p>
    <w:p w14:paraId="7168A997" w14:textId="77777777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ул</w:t>
      </w:r>
      <w:proofErr w:type="spellEnd"/>
      <w:r w:rsidRPr="00250EA6">
        <w:rPr>
          <w:lang w:eastAsia="bg-BG"/>
        </w:rPr>
        <w:t>.,Дамян Груев''№ 8</w:t>
      </w:r>
    </w:p>
    <w:p w14:paraId="573EFAAB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>1303 София</w:t>
      </w:r>
    </w:p>
    <w:p w14:paraId="262352DB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>Тел.:+359 2 8903417</w:t>
      </w:r>
    </w:p>
    <w:p w14:paraId="342E6224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уебсайт: </w:t>
      </w:r>
      <w:hyperlink r:id="rId5" w:history="1">
        <w:r w:rsidRPr="00250EA6">
          <w:rPr>
            <w:u w:val="single"/>
            <w:lang w:val="en-US"/>
          </w:rPr>
          <w:t>www.bda.bg</w:t>
        </w:r>
      </w:hyperlink>
    </w:p>
    <w:p w14:paraId="7D10312A" w14:textId="77777777" w:rsidR="00250EA6" w:rsidRPr="00250EA6" w:rsidRDefault="00250EA6" w:rsidP="00250EA6">
      <w:pPr>
        <w:rPr>
          <w:rFonts w:cs="Arial"/>
        </w:rPr>
      </w:pPr>
    </w:p>
    <w:p w14:paraId="4239D218" w14:textId="6242B27B" w:rsidR="00C809A7" w:rsidRDefault="002C50EE" w:rsidP="00AA23EC">
      <w:pPr>
        <w:pStyle w:val="Heading2"/>
      </w:pPr>
      <w:r>
        <w:t>4.9. Предозиране</w:t>
      </w:r>
    </w:p>
    <w:p w14:paraId="4CA2C49D" w14:textId="77777777" w:rsidR="00250EA6" w:rsidRDefault="00250EA6" w:rsidP="00250EA6">
      <w:pPr>
        <w:rPr>
          <w:lang w:eastAsia="bg-BG"/>
        </w:rPr>
      </w:pPr>
    </w:p>
    <w:p w14:paraId="5A1EEA88" w14:textId="4C6EAAFF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В случай на предозиране на </w:t>
      </w:r>
      <w:proofErr w:type="spellStart"/>
      <w:r w:rsidRPr="00250EA6">
        <w:rPr>
          <w:lang w:eastAsia="bg-BG"/>
        </w:rPr>
        <w:t>Проставазин</w:t>
      </w:r>
      <w:proofErr w:type="spellEnd"/>
      <w:r w:rsidRPr="00250EA6">
        <w:rPr>
          <w:lang w:eastAsia="bg-BG"/>
        </w:rPr>
        <w:t xml:space="preserve"> може да настъпят следните системни симптоми: понижение на кръвното налягане и тахикардия, </w:t>
      </w:r>
      <w:proofErr w:type="spellStart"/>
      <w:r w:rsidRPr="00250EA6">
        <w:rPr>
          <w:lang w:eastAsia="bg-BG"/>
        </w:rPr>
        <w:t>вазовагален</w:t>
      </w:r>
      <w:proofErr w:type="spellEnd"/>
      <w:r w:rsidRPr="00250EA6">
        <w:rPr>
          <w:lang w:eastAsia="bg-BG"/>
        </w:rPr>
        <w:t xml:space="preserve"> </w:t>
      </w:r>
      <w:proofErr w:type="spellStart"/>
      <w:r w:rsidRPr="00250EA6">
        <w:rPr>
          <w:lang w:eastAsia="bg-BG"/>
        </w:rPr>
        <w:t>синкоп</w:t>
      </w:r>
      <w:proofErr w:type="spellEnd"/>
      <w:r w:rsidRPr="00250EA6">
        <w:rPr>
          <w:lang w:eastAsia="bg-BG"/>
        </w:rPr>
        <w:t xml:space="preserve"> с бледност, потене, гадене и повръщане.</w:t>
      </w:r>
    </w:p>
    <w:p w14:paraId="6F183CCB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lastRenderedPageBreak/>
        <w:t>Локалните симптоми може да са: болка, оток, зачервяване по вената на инфузия.</w:t>
      </w:r>
    </w:p>
    <w:p w14:paraId="0FE12C56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В случай на предозиране, или ако се появят симптоми на предозиране, инфузията трябва да се намали или незабавно да се преустанови. В случай на хипотония, пациентът трябва да бъде поставен в легнало положение и краката му да се поставят в повдигнато положение. Ако симптомите продължават, трябва да се направят кардиологичен преглед или функционални изследвания. При необходимост, трябва да се приложи лекарство за стабилизиране на кръвообращението (напр. </w:t>
      </w:r>
      <w:proofErr w:type="spellStart"/>
      <w:r w:rsidRPr="00250EA6">
        <w:rPr>
          <w:lang w:eastAsia="bg-BG"/>
        </w:rPr>
        <w:t>симпатикомиметично</w:t>
      </w:r>
      <w:proofErr w:type="spellEnd"/>
      <w:r w:rsidRPr="00250EA6">
        <w:rPr>
          <w:lang w:eastAsia="bg-BG"/>
        </w:rPr>
        <w:t xml:space="preserve"> средство). В случай на тежки сърдечно-съдови реакции (напр. исхемия на миокарда, сърдечна недостатъчност), инфузията трябва да се спре незабавно., както и да се започне подходящо лечение и да се предприемат спешни мерки/ лечение по спешност.</w:t>
      </w:r>
    </w:p>
    <w:p w14:paraId="33C5FB37" w14:textId="77777777" w:rsidR="00250EA6" w:rsidRPr="00250EA6" w:rsidRDefault="00250EA6" w:rsidP="00250EA6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1B5D9BEC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A541C0D" w14:textId="77777777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Фармакотерапевтична</w:t>
      </w:r>
      <w:proofErr w:type="spellEnd"/>
      <w:r w:rsidRPr="00250EA6">
        <w:rPr>
          <w:lang w:eastAsia="bg-BG"/>
        </w:rPr>
        <w:t xml:space="preserve"> група: други сърдечни препарати, АТС код: С01ЕА01.</w:t>
      </w:r>
    </w:p>
    <w:p w14:paraId="15D963FC" w14:textId="77777777" w:rsidR="00250EA6" w:rsidRDefault="00250EA6" w:rsidP="00250EA6">
      <w:pPr>
        <w:rPr>
          <w:u w:val="single"/>
          <w:lang w:eastAsia="bg-BG"/>
        </w:rPr>
      </w:pPr>
    </w:p>
    <w:p w14:paraId="07C51B1B" w14:textId="68516695" w:rsidR="00250EA6" w:rsidRPr="00250EA6" w:rsidRDefault="00250EA6" w:rsidP="00250EA6">
      <w:pPr>
        <w:rPr>
          <w:sz w:val="24"/>
          <w:szCs w:val="24"/>
        </w:rPr>
      </w:pPr>
      <w:r w:rsidRPr="00250EA6">
        <w:rPr>
          <w:u w:val="single"/>
          <w:lang w:eastAsia="bg-BG"/>
        </w:rPr>
        <w:t>Механизъм на действие</w:t>
      </w:r>
    </w:p>
    <w:p w14:paraId="2FADA25E" w14:textId="77777777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подобрява нарушената микроциркулация на кръвта. След интравенозна инфузия при доброволци и пациенти е установено, че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увеличава </w:t>
      </w:r>
      <w:proofErr w:type="spellStart"/>
      <w:r w:rsidRPr="00250EA6">
        <w:rPr>
          <w:lang w:eastAsia="bg-BG"/>
        </w:rPr>
        <w:t>деформабилитета</w:t>
      </w:r>
      <w:proofErr w:type="spellEnd"/>
      <w:r w:rsidRPr="00250EA6">
        <w:rPr>
          <w:lang w:eastAsia="bg-BG"/>
        </w:rPr>
        <w:t xml:space="preserve"> на еритроцитите и намалява </w:t>
      </w:r>
      <w:proofErr w:type="spellStart"/>
      <w:r w:rsidRPr="00250EA6">
        <w:rPr>
          <w:lang w:eastAsia="bg-BG"/>
        </w:rPr>
        <w:t>еритроцитната</w:t>
      </w:r>
      <w:proofErr w:type="spellEnd"/>
      <w:r w:rsidRPr="00250EA6">
        <w:rPr>
          <w:lang w:eastAsia="bg-BG"/>
        </w:rPr>
        <w:t xml:space="preserve"> агрегация </w:t>
      </w:r>
      <w:r w:rsidRPr="00250EA6">
        <w:rPr>
          <w:i/>
          <w:iCs/>
          <w:lang w:val="en-US"/>
        </w:rPr>
        <w:t>ex vivo.</w:t>
      </w:r>
    </w:p>
    <w:p w14:paraId="3F70E015" w14:textId="77777777" w:rsidR="00250EA6" w:rsidRDefault="00250EA6" w:rsidP="00250EA6">
      <w:pPr>
        <w:rPr>
          <w:i/>
          <w:iCs/>
          <w:lang w:val="en-US"/>
        </w:rPr>
      </w:pPr>
    </w:p>
    <w:p w14:paraId="333AB588" w14:textId="49077DC6" w:rsidR="00250EA6" w:rsidRPr="00250EA6" w:rsidRDefault="00250EA6" w:rsidP="00250EA6">
      <w:pPr>
        <w:rPr>
          <w:sz w:val="24"/>
          <w:szCs w:val="24"/>
        </w:rPr>
      </w:pPr>
      <w:r w:rsidRPr="00250EA6">
        <w:rPr>
          <w:i/>
          <w:iCs/>
          <w:lang w:val="en-US"/>
        </w:rPr>
        <w:t>In vitro,</w:t>
      </w:r>
      <w:r w:rsidRPr="00250EA6">
        <w:rPr>
          <w:lang w:val="en-US"/>
        </w:rPr>
        <w:t xml:space="preserve">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е инхибитор на </w:t>
      </w:r>
      <w:proofErr w:type="spellStart"/>
      <w:r w:rsidRPr="00250EA6">
        <w:rPr>
          <w:lang w:eastAsia="bg-BG"/>
        </w:rPr>
        <w:t>тромбоцитната</w:t>
      </w:r>
      <w:proofErr w:type="spellEnd"/>
      <w:r w:rsidRPr="00250EA6">
        <w:rPr>
          <w:lang w:eastAsia="bg-BG"/>
        </w:rPr>
        <w:t xml:space="preserve"> активация на няколко вида.</w:t>
      </w:r>
    </w:p>
    <w:p w14:paraId="6E5303E3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Това включва инхибиране на промяната във формата и агрегацията на </w:t>
      </w:r>
      <w:proofErr w:type="spellStart"/>
      <w:r w:rsidRPr="00250EA6">
        <w:rPr>
          <w:lang w:eastAsia="bg-BG"/>
        </w:rPr>
        <w:t>тромбоцитите</w:t>
      </w:r>
      <w:proofErr w:type="spellEnd"/>
      <w:r w:rsidRPr="00250EA6">
        <w:rPr>
          <w:lang w:eastAsia="bg-BG"/>
        </w:rPr>
        <w:t xml:space="preserve">, секрецията на гранулираните съставки, както и освобождаване на стимулиращия агрегацията </w:t>
      </w:r>
      <w:proofErr w:type="spellStart"/>
      <w:r w:rsidRPr="00250EA6">
        <w:rPr>
          <w:lang w:eastAsia="bg-BG"/>
        </w:rPr>
        <w:t>тромбоксан</w:t>
      </w:r>
      <w:proofErr w:type="spellEnd"/>
      <w:r w:rsidRPr="00250EA6">
        <w:rPr>
          <w:lang w:eastAsia="bg-BG"/>
        </w:rPr>
        <w:t xml:space="preserve">. В животински модели,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показва намаляване на образуването на тромби </w:t>
      </w:r>
      <w:r w:rsidRPr="00250EA6">
        <w:rPr>
          <w:i/>
          <w:iCs/>
          <w:lang w:val="en-US"/>
        </w:rPr>
        <w:t>in vivo,</w:t>
      </w:r>
    </w:p>
    <w:p w14:paraId="7F325583" w14:textId="77777777" w:rsidR="00250EA6" w:rsidRDefault="00250EA6" w:rsidP="00250EA6">
      <w:pPr>
        <w:rPr>
          <w:lang w:eastAsia="bg-BG"/>
        </w:rPr>
      </w:pPr>
    </w:p>
    <w:p w14:paraId="01C9015F" w14:textId="17464E30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инхибира стимулираната пролиферация на </w:t>
      </w:r>
      <w:proofErr w:type="spellStart"/>
      <w:r w:rsidRPr="00250EA6">
        <w:rPr>
          <w:lang w:eastAsia="bg-BG"/>
        </w:rPr>
        <w:t>васкуларни</w:t>
      </w:r>
      <w:proofErr w:type="spellEnd"/>
      <w:r w:rsidRPr="00250EA6">
        <w:rPr>
          <w:lang w:eastAsia="bg-BG"/>
        </w:rPr>
        <w:t xml:space="preserve"> </w:t>
      </w:r>
      <w:proofErr w:type="spellStart"/>
      <w:r w:rsidRPr="00250EA6">
        <w:rPr>
          <w:lang w:eastAsia="bg-BG"/>
        </w:rPr>
        <w:t>гладкомускулни</w:t>
      </w:r>
      <w:proofErr w:type="spellEnd"/>
      <w:r w:rsidRPr="00250EA6">
        <w:rPr>
          <w:lang w:eastAsia="bg-BG"/>
        </w:rPr>
        <w:t xml:space="preserve"> клетки </w:t>
      </w:r>
      <w:r w:rsidRPr="00250EA6">
        <w:rPr>
          <w:lang w:val="en-US"/>
        </w:rPr>
        <w:t xml:space="preserve">(VSMC) </w:t>
      </w:r>
      <w:r w:rsidRPr="00250EA6">
        <w:rPr>
          <w:i/>
          <w:iCs/>
          <w:lang w:val="en-US"/>
        </w:rPr>
        <w:t>in vitro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в ниски </w:t>
      </w:r>
      <w:proofErr w:type="spellStart"/>
      <w:r w:rsidRPr="00250EA6">
        <w:rPr>
          <w:lang w:eastAsia="bg-BG"/>
        </w:rPr>
        <w:t>наномоларни</w:t>
      </w:r>
      <w:proofErr w:type="spellEnd"/>
      <w:r w:rsidRPr="00250EA6">
        <w:rPr>
          <w:lang w:eastAsia="bg-BG"/>
        </w:rPr>
        <w:t xml:space="preserve"> концентрации. В терапевтични дози,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отслабва експериментално увеличената </w:t>
      </w:r>
      <w:proofErr w:type="spellStart"/>
      <w:r w:rsidRPr="00250EA6">
        <w:rPr>
          <w:lang w:eastAsia="bg-BG"/>
        </w:rPr>
        <w:t>митотична</w:t>
      </w:r>
      <w:proofErr w:type="spellEnd"/>
      <w:r w:rsidRPr="00250EA6">
        <w:rPr>
          <w:lang w:eastAsia="bg-BG"/>
        </w:rPr>
        <w:t xml:space="preserve"> дейност на </w:t>
      </w:r>
      <w:r w:rsidRPr="00250EA6">
        <w:rPr>
          <w:lang w:val="en-US"/>
        </w:rPr>
        <w:t xml:space="preserve">VSMC </w:t>
      </w:r>
      <w:r w:rsidRPr="00250EA6">
        <w:rPr>
          <w:lang w:eastAsia="bg-BG"/>
        </w:rPr>
        <w:t xml:space="preserve">при зайци и намалява броя на активирани </w:t>
      </w:r>
      <w:r w:rsidRPr="00250EA6">
        <w:rPr>
          <w:lang w:val="en-US"/>
        </w:rPr>
        <w:t xml:space="preserve">VSMC </w:t>
      </w:r>
      <w:r w:rsidRPr="00250EA6">
        <w:rPr>
          <w:lang w:eastAsia="bg-BG"/>
        </w:rPr>
        <w:t>в периферните съдове на човека.</w:t>
      </w:r>
    </w:p>
    <w:p w14:paraId="71335AE3" w14:textId="4FDD65B4" w:rsidR="00250EA6" w:rsidRDefault="00250EA6" w:rsidP="00250EA6"/>
    <w:p w14:paraId="5E84F100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В допълнение,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инхибира синтеза на холестерол в изолирани човешки </w:t>
      </w:r>
      <w:proofErr w:type="spellStart"/>
      <w:r w:rsidRPr="00250EA6">
        <w:rPr>
          <w:lang w:eastAsia="bg-BG"/>
        </w:rPr>
        <w:t>моноцити</w:t>
      </w:r>
      <w:proofErr w:type="spellEnd"/>
      <w:r w:rsidRPr="00250EA6">
        <w:rPr>
          <w:lang w:eastAsia="bg-BG"/>
        </w:rPr>
        <w:t xml:space="preserve">, като ефекта зависи от концентрацията Доказано е, че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намалява отлагането на холестерол по съдовите стени при зайци с атеросклеротични лезии и повишава нивото на </w:t>
      </w:r>
      <w:r w:rsidRPr="00250EA6">
        <w:rPr>
          <w:lang w:val="en-US"/>
        </w:rPr>
        <w:t xml:space="preserve">LDL- </w:t>
      </w:r>
      <w:r w:rsidRPr="00250EA6">
        <w:rPr>
          <w:lang w:eastAsia="bg-BG"/>
        </w:rPr>
        <w:t>рецепторната активност на черния дроб на плъхове, свине и хора.</w:t>
      </w:r>
    </w:p>
    <w:p w14:paraId="396DD6FC" w14:textId="77777777" w:rsidR="00250EA6" w:rsidRDefault="00250EA6" w:rsidP="00250EA6">
      <w:pPr>
        <w:rPr>
          <w:lang w:eastAsia="bg-BG"/>
        </w:rPr>
      </w:pPr>
    </w:p>
    <w:p w14:paraId="2D1E66B1" w14:textId="00D65454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Установено е, че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подобрява клетъчния метаболизъм чрез повишаване на извличането на кислород и глюкоза и тяхното използване в исхемичните тъкани.</w:t>
      </w:r>
    </w:p>
    <w:p w14:paraId="280FCA73" w14:textId="77777777" w:rsidR="00250EA6" w:rsidRDefault="00250EA6" w:rsidP="00250EA6">
      <w:pPr>
        <w:rPr>
          <w:lang w:eastAsia="bg-BG"/>
        </w:rPr>
      </w:pPr>
    </w:p>
    <w:p w14:paraId="0256580A" w14:textId="51543F5E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инхибира </w:t>
      </w:r>
      <w:proofErr w:type="spellStart"/>
      <w:r w:rsidRPr="00250EA6">
        <w:rPr>
          <w:lang w:eastAsia="bg-BG"/>
        </w:rPr>
        <w:t>неутрофилната</w:t>
      </w:r>
      <w:proofErr w:type="spellEnd"/>
      <w:r w:rsidRPr="00250EA6">
        <w:rPr>
          <w:lang w:eastAsia="bg-BG"/>
        </w:rPr>
        <w:t xml:space="preserve"> активност </w:t>
      </w:r>
      <w:r w:rsidRPr="00250EA6">
        <w:rPr>
          <w:i/>
          <w:iCs/>
          <w:lang w:val="en-US"/>
        </w:rPr>
        <w:t>in vitro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и </w:t>
      </w:r>
      <w:r w:rsidRPr="00250EA6">
        <w:rPr>
          <w:i/>
          <w:iCs/>
          <w:lang w:val="en-US"/>
        </w:rPr>
        <w:t>in vivo,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>което води до намаляване на отделянето на токсични метаболити. По този начин се неутрализира един ключов механизъм в патологията на увреждането на тъканите при възпаление и вероятно, също и при исхемия.</w:t>
      </w:r>
    </w:p>
    <w:p w14:paraId="65CF0088" w14:textId="77777777" w:rsidR="00250EA6" w:rsidRDefault="00250EA6" w:rsidP="00250EA6">
      <w:pPr>
        <w:rPr>
          <w:u w:val="single"/>
          <w:lang w:eastAsia="bg-BG"/>
        </w:rPr>
      </w:pPr>
    </w:p>
    <w:p w14:paraId="457C32E7" w14:textId="12A52D7E" w:rsidR="00250EA6" w:rsidRPr="00250EA6" w:rsidRDefault="00250EA6" w:rsidP="00250EA6">
      <w:pPr>
        <w:rPr>
          <w:sz w:val="24"/>
          <w:szCs w:val="24"/>
        </w:rPr>
      </w:pPr>
      <w:proofErr w:type="spellStart"/>
      <w:r w:rsidRPr="00250EA6">
        <w:rPr>
          <w:u w:val="single"/>
          <w:lang w:eastAsia="bg-BG"/>
        </w:rPr>
        <w:t>Фармакодинамични</w:t>
      </w:r>
      <w:proofErr w:type="spellEnd"/>
      <w:r w:rsidRPr="00250EA6">
        <w:rPr>
          <w:u w:val="single"/>
          <w:lang w:eastAsia="bg-BG"/>
        </w:rPr>
        <w:t xml:space="preserve"> ефекти</w:t>
      </w:r>
    </w:p>
    <w:p w14:paraId="48B99565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lastRenderedPageBreak/>
        <w:t xml:space="preserve">Активното вещество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увеличава притока на кръв чрез релаксация на артериите и </w:t>
      </w:r>
      <w:proofErr w:type="spellStart"/>
      <w:r w:rsidRPr="00250EA6">
        <w:rPr>
          <w:lang w:eastAsia="bg-BG"/>
        </w:rPr>
        <w:t>прекапилярните</w:t>
      </w:r>
      <w:proofErr w:type="spellEnd"/>
      <w:r w:rsidRPr="00250EA6">
        <w:rPr>
          <w:lang w:eastAsia="bg-BG"/>
        </w:rPr>
        <w:t xml:space="preserve"> </w:t>
      </w:r>
      <w:proofErr w:type="spellStart"/>
      <w:r w:rsidRPr="00250EA6">
        <w:rPr>
          <w:lang w:eastAsia="bg-BG"/>
        </w:rPr>
        <w:t>сфинктери</w:t>
      </w:r>
      <w:proofErr w:type="spellEnd"/>
      <w:r w:rsidRPr="00250EA6">
        <w:rPr>
          <w:lang w:eastAsia="bg-BG"/>
        </w:rPr>
        <w:t>.</w:t>
      </w:r>
    </w:p>
    <w:p w14:paraId="7B939C34" w14:textId="77777777" w:rsidR="00250EA6" w:rsidRPr="00250EA6" w:rsidRDefault="00250EA6" w:rsidP="00250EA6"/>
    <w:p w14:paraId="0A962168" w14:textId="45DD4B6D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AC771B1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След разтваряне,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 </w:t>
      </w:r>
      <w:r w:rsidRPr="00250EA6">
        <w:rPr>
          <w:lang w:val="en-US"/>
        </w:rPr>
        <w:t>(PGE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) </w:t>
      </w:r>
      <w:r w:rsidRPr="00250EA6">
        <w:rPr>
          <w:lang w:eastAsia="bg-BG"/>
        </w:rPr>
        <w:t xml:space="preserve">се </w:t>
      </w:r>
      <w:proofErr w:type="spellStart"/>
      <w:r w:rsidRPr="00250EA6">
        <w:rPr>
          <w:lang w:eastAsia="bg-BG"/>
        </w:rPr>
        <w:t>отдисоциира</w:t>
      </w:r>
      <w:proofErr w:type="spellEnd"/>
      <w:r w:rsidRPr="00250EA6">
        <w:rPr>
          <w:lang w:eastAsia="bg-BG"/>
        </w:rPr>
        <w:t xml:space="preserve"> от комплекса с а-</w:t>
      </w:r>
      <w:proofErr w:type="spellStart"/>
      <w:r w:rsidRPr="00250EA6">
        <w:rPr>
          <w:lang w:eastAsia="bg-BG"/>
        </w:rPr>
        <w:t>циклодекстрин</w:t>
      </w:r>
      <w:proofErr w:type="spellEnd"/>
      <w:r w:rsidRPr="00250EA6">
        <w:rPr>
          <w:lang w:eastAsia="bg-BG"/>
        </w:rPr>
        <w:t>, като след приложението фармакокинетиката на двете вещества е самостоятелна.</w:t>
      </w:r>
    </w:p>
    <w:p w14:paraId="50619E84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При здрави доброволци, средните плазмени концентрации на ендогенния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, </w:t>
      </w:r>
      <w:r w:rsidRPr="00250EA6">
        <w:rPr>
          <w:lang w:eastAsia="bg-BG"/>
        </w:rPr>
        <w:t xml:space="preserve">измерени по време на и 2 часа след интравенозна инфузия на плацебо са между 1-2 </w:t>
      </w:r>
      <w:proofErr w:type="spellStart"/>
      <w:r w:rsidRPr="00250EA6">
        <w:rPr>
          <w:lang w:val="en-US"/>
        </w:rPr>
        <w:t>pg</w:t>
      </w:r>
      <w:proofErr w:type="spellEnd"/>
      <w:r w:rsidRPr="00250EA6">
        <w:rPr>
          <w:lang w:val="en-US"/>
        </w:rPr>
        <w:t xml:space="preserve">/ml. </w:t>
      </w:r>
      <w:r w:rsidRPr="00250EA6">
        <w:rPr>
          <w:lang w:eastAsia="bg-BG"/>
        </w:rPr>
        <w:t xml:space="preserve">По време на 2- часова интравенозна инфузия на 60 </w:t>
      </w:r>
      <w:proofErr w:type="spellStart"/>
      <w:r w:rsidRPr="00250EA6">
        <w:rPr>
          <w:lang w:val="en-US"/>
        </w:rPr>
        <w:t>μg</w:t>
      </w:r>
      <w:proofErr w:type="spellEnd"/>
      <w:r w:rsidRPr="00250EA6">
        <w:rPr>
          <w:lang w:val="en-US"/>
        </w:rPr>
        <w:t xml:space="preserve">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, плазмените концентрации на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се повишават бързо до достигане на концентрация на платото от около 6 </w:t>
      </w:r>
      <w:proofErr w:type="spellStart"/>
      <w:r w:rsidRPr="00250EA6">
        <w:rPr>
          <w:lang w:val="en-US"/>
        </w:rPr>
        <w:t>pg</w:t>
      </w:r>
      <w:proofErr w:type="spellEnd"/>
      <w:r w:rsidRPr="00250EA6">
        <w:rPr>
          <w:lang w:val="en-US"/>
        </w:rPr>
        <w:t xml:space="preserve">/ml. </w:t>
      </w:r>
      <w:r w:rsidRPr="00250EA6">
        <w:rPr>
          <w:lang w:eastAsia="bg-BG"/>
        </w:rPr>
        <w:t xml:space="preserve">След спиране на инфузията с </w:t>
      </w:r>
      <w:proofErr w:type="spellStart"/>
      <w:r w:rsidRPr="00250EA6">
        <w:rPr>
          <w:lang w:eastAsia="bg-BG"/>
        </w:rPr>
        <w:t>Проставазин</w:t>
      </w:r>
      <w:proofErr w:type="spellEnd"/>
      <w:r w:rsidRPr="00250EA6">
        <w:rPr>
          <w:lang w:eastAsia="bg-BG"/>
        </w:rPr>
        <w:t xml:space="preserve"> плазмените концентрации на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след няколко минути се връщат до началното ниво. Повишаването на плазмените </w:t>
      </w:r>
      <w:proofErr w:type="spellStart"/>
      <w:r w:rsidRPr="00250EA6">
        <w:rPr>
          <w:lang w:val="en-US"/>
        </w:rPr>
        <w:t>PGEi</w:t>
      </w:r>
      <w:proofErr w:type="spellEnd"/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е пропорционално на приложената доза (нива на инфузия: 30 </w:t>
      </w:r>
      <w:proofErr w:type="spellStart"/>
      <w:r w:rsidRPr="00250EA6">
        <w:rPr>
          <w:lang w:val="en-US"/>
        </w:rPr>
        <w:t>μg</w:t>
      </w:r>
      <w:proofErr w:type="spellEnd"/>
      <w:r w:rsidRPr="00250EA6">
        <w:rPr>
          <w:lang w:val="en-US"/>
        </w:rPr>
        <w:t xml:space="preserve">/2h, </w:t>
      </w:r>
      <w:r w:rsidRPr="00250EA6">
        <w:rPr>
          <w:lang w:eastAsia="bg-BG"/>
        </w:rPr>
        <w:t xml:space="preserve">60 </w:t>
      </w:r>
      <w:proofErr w:type="spellStart"/>
      <w:r w:rsidRPr="00250EA6">
        <w:rPr>
          <w:lang w:val="en-US"/>
        </w:rPr>
        <w:t>μg</w:t>
      </w:r>
      <w:proofErr w:type="spellEnd"/>
      <w:r w:rsidRPr="00250EA6">
        <w:rPr>
          <w:lang w:val="en-US"/>
        </w:rPr>
        <w:t xml:space="preserve">/2h, </w:t>
      </w:r>
      <w:r w:rsidRPr="00250EA6">
        <w:rPr>
          <w:lang w:eastAsia="bg-BG"/>
        </w:rPr>
        <w:t xml:space="preserve">120 </w:t>
      </w:r>
      <w:proofErr w:type="spellStart"/>
      <w:r w:rsidRPr="00250EA6">
        <w:rPr>
          <w:lang w:val="en-US"/>
        </w:rPr>
        <w:t>μg</w:t>
      </w:r>
      <w:proofErr w:type="spellEnd"/>
      <w:r w:rsidRPr="00250EA6">
        <w:rPr>
          <w:lang w:val="en-US"/>
        </w:rPr>
        <w:t>/2h).</w:t>
      </w:r>
    </w:p>
    <w:p w14:paraId="5BD35F0D" w14:textId="77777777" w:rsidR="00250EA6" w:rsidRDefault="00250EA6" w:rsidP="00250EA6">
      <w:pPr>
        <w:rPr>
          <w:u w:val="single"/>
          <w:lang w:eastAsia="bg-BG"/>
        </w:rPr>
      </w:pPr>
    </w:p>
    <w:p w14:paraId="4C0B1AAC" w14:textId="5C0C3829" w:rsidR="00250EA6" w:rsidRPr="00250EA6" w:rsidRDefault="00250EA6" w:rsidP="00250EA6">
      <w:pPr>
        <w:pStyle w:val="Heading3"/>
        <w:rPr>
          <w:rFonts w:eastAsia="Times New Roman"/>
          <w:u w:val="single"/>
        </w:rPr>
      </w:pPr>
      <w:r w:rsidRPr="00250EA6">
        <w:rPr>
          <w:rFonts w:eastAsia="Times New Roman"/>
          <w:u w:val="single"/>
          <w:lang w:eastAsia="bg-BG"/>
        </w:rPr>
        <w:t>Разпределение</w:t>
      </w:r>
    </w:p>
    <w:p w14:paraId="610B27D3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Приблизително 90% от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>открити в плазмата са свързани с протеини.</w:t>
      </w:r>
    </w:p>
    <w:p w14:paraId="5CEF1BD9" w14:textId="77777777" w:rsidR="00250EA6" w:rsidRDefault="00250EA6" w:rsidP="00250EA6">
      <w:pPr>
        <w:rPr>
          <w:u w:val="single"/>
          <w:lang w:eastAsia="bg-BG"/>
        </w:rPr>
      </w:pPr>
    </w:p>
    <w:p w14:paraId="0403C6B6" w14:textId="77BE5C7D" w:rsidR="00250EA6" w:rsidRPr="00250EA6" w:rsidRDefault="00250EA6" w:rsidP="00250EA6">
      <w:pPr>
        <w:pStyle w:val="Heading3"/>
        <w:rPr>
          <w:rFonts w:eastAsia="Times New Roman"/>
          <w:u w:val="single"/>
        </w:rPr>
      </w:pPr>
      <w:r w:rsidRPr="00250EA6">
        <w:rPr>
          <w:rFonts w:eastAsia="Times New Roman"/>
          <w:u w:val="single"/>
          <w:lang w:eastAsia="bg-BG"/>
        </w:rPr>
        <w:t>Биотрансформация</w:t>
      </w:r>
    </w:p>
    <w:p w14:paraId="1FEAEDAA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Ензимната оксидация на С 15-хидрокси-група и скъсяването на двойната връзка С 13,14 води до получаване на първичните метаболити </w:t>
      </w:r>
      <w:r w:rsidRPr="00250EA6">
        <w:rPr>
          <w:smallCaps/>
          <w:lang w:val="en-US"/>
        </w:rPr>
        <w:t>15-k</w:t>
      </w:r>
      <w:r w:rsidRPr="00250EA6">
        <w:rPr>
          <w:smallCaps/>
          <w:lang w:eastAsia="bg-BG"/>
        </w:rPr>
        <w:t>е</w:t>
      </w:r>
      <w:r w:rsidRPr="00250EA6">
        <w:rPr>
          <w:smallCaps/>
          <w:lang w:val="en-US"/>
        </w:rPr>
        <w:t>to-PGE</w:t>
      </w:r>
      <w:r w:rsidRPr="00250EA6">
        <w:rPr>
          <w:smallCaps/>
          <w:vertAlign w:val="subscript"/>
          <w:lang w:val="en-US"/>
        </w:rPr>
        <w:t>1</w:t>
      </w:r>
      <w:r w:rsidRPr="00250EA6">
        <w:rPr>
          <w:smallCaps/>
          <w:lang w:val="en-US"/>
        </w:rPr>
        <w:t>,</w:t>
      </w:r>
      <w:r w:rsidRPr="00250EA6">
        <w:rPr>
          <w:lang w:val="en-US"/>
        </w:rPr>
        <w:t xml:space="preserve"> PGE</w:t>
      </w:r>
      <w:r w:rsidRPr="00250EA6">
        <w:rPr>
          <w:vertAlign w:val="subscript"/>
          <w:lang w:val="en-US"/>
        </w:rPr>
        <w:t>0</w:t>
      </w:r>
      <w:r w:rsidRPr="00250EA6">
        <w:rPr>
          <w:lang w:eastAsia="bg-BG"/>
        </w:rPr>
        <w:t>(13,14-дихидро-Р</w:t>
      </w:r>
      <w:r w:rsidRPr="00250EA6">
        <w:rPr>
          <w:lang w:val="en-US"/>
        </w:rPr>
        <w:t>G</w:t>
      </w:r>
      <w:r w:rsidRPr="00250EA6">
        <w:rPr>
          <w:lang w:eastAsia="bg-BG"/>
        </w:rPr>
        <w:t>Е</w:t>
      </w:r>
      <w:r w:rsidRPr="00250EA6">
        <w:rPr>
          <w:vertAlign w:val="subscript"/>
          <w:lang w:eastAsia="bg-BG"/>
        </w:rPr>
        <w:t>1</w:t>
      </w:r>
      <w:r w:rsidRPr="00250EA6">
        <w:rPr>
          <w:lang w:eastAsia="bg-BG"/>
        </w:rPr>
        <w:t xml:space="preserve">) и 15-кето- </w:t>
      </w:r>
      <w:proofErr w:type="spellStart"/>
      <w:r w:rsidRPr="00250EA6">
        <w:rPr>
          <w:lang w:val="en-US"/>
        </w:rPr>
        <w:t>PGEo</w:t>
      </w:r>
      <w:proofErr w:type="spellEnd"/>
      <w:r w:rsidRPr="00250EA6">
        <w:rPr>
          <w:lang w:val="en-US"/>
        </w:rPr>
        <w:t xml:space="preserve">. </w:t>
      </w:r>
      <w:r w:rsidRPr="00250EA6">
        <w:rPr>
          <w:lang w:eastAsia="bg-BG"/>
        </w:rPr>
        <w:t xml:space="preserve">Само </w:t>
      </w:r>
      <w:proofErr w:type="spellStart"/>
      <w:r w:rsidRPr="00250EA6">
        <w:rPr>
          <w:lang w:val="en-US"/>
        </w:rPr>
        <w:t>PGEo</w:t>
      </w:r>
      <w:proofErr w:type="spellEnd"/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и </w:t>
      </w:r>
      <w:r w:rsidRPr="00250EA6">
        <w:rPr>
          <w:smallCaps/>
          <w:lang w:val="en-US"/>
        </w:rPr>
        <w:t>15-kcto-PGEo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са били открити в човешката плазма. За разлика от 15-кето метаболитите, които са по-малко фармакологично активни от първоначалното съединение,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 xml:space="preserve">0 </w:t>
      </w:r>
      <w:r w:rsidRPr="00250EA6">
        <w:rPr>
          <w:lang w:eastAsia="bg-BG"/>
        </w:rPr>
        <w:t xml:space="preserve">е с близка по много отношения ефективност до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>.</w:t>
      </w:r>
    </w:p>
    <w:p w14:paraId="12AC596B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При здрави доброволци, средните плазмени концентрации на ендогенния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0</w:t>
      </w:r>
      <w:r w:rsidRPr="00250EA6">
        <w:rPr>
          <w:lang w:val="en-US"/>
        </w:rPr>
        <w:t xml:space="preserve">, </w:t>
      </w:r>
      <w:r w:rsidRPr="00250EA6">
        <w:rPr>
          <w:lang w:eastAsia="bg-BG"/>
        </w:rPr>
        <w:t xml:space="preserve">измерени по време на и след 2 часа след интравенозна инфузия на плацебо са приблизително 1 </w:t>
      </w:r>
      <w:proofErr w:type="spellStart"/>
      <w:r w:rsidRPr="00250EA6">
        <w:rPr>
          <w:lang w:val="en-US"/>
        </w:rPr>
        <w:t>pg</w:t>
      </w:r>
      <w:proofErr w:type="spellEnd"/>
      <w:r w:rsidRPr="00250EA6">
        <w:rPr>
          <w:lang w:val="en-US"/>
        </w:rPr>
        <w:t xml:space="preserve">/ml. </w:t>
      </w:r>
      <w:r w:rsidRPr="00250EA6">
        <w:rPr>
          <w:lang w:eastAsia="bg-BG"/>
        </w:rPr>
        <w:t xml:space="preserve">По време на 2-часова интравенозна инфузия на 60 </w:t>
      </w:r>
      <w:proofErr w:type="spellStart"/>
      <w:r w:rsidRPr="00250EA6">
        <w:rPr>
          <w:lang w:val="en-US"/>
        </w:rPr>
        <w:t>μg</w:t>
      </w:r>
      <w:proofErr w:type="spellEnd"/>
      <w:r w:rsidRPr="00250EA6">
        <w:rPr>
          <w:lang w:val="en-US"/>
        </w:rPr>
        <w:t xml:space="preserve"> </w:t>
      </w:r>
      <w:proofErr w:type="spellStart"/>
      <w:r w:rsidRPr="00250EA6">
        <w:rPr>
          <w:lang w:eastAsia="bg-BG"/>
        </w:rPr>
        <w:t>алпростадил</w:t>
      </w:r>
      <w:proofErr w:type="spellEnd"/>
      <w:r w:rsidRPr="00250EA6">
        <w:rPr>
          <w:lang w:eastAsia="bg-BG"/>
        </w:rPr>
        <w:t xml:space="preserve">, наблюдаваните плазмените концентрации на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0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са около 13 </w:t>
      </w:r>
      <w:proofErr w:type="spellStart"/>
      <w:r w:rsidRPr="00250EA6">
        <w:rPr>
          <w:lang w:val="en-US"/>
        </w:rPr>
        <w:t>pg</w:t>
      </w:r>
      <w:proofErr w:type="spellEnd"/>
      <w:r w:rsidRPr="00250EA6">
        <w:rPr>
          <w:lang w:val="en-US"/>
        </w:rPr>
        <w:t>/ml.</w:t>
      </w:r>
    </w:p>
    <w:p w14:paraId="55960804" w14:textId="77777777" w:rsidR="00250EA6" w:rsidRDefault="00250EA6" w:rsidP="00250EA6">
      <w:pPr>
        <w:rPr>
          <w:u w:val="single"/>
          <w:lang w:eastAsia="bg-BG"/>
        </w:rPr>
      </w:pPr>
    </w:p>
    <w:p w14:paraId="78EF1C5C" w14:textId="4A2DAEC1" w:rsidR="00250EA6" w:rsidRPr="00250EA6" w:rsidRDefault="00250EA6" w:rsidP="00250EA6">
      <w:pPr>
        <w:pStyle w:val="Heading3"/>
        <w:rPr>
          <w:rFonts w:eastAsia="Times New Roman"/>
          <w:u w:val="single"/>
        </w:rPr>
      </w:pPr>
      <w:r w:rsidRPr="00250EA6">
        <w:rPr>
          <w:rFonts w:eastAsia="Times New Roman"/>
          <w:u w:val="single"/>
          <w:lang w:eastAsia="bg-BG"/>
        </w:rPr>
        <w:t>Елиминиране</w:t>
      </w:r>
    </w:p>
    <w:p w14:paraId="081FE1FF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 xml:space="preserve">След последващо разпадане на първичните метаболити чрез бета и омега оксидация, по- полярните метаболити се </w:t>
      </w:r>
      <w:proofErr w:type="spellStart"/>
      <w:r w:rsidRPr="00250EA6">
        <w:rPr>
          <w:lang w:eastAsia="bg-BG"/>
        </w:rPr>
        <w:t>екскретират</w:t>
      </w:r>
      <w:proofErr w:type="spellEnd"/>
      <w:r w:rsidRPr="00250EA6">
        <w:rPr>
          <w:lang w:eastAsia="bg-BG"/>
        </w:rPr>
        <w:t xml:space="preserve"> предимно в урината (88%) и изпражненията (12%) за 72 часа и общата екскреция е по същество извършена (92%) 24 часа след приложението. В урината не е открит непроменен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 xml:space="preserve">и няма данни за задържането в тъканите на </w:t>
      </w:r>
      <w:r w:rsidRPr="00250EA6">
        <w:rPr>
          <w:lang w:val="en-US"/>
        </w:rPr>
        <w:t>PGE</w:t>
      </w:r>
      <w:r w:rsidRPr="00250EA6">
        <w:rPr>
          <w:vertAlign w:val="subscript"/>
          <w:lang w:val="en-US"/>
        </w:rPr>
        <w:t>1</w:t>
      </w:r>
      <w:r w:rsidRPr="00250EA6">
        <w:rPr>
          <w:lang w:val="en-US"/>
        </w:rPr>
        <w:t xml:space="preserve"> </w:t>
      </w:r>
      <w:r w:rsidRPr="00250EA6">
        <w:rPr>
          <w:lang w:eastAsia="bg-BG"/>
        </w:rPr>
        <w:t>или негови метаболити.</w:t>
      </w:r>
    </w:p>
    <w:p w14:paraId="55A37DA5" w14:textId="77777777" w:rsidR="00250EA6" w:rsidRPr="00250EA6" w:rsidRDefault="00250EA6" w:rsidP="00250EA6"/>
    <w:p w14:paraId="674BE4E2" w14:textId="56F24D9D" w:rsidR="009B171C" w:rsidRDefault="002C50EE" w:rsidP="00CA1B57">
      <w:pPr>
        <w:pStyle w:val="Heading2"/>
      </w:pPr>
      <w:r>
        <w:t>5.3. Предклинични данни за безопасност</w:t>
      </w:r>
    </w:p>
    <w:p w14:paraId="619E34EF" w14:textId="77777777" w:rsidR="00250EA6" w:rsidRPr="00250EA6" w:rsidRDefault="00250EA6" w:rsidP="00250EA6">
      <w:pPr>
        <w:rPr>
          <w:rFonts w:cs="Arial"/>
          <w:b/>
          <w:bCs/>
        </w:rPr>
      </w:pPr>
    </w:p>
    <w:p w14:paraId="28985C59" w14:textId="0D61B255" w:rsidR="00250EA6" w:rsidRPr="00250EA6" w:rsidRDefault="00250EA6" w:rsidP="00250EA6">
      <w:pPr>
        <w:rPr>
          <w:rFonts w:cs="Arial"/>
        </w:rPr>
      </w:pPr>
      <w:r w:rsidRPr="00250EA6">
        <w:rPr>
          <w:rFonts w:cs="Arial"/>
        </w:rPr>
        <w:t>Токсичност</w:t>
      </w:r>
    </w:p>
    <w:p w14:paraId="780323DE" w14:textId="2B83F64F" w:rsidR="00250EA6" w:rsidRPr="00250EA6" w:rsidRDefault="00250EA6" w:rsidP="00250EA6">
      <w:pPr>
        <w:rPr>
          <w:rFonts w:cs="Arial"/>
        </w:rPr>
      </w:pPr>
    </w:p>
    <w:p w14:paraId="2C6C4C3E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Остра токсичност:</w:t>
      </w:r>
    </w:p>
    <w:p w14:paraId="51B5B4BF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След еднократно интравенозно или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интраартериално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болус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инжектиране, приблизителната </w:t>
      </w:r>
      <w:r w:rsidRPr="00250EA6">
        <w:rPr>
          <w:rFonts w:eastAsia="Times New Roman" w:cs="Arial"/>
          <w:color w:val="000000"/>
          <w:lang w:val="en-US"/>
        </w:rPr>
        <w:t>LD</w:t>
      </w:r>
      <w:r w:rsidRPr="00250EA6">
        <w:rPr>
          <w:rFonts w:eastAsia="Times New Roman" w:cs="Arial"/>
          <w:color w:val="000000"/>
          <w:vertAlign w:val="subscript"/>
          <w:lang w:val="en-US"/>
        </w:rPr>
        <w:t>50</w:t>
      </w:r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>(средна летална доза) при мишки и плъхове е около 20</w:t>
      </w:r>
      <w:r w:rsidRPr="00250EA6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тегло. Приблизителната </w:t>
      </w:r>
      <w:r w:rsidRPr="00250EA6">
        <w:rPr>
          <w:rFonts w:eastAsia="Times New Roman" w:cs="Arial"/>
          <w:color w:val="000000"/>
          <w:lang w:val="en-US"/>
        </w:rPr>
        <w:t>LD</w:t>
      </w:r>
      <w:r w:rsidRPr="00250EA6">
        <w:rPr>
          <w:rFonts w:eastAsia="Times New Roman" w:cs="Arial"/>
          <w:color w:val="000000"/>
          <w:vertAlign w:val="subscript"/>
          <w:lang w:val="en-US"/>
        </w:rPr>
        <w:t>50</w:t>
      </w:r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 xml:space="preserve">при кучета е 15 </w:t>
      </w:r>
      <w:r w:rsidRPr="00250EA6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тегло. Явни признаци на токсичност са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брадипнея</w:t>
      </w:r>
      <w:proofErr w:type="spellEnd"/>
      <w:r w:rsidRPr="00250EA6">
        <w:rPr>
          <w:rFonts w:eastAsia="Times New Roman" w:cs="Arial"/>
          <w:color w:val="000000"/>
          <w:lang w:eastAsia="bg-BG"/>
        </w:rPr>
        <w:t>, зачервяване на лицето и диария.</w:t>
      </w:r>
    </w:p>
    <w:p w14:paraId="615AD45E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2E3F581" w14:textId="05567889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i/>
          <w:iCs/>
          <w:color w:val="000000"/>
          <w:lang w:eastAsia="bg-BG"/>
        </w:rPr>
        <w:lastRenderedPageBreak/>
        <w:t>Подостра</w:t>
      </w:r>
      <w:proofErr w:type="spellEnd"/>
      <w:r w:rsidRPr="00250EA6">
        <w:rPr>
          <w:rFonts w:eastAsia="Times New Roman" w:cs="Arial"/>
          <w:i/>
          <w:iCs/>
          <w:color w:val="000000"/>
          <w:lang w:eastAsia="bg-BG"/>
        </w:rPr>
        <w:t>/хронична токсичност:</w:t>
      </w:r>
    </w:p>
    <w:p w14:paraId="3E4E21D7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Проведени са изследвания с плъхове и кучета с многократни </w:t>
      </w:r>
      <w:proofErr w:type="spellStart"/>
      <w:r w:rsidRPr="00250EA6">
        <w:rPr>
          <w:rFonts w:eastAsia="Times New Roman" w:cs="Arial"/>
          <w:color w:val="000000"/>
          <w:lang w:val="en-US"/>
        </w:rPr>
        <w:t>i.</w:t>
      </w:r>
      <w:r w:rsidRPr="00250EA6">
        <w:rPr>
          <w:rFonts w:eastAsia="Times New Roman" w:cs="Arial"/>
          <w:i/>
          <w:iCs/>
          <w:color w:val="000000"/>
          <w:lang w:val="en-US"/>
        </w:rPr>
        <w:t>a.</w:t>
      </w:r>
      <w:proofErr w:type="spellEnd"/>
      <w:r w:rsidRPr="00250EA6">
        <w:rPr>
          <w:rFonts w:eastAsia="Times New Roman" w:cs="Arial"/>
          <w:i/>
          <w:iCs/>
          <w:color w:val="000000"/>
          <w:lang w:val="en-US"/>
        </w:rPr>
        <w:t xml:space="preserve">,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i.v.</w:t>
      </w:r>
      <w:proofErr w:type="spellEnd"/>
      <w:r w:rsidRPr="00250EA6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250EA6">
        <w:rPr>
          <w:rFonts w:eastAsia="Times New Roman" w:cs="Arial"/>
          <w:i/>
          <w:iCs/>
          <w:color w:val="000000"/>
          <w:lang w:eastAsia="bg-BG"/>
        </w:rPr>
        <w:t xml:space="preserve">и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i.p.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>приложения за период до 6 месеца.</w:t>
      </w:r>
    </w:p>
    <w:p w14:paraId="567515FD" w14:textId="72D332EB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Ежедневното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i.v.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болус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инжектиране на плъхове за 3 месеца води до първите признаци на токсичност достигайки до близо 60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тегло/дневно. След ежедневно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i.p.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 xml:space="preserve">приложение при плъхове за 6 месеца, дозата без токсичен ефект е между 50 и 100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тегло/дневно. Органите засегнати при дози, които са силно токсични (например 6000 </w:t>
      </w:r>
      <w:proofErr w:type="spellStart"/>
      <w:r w:rsidRPr="00250EA6">
        <w:rPr>
          <w:rFonts w:eastAsia="Times New Roman" w:cs="Arial"/>
          <w:color w:val="000000"/>
          <w:lang w:val="en-US"/>
        </w:rPr>
        <w:t>pg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>телесно тегло/дневно), са тестисите и бъбреците.</w:t>
      </w:r>
    </w:p>
    <w:p w14:paraId="32EE161D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D95F6D" w14:textId="7860C18C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При кучета, на които ежедневно са прилагани 6-часови </w:t>
      </w:r>
      <w:proofErr w:type="spellStart"/>
      <w:r w:rsidRPr="00250EA6">
        <w:rPr>
          <w:rFonts w:eastAsia="Times New Roman" w:cs="Arial"/>
          <w:color w:val="000000"/>
          <w:lang w:val="en-US"/>
        </w:rPr>
        <w:t>i.a.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 xml:space="preserve">инфузии за 30 дни, дозата без токсичен ефект е между 3,6 и 36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тегло/дневно. При кучета, на които ежедневно са прилагани 2-часови </w:t>
      </w:r>
      <w:proofErr w:type="spellStart"/>
      <w:r w:rsidRPr="00250EA6">
        <w:rPr>
          <w:rFonts w:eastAsia="Times New Roman" w:cs="Arial"/>
          <w:i/>
          <w:iCs/>
          <w:color w:val="000000"/>
          <w:lang w:val="en-US"/>
        </w:rPr>
        <w:t>i.v.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r w:rsidRPr="00250EA6">
        <w:rPr>
          <w:rFonts w:eastAsia="Times New Roman" w:cs="Arial"/>
          <w:color w:val="000000"/>
          <w:lang w:eastAsia="bg-BG"/>
        </w:rPr>
        <w:t xml:space="preserve">инфузии за 6 месеца, нивото без токсичен ефект е между 15 и 45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тегло/дневно. За дози от 45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 и по-високи не може да се изключат токсични ефекти върху тестисите (понякога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фокална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атрофия).</w:t>
      </w:r>
    </w:p>
    <w:p w14:paraId="4FE3FCA9" w14:textId="77777777" w:rsidR="00250EA6" w:rsidRPr="00250EA6" w:rsidRDefault="00250EA6" w:rsidP="00250EA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2ED49C" w14:textId="3390AA5A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>Когато се използва в съответствие с указанията, това води до широк терапевтичен обхват и не са очакват последици върху тестисите.</w:t>
      </w:r>
    </w:p>
    <w:p w14:paraId="5D341EDB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9F0963" w14:textId="61177D70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i/>
          <w:iCs/>
          <w:color w:val="000000"/>
          <w:lang w:eastAsia="bg-BG"/>
        </w:rPr>
        <w:t>Мутагенност</w:t>
      </w:r>
      <w:proofErr w:type="spellEnd"/>
      <w:r w:rsidRPr="00250EA6">
        <w:rPr>
          <w:rFonts w:eastAsia="Times New Roman" w:cs="Arial"/>
          <w:i/>
          <w:iCs/>
          <w:color w:val="000000"/>
          <w:lang w:eastAsia="bg-BG"/>
        </w:rPr>
        <w:t xml:space="preserve"> и канцерогенност:</w:t>
      </w:r>
    </w:p>
    <w:p w14:paraId="4537F4F5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Няколко изпитвания за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мутагенност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не разкриват потенциал за мутагенна активност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 а-</w:t>
      </w:r>
      <w:proofErr w:type="spellStart"/>
      <w:r w:rsidRPr="00250EA6">
        <w:rPr>
          <w:rFonts w:eastAsia="Times New Roman" w:cs="Arial"/>
          <w:color w:val="000000"/>
          <w:lang w:eastAsia="bg-BG"/>
        </w:rPr>
        <w:t>циклодекстрин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. Въз основа резултатите за хронична токсичност 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изпитваниятаза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мутагенност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 в съответствие с препоръчания период на терапевтично приложение, карциногенен потенциал се очаква да е много нисък. Затова не са необходими изпитвания за канцерогенност.</w:t>
      </w:r>
    </w:p>
    <w:p w14:paraId="05030D07" w14:textId="77777777" w:rsidR="00250EA6" w:rsidRPr="00250EA6" w:rsidRDefault="00250EA6" w:rsidP="00250EA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EBD2B41" w14:textId="3FA3ABCF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i/>
          <w:iCs/>
          <w:color w:val="000000"/>
          <w:lang w:eastAsia="bg-BG"/>
        </w:rPr>
        <w:t>Репродуктивна токсичност:</w:t>
      </w:r>
    </w:p>
    <w:p w14:paraId="0A3124B3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Изпитванията върху възпроизводството, проведени при плъхове и зайци не показват тератогенни ефекти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 а-</w:t>
      </w:r>
      <w:proofErr w:type="spellStart"/>
      <w:r w:rsidRPr="00250EA6">
        <w:rPr>
          <w:rFonts w:eastAsia="Times New Roman" w:cs="Arial"/>
          <w:color w:val="000000"/>
          <w:lang w:eastAsia="bg-BG"/>
        </w:rPr>
        <w:t>циклодекстрин</w:t>
      </w:r>
      <w:proofErr w:type="spellEnd"/>
      <w:r w:rsidRPr="00250EA6">
        <w:rPr>
          <w:rFonts w:eastAsia="Times New Roman" w:cs="Arial"/>
          <w:color w:val="000000"/>
          <w:lang w:eastAsia="bg-BG"/>
        </w:rPr>
        <w:t>. Ембрионална смъртност, както и ефектите на забавяне на развитието, наблюдавани при плъхове и зайци, на които са прилагани 5</w:t>
      </w:r>
    </w:p>
    <w:p w14:paraId="1A599077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тегло/дневно. При плъхове, на които са прилагани дневни дози от 0,2 </w:t>
      </w:r>
      <w:proofErr w:type="spellStart"/>
      <w:r w:rsidRPr="00250EA6">
        <w:rPr>
          <w:rFonts w:eastAsia="Times New Roman" w:cs="Arial"/>
          <w:color w:val="000000"/>
          <w:lang w:val="en-US"/>
        </w:rPr>
        <w:t>μg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val="en-US"/>
        </w:rPr>
        <w:t xml:space="preserve">/kg </w:t>
      </w:r>
      <w:r w:rsidRPr="00250EA6">
        <w:rPr>
          <w:rFonts w:eastAsia="Times New Roman" w:cs="Arial"/>
          <w:color w:val="000000"/>
          <w:lang w:eastAsia="bg-BG"/>
        </w:rPr>
        <w:t xml:space="preserve">телесно тегло са забелязани нарушения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нидацията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. Няма ефекти върху </w:t>
      </w:r>
      <w:proofErr w:type="spellStart"/>
      <w:r w:rsidRPr="00250EA6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развитие на потомството.</w:t>
      </w:r>
    </w:p>
    <w:p w14:paraId="7907E9DD" w14:textId="77777777" w:rsidR="00250EA6" w:rsidRPr="00250EA6" w:rsidRDefault="00250EA6" w:rsidP="00250EA6">
      <w:pPr>
        <w:spacing w:line="240" w:lineRule="auto"/>
        <w:rPr>
          <w:rFonts w:eastAsia="Times New Roman" w:cs="Arial"/>
        </w:rPr>
      </w:pPr>
      <w:r w:rsidRPr="00250EA6">
        <w:rPr>
          <w:rFonts w:eastAsia="Times New Roman" w:cs="Arial"/>
          <w:color w:val="000000"/>
          <w:lang w:eastAsia="bg-BG"/>
        </w:rPr>
        <w:t xml:space="preserve">Липсва опит по отношение безопасността на прилагане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 време на бременността и кърменето при хора. Известно е, че след прилагане на високи дози от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алпростадил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в края на бременността води до преждевременни контракции на матката и евентуално е възможно да предизвика аборт. Приложението на </w:t>
      </w:r>
      <w:proofErr w:type="spellStart"/>
      <w:r w:rsidRPr="00250EA6">
        <w:rPr>
          <w:rFonts w:eastAsia="Times New Roman" w:cs="Arial"/>
          <w:color w:val="000000"/>
          <w:lang w:eastAsia="bg-BG"/>
        </w:rPr>
        <w:t>Проставазин</w:t>
      </w:r>
      <w:proofErr w:type="spellEnd"/>
      <w:r w:rsidRPr="00250EA6">
        <w:rPr>
          <w:rFonts w:eastAsia="Times New Roman" w:cs="Arial"/>
          <w:color w:val="000000"/>
          <w:lang w:eastAsia="bg-BG"/>
        </w:rPr>
        <w:t xml:space="preserve"> по време на последния триместър от бременността е строго противопоказано (вж. също 4.6).</w:t>
      </w:r>
    </w:p>
    <w:p w14:paraId="008CF584" w14:textId="77777777" w:rsidR="00250EA6" w:rsidRPr="00250EA6" w:rsidRDefault="00250EA6" w:rsidP="00250EA6"/>
    <w:p w14:paraId="6940F72E" w14:textId="0363B614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1FD4B1A7" w14:textId="77777777" w:rsidR="00250EA6" w:rsidRDefault="00250EA6" w:rsidP="00250EA6">
      <w:pPr>
        <w:rPr>
          <w:lang w:val="en-US"/>
        </w:rPr>
      </w:pPr>
      <w:proofErr w:type="spellStart"/>
      <w:r w:rsidRPr="00250EA6">
        <w:rPr>
          <w:lang w:val="en-US"/>
        </w:rPr>
        <w:t>Amdipharm</w:t>
      </w:r>
      <w:proofErr w:type="spellEnd"/>
      <w:r w:rsidRPr="00250EA6">
        <w:rPr>
          <w:lang w:val="en-US"/>
        </w:rPr>
        <w:t xml:space="preserve"> Limited </w:t>
      </w:r>
    </w:p>
    <w:p w14:paraId="26C6B454" w14:textId="77777777" w:rsidR="00250EA6" w:rsidRDefault="00250EA6" w:rsidP="00250EA6">
      <w:pPr>
        <w:rPr>
          <w:lang w:val="en-US"/>
        </w:rPr>
      </w:pPr>
      <w:r w:rsidRPr="00250EA6">
        <w:rPr>
          <w:lang w:eastAsia="bg-BG"/>
        </w:rPr>
        <w:t xml:space="preserve">3 </w:t>
      </w:r>
      <w:r w:rsidRPr="00250EA6">
        <w:rPr>
          <w:lang w:val="en-US"/>
        </w:rPr>
        <w:t xml:space="preserve">Burlington Road </w:t>
      </w:r>
    </w:p>
    <w:p w14:paraId="4E1455C3" w14:textId="3DB0129C" w:rsidR="00250EA6" w:rsidRPr="00250EA6" w:rsidRDefault="00250EA6" w:rsidP="00250EA6">
      <w:pPr>
        <w:rPr>
          <w:sz w:val="24"/>
          <w:szCs w:val="24"/>
          <w:lang w:val="en-US"/>
        </w:rPr>
      </w:pPr>
      <w:r w:rsidRPr="00250EA6">
        <w:rPr>
          <w:lang w:val="en-US"/>
        </w:rPr>
        <w:t>Dublin 4</w:t>
      </w:r>
    </w:p>
    <w:p w14:paraId="7D2B06C8" w14:textId="77777777" w:rsidR="00250EA6" w:rsidRPr="00250EA6" w:rsidRDefault="00250EA6" w:rsidP="00250EA6">
      <w:pPr>
        <w:rPr>
          <w:sz w:val="24"/>
          <w:szCs w:val="24"/>
          <w:lang w:val="en-US"/>
        </w:rPr>
      </w:pPr>
      <w:r w:rsidRPr="00250EA6">
        <w:rPr>
          <w:lang w:val="en-US"/>
        </w:rPr>
        <w:t>D04 RD68</w:t>
      </w:r>
    </w:p>
    <w:p w14:paraId="234CDB88" w14:textId="76B02AE7" w:rsidR="00250EA6" w:rsidRPr="00250EA6" w:rsidRDefault="00250EA6" w:rsidP="00250EA6">
      <w:r w:rsidRPr="00250EA6">
        <w:rPr>
          <w:lang w:eastAsia="bg-BG"/>
        </w:rPr>
        <w:t>Ирландия</w:t>
      </w:r>
    </w:p>
    <w:p w14:paraId="04840D59" w14:textId="3000C333" w:rsidR="002C50EE" w:rsidRDefault="002C50EE" w:rsidP="002C50EE">
      <w:pPr>
        <w:pStyle w:val="Heading1"/>
      </w:pPr>
      <w:r>
        <w:lastRenderedPageBreak/>
        <w:t>8. НОМЕР НА РАЗРЕШЕНИЕТО ЗА УПОТРЕБА</w:t>
      </w:r>
    </w:p>
    <w:p w14:paraId="284D3659" w14:textId="42B779B3" w:rsidR="00250EA6" w:rsidRPr="00250EA6" w:rsidRDefault="00250EA6" w:rsidP="00250EA6">
      <w:r>
        <w:t>20010450</w:t>
      </w:r>
    </w:p>
    <w:p w14:paraId="5900CBF3" w14:textId="1D8C47F9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55590466" w14:textId="77777777" w:rsidR="00250EA6" w:rsidRPr="00250EA6" w:rsidRDefault="00250EA6" w:rsidP="00250EA6">
      <w:pPr>
        <w:rPr>
          <w:sz w:val="24"/>
          <w:szCs w:val="24"/>
        </w:rPr>
      </w:pPr>
      <w:r w:rsidRPr="00250EA6">
        <w:rPr>
          <w:lang w:eastAsia="bg-BG"/>
        </w:rPr>
        <w:t>Дата на първо разрешаване: 09 май 2001 г.</w:t>
      </w:r>
    </w:p>
    <w:p w14:paraId="29B1CFD6" w14:textId="530AAD39" w:rsidR="00250EA6" w:rsidRPr="00250EA6" w:rsidRDefault="00250EA6" w:rsidP="00250EA6">
      <w:r w:rsidRPr="00250EA6">
        <w:rPr>
          <w:lang w:eastAsia="bg-BG"/>
        </w:rPr>
        <w:t>Дата на последно подновяване: 09 февруари 2012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0DB6E5BD" w:rsidR="00C87E90" w:rsidRPr="003E3126" w:rsidRDefault="00250EA6" w:rsidP="00250EA6">
      <w:r>
        <w:t>09/2020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63E1"/>
    <w:multiLevelType w:val="hybridMultilevel"/>
    <w:tmpl w:val="1862EAFA"/>
    <w:lvl w:ilvl="0" w:tplc="1A6E3E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8"/>
  </w:num>
  <w:num w:numId="15">
    <w:abstractNumId w:val="22"/>
  </w:num>
  <w:num w:numId="16">
    <w:abstractNumId w:val="6"/>
  </w:num>
  <w:num w:numId="17">
    <w:abstractNumId w:val="17"/>
  </w:num>
  <w:num w:numId="18">
    <w:abstractNumId w:val="5"/>
  </w:num>
  <w:num w:numId="19">
    <w:abstractNumId w:val="19"/>
  </w:num>
  <w:num w:numId="20">
    <w:abstractNumId w:val="16"/>
  </w:num>
  <w:num w:numId="21">
    <w:abstractNumId w:val="13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50EA6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2021-08-19T23:24:00Z</dcterms:created>
  <dcterms:modified xsi:type="dcterms:W3CDTF">2021-08-19T23:24:00Z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