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rPr>
          <w:lang w:val="bg-BG"/>
        </w:rPr>
      </w:pPr>
      <w:bookmarkStart w:id="0" w:name="_Hlk63124480"/>
      <w:r>
        <w:rPr>
          <w:lang w:val="bg-BG"/>
        </w:rPr>
        <w:t>КРАТКА ХАРАКТЕРИСТИКА НА ПРОДУКТА</w:t>
      </w:r>
    </w:p>
    <w:p w14:paraId="1BBB3756" w14:textId="482A31A0" w:rsidR="00C07B84" w:rsidRDefault="00DD466D" w:rsidP="00DD466D">
      <w:pPr>
        <w:pStyle w:val="Heading1"/>
        <w:rPr>
          <w:lang w:val="bg-BG"/>
        </w:rPr>
      </w:pPr>
      <w:r>
        <w:rPr>
          <w:lang w:val="bg-BG"/>
        </w:rPr>
        <w:t>1.ИМЕ НА ЛЕКАРСТВЕНИЯ ПРОДУКТ</w:t>
      </w:r>
    </w:p>
    <w:p w14:paraId="3021A0A4" w14:textId="77777777" w:rsidR="007C0F3B" w:rsidRPr="007C0F3B" w:rsidRDefault="007C0F3B" w:rsidP="007C0F3B">
      <w:pPr>
        <w:rPr>
          <w:sz w:val="24"/>
          <w:szCs w:val="24"/>
          <w:lang w:val="bg-BG"/>
        </w:rPr>
      </w:pPr>
      <w:r w:rsidRPr="007C0F3B">
        <w:rPr>
          <w:lang w:val="bg-BG" w:eastAsia="bg-BG"/>
        </w:rPr>
        <w:t xml:space="preserve">ПУЛСЕТ 20 </w:t>
      </w:r>
      <w:r w:rsidRPr="007C0F3B">
        <w:t xml:space="preserve">mg </w:t>
      </w:r>
      <w:r w:rsidRPr="007C0F3B">
        <w:rPr>
          <w:lang w:val="bg-BG" w:eastAsia="bg-BG"/>
        </w:rPr>
        <w:t>стомашно-устойчиви таблетки</w:t>
      </w:r>
    </w:p>
    <w:p w14:paraId="15BEA28A" w14:textId="020E4332" w:rsidR="007C0F3B" w:rsidRPr="007C0F3B" w:rsidRDefault="007C0F3B" w:rsidP="007C0F3B">
      <w:pPr>
        <w:rPr>
          <w:sz w:val="24"/>
          <w:szCs w:val="24"/>
          <w:lang w:val="bg-BG"/>
        </w:rPr>
      </w:pPr>
      <w:r w:rsidRPr="007C0F3B">
        <w:t xml:space="preserve">PULCET </w:t>
      </w:r>
      <w:r w:rsidRPr="007C0F3B">
        <w:rPr>
          <w:lang w:val="bg-BG" w:eastAsia="bg-BG"/>
        </w:rPr>
        <w:t xml:space="preserve">20 </w:t>
      </w:r>
      <w:r w:rsidRPr="007C0F3B">
        <w:t>mg gastro-resistant tablets</w:t>
      </w:r>
    </w:p>
    <w:p w14:paraId="3A916BC0" w14:textId="7834881D" w:rsidR="00DD466D" w:rsidRDefault="00DD466D" w:rsidP="00DD466D">
      <w:pPr>
        <w:pStyle w:val="Heading1"/>
        <w:rPr>
          <w:lang w:val="bg-BG"/>
        </w:rPr>
      </w:pPr>
      <w:r>
        <w:rPr>
          <w:lang w:val="bg-BG"/>
        </w:rPr>
        <w:t>2. КАЧЕСТВЕН И КОЛИЧЕСТВЕН СЪСТАВ</w:t>
      </w:r>
    </w:p>
    <w:p w14:paraId="625C0A77" w14:textId="77777777" w:rsidR="007C0F3B" w:rsidRPr="007C0F3B" w:rsidRDefault="007C0F3B" w:rsidP="007C0F3B">
      <w:pPr>
        <w:rPr>
          <w:sz w:val="24"/>
          <w:szCs w:val="24"/>
          <w:lang w:val="bg-BG"/>
        </w:rPr>
      </w:pPr>
      <w:r w:rsidRPr="007C0F3B">
        <w:rPr>
          <w:lang w:val="bg-BG" w:eastAsia="bg-BG"/>
        </w:rPr>
        <w:t xml:space="preserve">Всяка стомашно-устойчива таблетка съдържа 22,55 </w:t>
      </w:r>
      <w:r w:rsidRPr="007C0F3B">
        <w:t xml:space="preserve">mg </w:t>
      </w:r>
      <w:proofErr w:type="spellStart"/>
      <w:r w:rsidRPr="007C0F3B">
        <w:rPr>
          <w:lang w:val="bg-BG" w:eastAsia="bg-BG"/>
        </w:rPr>
        <w:t>пантопразол</w:t>
      </w:r>
      <w:proofErr w:type="spellEnd"/>
      <w:r w:rsidRPr="007C0F3B">
        <w:rPr>
          <w:lang w:val="bg-BG" w:eastAsia="bg-BG"/>
        </w:rPr>
        <w:t xml:space="preserve"> натрий </w:t>
      </w:r>
      <w:proofErr w:type="spellStart"/>
      <w:r w:rsidRPr="007C0F3B">
        <w:rPr>
          <w:lang w:val="bg-BG" w:eastAsia="bg-BG"/>
        </w:rPr>
        <w:t>сескихидрат</w:t>
      </w:r>
      <w:proofErr w:type="spellEnd"/>
      <w:r w:rsidRPr="007C0F3B">
        <w:rPr>
          <w:lang w:val="bg-BG" w:eastAsia="bg-BG"/>
        </w:rPr>
        <w:t xml:space="preserve">, еквивалентен на 20 </w:t>
      </w:r>
      <w:r w:rsidRPr="007C0F3B">
        <w:t xml:space="preserve">mg </w:t>
      </w:r>
      <w:proofErr w:type="spellStart"/>
      <w:r w:rsidRPr="007C0F3B">
        <w:rPr>
          <w:lang w:val="bg-BG" w:eastAsia="bg-BG"/>
        </w:rPr>
        <w:t>пантопразол</w:t>
      </w:r>
      <w:proofErr w:type="spellEnd"/>
      <w:r w:rsidRPr="007C0F3B">
        <w:rPr>
          <w:lang w:val="bg-BG" w:eastAsia="bg-BG"/>
        </w:rPr>
        <w:t xml:space="preserve"> </w:t>
      </w:r>
      <w:r w:rsidRPr="007C0F3B">
        <w:rPr>
          <w:i/>
          <w:iCs/>
        </w:rPr>
        <w:t>(pantoprazole)</w:t>
      </w:r>
      <w:r w:rsidRPr="007C0F3B">
        <w:rPr>
          <w:i/>
          <w:iCs/>
          <w:lang w:val="bg-BG" w:eastAsia="bg-BG"/>
        </w:rPr>
        <w:t>.</w:t>
      </w:r>
    </w:p>
    <w:p w14:paraId="1256AE29" w14:textId="77777777" w:rsidR="007C0F3B" w:rsidRPr="007C0F3B" w:rsidRDefault="007C0F3B" w:rsidP="007C0F3B">
      <w:pPr>
        <w:rPr>
          <w:lang w:val="bg-BG"/>
        </w:rPr>
      </w:pPr>
    </w:p>
    <w:p w14:paraId="74A1D0A0" w14:textId="000A6561" w:rsidR="002B4DBB" w:rsidRDefault="00DD466D" w:rsidP="00C07B84">
      <w:pPr>
        <w:pStyle w:val="Heading1"/>
        <w:rPr>
          <w:lang w:val="bg-BG"/>
        </w:rPr>
      </w:pPr>
      <w:r>
        <w:rPr>
          <w:lang w:val="bg-BG"/>
        </w:rPr>
        <w:t>3. ЛЕКАРСТВЕНА ФОРМА</w:t>
      </w:r>
    </w:p>
    <w:p w14:paraId="08C15AB7" w14:textId="77777777" w:rsidR="007C0F3B" w:rsidRPr="007C0F3B" w:rsidRDefault="007C0F3B" w:rsidP="007C0F3B">
      <w:pPr>
        <w:rPr>
          <w:sz w:val="24"/>
          <w:szCs w:val="24"/>
          <w:lang w:val="bg-BG"/>
        </w:rPr>
      </w:pPr>
      <w:r w:rsidRPr="007C0F3B">
        <w:rPr>
          <w:lang w:val="bg-BG" w:eastAsia="bg-BG"/>
        </w:rPr>
        <w:t>Стомашно-устойчива таблетка.</w:t>
      </w:r>
    </w:p>
    <w:p w14:paraId="29DFEE2A" w14:textId="73A4087B" w:rsidR="007C0F3B" w:rsidRPr="007C0F3B" w:rsidRDefault="007C0F3B" w:rsidP="007C0F3B">
      <w:pPr>
        <w:rPr>
          <w:sz w:val="24"/>
          <w:szCs w:val="24"/>
          <w:lang w:val="bg-BG"/>
        </w:rPr>
      </w:pPr>
      <w:r w:rsidRPr="007C0F3B">
        <w:rPr>
          <w:lang w:val="bg-BG" w:eastAsia="bg-BG"/>
        </w:rPr>
        <w:t>Светло жълти до жълти, овални, двойно изпъкнали стомашно-устойчиви таблетки.</w:t>
      </w:r>
    </w:p>
    <w:p w14:paraId="490FC2C4" w14:textId="77777777" w:rsidR="002C50EE" w:rsidRDefault="002C50EE" w:rsidP="002C50EE">
      <w:pPr>
        <w:pStyle w:val="Heading1"/>
      </w:pPr>
      <w:r>
        <w:t>4. КЛИНИЧНИ ДАННИ</w:t>
      </w:r>
    </w:p>
    <w:p w14:paraId="103298BB" w14:textId="33416E6F" w:rsidR="002B4DBB" w:rsidRDefault="002C50EE" w:rsidP="00C07B84">
      <w:pPr>
        <w:pStyle w:val="Heading2"/>
      </w:pPr>
      <w:r>
        <w:t xml:space="preserve">4.1. </w:t>
      </w:r>
      <w:proofErr w:type="spellStart"/>
      <w:r>
        <w:t>Терапевтични</w:t>
      </w:r>
      <w:proofErr w:type="spellEnd"/>
      <w:r>
        <w:t xml:space="preserve"> </w:t>
      </w:r>
      <w:proofErr w:type="spellStart"/>
      <w:r>
        <w:t>показания</w:t>
      </w:r>
      <w:proofErr w:type="spellEnd"/>
    </w:p>
    <w:p w14:paraId="3B496948" w14:textId="77777777" w:rsidR="007C0F3B" w:rsidRDefault="007C0F3B" w:rsidP="007C0F3B">
      <w:pPr>
        <w:rPr>
          <w:lang w:val="bg-BG" w:eastAsia="bg-BG"/>
        </w:rPr>
      </w:pPr>
    </w:p>
    <w:p w14:paraId="752E2F77" w14:textId="5B432E05" w:rsidR="007C0F3B" w:rsidRPr="007C0F3B" w:rsidRDefault="007C0F3B" w:rsidP="007C0F3B">
      <w:pPr>
        <w:rPr>
          <w:sz w:val="24"/>
          <w:szCs w:val="24"/>
          <w:lang w:val="bg-BG"/>
        </w:rPr>
      </w:pPr>
      <w:proofErr w:type="spellStart"/>
      <w:r w:rsidRPr="007C0F3B">
        <w:rPr>
          <w:lang w:val="bg-BG" w:eastAsia="bg-BG"/>
        </w:rPr>
        <w:t>Пулсет</w:t>
      </w:r>
      <w:proofErr w:type="spellEnd"/>
      <w:r w:rsidRPr="007C0F3B">
        <w:rPr>
          <w:lang w:val="bg-BG" w:eastAsia="bg-BG"/>
        </w:rPr>
        <w:t xml:space="preserve"> 20 </w:t>
      </w:r>
      <w:r w:rsidRPr="007C0F3B">
        <w:t xml:space="preserve">mg </w:t>
      </w:r>
      <w:r w:rsidRPr="007C0F3B">
        <w:rPr>
          <w:lang w:val="bg-BG" w:eastAsia="bg-BG"/>
        </w:rPr>
        <w:t>е показан при възрастни и юноши на възраст на и над 12 години.</w:t>
      </w:r>
    </w:p>
    <w:p w14:paraId="0A9C9664" w14:textId="77777777" w:rsidR="007C0F3B" w:rsidRDefault="007C0F3B" w:rsidP="007C0F3B">
      <w:pPr>
        <w:rPr>
          <w:i/>
          <w:iCs/>
          <w:lang w:val="bg-BG" w:eastAsia="bg-BG"/>
        </w:rPr>
      </w:pPr>
    </w:p>
    <w:p w14:paraId="07DFE909" w14:textId="0A58C57A" w:rsidR="007C0F3B" w:rsidRPr="007C0F3B" w:rsidRDefault="007C0F3B" w:rsidP="007C0F3B">
      <w:pPr>
        <w:rPr>
          <w:sz w:val="24"/>
          <w:szCs w:val="24"/>
          <w:lang w:val="bg-BG"/>
        </w:rPr>
      </w:pPr>
      <w:r w:rsidRPr="007C0F3B">
        <w:rPr>
          <w:i/>
          <w:iCs/>
          <w:lang w:val="bg-BG" w:eastAsia="bg-BG"/>
        </w:rPr>
        <w:t>Възрастни и юноши на и над 12 години</w:t>
      </w:r>
    </w:p>
    <w:p w14:paraId="33FBBB0A" w14:textId="77777777" w:rsidR="007C0F3B" w:rsidRPr="007C0F3B" w:rsidRDefault="007C0F3B" w:rsidP="007C0F3B">
      <w:pPr>
        <w:rPr>
          <w:sz w:val="24"/>
          <w:szCs w:val="24"/>
          <w:lang w:val="bg-BG"/>
        </w:rPr>
      </w:pPr>
      <w:r w:rsidRPr="007C0F3B">
        <w:rPr>
          <w:lang w:val="bg-BG" w:eastAsia="bg-BG"/>
        </w:rPr>
        <w:t xml:space="preserve">Симптоматично лечение на </w:t>
      </w:r>
      <w:proofErr w:type="spellStart"/>
      <w:r w:rsidRPr="007C0F3B">
        <w:rPr>
          <w:lang w:val="bg-BG" w:eastAsia="bg-BG"/>
        </w:rPr>
        <w:t>гастроезофагеална</w:t>
      </w:r>
      <w:proofErr w:type="spellEnd"/>
      <w:r w:rsidRPr="007C0F3B">
        <w:rPr>
          <w:lang w:val="bg-BG" w:eastAsia="bg-BG"/>
        </w:rPr>
        <w:t xml:space="preserve"> </w:t>
      </w:r>
      <w:proofErr w:type="spellStart"/>
      <w:r w:rsidRPr="007C0F3B">
        <w:rPr>
          <w:lang w:val="bg-BG" w:eastAsia="bg-BG"/>
        </w:rPr>
        <w:t>рефлуксна</w:t>
      </w:r>
      <w:proofErr w:type="spellEnd"/>
      <w:r w:rsidRPr="007C0F3B">
        <w:rPr>
          <w:lang w:val="bg-BG" w:eastAsia="bg-BG"/>
        </w:rPr>
        <w:t xml:space="preserve"> болест.</w:t>
      </w:r>
    </w:p>
    <w:p w14:paraId="70367143" w14:textId="77777777" w:rsidR="007C0F3B" w:rsidRPr="007C0F3B" w:rsidRDefault="007C0F3B" w:rsidP="007C0F3B"/>
    <w:p w14:paraId="71891A7D" w14:textId="34422F3B" w:rsidR="001915B6" w:rsidRDefault="002C50EE" w:rsidP="00C07B84">
      <w:pPr>
        <w:pStyle w:val="Heading2"/>
      </w:pPr>
      <w:r>
        <w:t xml:space="preserve">4.2. </w:t>
      </w:r>
      <w:proofErr w:type="spellStart"/>
      <w:r>
        <w:t>Дозировка</w:t>
      </w:r>
      <w:proofErr w:type="spellEnd"/>
      <w:r>
        <w:t xml:space="preserve"> и </w:t>
      </w:r>
      <w:proofErr w:type="spellStart"/>
      <w:r>
        <w:t>начин</w:t>
      </w:r>
      <w:proofErr w:type="spellEnd"/>
      <w:r>
        <w:t xml:space="preserve"> </w:t>
      </w:r>
      <w:proofErr w:type="spellStart"/>
      <w:r>
        <w:t>на</w:t>
      </w:r>
      <w:proofErr w:type="spellEnd"/>
      <w:r>
        <w:t xml:space="preserve"> </w:t>
      </w:r>
      <w:proofErr w:type="spellStart"/>
      <w:r>
        <w:t>приложение</w:t>
      </w:r>
      <w:proofErr w:type="spellEnd"/>
    </w:p>
    <w:p w14:paraId="4C0B8638" w14:textId="77777777" w:rsidR="007C0F3B" w:rsidRDefault="007C0F3B" w:rsidP="007C0F3B">
      <w:pPr>
        <w:rPr>
          <w:lang w:val="bg-BG" w:eastAsia="bg-BG"/>
        </w:rPr>
      </w:pPr>
    </w:p>
    <w:p w14:paraId="52CA6220" w14:textId="39C169FB" w:rsidR="007C0F3B" w:rsidRPr="007C0F3B" w:rsidRDefault="007C0F3B" w:rsidP="007C0F3B">
      <w:pPr>
        <w:pStyle w:val="Heading3"/>
        <w:rPr>
          <w:rFonts w:eastAsia="Times New Roman"/>
          <w:u w:val="single"/>
          <w:lang w:val="bg-BG"/>
        </w:rPr>
      </w:pPr>
      <w:r w:rsidRPr="007C0F3B">
        <w:rPr>
          <w:rFonts w:eastAsia="Times New Roman"/>
          <w:u w:val="single"/>
          <w:lang w:val="bg-BG" w:eastAsia="bg-BG"/>
        </w:rPr>
        <w:t>Дозировка</w:t>
      </w:r>
    </w:p>
    <w:p w14:paraId="1F0FBC8F" w14:textId="77777777" w:rsidR="007C0F3B" w:rsidRDefault="007C0F3B" w:rsidP="007C0F3B">
      <w:pPr>
        <w:rPr>
          <w:i/>
          <w:iCs/>
          <w:lang w:val="bg-BG" w:eastAsia="bg-BG"/>
        </w:rPr>
      </w:pPr>
    </w:p>
    <w:p w14:paraId="392334D3" w14:textId="707A4E03" w:rsidR="007C0F3B" w:rsidRPr="007C0F3B" w:rsidRDefault="007C0F3B" w:rsidP="007C0F3B">
      <w:pPr>
        <w:rPr>
          <w:sz w:val="24"/>
          <w:szCs w:val="24"/>
          <w:lang w:val="bg-BG"/>
        </w:rPr>
      </w:pPr>
      <w:r w:rsidRPr="007C0F3B">
        <w:rPr>
          <w:i/>
          <w:iCs/>
          <w:lang w:val="bg-BG" w:eastAsia="bg-BG"/>
        </w:rPr>
        <w:t>Възрастни и юноши на и над 12 години</w:t>
      </w:r>
    </w:p>
    <w:p w14:paraId="6C8608F5" w14:textId="77777777" w:rsidR="007C0F3B" w:rsidRDefault="007C0F3B" w:rsidP="007C0F3B">
      <w:pPr>
        <w:rPr>
          <w:lang w:val="bg-BG" w:eastAsia="bg-BG"/>
        </w:rPr>
      </w:pPr>
    </w:p>
    <w:p w14:paraId="16AE5C45" w14:textId="057ECCDE" w:rsidR="007C0F3B" w:rsidRPr="007C0F3B" w:rsidRDefault="007C0F3B" w:rsidP="007C0F3B">
      <w:pPr>
        <w:rPr>
          <w:sz w:val="24"/>
          <w:szCs w:val="24"/>
          <w:lang w:val="bg-BG"/>
        </w:rPr>
      </w:pPr>
      <w:r w:rsidRPr="007C0F3B">
        <w:rPr>
          <w:lang w:val="bg-BG" w:eastAsia="bg-BG"/>
        </w:rPr>
        <w:t xml:space="preserve">Препоръчителната доза е 20 </w:t>
      </w:r>
      <w:r w:rsidRPr="007C0F3B">
        <w:t xml:space="preserve">mg </w:t>
      </w:r>
      <w:r w:rsidRPr="007C0F3B">
        <w:rPr>
          <w:lang w:val="bg-BG" w:eastAsia="bg-BG"/>
        </w:rPr>
        <w:t xml:space="preserve">(една таблетка) </w:t>
      </w:r>
      <w:proofErr w:type="spellStart"/>
      <w:r w:rsidRPr="007C0F3B">
        <w:rPr>
          <w:lang w:val="bg-BG" w:eastAsia="bg-BG"/>
        </w:rPr>
        <w:t>пантопразол</w:t>
      </w:r>
      <w:proofErr w:type="spellEnd"/>
      <w:r w:rsidRPr="007C0F3B">
        <w:rPr>
          <w:lang w:val="bg-BG" w:eastAsia="bg-BG"/>
        </w:rPr>
        <w:t xml:space="preserve"> дневно.</w:t>
      </w:r>
    </w:p>
    <w:p w14:paraId="7CDA585D" w14:textId="77777777" w:rsidR="007C0F3B" w:rsidRDefault="007C0F3B" w:rsidP="007C0F3B">
      <w:pPr>
        <w:rPr>
          <w:lang w:val="bg-BG" w:eastAsia="bg-BG"/>
        </w:rPr>
      </w:pPr>
    </w:p>
    <w:p w14:paraId="3A167FD5" w14:textId="6D129490" w:rsidR="007C0F3B" w:rsidRPr="007C0F3B" w:rsidRDefault="007C0F3B" w:rsidP="007C0F3B">
      <w:pPr>
        <w:rPr>
          <w:sz w:val="24"/>
          <w:szCs w:val="24"/>
          <w:lang w:val="bg-BG"/>
        </w:rPr>
      </w:pPr>
      <w:r w:rsidRPr="007C0F3B">
        <w:rPr>
          <w:lang w:val="bg-BG" w:eastAsia="bg-BG"/>
        </w:rPr>
        <w:t xml:space="preserve">Симптоматична </w:t>
      </w:r>
      <w:proofErr w:type="spellStart"/>
      <w:r w:rsidRPr="007C0F3B">
        <w:rPr>
          <w:lang w:val="bg-BG" w:eastAsia="bg-BG"/>
        </w:rPr>
        <w:t>гастроезофагеална</w:t>
      </w:r>
      <w:proofErr w:type="spellEnd"/>
      <w:r w:rsidRPr="007C0F3B">
        <w:rPr>
          <w:lang w:val="bg-BG" w:eastAsia="bg-BG"/>
        </w:rPr>
        <w:t xml:space="preserve"> </w:t>
      </w:r>
      <w:proofErr w:type="spellStart"/>
      <w:r w:rsidRPr="007C0F3B">
        <w:rPr>
          <w:lang w:val="bg-BG" w:eastAsia="bg-BG"/>
        </w:rPr>
        <w:t>рефлуксна</w:t>
      </w:r>
      <w:proofErr w:type="spellEnd"/>
      <w:r w:rsidRPr="007C0F3B">
        <w:rPr>
          <w:lang w:val="bg-BG" w:eastAsia="bg-BG"/>
        </w:rPr>
        <w:t xml:space="preserve"> болест</w:t>
      </w:r>
    </w:p>
    <w:p w14:paraId="0C32F423" w14:textId="77777777" w:rsidR="007C0F3B" w:rsidRPr="007C0F3B" w:rsidRDefault="007C0F3B" w:rsidP="007C0F3B">
      <w:pPr>
        <w:rPr>
          <w:sz w:val="24"/>
          <w:szCs w:val="24"/>
          <w:lang w:val="bg-BG"/>
        </w:rPr>
      </w:pPr>
      <w:r w:rsidRPr="007C0F3B">
        <w:rPr>
          <w:lang w:val="bg-BG" w:eastAsia="bg-BG"/>
        </w:rPr>
        <w:t xml:space="preserve">Препоръчителната доза е 20 </w:t>
      </w:r>
      <w:r w:rsidRPr="007C0F3B">
        <w:t xml:space="preserve">mg </w:t>
      </w:r>
      <w:proofErr w:type="spellStart"/>
      <w:r w:rsidRPr="007C0F3B">
        <w:rPr>
          <w:lang w:val="bg-BG" w:eastAsia="bg-BG"/>
        </w:rPr>
        <w:t>пантопразол</w:t>
      </w:r>
      <w:proofErr w:type="spellEnd"/>
      <w:r w:rsidRPr="007C0F3B">
        <w:rPr>
          <w:lang w:val="bg-BG" w:eastAsia="bg-BG"/>
        </w:rPr>
        <w:t xml:space="preserve"> дневно.</w:t>
      </w:r>
    </w:p>
    <w:p w14:paraId="19CC8975" w14:textId="77777777" w:rsidR="007C0F3B" w:rsidRPr="007C0F3B" w:rsidRDefault="007C0F3B" w:rsidP="007C0F3B">
      <w:pPr>
        <w:rPr>
          <w:sz w:val="24"/>
          <w:szCs w:val="24"/>
          <w:lang w:val="bg-BG"/>
        </w:rPr>
      </w:pPr>
      <w:r w:rsidRPr="007C0F3B">
        <w:rPr>
          <w:lang w:val="bg-BG" w:eastAsia="bg-BG"/>
        </w:rPr>
        <w:t>Облекчаването на симптомите обичайно се постига в рамките на 2-4 седмици.</w:t>
      </w:r>
    </w:p>
    <w:p w14:paraId="56C1FD75" w14:textId="77777777" w:rsidR="007C0F3B" w:rsidRPr="007C0F3B" w:rsidRDefault="007C0F3B" w:rsidP="007C0F3B">
      <w:pPr>
        <w:rPr>
          <w:sz w:val="24"/>
          <w:szCs w:val="24"/>
          <w:lang w:val="bg-BG"/>
        </w:rPr>
      </w:pPr>
      <w:r w:rsidRPr="007C0F3B">
        <w:rPr>
          <w:lang w:val="bg-BG" w:eastAsia="bg-BG"/>
        </w:rPr>
        <w:t xml:space="preserve">Когато симптомите се облекчат, предотвратяване на рецидив може да се постигне с прилагане на 20 </w:t>
      </w:r>
      <w:r w:rsidRPr="007C0F3B">
        <w:t xml:space="preserve">mg </w:t>
      </w:r>
      <w:proofErr w:type="spellStart"/>
      <w:r w:rsidRPr="007C0F3B">
        <w:rPr>
          <w:lang w:val="bg-BG" w:eastAsia="bg-BG"/>
        </w:rPr>
        <w:t>пантопразол</w:t>
      </w:r>
      <w:proofErr w:type="spellEnd"/>
      <w:r w:rsidRPr="007C0F3B">
        <w:rPr>
          <w:lang w:val="bg-BG" w:eastAsia="bg-BG"/>
        </w:rPr>
        <w:t xml:space="preserve"> веднъж дневно при необходимост. Преминаване към непрекъснато лечение може да се обмисли в случай, че с този режим не се постига задоволителен контрол на симптомите.</w:t>
      </w:r>
    </w:p>
    <w:p w14:paraId="528F8CAE" w14:textId="77777777" w:rsidR="007C0F3B" w:rsidRDefault="007C0F3B" w:rsidP="007C0F3B">
      <w:pPr>
        <w:rPr>
          <w:i/>
          <w:iCs/>
          <w:lang w:val="bg-BG" w:eastAsia="bg-BG"/>
        </w:rPr>
      </w:pPr>
    </w:p>
    <w:p w14:paraId="6B2554EE" w14:textId="5F7CD1F5" w:rsidR="007C0F3B" w:rsidRPr="007C0F3B" w:rsidRDefault="007C0F3B" w:rsidP="007C0F3B">
      <w:pPr>
        <w:rPr>
          <w:sz w:val="24"/>
          <w:szCs w:val="24"/>
          <w:lang w:val="bg-BG"/>
        </w:rPr>
      </w:pPr>
      <w:r w:rsidRPr="007C0F3B">
        <w:rPr>
          <w:i/>
          <w:iCs/>
          <w:lang w:val="bg-BG" w:eastAsia="bg-BG"/>
        </w:rPr>
        <w:t>Специални популации</w:t>
      </w:r>
    </w:p>
    <w:p w14:paraId="7F04B9D1" w14:textId="77777777" w:rsidR="007C0F3B" w:rsidRDefault="007C0F3B" w:rsidP="007C0F3B">
      <w:pPr>
        <w:rPr>
          <w:i/>
          <w:iCs/>
          <w:lang w:val="bg-BG" w:eastAsia="bg-BG"/>
        </w:rPr>
      </w:pPr>
    </w:p>
    <w:p w14:paraId="12383017" w14:textId="6814BF88" w:rsidR="007C0F3B" w:rsidRPr="007C0F3B" w:rsidRDefault="007C0F3B" w:rsidP="007C0F3B">
      <w:pPr>
        <w:rPr>
          <w:sz w:val="24"/>
          <w:szCs w:val="24"/>
          <w:u w:val="single"/>
          <w:lang w:val="bg-BG"/>
        </w:rPr>
      </w:pPr>
      <w:r w:rsidRPr="007C0F3B">
        <w:rPr>
          <w:i/>
          <w:iCs/>
          <w:u w:val="single"/>
          <w:lang w:val="bg-BG" w:eastAsia="bg-BG"/>
        </w:rPr>
        <w:t>Деца под 12 - години</w:t>
      </w:r>
    </w:p>
    <w:p w14:paraId="10999F20" w14:textId="735978F7" w:rsidR="007C0F3B" w:rsidRDefault="007C0F3B" w:rsidP="007C0F3B">
      <w:pPr>
        <w:rPr>
          <w:lang w:val="bg-BG" w:eastAsia="bg-BG"/>
        </w:rPr>
      </w:pPr>
      <w:proofErr w:type="spellStart"/>
      <w:r w:rsidRPr="007C0F3B">
        <w:rPr>
          <w:lang w:val="bg-BG" w:eastAsia="bg-BG"/>
        </w:rPr>
        <w:t>Пулсет</w:t>
      </w:r>
      <w:proofErr w:type="spellEnd"/>
      <w:r w:rsidRPr="007C0F3B">
        <w:rPr>
          <w:lang w:val="bg-BG" w:eastAsia="bg-BG"/>
        </w:rPr>
        <w:t xml:space="preserve"> 20 </w:t>
      </w:r>
      <w:r w:rsidRPr="007C0F3B">
        <w:t xml:space="preserve">mg </w:t>
      </w:r>
      <w:r w:rsidRPr="007C0F3B">
        <w:rPr>
          <w:lang w:val="bg-BG" w:eastAsia="bg-BG"/>
        </w:rPr>
        <w:t>не трябва да се прилага при деца на възраст под 12 години,</w:t>
      </w:r>
      <w:r w:rsidRPr="007C0F3B">
        <w:t xml:space="preserve"> </w:t>
      </w:r>
      <w:r w:rsidRPr="007C0F3B">
        <w:rPr>
          <w:lang w:val="bg-BG" w:eastAsia="bg-BG"/>
        </w:rPr>
        <w:t>поради съображения за безопасност и ефикасност.</w:t>
      </w:r>
    </w:p>
    <w:p w14:paraId="7289E4A9" w14:textId="77777777" w:rsidR="007C0F3B" w:rsidRPr="007C0F3B" w:rsidRDefault="007C0F3B" w:rsidP="007C0F3B">
      <w:pPr>
        <w:rPr>
          <w:i/>
          <w:iCs/>
          <w:sz w:val="24"/>
          <w:szCs w:val="24"/>
          <w:lang w:val="bg-BG"/>
        </w:rPr>
      </w:pPr>
      <w:r w:rsidRPr="007C0F3B">
        <w:rPr>
          <w:i/>
          <w:iCs/>
          <w:lang w:val="bg-BG" w:eastAsia="bg-BG"/>
        </w:rPr>
        <w:lastRenderedPageBreak/>
        <w:t>Увредена чернодробна функция</w:t>
      </w:r>
    </w:p>
    <w:p w14:paraId="2F162294" w14:textId="77777777" w:rsidR="007C0F3B" w:rsidRPr="007C0F3B" w:rsidRDefault="007C0F3B" w:rsidP="007C0F3B">
      <w:pPr>
        <w:rPr>
          <w:sz w:val="24"/>
          <w:szCs w:val="24"/>
          <w:lang w:val="bg-BG"/>
        </w:rPr>
      </w:pPr>
      <w:r w:rsidRPr="007C0F3B">
        <w:rPr>
          <w:lang w:val="bg-BG" w:eastAsia="bg-BG"/>
        </w:rPr>
        <w:t xml:space="preserve">При пациенти с тежка чернодробна недостатъчност дневната доза </w:t>
      </w:r>
      <w:proofErr w:type="spellStart"/>
      <w:r w:rsidRPr="007C0F3B">
        <w:rPr>
          <w:lang w:val="bg-BG" w:eastAsia="bg-BG"/>
        </w:rPr>
        <w:t>пантопразол</w:t>
      </w:r>
      <w:proofErr w:type="spellEnd"/>
      <w:r w:rsidRPr="007C0F3B">
        <w:rPr>
          <w:lang w:val="bg-BG" w:eastAsia="bg-BG"/>
        </w:rPr>
        <w:t xml:space="preserve"> от 20 </w:t>
      </w:r>
      <w:r w:rsidRPr="007C0F3B">
        <w:t xml:space="preserve">mg </w:t>
      </w:r>
      <w:r w:rsidRPr="007C0F3B">
        <w:rPr>
          <w:lang w:val="bg-BG" w:eastAsia="bg-BG"/>
        </w:rPr>
        <w:t>не трябва да се надвишава (вж. точка 4.4).</w:t>
      </w:r>
    </w:p>
    <w:p w14:paraId="76A785EF" w14:textId="77777777" w:rsidR="007C0F3B" w:rsidRDefault="007C0F3B" w:rsidP="007C0F3B">
      <w:pPr>
        <w:rPr>
          <w:lang w:val="bg-BG" w:eastAsia="bg-BG"/>
        </w:rPr>
      </w:pPr>
    </w:p>
    <w:p w14:paraId="7F3952EA" w14:textId="43E65714" w:rsidR="007C0F3B" w:rsidRPr="007C0F3B" w:rsidRDefault="007C0F3B" w:rsidP="007C0F3B">
      <w:pPr>
        <w:rPr>
          <w:i/>
          <w:iCs/>
          <w:sz w:val="24"/>
          <w:szCs w:val="24"/>
          <w:lang w:val="bg-BG"/>
        </w:rPr>
      </w:pPr>
      <w:r w:rsidRPr="007C0F3B">
        <w:rPr>
          <w:i/>
          <w:iCs/>
          <w:lang w:val="bg-BG" w:eastAsia="bg-BG"/>
        </w:rPr>
        <w:t>Увредена бъбречна функция</w:t>
      </w:r>
    </w:p>
    <w:p w14:paraId="552EE254" w14:textId="77777777" w:rsidR="007C0F3B" w:rsidRPr="007C0F3B" w:rsidRDefault="007C0F3B" w:rsidP="007C0F3B">
      <w:pPr>
        <w:rPr>
          <w:sz w:val="24"/>
          <w:szCs w:val="24"/>
          <w:lang w:val="bg-BG"/>
        </w:rPr>
      </w:pPr>
      <w:r w:rsidRPr="007C0F3B">
        <w:rPr>
          <w:lang w:val="bg-BG" w:eastAsia="bg-BG"/>
        </w:rPr>
        <w:t>При пациенти с нарушена бъбречна функция не се налага корекция на дозата.</w:t>
      </w:r>
    </w:p>
    <w:p w14:paraId="5CB9184E" w14:textId="77777777" w:rsidR="007C0F3B" w:rsidRDefault="007C0F3B" w:rsidP="007C0F3B">
      <w:pPr>
        <w:rPr>
          <w:lang w:val="bg-BG" w:eastAsia="bg-BG"/>
        </w:rPr>
      </w:pPr>
    </w:p>
    <w:p w14:paraId="02AD8C28" w14:textId="52ECAD16" w:rsidR="007C0F3B" w:rsidRPr="007C0F3B" w:rsidRDefault="007C0F3B" w:rsidP="007C0F3B">
      <w:pPr>
        <w:rPr>
          <w:i/>
          <w:iCs/>
          <w:sz w:val="24"/>
          <w:szCs w:val="24"/>
          <w:lang w:val="bg-BG"/>
        </w:rPr>
      </w:pPr>
      <w:r w:rsidRPr="007C0F3B">
        <w:rPr>
          <w:i/>
          <w:iCs/>
          <w:lang w:val="bg-BG" w:eastAsia="bg-BG"/>
        </w:rPr>
        <w:t>Пациенти в старческа възраст</w:t>
      </w:r>
    </w:p>
    <w:p w14:paraId="56E693A0" w14:textId="77777777" w:rsidR="007C0F3B" w:rsidRPr="007C0F3B" w:rsidRDefault="007C0F3B" w:rsidP="007C0F3B">
      <w:pPr>
        <w:rPr>
          <w:sz w:val="24"/>
          <w:szCs w:val="24"/>
          <w:lang w:val="bg-BG"/>
        </w:rPr>
      </w:pPr>
      <w:r w:rsidRPr="007C0F3B">
        <w:rPr>
          <w:lang w:val="bg-BG" w:eastAsia="bg-BG"/>
        </w:rPr>
        <w:t>При пациенти в старческа възраст не се налага корекция на дозата.</w:t>
      </w:r>
    </w:p>
    <w:p w14:paraId="76812170" w14:textId="77777777" w:rsidR="007C0F3B" w:rsidRDefault="007C0F3B" w:rsidP="007C0F3B">
      <w:pPr>
        <w:rPr>
          <w:u w:val="single"/>
          <w:lang w:val="bg-BG" w:eastAsia="bg-BG"/>
        </w:rPr>
      </w:pPr>
    </w:p>
    <w:p w14:paraId="66BA4AB3" w14:textId="46138925" w:rsidR="007C0F3B" w:rsidRPr="007C0F3B" w:rsidRDefault="007C0F3B" w:rsidP="007C0F3B">
      <w:pPr>
        <w:pStyle w:val="Heading3"/>
        <w:rPr>
          <w:rFonts w:eastAsia="Times New Roman"/>
          <w:u w:val="single"/>
          <w:lang w:val="bg-BG"/>
        </w:rPr>
      </w:pPr>
      <w:r w:rsidRPr="007C0F3B">
        <w:rPr>
          <w:rFonts w:eastAsia="Times New Roman"/>
          <w:u w:val="single"/>
          <w:lang w:val="bg-BG" w:eastAsia="bg-BG"/>
        </w:rPr>
        <w:t>Начин на приложение</w:t>
      </w:r>
    </w:p>
    <w:p w14:paraId="4CA2170D" w14:textId="77777777" w:rsidR="007C0F3B" w:rsidRDefault="007C0F3B" w:rsidP="007C0F3B">
      <w:pPr>
        <w:rPr>
          <w:lang w:val="bg-BG" w:eastAsia="bg-BG"/>
        </w:rPr>
      </w:pPr>
    </w:p>
    <w:p w14:paraId="13D0A340" w14:textId="13CA22B4" w:rsidR="007C0F3B" w:rsidRPr="007C0F3B" w:rsidRDefault="007C0F3B" w:rsidP="007C0F3B">
      <w:pPr>
        <w:rPr>
          <w:sz w:val="24"/>
          <w:szCs w:val="24"/>
          <w:lang w:val="bg-BG"/>
        </w:rPr>
      </w:pPr>
      <w:proofErr w:type="spellStart"/>
      <w:r w:rsidRPr="007C0F3B">
        <w:rPr>
          <w:lang w:val="bg-BG" w:eastAsia="bg-BG"/>
        </w:rPr>
        <w:t>Пулсет</w:t>
      </w:r>
      <w:proofErr w:type="spellEnd"/>
      <w:r w:rsidRPr="007C0F3B">
        <w:rPr>
          <w:lang w:val="bg-BG" w:eastAsia="bg-BG"/>
        </w:rPr>
        <w:t xml:space="preserve"> 20 </w:t>
      </w:r>
      <w:r w:rsidRPr="007C0F3B">
        <w:t xml:space="preserve">mg </w:t>
      </w:r>
      <w:r w:rsidRPr="007C0F3B">
        <w:rPr>
          <w:lang w:val="bg-BG" w:eastAsia="bg-BG"/>
        </w:rPr>
        <w:t>стомашно-устойчиви таблетки трябва да се приемат цели (без да се дъвчат или натрошават) с малко вода, 1 час преди ядене.</w:t>
      </w:r>
    </w:p>
    <w:p w14:paraId="4A828741" w14:textId="77777777" w:rsidR="007C0F3B" w:rsidRPr="007C0F3B" w:rsidRDefault="007C0F3B" w:rsidP="007C0F3B">
      <w:pPr>
        <w:rPr>
          <w:sz w:val="24"/>
          <w:szCs w:val="24"/>
          <w:lang w:val="bg-BG"/>
        </w:rPr>
      </w:pPr>
    </w:p>
    <w:p w14:paraId="3194B1C9" w14:textId="015B2864" w:rsidR="001915B6" w:rsidRDefault="002C50EE" w:rsidP="00C07B84">
      <w:pPr>
        <w:pStyle w:val="Heading2"/>
      </w:pPr>
      <w:r>
        <w:t xml:space="preserve">4.3. </w:t>
      </w:r>
      <w:proofErr w:type="spellStart"/>
      <w:r>
        <w:t>Противопоказания</w:t>
      </w:r>
      <w:proofErr w:type="spellEnd"/>
    </w:p>
    <w:p w14:paraId="7CEBCB6C" w14:textId="77777777" w:rsidR="007C0F3B" w:rsidRDefault="007C0F3B" w:rsidP="007C0F3B">
      <w:pPr>
        <w:rPr>
          <w:lang w:val="bg-BG" w:eastAsia="bg-BG"/>
        </w:rPr>
      </w:pPr>
    </w:p>
    <w:p w14:paraId="3254D6C2" w14:textId="7E722B15" w:rsidR="007C0F3B" w:rsidRPr="007C0F3B" w:rsidRDefault="007C0F3B" w:rsidP="007C0F3B">
      <w:pPr>
        <w:rPr>
          <w:sz w:val="24"/>
          <w:szCs w:val="24"/>
          <w:lang w:val="bg-BG"/>
        </w:rPr>
      </w:pPr>
      <w:r w:rsidRPr="007C0F3B">
        <w:rPr>
          <w:lang w:val="bg-BG" w:eastAsia="bg-BG"/>
        </w:rPr>
        <w:t xml:space="preserve">Свръхчувствителност към активното вещество или към някое от помощните вещества, изброени в точка 6.1, или към </w:t>
      </w:r>
      <w:proofErr w:type="spellStart"/>
      <w:r w:rsidRPr="007C0F3B">
        <w:rPr>
          <w:lang w:val="bg-BG" w:eastAsia="bg-BG"/>
        </w:rPr>
        <w:t>субституирани</w:t>
      </w:r>
      <w:proofErr w:type="spellEnd"/>
      <w:r w:rsidRPr="007C0F3B">
        <w:rPr>
          <w:lang w:val="bg-BG" w:eastAsia="bg-BG"/>
        </w:rPr>
        <w:t xml:space="preserve"> </w:t>
      </w:r>
      <w:proofErr w:type="spellStart"/>
      <w:r w:rsidRPr="007C0F3B">
        <w:rPr>
          <w:lang w:val="bg-BG" w:eastAsia="bg-BG"/>
        </w:rPr>
        <w:t>бензимидазоли</w:t>
      </w:r>
      <w:proofErr w:type="spellEnd"/>
      <w:r w:rsidRPr="007C0F3B">
        <w:rPr>
          <w:lang w:val="bg-BG" w:eastAsia="bg-BG"/>
        </w:rPr>
        <w:t>.</w:t>
      </w:r>
    </w:p>
    <w:p w14:paraId="7BBF8C31" w14:textId="77777777" w:rsidR="007C0F3B" w:rsidRPr="007C0F3B" w:rsidRDefault="007C0F3B" w:rsidP="007C0F3B">
      <w:pPr>
        <w:rPr>
          <w:sz w:val="24"/>
          <w:szCs w:val="24"/>
          <w:lang w:val="bg-BG"/>
        </w:rPr>
      </w:pPr>
      <w:r w:rsidRPr="007C0F3B">
        <w:rPr>
          <w:lang w:val="bg-BG" w:eastAsia="bg-BG"/>
        </w:rPr>
        <w:t xml:space="preserve">Едновременно прилагане с </w:t>
      </w:r>
      <w:proofErr w:type="spellStart"/>
      <w:r w:rsidRPr="007C0F3B">
        <w:rPr>
          <w:lang w:val="bg-BG" w:eastAsia="bg-BG"/>
        </w:rPr>
        <w:t>атазанавир</w:t>
      </w:r>
      <w:proofErr w:type="spellEnd"/>
      <w:r w:rsidRPr="007C0F3B">
        <w:rPr>
          <w:lang w:val="bg-BG" w:eastAsia="bg-BG"/>
        </w:rPr>
        <w:t xml:space="preserve"> (вж. точка 4.5).</w:t>
      </w:r>
    </w:p>
    <w:p w14:paraId="21292F90" w14:textId="77777777" w:rsidR="007C0F3B" w:rsidRPr="007C0F3B" w:rsidRDefault="007C0F3B" w:rsidP="007C0F3B"/>
    <w:p w14:paraId="4B2B2AB1" w14:textId="7CE7E5BE" w:rsidR="00605BCA" w:rsidRDefault="002C50EE" w:rsidP="00C07B84">
      <w:pPr>
        <w:pStyle w:val="Heading2"/>
      </w:pPr>
      <w:r>
        <w:t xml:space="preserve">4.4. </w:t>
      </w:r>
      <w:proofErr w:type="spellStart"/>
      <w:r>
        <w:t>Специални</w:t>
      </w:r>
      <w:proofErr w:type="spellEnd"/>
      <w:r>
        <w:t xml:space="preserve"> </w:t>
      </w:r>
      <w:proofErr w:type="spellStart"/>
      <w:r>
        <w:t>предупреждения</w:t>
      </w:r>
      <w:proofErr w:type="spellEnd"/>
      <w:r>
        <w:t xml:space="preserve"> и </w:t>
      </w:r>
      <w:proofErr w:type="spellStart"/>
      <w:r>
        <w:t>предпазни</w:t>
      </w:r>
      <w:proofErr w:type="spellEnd"/>
      <w:r>
        <w:t xml:space="preserve"> </w:t>
      </w:r>
      <w:proofErr w:type="spellStart"/>
      <w:r>
        <w:t>мерки</w:t>
      </w:r>
      <w:proofErr w:type="spellEnd"/>
      <w:r>
        <w:t xml:space="preserve"> </w:t>
      </w:r>
      <w:proofErr w:type="spellStart"/>
      <w:r>
        <w:t>при</w:t>
      </w:r>
      <w:proofErr w:type="spellEnd"/>
      <w:r>
        <w:t xml:space="preserve"> </w:t>
      </w:r>
      <w:proofErr w:type="spellStart"/>
      <w:r>
        <w:t>употреба</w:t>
      </w:r>
      <w:proofErr w:type="spellEnd"/>
    </w:p>
    <w:p w14:paraId="031B83FE" w14:textId="77777777" w:rsidR="007C0F3B" w:rsidRDefault="007C0F3B" w:rsidP="007C0F3B">
      <w:pPr>
        <w:rPr>
          <w:lang w:val="bg-BG" w:eastAsia="bg-BG"/>
        </w:rPr>
      </w:pPr>
    </w:p>
    <w:p w14:paraId="4FCC10E5" w14:textId="232FFD77" w:rsidR="007C0F3B" w:rsidRPr="007C0F3B" w:rsidRDefault="007C0F3B" w:rsidP="007C0F3B">
      <w:pPr>
        <w:rPr>
          <w:i/>
          <w:iCs/>
          <w:sz w:val="24"/>
          <w:szCs w:val="24"/>
          <w:lang w:val="bg-BG"/>
        </w:rPr>
      </w:pPr>
      <w:r w:rsidRPr="007C0F3B">
        <w:rPr>
          <w:i/>
          <w:iCs/>
          <w:lang w:val="bg-BG" w:eastAsia="bg-BG"/>
        </w:rPr>
        <w:t>Увредена чернодробна функция</w:t>
      </w:r>
    </w:p>
    <w:p w14:paraId="62B10B70" w14:textId="77777777" w:rsidR="007C0F3B" w:rsidRPr="007C0F3B" w:rsidRDefault="007C0F3B" w:rsidP="007C0F3B">
      <w:pPr>
        <w:rPr>
          <w:sz w:val="24"/>
          <w:szCs w:val="24"/>
          <w:lang w:val="bg-BG"/>
        </w:rPr>
      </w:pPr>
      <w:r w:rsidRPr="007C0F3B">
        <w:rPr>
          <w:lang w:val="bg-BG" w:eastAsia="bg-BG"/>
        </w:rPr>
        <w:t xml:space="preserve">При пациенти с тежка чернодробна недостатъчност трябва да се извършва редовен контрол на чернодробните ензими, особено при продължителна терапия с </w:t>
      </w:r>
      <w:proofErr w:type="spellStart"/>
      <w:r w:rsidRPr="007C0F3B">
        <w:rPr>
          <w:lang w:val="bg-BG" w:eastAsia="bg-BG"/>
        </w:rPr>
        <w:t>пантопразол</w:t>
      </w:r>
      <w:proofErr w:type="spellEnd"/>
      <w:r w:rsidRPr="007C0F3B">
        <w:rPr>
          <w:lang w:val="bg-BG" w:eastAsia="bg-BG"/>
        </w:rPr>
        <w:t>. В случай, че от лабораторните тестове се установи повишение в нивата на чернодробните ензими лечението трябва да се преустанови (вж. точка 4.2).</w:t>
      </w:r>
    </w:p>
    <w:p w14:paraId="037B6251" w14:textId="77777777" w:rsidR="007C0F3B" w:rsidRDefault="007C0F3B" w:rsidP="007C0F3B">
      <w:pPr>
        <w:rPr>
          <w:lang w:val="bg-BG" w:eastAsia="bg-BG"/>
        </w:rPr>
      </w:pPr>
    </w:p>
    <w:p w14:paraId="3D10B742" w14:textId="51A35EDF" w:rsidR="007C0F3B" w:rsidRPr="007C0F3B" w:rsidRDefault="007C0F3B" w:rsidP="007C0F3B">
      <w:pPr>
        <w:rPr>
          <w:i/>
          <w:iCs/>
          <w:sz w:val="24"/>
          <w:szCs w:val="24"/>
          <w:lang w:val="bg-BG"/>
        </w:rPr>
      </w:pPr>
      <w:r w:rsidRPr="007C0F3B">
        <w:rPr>
          <w:i/>
          <w:iCs/>
          <w:lang w:val="bg-BG" w:eastAsia="bg-BG"/>
        </w:rPr>
        <w:t>Наличие на предупредителни симптоми</w:t>
      </w:r>
    </w:p>
    <w:p w14:paraId="45532436" w14:textId="77777777" w:rsidR="007C0F3B" w:rsidRPr="007C0F3B" w:rsidRDefault="007C0F3B" w:rsidP="007C0F3B">
      <w:pPr>
        <w:rPr>
          <w:sz w:val="24"/>
          <w:szCs w:val="24"/>
          <w:lang w:val="bg-BG"/>
        </w:rPr>
      </w:pPr>
      <w:r w:rsidRPr="007C0F3B">
        <w:rPr>
          <w:lang w:val="bg-BG" w:eastAsia="bg-BG"/>
        </w:rPr>
        <w:t xml:space="preserve">При наличие на какъвто и да е предупредителен симптом (напр. значителна нежелана загуба на тегло, рецидивиращо повръщане, </w:t>
      </w:r>
      <w:proofErr w:type="spellStart"/>
      <w:r w:rsidRPr="007C0F3B">
        <w:rPr>
          <w:lang w:val="bg-BG" w:eastAsia="bg-BG"/>
        </w:rPr>
        <w:t>дисфагия</w:t>
      </w:r>
      <w:proofErr w:type="spellEnd"/>
      <w:r w:rsidRPr="007C0F3B">
        <w:rPr>
          <w:lang w:val="bg-BG" w:eastAsia="bg-BG"/>
        </w:rPr>
        <w:t xml:space="preserve">, </w:t>
      </w:r>
      <w:proofErr w:type="spellStart"/>
      <w:r w:rsidRPr="007C0F3B">
        <w:rPr>
          <w:lang w:val="bg-BG" w:eastAsia="bg-BG"/>
        </w:rPr>
        <w:t>хематемеза</w:t>
      </w:r>
      <w:proofErr w:type="spellEnd"/>
      <w:r w:rsidRPr="007C0F3B">
        <w:rPr>
          <w:lang w:val="bg-BG" w:eastAsia="bg-BG"/>
        </w:rPr>
        <w:t xml:space="preserve">, анемия или мелена) и при </w:t>
      </w:r>
      <w:proofErr w:type="spellStart"/>
      <w:r w:rsidRPr="007C0F3B">
        <w:rPr>
          <w:lang w:val="bg-BG" w:eastAsia="bg-BG"/>
        </w:rPr>
        <w:t>суспектна</w:t>
      </w:r>
      <w:proofErr w:type="spellEnd"/>
      <w:r w:rsidRPr="007C0F3B">
        <w:rPr>
          <w:lang w:val="bg-BG" w:eastAsia="bg-BG"/>
        </w:rPr>
        <w:t xml:space="preserve"> или налична стомашна язва, трябва да се изключи наличието на </w:t>
      </w:r>
      <w:proofErr w:type="spellStart"/>
      <w:r w:rsidRPr="007C0F3B">
        <w:rPr>
          <w:lang w:val="bg-BG" w:eastAsia="bg-BG"/>
        </w:rPr>
        <w:t>малигнено</w:t>
      </w:r>
      <w:proofErr w:type="spellEnd"/>
      <w:r w:rsidRPr="007C0F3B">
        <w:rPr>
          <w:lang w:val="bg-BG" w:eastAsia="bg-BG"/>
        </w:rPr>
        <w:t xml:space="preserve"> заболяване, тъй като лечението с </w:t>
      </w:r>
      <w:proofErr w:type="spellStart"/>
      <w:r w:rsidRPr="007C0F3B">
        <w:rPr>
          <w:lang w:val="bg-BG" w:eastAsia="bg-BG"/>
        </w:rPr>
        <w:t>пантопразол</w:t>
      </w:r>
      <w:proofErr w:type="spellEnd"/>
      <w:r w:rsidRPr="007C0F3B">
        <w:rPr>
          <w:lang w:val="bg-BG" w:eastAsia="bg-BG"/>
        </w:rPr>
        <w:t xml:space="preserve"> може да маскира симптомите, което може да е причина за забавяне на диагностицирането.</w:t>
      </w:r>
    </w:p>
    <w:p w14:paraId="593886DB" w14:textId="77777777" w:rsidR="007C0F3B" w:rsidRDefault="007C0F3B" w:rsidP="007C0F3B">
      <w:pPr>
        <w:rPr>
          <w:lang w:val="bg-BG" w:eastAsia="bg-BG"/>
        </w:rPr>
      </w:pPr>
    </w:p>
    <w:p w14:paraId="21A0FF2A" w14:textId="6333E72D" w:rsidR="007C0F3B" w:rsidRPr="007C0F3B" w:rsidRDefault="007C0F3B" w:rsidP="007C0F3B">
      <w:pPr>
        <w:rPr>
          <w:sz w:val="24"/>
          <w:szCs w:val="24"/>
          <w:lang w:val="bg-BG"/>
        </w:rPr>
      </w:pPr>
      <w:r w:rsidRPr="007C0F3B">
        <w:rPr>
          <w:lang w:val="bg-BG" w:eastAsia="bg-BG"/>
        </w:rPr>
        <w:t xml:space="preserve">Трябва да се обсъди необходимостта от допълнителни изследвания, ако симптомите </w:t>
      </w:r>
      <w:proofErr w:type="spellStart"/>
      <w:r w:rsidRPr="007C0F3B">
        <w:rPr>
          <w:lang w:val="bg-BG" w:eastAsia="bg-BG"/>
        </w:rPr>
        <w:t>персистират</w:t>
      </w:r>
      <w:proofErr w:type="spellEnd"/>
      <w:r w:rsidRPr="007C0F3B">
        <w:rPr>
          <w:lang w:val="bg-BG" w:eastAsia="bg-BG"/>
        </w:rPr>
        <w:t>, независимо от адекватното лечение.</w:t>
      </w:r>
    </w:p>
    <w:p w14:paraId="125BB4CD" w14:textId="77777777" w:rsidR="007C0F3B" w:rsidRDefault="007C0F3B" w:rsidP="007C0F3B">
      <w:pPr>
        <w:rPr>
          <w:lang w:val="bg-BG" w:eastAsia="bg-BG"/>
        </w:rPr>
      </w:pPr>
    </w:p>
    <w:p w14:paraId="3869B60A" w14:textId="2F77649D" w:rsidR="007C0F3B" w:rsidRPr="007C0F3B" w:rsidRDefault="007C0F3B" w:rsidP="007C0F3B">
      <w:pPr>
        <w:rPr>
          <w:i/>
          <w:iCs/>
          <w:sz w:val="24"/>
          <w:szCs w:val="24"/>
          <w:lang w:val="bg-BG"/>
        </w:rPr>
      </w:pPr>
      <w:r w:rsidRPr="007C0F3B">
        <w:rPr>
          <w:i/>
          <w:iCs/>
          <w:lang w:val="bg-BG" w:eastAsia="bg-BG"/>
        </w:rPr>
        <w:t xml:space="preserve">Едновременно приложение с </w:t>
      </w:r>
      <w:proofErr w:type="spellStart"/>
      <w:r w:rsidRPr="007C0F3B">
        <w:rPr>
          <w:i/>
          <w:iCs/>
          <w:lang w:val="bg-BG" w:eastAsia="bg-BG"/>
        </w:rPr>
        <w:t>атазанавир</w:t>
      </w:r>
      <w:proofErr w:type="spellEnd"/>
    </w:p>
    <w:p w14:paraId="4A7977EC" w14:textId="77777777" w:rsidR="007C0F3B" w:rsidRPr="007C0F3B" w:rsidRDefault="007C0F3B" w:rsidP="007C0F3B">
      <w:pPr>
        <w:rPr>
          <w:sz w:val="24"/>
          <w:szCs w:val="24"/>
          <w:lang w:val="bg-BG"/>
        </w:rPr>
      </w:pPr>
      <w:r w:rsidRPr="007C0F3B">
        <w:rPr>
          <w:lang w:val="bg-BG" w:eastAsia="bg-BG"/>
        </w:rPr>
        <w:t xml:space="preserve">Едновременно приложение на инхибитори на </w:t>
      </w:r>
      <w:proofErr w:type="spellStart"/>
      <w:r w:rsidRPr="007C0F3B">
        <w:rPr>
          <w:lang w:val="bg-BG" w:eastAsia="bg-BG"/>
        </w:rPr>
        <w:t>протонната</w:t>
      </w:r>
      <w:proofErr w:type="spellEnd"/>
      <w:r w:rsidRPr="007C0F3B">
        <w:rPr>
          <w:lang w:val="bg-BG" w:eastAsia="bg-BG"/>
        </w:rPr>
        <w:t xml:space="preserve"> помпа с </w:t>
      </w:r>
      <w:proofErr w:type="spellStart"/>
      <w:r w:rsidRPr="007C0F3B">
        <w:rPr>
          <w:lang w:val="bg-BG" w:eastAsia="bg-BG"/>
        </w:rPr>
        <w:t>атазанавир</w:t>
      </w:r>
      <w:proofErr w:type="spellEnd"/>
      <w:r w:rsidRPr="007C0F3B">
        <w:rPr>
          <w:lang w:val="bg-BG" w:eastAsia="bg-BG"/>
        </w:rPr>
        <w:t>, не е препоръчително (вж. точка 4.5).</w:t>
      </w:r>
    </w:p>
    <w:p w14:paraId="30FA6DDB" w14:textId="77777777" w:rsidR="007C0F3B" w:rsidRPr="007C0F3B" w:rsidRDefault="007C0F3B" w:rsidP="007C0F3B">
      <w:pPr>
        <w:rPr>
          <w:sz w:val="24"/>
          <w:szCs w:val="24"/>
          <w:lang w:val="bg-BG"/>
        </w:rPr>
      </w:pPr>
      <w:r w:rsidRPr="007C0F3B">
        <w:rPr>
          <w:lang w:val="bg-BG" w:eastAsia="bg-BG"/>
        </w:rPr>
        <w:t xml:space="preserve">Ако се налага употребата на инхибитори на </w:t>
      </w:r>
      <w:proofErr w:type="spellStart"/>
      <w:r w:rsidRPr="007C0F3B">
        <w:rPr>
          <w:lang w:val="bg-BG" w:eastAsia="bg-BG"/>
        </w:rPr>
        <w:t>протонната</w:t>
      </w:r>
      <w:proofErr w:type="spellEnd"/>
      <w:r w:rsidRPr="007C0F3B">
        <w:rPr>
          <w:lang w:val="bg-BG" w:eastAsia="bg-BG"/>
        </w:rPr>
        <w:t xml:space="preserve"> помпа с </w:t>
      </w:r>
      <w:proofErr w:type="spellStart"/>
      <w:r w:rsidRPr="007C0F3B">
        <w:rPr>
          <w:lang w:val="bg-BG" w:eastAsia="bg-BG"/>
        </w:rPr>
        <w:t>атазанавир</w:t>
      </w:r>
      <w:proofErr w:type="spellEnd"/>
      <w:r w:rsidRPr="007C0F3B">
        <w:rPr>
          <w:lang w:val="bg-BG" w:eastAsia="bg-BG"/>
        </w:rPr>
        <w:t xml:space="preserve"> е необходимо стриктно клинично наблюдение. Дневната доза от 20 </w:t>
      </w:r>
      <w:r w:rsidRPr="007C0F3B">
        <w:t xml:space="preserve">mg </w:t>
      </w:r>
      <w:proofErr w:type="spellStart"/>
      <w:r w:rsidRPr="007C0F3B">
        <w:rPr>
          <w:lang w:val="bg-BG" w:eastAsia="bg-BG"/>
        </w:rPr>
        <w:t>пантопразол</w:t>
      </w:r>
      <w:proofErr w:type="spellEnd"/>
      <w:r w:rsidRPr="007C0F3B">
        <w:rPr>
          <w:lang w:val="bg-BG" w:eastAsia="bg-BG"/>
        </w:rPr>
        <w:t xml:space="preserve"> не трябва да се превишава.</w:t>
      </w:r>
    </w:p>
    <w:p w14:paraId="08584235" w14:textId="77777777" w:rsidR="007C0F3B" w:rsidRDefault="007C0F3B" w:rsidP="007C0F3B">
      <w:pPr>
        <w:rPr>
          <w:lang w:val="bg-BG" w:eastAsia="bg-BG"/>
        </w:rPr>
      </w:pPr>
    </w:p>
    <w:p w14:paraId="12552B3A" w14:textId="689A73C5" w:rsidR="007C0F3B" w:rsidRPr="007C0F3B" w:rsidRDefault="007C0F3B" w:rsidP="007C0F3B">
      <w:pPr>
        <w:rPr>
          <w:i/>
          <w:iCs/>
          <w:sz w:val="24"/>
          <w:szCs w:val="24"/>
          <w:lang w:val="bg-BG"/>
        </w:rPr>
      </w:pPr>
      <w:r w:rsidRPr="007C0F3B">
        <w:rPr>
          <w:i/>
          <w:iCs/>
          <w:lang w:val="bg-BG" w:eastAsia="bg-BG"/>
        </w:rPr>
        <w:t>Въздействие върху абсорбцията на витамин В</w:t>
      </w:r>
      <w:r w:rsidRPr="007C0F3B">
        <w:rPr>
          <w:i/>
          <w:iCs/>
          <w:vertAlign w:val="subscript"/>
          <w:lang w:val="bg-BG" w:eastAsia="bg-BG"/>
        </w:rPr>
        <w:t>12</w:t>
      </w:r>
    </w:p>
    <w:p w14:paraId="6867FA2E" w14:textId="77777777" w:rsidR="007C0F3B" w:rsidRPr="007C0F3B" w:rsidRDefault="007C0F3B" w:rsidP="007C0F3B">
      <w:pPr>
        <w:rPr>
          <w:sz w:val="24"/>
          <w:szCs w:val="24"/>
          <w:lang w:val="bg-BG"/>
        </w:rPr>
      </w:pPr>
      <w:r w:rsidRPr="007C0F3B">
        <w:rPr>
          <w:lang w:val="bg-BG" w:eastAsia="bg-BG"/>
        </w:rPr>
        <w:lastRenderedPageBreak/>
        <w:t xml:space="preserve">Както всички лекарствени средства, които блокират секрецията на стомашна киселина, </w:t>
      </w:r>
      <w:proofErr w:type="spellStart"/>
      <w:r w:rsidRPr="007C0F3B">
        <w:rPr>
          <w:lang w:val="bg-BG" w:eastAsia="bg-BG"/>
        </w:rPr>
        <w:t>пантопразол</w:t>
      </w:r>
      <w:proofErr w:type="spellEnd"/>
      <w:r w:rsidRPr="007C0F3B">
        <w:rPr>
          <w:lang w:val="bg-BG" w:eastAsia="bg-BG"/>
        </w:rPr>
        <w:t xml:space="preserve"> може да намали степента на абсорбция на витамин В</w:t>
      </w:r>
      <w:r w:rsidRPr="007C0F3B">
        <w:rPr>
          <w:vertAlign w:val="subscript"/>
          <w:lang w:val="bg-BG" w:eastAsia="bg-BG"/>
        </w:rPr>
        <w:t>12</w:t>
      </w:r>
      <w:r w:rsidRPr="007C0F3B">
        <w:rPr>
          <w:lang w:val="bg-BG" w:eastAsia="bg-BG"/>
        </w:rPr>
        <w:t xml:space="preserve"> .</w:t>
      </w:r>
    </w:p>
    <w:p w14:paraId="77F593B2" w14:textId="5FFDC14D" w:rsidR="007C0F3B" w:rsidRDefault="007C0F3B" w:rsidP="007C0F3B">
      <w:pPr>
        <w:rPr>
          <w:lang w:val="bg-BG" w:eastAsia="bg-BG"/>
        </w:rPr>
      </w:pPr>
      <w:r w:rsidRPr="007C0F3B">
        <w:rPr>
          <w:lang w:val="bg-BG" w:eastAsia="bg-BG"/>
        </w:rPr>
        <w:t xml:space="preserve">Това трябва да се има предвид при продължително лечение на пациенти с рискови </w:t>
      </w:r>
      <w:r>
        <w:rPr>
          <w:lang w:val="bg-BG" w:eastAsia="bg-BG"/>
        </w:rPr>
        <w:t xml:space="preserve">фактори </w:t>
      </w:r>
      <w:r w:rsidRPr="007C0F3B">
        <w:rPr>
          <w:lang w:val="bg-BG" w:eastAsia="bg-BG"/>
        </w:rPr>
        <w:t>понижена абсорбция на витамин В</w:t>
      </w:r>
      <w:r w:rsidRPr="007C0F3B">
        <w:rPr>
          <w:vertAlign w:val="subscript"/>
          <w:lang w:val="bg-BG" w:eastAsia="bg-BG"/>
        </w:rPr>
        <w:t>12</w:t>
      </w:r>
      <w:r w:rsidRPr="007C0F3B">
        <w:rPr>
          <w:lang w:val="bg-BG" w:eastAsia="bg-BG"/>
        </w:rPr>
        <w:t xml:space="preserve"> или понижени телесни запаси.</w:t>
      </w:r>
    </w:p>
    <w:p w14:paraId="7708F1F7" w14:textId="2D3776DC" w:rsidR="007C0F3B" w:rsidRDefault="007C0F3B" w:rsidP="007C0F3B">
      <w:pPr>
        <w:rPr>
          <w:lang w:val="bg-BG" w:eastAsia="bg-BG"/>
        </w:rPr>
      </w:pPr>
    </w:p>
    <w:p w14:paraId="74F2B582" w14:textId="77777777" w:rsidR="007C0F3B" w:rsidRPr="007C0F3B" w:rsidRDefault="007C0F3B" w:rsidP="007C0F3B">
      <w:pPr>
        <w:rPr>
          <w:i/>
          <w:iCs/>
          <w:sz w:val="24"/>
          <w:szCs w:val="24"/>
          <w:lang w:val="bg-BG"/>
        </w:rPr>
      </w:pPr>
      <w:r w:rsidRPr="007C0F3B">
        <w:rPr>
          <w:i/>
          <w:iCs/>
          <w:lang w:val="bg-BG" w:eastAsia="bg-BG"/>
        </w:rPr>
        <w:t>Продължително лечение</w:t>
      </w:r>
    </w:p>
    <w:p w14:paraId="1E2A2BA6" w14:textId="77777777" w:rsidR="007C0F3B" w:rsidRPr="007C0F3B" w:rsidRDefault="007C0F3B" w:rsidP="007C0F3B">
      <w:pPr>
        <w:rPr>
          <w:sz w:val="24"/>
          <w:szCs w:val="24"/>
          <w:lang w:val="bg-BG"/>
        </w:rPr>
      </w:pPr>
      <w:r w:rsidRPr="007C0F3B">
        <w:rPr>
          <w:lang w:val="bg-BG" w:eastAsia="bg-BG"/>
        </w:rPr>
        <w:t xml:space="preserve">При продължително лечение (повече от 1 година), особено ако се използват високи дози, инхибиторите на </w:t>
      </w:r>
      <w:proofErr w:type="spellStart"/>
      <w:r w:rsidRPr="007C0F3B">
        <w:rPr>
          <w:lang w:val="bg-BG" w:eastAsia="bg-BG"/>
        </w:rPr>
        <w:t>протонната</w:t>
      </w:r>
      <w:proofErr w:type="spellEnd"/>
      <w:r w:rsidRPr="007C0F3B">
        <w:rPr>
          <w:lang w:val="bg-BG" w:eastAsia="bg-BG"/>
        </w:rPr>
        <w:t xml:space="preserve"> помпа може да повишат в умерена степен риска от фрактури на бедрената кост, китката и гръбначния стълб, предимно при пациенти в старческа възраст или при наличие на други рискови фактори. </w:t>
      </w:r>
      <w:proofErr w:type="spellStart"/>
      <w:r w:rsidRPr="007C0F3B">
        <w:rPr>
          <w:lang w:val="bg-BG" w:eastAsia="bg-BG"/>
        </w:rPr>
        <w:t>Обсервационните</w:t>
      </w:r>
      <w:proofErr w:type="spellEnd"/>
      <w:r w:rsidRPr="007C0F3B">
        <w:rPr>
          <w:lang w:val="bg-BG" w:eastAsia="bg-BG"/>
        </w:rPr>
        <w:t xml:space="preserve"> проучвания показват, че инхибиторите на </w:t>
      </w:r>
      <w:proofErr w:type="spellStart"/>
      <w:r w:rsidRPr="007C0F3B">
        <w:rPr>
          <w:lang w:val="bg-BG" w:eastAsia="bg-BG"/>
        </w:rPr>
        <w:t>протонната</w:t>
      </w:r>
      <w:proofErr w:type="spellEnd"/>
      <w:r w:rsidRPr="007C0F3B">
        <w:rPr>
          <w:lang w:val="bg-BG" w:eastAsia="bg-BG"/>
        </w:rPr>
        <w:t xml:space="preserve"> помпа могат да повишат общия риск от фрактури с 10-40%, В някои случаи това повишение може да се дължи на други рискови фактори. Пациентите с остеопороза трябва да бъдат лекувани съобразно актуалните клинични ръководства и да приемат витамин </w:t>
      </w:r>
      <w:r w:rsidRPr="007C0F3B">
        <w:t xml:space="preserve">D </w:t>
      </w:r>
      <w:r w:rsidRPr="007C0F3B">
        <w:rPr>
          <w:lang w:val="bg-BG" w:eastAsia="bg-BG"/>
        </w:rPr>
        <w:t>и калий.</w:t>
      </w:r>
    </w:p>
    <w:p w14:paraId="4F57A1CD" w14:textId="77777777" w:rsidR="007C0F3B" w:rsidRDefault="007C0F3B" w:rsidP="007C0F3B">
      <w:pPr>
        <w:rPr>
          <w:lang w:val="bg-BG" w:eastAsia="bg-BG"/>
        </w:rPr>
      </w:pPr>
    </w:p>
    <w:p w14:paraId="52D94D9B" w14:textId="12A1416D" w:rsidR="007C0F3B" w:rsidRPr="007C0F3B" w:rsidRDefault="007C0F3B" w:rsidP="007C0F3B">
      <w:pPr>
        <w:rPr>
          <w:i/>
          <w:iCs/>
          <w:sz w:val="24"/>
          <w:szCs w:val="24"/>
          <w:lang w:val="bg-BG"/>
        </w:rPr>
      </w:pPr>
      <w:r w:rsidRPr="007C0F3B">
        <w:rPr>
          <w:i/>
          <w:iCs/>
          <w:lang w:val="bg-BG" w:eastAsia="bg-BG"/>
        </w:rPr>
        <w:t>Гастроинтестинални инфекции причинени от бактерии</w:t>
      </w:r>
    </w:p>
    <w:p w14:paraId="75830607" w14:textId="77777777" w:rsidR="007C0F3B" w:rsidRPr="007C0F3B" w:rsidRDefault="007C0F3B" w:rsidP="007C0F3B">
      <w:pPr>
        <w:rPr>
          <w:sz w:val="24"/>
          <w:szCs w:val="24"/>
          <w:lang w:val="bg-BG"/>
        </w:rPr>
      </w:pPr>
      <w:r w:rsidRPr="007C0F3B">
        <w:rPr>
          <w:lang w:val="bg-BG" w:eastAsia="bg-BG"/>
        </w:rPr>
        <w:t xml:space="preserve">Инхибиторите на </w:t>
      </w:r>
      <w:proofErr w:type="spellStart"/>
      <w:r w:rsidRPr="007C0F3B">
        <w:rPr>
          <w:lang w:val="bg-BG" w:eastAsia="bg-BG"/>
        </w:rPr>
        <w:t>протонната</w:t>
      </w:r>
      <w:proofErr w:type="spellEnd"/>
      <w:r w:rsidRPr="007C0F3B">
        <w:rPr>
          <w:lang w:val="bg-BG" w:eastAsia="bg-BG"/>
        </w:rPr>
        <w:t xml:space="preserve"> помпа повишават нивото на бактериите в горните отдели на стомашно-чревния тракт. Поради това, лечението с </w:t>
      </w:r>
      <w:proofErr w:type="spellStart"/>
      <w:r w:rsidRPr="007C0F3B">
        <w:rPr>
          <w:lang w:val="bg-BG" w:eastAsia="bg-BG"/>
        </w:rPr>
        <w:t>Пулсет</w:t>
      </w:r>
      <w:proofErr w:type="spellEnd"/>
      <w:r w:rsidRPr="007C0F3B">
        <w:rPr>
          <w:lang w:val="bg-BG" w:eastAsia="bg-BG"/>
        </w:rPr>
        <w:t xml:space="preserve"> 20 </w:t>
      </w:r>
      <w:r w:rsidRPr="007C0F3B">
        <w:t xml:space="preserve">mg </w:t>
      </w:r>
      <w:r w:rsidRPr="007C0F3B">
        <w:rPr>
          <w:lang w:val="bg-BG" w:eastAsia="bg-BG"/>
        </w:rPr>
        <w:t xml:space="preserve">може да доведе до леко повишен риск от стомашно-чревни инфекции, причинени от бактерии като </w:t>
      </w:r>
      <w:r w:rsidRPr="007C0F3B">
        <w:t xml:space="preserve">Salmonella </w:t>
      </w:r>
      <w:r w:rsidRPr="007C0F3B">
        <w:rPr>
          <w:lang w:val="bg-BG" w:eastAsia="bg-BG"/>
        </w:rPr>
        <w:t xml:space="preserve">и </w:t>
      </w:r>
      <w:r w:rsidRPr="007C0F3B">
        <w:t>Campylobacter.</w:t>
      </w:r>
    </w:p>
    <w:p w14:paraId="10C16507" w14:textId="77777777" w:rsidR="007C0F3B" w:rsidRDefault="007C0F3B" w:rsidP="007C0F3B">
      <w:pPr>
        <w:rPr>
          <w:lang w:val="bg-BG" w:eastAsia="bg-BG"/>
        </w:rPr>
      </w:pPr>
    </w:p>
    <w:p w14:paraId="3E8B28C3" w14:textId="6FE71FF1" w:rsidR="007C0F3B" w:rsidRPr="007C0F3B" w:rsidRDefault="007C0F3B" w:rsidP="007C0F3B">
      <w:pPr>
        <w:rPr>
          <w:i/>
          <w:iCs/>
          <w:sz w:val="24"/>
          <w:szCs w:val="24"/>
          <w:lang w:val="bg-BG"/>
        </w:rPr>
      </w:pPr>
      <w:proofErr w:type="spellStart"/>
      <w:r w:rsidRPr="007C0F3B">
        <w:rPr>
          <w:i/>
          <w:iCs/>
          <w:lang w:val="bg-BG" w:eastAsia="bg-BG"/>
        </w:rPr>
        <w:t>Хипомагнезиемия</w:t>
      </w:r>
      <w:proofErr w:type="spellEnd"/>
    </w:p>
    <w:p w14:paraId="7BA7A22B" w14:textId="77777777" w:rsidR="007C0F3B" w:rsidRPr="007C0F3B" w:rsidRDefault="007C0F3B" w:rsidP="007C0F3B">
      <w:pPr>
        <w:rPr>
          <w:sz w:val="24"/>
          <w:szCs w:val="24"/>
          <w:lang w:val="bg-BG"/>
        </w:rPr>
      </w:pPr>
      <w:r w:rsidRPr="007C0F3B">
        <w:rPr>
          <w:lang w:val="bg-BG" w:eastAsia="bg-BG"/>
        </w:rPr>
        <w:t xml:space="preserve">При пациенти приемали </w:t>
      </w:r>
      <w:proofErr w:type="spellStart"/>
      <w:r w:rsidRPr="007C0F3B">
        <w:rPr>
          <w:lang w:val="bg-BG" w:eastAsia="bg-BG"/>
        </w:rPr>
        <w:t>пантопразол</w:t>
      </w:r>
      <w:proofErr w:type="spellEnd"/>
      <w:r w:rsidRPr="007C0F3B">
        <w:rPr>
          <w:lang w:val="bg-BG" w:eastAsia="bg-BG"/>
        </w:rPr>
        <w:t xml:space="preserve"> или друг инхибитор на </w:t>
      </w:r>
      <w:proofErr w:type="spellStart"/>
      <w:r w:rsidRPr="007C0F3B">
        <w:rPr>
          <w:lang w:val="bg-BG" w:eastAsia="bg-BG"/>
        </w:rPr>
        <w:t>протонната</w:t>
      </w:r>
      <w:proofErr w:type="spellEnd"/>
      <w:r w:rsidRPr="007C0F3B">
        <w:rPr>
          <w:lang w:val="bg-BG" w:eastAsia="bg-BG"/>
        </w:rPr>
        <w:t xml:space="preserve"> помпа в продължение на три или повече месеца е докладвана тежка </w:t>
      </w:r>
      <w:proofErr w:type="spellStart"/>
      <w:r w:rsidRPr="007C0F3B">
        <w:rPr>
          <w:lang w:val="bg-BG" w:eastAsia="bg-BG"/>
        </w:rPr>
        <w:t>хипомагнезиемия</w:t>
      </w:r>
      <w:proofErr w:type="spellEnd"/>
      <w:r w:rsidRPr="007C0F3B">
        <w:rPr>
          <w:lang w:val="bg-BG" w:eastAsia="bg-BG"/>
        </w:rPr>
        <w:t xml:space="preserve">, проявяваща се като отпадналост, </w:t>
      </w:r>
      <w:proofErr w:type="spellStart"/>
      <w:r w:rsidRPr="007C0F3B">
        <w:rPr>
          <w:lang w:val="bg-BG" w:eastAsia="bg-BG"/>
        </w:rPr>
        <w:t>тетания</w:t>
      </w:r>
      <w:proofErr w:type="spellEnd"/>
      <w:r w:rsidRPr="007C0F3B">
        <w:rPr>
          <w:lang w:val="bg-BG" w:eastAsia="bg-BG"/>
        </w:rPr>
        <w:t xml:space="preserve">, делириум, конвулсии, замаяност и камерна аритмия. При повечето засегнати пациенти </w:t>
      </w:r>
      <w:proofErr w:type="spellStart"/>
      <w:r w:rsidRPr="007C0F3B">
        <w:rPr>
          <w:lang w:val="bg-BG" w:eastAsia="bg-BG"/>
        </w:rPr>
        <w:t>хипомагнезиемията</w:t>
      </w:r>
      <w:proofErr w:type="spellEnd"/>
      <w:r w:rsidRPr="007C0F3B">
        <w:rPr>
          <w:lang w:val="bg-BG" w:eastAsia="bg-BG"/>
        </w:rPr>
        <w:t xml:space="preserve"> се е подобрила след заместител но лечение с магнезий и спиране приема на инхибитора на </w:t>
      </w:r>
      <w:proofErr w:type="spellStart"/>
      <w:r w:rsidRPr="007C0F3B">
        <w:rPr>
          <w:lang w:val="bg-BG" w:eastAsia="bg-BG"/>
        </w:rPr>
        <w:t>протонната</w:t>
      </w:r>
      <w:proofErr w:type="spellEnd"/>
      <w:r w:rsidRPr="007C0F3B">
        <w:rPr>
          <w:lang w:val="bg-BG" w:eastAsia="bg-BG"/>
        </w:rPr>
        <w:t xml:space="preserve"> помпа.</w:t>
      </w:r>
    </w:p>
    <w:p w14:paraId="690549F3" w14:textId="77777777" w:rsidR="007C0F3B" w:rsidRPr="007C0F3B" w:rsidRDefault="007C0F3B" w:rsidP="007C0F3B">
      <w:pPr>
        <w:rPr>
          <w:sz w:val="24"/>
          <w:szCs w:val="24"/>
          <w:lang w:val="bg-BG"/>
        </w:rPr>
      </w:pPr>
      <w:r w:rsidRPr="007C0F3B">
        <w:rPr>
          <w:lang w:val="bg-BG" w:eastAsia="bg-BG"/>
        </w:rPr>
        <w:t xml:space="preserve">За пациенти, при които се прогнозира продължително лечение с инхибитор на </w:t>
      </w:r>
      <w:proofErr w:type="spellStart"/>
      <w:r w:rsidRPr="007C0F3B">
        <w:rPr>
          <w:lang w:val="bg-BG" w:eastAsia="bg-BG"/>
        </w:rPr>
        <w:t>протонната</w:t>
      </w:r>
      <w:proofErr w:type="spellEnd"/>
      <w:r w:rsidRPr="007C0F3B">
        <w:rPr>
          <w:lang w:val="bg-BG" w:eastAsia="bg-BG"/>
        </w:rPr>
        <w:t xml:space="preserve"> помпа заедно с </w:t>
      </w:r>
      <w:proofErr w:type="spellStart"/>
      <w:r w:rsidRPr="007C0F3B">
        <w:rPr>
          <w:lang w:val="bg-BG" w:eastAsia="bg-BG"/>
        </w:rPr>
        <w:t>дигоксин</w:t>
      </w:r>
      <w:proofErr w:type="spellEnd"/>
      <w:r w:rsidRPr="007C0F3B">
        <w:rPr>
          <w:lang w:val="bg-BG" w:eastAsia="bg-BG"/>
        </w:rPr>
        <w:t xml:space="preserve"> или други лекарства, които могат да доведат до </w:t>
      </w:r>
      <w:proofErr w:type="spellStart"/>
      <w:r w:rsidRPr="007C0F3B">
        <w:rPr>
          <w:lang w:val="bg-BG" w:eastAsia="bg-BG"/>
        </w:rPr>
        <w:t>хипомагнезиемия</w:t>
      </w:r>
      <w:proofErr w:type="spellEnd"/>
      <w:r w:rsidRPr="007C0F3B">
        <w:rPr>
          <w:lang w:val="bg-BG" w:eastAsia="bg-BG"/>
        </w:rPr>
        <w:t xml:space="preserve"> (напр. </w:t>
      </w:r>
      <w:proofErr w:type="spellStart"/>
      <w:r w:rsidRPr="007C0F3B">
        <w:rPr>
          <w:lang w:val="bg-BG" w:eastAsia="bg-BG"/>
        </w:rPr>
        <w:t>диуретици</w:t>
      </w:r>
      <w:proofErr w:type="spellEnd"/>
      <w:r w:rsidRPr="007C0F3B">
        <w:rPr>
          <w:lang w:val="bg-BG" w:eastAsia="bg-BG"/>
        </w:rPr>
        <w:t xml:space="preserve">), медицинските специалисти трябва да определят нивото на магнезий преди започване на лечението и да го </w:t>
      </w:r>
      <w:proofErr w:type="spellStart"/>
      <w:r w:rsidRPr="007C0F3B">
        <w:rPr>
          <w:lang w:val="bg-BG" w:eastAsia="bg-BG"/>
        </w:rPr>
        <w:t>контролитат</w:t>
      </w:r>
      <w:proofErr w:type="spellEnd"/>
      <w:r w:rsidRPr="007C0F3B">
        <w:rPr>
          <w:lang w:val="bg-BG" w:eastAsia="bg-BG"/>
        </w:rPr>
        <w:t xml:space="preserve"> периодично в хода на лечението.</w:t>
      </w:r>
    </w:p>
    <w:p w14:paraId="44C4952D" w14:textId="77777777" w:rsidR="007C0F3B" w:rsidRDefault="007C0F3B" w:rsidP="007C0F3B">
      <w:pPr>
        <w:rPr>
          <w:lang w:val="bg-BG" w:eastAsia="bg-BG"/>
        </w:rPr>
      </w:pPr>
    </w:p>
    <w:p w14:paraId="0AF2D2B6" w14:textId="664D7669" w:rsidR="007C0F3B" w:rsidRPr="007C0F3B" w:rsidRDefault="007C0F3B" w:rsidP="007C0F3B">
      <w:pPr>
        <w:rPr>
          <w:i/>
          <w:iCs/>
          <w:sz w:val="24"/>
          <w:szCs w:val="24"/>
          <w:lang w:val="bg-BG"/>
        </w:rPr>
      </w:pPr>
      <w:proofErr w:type="spellStart"/>
      <w:r w:rsidRPr="007C0F3B">
        <w:rPr>
          <w:i/>
          <w:iCs/>
          <w:lang w:val="bg-BG" w:eastAsia="bg-BG"/>
        </w:rPr>
        <w:t>Субакутен</w:t>
      </w:r>
      <w:proofErr w:type="spellEnd"/>
      <w:r w:rsidRPr="007C0F3B">
        <w:rPr>
          <w:i/>
          <w:iCs/>
          <w:lang w:val="bg-BG" w:eastAsia="bg-BG"/>
        </w:rPr>
        <w:t xml:space="preserve"> кожен </w:t>
      </w:r>
      <w:proofErr w:type="spellStart"/>
      <w:r w:rsidRPr="007C0F3B">
        <w:rPr>
          <w:i/>
          <w:iCs/>
          <w:lang w:val="bg-BG" w:eastAsia="bg-BG"/>
        </w:rPr>
        <w:t>лупус</w:t>
      </w:r>
      <w:proofErr w:type="spellEnd"/>
      <w:r w:rsidRPr="007C0F3B">
        <w:rPr>
          <w:i/>
          <w:iCs/>
          <w:lang w:val="bg-BG" w:eastAsia="bg-BG"/>
        </w:rPr>
        <w:t xml:space="preserve"> еритематодес </w:t>
      </w:r>
      <w:r w:rsidRPr="007C0F3B">
        <w:rPr>
          <w:i/>
          <w:iCs/>
        </w:rPr>
        <w:t>(SCLE)</w:t>
      </w:r>
    </w:p>
    <w:p w14:paraId="208A4505" w14:textId="77777777" w:rsidR="007C0F3B" w:rsidRPr="007C0F3B" w:rsidRDefault="007C0F3B" w:rsidP="007C0F3B">
      <w:pPr>
        <w:rPr>
          <w:sz w:val="24"/>
          <w:szCs w:val="24"/>
          <w:lang w:val="bg-BG"/>
        </w:rPr>
      </w:pPr>
      <w:r w:rsidRPr="007C0F3B">
        <w:rPr>
          <w:lang w:val="bg-BG" w:eastAsia="bg-BG"/>
        </w:rPr>
        <w:t xml:space="preserve">Инхибиторите на </w:t>
      </w:r>
      <w:proofErr w:type="spellStart"/>
      <w:r w:rsidRPr="007C0F3B">
        <w:rPr>
          <w:lang w:val="bg-BG" w:eastAsia="bg-BG"/>
        </w:rPr>
        <w:t>протонната</w:t>
      </w:r>
      <w:proofErr w:type="spellEnd"/>
      <w:r w:rsidRPr="007C0F3B">
        <w:rPr>
          <w:lang w:val="bg-BG" w:eastAsia="bg-BG"/>
        </w:rPr>
        <w:t xml:space="preserve"> помпа са свързани с много редки случаи на </w:t>
      </w:r>
      <w:r w:rsidRPr="007C0F3B">
        <w:t xml:space="preserve">SCLE. </w:t>
      </w:r>
      <w:r w:rsidRPr="007C0F3B">
        <w:rPr>
          <w:lang w:val="bg-BG" w:eastAsia="bg-BG"/>
        </w:rPr>
        <w:t xml:space="preserve">Ако се появят лезии, особено в участъци от кожата, изложени на слънчеви лъчи, и ако те са съпроводени с болки в ставите, пациентът трябва незабавно да потърси медицинска помощ и медицинският специалист следва да обмисли спиране на приема на </w:t>
      </w:r>
      <w:proofErr w:type="spellStart"/>
      <w:r w:rsidRPr="007C0F3B">
        <w:rPr>
          <w:lang w:val="bg-BG" w:eastAsia="bg-BG"/>
        </w:rPr>
        <w:t>Пулсет</w:t>
      </w:r>
      <w:proofErr w:type="spellEnd"/>
      <w:r w:rsidRPr="007C0F3B">
        <w:rPr>
          <w:lang w:val="bg-BG" w:eastAsia="bg-BG"/>
        </w:rPr>
        <w:t xml:space="preserve"> 20 </w:t>
      </w:r>
      <w:r w:rsidRPr="007C0F3B">
        <w:t xml:space="preserve">mg. SCLE, </w:t>
      </w:r>
      <w:r w:rsidRPr="007C0F3B">
        <w:rPr>
          <w:lang w:val="bg-BG" w:eastAsia="bg-BG"/>
        </w:rPr>
        <w:t xml:space="preserve">настъпил след предходно лечение с инхибитор на </w:t>
      </w:r>
      <w:proofErr w:type="spellStart"/>
      <w:r w:rsidRPr="007C0F3B">
        <w:rPr>
          <w:lang w:val="bg-BG" w:eastAsia="bg-BG"/>
        </w:rPr>
        <w:t>протонната</w:t>
      </w:r>
      <w:proofErr w:type="spellEnd"/>
      <w:r w:rsidRPr="007C0F3B">
        <w:rPr>
          <w:lang w:val="bg-BG" w:eastAsia="bg-BG"/>
        </w:rPr>
        <w:t xml:space="preserve"> помпа, може да увеличи риска от </w:t>
      </w:r>
      <w:r w:rsidRPr="007C0F3B">
        <w:t xml:space="preserve">SCLE </w:t>
      </w:r>
      <w:r w:rsidRPr="007C0F3B">
        <w:rPr>
          <w:lang w:val="bg-BG" w:eastAsia="bg-BG"/>
        </w:rPr>
        <w:t xml:space="preserve">при употреба на други инхибитори на </w:t>
      </w:r>
      <w:proofErr w:type="spellStart"/>
      <w:r w:rsidRPr="007C0F3B">
        <w:rPr>
          <w:lang w:val="bg-BG" w:eastAsia="bg-BG"/>
        </w:rPr>
        <w:t>протонната</w:t>
      </w:r>
      <w:proofErr w:type="spellEnd"/>
      <w:r w:rsidRPr="007C0F3B">
        <w:rPr>
          <w:lang w:val="bg-BG" w:eastAsia="bg-BG"/>
        </w:rPr>
        <w:t xml:space="preserve"> помпа.</w:t>
      </w:r>
    </w:p>
    <w:p w14:paraId="2691E74D" w14:textId="77777777" w:rsidR="007C0F3B" w:rsidRDefault="007C0F3B" w:rsidP="007C0F3B">
      <w:pPr>
        <w:rPr>
          <w:lang w:val="bg-BG" w:eastAsia="bg-BG"/>
        </w:rPr>
      </w:pPr>
    </w:p>
    <w:p w14:paraId="73868D6E" w14:textId="449BC2ED" w:rsidR="007C0F3B" w:rsidRPr="007C0F3B" w:rsidRDefault="007C0F3B" w:rsidP="007C0F3B">
      <w:pPr>
        <w:rPr>
          <w:sz w:val="24"/>
          <w:szCs w:val="24"/>
          <w:lang w:val="bg-BG"/>
        </w:rPr>
      </w:pPr>
      <w:r w:rsidRPr="007C0F3B">
        <w:rPr>
          <w:lang w:val="bg-BG" w:eastAsia="bg-BG"/>
        </w:rPr>
        <w:t>Повлияване на лабораторните резултати</w:t>
      </w:r>
    </w:p>
    <w:p w14:paraId="653613E5" w14:textId="77777777" w:rsidR="007C0F3B" w:rsidRDefault="007C0F3B" w:rsidP="007C0F3B">
      <w:pPr>
        <w:rPr>
          <w:lang w:val="bg-BG" w:eastAsia="bg-BG"/>
        </w:rPr>
      </w:pPr>
    </w:p>
    <w:p w14:paraId="0BECB325" w14:textId="46632959" w:rsidR="007C0F3B" w:rsidRPr="007C0F3B" w:rsidRDefault="007C0F3B" w:rsidP="007C0F3B">
      <w:pPr>
        <w:rPr>
          <w:sz w:val="24"/>
          <w:szCs w:val="24"/>
          <w:lang w:val="bg-BG"/>
        </w:rPr>
      </w:pPr>
      <w:r w:rsidRPr="007C0F3B">
        <w:rPr>
          <w:lang w:val="bg-BG" w:eastAsia="bg-BG"/>
        </w:rPr>
        <w:t xml:space="preserve">Повишеното ниво на </w:t>
      </w:r>
      <w:proofErr w:type="spellStart"/>
      <w:r w:rsidRPr="007C0F3B">
        <w:rPr>
          <w:lang w:val="bg-BG" w:eastAsia="bg-BG"/>
        </w:rPr>
        <w:t>хромогранин</w:t>
      </w:r>
      <w:proofErr w:type="spellEnd"/>
      <w:r w:rsidRPr="007C0F3B">
        <w:rPr>
          <w:lang w:val="bg-BG" w:eastAsia="bg-BG"/>
        </w:rPr>
        <w:t xml:space="preserve"> </w:t>
      </w:r>
      <w:r w:rsidRPr="007C0F3B">
        <w:t>A (</w:t>
      </w:r>
      <w:proofErr w:type="spellStart"/>
      <w:r w:rsidRPr="007C0F3B">
        <w:t>CgA</w:t>
      </w:r>
      <w:proofErr w:type="spellEnd"/>
      <w:r w:rsidRPr="007C0F3B">
        <w:t xml:space="preserve">) </w:t>
      </w:r>
      <w:r w:rsidRPr="007C0F3B">
        <w:rPr>
          <w:lang w:val="bg-BG" w:eastAsia="bg-BG"/>
        </w:rPr>
        <w:t xml:space="preserve">може да повлияе на изследванията за </w:t>
      </w:r>
      <w:proofErr w:type="spellStart"/>
      <w:r w:rsidRPr="007C0F3B">
        <w:rPr>
          <w:lang w:val="bg-BG" w:eastAsia="bg-BG"/>
        </w:rPr>
        <w:t>невроендокринни</w:t>
      </w:r>
      <w:proofErr w:type="spellEnd"/>
      <w:r w:rsidRPr="007C0F3B">
        <w:rPr>
          <w:lang w:val="bg-BG" w:eastAsia="bg-BG"/>
        </w:rPr>
        <w:t xml:space="preserve"> тумори. За да се избегне това взаимодействие, лечението с </w:t>
      </w:r>
      <w:proofErr w:type="spellStart"/>
      <w:r w:rsidRPr="007C0F3B">
        <w:rPr>
          <w:lang w:val="bg-BG" w:eastAsia="bg-BG"/>
        </w:rPr>
        <w:t>Пулсет</w:t>
      </w:r>
      <w:proofErr w:type="spellEnd"/>
      <w:r w:rsidRPr="007C0F3B">
        <w:rPr>
          <w:lang w:val="bg-BG" w:eastAsia="bg-BG"/>
        </w:rPr>
        <w:t xml:space="preserve"> 20 </w:t>
      </w:r>
      <w:r w:rsidRPr="007C0F3B">
        <w:t xml:space="preserve">mg </w:t>
      </w:r>
      <w:r w:rsidRPr="007C0F3B">
        <w:rPr>
          <w:lang w:val="bg-BG" w:eastAsia="bg-BG"/>
        </w:rPr>
        <w:t xml:space="preserve">трябва да се спре временно най-малко за 5 дни преди определянето на </w:t>
      </w:r>
      <w:proofErr w:type="spellStart"/>
      <w:r w:rsidRPr="007C0F3B">
        <w:t>CgA</w:t>
      </w:r>
      <w:proofErr w:type="spellEnd"/>
      <w:r w:rsidRPr="007C0F3B">
        <w:t xml:space="preserve"> </w:t>
      </w:r>
      <w:r w:rsidRPr="007C0F3B">
        <w:rPr>
          <w:lang w:val="bg-BG" w:eastAsia="bg-BG"/>
        </w:rPr>
        <w:t xml:space="preserve">(вж. точка 5.1). Ако нивата на </w:t>
      </w:r>
      <w:proofErr w:type="spellStart"/>
      <w:r w:rsidRPr="007C0F3B">
        <w:t>CgA</w:t>
      </w:r>
      <w:proofErr w:type="spellEnd"/>
      <w:r w:rsidRPr="007C0F3B">
        <w:t xml:space="preserve"> </w:t>
      </w:r>
      <w:r w:rsidRPr="007C0F3B">
        <w:rPr>
          <w:lang w:val="bg-BG" w:eastAsia="bg-BG"/>
        </w:rPr>
        <w:t xml:space="preserve">и </w:t>
      </w:r>
      <w:proofErr w:type="spellStart"/>
      <w:r w:rsidRPr="007C0F3B">
        <w:rPr>
          <w:lang w:val="bg-BG" w:eastAsia="bg-BG"/>
        </w:rPr>
        <w:t>гастрина</w:t>
      </w:r>
      <w:proofErr w:type="spellEnd"/>
      <w:r w:rsidRPr="007C0F3B">
        <w:rPr>
          <w:lang w:val="bg-BG" w:eastAsia="bg-BG"/>
        </w:rPr>
        <w:t xml:space="preserve"> не са се възстановили в референтните си </w:t>
      </w:r>
      <w:proofErr w:type="spellStart"/>
      <w:r w:rsidRPr="007C0F3B">
        <w:rPr>
          <w:lang w:val="bg-BG" w:eastAsia="bg-BG"/>
        </w:rPr>
        <w:t>границислед</w:t>
      </w:r>
      <w:proofErr w:type="spellEnd"/>
      <w:r w:rsidRPr="007C0F3B">
        <w:rPr>
          <w:lang w:val="bg-BG" w:eastAsia="bg-BG"/>
        </w:rPr>
        <w:t xml:space="preserve"> </w:t>
      </w:r>
      <w:r w:rsidRPr="007C0F3B">
        <w:rPr>
          <w:lang w:val="bg-BG" w:eastAsia="bg-BG"/>
        </w:rPr>
        <w:lastRenderedPageBreak/>
        <w:t xml:space="preserve">началното определяне, измерването трябва да бъде повторено 14 дни след спиране на лечението с инхибитор на </w:t>
      </w:r>
      <w:proofErr w:type="spellStart"/>
      <w:r w:rsidRPr="007C0F3B">
        <w:rPr>
          <w:lang w:val="bg-BG" w:eastAsia="bg-BG"/>
        </w:rPr>
        <w:t>протонната</w:t>
      </w:r>
      <w:proofErr w:type="spellEnd"/>
      <w:r w:rsidRPr="007C0F3B">
        <w:rPr>
          <w:lang w:val="bg-BG" w:eastAsia="bg-BG"/>
        </w:rPr>
        <w:t xml:space="preserve"> помпа.</w:t>
      </w:r>
    </w:p>
    <w:p w14:paraId="43D79F94" w14:textId="77777777" w:rsidR="007C0F3B" w:rsidRPr="007C0F3B" w:rsidRDefault="007C0F3B" w:rsidP="007C0F3B">
      <w:pPr>
        <w:rPr>
          <w:sz w:val="24"/>
          <w:szCs w:val="24"/>
          <w:lang w:val="bg-BG"/>
        </w:rPr>
      </w:pPr>
    </w:p>
    <w:p w14:paraId="67659F6F" w14:textId="77777777" w:rsidR="007C0F3B" w:rsidRPr="007C0F3B" w:rsidRDefault="007C0F3B" w:rsidP="007C0F3B"/>
    <w:p w14:paraId="78BEBB3D" w14:textId="66A62CDA" w:rsidR="002C50EE" w:rsidRDefault="002C50EE" w:rsidP="002C50EE">
      <w:pPr>
        <w:pStyle w:val="Heading2"/>
      </w:pPr>
      <w:r>
        <w:t xml:space="preserve">4.5. </w:t>
      </w:r>
      <w:proofErr w:type="spellStart"/>
      <w:r>
        <w:t>Взаимодействие</w:t>
      </w:r>
      <w:proofErr w:type="spellEnd"/>
      <w:r>
        <w:t xml:space="preserve"> с </w:t>
      </w:r>
      <w:proofErr w:type="spellStart"/>
      <w:r>
        <w:t>други</w:t>
      </w:r>
      <w:proofErr w:type="spellEnd"/>
      <w:r>
        <w:t xml:space="preserve"> </w:t>
      </w:r>
      <w:proofErr w:type="spellStart"/>
      <w:r>
        <w:t>лекарствени</w:t>
      </w:r>
      <w:proofErr w:type="spellEnd"/>
      <w:r>
        <w:t xml:space="preserve"> </w:t>
      </w:r>
      <w:proofErr w:type="spellStart"/>
      <w:r>
        <w:t>продукти</w:t>
      </w:r>
      <w:proofErr w:type="spellEnd"/>
      <w:r>
        <w:t xml:space="preserve"> и </w:t>
      </w:r>
      <w:proofErr w:type="spellStart"/>
      <w:r>
        <w:t>други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взаимодействие</w:t>
      </w:r>
      <w:proofErr w:type="spellEnd"/>
    </w:p>
    <w:p w14:paraId="71B3FF2C" w14:textId="77777777" w:rsidR="007C0F3B" w:rsidRDefault="007C0F3B" w:rsidP="007C0F3B">
      <w:pPr>
        <w:rPr>
          <w:lang w:val="bg-BG" w:eastAsia="bg-BG"/>
        </w:rPr>
      </w:pPr>
    </w:p>
    <w:p w14:paraId="3D46BB0C" w14:textId="03A5261E" w:rsidR="007C0F3B" w:rsidRPr="007C0F3B" w:rsidRDefault="007C0F3B" w:rsidP="007C0F3B">
      <w:pPr>
        <w:rPr>
          <w:sz w:val="24"/>
          <w:szCs w:val="24"/>
          <w:lang w:val="bg-BG"/>
        </w:rPr>
      </w:pPr>
      <w:r w:rsidRPr="007C0F3B">
        <w:rPr>
          <w:lang w:val="bg-BG" w:eastAsia="bg-BG"/>
        </w:rPr>
        <w:t xml:space="preserve">Ефект на </w:t>
      </w:r>
      <w:proofErr w:type="spellStart"/>
      <w:r w:rsidRPr="007C0F3B">
        <w:rPr>
          <w:lang w:val="bg-BG" w:eastAsia="bg-BG"/>
        </w:rPr>
        <w:t>пантопразол</w:t>
      </w:r>
      <w:proofErr w:type="spellEnd"/>
      <w:r w:rsidRPr="007C0F3B">
        <w:rPr>
          <w:lang w:val="bg-BG" w:eastAsia="bg-BG"/>
        </w:rPr>
        <w:t xml:space="preserve"> върху абсорбцията на други лекарствени продукти</w:t>
      </w:r>
    </w:p>
    <w:p w14:paraId="5D8280AB" w14:textId="77777777" w:rsidR="007C0F3B" w:rsidRPr="007C0F3B" w:rsidRDefault="007C0F3B" w:rsidP="007C0F3B">
      <w:pPr>
        <w:rPr>
          <w:sz w:val="24"/>
          <w:szCs w:val="24"/>
          <w:lang w:val="bg-BG"/>
        </w:rPr>
      </w:pPr>
      <w:proofErr w:type="spellStart"/>
      <w:r w:rsidRPr="007C0F3B">
        <w:rPr>
          <w:lang w:val="bg-BG" w:eastAsia="bg-BG"/>
        </w:rPr>
        <w:t>Пантопразол</w:t>
      </w:r>
      <w:proofErr w:type="spellEnd"/>
      <w:r w:rsidRPr="007C0F3B">
        <w:rPr>
          <w:lang w:val="bg-BG" w:eastAsia="bg-BG"/>
        </w:rPr>
        <w:t xml:space="preserve"> може да намали резорбцията на активни вещества, чиято бионаличност зависи от нивото на </w:t>
      </w:r>
      <w:r w:rsidRPr="007C0F3B">
        <w:t xml:space="preserve">pH </w:t>
      </w:r>
      <w:r w:rsidRPr="007C0F3B">
        <w:rPr>
          <w:lang w:val="bg-BG" w:eastAsia="bg-BG"/>
        </w:rPr>
        <w:t xml:space="preserve">в стомаха (напр. </w:t>
      </w:r>
      <w:proofErr w:type="spellStart"/>
      <w:r w:rsidRPr="007C0F3B">
        <w:rPr>
          <w:lang w:val="bg-BG" w:eastAsia="bg-BG"/>
        </w:rPr>
        <w:t>накои</w:t>
      </w:r>
      <w:proofErr w:type="spellEnd"/>
      <w:r w:rsidRPr="007C0F3B">
        <w:rPr>
          <w:lang w:val="bg-BG" w:eastAsia="bg-BG"/>
        </w:rPr>
        <w:t xml:space="preserve"> азотни противогъбични агенти, като </w:t>
      </w:r>
      <w:proofErr w:type="spellStart"/>
      <w:r w:rsidRPr="007C0F3B">
        <w:rPr>
          <w:lang w:val="bg-BG" w:eastAsia="bg-BG"/>
        </w:rPr>
        <w:t>кетоконазол</w:t>
      </w:r>
      <w:proofErr w:type="spellEnd"/>
      <w:r w:rsidRPr="007C0F3B">
        <w:rPr>
          <w:lang w:val="bg-BG" w:eastAsia="bg-BG"/>
        </w:rPr>
        <w:t xml:space="preserve">, </w:t>
      </w:r>
      <w:proofErr w:type="spellStart"/>
      <w:r w:rsidRPr="007C0F3B">
        <w:rPr>
          <w:lang w:val="bg-BG" w:eastAsia="bg-BG"/>
        </w:rPr>
        <w:t>итраконазол</w:t>
      </w:r>
      <w:proofErr w:type="spellEnd"/>
      <w:r w:rsidRPr="007C0F3B">
        <w:rPr>
          <w:lang w:val="bg-BG" w:eastAsia="bg-BG"/>
        </w:rPr>
        <w:t xml:space="preserve">, </w:t>
      </w:r>
      <w:proofErr w:type="spellStart"/>
      <w:r w:rsidRPr="007C0F3B">
        <w:rPr>
          <w:lang w:val="bg-BG" w:eastAsia="bg-BG"/>
        </w:rPr>
        <w:t>посаконазол</w:t>
      </w:r>
      <w:proofErr w:type="spellEnd"/>
      <w:r w:rsidRPr="007C0F3B">
        <w:rPr>
          <w:lang w:val="bg-BG" w:eastAsia="bg-BG"/>
        </w:rPr>
        <w:t xml:space="preserve"> и други лекарства като </w:t>
      </w:r>
      <w:proofErr w:type="spellStart"/>
      <w:r w:rsidRPr="007C0F3B">
        <w:rPr>
          <w:lang w:val="bg-BG" w:eastAsia="bg-BG"/>
        </w:rPr>
        <w:t>ерлотиниб</w:t>
      </w:r>
      <w:proofErr w:type="spellEnd"/>
      <w:r w:rsidRPr="007C0F3B">
        <w:rPr>
          <w:lang w:val="bg-BG" w:eastAsia="bg-BG"/>
        </w:rPr>
        <w:t>).</w:t>
      </w:r>
    </w:p>
    <w:p w14:paraId="728EFAA2" w14:textId="77777777" w:rsidR="007C0F3B" w:rsidRPr="007C0F3B" w:rsidRDefault="007C0F3B" w:rsidP="007C0F3B">
      <w:pPr>
        <w:rPr>
          <w:sz w:val="24"/>
          <w:szCs w:val="24"/>
          <w:lang w:val="bg-BG"/>
        </w:rPr>
      </w:pPr>
    </w:p>
    <w:p w14:paraId="1013A048" w14:textId="2151369E" w:rsidR="007C0F3B" w:rsidRDefault="007C0F3B" w:rsidP="007C0F3B">
      <w:pPr>
        <w:rPr>
          <w:i/>
          <w:iCs/>
          <w:lang w:val="bg-BG" w:eastAsia="bg-BG"/>
        </w:rPr>
      </w:pPr>
      <w:r w:rsidRPr="007C0F3B">
        <w:rPr>
          <w:i/>
          <w:iCs/>
          <w:lang w:val="bg-BG" w:eastAsia="bg-BG"/>
        </w:rPr>
        <w:t xml:space="preserve">Лекарствени продукти за лечение на </w:t>
      </w:r>
      <w:r w:rsidRPr="007C0F3B">
        <w:rPr>
          <w:i/>
          <w:iCs/>
        </w:rPr>
        <w:t xml:space="preserve">HIV </w:t>
      </w:r>
      <w:r w:rsidRPr="007C0F3B">
        <w:rPr>
          <w:i/>
          <w:iCs/>
          <w:lang w:val="bg-BG" w:eastAsia="bg-BG"/>
        </w:rPr>
        <w:t>инфекция (</w:t>
      </w:r>
      <w:proofErr w:type="spellStart"/>
      <w:r w:rsidRPr="007C0F3B">
        <w:rPr>
          <w:i/>
          <w:iCs/>
          <w:lang w:val="bg-BG" w:eastAsia="bg-BG"/>
        </w:rPr>
        <w:t>атазанавир</w:t>
      </w:r>
      <w:proofErr w:type="spellEnd"/>
      <w:r w:rsidRPr="007C0F3B">
        <w:rPr>
          <w:i/>
          <w:iCs/>
          <w:lang w:val="bg-BG" w:eastAsia="bg-BG"/>
        </w:rPr>
        <w:t xml:space="preserve">, </w:t>
      </w:r>
      <w:proofErr w:type="spellStart"/>
      <w:r w:rsidRPr="007C0F3B">
        <w:rPr>
          <w:i/>
          <w:iCs/>
          <w:lang w:val="bg-BG" w:eastAsia="bg-BG"/>
        </w:rPr>
        <w:t>нелфинавир</w:t>
      </w:r>
      <w:proofErr w:type="spellEnd"/>
      <w:r w:rsidRPr="007C0F3B">
        <w:rPr>
          <w:i/>
          <w:iCs/>
          <w:lang w:val="bg-BG" w:eastAsia="bg-BG"/>
        </w:rPr>
        <w:t>)</w:t>
      </w:r>
    </w:p>
    <w:p w14:paraId="4836C8EE" w14:textId="77777777" w:rsidR="007C0F3B" w:rsidRDefault="007C0F3B" w:rsidP="007C0F3B">
      <w:pPr>
        <w:rPr>
          <w:lang w:val="bg-BG" w:eastAsia="bg-BG"/>
        </w:rPr>
      </w:pPr>
    </w:p>
    <w:p w14:paraId="79118C35" w14:textId="24ED8C94" w:rsidR="007C0F3B" w:rsidRPr="007C0F3B" w:rsidRDefault="007C0F3B" w:rsidP="007C0F3B">
      <w:pPr>
        <w:rPr>
          <w:sz w:val="24"/>
          <w:szCs w:val="24"/>
          <w:lang w:val="bg-BG"/>
        </w:rPr>
      </w:pPr>
      <w:r w:rsidRPr="007C0F3B">
        <w:rPr>
          <w:lang w:val="bg-BG" w:eastAsia="bg-BG"/>
        </w:rPr>
        <w:t xml:space="preserve">Приложение на лекарствени продукти за лечение на </w:t>
      </w:r>
      <w:r w:rsidRPr="007C0F3B">
        <w:t xml:space="preserve">HIV </w:t>
      </w:r>
      <w:r w:rsidRPr="007C0F3B">
        <w:rPr>
          <w:lang w:val="bg-BG" w:eastAsia="bg-BG"/>
        </w:rPr>
        <w:t xml:space="preserve">инфекция с </w:t>
      </w:r>
      <w:r w:rsidRPr="007C0F3B">
        <w:t xml:space="preserve">pH </w:t>
      </w:r>
      <w:r w:rsidRPr="007C0F3B">
        <w:rPr>
          <w:lang w:val="bg-BG" w:eastAsia="bg-BG"/>
        </w:rPr>
        <w:t xml:space="preserve">зависима резорбция с инхибитори на </w:t>
      </w:r>
      <w:proofErr w:type="spellStart"/>
      <w:r w:rsidRPr="007C0F3B">
        <w:rPr>
          <w:lang w:val="bg-BG" w:eastAsia="bg-BG"/>
        </w:rPr>
        <w:t>протонната</w:t>
      </w:r>
      <w:proofErr w:type="spellEnd"/>
      <w:r w:rsidRPr="007C0F3B">
        <w:rPr>
          <w:lang w:val="bg-BG" w:eastAsia="bg-BG"/>
        </w:rPr>
        <w:t xml:space="preserve"> помпа може да намали значително бионаличността на лекарствените продукти за лечение на </w:t>
      </w:r>
      <w:r w:rsidRPr="007C0F3B">
        <w:t xml:space="preserve">HIV </w:t>
      </w:r>
      <w:r w:rsidRPr="007C0F3B">
        <w:rPr>
          <w:lang w:val="bg-BG" w:eastAsia="bg-BG"/>
        </w:rPr>
        <w:t xml:space="preserve">инфекция, което повлиява и тяхната ефикасност. Поради тази причина едновременното приложение на инхибитори на </w:t>
      </w:r>
      <w:proofErr w:type="spellStart"/>
      <w:r w:rsidRPr="007C0F3B">
        <w:rPr>
          <w:lang w:val="bg-BG" w:eastAsia="bg-BG"/>
        </w:rPr>
        <w:t>протонната</w:t>
      </w:r>
      <w:proofErr w:type="spellEnd"/>
      <w:r w:rsidRPr="007C0F3B">
        <w:rPr>
          <w:lang w:val="bg-BG" w:eastAsia="bg-BG"/>
        </w:rPr>
        <w:t xml:space="preserve"> помпа и </w:t>
      </w:r>
      <w:proofErr w:type="spellStart"/>
      <w:r w:rsidRPr="007C0F3B">
        <w:rPr>
          <w:lang w:val="bg-BG" w:eastAsia="bg-BG"/>
        </w:rPr>
        <w:t>атазанавир</w:t>
      </w:r>
      <w:proofErr w:type="spellEnd"/>
      <w:r w:rsidRPr="007C0F3B">
        <w:rPr>
          <w:lang w:val="bg-BG" w:eastAsia="bg-BG"/>
        </w:rPr>
        <w:t xml:space="preserve"> не се препоръчва (вж. точка 4.4).</w:t>
      </w:r>
    </w:p>
    <w:p w14:paraId="0CB06F80" w14:textId="77777777" w:rsidR="007C0F3B" w:rsidRDefault="007C0F3B" w:rsidP="007C0F3B">
      <w:pPr>
        <w:rPr>
          <w:lang w:val="bg-BG" w:eastAsia="bg-BG"/>
        </w:rPr>
      </w:pPr>
    </w:p>
    <w:p w14:paraId="313CD15B" w14:textId="78C73104" w:rsidR="007C0F3B" w:rsidRPr="007C0F3B" w:rsidRDefault="007C0F3B" w:rsidP="007C0F3B">
      <w:pPr>
        <w:rPr>
          <w:i/>
          <w:iCs/>
          <w:sz w:val="24"/>
          <w:szCs w:val="24"/>
          <w:lang w:val="bg-BG"/>
        </w:rPr>
      </w:pPr>
      <w:proofErr w:type="spellStart"/>
      <w:r w:rsidRPr="007C0F3B">
        <w:rPr>
          <w:i/>
          <w:iCs/>
          <w:lang w:val="bg-BG" w:eastAsia="bg-BG"/>
        </w:rPr>
        <w:t>Кумаринови</w:t>
      </w:r>
      <w:proofErr w:type="spellEnd"/>
      <w:r w:rsidRPr="007C0F3B">
        <w:rPr>
          <w:i/>
          <w:iCs/>
          <w:lang w:val="bg-BG" w:eastAsia="bg-BG"/>
        </w:rPr>
        <w:t xml:space="preserve"> антикоагуланти (</w:t>
      </w:r>
      <w:proofErr w:type="spellStart"/>
      <w:r w:rsidRPr="007C0F3B">
        <w:rPr>
          <w:i/>
          <w:iCs/>
          <w:lang w:val="bg-BG" w:eastAsia="bg-BG"/>
        </w:rPr>
        <w:t>фенпрокумон</w:t>
      </w:r>
      <w:proofErr w:type="spellEnd"/>
      <w:r w:rsidRPr="007C0F3B">
        <w:rPr>
          <w:i/>
          <w:iCs/>
          <w:lang w:val="bg-BG" w:eastAsia="bg-BG"/>
        </w:rPr>
        <w:t xml:space="preserve"> или </w:t>
      </w:r>
      <w:proofErr w:type="spellStart"/>
      <w:r w:rsidRPr="007C0F3B">
        <w:rPr>
          <w:i/>
          <w:iCs/>
          <w:lang w:val="bg-BG" w:eastAsia="bg-BG"/>
        </w:rPr>
        <w:t>варфарин</w:t>
      </w:r>
      <w:proofErr w:type="spellEnd"/>
      <w:r w:rsidRPr="007C0F3B">
        <w:rPr>
          <w:i/>
          <w:iCs/>
          <w:lang w:val="bg-BG" w:eastAsia="bg-BG"/>
        </w:rPr>
        <w:t>)</w:t>
      </w:r>
    </w:p>
    <w:p w14:paraId="05384C88" w14:textId="77777777" w:rsidR="007C0F3B" w:rsidRPr="007C0F3B" w:rsidRDefault="007C0F3B" w:rsidP="007C0F3B">
      <w:pPr>
        <w:rPr>
          <w:sz w:val="24"/>
          <w:szCs w:val="24"/>
          <w:lang w:val="bg-BG"/>
        </w:rPr>
      </w:pPr>
      <w:r w:rsidRPr="007C0F3B">
        <w:rPr>
          <w:lang w:val="bg-BG" w:eastAsia="bg-BG"/>
        </w:rPr>
        <w:t xml:space="preserve">През </w:t>
      </w:r>
      <w:proofErr w:type="spellStart"/>
      <w:r w:rsidRPr="007C0F3B">
        <w:rPr>
          <w:lang w:val="bg-BG" w:eastAsia="bg-BG"/>
        </w:rPr>
        <w:t>постмаркетинговия</w:t>
      </w:r>
      <w:proofErr w:type="spellEnd"/>
      <w:r w:rsidRPr="007C0F3B">
        <w:rPr>
          <w:lang w:val="bg-BG" w:eastAsia="bg-BG"/>
        </w:rPr>
        <w:t xml:space="preserve"> период са докладвани няколко изолирани случаи на промени на </w:t>
      </w:r>
      <w:proofErr w:type="spellStart"/>
      <w:r w:rsidRPr="007C0F3B">
        <w:rPr>
          <w:lang w:val="bg-BG" w:eastAsia="bg-BG"/>
        </w:rPr>
        <w:t>протромбиновото</w:t>
      </w:r>
      <w:proofErr w:type="spellEnd"/>
      <w:r w:rsidRPr="007C0F3B">
        <w:rPr>
          <w:lang w:val="bg-BG" w:eastAsia="bg-BG"/>
        </w:rPr>
        <w:t xml:space="preserve"> време </w:t>
      </w:r>
      <w:r w:rsidRPr="007C0F3B">
        <w:t xml:space="preserve">(INR) </w:t>
      </w:r>
      <w:r w:rsidRPr="007C0F3B">
        <w:rPr>
          <w:lang w:val="bg-BG" w:eastAsia="bg-BG"/>
        </w:rPr>
        <w:t xml:space="preserve">при едновременното приемане на </w:t>
      </w:r>
      <w:proofErr w:type="spellStart"/>
      <w:r w:rsidRPr="007C0F3B">
        <w:rPr>
          <w:lang w:val="bg-BG" w:eastAsia="bg-BG"/>
        </w:rPr>
        <w:t>кумаринови</w:t>
      </w:r>
      <w:proofErr w:type="spellEnd"/>
      <w:r w:rsidRPr="007C0F3B">
        <w:rPr>
          <w:lang w:val="bg-BG" w:eastAsia="bg-BG"/>
        </w:rPr>
        <w:t xml:space="preserve"> антикоагуланти с </w:t>
      </w:r>
      <w:proofErr w:type="spellStart"/>
      <w:r w:rsidRPr="007C0F3B">
        <w:rPr>
          <w:lang w:val="bg-BG" w:eastAsia="bg-BG"/>
        </w:rPr>
        <w:t>пантопразол</w:t>
      </w:r>
      <w:proofErr w:type="spellEnd"/>
      <w:r w:rsidRPr="007C0F3B">
        <w:rPr>
          <w:lang w:val="bg-BG" w:eastAsia="bg-BG"/>
        </w:rPr>
        <w:t xml:space="preserve">. Повишаването на </w:t>
      </w:r>
      <w:r w:rsidRPr="007C0F3B">
        <w:t xml:space="preserve">INR </w:t>
      </w:r>
      <w:r w:rsidRPr="007C0F3B">
        <w:rPr>
          <w:lang w:val="bg-BG" w:eastAsia="bg-BG"/>
        </w:rPr>
        <w:t xml:space="preserve">и удължаването на </w:t>
      </w:r>
      <w:proofErr w:type="spellStart"/>
      <w:r w:rsidRPr="007C0F3B">
        <w:rPr>
          <w:lang w:val="bg-BG" w:eastAsia="bg-BG"/>
        </w:rPr>
        <w:t>протромбиновото</w:t>
      </w:r>
      <w:proofErr w:type="spellEnd"/>
      <w:r w:rsidRPr="007C0F3B">
        <w:rPr>
          <w:lang w:val="bg-BG" w:eastAsia="bg-BG"/>
        </w:rPr>
        <w:t xml:space="preserve"> време може да доведе до </w:t>
      </w:r>
      <w:proofErr w:type="spellStart"/>
      <w:r w:rsidRPr="007C0F3B">
        <w:rPr>
          <w:lang w:val="bg-BG" w:eastAsia="bg-BG"/>
        </w:rPr>
        <w:t>абнормално</w:t>
      </w:r>
      <w:proofErr w:type="spellEnd"/>
      <w:r w:rsidRPr="007C0F3B">
        <w:rPr>
          <w:lang w:val="bg-BG" w:eastAsia="bg-BG"/>
        </w:rPr>
        <w:t xml:space="preserve"> кървене, и дори до смърт. При пациенти, лекувани едновременно с </w:t>
      </w:r>
      <w:proofErr w:type="spellStart"/>
      <w:r w:rsidRPr="007C0F3B">
        <w:rPr>
          <w:lang w:val="bg-BG" w:eastAsia="bg-BG"/>
        </w:rPr>
        <w:t>пантопразол</w:t>
      </w:r>
      <w:proofErr w:type="spellEnd"/>
      <w:r w:rsidRPr="007C0F3B">
        <w:rPr>
          <w:lang w:val="bg-BG" w:eastAsia="bg-BG"/>
        </w:rPr>
        <w:t xml:space="preserve"> и </w:t>
      </w:r>
      <w:proofErr w:type="spellStart"/>
      <w:r w:rsidRPr="007C0F3B">
        <w:rPr>
          <w:lang w:val="bg-BG" w:eastAsia="bg-BG"/>
        </w:rPr>
        <w:t>кумаринови</w:t>
      </w:r>
      <w:proofErr w:type="spellEnd"/>
      <w:r w:rsidRPr="007C0F3B">
        <w:rPr>
          <w:lang w:val="bg-BG" w:eastAsia="bg-BG"/>
        </w:rPr>
        <w:t xml:space="preserve"> антикоагуланти (напр. </w:t>
      </w:r>
      <w:proofErr w:type="spellStart"/>
      <w:r w:rsidRPr="007C0F3B">
        <w:rPr>
          <w:lang w:val="bg-BG" w:eastAsia="bg-BG"/>
        </w:rPr>
        <w:t>фенпрокормон</w:t>
      </w:r>
      <w:proofErr w:type="spellEnd"/>
      <w:r w:rsidRPr="007C0F3B">
        <w:rPr>
          <w:lang w:val="bg-BG" w:eastAsia="bg-BG"/>
        </w:rPr>
        <w:t xml:space="preserve"> или </w:t>
      </w:r>
      <w:proofErr w:type="spellStart"/>
      <w:r w:rsidRPr="007C0F3B">
        <w:rPr>
          <w:lang w:val="bg-BG" w:eastAsia="bg-BG"/>
        </w:rPr>
        <w:t>варфарин</w:t>
      </w:r>
      <w:proofErr w:type="spellEnd"/>
      <w:r w:rsidRPr="007C0F3B">
        <w:rPr>
          <w:lang w:val="bg-BG" w:eastAsia="bg-BG"/>
        </w:rPr>
        <w:t xml:space="preserve">) се препоръчва контрол на </w:t>
      </w:r>
      <w:proofErr w:type="spellStart"/>
      <w:r w:rsidRPr="007C0F3B">
        <w:rPr>
          <w:lang w:val="bg-BG" w:eastAsia="bg-BG"/>
        </w:rPr>
        <w:t>протромбиновото</w:t>
      </w:r>
      <w:proofErr w:type="spellEnd"/>
      <w:r w:rsidRPr="007C0F3B">
        <w:rPr>
          <w:lang w:val="bg-BG" w:eastAsia="bg-BG"/>
        </w:rPr>
        <w:t xml:space="preserve"> време </w:t>
      </w:r>
      <w:r w:rsidRPr="007C0F3B">
        <w:t xml:space="preserve">(INR) </w:t>
      </w:r>
      <w:r w:rsidRPr="007C0F3B">
        <w:rPr>
          <w:lang w:val="bg-BG" w:eastAsia="bg-BG"/>
        </w:rPr>
        <w:t xml:space="preserve">след началото и края на приема, както и по време на приема на </w:t>
      </w:r>
      <w:proofErr w:type="spellStart"/>
      <w:r w:rsidRPr="007C0F3B">
        <w:rPr>
          <w:lang w:val="bg-BG" w:eastAsia="bg-BG"/>
        </w:rPr>
        <w:t>пантопразол</w:t>
      </w:r>
      <w:proofErr w:type="spellEnd"/>
      <w:r w:rsidRPr="007C0F3B">
        <w:rPr>
          <w:lang w:val="bg-BG" w:eastAsia="bg-BG"/>
        </w:rPr>
        <w:t>.</w:t>
      </w:r>
    </w:p>
    <w:p w14:paraId="213D2FD3" w14:textId="77777777" w:rsidR="007C0F3B" w:rsidRDefault="007C0F3B" w:rsidP="007C0F3B">
      <w:pPr>
        <w:rPr>
          <w:lang w:val="bg-BG" w:eastAsia="bg-BG"/>
        </w:rPr>
      </w:pPr>
    </w:p>
    <w:p w14:paraId="5BDCA0EC" w14:textId="7C854F39" w:rsidR="007C0F3B" w:rsidRPr="007C0F3B" w:rsidRDefault="007C0F3B" w:rsidP="007C0F3B">
      <w:pPr>
        <w:rPr>
          <w:i/>
          <w:iCs/>
          <w:sz w:val="24"/>
          <w:szCs w:val="24"/>
          <w:lang w:val="bg-BG"/>
        </w:rPr>
      </w:pPr>
      <w:proofErr w:type="spellStart"/>
      <w:r w:rsidRPr="007C0F3B">
        <w:rPr>
          <w:i/>
          <w:iCs/>
          <w:lang w:val="bg-BG" w:eastAsia="bg-BG"/>
        </w:rPr>
        <w:t>Метотрексат</w:t>
      </w:r>
      <w:proofErr w:type="spellEnd"/>
    </w:p>
    <w:p w14:paraId="3A165B52" w14:textId="77777777" w:rsidR="007C0F3B" w:rsidRPr="007C0F3B" w:rsidRDefault="007C0F3B" w:rsidP="007C0F3B">
      <w:pPr>
        <w:rPr>
          <w:sz w:val="24"/>
          <w:szCs w:val="24"/>
          <w:lang w:val="bg-BG"/>
        </w:rPr>
      </w:pPr>
      <w:r w:rsidRPr="007C0F3B">
        <w:rPr>
          <w:lang w:val="bg-BG" w:eastAsia="bg-BG"/>
        </w:rPr>
        <w:t xml:space="preserve">Има съобщения, че едновременното приложение на високи дози </w:t>
      </w:r>
      <w:proofErr w:type="spellStart"/>
      <w:r w:rsidRPr="007C0F3B">
        <w:rPr>
          <w:lang w:val="bg-BG" w:eastAsia="bg-BG"/>
        </w:rPr>
        <w:t>метотрексат</w:t>
      </w:r>
      <w:proofErr w:type="spellEnd"/>
      <w:r w:rsidRPr="007C0F3B">
        <w:rPr>
          <w:lang w:val="bg-BG" w:eastAsia="bg-BG"/>
        </w:rPr>
        <w:t xml:space="preserve"> (напр. 300 </w:t>
      </w:r>
      <w:r w:rsidRPr="007C0F3B">
        <w:t xml:space="preserve">mg) </w:t>
      </w:r>
      <w:r w:rsidRPr="007C0F3B">
        <w:rPr>
          <w:lang w:val="bg-BG" w:eastAsia="bg-BG"/>
        </w:rPr>
        <w:t xml:space="preserve">с инхибитори на </w:t>
      </w:r>
      <w:proofErr w:type="spellStart"/>
      <w:r w:rsidRPr="007C0F3B">
        <w:rPr>
          <w:lang w:val="bg-BG" w:eastAsia="bg-BG"/>
        </w:rPr>
        <w:t>протонната</w:t>
      </w:r>
      <w:proofErr w:type="spellEnd"/>
      <w:r w:rsidRPr="007C0F3B">
        <w:rPr>
          <w:lang w:val="bg-BG" w:eastAsia="bg-BG"/>
        </w:rPr>
        <w:t xml:space="preserve"> помпа, повишава нивата на </w:t>
      </w:r>
      <w:proofErr w:type="spellStart"/>
      <w:r w:rsidRPr="007C0F3B">
        <w:rPr>
          <w:lang w:val="bg-BG" w:eastAsia="bg-BG"/>
        </w:rPr>
        <w:t>метотрексат</w:t>
      </w:r>
      <w:proofErr w:type="spellEnd"/>
      <w:r w:rsidRPr="007C0F3B">
        <w:rPr>
          <w:lang w:val="bg-BG" w:eastAsia="bg-BG"/>
        </w:rPr>
        <w:t xml:space="preserve"> при някои пациенти. Поради това при случаи, при които се прилага висока доза </w:t>
      </w:r>
      <w:proofErr w:type="spellStart"/>
      <w:r w:rsidRPr="007C0F3B">
        <w:rPr>
          <w:lang w:val="bg-BG" w:eastAsia="bg-BG"/>
        </w:rPr>
        <w:t>метотрексат</w:t>
      </w:r>
      <w:proofErr w:type="spellEnd"/>
      <w:r w:rsidRPr="007C0F3B">
        <w:rPr>
          <w:lang w:val="bg-BG" w:eastAsia="bg-BG"/>
        </w:rPr>
        <w:t xml:space="preserve">, напр. рак или псориазис, може да се наложи обсъждане на временно прекратяване на приложението на </w:t>
      </w:r>
      <w:proofErr w:type="spellStart"/>
      <w:r w:rsidRPr="007C0F3B">
        <w:rPr>
          <w:lang w:val="bg-BG" w:eastAsia="bg-BG"/>
        </w:rPr>
        <w:t>пантопразол</w:t>
      </w:r>
      <w:proofErr w:type="spellEnd"/>
      <w:r w:rsidRPr="007C0F3B">
        <w:rPr>
          <w:lang w:val="bg-BG" w:eastAsia="bg-BG"/>
        </w:rPr>
        <w:t>.</w:t>
      </w:r>
    </w:p>
    <w:p w14:paraId="67C34A3D" w14:textId="77777777" w:rsidR="007C0F3B" w:rsidRDefault="007C0F3B" w:rsidP="007C0F3B">
      <w:pPr>
        <w:rPr>
          <w:lang w:val="bg-BG" w:eastAsia="bg-BG"/>
        </w:rPr>
      </w:pPr>
    </w:p>
    <w:p w14:paraId="06BA2D9D" w14:textId="43607DB4" w:rsidR="007C0F3B" w:rsidRPr="007C0F3B" w:rsidRDefault="007C0F3B" w:rsidP="007C0F3B">
      <w:pPr>
        <w:rPr>
          <w:i/>
          <w:iCs/>
          <w:sz w:val="24"/>
          <w:szCs w:val="24"/>
          <w:lang w:val="bg-BG"/>
        </w:rPr>
      </w:pPr>
      <w:r w:rsidRPr="007C0F3B">
        <w:rPr>
          <w:i/>
          <w:iCs/>
          <w:lang w:val="bg-BG" w:eastAsia="bg-BG"/>
        </w:rPr>
        <w:t>Други изпитвания и взаимодействия</w:t>
      </w:r>
    </w:p>
    <w:p w14:paraId="2F7484D4" w14:textId="77777777" w:rsidR="007C0F3B" w:rsidRPr="007C0F3B" w:rsidRDefault="007C0F3B" w:rsidP="007C0F3B">
      <w:pPr>
        <w:rPr>
          <w:sz w:val="24"/>
          <w:szCs w:val="24"/>
          <w:lang w:val="bg-BG"/>
        </w:rPr>
      </w:pPr>
      <w:proofErr w:type="spellStart"/>
      <w:r w:rsidRPr="007C0F3B">
        <w:rPr>
          <w:lang w:val="bg-BG" w:eastAsia="bg-BG"/>
        </w:rPr>
        <w:t>Пантопразол</w:t>
      </w:r>
      <w:proofErr w:type="spellEnd"/>
      <w:r w:rsidRPr="007C0F3B">
        <w:rPr>
          <w:lang w:val="bg-BG" w:eastAsia="bg-BG"/>
        </w:rPr>
        <w:t xml:space="preserve"> се </w:t>
      </w:r>
      <w:proofErr w:type="spellStart"/>
      <w:r w:rsidRPr="007C0F3B">
        <w:rPr>
          <w:lang w:val="bg-BG" w:eastAsia="bg-BG"/>
        </w:rPr>
        <w:t>метаболизира</w:t>
      </w:r>
      <w:proofErr w:type="spellEnd"/>
      <w:r w:rsidRPr="007C0F3B">
        <w:rPr>
          <w:lang w:val="bg-BG" w:eastAsia="bg-BG"/>
        </w:rPr>
        <w:t xml:space="preserve"> в черния дроб посредством </w:t>
      </w:r>
      <w:proofErr w:type="spellStart"/>
      <w:r w:rsidRPr="007C0F3B">
        <w:rPr>
          <w:lang w:val="bg-BG" w:eastAsia="bg-BG"/>
        </w:rPr>
        <w:t>цитохром</w:t>
      </w:r>
      <w:proofErr w:type="spellEnd"/>
      <w:r w:rsidRPr="007C0F3B">
        <w:rPr>
          <w:lang w:val="bg-BG" w:eastAsia="bg-BG"/>
        </w:rPr>
        <w:t xml:space="preserve"> Р450 ензимната </w:t>
      </w:r>
      <w:proofErr w:type="spellStart"/>
      <w:r w:rsidRPr="007C0F3B">
        <w:rPr>
          <w:lang w:val="bg-BG" w:eastAsia="bg-BG"/>
        </w:rPr>
        <w:t>ситема</w:t>
      </w:r>
      <w:proofErr w:type="spellEnd"/>
      <w:r w:rsidRPr="007C0F3B">
        <w:rPr>
          <w:lang w:val="bg-BG" w:eastAsia="bg-BG"/>
        </w:rPr>
        <w:t xml:space="preserve">. Главният метаболитен път е </w:t>
      </w:r>
      <w:proofErr w:type="spellStart"/>
      <w:r w:rsidRPr="007C0F3B">
        <w:rPr>
          <w:lang w:val="bg-BG" w:eastAsia="bg-BG"/>
        </w:rPr>
        <w:t>деметилиране</w:t>
      </w:r>
      <w:proofErr w:type="spellEnd"/>
      <w:r w:rsidRPr="007C0F3B">
        <w:rPr>
          <w:lang w:val="bg-BG" w:eastAsia="bg-BG"/>
        </w:rPr>
        <w:t xml:space="preserve"> чрез </w:t>
      </w:r>
      <w:r w:rsidRPr="007C0F3B">
        <w:t xml:space="preserve">CYP2C19, </w:t>
      </w:r>
      <w:r w:rsidRPr="007C0F3B">
        <w:rPr>
          <w:lang w:val="bg-BG" w:eastAsia="bg-BG"/>
        </w:rPr>
        <w:t xml:space="preserve">а другите метаболитни пътища включват оксидиране чрез </w:t>
      </w:r>
      <w:r w:rsidRPr="007C0F3B">
        <w:t xml:space="preserve">CYP3A4, </w:t>
      </w:r>
      <w:r w:rsidRPr="007C0F3B">
        <w:rPr>
          <w:lang w:val="bg-BG" w:eastAsia="bg-BG"/>
        </w:rPr>
        <w:t xml:space="preserve">Не може да се изключи взаимодействие на </w:t>
      </w:r>
      <w:proofErr w:type="spellStart"/>
      <w:r w:rsidRPr="007C0F3B">
        <w:rPr>
          <w:lang w:val="bg-BG" w:eastAsia="bg-BG"/>
        </w:rPr>
        <w:t>пантопразол</w:t>
      </w:r>
      <w:proofErr w:type="spellEnd"/>
      <w:r w:rsidRPr="007C0F3B">
        <w:rPr>
          <w:lang w:val="bg-BG" w:eastAsia="bg-BG"/>
        </w:rPr>
        <w:t xml:space="preserve"> с други вещества, </w:t>
      </w:r>
      <w:proofErr w:type="spellStart"/>
      <w:r w:rsidRPr="007C0F3B">
        <w:rPr>
          <w:lang w:val="bg-BG" w:eastAsia="bg-BG"/>
        </w:rPr>
        <w:t>метаболизиращи</w:t>
      </w:r>
      <w:proofErr w:type="spellEnd"/>
      <w:r w:rsidRPr="007C0F3B">
        <w:rPr>
          <w:lang w:val="bg-BG" w:eastAsia="bg-BG"/>
        </w:rPr>
        <w:t xml:space="preserve"> се от същата ензимна система. Все пак, няма наблюдавани клинично значими взаимодействия при специфичните тестове с </w:t>
      </w:r>
      <w:proofErr w:type="spellStart"/>
      <w:r w:rsidRPr="007C0F3B">
        <w:rPr>
          <w:lang w:val="bg-BG" w:eastAsia="bg-BG"/>
        </w:rPr>
        <w:t>карбамазепин</w:t>
      </w:r>
      <w:proofErr w:type="spellEnd"/>
      <w:r w:rsidRPr="007C0F3B">
        <w:rPr>
          <w:lang w:val="bg-BG" w:eastAsia="bg-BG"/>
        </w:rPr>
        <w:t xml:space="preserve">, диазепам, </w:t>
      </w:r>
      <w:proofErr w:type="spellStart"/>
      <w:r w:rsidRPr="007C0F3B">
        <w:rPr>
          <w:lang w:val="bg-BG" w:eastAsia="bg-BG"/>
        </w:rPr>
        <w:t>глибенкламид</w:t>
      </w:r>
      <w:proofErr w:type="spellEnd"/>
      <w:r w:rsidRPr="007C0F3B">
        <w:rPr>
          <w:lang w:val="bg-BG" w:eastAsia="bg-BG"/>
        </w:rPr>
        <w:t xml:space="preserve">, </w:t>
      </w:r>
      <w:proofErr w:type="spellStart"/>
      <w:r w:rsidRPr="007C0F3B">
        <w:rPr>
          <w:lang w:val="bg-BG" w:eastAsia="bg-BG"/>
        </w:rPr>
        <w:t>нифедипин</w:t>
      </w:r>
      <w:proofErr w:type="spellEnd"/>
      <w:r w:rsidRPr="007C0F3B">
        <w:rPr>
          <w:lang w:val="bg-BG" w:eastAsia="bg-BG"/>
        </w:rPr>
        <w:t xml:space="preserve"> и перорални контрацептиви, съдържащи </w:t>
      </w:r>
      <w:proofErr w:type="spellStart"/>
      <w:r w:rsidRPr="007C0F3B">
        <w:rPr>
          <w:lang w:val="bg-BG" w:eastAsia="bg-BG"/>
        </w:rPr>
        <w:t>левоноргестрел</w:t>
      </w:r>
      <w:proofErr w:type="spellEnd"/>
      <w:r w:rsidRPr="007C0F3B">
        <w:rPr>
          <w:lang w:val="bg-BG" w:eastAsia="bg-BG"/>
        </w:rPr>
        <w:t xml:space="preserve"> и </w:t>
      </w:r>
      <w:proofErr w:type="spellStart"/>
      <w:r w:rsidRPr="007C0F3B">
        <w:rPr>
          <w:lang w:val="bg-BG" w:eastAsia="bg-BG"/>
        </w:rPr>
        <w:t>етинил</w:t>
      </w:r>
      <w:proofErr w:type="spellEnd"/>
      <w:r w:rsidRPr="007C0F3B">
        <w:rPr>
          <w:lang w:val="bg-BG" w:eastAsia="bg-BG"/>
        </w:rPr>
        <w:t xml:space="preserve"> </w:t>
      </w:r>
      <w:proofErr w:type="spellStart"/>
      <w:r w:rsidRPr="007C0F3B">
        <w:rPr>
          <w:lang w:val="bg-BG" w:eastAsia="bg-BG"/>
        </w:rPr>
        <w:t>естраднол</w:t>
      </w:r>
      <w:proofErr w:type="spellEnd"/>
      <w:r w:rsidRPr="007C0F3B">
        <w:rPr>
          <w:lang w:val="bg-BG" w:eastAsia="bg-BG"/>
        </w:rPr>
        <w:t>.</w:t>
      </w:r>
    </w:p>
    <w:p w14:paraId="160ABFC1" w14:textId="77777777" w:rsidR="007C0F3B" w:rsidRDefault="007C0F3B" w:rsidP="007C0F3B">
      <w:pPr>
        <w:rPr>
          <w:lang w:val="bg-BG" w:eastAsia="bg-BG"/>
        </w:rPr>
      </w:pPr>
    </w:p>
    <w:p w14:paraId="2418739D" w14:textId="4A03FCEC" w:rsidR="007C0F3B" w:rsidRPr="007C0F3B" w:rsidRDefault="007C0F3B" w:rsidP="007C0F3B">
      <w:pPr>
        <w:rPr>
          <w:sz w:val="24"/>
          <w:szCs w:val="24"/>
          <w:lang w:val="bg-BG"/>
        </w:rPr>
      </w:pPr>
      <w:r w:rsidRPr="007C0F3B">
        <w:rPr>
          <w:lang w:val="bg-BG" w:eastAsia="bg-BG"/>
        </w:rPr>
        <w:t xml:space="preserve">Взаимодействия на </w:t>
      </w:r>
      <w:proofErr w:type="spellStart"/>
      <w:r w:rsidRPr="007C0F3B">
        <w:rPr>
          <w:lang w:val="bg-BG" w:eastAsia="bg-BG"/>
        </w:rPr>
        <w:t>пантопразол</w:t>
      </w:r>
      <w:proofErr w:type="spellEnd"/>
      <w:r w:rsidRPr="007C0F3B">
        <w:rPr>
          <w:lang w:val="bg-BG" w:eastAsia="bg-BG"/>
        </w:rPr>
        <w:t xml:space="preserve"> с други лекарствени продукти или вещества, които се </w:t>
      </w:r>
      <w:proofErr w:type="spellStart"/>
      <w:r w:rsidRPr="007C0F3B">
        <w:rPr>
          <w:lang w:val="bg-BG" w:eastAsia="bg-BG"/>
        </w:rPr>
        <w:t>метаболизират</w:t>
      </w:r>
      <w:proofErr w:type="spellEnd"/>
      <w:r w:rsidRPr="007C0F3B">
        <w:rPr>
          <w:lang w:val="bg-BG" w:eastAsia="bg-BG"/>
        </w:rPr>
        <w:t xml:space="preserve"> чрез едни и същи ензимни системи, не може да се изключат.</w:t>
      </w:r>
    </w:p>
    <w:p w14:paraId="685189DE" w14:textId="77777777" w:rsidR="007C0F3B" w:rsidRDefault="007C0F3B" w:rsidP="007C0F3B">
      <w:pPr>
        <w:rPr>
          <w:lang w:val="bg-BG" w:eastAsia="bg-BG"/>
        </w:rPr>
      </w:pPr>
    </w:p>
    <w:p w14:paraId="59180328" w14:textId="356B16AC" w:rsidR="007C0F3B" w:rsidRPr="007C0F3B" w:rsidRDefault="007C0F3B" w:rsidP="007C0F3B">
      <w:pPr>
        <w:rPr>
          <w:sz w:val="24"/>
          <w:szCs w:val="24"/>
          <w:lang w:val="bg-BG"/>
        </w:rPr>
      </w:pPr>
      <w:r w:rsidRPr="007C0F3B">
        <w:rPr>
          <w:lang w:val="bg-BG" w:eastAsia="bg-BG"/>
        </w:rPr>
        <w:t xml:space="preserve">Резултатите от редица изпитвания за взаимодействия са показали, че </w:t>
      </w:r>
      <w:proofErr w:type="spellStart"/>
      <w:r w:rsidRPr="007C0F3B">
        <w:rPr>
          <w:lang w:val="bg-BG" w:eastAsia="bg-BG"/>
        </w:rPr>
        <w:t>пантопразол</w:t>
      </w:r>
      <w:proofErr w:type="spellEnd"/>
      <w:r w:rsidRPr="007C0F3B">
        <w:rPr>
          <w:lang w:val="bg-BG" w:eastAsia="bg-BG"/>
        </w:rPr>
        <w:t xml:space="preserve"> не притежава ефект върху метаболизма на активни вещества, </w:t>
      </w:r>
      <w:proofErr w:type="spellStart"/>
      <w:r w:rsidRPr="007C0F3B">
        <w:rPr>
          <w:lang w:val="bg-BG" w:eastAsia="bg-BG"/>
        </w:rPr>
        <w:t>метаболизирани</w:t>
      </w:r>
      <w:proofErr w:type="spellEnd"/>
      <w:r w:rsidRPr="007C0F3B">
        <w:rPr>
          <w:lang w:val="bg-BG" w:eastAsia="bg-BG"/>
        </w:rPr>
        <w:t xml:space="preserve"> от </w:t>
      </w:r>
      <w:r w:rsidRPr="007C0F3B">
        <w:t xml:space="preserve">CYP1A2 </w:t>
      </w:r>
      <w:r w:rsidRPr="007C0F3B">
        <w:rPr>
          <w:lang w:val="bg-BG" w:eastAsia="bg-BG"/>
        </w:rPr>
        <w:t xml:space="preserve">(като кофеин, </w:t>
      </w:r>
      <w:proofErr w:type="spellStart"/>
      <w:r w:rsidRPr="007C0F3B">
        <w:rPr>
          <w:lang w:val="bg-BG" w:eastAsia="bg-BG"/>
        </w:rPr>
        <w:t>Теофилин</w:t>
      </w:r>
      <w:proofErr w:type="spellEnd"/>
      <w:r w:rsidRPr="007C0F3B">
        <w:rPr>
          <w:lang w:val="bg-BG" w:eastAsia="bg-BG"/>
        </w:rPr>
        <w:t xml:space="preserve">), </w:t>
      </w:r>
      <w:r w:rsidRPr="007C0F3B">
        <w:t xml:space="preserve">CYP2C9 </w:t>
      </w:r>
      <w:r w:rsidRPr="007C0F3B">
        <w:rPr>
          <w:lang w:val="bg-BG" w:eastAsia="bg-BG"/>
        </w:rPr>
        <w:t xml:space="preserve">(като </w:t>
      </w:r>
      <w:proofErr w:type="spellStart"/>
      <w:r w:rsidRPr="007C0F3B">
        <w:rPr>
          <w:lang w:val="bg-BG" w:eastAsia="bg-BG"/>
        </w:rPr>
        <w:t>пироксикам</w:t>
      </w:r>
      <w:proofErr w:type="spellEnd"/>
      <w:r w:rsidRPr="007C0F3B">
        <w:rPr>
          <w:lang w:val="bg-BG" w:eastAsia="bg-BG"/>
        </w:rPr>
        <w:t xml:space="preserve">, </w:t>
      </w:r>
      <w:proofErr w:type="spellStart"/>
      <w:r w:rsidRPr="007C0F3B">
        <w:rPr>
          <w:lang w:val="bg-BG" w:eastAsia="bg-BG"/>
        </w:rPr>
        <w:t>диклофенак</w:t>
      </w:r>
      <w:proofErr w:type="spellEnd"/>
      <w:r w:rsidRPr="007C0F3B">
        <w:rPr>
          <w:lang w:val="bg-BG" w:eastAsia="bg-BG"/>
        </w:rPr>
        <w:t xml:space="preserve">, </w:t>
      </w:r>
      <w:proofErr w:type="spellStart"/>
      <w:r w:rsidRPr="007C0F3B">
        <w:rPr>
          <w:lang w:val="bg-BG" w:eastAsia="bg-BG"/>
        </w:rPr>
        <w:t>напроксен</w:t>
      </w:r>
      <w:proofErr w:type="spellEnd"/>
      <w:r w:rsidRPr="007C0F3B">
        <w:rPr>
          <w:lang w:val="bg-BG" w:eastAsia="bg-BG"/>
        </w:rPr>
        <w:t xml:space="preserve">), СУР2Д6 (като </w:t>
      </w:r>
      <w:proofErr w:type="spellStart"/>
      <w:r w:rsidRPr="007C0F3B">
        <w:rPr>
          <w:lang w:val="bg-BG" w:eastAsia="bg-BG"/>
        </w:rPr>
        <w:t>метопролол</w:t>
      </w:r>
      <w:proofErr w:type="spellEnd"/>
      <w:r w:rsidRPr="007C0F3B">
        <w:rPr>
          <w:lang w:val="bg-BG" w:eastAsia="bg-BG"/>
        </w:rPr>
        <w:t xml:space="preserve">), </w:t>
      </w:r>
      <w:r w:rsidRPr="007C0F3B">
        <w:t xml:space="preserve">CYP2E1 </w:t>
      </w:r>
      <w:r w:rsidRPr="007C0F3B">
        <w:rPr>
          <w:lang w:val="bg-BG" w:eastAsia="bg-BG"/>
        </w:rPr>
        <w:t xml:space="preserve">(като етанол) или не </w:t>
      </w:r>
      <w:proofErr w:type="spellStart"/>
      <w:r w:rsidRPr="007C0F3B">
        <w:rPr>
          <w:lang w:val="bg-BG" w:eastAsia="bg-BG"/>
        </w:rPr>
        <w:t>интерферира</w:t>
      </w:r>
      <w:proofErr w:type="spellEnd"/>
      <w:r w:rsidRPr="007C0F3B">
        <w:rPr>
          <w:lang w:val="bg-BG" w:eastAsia="bg-BG"/>
        </w:rPr>
        <w:t xml:space="preserve"> със свързаната с р-</w:t>
      </w:r>
      <w:proofErr w:type="spellStart"/>
      <w:r w:rsidRPr="007C0F3B">
        <w:rPr>
          <w:lang w:val="bg-BG" w:eastAsia="bg-BG"/>
        </w:rPr>
        <w:t>гликопротеин</w:t>
      </w:r>
      <w:proofErr w:type="spellEnd"/>
      <w:r w:rsidRPr="007C0F3B">
        <w:rPr>
          <w:lang w:val="bg-BG" w:eastAsia="bg-BG"/>
        </w:rPr>
        <w:t xml:space="preserve"> абсорбция на </w:t>
      </w:r>
      <w:proofErr w:type="spellStart"/>
      <w:r w:rsidRPr="007C0F3B">
        <w:rPr>
          <w:lang w:val="bg-BG" w:eastAsia="bg-BG"/>
        </w:rPr>
        <w:t>дигоксин</w:t>
      </w:r>
      <w:proofErr w:type="spellEnd"/>
      <w:r w:rsidRPr="007C0F3B">
        <w:rPr>
          <w:lang w:val="bg-BG" w:eastAsia="bg-BG"/>
        </w:rPr>
        <w:t>.</w:t>
      </w:r>
    </w:p>
    <w:p w14:paraId="25A336E5" w14:textId="77777777" w:rsidR="007C0F3B" w:rsidRDefault="007C0F3B" w:rsidP="007C0F3B">
      <w:pPr>
        <w:rPr>
          <w:lang w:val="bg-BG" w:eastAsia="bg-BG"/>
        </w:rPr>
      </w:pPr>
    </w:p>
    <w:p w14:paraId="093E0D6C" w14:textId="1B22EB22" w:rsidR="007C0F3B" w:rsidRPr="007C0F3B" w:rsidRDefault="007C0F3B" w:rsidP="007C0F3B">
      <w:pPr>
        <w:rPr>
          <w:sz w:val="24"/>
          <w:szCs w:val="24"/>
          <w:lang w:val="bg-BG"/>
        </w:rPr>
      </w:pPr>
      <w:r w:rsidRPr="007C0F3B">
        <w:rPr>
          <w:lang w:val="bg-BG" w:eastAsia="bg-BG"/>
        </w:rPr>
        <w:t xml:space="preserve">Провеждани са проучвания на взаимодействието при прилагане на </w:t>
      </w:r>
      <w:proofErr w:type="spellStart"/>
      <w:r w:rsidRPr="007C0F3B">
        <w:rPr>
          <w:lang w:val="bg-BG" w:eastAsia="bg-BG"/>
        </w:rPr>
        <w:t>пантопразол</w:t>
      </w:r>
      <w:proofErr w:type="spellEnd"/>
      <w:r w:rsidRPr="007C0F3B">
        <w:rPr>
          <w:lang w:val="bg-BG" w:eastAsia="bg-BG"/>
        </w:rPr>
        <w:t xml:space="preserve"> едновременно със съответните антибиотици (</w:t>
      </w:r>
      <w:proofErr w:type="spellStart"/>
      <w:r w:rsidRPr="007C0F3B">
        <w:rPr>
          <w:lang w:val="bg-BG" w:eastAsia="bg-BG"/>
        </w:rPr>
        <w:t>кларитромицин</w:t>
      </w:r>
      <w:proofErr w:type="spellEnd"/>
      <w:r w:rsidRPr="007C0F3B">
        <w:rPr>
          <w:lang w:val="bg-BG" w:eastAsia="bg-BG"/>
        </w:rPr>
        <w:t xml:space="preserve">, </w:t>
      </w:r>
      <w:proofErr w:type="spellStart"/>
      <w:r w:rsidRPr="007C0F3B">
        <w:rPr>
          <w:lang w:val="bg-BG" w:eastAsia="bg-BG"/>
        </w:rPr>
        <w:t>метронидазол</w:t>
      </w:r>
      <w:proofErr w:type="spellEnd"/>
      <w:r w:rsidRPr="007C0F3B">
        <w:rPr>
          <w:lang w:val="bg-BG" w:eastAsia="bg-BG"/>
        </w:rPr>
        <w:t xml:space="preserve">, </w:t>
      </w:r>
      <w:proofErr w:type="spellStart"/>
      <w:r w:rsidRPr="007C0F3B">
        <w:rPr>
          <w:lang w:val="bg-BG" w:eastAsia="bg-BG"/>
        </w:rPr>
        <w:t>амоксицилин</w:t>
      </w:r>
      <w:proofErr w:type="spellEnd"/>
      <w:r w:rsidRPr="007C0F3B">
        <w:rPr>
          <w:lang w:val="bg-BG" w:eastAsia="bg-BG"/>
        </w:rPr>
        <w:t>). Не са били открити клинично значими взаимодействия.</w:t>
      </w:r>
    </w:p>
    <w:p w14:paraId="4C0449B9" w14:textId="77777777" w:rsidR="007C0F3B" w:rsidRDefault="007C0F3B" w:rsidP="007C0F3B">
      <w:pPr>
        <w:rPr>
          <w:lang w:val="bg-BG" w:eastAsia="bg-BG"/>
        </w:rPr>
      </w:pPr>
    </w:p>
    <w:p w14:paraId="2C958D53" w14:textId="017DA3DF" w:rsidR="007C0F3B" w:rsidRPr="007C0F3B" w:rsidRDefault="007C0F3B" w:rsidP="007C0F3B">
      <w:pPr>
        <w:rPr>
          <w:sz w:val="24"/>
          <w:szCs w:val="24"/>
          <w:lang w:val="bg-BG"/>
        </w:rPr>
      </w:pPr>
      <w:r w:rsidRPr="007C0F3B">
        <w:rPr>
          <w:lang w:val="bg-BG" w:eastAsia="bg-BG"/>
        </w:rPr>
        <w:t xml:space="preserve">Не са установени взаимодействия при съпътстващо приложение на </w:t>
      </w:r>
      <w:proofErr w:type="spellStart"/>
      <w:r w:rsidRPr="007C0F3B">
        <w:rPr>
          <w:lang w:val="bg-BG" w:eastAsia="bg-BG"/>
        </w:rPr>
        <w:t>антиацидни</w:t>
      </w:r>
      <w:proofErr w:type="spellEnd"/>
      <w:r w:rsidRPr="007C0F3B">
        <w:rPr>
          <w:lang w:val="bg-BG" w:eastAsia="bg-BG"/>
        </w:rPr>
        <w:t xml:space="preserve"> средства.</w:t>
      </w:r>
    </w:p>
    <w:p w14:paraId="43A91A26" w14:textId="77777777" w:rsidR="007C0F3B" w:rsidRPr="007C0F3B" w:rsidRDefault="007C0F3B" w:rsidP="007C0F3B">
      <w:pPr>
        <w:rPr>
          <w:i/>
          <w:iCs/>
        </w:rPr>
      </w:pPr>
    </w:p>
    <w:p w14:paraId="48221AB5" w14:textId="5B8D2263" w:rsidR="002C50EE" w:rsidRDefault="002C50EE" w:rsidP="002C50EE">
      <w:pPr>
        <w:pStyle w:val="Heading2"/>
      </w:pPr>
      <w:r>
        <w:t xml:space="preserve">4.6. </w:t>
      </w:r>
      <w:proofErr w:type="spellStart"/>
      <w:r>
        <w:t>Фертилитет</w:t>
      </w:r>
      <w:proofErr w:type="spellEnd"/>
      <w:r>
        <w:t xml:space="preserve">, </w:t>
      </w:r>
      <w:proofErr w:type="spellStart"/>
      <w:r>
        <w:t>бременност</w:t>
      </w:r>
      <w:proofErr w:type="spellEnd"/>
      <w:r>
        <w:t xml:space="preserve"> и </w:t>
      </w:r>
      <w:proofErr w:type="spellStart"/>
      <w:r>
        <w:t>кърмене</w:t>
      </w:r>
      <w:proofErr w:type="spellEnd"/>
    </w:p>
    <w:p w14:paraId="23DF906D" w14:textId="77777777" w:rsidR="007C0F3B" w:rsidRDefault="007C0F3B" w:rsidP="007C0F3B">
      <w:pPr>
        <w:rPr>
          <w:lang w:val="bg-BG" w:eastAsia="bg-BG"/>
        </w:rPr>
      </w:pPr>
    </w:p>
    <w:p w14:paraId="01D4D6B0" w14:textId="15A98853" w:rsidR="007C0F3B" w:rsidRPr="007C0F3B" w:rsidRDefault="007C0F3B" w:rsidP="007C0F3B">
      <w:pPr>
        <w:pStyle w:val="Heading3"/>
        <w:rPr>
          <w:rFonts w:eastAsia="Times New Roman"/>
          <w:u w:val="single"/>
          <w:lang w:val="bg-BG"/>
        </w:rPr>
      </w:pPr>
      <w:r w:rsidRPr="007C0F3B">
        <w:rPr>
          <w:rFonts w:eastAsia="Times New Roman"/>
          <w:u w:val="single"/>
          <w:lang w:val="bg-BG" w:eastAsia="bg-BG"/>
        </w:rPr>
        <w:t>Бременност</w:t>
      </w:r>
    </w:p>
    <w:p w14:paraId="4B271AC2" w14:textId="77777777" w:rsidR="007C0F3B" w:rsidRPr="007C0F3B" w:rsidRDefault="007C0F3B" w:rsidP="007C0F3B">
      <w:pPr>
        <w:rPr>
          <w:sz w:val="24"/>
          <w:szCs w:val="24"/>
          <w:lang w:val="bg-BG"/>
        </w:rPr>
      </w:pPr>
      <w:r w:rsidRPr="007C0F3B">
        <w:rPr>
          <w:lang w:val="bg-BG" w:eastAsia="bg-BG"/>
        </w:rPr>
        <w:t xml:space="preserve">Няма достатъчно данни за употребата на </w:t>
      </w:r>
      <w:proofErr w:type="spellStart"/>
      <w:r w:rsidRPr="007C0F3B">
        <w:rPr>
          <w:lang w:val="bg-BG" w:eastAsia="bg-BG"/>
        </w:rPr>
        <w:t>пантопразол</w:t>
      </w:r>
      <w:proofErr w:type="spellEnd"/>
      <w:r w:rsidRPr="007C0F3B">
        <w:rPr>
          <w:lang w:val="bg-BG" w:eastAsia="bg-BG"/>
        </w:rPr>
        <w:t xml:space="preserve"> при бременни жени.</w:t>
      </w:r>
      <w:r w:rsidRPr="007C0F3B">
        <w:t xml:space="preserve"> </w:t>
      </w:r>
      <w:r w:rsidRPr="007C0F3B">
        <w:rPr>
          <w:lang w:val="bg-BG" w:eastAsia="bg-BG"/>
        </w:rPr>
        <w:t>Проучванията при</w:t>
      </w:r>
      <w:r>
        <w:rPr>
          <w:lang w:val="bg-BG" w:eastAsia="bg-BG"/>
        </w:rPr>
        <w:t xml:space="preserve"> </w:t>
      </w:r>
      <w:r w:rsidRPr="007C0F3B">
        <w:rPr>
          <w:lang w:val="bg-BG" w:eastAsia="bg-BG"/>
        </w:rPr>
        <w:t xml:space="preserve">животни са показали репродуктивна токсичност (вж. точка 5.3). Потенциалният риск при хора е неизвестен. </w:t>
      </w:r>
      <w:proofErr w:type="spellStart"/>
      <w:r w:rsidRPr="007C0F3B">
        <w:rPr>
          <w:lang w:val="bg-BG" w:eastAsia="bg-BG"/>
        </w:rPr>
        <w:t>Пантопразол</w:t>
      </w:r>
      <w:proofErr w:type="spellEnd"/>
      <w:r w:rsidRPr="007C0F3B">
        <w:rPr>
          <w:lang w:val="bg-BG" w:eastAsia="bg-BG"/>
        </w:rPr>
        <w:t xml:space="preserve"> не трябва да се използва по време на бременност, освен в случаите на категорична необходимост.</w:t>
      </w:r>
    </w:p>
    <w:p w14:paraId="1266AE35" w14:textId="77777777" w:rsidR="007C0F3B" w:rsidRDefault="007C0F3B" w:rsidP="007C0F3B">
      <w:pPr>
        <w:rPr>
          <w:lang w:val="bg-BG" w:eastAsia="bg-BG"/>
        </w:rPr>
      </w:pPr>
    </w:p>
    <w:p w14:paraId="363A5241" w14:textId="4166736B" w:rsidR="007C0F3B" w:rsidRPr="007C0F3B" w:rsidRDefault="007C0F3B" w:rsidP="007C0F3B">
      <w:pPr>
        <w:pStyle w:val="Heading3"/>
        <w:rPr>
          <w:rFonts w:eastAsia="Times New Roman"/>
          <w:u w:val="single"/>
          <w:lang w:val="bg-BG"/>
        </w:rPr>
      </w:pPr>
      <w:r w:rsidRPr="007C0F3B">
        <w:rPr>
          <w:rFonts w:eastAsia="Times New Roman"/>
          <w:u w:val="single"/>
          <w:lang w:val="bg-BG" w:eastAsia="bg-BG"/>
        </w:rPr>
        <w:t>Кърмене</w:t>
      </w:r>
    </w:p>
    <w:p w14:paraId="76724FEB" w14:textId="77777777" w:rsidR="007C0F3B" w:rsidRPr="007C0F3B" w:rsidRDefault="007C0F3B" w:rsidP="007C0F3B">
      <w:pPr>
        <w:rPr>
          <w:sz w:val="24"/>
          <w:szCs w:val="24"/>
          <w:lang w:val="bg-BG"/>
        </w:rPr>
      </w:pPr>
      <w:r w:rsidRPr="007C0F3B">
        <w:rPr>
          <w:lang w:val="bg-BG" w:eastAsia="bg-BG"/>
        </w:rPr>
        <w:t xml:space="preserve">Не е известно дали </w:t>
      </w:r>
      <w:proofErr w:type="spellStart"/>
      <w:r w:rsidRPr="007C0F3B">
        <w:rPr>
          <w:lang w:val="bg-BG" w:eastAsia="bg-BG"/>
        </w:rPr>
        <w:t>пантопразол</w:t>
      </w:r>
      <w:proofErr w:type="spellEnd"/>
      <w:r w:rsidRPr="007C0F3B">
        <w:rPr>
          <w:lang w:val="bg-BG" w:eastAsia="bg-BG"/>
        </w:rPr>
        <w:t xml:space="preserve"> се </w:t>
      </w:r>
      <w:proofErr w:type="spellStart"/>
      <w:r w:rsidRPr="007C0F3B">
        <w:rPr>
          <w:lang w:val="bg-BG" w:eastAsia="bg-BG"/>
        </w:rPr>
        <w:t>екскретира</w:t>
      </w:r>
      <w:proofErr w:type="spellEnd"/>
      <w:r w:rsidRPr="007C0F3B">
        <w:rPr>
          <w:lang w:val="bg-BG" w:eastAsia="bg-BG"/>
        </w:rPr>
        <w:t xml:space="preserve"> с майчиното мляко. Проучванията при животни показват екскреция на </w:t>
      </w:r>
      <w:proofErr w:type="spellStart"/>
      <w:r w:rsidRPr="007C0F3B">
        <w:rPr>
          <w:lang w:val="bg-BG" w:eastAsia="bg-BG"/>
        </w:rPr>
        <w:t>пантопразол</w:t>
      </w:r>
      <w:proofErr w:type="spellEnd"/>
      <w:r w:rsidRPr="007C0F3B">
        <w:rPr>
          <w:lang w:val="bg-BG" w:eastAsia="bg-BG"/>
        </w:rPr>
        <w:t xml:space="preserve"> в млякото. Употребата на </w:t>
      </w:r>
      <w:proofErr w:type="spellStart"/>
      <w:r w:rsidRPr="007C0F3B">
        <w:rPr>
          <w:lang w:val="bg-BG" w:eastAsia="bg-BG"/>
        </w:rPr>
        <w:t>пантопразол</w:t>
      </w:r>
      <w:proofErr w:type="spellEnd"/>
      <w:r w:rsidRPr="007C0F3B">
        <w:rPr>
          <w:lang w:val="bg-BG" w:eastAsia="bg-BG"/>
        </w:rPr>
        <w:t xml:space="preserve"> по време на кърмене се препоръчва при правилна оценка на съотношението полза-риск за майката и детето.</w:t>
      </w:r>
    </w:p>
    <w:p w14:paraId="1905FC37" w14:textId="77777777" w:rsidR="007C0F3B" w:rsidRDefault="007C0F3B" w:rsidP="007C0F3B">
      <w:pPr>
        <w:rPr>
          <w:lang w:val="bg-BG" w:eastAsia="bg-BG"/>
        </w:rPr>
      </w:pPr>
    </w:p>
    <w:p w14:paraId="1A70CF14" w14:textId="0835F509" w:rsidR="007C0F3B" w:rsidRPr="007C0F3B" w:rsidRDefault="007C0F3B" w:rsidP="007C0F3B">
      <w:pPr>
        <w:pStyle w:val="Heading3"/>
        <w:rPr>
          <w:rFonts w:eastAsia="Times New Roman"/>
          <w:u w:val="single"/>
          <w:lang w:val="bg-BG"/>
        </w:rPr>
      </w:pPr>
      <w:proofErr w:type="spellStart"/>
      <w:r w:rsidRPr="007C0F3B">
        <w:rPr>
          <w:rFonts w:eastAsia="Times New Roman"/>
          <w:u w:val="single"/>
          <w:lang w:val="bg-BG" w:eastAsia="bg-BG"/>
        </w:rPr>
        <w:t>Фертилитет</w:t>
      </w:r>
      <w:proofErr w:type="spellEnd"/>
    </w:p>
    <w:p w14:paraId="5D3CE245" w14:textId="74C4EA89" w:rsidR="007C0F3B" w:rsidRPr="007C0F3B" w:rsidRDefault="007C0F3B" w:rsidP="007C0F3B">
      <w:pPr>
        <w:rPr>
          <w:sz w:val="24"/>
          <w:szCs w:val="24"/>
          <w:lang w:val="bg-BG"/>
        </w:rPr>
      </w:pPr>
      <w:r w:rsidRPr="007C0F3B">
        <w:rPr>
          <w:lang w:val="bg-BG" w:eastAsia="bg-BG"/>
        </w:rPr>
        <w:t xml:space="preserve">Няма данни за нарушен </w:t>
      </w:r>
      <w:proofErr w:type="spellStart"/>
      <w:r w:rsidRPr="007C0F3B">
        <w:rPr>
          <w:lang w:val="bg-BG" w:eastAsia="bg-BG"/>
        </w:rPr>
        <w:t>Фертилитет</w:t>
      </w:r>
      <w:proofErr w:type="spellEnd"/>
      <w:r w:rsidRPr="007C0F3B">
        <w:rPr>
          <w:lang w:val="bg-BG" w:eastAsia="bg-BG"/>
        </w:rPr>
        <w:t xml:space="preserve"> след прилагане на </w:t>
      </w:r>
      <w:proofErr w:type="spellStart"/>
      <w:r w:rsidRPr="007C0F3B">
        <w:rPr>
          <w:lang w:val="bg-BG" w:eastAsia="bg-BG"/>
        </w:rPr>
        <w:t>пантопразол</w:t>
      </w:r>
      <w:proofErr w:type="spellEnd"/>
      <w:r w:rsidRPr="007C0F3B">
        <w:rPr>
          <w:lang w:val="bg-BG" w:eastAsia="bg-BG"/>
        </w:rPr>
        <w:t xml:space="preserve"> при проучвания с животни (вж. точка 5.3).</w:t>
      </w:r>
    </w:p>
    <w:p w14:paraId="506D0FA6" w14:textId="77777777" w:rsidR="007C0F3B" w:rsidRPr="007C0F3B" w:rsidRDefault="007C0F3B" w:rsidP="007C0F3B"/>
    <w:p w14:paraId="5F675BDB" w14:textId="52B468E2" w:rsidR="002C50EE" w:rsidRDefault="002C50EE" w:rsidP="002C50EE">
      <w:pPr>
        <w:pStyle w:val="Heading2"/>
      </w:pPr>
      <w:r>
        <w:t xml:space="preserve">4.7. </w:t>
      </w:r>
      <w:proofErr w:type="spellStart"/>
      <w:r>
        <w:t>Ефекти</w:t>
      </w:r>
      <w:proofErr w:type="spellEnd"/>
      <w:r>
        <w:t xml:space="preserve"> </w:t>
      </w:r>
      <w:proofErr w:type="spellStart"/>
      <w:r>
        <w:t>върху</w:t>
      </w:r>
      <w:proofErr w:type="spellEnd"/>
      <w:r>
        <w:t xml:space="preserve"> </w:t>
      </w:r>
      <w:proofErr w:type="spellStart"/>
      <w:r>
        <w:t>способността</w:t>
      </w:r>
      <w:proofErr w:type="spellEnd"/>
      <w:r>
        <w:t xml:space="preserve"> </w:t>
      </w:r>
      <w:proofErr w:type="spellStart"/>
      <w:r>
        <w:t>за</w:t>
      </w:r>
      <w:proofErr w:type="spellEnd"/>
      <w:r>
        <w:t xml:space="preserve"> </w:t>
      </w:r>
      <w:proofErr w:type="spellStart"/>
      <w:r>
        <w:t>шофиране</w:t>
      </w:r>
      <w:proofErr w:type="spellEnd"/>
      <w:r>
        <w:t xml:space="preserve"> и </w:t>
      </w:r>
      <w:proofErr w:type="spellStart"/>
      <w:r>
        <w:t>работа</w:t>
      </w:r>
      <w:proofErr w:type="spellEnd"/>
      <w:r>
        <w:t xml:space="preserve"> с </w:t>
      </w:r>
      <w:proofErr w:type="spellStart"/>
      <w:r>
        <w:t>машини</w:t>
      </w:r>
      <w:proofErr w:type="spellEnd"/>
    </w:p>
    <w:p w14:paraId="4146A8F8" w14:textId="77777777" w:rsidR="007C0F3B" w:rsidRDefault="007C0F3B" w:rsidP="007C0F3B"/>
    <w:p w14:paraId="6E288449" w14:textId="4ECD0B68" w:rsidR="007C0F3B" w:rsidRDefault="007C0F3B" w:rsidP="007C0F3B">
      <w:proofErr w:type="spellStart"/>
      <w:r>
        <w:t>Може</w:t>
      </w:r>
      <w:proofErr w:type="spellEnd"/>
      <w:r>
        <w:t xml:space="preserve"> </w:t>
      </w:r>
      <w:proofErr w:type="spellStart"/>
      <w:r>
        <w:t>да</w:t>
      </w:r>
      <w:proofErr w:type="spellEnd"/>
      <w:r>
        <w:t xml:space="preserve"> </w:t>
      </w:r>
      <w:proofErr w:type="spellStart"/>
      <w:r>
        <w:t>настъпят</w:t>
      </w:r>
      <w:proofErr w:type="spellEnd"/>
      <w:r>
        <w:t xml:space="preserve">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r>
        <w:t xml:space="preserve">, </w:t>
      </w:r>
      <w:proofErr w:type="spellStart"/>
      <w:r>
        <w:t>като</w:t>
      </w:r>
      <w:proofErr w:type="spellEnd"/>
      <w:r>
        <w:t xml:space="preserve"> </w:t>
      </w:r>
      <w:proofErr w:type="spellStart"/>
      <w:r>
        <w:t>замайване</w:t>
      </w:r>
      <w:proofErr w:type="spellEnd"/>
      <w:r>
        <w:t xml:space="preserve"> </w:t>
      </w:r>
      <w:proofErr w:type="spellStart"/>
      <w:r>
        <w:t>или</w:t>
      </w:r>
      <w:proofErr w:type="spellEnd"/>
      <w:r>
        <w:t xml:space="preserve"> </w:t>
      </w:r>
      <w:proofErr w:type="spellStart"/>
      <w:r>
        <w:t>зрителни</w:t>
      </w:r>
      <w:proofErr w:type="spellEnd"/>
      <w:r>
        <w:t xml:space="preserve"> </w:t>
      </w:r>
      <w:proofErr w:type="spellStart"/>
      <w:r>
        <w:t>нарушения</w:t>
      </w:r>
      <w:proofErr w:type="spellEnd"/>
      <w:r>
        <w:t xml:space="preserve"> (</w:t>
      </w:r>
      <w:proofErr w:type="spellStart"/>
      <w:proofErr w:type="gramStart"/>
      <w:r>
        <w:t>вж.точка</w:t>
      </w:r>
      <w:proofErr w:type="spellEnd"/>
      <w:proofErr w:type="gramEnd"/>
      <w:r>
        <w:t xml:space="preserve"> 4.8). </w:t>
      </w:r>
      <w:proofErr w:type="spellStart"/>
      <w:r>
        <w:t>При</w:t>
      </w:r>
      <w:proofErr w:type="spellEnd"/>
      <w:r>
        <w:t xml:space="preserve"> </w:t>
      </w:r>
      <w:proofErr w:type="spellStart"/>
      <w:r>
        <w:t>такова</w:t>
      </w:r>
      <w:proofErr w:type="spellEnd"/>
      <w:r>
        <w:t xml:space="preserve"> </w:t>
      </w:r>
      <w:proofErr w:type="spellStart"/>
      <w:r>
        <w:t>повлияване</w:t>
      </w:r>
      <w:proofErr w:type="spellEnd"/>
      <w:r>
        <w:t xml:space="preserve">, </w:t>
      </w:r>
      <w:proofErr w:type="spellStart"/>
      <w:r>
        <w:t>пациентите</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шофират</w:t>
      </w:r>
      <w:proofErr w:type="spellEnd"/>
      <w:r>
        <w:t xml:space="preserve"> </w:t>
      </w:r>
      <w:proofErr w:type="spellStart"/>
      <w:r>
        <w:t>или</w:t>
      </w:r>
      <w:proofErr w:type="spellEnd"/>
      <w:r>
        <w:t xml:space="preserve"> </w:t>
      </w:r>
      <w:proofErr w:type="spellStart"/>
      <w:r>
        <w:t>работят</w:t>
      </w:r>
      <w:proofErr w:type="spellEnd"/>
      <w:r>
        <w:t xml:space="preserve"> с </w:t>
      </w:r>
      <w:proofErr w:type="spellStart"/>
      <w:r>
        <w:t>машини</w:t>
      </w:r>
      <w:proofErr w:type="spellEnd"/>
      <w:r>
        <w:t>.</w:t>
      </w:r>
    </w:p>
    <w:p w14:paraId="2B3B8267" w14:textId="77777777" w:rsidR="007C0F3B" w:rsidRPr="007C0F3B" w:rsidRDefault="007C0F3B" w:rsidP="007C0F3B"/>
    <w:p w14:paraId="1B3BD30D" w14:textId="2506794B" w:rsidR="002C50EE" w:rsidRDefault="002C50EE" w:rsidP="002C50EE">
      <w:pPr>
        <w:pStyle w:val="Heading2"/>
      </w:pPr>
      <w:r>
        <w:t xml:space="preserve">4.8.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p>
    <w:p w14:paraId="5160D564" w14:textId="77777777" w:rsidR="007C0F3B" w:rsidRDefault="007C0F3B" w:rsidP="007C0F3B">
      <w:pPr>
        <w:rPr>
          <w:lang w:val="bg-BG" w:eastAsia="bg-BG"/>
        </w:rPr>
      </w:pPr>
    </w:p>
    <w:p w14:paraId="1D938483" w14:textId="66C291D0" w:rsidR="007C0F3B" w:rsidRPr="007C0F3B" w:rsidRDefault="007C0F3B" w:rsidP="007C0F3B">
      <w:pPr>
        <w:rPr>
          <w:sz w:val="24"/>
          <w:szCs w:val="24"/>
          <w:lang w:val="bg-BG"/>
        </w:rPr>
      </w:pPr>
      <w:r w:rsidRPr="007C0F3B">
        <w:rPr>
          <w:lang w:val="bg-BG" w:eastAsia="bg-BG"/>
        </w:rPr>
        <w:t>Изброените по-долу нежеланите лекарствени реакции са класифицирани според честотата им и системно-органния клас (СОК).</w:t>
      </w:r>
    </w:p>
    <w:p w14:paraId="3F4F4AB7" w14:textId="77777777" w:rsidR="007C0F3B" w:rsidRPr="007C0F3B" w:rsidRDefault="007C0F3B" w:rsidP="007C0F3B">
      <w:pPr>
        <w:rPr>
          <w:sz w:val="24"/>
          <w:szCs w:val="24"/>
          <w:lang w:val="bg-BG"/>
        </w:rPr>
      </w:pPr>
      <w:r w:rsidRPr="007C0F3B">
        <w:rPr>
          <w:lang w:val="bg-BG" w:eastAsia="bg-BG"/>
        </w:rPr>
        <w:t>Използвана е следната класификация на честотата на нежеланите лекарствени реакции:</w:t>
      </w:r>
    </w:p>
    <w:p w14:paraId="5FF22000" w14:textId="0AE74EB3" w:rsidR="007C0F3B" w:rsidRDefault="007C0F3B" w:rsidP="007C0F3B">
      <w:pPr>
        <w:rPr>
          <w:lang w:val="bg-BG" w:eastAsia="bg-BG"/>
        </w:rPr>
      </w:pPr>
      <w:r w:rsidRPr="007C0F3B">
        <w:rPr>
          <w:lang w:val="bg-BG" w:eastAsia="bg-BG"/>
        </w:rPr>
        <w:t>Много чести (</w:t>
      </w:r>
      <w:r w:rsidRPr="007C0F3B">
        <w:t>≥</w:t>
      </w:r>
      <w:r w:rsidRPr="007C0F3B">
        <w:rPr>
          <w:lang w:val="bg-BG" w:eastAsia="bg-BG"/>
        </w:rPr>
        <w:t>1/10), Чести (</w:t>
      </w:r>
      <w:r w:rsidRPr="007C0F3B">
        <w:t>≥</w:t>
      </w:r>
      <w:r w:rsidRPr="007C0F3B">
        <w:rPr>
          <w:lang w:val="bg-BG" w:eastAsia="bg-BG"/>
        </w:rPr>
        <w:t>1/100 до &lt;1/10), Нечести (</w:t>
      </w:r>
      <w:r w:rsidRPr="007C0F3B">
        <w:t>≥</w:t>
      </w:r>
      <w:r w:rsidRPr="007C0F3B">
        <w:rPr>
          <w:lang w:val="bg-BG" w:eastAsia="bg-BG"/>
        </w:rPr>
        <w:t>1/1000 до &lt;1/100), Редки (</w:t>
      </w:r>
      <w:r w:rsidRPr="007C0F3B">
        <w:t>≥</w:t>
      </w:r>
      <w:r w:rsidRPr="007C0F3B">
        <w:rPr>
          <w:lang w:val="bg-BG" w:eastAsia="bg-BG"/>
        </w:rPr>
        <w:t>1/10 000 до &lt;1/1000), Много редки (&lt;1/10 000), с неизвестна честота (от наличните данни не може да бъде направена оценка).</w:t>
      </w:r>
    </w:p>
    <w:p w14:paraId="66C2D5AF" w14:textId="5B8C7E4D" w:rsidR="007C0F3B" w:rsidRDefault="007C0F3B" w:rsidP="007C0F3B">
      <w:pPr>
        <w:rPr>
          <w:lang w:val="bg-BG" w:eastAsia="bg-BG"/>
        </w:rPr>
      </w:pPr>
    </w:p>
    <w:tbl>
      <w:tblPr>
        <w:tblStyle w:val="TableGrid"/>
        <w:tblW w:w="0" w:type="auto"/>
        <w:tblLook w:val="04A0" w:firstRow="1" w:lastRow="0" w:firstColumn="1" w:lastColumn="0" w:noHBand="0" w:noVBand="1"/>
      </w:tblPr>
      <w:tblGrid>
        <w:gridCol w:w="1589"/>
        <w:gridCol w:w="1228"/>
        <w:gridCol w:w="1548"/>
        <w:gridCol w:w="1939"/>
        <w:gridCol w:w="1528"/>
        <w:gridCol w:w="1744"/>
      </w:tblGrid>
      <w:tr w:rsidR="007C0F3B" w14:paraId="5C8DDC3D" w14:textId="77777777" w:rsidTr="003D58DD">
        <w:tc>
          <w:tcPr>
            <w:tcW w:w="1589" w:type="dxa"/>
          </w:tcPr>
          <w:p w14:paraId="1BF194C6" w14:textId="77777777" w:rsidR="007C0F3B" w:rsidRPr="007C0F3B" w:rsidRDefault="007C0F3B" w:rsidP="007C0F3B">
            <w:pPr>
              <w:rPr>
                <w:sz w:val="24"/>
                <w:szCs w:val="24"/>
                <w:lang w:val="bg-BG"/>
              </w:rPr>
            </w:pPr>
            <w:r w:rsidRPr="007C0F3B">
              <w:rPr>
                <w:lang w:val="bg-BG" w:eastAsia="bg-BG"/>
              </w:rPr>
              <w:lastRenderedPageBreak/>
              <w:t>Системни органни класове</w:t>
            </w:r>
          </w:p>
          <w:p w14:paraId="75C58384" w14:textId="77777777" w:rsidR="007C0F3B" w:rsidRDefault="007C0F3B" w:rsidP="007C0F3B">
            <w:pPr>
              <w:rPr>
                <w:sz w:val="24"/>
                <w:szCs w:val="24"/>
                <w:lang w:val="bg-BG"/>
              </w:rPr>
            </w:pPr>
          </w:p>
        </w:tc>
        <w:tc>
          <w:tcPr>
            <w:tcW w:w="1228" w:type="dxa"/>
          </w:tcPr>
          <w:p w14:paraId="35534F46" w14:textId="77777777" w:rsidR="007C0F3B" w:rsidRDefault="007C0F3B" w:rsidP="007C0F3B">
            <w:pPr>
              <w:rPr>
                <w:sz w:val="24"/>
                <w:szCs w:val="24"/>
                <w:lang w:val="bg-BG"/>
              </w:rPr>
            </w:pPr>
          </w:p>
        </w:tc>
        <w:tc>
          <w:tcPr>
            <w:tcW w:w="1548" w:type="dxa"/>
          </w:tcPr>
          <w:p w14:paraId="5814EEB2" w14:textId="3218CABC" w:rsidR="007C0F3B" w:rsidRPr="007C0F3B" w:rsidRDefault="007C0F3B" w:rsidP="007C0F3B">
            <w:pPr>
              <w:rPr>
                <w:b/>
                <w:bCs/>
                <w:sz w:val="24"/>
                <w:szCs w:val="24"/>
                <w:lang w:val="bg-BG"/>
              </w:rPr>
            </w:pPr>
            <w:proofErr w:type="spellStart"/>
            <w:r w:rsidRPr="007C0F3B">
              <w:rPr>
                <w:b/>
                <w:bCs/>
              </w:rPr>
              <w:t>Нечести</w:t>
            </w:r>
            <w:proofErr w:type="spellEnd"/>
          </w:p>
        </w:tc>
        <w:tc>
          <w:tcPr>
            <w:tcW w:w="1939" w:type="dxa"/>
          </w:tcPr>
          <w:p w14:paraId="3615FA55" w14:textId="7C264AD6" w:rsidR="007C0F3B" w:rsidRPr="007C0F3B" w:rsidRDefault="007C0F3B" w:rsidP="007C0F3B">
            <w:pPr>
              <w:rPr>
                <w:b/>
                <w:bCs/>
                <w:sz w:val="24"/>
                <w:szCs w:val="24"/>
                <w:lang w:val="bg-BG"/>
              </w:rPr>
            </w:pPr>
            <w:proofErr w:type="spellStart"/>
            <w:r w:rsidRPr="007C0F3B">
              <w:rPr>
                <w:b/>
                <w:bCs/>
              </w:rPr>
              <w:t>Редки</w:t>
            </w:r>
            <w:proofErr w:type="spellEnd"/>
          </w:p>
        </w:tc>
        <w:tc>
          <w:tcPr>
            <w:tcW w:w="1528" w:type="dxa"/>
          </w:tcPr>
          <w:p w14:paraId="0431564A" w14:textId="6411EAF4" w:rsidR="007C0F3B" w:rsidRPr="007C0F3B" w:rsidRDefault="007C0F3B" w:rsidP="007C0F3B">
            <w:pPr>
              <w:rPr>
                <w:b/>
                <w:bCs/>
                <w:sz w:val="24"/>
                <w:szCs w:val="24"/>
                <w:lang w:val="bg-BG"/>
              </w:rPr>
            </w:pPr>
            <w:proofErr w:type="spellStart"/>
            <w:r w:rsidRPr="007C0F3B">
              <w:rPr>
                <w:b/>
                <w:bCs/>
              </w:rPr>
              <w:t>Много</w:t>
            </w:r>
            <w:proofErr w:type="spellEnd"/>
            <w:r w:rsidRPr="007C0F3B">
              <w:rPr>
                <w:b/>
                <w:bCs/>
              </w:rPr>
              <w:t xml:space="preserve"> </w:t>
            </w:r>
            <w:proofErr w:type="spellStart"/>
            <w:r w:rsidRPr="007C0F3B">
              <w:rPr>
                <w:b/>
                <w:bCs/>
              </w:rPr>
              <w:t>редки</w:t>
            </w:r>
            <w:proofErr w:type="spellEnd"/>
          </w:p>
        </w:tc>
        <w:tc>
          <w:tcPr>
            <w:tcW w:w="1744" w:type="dxa"/>
          </w:tcPr>
          <w:p w14:paraId="73C80C54" w14:textId="1E6F6C2F" w:rsidR="007C0F3B" w:rsidRPr="007C0F3B" w:rsidRDefault="007C0F3B" w:rsidP="007C0F3B">
            <w:pPr>
              <w:rPr>
                <w:b/>
                <w:bCs/>
                <w:sz w:val="24"/>
                <w:szCs w:val="24"/>
                <w:lang w:val="bg-BG"/>
              </w:rPr>
            </w:pPr>
            <w:r w:rsidRPr="007C0F3B">
              <w:rPr>
                <w:b/>
                <w:bCs/>
              </w:rPr>
              <w:t xml:space="preserve">с </w:t>
            </w:r>
            <w:proofErr w:type="spellStart"/>
            <w:r w:rsidRPr="007C0F3B">
              <w:rPr>
                <w:b/>
                <w:bCs/>
              </w:rPr>
              <w:t>неизвестна</w:t>
            </w:r>
            <w:proofErr w:type="spellEnd"/>
            <w:r w:rsidRPr="007C0F3B">
              <w:rPr>
                <w:b/>
                <w:bCs/>
              </w:rPr>
              <w:t xml:space="preserve"> </w:t>
            </w:r>
            <w:proofErr w:type="spellStart"/>
            <w:r w:rsidRPr="007C0F3B">
              <w:rPr>
                <w:b/>
                <w:bCs/>
              </w:rPr>
              <w:t>честота</w:t>
            </w:r>
            <w:proofErr w:type="spellEnd"/>
          </w:p>
        </w:tc>
      </w:tr>
      <w:tr w:rsidR="007C0F3B" w14:paraId="1834D999" w14:textId="77777777" w:rsidTr="003D58DD">
        <w:tc>
          <w:tcPr>
            <w:tcW w:w="1589" w:type="dxa"/>
            <w:vAlign w:val="center"/>
          </w:tcPr>
          <w:p w14:paraId="4946F563" w14:textId="531E2EB0" w:rsidR="007C0F3B" w:rsidRDefault="007C0F3B" w:rsidP="007C0F3B">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кръвта</w:t>
            </w:r>
            <w:proofErr w:type="spellEnd"/>
            <w:r>
              <w:t xml:space="preserve"> и </w:t>
            </w:r>
            <w:proofErr w:type="spellStart"/>
            <w:r>
              <w:t>лимфна</w:t>
            </w:r>
            <w:proofErr w:type="spellEnd"/>
            <w:r>
              <w:t xml:space="preserve"> </w:t>
            </w:r>
            <w:proofErr w:type="spellStart"/>
            <w:r>
              <w:t>система</w:t>
            </w:r>
            <w:proofErr w:type="spellEnd"/>
          </w:p>
        </w:tc>
        <w:tc>
          <w:tcPr>
            <w:tcW w:w="1228" w:type="dxa"/>
          </w:tcPr>
          <w:p w14:paraId="4240C004" w14:textId="77777777" w:rsidR="007C0F3B" w:rsidRDefault="007C0F3B" w:rsidP="007C0F3B">
            <w:pPr>
              <w:rPr>
                <w:sz w:val="24"/>
                <w:szCs w:val="24"/>
                <w:lang w:val="bg-BG"/>
              </w:rPr>
            </w:pPr>
          </w:p>
        </w:tc>
        <w:tc>
          <w:tcPr>
            <w:tcW w:w="1548" w:type="dxa"/>
          </w:tcPr>
          <w:p w14:paraId="49132641" w14:textId="77777777" w:rsidR="007C0F3B" w:rsidRDefault="007C0F3B" w:rsidP="007C0F3B">
            <w:pPr>
              <w:rPr>
                <w:sz w:val="24"/>
                <w:szCs w:val="24"/>
                <w:lang w:val="bg-BG"/>
              </w:rPr>
            </w:pPr>
          </w:p>
        </w:tc>
        <w:tc>
          <w:tcPr>
            <w:tcW w:w="1939" w:type="dxa"/>
          </w:tcPr>
          <w:p w14:paraId="7EAF6C6B" w14:textId="77777777" w:rsidR="007C0F3B" w:rsidRDefault="007C0F3B" w:rsidP="007C0F3B">
            <w:pPr>
              <w:rPr>
                <w:sz w:val="24"/>
                <w:szCs w:val="24"/>
                <w:lang w:val="bg-BG"/>
              </w:rPr>
            </w:pPr>
          </w:p>
        </w:tc>
        <w:tc>
          <w:tcPr>
            <w:tcW w:w="1528" w:type="dxa"/>
            <w:vAlign w:val="bottom"/>
          </w:tcPr>
          <w:p w14:paraId="47F204C2" w14:textId="77777777" w:rsidR="007C0F3B" w:rsidRDefault="007C0F3B" w:rsidP="007C0F3B">
            <w:proofErr w:type="spellStart"/>
            <w:r>
              <w:t>Тромбоцитопе</w:t>
            </w:r>
            <w:proofErr w:type="spellEnd"/>
            <w:r>
              <w:t xml:space="preserve"> </w:t>
            </w:r>
            <w:proofErr w:type="spellStart"/>
            <w:r>
              <w:t>ния</w:t>
            </w:r>
            <w:proofErr w:type="spellEnd"/>
          </w:p>
          <w:p w14:paraId="2ADF38C9" w14:textId="2AAD52C1" w:rsidR="007C0F3B" w:rsidRDefault="007C0F3B" w:rsidP="007C0F3B">
            <w:pPr>
              <w:rPr>
                <w:sz w:val="24"/>
                <w:szCs w:val="24"/>
                <w:lang w:val="bg-BG"/>
              </w:rPr>
            </w:pPr>
            <w:proofErr w:type="spellStart"/>
            <w:r>
              <w:t>Левкопения</w:t>
            </w:r>
            <w:proofErr w:type="spellEnd"/>
            <w:r>
              <w:t xml:space="preserve"> </w:t>
            </w:r>
            <w:proofErr w:type="spellStart"/>
            <w:r>
              <w:t>Панцитопения</w:t>
            </w:r>
            <w:proofErr w:type="spellEnd"/>
          </w:p>
        </w:tc>
        <w:tc>
          <w:tcPr>
            <w:tcW w:w="1744" w:type="dxa"/>
          </w:tcPr>
          <w:p w14:paraId="509250DC" w14:textId="77777777" w:rsidR="007C0F3B" w:rsidRDefault="007C0F3B" w:rsidP="007C0F3B">
            <w:pPr>
              <w:rPr>
                <w:sz w:val="24"/>
                <w:szCs w:val="24"/>
                <w:lang w:val="bg-BG"/>
              </w:rPr>
            </w:pPr>
          </w:p>
        </w:tc>
      </w:tr>
      <w:tr w:rsidR="007C0F3B" w14:paraId="2B521291" w14:textId="77777777" w:rsidTr="003D58DD">
        <w:tc>
          <w:tcPr>
            <w:tcW w:w="1589" w:type="dxa"/>
            <w:vAlign w:val="center"/>
          </w:tcPr>
          <w:p w14:paraId="3E8C759C" w14:textId="564C8C81" w:rsidR="007C0F3B" w:rsidRDefault="007C0F3B" w:rsidP="007C0F3B">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имунната</w:t>
            </w:r>
            <w:proofErr w:type="spellEnd"/>
            <w:r>
              <w:t xml:space="preserve"> </w:t>
            </w:r>
            <w:proofErr w:type="spellStart"/>
            <w:r>
              <w:t>система</w:t>
            </w:r>
            <w:proofErr w:type="spellEnd"/>
          </w:p>
        </w:tc>
        <w:tc>
          <w:tcPr>
            <w:tcW w:w="1228" w:type="dxa"/>
          </w:tcPr>
          <w:p w14:paraId="2D88AFE6" w14:textId="77777777" w:rsidR="007C0F3B" w:rsidRDefault="007C0F3B" w:rsidP="007C0F3B">
            <w:pPr>
              <w:rPr>
                <w:sz w:val="24"/>
                <w:szCs w:val="24"/>
                <w:lang w:val="bg-BG"/>
              </w:rPr>
            </w:pPr>
          </w:p>
        </w:tc>
        <w:tc>
          <w:tcPr>
            <w:tcW w:w="1548" w:type="dxa"/>
          </w:tcPr>
          <w:p w14:paraId="6FD0D64E" w14:textId="77777777" w:rsidR="007C0F3B" w:rsidRDefault="007C0F3B" w:rsidP="007C0F3B">
            <w:pPr>
              <w:rPr>
                <w:sz w:val="24"/>
                <w:szCs w:val="24"/>
                <w:lang w:val="bg-BG"/>
              </w:rPr>
            </w:pPr>
          </w:p>
        </w:tc>
        <w:tc>
          <w:tcPr>
            <w:tcW w:w="1939" w:type="dxa"/>
            <w:vAlign w:val="bottom"/>
          </w:tcPr>
          <w:p w14:paraId="39BA60AD" w14:textId="51B71B43" w:rsidR="007C0F3B" w:rsidRDefault="007C0F3B" w:rsidP="007C0F3B">
            <w:pPr>
              <w:rPr>
                <w:sz w:val="24"/>
                <w:szCs w:val="24"/>
                <w:lang w:val="bg-BG"/>
              </w:rPr>
            </w:pPr>
            <w:proofErr w:type="spellStart"/>
            <w:r>
              <w:t>Свръхчувстви</w:t>
            </w:r>
            <w:r>
              <w:softHyphen/>
              <w:t>телност</w:t>
            </w:r>
            <w:proofErr w:type="spellEnd"/>
            <w:r>
              <w:t xml:space="preserve"> (</w:t>
            </w:r>
            <w:proofErr w:type="spellStart"/>
            <w:r>
              <w:t>вкл</w:t>
            </w:r>
            <w:proofErr w:type="spellEnd"/>
            <w:r>
              <w:t xml:space="preserve">. </w:t>
            </w:r>
            <w:proofErr w:type="spellStart"/>
            <w:r>
              <w:t>анафилактични</w:t>
            </w:r>
            <w:proofErr w:type="spellEnd"/>
            <w:r>
              <w:t xml:space="preserve"> </w:t>
            </w:r>
            <w:proofErr w:type="spellStart"/>
            <w:r>
              <w:t>реакции</w:t>
            </w:r>
            <w:proofErr w:type="spellEnd"/>
            <w:r>
              <w:t xml:space="preserve"> и </w:t>
            </w:r>
            <w:proofErr w:type="spellStart"/>
            <w:r>
              <w:t>анафилактичен</w:t>
            </w:r>
            <w:proofErr w:type="spellEnd"/>
            <w:r>
              <w:t xml:space="preserve"> </w:t>
            </w:r>
            <w:proofErr w:type="spellStart"/>
            <w:r>
              <w:t>шок</w:t>
            </w:r>
            <w:proofErr w:type="spellEnd"/>
            <w:r>
              <w:t>)</w:t>
            </w:r>
          </w:p>
        </w:tc>
        <w:tc>
          <w:tcPr>
            <w:tcW w:w="1528" w:type="dxa"/>
          </w:tcPr>
          <w:p w14:paraId="3E1BADE1" w14:textId="77777777" w:rsidR="007C0F3B" w:rsidRDefault="007C0F3B" w:rsidP="007C0F3B">
            <w:pPr>
              <w:rPr>
                <w:sz w:val="24"/>
                <w:szCs w:val="24"/>
                <w:lang w:val="bg-BG"/>
              </w:rPr>
            </w:pPr>
          </w:p>
        </w:tc>
        <w:tc>
          <w:tcPr>
            <w:tcW w:w="1744" w:type="dxa"/>
          </w:tcPr>
          <w:p w14:paraId="46EA7332" w14:textId="77777777" w:rsidR="007C0F3B" w:rsidRDefault="007C0F3B" w:rsidP="007C0F3B">
            <w:pPr>
              <w:rPr>
                <w:sz w:val="24"/>
                <w:szCs w:val="24"/>
                <w:lang w:val="bg-BG"/>
              </w:rPr>
            </w:pPr>
          </w:p>
        </w:tc>
      </w:tr>
      <w:tr w:rsidR="007C0F3B" w14:paraId="3C93E641" w14:textId="77777777" w:rsidTr="003D58DD">
        <w:tc>
          <w:tcPr>
            <w:tcW w:w="1589" w:type="dxa"/>
          </w:tcPr>
          <w:p w14:paraId="069F1082" w14:textId="645E00EA" w:rsidR="007C0F3B" w:rsidRPr="007C0F3B" w:rsidRDefault="007C0F3B" w:rsidP="007C0F3B">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метаболизма</w:t>
            </w:r>
            <w:proofErr w:type="spellEnd"/>
            <w:r>
              <w:t xml:space="preserve"> и</w:t>
            </w:r>
            <w:r>
              <w:rPr>
                <w:lang w:val="bg-BG"/>
              </w:rPr>
              <w:t xml:space="preserve"> </w:t>
            </w:r>
            <w:proofErr w:type="spellStart"/>
            <w:r w:rsidRPr="007C0F3B">
              <w:t>храненето</w:t>
            </w:r>
            <w:proofErr w:type="spellEnd"/>
          </w:p>
        </w:tc>
        <w:tc>
          <w:tcPr>
            <w:tcW w:w="1228" w:type="dxa"/>
          </w:tcPr>
          <w:p w14:paraId="1F48F7D0" w14:textId="77777777" w:rsidR="007C0F3B" w:rsidRDefault="007C0F3B" w:rsidP="007C0F3B">
            <w:pPr>
              <w:rPr>
                <w:sz w:val="24"/>
                <w:szCs w:val="24"/>
                <w:lang w:val="bg-BG"/>
              </w:rPr>
            </w:pPr>
          </w:p>
        </w:tc>
        <w:tc>
          <w:tcPr>
            <w:tcW w:w="1548" w:type="dxa"/>
          </w:tcPr>
          <w:p w14:paraId="4D579CF6" w14:textId="77777777" w:rsidR="007C0F3B" w:rsidRDefault="007C0F3B" w:rsidP="007C0F3B">
            <w:pPr>
              <w:rPr>
                <w:sz w:val="24"/>
                <w:szCs w:val="24"/>
                <w:lang w:val="bg-BG"/>
              </w:rPr>
            </w:pPr>
          </w:p>
        </w:tc>
        <w:tc>
          <w:tcPr>
            <w:tcW w:w="1939" w:type="dxa"/>
          </w:tcPr>
          <w:p w14:paraId="74E2A001" w14:textId="77777777" w:rsidR="007C0F3B" w:rsidRDefault="007C0F3B" w:rsidP="007C0F3B">
            <w:proofErr w:type="spellStart"/>
            <w:r>
              <w:t>Хиперлипидемия</w:t>
            </w:r>
            <w:proofErr w:type="spellEnd"/>
            <w:r>
              <w:t xml:space="preserve"> и </w:t>
            </w:r>
            <w:proofErr w:type="spellStart"/>
            <w:r>
              <w:t>повишаване</w:t>
            </w:r>
            <w:proofErr w:type="spellEnd"/>
            <w:r>
              <w:t xml:space="preserve"> </w:t>
            </w:r>
            <w:proofErr w:type="spellStart"/>
            <w:r>
              <w:t>на</w:t>
            </w:r>
            <w:proofErr w:type="spellEnd"/>
          </w:p>
          <w:p w14:paraId="778307BA" w14:textId="77777777" w:rsidR="007C0F3B" w:rsidRPr="007C0F3B" w:rsidRDefault="007C0F3B" w:rsidP="007C0F3B">
            <w:pPr>
              <w:rPr>
                <w:sz w:val="24"/>
                <w:szCs w:val="24"/>
                <w:lang w:val="bg-BG"/>
              </w:rPr>
            </w:pPr>
            <w:r w:rsidRPr="007C0F3B">
              <w:rPr>
                <w:lang w:val="bg-BG" w:eastAsia="bg-BG"/>
              </w:rPr>
              <w:t>липидите (</w:t>
            </w:r>
            <w:proofErr w:type="spellStart"/>
            <w:r w:rsidRPr="007C0F3B">
              <w:rPr>
                <w:lang w:val="bg-BG" w:eastAsia="bg-BG"/>
              </w:rPr>
              <w:t>триглицериди</w:t>
            </w:r>
            <w:proofErr w:type="spellEnd"/>
            <w:r w:rsidRPr="007C0F3B">
              <w:rPr>
                <w:lang w:val="bg-BG" w:eastAsia="bg-BG"/>
              </w:rPr>
              <w:t>, холестерол)</w:t>
            </w:r>
          </w:p>
          <w:p w14:paraId="78CC6F7D" w14:textId="77777777" w:rsidR="007C0F3B" w:rsidRPr="007C0F3B" w:rsidRDefault="007C0F3B" w:rsidP="007C0F3B">
            <w:pPr>
              <w:rPr>
                <w:sz w:val="24"/>
                <w:szCs w:val="24"/>
                <w:lang w:val="bg-BG"/>
              </w:rPr>
            </w:pPr>
            <w:r w:rsidRPr="007C0F3B">
              <w:rPr>
                <w:lang w:val="bg-BG" w:eastAsia="bg-BG"/>
              </w:rPr>
              <w:t>Промени в</w:t>
            </w:r>
          </w:p>
          <w:p w14:paraId="55DE179A" w14:textId="77777777" w:rsidR="007C0F3B" w:rsidRPr="007C0F3B" w:rsidRDefault="007C0F3B" w:rsidP="007C0F3B">
            <w:pPr>
              <w:rPr>
                <w:sz w:val="24"/>
                <w:szCs w:val="24"/>
                <w:lang w:val="bg-BG"/>
              </w:rPr>
            </w:pPr>
            <w:r w:rsidRPr="007C0F3B">
              <w:rPr>
                <w:lang w:val="bg-BG" w:eastAsia="bg-BG"/>
              </w:rPr>
              <w:t>теглото</w:t>
            </w:r>
          </w:p>
          <w:p w14:paraId="352D5E43" w14:textId="07CA3F14" w:rsidR="007C0F3B" w:rsidRDefault="007C0F3B" w:rsidP="007C0F3B">
            <w:pPr>
              <w:rPr>
                <w:sz w:val="24"/>
                <w:szCs w:val="24"/>
                <w:lang w:val="bg-BG"/>
              </w:rPr>
            </w:pPr>
          </w:p>
        </w:tc>
        <w:tc>
          <w:tcPr>
            <w:tcW w:w="1528" w:type="dxa"/>
          </w:tcPr>
          <w:p w14:paraId="28860277" w14:textId="77777777" w:rsidR="007C0F3B" w:rsidRDefault="007C0F3B" w:rsidP="007C0F3B">
            <w:pPr>
              <w:rPr>
                <w:sz w:val="24"/>
                <w:szCs w:val="24"/>
                <w:lang w:val="bg-BG"/>
              </w:rPr>
            </w:pPr>
          </w:p>
        </w:tc>
        <w:tc>
          <w:tcPr>
            <w:tcW w:w="1744" w:type="dxa"/>
          </w:tcPr>
          <w:p w14:paraId="0A5A4E15" w14:textId="443C5F43" w:rsidR="007C0F3B" w:rsidRDefault="007C0F3B" w:rsidP="007C0F3B">
            <w:proofErr w:type="spellStart"/>
            <w:r>
              <w:t>Хипернатриемия</w:t>
            </w:r>
            <w:proofErr w:type="spellEnd"/>
          </w:p>
          <w:p w14:paraId="06913C14" w14:textId="77777777" w:rsidR="007C0F3B" w:rsidRPr="007C0F3B" w:rsidRDefault="007C0F3B" w:rsidP="007C0F3B">
            <w:pPr>
              <w:rPr>
                <w:sz w:val="24"/>
                <w:szCs w:val="24"/>
                <w:lang w:val="bg-BG"/>
              </w:rPr>
            </w:pPr>
            <w:proofErr w:type="spellStart"/>
            <w:r w:rsidRPr="007C0F3B">
              <w:rPr>
                <w:lang w:val="bg-BG" w:eastAsia="bg-BG"/>
              </w:rPr>
              <w:t>Хипомагнез</w:t>
            </w:r>
            <w:proofErr w:type="spellEnd"/>
            <w:r w:rsidRPr="007C0F3B">
              <w:rPr>
                <w:lang w:val="bg-BG" w:eastAsia="bg-BG"/>
              </w:rPr>
              <w:t xml:space="preserve"> </w:t>
            </w:r>
            <w:proofErr w:type="spellStart"/>
            <w:r w:rsidRPr="007C0F3B">
              <w:rPr>
                <w:lang w:val="bg-BG" w:eastAsia="bg-BG"/>
              </w:rPr>
              <w:t>иемия</w:t>
            </w:r>
            <w:proofErr w:type="spellEnd"/>
            <w:r w:rsidRPr="007C0F3B">
              <w:rPr>
                <w:lang w:val="bg-BG" w:eastAsia="bg-BG"/>
              </w:rPr>
              <w:t xml:space="preserve"> </w:t>
            </w:r>
            <w:proofErr w:type="spellStart"/>
            <w:r w:rsidRPr="007C0F3B">
              <w:rPr>
                <w:lang w:val="bg-BG" w:eastAsia="bg-BG"/>
              </w:rPr>
              <w:t>Хипокалцие</w:t>
            </w:r>
            <w:proofErr w:type="spellEnd"/>
            <w:r w:rsidRPr="007C0F3B">
              <w:rPr>
                <w:lang w:val="bg-BG" w:eastAsia="bg-BG"/>
              </w:rPr>
              <w:t xml:space="preserve"> мия, свързана с </w:t>
            </w:r>
            <w:proofErr w:type="spellStart"/>
            <w:r w:rsidRPr="007C0F3B">
              <w:rPr>
                <w:lang w:val="bg-BG" w:eastAsia="bg-BG"/>
              </w:rPr>
              <w:t>хипомагнези</w:t>
            </w:r>
            <w:proofErr w:type="spellEnd"/>
            <w:r w:rsidRPr="007C0F3B">
              <w:rPr>
                <w:lang w:val="bg-BG" w:eastAsia="bg-BG"/>
              </w:rPr>
              <w:t xml:space="preserve"> </w:t>
            </w:r>
            <w:proofErr w:type="spellStart"/>
            <w:r w:rsidRPr="007C0F3B">
              <w:rPr>
                <w:lang w:val="bg-BG" w:eastAsia="bg-BG"/>
              </w:rPr>
              <w:t>емия</w:t>
            </w:r>
            <w:proofErr w:type="spellEnd"/>
            <w:r w:rsidRPr="007C0F3B">
              <w:rPr>
                <w:lang w:val="bg-BG" w:eastAsia="bg-BG"/>
              </w:rPr>
              <w:t>;</w:t>
            </w:r>
          </w:p>
          <w:p w14:paraId="5B1F71E4" w14:textId="77777777" w:rsidR="007C0F3B" w:rsidRDefault="007C0F3B" w:rsidP="007C0F3B"/>
          <w:p w14:paraId="381945B4" w14:textId="77777777" w:rsidR="007C0F3B" w:rsidRDefault="007C0F3B" w:rsidP="007C0F3B">
            <w:pPr>
              <w:rPr>
                <w:sz w:val="24"/>
                <w:szCs w:val="24"/>
                <w:lang w:val="bg-BG"/>
              </w:rPr>
            </w:pPr>
          </w:p>
        </w:tc>
      </w:tr>
      <w:tr w:rsidR="007C0F3B" w14:paraId="70AA380A" w14:textId="77777777" w:rsidTr="003D58DD">
        <w:tc>
          <w:tcPr>
            <w:tcW w:w="1589" w:type="dxa"/>
          </w:tcPr>
          <w:p w14:paraId="10F5199E" w14:textId="34B51C56" w:rsidR="007C0F3B" w:rsidRDefault="007C0F3B" w:rsidP="007C0F3B">
            <w:pPr>
              <w:rPr>
                <w:sz w:val="24"/>
                <w:szCs w:val="24"/>
                <w:lang w:val="bg-BG"/>
              </w:rPr>
            </w:pPr>
            <w:proofErr w:type="spellStart"/>
            <w:r>
              <w:t>Психични</w:t>
            </w:r>
            <w:proofErr w:type="spellEnd"/>
            <w:r>
              <w:t xml:space="preserve"> </w:t>
            </w:r>
            <w:proofErr w:type="spellStart"/>
            <w:r>
              <w:t>нарушения</w:t>
            </w:r>
            <w:proofErr w:type="spellEnd"/>
          </w:p>
        </w:tc>
        <w:tc>
          <w:tcPr>
            <w:tcW w:w="1228" w:type="dxa"/>
          </w:tcPr>
          <w:p w14:paraId="25E4793F" w14:textId="77777777" w:rsidR="007C0F3B" w:rsidRDefault="007C0F3B" w:rsidP="007C0F3B">
            <w:pPr>
              <w:rPr>
                <w:sz w:val="24"/>
                <w:szCs w:val="24"/>
                <w:lang w:val="bg-BG"/>
              </w:rPr>
            </w:pPr>
          </w:p>
        </w:tc>
        <w:tc>
          <w:tcPr>
            <w:tcW w:w="1548" w:type="dxa"/>
          </w:tcPr>
          <w:p w14:paraId="490C3E3A" w14:textId="230CD1DB" w:rsidR="007C0F3B" w:rsidRDefault="007C0F3B" w:rsidP="007C0F3B">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съня</w:t>
            </w:r>
            <w:proofErr w:type="spellEnd"/>
          </w:p>
        </w:tc>
        <w:tc>
          <w:tcPr>
            <w:tcW w:w="1939" w:type="dxa"/>
          </w:tcPr>
          <w:p w14:paraId="75BC16D3" w14:textId="3DDB8464" w:rsidR="007C0F3B" w:rsidRDefault="007C0F3B" w:rsidP="007C0F3B">
            <w:pPr>
              <w:rPr>
                <w:sz w:val="24"/>
                <w:szCs w:val="24"/>
                <w:lang w:val="bg-BG"/>
              </w:rPr>
            </w:pPr>
            <w:proofErr w:type="spellStart"/>
            <w:r>
              <w:t>Депресия</w:t>
            </w:r>
            <w:proofErr w:type="spellEnd"/>
            <w:r>
              <w:t xml:space="preserve"> (и </w:t>
            </w:r>
            <w:proofErr w:type="spellStart"/>
            <w:r>
              <w:t>всички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влошавания</w:t>
            </w:r>
            <w:proofErr w:type="spellEnd"/>
            <w:r>
              <w:t xml:space="preserve"> </w:t>
            </w:r>
            <w:proofErr w:type="spellStart"/>
            <w:r>
              <w:t>на</w:t>
            </w:r>
            <w:proofErr w:type="spellEnd"/>
            <w:r>
              <w:t xml:space="preserve"> </w:t>
            </w:r>
            <w:proofErr w:type="spellStart"/>
            <w:r>
              <w:t>състоянието</w:t>
            </w:r>
            <w:proofErr w:type="spellEnd"/>
            <w:r>
              <w:t>)</w:t>
            </w:r>
          </w:p>
        </w:tc>
        <w:tc>
          <w:tcPr>
            <w:tcW w:w="1528" w:type="dxa"/>
          </w:tcPr>
          <w:p w14:paraId="4BC4A219" w14:textId="2972D542" w:rsidR="007C0F3B" w:rsidRDefault="007C0F3B" w:rsidP="007C0F3B">
            <w:pPr>
              <w:rPr>
                <w:sz w:val="24"/>
                <w:szCs w:val="24"/>
                <w:lang w:val="bg-BG"/>
              </w:rPr>
            </w:pPr>
            <w:proofErr w:type="spellStart"/>
            <w:r>
              <w:t>Дезориентаци</w:t>
            </w:r>
            <w:proofErr w:type="spellEnd"/>
            <w:r>
              <w:t xml:space="preserve"> я (и </w:t>
            </w:r>
            <w:proofErr w:type="spellStart"/>
            <w:r>
              <w:t>всички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влошавания</w:t>
            </w:r>
            <w:proofErr w:type="spellEnd"/>
            <w:r>
              <w:t xml:space="preserve"> </w:t>
            </w:r>
            <w:proofErr w:type="spellStart"/>
            <w:r>
              <w:t>на</w:t>
            </w:r>
            <w:proofErr w:type="spellEnd"/>
            <w:r>
              <w:t xml:space="preserve"> </w:t>
            </w:r>
            <w:proofErr w:type="spellStart"/>
            <w:r>
              <w:t>състоянието</w:t>
            </w:r>
            <w:proofErr w:type="spellEnd"/>
            <w:r>
              <w:t>)</w:t>
            </w:r>
          </w:p>
        </w:tc>
        <w:tc>
          <w:tcPr>
            <w:tcW w:w="1744" w:type="dxa"/>
          </w:tcPr>
          <w:p w14:paraId="518B8640" w14:textId="356C1227" w:rsidR="007C0F3B" w:rsidRDefault="007C0F3B" w:rsidP="007C0F3B">
            <w:pPr>
              <w:rPr>
                <w:sz w:val="24"/>
                <w:szCs w:val="24"/>
                <w:lang w:val="bg-BG"/>
              </w:rPr>
            </w:pPr>
            <w:proofErr w:type="spellStart"/>
            <w:r>
              <w:t>Халюцинаци</w:t>
            </w:r>
            <w:proofErr w:type="spellEnd"/>
            <w:r>
              <w:t xml:space="preserve"> и </w:t>
            </w:r>
            <w:proofErr w:type="spellStart"/>
            <w:r>
              <w:t>обърканост</w:t>
            </w:r>
            <w:proofErr w:type="spellEnd"/>
            <w:r>
              <w:t xml:space="preserve"> (</w:t>
            </w:r>
            <w:proofErr w:type="spellStart"/>
            <w:r>
              <w:t>по</w:t>
            </w:r>
            <w:proofErr w:type="spellEnd"/>
            <w:r>
              <w:t xml:space="preserve">- </w:t>
            </w:r>
            <w:proofErr w:type="spellStart"/>
            <w:r>
              <w:t>специално</w:t>
            </w:r>
            <w:proofErr w:type="spellEnd"/>
            <w:r>
              <w:t xml:space="preserve"> </w:t>
            </w:r>
            <w:proofErr w:type="spellStart"/>
            <w:r>
              <w:t>при</w:t>
            </w:r>
            <w:proofErr w:type="spellEnd"/>
            <w:r>
              <w:t xml:space="preserve"> </w:t>
            </w:r>
            <w:proofErr w:type="spellStart"/>
            <w:r>
              <w:t>пациенти</w:t>
            </w:r>
            <w:proofErr w:type="spellEnd"/>
            <w:r>
              <w:t xml:space="preserve"> с </w:t>
            </w:r>
            <w:proofErr w:type="spellStart"/>
            <w:r>
              <w:t>предразполо</w:t>
            </w:r>
            <w:proofErr w:type="spellEnd"/>
            <w:r>
              <w:t xml:space="preserve"> </w:t>
            </w:r>
            <w:proofErr w:type="spellStart"/>
            <w:r>
              <w:t>жение</w:t>
            </w:r>
            <w:proofErr w:type="spellEnd"/>
            <w:r>
              <w:t xml:space="preserve"> </w:t>
            </w:r>
            <w:proofErr w:type="spellStart"/>
            <w:r>
              <w:t>както</w:t>
            </w:r>
            <w:proofErr w:type="spellEnd"/>
            <w:r>
              <w:t xml:space="preserve"> и </w:t>
            </w:r>
            <w:proofErr w:type="spellStart"/>
            <w:r>
              <w:t>влошаване</w:t>
            </w:r>
            <w:proofErr w:type="spellEnd"/>
            <w:r>
              <w:t xml:space="preserve"> </w:t>
            </w:r>
            <w:proofErr w:type="spellStart"/>
            <w:r>
              <w:t>на</w:t>
            </w:r>
            <w:proofErr w:type="spellEnd"/>
            <w:r>
              <w:t xml:space="preserve"> </w:t>
            </w:r>
            <w:proofErr w:type="spellStart"/>
            <w:r>
              <w:t>съществува</w:t>
            </w:r>
            <w:proofErr w:type="spellEnd"/>
            <w:r>
              <w:t xml:space="preserve"> </w:t>
            </w:r>
            <w:proofErr w:type="spellStart"/>
            <w:r>
              <w:t>щи</w:t>
            </w:r>
            <w:proofErr w:type="spellEnd"/>
            <w:r>
              <w:t xml:space="preserve"> </w:t>
            </w:r>
            <w:proofErr w:type="spellStart"/>
            <w:r>
              <w:t>симптоми</w:t>
            </w:r>
            <w:proofErr w:type="spellEnd"/>
            <w:r>
              <w:t>)</w:t>
            </w:r>
          </w:p>
        </w:tc>
      </w:tr>
      <w:tr w:rsidR="007C0F3B" w14:paraId="32A60FE4" w14:textId="77777777" w:rsidTr="003D58DD">
        <w:tc>
          <w:tcPr>
            <w:tcW w:w="1589" w:type="dxa"/>
          </w:tcPr>
          <w:p w14:paraId="4D34BBF6" w14:textId="0E013F75" w:rsidR="007C0F3B" w:rsidRDefault="007C0F3B" w:rsidP="007C0F3B">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нервната</w:t>
            </w:r>
            <w:proofErr w:type="spellEnd"/>
            <w:r>
              <w:t xml:space="preserve"> </w:t>
            </w:r>
            <w:proofErr w:type="spellStart"/>
            <w:r>
              <w:t>система</w:t>
            </w:r>
            <w:proofErr w:type="spellEnd"/>
          </w:p>
        </w:tc>
        <w:tc>
          <w:tcPr>
            <w:tcW w:w="1228" w:type="dxa"/>
          </w:tcPr>
          <w:p w14:paraId="7B1BAE98" w14:textId="77777777" w:rsidR="007C0F3B" w:rsidRDefault="007C0F3B" w:rsidP="007C0F3B">
            <w:pPr>
              <w:rPr>
                <w:sz w:val="24"/>
                <w:szCs w:val="24"/>
                <w:lang w:val="bg-BG"/>
              </w:rPr>
            </w:pPr>
          </w:p>
        </w:tc>
        <w:tc>
          <w:tcPr>
            <w:tcW w:w="1548" w:type="dxa"/>
          </w:tcPr>
          <w:p w14:paraId="60EC2473" w14:textId="77777777" w:rsidR="007C0F3B" w:rsidRDefault="007C0F3B" w:rsidP="007C0F3B">
            <w:proofErr w:type="spellStart"/>
            <w:r>
              <w:t>Главоболие</w:t>
            </w:r>
            <w:proofErr w:type="spellEnd"/>
          </w:p>
          <w:p w14:paraId="70060270" w14:textId="5E3F2B6A" w:rsidR="007C0F3B" w:rsidRDefault="007C0F3B" w:rsidP="007C0F3B">
            <w:pPr>
              <w:rPr>
                <w:sz w:val="24"/>
                <w:szCs w:val="24"/>
                <w:lang w:val="bg-BG"/>
              </w:rPr>
            </w:pPr>
            <w:proofErr w:type="spellStart"/>
            <w:r>
              <w:t>Замайване</w:t>
            </w:r>
            <w:proofErr w:type="spellEnd"/>
          </w:p>
        </w:tc>
        <w:tc>
          <w:tcPr>
            <w:tcW w:w="1939" w:type="dxa"/>
          </w:tcPr>
          <w:p w14:paraId="31988164" w14:textId="387160F8" w:rsidR="007C0F3B" w:rsidRDefault="007C0F3B" w:rsidP="007C0F3B">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вкуса</w:t>
            </w:r>
            <w:proofErr w:type="spellEnd"/>
          </w:p>
        </w:tc>
        <w:tc>
          <w:tcPr>
            <w:tcW w:w="1528" w:type="dxa"/>
          </w:tcPr>
          <w:p w14:paraId="42A8B929" w14:textId="77777777" w:rsidR="007C0F3B" w:rsidRDefault="007C0F3B" w:rsidP="007C0F3B">
            <w:pPr>
              <w:rPr>
                <w:sz w:val="24"/>
                <w:szCs w:val="24"/>
                <w:lang w:val="bg-BG"/>
              </w:rPr>
            </w:pPr>
          </w:p>
        </w:tc>
        <w:tc>
          <w:tcPr>
            <w:tcW w:w="1744" w:type="dxa"/>
          </w:tcPr>
          <w:p w14:paraId="5DD43FF2" w14:textId="70A1CD4D" w:rsidR="007C0F3B" w:rsidRDefault="007C0F3B" w:rsidP="007C0F3B">
            <w:pPr>
              <w:rPr>
                <w:sz w:val="24"/>
                <w:szCs w:val="24"/>
                <w:lang w:val="bg-BG"/>
              </w:rPr>
            </w:pPr>
            <w:proofErr w:type="spellStart"/>
            <w:r>
              <w:t>Парестезия</w:t>
            </w:r>
            <w:proofErr w:type="spellEnd"/>
          </w:p>
        </w:tc>
      </w:tr>
      <w:tr w:rsidR="007C0F3B" w14:paraId="27BD87FA" w14:textId="77777777" w:rsidTr="003D58DD">
        <w:tc>
          <w:tcPr>
            <w:tcW w:w="1589" w:type="dxa"/>
          </w:tcPr>
          <w:p w14:paraId="27BC63AA" w14:textId="0A4E008E" w:rsidR="007C0F3B" w:rsidRDefault="007C0F3B" w:rsidP="007C0F3B">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очите</w:t>
            </w:r>
            <w:proofErr w:type="spellEnd"/>
          </w:p>
        </w:tc>
        <w:tc>
          <w:tcPr>
            <w:tcW w:w="1228" w:type="dxa"/>
          </w:tcPr>
          <w:p w14:paraId="01482F54" w14:textId="77777777" w:rsidR="007C0F3B" w:rsidRDefault="007C0F3B" w:rsidP="007C0F3B">
            <w:pPr>
              <w:rPr>
                <w:sz w:val="24"/>
                <w:szCs w:val="24"/>
                <w:lang w:val="bg-BG"/>
              </w:rPr>
            </w:pPr>
          </w:p>
        </w:tc>
        <w:tc>
          <w:tcPr>
            <w:tcW w:w="1548" w:type="dxa"/>
          </w:tcPr>
          <w:p w14:paraId="494C5054" w14:textId="77777777" w:rsidR="007C0F3B" w:rsidRDefault="007C0F3B" w:rsidP="007C0F3B">
            <w:pPr>
              <w:rPr>
                <w:sz w:val="24"/>
                <w:szCs w:val="24"/>
                <w:lang w:val="bg-BG"/>
              </w:rPr>
            </w:pPr>
          </w:p>
        </w:tc>
        <w:tc>
          <w:tcPr>
            <w:tcW w:w="1939" w:type="dxa"/>
            <w:vAlign w:val="bottom"/>
          </w:tcPr>
          <w:p w14:paraId="0FB283CE" w14:textId="6D780B8B" w:rsidR="007C0F3B" w:rsidRDefault="007C0F3B" w:rsidP="007C0F3B">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зрението</w:t>
            </w:r>
            <w:proofErr w:type="spellEnd"/>
            <w:r>
              <w:t>/</w:t>
            </w:r>
            <w:proofErr w:type="spellStart"/>
            <w:r>
              <w:t>замъглен</w:t>
            </w:r>
            <w:proofErr w:type="spellEnd"/>
            <w:r>
              <w:t xml:space="preserve"> о </w:t>
            </w:r>
            <w:proofErr w:type="spellStart"/>
            <w:r>
              <w:t>виждане</w:t>
            </w:r>
            <w:proofErr w:type="spellEnd"/>
          </w:p>
        </w:tc>
        <w:tc>
          <w:tcPr>
            <w:tcW w:w="1528" w:type="dxa"/>
          </w:tcPr>
          <w:p w14:paraId="4E773A3F" w14:textId="77777777" w:rsidR="007C0F3B" w:rsidRDefault="007C0F3B" w:rsidP="007C0F3B">
            <w:pPr>
              <w:rPr>
                <w:sz w:val="24"/>
                <w:szCs w:val="24"/>
                <w:lang w:val="bg-BG"/>
              </w:rPr>
            </w:pPr>
          </w:p>
        </w:tc>
        <w:tc>
          <w:tcPr>
            <w:tcW w:w="1744" w:type="dxa"/>
          </w:tcPr>
          <w:p w14:paraId="4F025682" w14:textId="77777777" w:rsidR="007C0F3B" w:rsidRDefault="007C0F3B" w:rsidP="007C0F3B">
            <w:pPr>
              <w:rPr>
                <w:sz w:val="24"/>
                <w:szCs w:val="24"/>
                <w:lang w:val="bg-BG"/>
              </w:rPr>
            </w:pPr>
          </w:p>
        </w:tc>
      </w:tr>
      <w:tr w:rsidR="007C0F3B" w14:paraId="794F842E" w14:textId="77777777" w:rsidTr="003D58DD">
        <w:tc>
          <w:tcPr>
            <w:tcW w:w="1589" w:type="dxa"/>
            <w:vAlign w:val="center"/>
          </w:tcPr>
          <w:p w14:paraId="2D1657FD" w14:textId="44BE1213" w:rsidR="007C0F3B" w:rsidRDefault="007C0F3B" w:rsidP="007C0F3B">
            <w:pPr>
              <w:rPr>
                <w:sz w:val="24"/>
                <w:szCs w:val="24"/>
                <w:lang w:val="bg-BG"/>
              </w:rPr>
            </w:pPr>
            <w:proofErr w:type="spellStart"/>
            <w:r>
              <w:t>Стомашно</w:t>
            </w:r>
            <w:proofErr w:type="spellEnd"/>
            <w:r>
              <w:t xml:space="preserve">- </w:t>
            </w:r>
            <w:proofErr w:type="spellStart"/>
            <w:r>
              <w:t>чревни</w:t>
            </w:r>
            <w:proofErr w:type="spellEnd"/>
            <w:r>
              <w:t xml:space="preserve"> </w:t>
            </w:r>
            <w:proofErr w:type="spellStart"/>
            <w:r>
              <w:t>нарушения</w:t>
            </w:r>
            <w:proofErr w:type="spellEnd"/>
          </w:p>
        </w:tc>
        <w:tc>
          <w:tcPr>
            <w:tcW w:w="1228" w:type="dxa"/>
          </w:tcPr>
          <w:p w14:paraId="4D3A5A67" w14:textId="4AC84B34" w:rsidR="007C0F3B" w:rsidRDefault="007C0F3B" w:rsidP="007C0F3B">
            <w:pPr>
              <w:rPr>
                <w:sz w:val="24"/>
                <w:szCs w:val="24"/>
                <w:lang w:val="bg-BG"/>
              </w:rPr>
            </w:pPr>
            <w:proofErr w:type="spellStart"/>
            <w:r>
              <w:t>Полипи</w:t>
            </w:r>
            <w:proofErr w:type="spellEnd"/>
            <w:r>
              <w:t xml:space="preserve"> </w:t>
            </w:r>
            <w:proofErr w:type="spellStart"/>
            <w:r>
              <w:t>на</w:t>
            </w:r>
            <w:proofErr w:type="spellEnd"/>
            <w:r>
              <w:t xml:space="preserve"> </w:t>
            </w:r>
            <w:proofErr w:type="spellStart"/>
            <w:r>
              <w:t>дъното</w:t>
            </w:r>
            <w:proofErr w:type="spellEnd"/>
            <w:r>
              <w:t xml:space="preserve"> (</w:t>
            </w:r>
            <w:proofErr w:type="spellStart"/>
            <w:r>
              <w:t>фундуса</w:t>
            </w:r>
            <w:proofErr w:type="spellEnd"/>
            <w:r>
              <w:t xml:space="preserve">) </w:t>
            </w:r>
            <w:proofErr w:type="spellStart"/>
            <w:r>
              <w:t>на</w:t>
            </w:r>
            <w:proofErr w:type="spellEnd"/>
            <w:r>
              <w:t xml:space="preserve"> </w:t>
            </w:r>
            <w:proofErr w:type="spellStart"/>
            <w:r>
              <w:t>стомаха</w:t>
            </w:r>
            <w:proofErr w:type="spellEnd"/>
            <w:r>
              <w:t xml:space="preserve"> </w:t>
            </w:r>
            <w:r>
              <w:lastRenderedPageBreak/>
              <w:t>(</w:t>
            </w:r>
            <w:proofErr w:type="spellStart"/>
            <w:r>
              <w:t>доброкаче</w:t>
            </w:r>
            <w:proofErr w:type="spellEnd"/>
            <w:r>
              <w:t xml:space="preserve"> </w:t>
            </w:r>
            <w:proofErr w:type="spellStart"/>
            <w:r>
              <w:t>ствени</w:t>
            </w:r>
            <w:proofErr w:type="spellEnd"/>
            <w:r>
              <w:t>)</w:t>
            </w:r>
          </w:p>
        </w:tc>
        <w:tc>
          <w:tcPr>
            <w:tcW w:w="1548" w:type="dxa"/>
            <w:vAlign w:val="bottom"/>
          </w:tcPr>
          <w:p w14:paraId="00F9DDBD" w14:textId="77777777" w:rsidR="007C0F3B" w:rsidRDefault="007C0F3B" w:rsidP="007C0F3B">
            <w:proofErr w:type="spellStart"/>
            <w:r>
              <w:lastRenderedPageBreak/>
              <w:t>Диария</w:t>
            </w:r>
            <w:proofErr w:type="spellEnd"/>
          </w:p>
          <w:p w14:paraId="0CBC58F4" w14:textId="77777777" w:rsidR="007C0F3B" w:rsidRDefault="007C0F3B" w:rsidP="007C0F3B">
            <w:proofErr w:type="spellStart"/>
            <w:r>
              <w:t>Гадене</w:t>
            </w:r>
            <w:proofErr w:type="spellEnd"/>
            <w:r>
              <w:t>/</w:t>
            </w:r>
            <w:proofErr w:type="spellStart"/>
            <w:r>
              <w:t>повръ</w:t>
            </w:r>
            <w:proofErr w:type="spellEnd"/>
            <w:r>
              <w:t xml:space="preserve"> </w:t>
            </w:r>
            <w:proofErr w:type="spellStart"/>
            <w:r>
              <w:t>щане</w:t>
            </w:r>
            <w:proofErr w:type="spellEnd"/>
          </w:p>
          <w:p w14:paraId="30AD5273" w14:textId="77777777" w:rsidR="007C0F3B" w:rsidRDefault="007C0F3B" w:rsidP="007C0F3B">
            <w:proofErr w:type="spellStart"/>
            <w:r>
              <w:t>Подуване</w:t>
            </w:r>
            <w:proofErr w:type="spellEnd"/>
            <w:r>
              <w:t xml:space="preserve"> </w:t>
            </w:r>
            <w:proofErr w:type="spellStart"/>
            <w:r>
              <w:t>на</w:t>
            </w:r>
            <w:proofErr w:type="spellEnd"/>
            <w:r>
              <w:t xml:space="preserve"> </w:t>
            </w:r>
            <w:proofErr w:type="spellStart"/>
            <w:r>
              <w:t>корема</w:t>
            </w:r>
            <w:proofErr w:type="spellEnd"/>
          </w:p>
          <w:p w14:paraId="0440C189" w14:textId="77777777" w:rsidR="007C0F3B" w:rsidRDefault="007C0F3B" w:rsidP="007C0F3B">
            <w:proofErr w:type="spellStart"/>
            <w:r>
              <w:t>Запек</w:t>
            </w:r>
            <w:proofErr w:type="spellEnd"/>
          </w:p>
          <w:p w14:paraId="434D65FF" w14:textId="77777777" w:rsidR="007C0F3B" w:rsidRDefault="007C0F3B" w:rsidP="007C0F3B">
            <w:proofErr w:type="spellStart"/>
            <w:r>
              <w:lastRenderedPageBreak/>
              <w:t>Сухота</w:t>
            </w:r>
            <w:proofErr w:type="spellEnd"/>
            <w:r>
              <w:t xml:space="preserve"> в </w:t>
            </w:r>
            <w:proofErr w:type="spellStart"/>
            <w:r>
              <w:t>устата</w:t>
            </w:r>
            <w:proofErr w:type="spellEnd"/>
          </w:p>
          <w:p w14:paraId="70894135" w14:textId="77777777" w:rsidR="003D58DD" w:rsidRPr="003D58DD" w:rsidRDefault="007C0F3B" w:rsidP="003D58DD">
            <w:pPr>
              <w:rPr>
                <w:rFonts w:ascii="Times New Roman" w:eastAsia="Times New Roman" w:hAnsi="Times New Roman" w:cs="Times New Roman"/>
                <w:sz w:val="24"/>
                <w:szCs w:val="24"/>
                <w:lang w:val="bg-BG"/>
              </w:rPr>
            </w:pPr>
            <w:proofErr w:type="spellStart"/>
            <w:r>
              <w:t>Коремни</w:t>
            </w:r>
            <w:proofErr w:type="spellEnd"/>
            <w:r w:rsidR="003D58DD">
              <w:rPr>
                <w:lang w:val="bg-BG"/>
              </w:rPr>
              <w:t xml:space="preserve"> </w:t>
            </w:r>
            <w:r w:rsidR="003D58DD" w:rsidRPr="003D58DD">
              <w:rPr>
                <w:lang w:val="bg-BG" w:eastAsia="bg-BG"/>
              </w:rPr>
              <w:t>болки и дискомфорт</w:t>
            </w:r>
          </w:p>
          <w:p w14:paraId="52AB04EC" w14:textId="5C977667" w:rsidR="007C0F3B" w:rsidRPr="003D58DD" w:rsidRDefault="007C0F3B" w:rsidP="007C0F3B">
            <w:pPr>
              <w:rPr>
                <w:sz w:val="24"/>
                <w:szCs w:val="24"/>
                <w:lang w:val="bg-BG"/>
              </w:rPr>
            </w:pPr>
          </w:p>
        </w:tc>
        <w:tc>
          <w:tcPr>
            <w:tcW w:w="1939" w:type="dxa"/>
          </w:tcPr>
          <w:p w14:paraId="05E8B3F8" w14:textId="77777777" w:rsidR="007C0F3B" w:rsidRDefault="007C0F3B" w:rsidP="007C0F3B">
            <w:pPr>
              <w:rPr>
                <w:sz w:val="24"/>
                <w:szCs w:val="24"/>
                <w:lang w:val="bg-BG"/>
              </w:rPr>
            </w:pPr>
          </w:p>
        </w:tc>
        <w:tc>
          <w:tcPr>
            <w:tcW w:w="1528" w:type="dxa"/>
            <w:vAlign w:val="bottom"/>
          </w:tcPr>
          <w:p w14:paraId="4B4CE997" w14:textId="77777777" w:rsidR="007C0F3B" w:rsidRDefault="007C0F3B" w:rsidP="007C0F3B">
            <w:pPr>
              <w:rPr>
                <w:sz w:val="24"/>
                <w:szCs w:val="24"/>
                <w:lang w:val="bg-BG"/>
              </w:rPr>
            </w:pPr>
          </w:p>
        </w:tc>
        <w:tc>
          <w:tcPr>
            <w:tcW w:w="1744" w:type="dxa"/>
            <w:vAlign w:val="bottom"/>
          </w:tcPr>
          <w:p w14:paraId="60AA1E0B" w14:textId="652F403C" w:rsidR="007C0F3B" w:rsidRDefault="007C0F3B" w:rsidP="007C0F3B">
            <w:pPr>
              <w:rPr>
                <w:sz w:val="24"/>
                <w:szCs w:val="24"/>
                <w:lang w:val="bg-BG"/>
              </w:rPr>
            </w:pPr>
            <w:proofErr w:type="spellStart"/>
            <w:r>
              <w:t>Микроскопс</w:t>
            </w:r>
            <w:proofErr w:type="spellEnd"/>
            <w:r>
              <w:t xml:space="preserve"> </w:t>
            </w:r>
            <w:proofErr w:type="spellStart"/>
            <w:r>
              <w:t>ки</w:t>
            </w:r>
            <w:proofErr w:type="spellEnd"/>
            <w:r>
              <w:t xml:space="preserve"> </w:t>
            </w:r>
            <w:proofErr w:type="spellStart"/>
            <w:r>
              <w:t>колит</w:t>
            </w:r>
            <w:proofErr w:type="spellEnd"/>
          </w:p>
        </w:tc>
      </w:tr>
      <w:tr w:rsidR="003D58DD" w14:paraId="6A4111DF" w14:textId="77777777" w:rsidTr="003D58DD">
        <w:tc>
          <w:tcPr>
            <w:tcW w:w="1589" w:type="dxa"/>
          </w:tcPr>
          <w:p w14:paraId="7A8EC009" w14:textId="67C0A1A8" w:rsidR="003D58DD" w:rsidRDefault="003D58DD" w:rsidP="003D58DD">
            <w:pPr>
              <w:rPr>
                <w:sz w:val="24"/>
                <w:szCs w:val="24"/>
                <w:lang w:val="bg-BG"/>
              </w:rPr>
            </w:pPr>
            <w:proofErr w:type="spellStart"/>
            <w:r>
              <w:t>Хепатобилиар</w:t>
            </w:r>
            <w:proofErr w:type="spellEnd"/>
            <w:r>
              <w:t xml:space="preserve"> </w:t>
            </w:r>
            <w:proofErr w:type="spellStart"/>
            <w:r>
              <w:t>ни</w:t>
            </w:r>
            <w:proofErr w:type="spellEnd"/>
            <w:r>
              <w:t xml:space="preserve"> </w:t>
            </w:r>
            <w:proofErr w:type="spellStart"/>
            <w:r>
              <w:t>нарушения</w:t>
            </w:r>
            <w:proofErr w:type="spellEnd"/>
          </w:p>
        </w:tc>
        <w:tc>
          <w:tcPr>
            <w:tcW w:w="1228" w:type="dxa"/>
          </w:tcPr>
          <w:p w14:paraId="516A05B1" w14:textId="77777777" w:rsidR="003D58DD" w:rsidRDefault="003D58DD" w:rsidP="003D58DD">
            <w:pPr>
              <w:rPr>
                <w:sz w:val="24"/>
                <w:szCs w:val="24"/>
                <w:lang w:val="bg-BG"/>
              </w:rPr>
            </w:pPr>
          </w:p>
        </w:tc>
        <w:tc>
          <w:tcPr>
            <w:tcW w:w="1548" w:type="dxa"/>
          </w:tcPr>
          <w:p w14:paraId="6B692AD8" w14:textId="640687FD" w:rsidR="003D58DD" w:rsidRDefault="003D58DD" w:rsidP="003D58DD">
            <w:pPr>
              <w:rPr>
                <w:sz w:val="24"/>
                <w:szCs w:val="24"/>
                <w:lang w:val="bg-BG"/>
              </w:rPr>
            </w:pPr>
            <w:proofErr w:type="spellStart"/>
            <w:r>
              <w:t>Повишени</w:t>
            </w:r>
            <w:proofErr w:type="spellEnd"/>
            <w:r>
              <w:t xml:space="preserve"> </w:t>
            </w:r>
            <w:proofErr w:type="spellStart"/>
            <w:r>
              <w:t>стойности</w:t>
            </w:r>
            <w:proofErr w:type="spellEnd"/>
            <w:r>
              <w:t xml:space="preserve"> </w:t>
            </w:r>
            <w:proofErr w:type="spellStart"/>
            <w:r>
              <w:t>на</w:t>
            </w:r>
            <w:proofErr w:type="spellEnd"/>
            <w:r>
              <w:t xml:space="preserve"> </w:t>
            </w:r>
            <w:proofErr w:type="spellStart"/>
            <w:r>
              <w:t>чернодробнит</w:t>
            </w:r>
            <w:proofErr w:type="spellEnd"/>
            <w:r>
              <w:t xml:space="preserve"> е </w:t>
            </w:r>
            <w:proofErr w:type="spellStart"/>
            <w:r>
              <w:t>ензими</w:t>
            </w:r>
            <w:proofErr w:type="spellEnd"/>
            <w:r>
              <w:t xml:space="preserve"> (</w:t>
            </w:r>
            <w:proofErr w:type="spellStart"/>
            <w:proofErr w:type="gramStart"/>
            <w:r>
              <w:t>трансаминази</w:t>
            </w:r>
            <w:proofErr w:type="spellEnd"/>
            <w:r>
              <w:t xml:space="preserve"> ;</w:t>
            </w:r>
            <w:r>
              <w:rPr>
                <w:vertAlign w:val="subscript"/>
              </w:rPr>
              <w:t>y</w:t>
            </w:r>
            <w:proofErr w:type="gramEnd"/>
            <w:r>
              <w:t>-GT)</w:t>
            </w:r>
          </w:p>
        </w:tc>
        <w:tc>
          <w:tcPr>
            <w:tcW w:w="1939" w:type="dxa"/>
          </w:tcPr>
          <w:p w14:paraId="3C9D8E9D" w14:textId="699BEC92" w:rsidR="003D58DD" w:rsidRDefault="003D58DD" w:rsidP="003D58DD">
            <w:pPr>
              <w:rPr>
                <w:sz w:val="24"/>
                <w:szCs w:val="24"/>
                <w:lang w:val="bg-BG"/>
              </w:rPr>
            </w:pPr>
            <w:proofErr w:type="spellStart"/>
            <w:r>
              <w:t>Повишени</w:t>
            </w:r>
            <w:proofErr w:type="spellEnd"/>
            <w:r>
              <w:t xml:space="preserve"> </w:t>
            </w:r>
            <w:proofErr w:type="spellStart"/>
            <w:r>
              <w:t>стойности</w:t>
            </w:r>
            <w:proofErr w:type="spellEnd"/>
            <w:r>
              <w:t xml:space="preserve"> </w:t>
            </w:r>
            <w:proofErr w:type="spellStart"/>
            <w:r>
              <w:t>на</w:t>
            </w:r>
            <w:proofErr w:type="spellEnd"/>
            <w:r>
              <w:t xml:space="preserve"> </w:t>
            </w:r>
            <w:proofErr w:type="spellStart"/>
            <w:r>
              <w:t>билирубина</w:t>
            </w:r>
            <w:proofErr w:type="spellEnd"/>
          </w:p>
        </w:tc>
        <w:tc>
          <w:tcPr>
            <w:tcW w:w="1528" w:type="dxa"/>
          </w:tcPr>
          <w:p w14:paraId="0374F77A" w14:textId="77777777" w:rsidR="003D58DD" w:rsidRDefault="003D58DD" w:rsidP="003D58DD">
            <w:pPr>
              <w:rPr>
                <w:sz w:val="24"/>
                <w:szCs w:val="24"/>
                <w:lang w:val="bg-BG"/>
              </w:rPr>
            </w:pPr>
          </w:p>
        </w:tc>
        <w:tc>
          <w:tcPr>
            <w:tcW w:w="1744" w:type="dxa"/>
          </w:tcPr>
          <w:p w14:paraId="1DCF79F4" w14:textId="77777777" w:rsidR="003D58DD" w:rsidRDefault="003D58DD" w:rsidP="003D58DD">
            <w:proofErr w:type="spellStart"/>
            <w:r>
              <w:t>Хепатоцелул</w:t>
            </w:r>
            <w:proofErr w:type="spellEnd"/>
            <w:r>
              <w:t xml:space="preserve"> </w:t>
            </w:r>
            <w:proofErr w:type="spellStart"/>
            <w:r>
              <w:t>арии</w:t>
            </w:r>
            <w:proofErr w:type="spellEnd"/>
            <w:r>
              <w:t xml:space="preserve"> </w:t>
            </w:r>
            <w:proofErr w:type="spellStart"/>
            <w:r>
              <w:t>увреждания</w:t>
            </w:r>
            <w:proofErr w:type="spellEnd"/>
          </w:p>
          <w:p w14:paraId="3B86421C" w14:textId="77777777" w:rsidR="003D58DD" w:rsidRDefault="003D58DD" w:rsidP="003D58DD">
            <w:proofErr w:type="spellStart"/>
            <w:r>
              <w:t>Жълтеница</w:t>
            </w:r>
            <w:proofErr w:type="spellEnd"/>
          </w:p>
          <w:p w14:paraId="3946C003" w14:textId="28A2F60E" w:rsidR="003D58DD" w:rsidRDefault="003D58DD" w:rsidP="003D58DD">
            <w:pPr>
              <w:rPr>
                <w:sz w:val="24"/>
                <w:szCs w:val="24"/>
                <w:lang w:val="bg-BG"/>
              </w:rPr>
            </w:pPr>
            <w:proofErr w:type="spellStart"/>
            <w:r>
              <w:t>Хепатоцелул</w:t>
            </w:r>
            <w:proofErr w:type="spellEnd"/>
            <w:r>
              <w:t xml:space="preserve"> </w:t>
            </w:r>
            <w:proofErr w:type="spellStart"/>
            <w:r>
              <w:t>арна</w:t>
            </w:r>
            <w:proofErr w:type="spellEnd"/>
            <w:r>
              <w:t xml:space="preserve"> </w:t>
            </w:r>
            <w:proofErr w:type="spellStart"/>
            <w:r>
              <w:t>недостатьчн</w:t>
            </w:r>
            <w:proofErr w:type="spellEnd"/>
            <w:r>
              <w:t xml:space="preserve"> OCT</w:t>
            </w:r>
          </w:p>
        </w:tc>
      </w:tr>
      <w:tr w:rsidR="003D58DD" w14:paraId="51BF4049" w14:textId="77777777" w:rsidTr="003D58DD">
        <w:tc>
          <w:tcPr>
            <w:tcW w:w="1589" w:type="dxa"/>
          </w:tcPr>
          <w:p w14:paraId="5D578F99" w14:textId="0EC62E50" w:rsidR="003D58DD" w:rsidRDefault="003D58DD" w:rsidP="003D58DD">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кожата</w:t>
            </w:r>
            <w:proofErr w:type="spellEnd"/>
            <w:r>
              <w:t xml:space="preserve"> и </w:t>
            </w:r>
            <w:proofErr w:type="spellStart"/>
            <w:r>
              <w:t>подкожната</w:t>
            </w:r>
            <w:proofErr w:type="spellEnd"/>
            <w:r>
              <w:t xml:space="preserve"> </w:t>
            </w:r>
            <w:proofErr w:type="spellStart"/>
            <w:r>
              <w:t>тъкан</w:t>
            </w:r>
            <w:proofErr w:type="spellEnd"/>
          </w:p>
        </w:tc>
        <w:tc>
          <w:tcPr>
            <w:tcW w:w="1228" w:type="dxa"/>
          </w:tcPr>
          <w:p w14:paraId="032CB687" w14:textId="77777777" w:rsidR="003D58DD" w:rsidRDefault="003D58DD" w:rsidP="003D58DD">
            <w:pPr>
              <w:rPr>
                <w:sz w:val="24"/>
                <w:szCs w:val="24"/>
                <w:lang w:val="bg-BG"/>
              </w:rPr>
            </w:pPr>
          </w:p>
        </w:tc>
        <w:tc>
          <w:tcPr>
            <w:tcW w:w="1548" w:type="dxa"/>
          </w:tcPr>
          <w:p w14:paraId="63EB6184" w14:textId="77777777" w:rsidR="003D58DD" w:rsidRDefault="003D58DD" w:rsidP="003D58DD">
            <w:proofErr w:type="spellStart"/>
            <w:r>
              <w:t>Кожен</w:t>
            </w:r>
            <w:proofErr w:type="spellEnd"/>
            <w:r>
              <w:t xml:space="preserve"> </w:t>
            </w:r>
            <w:proofErr w:type="spellStart"/>
            <w:r>
              <w:t>обрив</w:t>
            </w:r>
            <w:proofErr w:type="spellEnd"/>
            <w:r>
              <w:t xml:space="preserve"> /</w:t>
            </w:r>
            <w:proofErr w:type="spellStart"/>
            <w:r>
              <w:t>Екзантем</w:t>
            </w:r>
            <w:proofErr w:type="spellEnd"/>
            <w:r>
              <w:t>/</w:t>
            </w:r>
          </w:p>
          <w:p w14:paraId="656319A1" w14:textId="5808F678" w:rsidR="003D58DD" w:rsidRDefault="003D58DD" w:rsidP="003D58DD">
            <w:pPr>
              <w:rPr>
                <w:sz w:val="24"/>
                <w:szCs w:val="24"/>
                <w:lang w:val="bg-BG"/>
              </w:rPr>
            </w:pPr>
            <w:proofErr w:type="spellStart"/>
            <w:r>
              <w:t>Сърбеж</w:t>
            </w:r>
            <w:proofErr w:type="spellEnd"/>
          </w:p>
        </w:tc>
        <w:tc>
          <w:tcPr>
            <w:tcW w:w="1939" w:type="dxa"/>
          </w:tcPr>
          <w:p w14:paraId="25DB255C" w14:textId="6AE43A8C" w:rsidR="003D58DD" w:rsidRDefault="003D58DD" w:rsidP="003D58DD">
            <w:pPr>
              <w:rPr>
                <w:sz w:val="24"/>
                <w:szCs w:val="24"/>
                <w:lang w:val="bg-BG"/>
              </w:rPr>
            </w:pPr>
            <w:proofErr w:type="spellStart"/>
            <w:r>
              <w:t>Уртикария</w:t>
            </w:r>
            <w:proofErr w:type="spellEnd"/>
            <w:r>
              <w:t xml:space="preserve"> </w:t>
            </w:r>
            <w:proofErr w:type="spellStart"/>
            <w:r>
              <w:t>Ангиоедем</w:t>
            </w:r>
            <w:proofErr w:type="spellEnd"/>
          </w:p>
        </w:tc>
        <w:tc>
          <w:tcPr>
            <w:tcW w:w="1528" w:type="dxa"/>
          </w:tcPr>
          <w:p w14:paraId="63350C2B" w14:textId="77777777" w:rsidR="003D58DD" w:rsidRDefault="003D58DD" w:rsidP="003D58DD">
            <w:pPr>
              <w:rPr>
                <w:sz w:val="24"/>
                <w:szCs w:val="24"/>
                <w:lang w:val="bg-BG"/>
              </w:rPr>
            </w:pPr>
          </w:p>
        </w:tc>
        <w:tc>
          <w:tcPr>
            <w:tcW w:w="1744" w:type="dxa"/>
          </w:tcPr>
          <w:p w14:paraId="50A70EB6" w14:textId="77777777" w:rsidR="003D58DD" w:rsidRDefault="003D58DD" w:rsidP="003D58DD">
            <w:proofErr w:type="spellStart"/>
            <w:r>
              <w:t>Синдром</w:t>
            </w:r>
            <w:proofErr w:type="spellEnd"/>
            <w:r>
              <w:t xml:space="preserve"> </w:t>
            </w:r>
            <w:proofErr w:type="spellStart"/>
            <w:r>
              <w:t>на</w:t>
            </w:r>
            <w:proofErr w:type="spellEnd"/>
            <w:r>
              <w:t xml:space="preserve"> Stevens- Johnson</w:t>
            </w:r>
          </w:p>
          <w:p w14:paraId="33EC2DB7" w14:textId="77777777" w:rsidR="003D58DD" w:rsidRDefault="003D58DD" w:rsidP="003D58DD">
            <w:proofErr w:type="spellStart"/>
            <w:r>
              <w:t>Синдром</w:t>
            </w:r>
            <w:proofErr w:type="spellEnd"/>
            <w:r>
              <w:t xml:space="preserve"> </w:t>
            </w:r>
            <w:proofErr w:type="spellStart"/>
            <w:r>
              <w:t>на</w:t>
            </w:r>
            <w:proofErr w:type="spellEnd"/>
            <w:r>
              <w:t xml:space="preserve"> </w:t>
            </w:r>
            <w:proofErr w:type="spellStart"/>
            <w:r>
              <w:t>Lyelli</w:t>
            </w:r>
            <w:proofErr w:type="spellEnd"/>
            <w:r>
              <w:t xml:space="preserve"> </w:t>
            </w:r>
            <w:proofErr w:type="spellStart"/>
            <w:r>
              <w:t>Еритема</w:t>
            </w:r>
            <w:proofErr w:type="spellEnd"/>
            <w:r>
              <w:t xml:space="preserve"> </w:t>
            </w:r>
            <w:proofErr w:type="spellStart"/>
            <w:r>
              <w:t>мултиформе</w:t>
            </w:r>
            <w:proofErr w:type="spellEnd"/>
          </w:p>
          <w:p w14:paraId="06A297E8" w14:textId="77777777" w:rsidR="003D58DD" w:rsidRDefault="003D58DD" w:rsidP="003D58DD">
            <w:proofErr w:type="spellStart"/>
            <w:r>
              <w:t>Фоточувств</w:t>
            </w:r>
            <w:proofErr w:type="spellEnd"/>
            <w:r>
              <w:t xml:space="preserve"> </w:t>
            </w:r>
            <w:proofErr w:type="spellStart"/>
            <w:r>
              <w:t>ителност</w:t>
            </w:r>
            <w:proofErr w:type="spellEnd"/>
          </w:p>
          <w:p w14:paraId="0520ADFC" w14:textId="26AA4B44" w:rsidR="003D58DD" w:rsidRDefault="003D58DD" w:rsidP="003D58DD">
            <w:pPr>
              <w:rPr>
                <w:sz w:val="24"/>
                <w:szCs w:val="24"/>
                <w:lang w:val="bg-BG"/>
              </w:rPr>
            </w:pPr>
            <w:proofErr w:type="spellStart"/>
            <w:r>
              <w:t>Субакутен</w:t>
            </w:r>
            <w:proofErr w:type="spellEnd"/>
            <w:r>
              <w:t xml:space="preserve"> </w:t>
            </w:r>
            <w:proofErr w:type="spellStart"/>
            <w:r>
              <w:t>кожен</w:t>
            </w:r>
            <w:proofErr w:type="spellEnd"/>
            <w:r>
              <w:t xml:space="preserve"> </w:t>
            </w:r>
            <w:proofErr w:type="spellStart"/>
            <w:r>
              <w:t>лупус</w:t>
            </w:r>
            <w:proofErr w:type="spellEnd"/>
            <w:r>
              <w:t xml:space="preserve"> </w:t>
            </w:r>
            <w:proofErr w:type="spellStart"/>
            <w:r>
              <w:t>еритематоде</w:t>
            </w:r>
            <w:proofErr w:type="spellEnd"/>
            <w:r>
              <w:t xml:space="preserve"> с (</w:t>
            </w:r>
            <w:proofErr w:type="spellStart"/>
            <w:r>
              <w:t>вж</w:t>
            </w:r>
            <w:proofErr w:type="spellEnd"/>
            <w:r>
              <w:t xml:space="preserve">. </w:t>
            </w:r>
            <w:proofErr w:type="spellStart"/>
            <w:r>
              <w:t>точка</w:t>
            </w:r>
            <w:proofErr w:type="spellEnd"/>
            <w:r>
              <w:t xml:space="preserve"> 4.4.)</w:t>
            </w:r>
          </w:p>
        </w:tc>
      </w:tr>
      <w:tr w:rsidR="003D58DD" w14:paraId="6CC107CE" w14:textId="77777777" w:rsidTr="003D58DD">
        <w:tc>
          <w:tcPr>
            <w:tcW w:w="1589" w:type="dxa"/>
            <w:vAlign w:val="center"/>
          </w:tcPr>
          <w:p w14:paraId="31122303" w14:textId="6E163B14" w:rsidR="003D58DD" w:rsidRDefault="003D58DD" w:rsidP="003D58DD">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мускулно</w:t>
            </w:r>
            <w:proofErr w:type="spellEnd"/>
            <w:r>
              <w:t xml:space="preserve">- </w:t>
            </w:r>
            <w:proofErr w:type="spellStart"/>
            <w:r>
              <w:t>скелетната</w:t>
            </w:r>
            <w:proofErr w:type="spellEnd"/>
            <w:r>
              <w:t xml:space="preserve"> </w:t>
            </w:r>
            <w:proofErr w:type="spellStart"/>
            <w:r>
              <w:t>система</w:t>
            </w:r>
            <w:proofErr w:type="spellEnd"/>
            <w:r>
              <w:t xml:space="preserve"> и </w:t>
            </w:r>
            <w:proofErr w:type="spellStart"/>
            <w:r>
              <w:t>съединителнат</w:t>
            </w:r>
            <w:proofErr w:type="spellEnd"/>
            <w:r>
              <w:t xml:space="preserve"> а </w:t>
            </w:r>
            <w:proofErr w:type="spellStart"/>
            <w:r>
              <w:t>тъкан</w:t>
            </w:r>
            <w:proofErr w:type="spellEnd"/>
          </w:p>
        </w:tc>
        <w:tc>
          <w:tcPr>
            <w:tcW w:w="1228" w:type="dxa"/>
          </w:tcPr>
          <w:p w14:paraId="1FD5F28C" w14:textId="77777777" w:rsidR="003D58DD" w:rsidRDefault="003D58DD" w:rsidP="003D58DD">
            <w:pPr>
              <w:rPr>
                <w:sz w:val="24"/>
                <w:szCs w:val="24"/>
                <w:lang w:val="bg-BG"/>
              </w:rPr>
            </w:pPr>
          </w:p>
        </w:tc>
        <w:tc>
          <w:tcPr>
            <w:tcW w:w="1548" w:type="dxa"/>
          </w:tcPr>
          <w:p w14:paraId="6DC6B122" w14:textId="65E56420" w:rsidR="003D58DD" w:rsidRDefault="003D58DD" w:rsidP="003D58DD">
            <w:pPr>
              <w:rPr>
                <w:sz w:val="24"/>
                <w:szCs w:val="24"/>
                <w:lang w:val="bg-BG"/>
              </w:rPr>
            </w:pPr>
            <w:proofErr w:type="spellStart"/>
            <w:r>
              <w:t>Фрактура</w:t>
            </w:r>
            <w:proofErr w:type="spellEnd"/>
            <w:r>
              <w:t xml:space="preserve"> </w:t>
            </w:r>
            <w:proofErr w:type="spellStart"/>
            <w:r>
              <w:t>на</w:t>
            </w:r>
            <w:proofErr w:type="spellEnd"/>
            <w:r>
              <w:t xml:space="preserve"> </w:t>
            </w:r>
            <w:proofErr w:type="spellStart"/>
            <w:r>
              <w:t>бедрената</w:t>
            </w:r>
            <w:proofErr w:type="spellEnd"/>
            <w:r>
              <w:t xml:space="preserve"> </w:t>
            </w:r>
            <w:proofErr w:type="spellStart"/>
            <w:r>
              <w:t>кост</w:t>
            </w:r>
            <w:proofErr w:type="spellEnd"/>
            <w:r>
              <w:t xml:space="preserve">, </w:t>
            </w:r>
            <w:proofErr w:type="spellStart"/>
            <w:r>
              <w:t>китката</w:t>
            </w:r>
            <w:proofErr w:type="spellEnd"/>
            <w:r>
              <w:t xml:space="preserve"> </w:t>
            </w:r>
            <w:proofErr w:type="spellStart"/>
            <w:r>
              <w:t>или</w:t>
            </w:r>
            <w:proofErr w:type="spellEnd"/>
            <w:r>
              <w:t xml:space="preserve"> </w:t>
            </w:r>
            <w:proofErr w:type="spellStart"/>
            <w:r>
              <w:t>гръгначния</w:t>
            </w:r>
            <w:proofErr w:type="spellEnd"/>
            <w:r>
              <w:t xml:space="preserve"> </w:t>
            </w:r>
            <w:proofErr w:type="spellStart"/>
            <w:r>
              <w:t>стълб</w:t>
            </w:r>
            <w:proofErr w:type="spellEnd"/>
            <w:r>
              <w:t xml:space="preserve"> (</w:t>
            </w:r>
            <w:proofErr w:type="spellStart"/>
            <w:r>
              <w:t>вж</w:t>
            </w:r>
            <w:proofErr w:type="spellEnd"/>
            <w:r>
              <w:t xml:space="preserve">. </w:t>
            </w:r>
            <w:proofErr w:type="spellStart"/>
            <w:r>
              <w:t>точка</w:t>
            </w:r>
            <w:proofErr w:type="spellEnd"/>
            <w:r>
              <w:t xml:space="preserve"> 4.4)</w:t>
            </w:r>
          </w:p>
        </w:tc>
        <w:tc>
          <w:tcPr>
            <w:tcW w:w="1939" w:type="dxa"/>
            <w:vAlign w:val="center"/>
          </w:tcPr>
          <w:p w14:paraId="2C3F1530" w14:textId="77777777" w:rsidR="003D58DD" w:rsidRDefault="003D58DD" w:rsidP="003D58DD">
            <w:proofErr w:type="spellStart"/>
            <w:r>
              <w:t>Алтралгия</w:t>
            </w:r>
            <w:proofErr w:type="spellEnd"/>
          </w:p>
          <w:p w14:paraId="7A86621B" w14:textId="0B1CAC0E" w:rsidR="003D58DD" w:rsidRDefault="003D58DD" w:rsidP="003D58DD">
            <w:pPr>
              <w:rPr>
                <w:sz w:val="24"/>
                <w:szCs w:val="24"/>
                <w:lang w:val="bg-BG"/>
              </w:rPr>
            </w:pPr>
            <w:proofErr w:type="spellStart"/>
            <w:r>
              <w:t>Миалгия</w:t>
            </w:r>
            <w:proofErr w:type="spellEnd"/>
          </w:p>
        </w:tc>
        <w:tc>
          <w:tcPr>
            <w:tcW w:w="1528" w:type="dxa"/>
          </w:tcPr>
          <w:p w14:paraId="106E9049" w14:textId="77777777" w:rsidR="003D58DD" w:rsidRDefault="003D58DD" w:rsidP="003D58DD">
            <w:pPr>
              <w:rPr>
                <w:sz w:val="24"/>
                <w:szCs w:val="24"/>
                <w:lang w:val="bg-BG"/>
              </w:rPr>
            </w:pPr>
          </w:p>
        </w:tc>
        <w:tc>
          <w:tcPr>
            <w:tcW w:w="1744" w:type="dxa"/>
          </w:tcPr>
          <w:p w14:paraId="7CA1F856" w14:textId="77777777" w:rsidR="003D58DD" w:rsidRDefault="003D58DD" w:rsidP="003D58DD">
            <w:pPr>
              <w:rPr>
                <w:sz w:val="24"/>
                <w:szCs w:val="24"/>
                <w:lang w:val="bg-BG"/>
              </w:rPr>
            </w:pPr>
          </w:p>
        </w:tc>
      </w:tr>
      <w:tr w:rsidR="003D58DD" w14:paraId="66241CDD" w14:textId="77777777" w:rsidTr="003D58DD">
        <w:tc>
          <w:tcPr>
            <w:tcW w:w="1589" w:type="dxa"/>
            <w:vAlign w:val="bottom"/>
          </w:tcPr>
          <w:p w14:paraId="445560BF" w14:textId="660151DA" w:rsidR="003D58DD" w:rsidRDefault="003D58DD" w:rsidP="003D58DD">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бъбреците</w:t>
            </w:r>
            <w:proofErr w:type="spellEnd"/>
            <w:r>
              <w:t xml:space="preserve"> и </w:t>
            </w:r>
            <w:proofErr w:type="spellStart"/>
            <w:r>
              <w:t>пикочните</w:t>
            </w:r>
            <w:proofErr w:type="spellEnd"/>
            <w:r>
              <w:t xml:space="preserve"> </w:t>
            </w:r>
            <w:proofErr w:type="spellStart"/>
            <w:r>
              <w:t>пътища</w:t>
            </w:r>
            <w:proofErr w:type="spellEnd"/>
          </w:p>
        </w:tc>
        <w:tc>
          <w:tcPr>
            <w:tcW w:w="1228" w:type="dxa"/>
          </w:tcPr>
          <w:p w14:paraId="1A6D636B" w14:textId="77777777" w:rsidR="003D58DD" w:rsidRDefault="003D58DD" w:rsidP="003D58DD">
            <w:pPr>
              <w:rPr>
                <w:sz w:val="24"/>
                <w:szCs w:val="24"/>
                <w:lang w:val="bg-BG"/>
              </w:rPr>
            </w:pPr>
          </w:p>
        </w:tc>
        <w:tc>
          <w:tcPr>
            <w:tcW w:w="1548" w:type="dxa"/>
          </w:tcPr>
          <w:p w14:paraId="718BC627" w14:textId="77777777" w:rsidR="003D58DD" w:rsidRDefault="003D58DD" w:rsidP="003D58DD">
            <w:pPr>
              <w:rPr>
                <w:sz w:val="24"/>
                <w:szCs w:val="24"/>
                <w:lang w:val="bg-BG"/>
              </w:rPr>
            </w:pPr>
          </w:p>
        </w:tc>
        <w:tc>
          <w:tcPr>
            <w:tcW w:w="1939" w:type="dxa"/>
          </w:tcPr>
          <w:p w14:paraId="1A3DAE8C" w14:textId="77777777" w:rsidR="003D58DD" w:rsidRDefault="003D58DD" w:rsidP="003D58DD">
            <w:pPr>
              <w:rPr>
                <w:sz w:val="24"/>
                <w:szCs w:val="24"/>
                <w:lang w:val="bg-BG"/>
              </w:rPr>
            </w:pPr>
          </w:p>
        </w:tc>
        <w:tc>
          <w:tcPr>
            <w:tcW w:w="1528" w:type="dxa"/>
          </w:tcPr>
          <w:p w14:paraId="4B5DE562" w14:textId="77777777" w:rsidR="003D58DD" w:rsidRDefault="003D58DD" w:rsidP="003D58DD">
            <w:pPr>
              <w:rPr>
                <w:sz w:val="24"/>
                <w:szCs w:val="24"/>
                <w:lang w:val="bg-BG"/>
              </w:rPr>
            </w:pPr>
          </w:p>
        </w:tc>
        <w:tc>
          <w:tcPr>
            <w:tcW w:w="1744" w:type="dxa"/>
          </w:tcPr>
          <w:p w14:paraId="5BADFDF2" w14:textId="77777777" w:rsidR="003D58DD" w:rsidRDefault="003D58DD" w:rsidP="003D58DD">
            <w:proofErr w:type="spellStart"/>
            <w:r>
              <w:t>Интерстициален</w:t>
            </w:r>
            <w:proofErr w:type="spellEnd"/>
          </w:p>
          <w:p w14:paraId="6C35C71A" w14:textId="3CF42061" w:rsidR="003D58DD" w:rsidRDefault="003D58DD" w:rsidP="003D58DD">
            <w:pPr>
              <w:rPr>
                <w:sz w:val="24"/>
                <w:szCs w:val="24"/>
                <w:lang w:val="bg-BG"/>
              </w:rPr>
            </w:pPr>
            <w:proofErr w:type="spellStart"/>
            <w:r>
              <w:t>нефрит</w:t>
            </w:r>
            <w:proofErr w:type="spellEnd"/>
          </w:p>
        </w:tc>
      </w:tr>
      <w:tr w:rsidR="003D58DD" w14:paraId="654849C6" w14:textId="77777777" w:rsidTr="003D58DD">
        <w:tc>
          <w:tcPr>
            <w:tcW w:w="1589" w:type="dxa"/>
          </w:tcPr>
          <w:p w14:paraId="12744432" w14:textId="1605FDB2" w:rsidR="003D58DD" w:rsidRDefault="003D58DD" w:rsidP="003D58DD">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възпроизводит</w:t>
            </w:r>
            <w:proofErr w:type="spellEnd"/>
            <w:r>
              <w:t xml:space="preserve"> </w:t>
            </w:r>
            <w:proofErr w:type="spellStart"/>
            <w:r>
              <w:t>едната</w:t>
            </w:r>
            <w:proofErr w:type="spellEnd"/>
            <w:r>
              <w:t xml:space="preserve"> </w:t>
            </w:r>
            <w:proofErr w:type="spellStart"/>
            <w:r>
              <w:t>система</w:t>
            </w:r>
            <w:proofErr w:type="spellEnd"/>
            <w:r>
              <w:t xml:space="preserve"> и </w:t>
            </w:r>
            <w:proofErr w:type="spellStart"/>
            <w:r>
              <w:t>гърдата</w:t>
            </w:r>
            <w:proofErr w:type="spellEnd"/>
          </w:p>
        </w:tc>
        <w:tc>
          <w:tcPr>
            <w:tcW w:w="1228" w:type="dxa"/>
          </w:tcPr>
          <w:p w14:paraId="1168F9F3" w14:textId="77777777" w:rsidR="003D58DD" w:rsidRDefault="003D58DD" w:rsidP="003D58DD">
            <w:pPr>
              <w:rPr>
                <w:sz w:val="24"/>
                <w:szCs w:val="24"/>
                <w:lang w:val="bg-BG"/>
              </w:rPr>
            </w:pPr>
          </w:p>
        </w:tc>
        <w:tc>
          <w:tcPr>
            <w:tcW w:w="1548" w:type="dxa"/>
          </w:tcPr>
          <w:p w14:paraId="03499335" w14:textId="77777777" w:rsidR="003D58DD" w:rsidRDefault="003D58DD" w:rsidP="003D58DD">
            <w:pPr>
              <w:rPr>
                <w:sz w:val="24"/>
                <w:szCs w:val="24"/>
                <w:lang w:val="bg-BG"/>
              </w:rPr>
            </w:pPr>
          </w:p>
        </w:tc>
        <w:tc>
          <w:tcPr>
            <w:tcW w:w="1939" w:type="dxa"/>
          </w:tcPr>
          <w:p w14:paraId="38A10703" w14:textId="7EE24D08" w:rsidR="003D58DD" w:rsidRDefault="003D58DD" w:rsidP="003D58DD">
            <w:pPr>
              <w:rPr>
                <w:sz w:val="24"/>
                <w:szCs w:val="24"/>
                <w:lang w:val="bg-BG"/>
              </w:rPr>
            </w:pPr>
            <w:proofErr w:type="spellStart"/>
            <w:r>
              <w:t>Гинекомастия</w:t>
            </w:r>
            <w:proofErr w:type="spellEnd"/>
          </w:p>
        </w:tc>
        <w:tc>
          <w:tcPr>
            <w:tcW w:w="1528" w:type="dxa"/>
          </w:tcPr>
          <w:p w14:paraId="1496BEC2" w14:textId="77777777" w:rsidR="003D58DD" w:rsidRDefault="003D58DD" w:rsidP="003D58DD">
            <w:pPr>
              <w:rPr>
                <w:sz w:val="24"/>
                <w:szCs w:val="24"/>
                <w:lang w:val="bg-BG"/>
              </w:rPr>
            </w:pPr>
          </w:p>
        </w:tc>
        <w:tc>
          <w:tcPr>
            <w:tcW w:w="1744" w:type="dxa"/>
          </w:tcPr>
          <w:p w14:paraId="7620D996" w14:textId="77777777" w:rsidR="003D58DD" w:rsidRDefault="003D58DD" w:rsidP="003D58DD">
            <w:pPr>
              <w:rPr>
                <w:sz w:val="24"/>
                <w:szCs w:val="24"/>
                <w:lang w:val="bg-BG"/>
              </w:rPr>
            </w:pPr>
          </w:p>
        </w:tc>
      </w:tr>
      <w:tr w:rsidR="003D58DD" w14:paraId="2AA04815" w14:textId="77777777" w:rsidTr="003D58DD">
        <w:tc>
          <w:tcPr>
            <w:tcW w:w="1589" w:type="dxa"/>
          </w:tcPr>
          <w:p w14:paraId="21431B8E" w14:textId="4AB23506" w:rsidR="003D58DD" w:rsidRDefault="003D58DD" w:rsidP="003D58DD">
            <w:pPr>
              <w:rPr>
                <w:sz w:val="24"/>
                <w:szCs w:val="24"/>
                <w:lang w:val="bg-BG"/>
              </w:rPr>
            </w:pPr>
            <w:proofErr w:type="spellStart"/>
            <w:r>
              <w:t>Общи</w:t>
            </w:r>
            <w:proofErr w:type="spellEnd"/>
            <w:r>
              <w:t xml:space="preserve"> </w:t>
            </w:r>
            <w:proofErr w:type="spellStart"/>
            <w:r>
              <w:t>нарушения</w:t>
            </w:r>
            <w:proofErr w:type="spellEnd"/>
            <w:r>
              <w:t xml:space="preserve"> и </w:t>
            </w:r>
            <w:proofErr w:type="spellStart"/>
            <w:r>
              <w:t>ефекти</w:t>
            </w:r>
            <w:proofErr w:type="spellEnd"/>
            <w:r>
              <w:t xml:space="preserve"> </w:t>
            </w:r>
            <w:proofErr w:type="spellStart"/>
            <w:r>
              <w:t>на</w:t>
            </w:r>
            <w:proofErr w:type="spellEnd"/>
            <w:r>
              <w:t xml:space="preserve"> </w:t>
            </w:r>
            <w:proofErr w:type="spellStart"/>
            <w:r>
              <w:lastRenderedPageBreak/>
              <w:t>мястото</w:t>
            </w:r>
            <w:proofErr w:type="spellEnd"/>
            <w:r>
              <w:t xml:space="preserve"> </w:t>
            </w:r>
            <w:proofErr w:type="spellStart"/>
            <w:r>
              <w:t>на</w:t>
            </w:r>
            <w:proofErr w:type="spellEnd"/>
            <w:r>
              <w:t xml:space="preserve"> </w:t>
            </w:r>
            <w:proofErr w:type="spellStart"/>
            <w:r>
              <w:t>приложение</w:t>
            </w:r>
            <w:proofErr w:type="spellEnd"/>
          </w:p>
        </w:tc>
        <w:tc>
          <w:tcPr>
            <w:tcW w:w="1228" w:type="dxa"/>
          </w:tcPr>
          <w:p w14:paraId="2684DC45" w14:textId="77777777" w:rsidR="003D58DD" w:rsidRDefault="003D58DD" w:rsidP="003D58DD">
            <w:pPr>
              <w:rPr>
                <w:sz w:val="24"/>
                <w:szCs w:val="24"/>
                <w:lang w:val="bg-BG"/>
              </w:rPr>
            </w:pPr>
          </w:p>
        </w:tc>
        <w:tc>
          <w:tcPr>
            <w:tcW w:w="1548" w:type="dxa"/>
          </w:tcPr>
          <w:p w14:paraId="31A9109B" w14:textId="77777777" w:rsidR="003D58DD" w:rsidRDefault="003D58DD" w:rsidP="003D58DD">
            <w:proofErr w:type="spellStart"/>
            <w:r>
              <w:t>Астения</w:t>
            </w:r>
            <w:proofErr w:type="spellEnd"/>
          </w:p>
          <w:p w14:paraId="52031A0F" w14:textId="3DEED397" w:rsidR="003D58DD" w:rsidRDefault="003D58DD" w:rsidP="003D58DD">
            <w:pPr>
              <w:rPr>
                <w:sz w:val="24"/>
                <w:szCs w:val="24"/>
                <w:lang w:val="bg-BG"/>
              </w:rPr>
            </w:pPr>
            <w:proofErr w:type="spellStart"/>
            <w:r>
              <w:t>Умора</w:t>
            </w:r>
            <w:proofErr w:type="spellEnd"/>
            <w:r>
              <w:t xml:space="preserve"> и </w:t>
            </w:r>
            <w:proofErr w:type="spellStart"/>
            <w:r>
              <w:t>физическо</w:t>
            </w:r>
            <w:proofErr w:type="spellEnd"/>
            <w:r>
              <w:t xml:space="preserve"> </w:t>
            </w:r>
            <w:proofErr w:type="spellStart"/>
            <w:r>
              <w:lastRenderedPageBreak/>
              <w:t>неразположен</w:t>
            </w:r>
            <w:proofErr w:type="spellEnd"/>
            <w:r>
              <w:t xml:space="preserve"> </w:t>
            </w:r>
            <w:proofErr w:type="spellStart"/>
            <w:r>
              <w:t>ие</w:t>
            </w:r>
            <w:proofErr w:type="spellEnd"/>
          </w:p>
        </w:tc>
        <w:tc>
          <w:tcPr>
            <w:tcW w:w="1939" w:type="dxa"/>
          </w:tcPr>
          <w:p w14:paraId="0E381410" w14:textId="77777777" w:rsidR="003D58DD" w:rsidRDefault="003D58DD" w:rsidP="003D58DD">
            <w:proofErr w:type="spellStart"/>
            <w:r>
              <w:lastRenderedPageBreak/>
              <w:t>Повишаване</w:t>
            </w:r>
            <w:proofErr w:type="spellEnd"/>
            <w:r>
              <w:t xml:space="preserve"> </w:t>
            </w:r>
            <w:proofErr w:type="spellStart"/>
            <w:r>
              <w:t>на</w:t>
            </w:r>
            <w:proofErr w:type="spellEnd"/>
            <w:r>
              <w:t xml:space="preserve"> </w:t>
            </w:r>
            <w:proofErr w:type="spellStart"/>
            <w:r>
              <w:t>телесната</w:t>
            </w:r>
            <w:proofErr w:type="spellEnd"/>
            <w:r>
              <w:t xml:space="preserve"> </w:t>
            </w:r>
            <w:proofErr w:type="spellStart"/>
            <w:r>
              <w:t>температура</w:t>
            </w:r>
            <w:proofErr w:type="spellEnd"/>
          </w:p>
          <w:p w14:paraId="5C0B86DE" w14:textId="186652E0" w:rsidR="003D58DD" w:rsidRDefault="003D58DD" w:rsidP="003D58DD">
            <w:pPr>
              <w:rPr>
                <w:sz w:val="24"/>
                <w:szCs w:val="24"/>
                <w:lang w:val="bg-BG"/>
              </w:rPr>
            </w:pPr>
            <w:proofErr w:type="spellStart"/>
            <w:r>
              <w:lastRenderedPageBreak/>
              <w:t>Периферни</w:t>
            </w:r>
            <w:proofErr w:type="spellEnd"/>
            <w:r>
              <w:t xml:space="preserve"> </w:t>
            </w:r>
            <w:proofErr w:type="spellStart"/>
            <w:r>
              <w:t>отоци</w:t>
            </w:r>
            <w:proofErr w:type="spellEnd"/>
          </w:p>
        </w:tc>
        <w:tc>
          <w:tcPr>
            <w:tcW w:w="1528" w:type="dxa"/>
          </w:tcPr>
          <w:p w14:paraId="4141CF2F" w14:textId="77777777" w:rsidR="003D58DD" w:rsidRDefault="003D58DD" w:rsidP="003D58DD">
            <w:pPr>
              <w:rPr>
                <w:sz w:val="24"/>
                <w:szCs w:val="24"/>
                <w:lang w:val="bg-BG"/>
              </w:rPr>
            </w:pPr>
          </w:p>
        </w:tc>
        <w:tc>
          <w:tcPr>
            <w:tcW w:w="1744" w:type="dxa"/>
          </w:tcPr>
          <w:p w14:paraId="14B6246E" w14:textId="77777777" w:rsidR="003D58DD" w:rsidRDefault="003D58DD" w:rsidP="003D58DD">
            <w:pPr>
              <w:rPr>
                <w:sz w:val="24"/>
                <w:szCs w:val="24"/>
                <w:lang w:val="bg-BG"/>
              </w:rPr>
            </w:pPr>
          </w:p>
        </w:tc>
      </w:tr>
    </w:tbl>
    <w:p w14:paraId="2F45F64A" w14:textId="77777777" w:rsidR="003D58DD" w:rsidRPr="003D58DD" w:rsidRDefault="003D58DD" w:rsidP="003D58DD">
      <w:pPr>
        <w:rPr>
          <w:sz w:val="24"/>
          <w:szCs w:val="24"/>
          <w:lang w:val="bg-BG"/>
        </w:rPr>
      </w:pPr>
      <w:r w:rsidRPr="003D58DD">
        <w:rPr>
          <w:u w:val="single"/>
          <w:lang w:val="bg-BG" w:eastAsia="bg-BG"/>
        </w:rPr>
        <w:t xml:space="preserve">Съобщаване на подозирани нежелани реакции </w:t>
      </w:r>
      <w:r w:rsidRPr="003D58DD">
        <w:rPr>
          <w:lang w:val="bg-B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Изпълнителната агенция по лекарствата (ИАЛ):</w:t>
      </w:r>
    </w:p>
    <w:p w14:paraId="66AD1B9B" w14:textId="77777777" w:rsidR="003D58DD" w:rsidRDefault="003D58DD" w:rsidP="003D58DD">
      <w:pPr>
        <w:rPr>
          <w:lang w:val="bg-BG" w:eastAsia="bg-BG"/>
        </w:rPr>
      </w:pPr>
    </w:p>
    <w:p w14:paraId="2A063DA4" w14:textId="1D87329B" w:rsidR="003D58DD" w:rsidRPr="003D58DD" w:rsidRDefault="003D58DD" w:rsidP="003D58DD">
      <w:pPr>
        <w:rPr>
          <w:sz w:val="24"/>
          <w:szCs w:val="24"/>
          <w:lang w:val="bg-BG"/>
        </w:rPr>
      </w:pPr>
      <w:r w:rsidRPr="003D58DD">
        <w:rPr>
          <w:lang w:val="bg-BG" w:eastAsia="bg-BG"/>
        </w:rPr>
        <w:t>БЪЛГАРИЯ, София 1303, ул. Дамян Груев 8</w:t>
      </w:r>
    </w:p>
    <w:p w14:paraId="4C777E5D" w14:textId="77777777" w:rsidR="003D58DD" w:rsidRPr="003D58DD" w:rsidRDefault="003D58DD" w:rsidP="003D58DD">
      <w:pPr>
        <w:rPr>
          <w:sz w:val="24"/>
          <w:szCs w:val="24"/>
          <w:lang w:val="bg-BG"/>
        </w:rPr>
      </w:pPr>
      <w:r w:rsidRPr="003D58DD">
        <w:rPr>
          <w:lang w:val="bg-BG" w:eastAsia="bg-BG"/>
        </w:rPr>
        <w:t>Тел. +359 2 8903417</w:t>
      </w:r>
    </w:p>
    <w:p w14:paraId="1F37A20F" w14:textId="77777777" w:rsidR="003D58DD" w:rsidRPr="003D58DD" w:rsidRDefault="003D58DD" w:rsidP="003D58DD">
      <w:pPr>
        <w:rPr>
          <w:sz w:val="24"/>
          <w:szCs w:val="24"/>
          <w:lang w:val="bg-BG"/>
        </w:rPr>
      </w:pPr>
      <w:r w:rsidRPr="003D58DD">
        <w:rPr>
          <w:lang w:val="bg-BG" w:eastAsia="bg-BG"/>
        </w:rPr>
        <w:t xml:space="preserve">ел. поща: </w:t>
      </w:r>
      <w:hyperlink r:id="rId5" w:history="1">
        <w:r w:rsidRPr="003D58DD">
          <w:rPr>
            <w:u w:val="single"/>
          </w:rPr>
          <w:t>bda@bda.bg</w:t>
        </w:r>
      </w:hyperlink>
    </w:p>
    <w:p w14:paraId="3450DEFC" w14:textId="77777777" w:rsidR="003D58DD" w:rsidRPr="003D58DD" w:rsidRDefault="003D58DD" w:rsidP="003D58DD">
      <w:pPr>
        <w:rPr>
          <w:sz w:val="24"/>
          <w:szCs w:val="24"/>
          <w:lang w:val="bg-BG"/>
        </w:rPr>
      </w:pPr>
      <w:r w:rsidRPr="003D58DD">
        <w:rPr>
          <w:lang w:val="bg-BG" w:eastAsia="bg-BG"/>
        </w:rPr>
        <w:t xml:space="preserve">уебсайт: </w:t>
      </w:r>
      <w:hyperlink r:id="rId6" w:history="1">
        <w:r w:rsidRPr="003D58DD">
          <w:rPr>
            <w:u w:val="single"/>
          </w:rPr>
          <w:t>www.bda.bg</w:t>
        </w:r>
      </w:hyperlink>
    </w:p>
    <w:p w14:paraId="0467FDDA" w14:textId="77777777" w:rsidR="007C0F3B" w:rsidRPr="007C0F3B" w:rsidRDefault="007C0F3B" w:rsidP="007C0F3B"/>
    <w:p w14:paraId="611C622D" w14:textId="1A08E519" w:rsidR="002C50EE" w:rsidRDefault="002C50EE" w:rsidP="002C50EE">
      <w:pPr>
        <w:pStyle w:val="Heading2"/>
      </w:pPr>
      <w:r>
        <w:t xml:space="preserve">4.9. </w:t>
      </w:r>
      <w:proofErr w:type="spellStart"/>
      <w:r>
        <w:t>Предозиране</w:t>
      </w:r>
      <w:proofErr w:type="spellEnd"/>
    </w:p>
    <w:p w14:paraId="3989F340" w14:textId="77777777" w:rsidR="003D58DD" w:rsidRDefault="003D58DD" w:rsidP="003D58DD">
      <w:pPr>
        <w:rPr>
          <w:lang w:val="bg-BG" w:eastAsia="bg-BG"/>
        </w:rPr>
      </w:pPr>
    </w:p>
    <w:p w14:paraId="67214E48" w14:textId="5E4C8B54" w:rsidR="003D58DD" w:rsidRPr="003D58DD" w:rsidRDefault="003D58DD" w:rsidP="003D58DD">
      <w:pPr>
        <w:rPr>
          <w:sz w:val="24"/>
          <w:szCs w:val="24"/>
          <w:lang w:val="bg-BG"/>
        </w:rPr>
      </w:pPr>
      <w:r w:rsidRPr="003D58DD">
        <w:rPr>
          <w:lang w:val="bg-BG" w:eastAsia="bg-BG"/>
        </w:rPr>
        <w:t>Няма известни симптоми на предозиране при хора.</w:t>
      </w:r>
    </w:p>
    <w:p w14:paraId="7B6B4BEC" w14:textId="77777777" w:rsidR="003D58DD" w:rsidRDefault="003D58DD" w:rsidP="003D58DD">
      <w:pPr>
        <w:rPr>
          <w:lang w:val="bg-BG" w:eastAsia="bg-BG"/>
        </w:rPr>
      </w:pPr>
    </w:p>
    <w:p w14:paraId="03C51DD1" w14:textId="5B91976E" w:rsidR="003D58DD" w:rsidRPr="003D58DD" w:rsidRDefault="003D58DD" w:rsidP="003D58DD">
      <w:pPr>
        <w:rPr>
          <w:sz w:val="24"/>
          <w:szCs w:val="24"/>
          <w:lang w:val="bg-BG"/>
        </w:rPr>
      </w:pPr>
      <w:r w:rsidRPr="003D58DD">
        <w:rPr>
          <w:lang w:val="bg-BG" w:eastAsia="bg-BG"/>
        </w:rPr>
        <w:t xml:space="preserve">Дози до 240 </w:t>
      </w:r>
      <w:r w:rsidRPr="003D58DD">
        <w:t xml:space="preserve">mg, </w:t>
      </w:r>
      <w:r w:rsidRPr="003D58DD">
        <w:rPr>
          <w:lang w:val="bg-BG" w:eastAsia="bg-BG"/>
        </w:rPr>
        <w:t>приложени интравенозно, в течение на 2 минути са били понесени добре.</w:t>
      </w:r>
    </w:p>
    <w:p w14:paraId="7C6C2342" w14:textId="77777777" w:rsidR="003D58DD" w:rsidRDefault="003D58DD" w:rsidP="003D58DD">
      <w:pPr>
        <w:rPr>
          <w:lang w:val="bg-BG" w:eastAsia="bg-BG"/>
        </w:rPr>
      </w:pPr>
    </w:p>
    <w:p w14:paraId="3C157F7E" w14:textId="76001680" w:rsidR="003D58DD" w:rsidRPr="003D58DD" w:rsidRDefault="003D58DD" w:rsidP="003D58DD">
      <w:pPr>
        <w:rPr>
          <w:sz w:val="24"/>
          <w:szCs w:val="24"/>
          <w:lang w:val="bg-BG"/>
        </w:rPr>
      </w:pPr>
      <w:r w:rsidRPr="003D58DD">
        <w:rPr>
          <w:lang w:val="bg-BG" w:eastAsia="bg-BG"/>
        </w:rPr>
        <w:t xml:space="preserve">Тъй като </w:t>
      </w:r>
      <w:proofErr w:type="spellStart"/>
      <w:r w:rsidRPr="003D58DD">
        <w:rPr>
          <w:lang w:val="bg-BG" w:eastAsia="bg-BG"/>
        </w:rPr>
        <w:t>пантопразол</w:t>
      </w:r>
      <w:proofErr w:type="spellEnd"/>
      <w:r w:rsidRPr="003D58DD">
        <w:rPr>
          <w:lang w:val="bg-BG" w:eastAsia="bg-BG"/>
        </w:rPr>
        <w:t xml:space="preserve"> се свързва в голяма степен с плазмените протеини, той не се </w:t>
      </w:r>
      <w:proofErr w:type="spellStart"/>
      <w:r w:rsidRPr="003D58DD">
        <w:rPr>
          <w:lang w:val="bg-BG" w:eastAsia="bg-BG"/>
        </w:rPr>
        <w:t>диализира</w:t>
      </w:r>
      <w:proofErr w:type="spellEnd"/>
      <w:r w:rsidRPr="003D58DD">
        <w:rPr>
          <w:lang w:val="bg-BG" w:eastAsia="bg-BG"/>
        </w:rPr>
        <w:t xml:space="preserve"> лесно.</w:t>
      </w:r>
    </w:p>
    <w:p w14:paraId="1FC8D0D4" w14:textId="77777777" w:rsidR="003D58DD" w:rsidRPr="003D58DD" w:rsidRDefault="003D58DD" w:rsidP="003D58DD">
      <w:pPr>
        <w:rPr>
          <w:sz w:val="24"/>
          <w:szCs w:val="24"/>
          <w:lang w:val="bg-BG"/>
        </w:rPr>
      </w:pPr>
      <w:r w:rsidRPr="003D58DD">
        <w:rPr>
          <w:lang w:val="bg-BG" w:eastAsia="bg-BG"/>
        </w:rPr>
        <w:t>При случай на предозиране, с клинични данни за интоксикация, не може да се направят специфични препоръки извън симптоматично и поддържащо лечение.</w:t>
      </w:r>
    </w:p>
    <w:p w14:paraId="6249B71D" w14:textId="77777777" w:rsidR="003D58DD" w:rsidRPr="003D58DD" w:rsidRDefault="003D58DD" w:rsidP="003D58DD"/>
    <w:p w14:paraId="18EF4AFE" w14:textId="77777777" w:rsidR="002C50EE" w:rsidRDefault="002C50EE" w:rsidP="002C50EE">
      <w:pPr>
        <w:pStyle w:val="Heading1"/>
      </w:pPr>
      <w:r>
        <w:t>5. ФАРМАКОЛОГИЧНИ СВОЙСТВА</w:t>
      </w:r>
    </w:p>
    <w:p w14:paraId="2F1CA24E" w14:textId="12CCF40D" w:rsidR="002C50EE" w:rsidRDefault="002C50EE" w:rsidP="002C50EE">
      <w:pPr>
        <w:pStyle w:val="Heading2"/>
      </w:pPr>
      <w:r>
        <w:t xml:space="preserve">5.1. </w:t>
      </w:r>
      <w:proofErr w:type="spellStart"/>
      <w:r>
        <w:t>Фармакодинамични</w:t>
      </w:r>
      <w:proofErr w:type="spellEnd"/>
      <w:r>
        <w:t xml:space="preserve"> </w:t>
      </w:r>
      <w:proofErr w:type="spellStart"/>
      <w:r>
        <w:t>свойства</w:t>
      </w:r>
      <w:proofErr w:type="spellEnd"/>
    </w:p>
    <w:p w14:paraId="64EA4162" w14:textId="77777777" w:rsidR="003D58DD" w:rsidRDefault="003D58DD" w:rsidP="003D58DD">
      <w:pPr>
        <w:rPr>
          <w:lang w:val="bg-BG" w:eastAsia="bg-BG"/>
        </w:rPr>
      </w:pPr>
    </w:p>
    <w:p w14:paraId="3F10A980" w14:textId="74CFD9FA" w:rsidR="003D58DD" w:rsidRPr="003D58DD" w:rsidRDefault="003D58DD" w:rsidP="003D58DD">
      <w:pPr>
        <w:rPr>
          <w:sz w:val="24"/>
          <w:szCs w:val="24"/>
          <w:lang w:val="bg-BG"/>
        </w:rPr>
      </w:pPr>
      <w:proofErr w:type="spellStart"/>
      <w:r w:rsidRPr="003D58DD">
        <w:rPr>
          <w:lang w:val="bg-BG" w:eastAsia="bg-BG"/>
        </w:rPr>
        <w:t>Фармакотерапевтична</w:t>
      </w:r>
      <w:proofErr w:type="spellEnd"/>
      <w:r w:rsidRPr="003D58DD">
        <w:rPr>
          <w:lang w:val="bg-BG" w:eastAsia="bg-BG"/>
        </w:rPr>
        <w:t xml:space="preserve"> група: Инхибитори на </w:t>
      </w:r>
      <w:proofErr w:type="spellStart"/>
      <w:r w:rsidRPr="003D58DD">
        <w:rPr>
          <w:lang w:val="bg-BG" w:eastAsia="bg-BG"/>
        </w:rPr>
        <w:t>протонната</w:t>
      </w:r>
      <w:proofErr w:type="spellEnd"/>
      <w:r w:rsidRPr="003D58DD">
        <w:rPr>
          <w:lang w:val="bg-BG" w:eastAsia="bg-BG"/>
        </w:rPr>
        <w:t xml:space="preserve"> помпа</w:t>
      </w:r>
    </w:p>
    <w:p w14:paraId="7D437906" w14:textId="77777777" w:rsidR="003D58DD" w:rsidRPr="003D58DD" w:rsidRDefault="003D58DD" w:rsidP="003D58DD">
      <w:pPr>
        <w:rPr>
          <w:sz w:val="24"/>
          <w:szCs w:val="24"/>
          <w:lang w:val="bg-BG"/>
        </w:rPr>
      </w:pPr>
      <w:r w:rsidRPr="003D58DD">
        <w:rPr>
          <w:lang w:val="bg-BG" w:eastAsia="bg-BG"/>
        </w:rPr>
        <w:t>АТС код: А02ВС02</w:t>
      </w:r>
    </w:p>
    <w:p w14:paraId="3CE6005B" w14:textId="77777777" w:rsidR="003D58DD" w:rsidRDefault="003D58DD" w:rsidP="003D58DD">
      <w:pPr>
        <w:rPr>
          <w:u w:val="single"/>
          <w:lang w:val="bg-BG" w:eastAsia="bg-BG"/>
        </w:rPr>
      </w:pPr>
    </w:p>
    <w:p w14:paraId="2086E01B" w14:textId="66253819" w:rsidR="003D58DD" w:rsidRPr="003D58DD" w:rsidRDefault="003D58DD" w:rsidP="003D58DD">
      <w:pPr>
        <w:rPr>
          <w:sz w:val="24"/>
          <w:szCs w:val="24"/>
          <w:lang w:val="bg-BG"/>
        </w:rPr>
      </w:pPr>
      <w:r w:rsidRPr="003D58DD">
        <w:rPr>
          <w:u w:val="single"/>
          <w:lang w:val="bg-BG" w:eastAsia="bg-BG"/>
        </w:rPr>
        <w:t>Механизъм на действие</w:t>
      </w:r>
    </w:p>
    <w:p w14:paraId="01FA27A7" w14:textId="77777777" w:rsidR="003D58DD" w:rsidRDefault="003D58DD" w:rsidP="003D58DD">
      <w:pPr>
        <w:rPr>
          <w:lang w:val="bg-BG" w:eastAsia="bg-BG"/>
        </w:rPr>
      </w:pPr>
    </w:p>
    <w:p w14:paraId="71502846" w14:textId="09DB3D39" w:rsidR="003D58DD" w:rsidRDefault="003D58DD" w:rsidP="003D58DD">
      <w:pPr>
        <w:rPr>
          <w:lang w:val="bg-BG" w:eastAsia="bg-BG"/>
        </w:rPr>
      </w:pPr>
      <w:proofErr w:type="spellStart"/>
      <w:r w:rsidRPr="003D58DD">
        <w:rPr>
          <w:lang w:val="bg-BG" w:eastAsia="bg-BG"/>
        </w:rPr>
        <w:t>Пантопразол</w:t>
      </w:r>
      <w:proofErr w:type="spellEnd"/>
      <w:r w:rsidRPr="003D58DD">
        <w:rPr>
          <w:lang w:val="bg-BG" w:eastAsia="bg-BG"/>
        </w:rPr>
        <w:t xml:space="preserve"> е </w:t>
      </w:r>
      <w:proofErr w:type="spellStart"/>
      <w:r w:rsidRPr="003D58DD">
        <w:rPr>
          <w:lang w:val="bg-BG" w:eastAsia="bg-BG"/>
        </w:rPr>
        <w:t>субституиран</w:t>
      </w:r>
      <w:proofErr w:type="spellEnd"/>
      <w:r w:rsidRPr="003D58DD">
        <w:rPr>
          <w:lang w:val="bg-BG" w:eastAsia="bg-BG"/>
        </w:rPr>
        <w:t xml:space="preserve"> </w:t>
      </w:r>
      <w:proofErr w:type="spellStart"/>
      <w:r w:rsidRPr="003D58DD">
        <w:rPr>
          <w:lang w:val="bg-BG" w:eastAsia="bg-BG"/>
        </w:rPr>
        <w:t>бензимидазол</w:t>
      </w:r>
      <w:proofErr w:type="spellEnd"/>
      <w:r w:rsidRPr="003D58DD">
        <w:rPr>
          <w:lang w:val="bg-BG" w:eastAsia="bg-BG"/>
        </w:rPr>
        <w:t xml:space="preserve">, който инхибира секрецията на солна киселина в стомаха чрез специфична блокада на </w:t>
      </w:r>
      <w:proofErr w:type="spellStart"/>
      <w:r w:rsidRPr="003D58DD">
        <w:rPr>
          <w:lang w:val="bg-BG" w:eastAsia="bg-BG"/>
        </w:rPr>
        <w:t>протонната</w:t>
      </w:r>
      <w:proofErr w:type="spellEnd"/>
      <w:r w:rsidRPr="003D58DD">
        <w:rPr>
          <w:lang w:val="bg-BG" w:eastAsia="bg-BG"/>
        </w:rPr>
        <w:t xml:space="preserve"> помпа на </w:t>
      </w:r>
      <w:proofErr w:type="spellStart"/>
      <w:r w:rsidRPr="003D58DD">
        <w:rPr>
          <w:lang w:val="bg-BG" w:eastAsia="bg-BG"/>
        </w:rPr>
        <w:t>париеталните</w:t>
      </w:r>
      <w:proofErr w:type="spellEnd"/>
      <w:r w:rsidRPr="003D58DD">
        <w:rPr>
          <w:lang w:val="bg-BG" w:eastAsia="bg-BG"/>
        </w:rPr>
        <w:t xml:space="preserve"> клетки.</w:t>
      </w:r>
    </w:p>
    <w:p w14:paraId="3AC86768" w14:textId="3533E75C" w:rsidR="003D58DD" w:rsidRDefault="003D58DD" w:rsidP="003D58DD">
      <w:pPr>
        <w:rPr>
          <w:lang w:val="bg-BG" w:eastAsia="bg-BG"/>
        </w:rPr>
      </w:pPr>
    </w:p>
    <w:p w14:paraId="5401BA52" w14:textId="77777777" w:rsidR="003D58DD" w:rsidRPr="003D58DD" w:rsidRDefault="003D58DD" w:rsidP="003D58DD">
      <w:pPr>
        <w:rPr>
          <w:sz w:val="24"/>
          <w:szCs w:val="24"/>
          <w:lang w:val="bg-BG"/>
        </w:rPr>
      </w:pPr>
      <w:proofErr w:type="spellStart"/>
      <w:r w:rsidRPr="003D58DD">
        <w:rPr>
          <w:lang w:val="bg-BG" w:eastAsia="bg-BG"/>
        </w:rPr>
        <w:t>Пантопразол</w:t>
      </w:r>
      <w:proofErr w:type="spellEnd"/>
      <w:r w:rsidRPr="003D58DD">
        <w:rPr>
          <w:lang w:val="bg-BG" w:eastAsia="bg-BG"/>
        </w:rPr>
        <w:t xml:space="preserve"> се конвертира в неговата активна форма, цикличен </w:t>
      </w:r>
      <w:proofErr w:type="spellStart"/>
      <w:r w:rsidRPr="003D58DD">
        <w:rPr>
          <w:lang w:val="bg-BG" w:eastAsia="bg-BG"/>
        </w:rPr>
        <w:t>сулфенамид</w:t>
      </w:r>
      <w:proofErr w:type="spellEnd"/>
      <w:r w:rsidRPr="003D58DD">
        <w:rPr>
          <w:lang w:val="bg-BG" w:eastAsia="bg-BG"/>
        </w:rPr>
        <w:t xml:space="preserve">, в киселата среда на </w:t>
      </w:r>
      <w:proofErr w:type="spellStart"/>
      <w:r w:rsidRPr="003D58DD">
        <w:rPr>
          <w:lang w:val="bg-BG" w:eastAsia="bg-BG"/>
        </w:rPr>
        <w:t>париеталните</w:t>
      </w:r>
      <w:proofErr w:type="spellEnd"/>
      <w:r w:rsidRPr="003D58DD">
        <w:rPr>
          <w:lang w:val="bg-BG" w:eastAsia="bg-BG"/>
        </w:rPr>
        <w:t xml:space="preserve"> клетки, където инхибира Н+, К+, </w:t>
      </w:r>
      <w:proofErr w:type="spellStart"/>
      <w:r w:rsidRPr="003D58DD">
        <w:rPr>
          <w:lang w:val="bg-BG" w:eastAsia="bg-BG"/>
        </w:rPr>
        <w:t>АТФаза</w:t>
      </w:r>
      <w:proofErr w:type="spellEnd"/>
      <w:r w:rsidRPr="003D58DD">
        <w:rPr>
          <w:lang w:val="bg-BG" w:eastAsia="bg-BG"/>
        </w:rPr>
        <w:t xml:space="preserve"> ензимите, т. е. финалния стадий от продукцията на солна киселина в стомаха. Инхибирането е </w:t>
      </w:r>
      <w:proofErr w:type="spellStart"/>
      <w:r w:rsidRPr="003D58DD">
        <w:rPr>
          <w:lang w:val="bg-BG" w:eastAsia="bg-BG"/>
        </w:rPr>
        <w:t>дозозависимо</w:t>
      </w:r>
      <w:proofErr w:type="spellEnd"/>
      <w:r w:rsidRPr="003D58DD">
        <w:rPr>
          <w:lang w:val="bg-BG" w:eastAsia="bg-BG"/>
        </w:rPr>
        <w:t xml:space="preserve"> и засяга както </w:t>
      </w:r>
      <w:proofErr w:type="spellStart"/>
      <w:r w:rsidRPr="003D58DD">
        <w:rPr>
          <w:lang w:val="bg-BG" w:eastAsia="bg-BG"/>
        </w:rPr>
        <w:t>базалната</w:t>
      </w:r>
      <w:proofErr w:type="spellEnd"/>
      <w:r w:rsidRPr="003D58DD">
        <w:rPr>
          <w:lang w:val="bg-BG" w:eastAsia="bg-BG"/>
        </w:rPr>
        <w:t xml:space="preserve">, така и стимулираната киселинна секреция. При повечето пациенти премахването на симптомите на </w:t>
      </w:r>
      <w:proofErr w:type="spellStart"/>
      <w:r w:rsidRPr="003D58DD">
        <w:rPr>
          <w:lang w:val="bg-BG" w:eastAsia="bg-BG"/>
        </w:rPr>
        <w:t>рефлукса</w:t>
      </w:r>
      <w:proofErr w:type="spellEnd"/>
      <w:r w:rsidRPr="003D58DD">
        <w:rPr>
          <w:lang w:val="bg-BG" w:eastAsia="bg-BG"/>
        </w:rPr>
        <w:t xml:space="preserve"> се постига за 2 седмици, </w:t>
      </w:r>
      <w:proofErr w:type="spellStart"/>
      <w:r w:rsidRPr="003D58DD">
        <w:rPr>
          <w:lang w:val="bg-BG" w:eastAsia="bg-BG"/>
        </w:rPr>
        <w:t>Пантопразол</w:t>
      </w:r>
      <w:proofErr w:type="spellEnd"/>
      <w:r w:rsidRPr="003D58DD">
        <w:rPr>
          <w:lang w:val="bg-BG" w:eastAsia="bg-BG"/>
        </w:rPr>
        <w:t xml:space="preserve"> редуцира киселинността в стомаха и по този начин повишава нивото на </w:t>
      </w:r>
      <w:proofErr w:type="spellStart"/>
      <w:r w:rsidRPr="003D58DD">
        <w:rPr>
          <w:lang w:val="bg-BG" w:eastAsia="bg-BG"/>
        </w:rPr>
        <w:t>гастрина</w:t>
      </w:r>
      <w:proofErr w:type="spellEnd"/>
      <w:r w:rsidRPr="003D58DD">
        <w:rPr>
          <w:lang w:val="bg-BG" w:eastAsia="bg-BG"/>
        </w:rPr>
        <w:t xml:space="preserve">, пропорционално на редукцията на киселинността. Повишаването на нивото на </w:t>
      </w:r>
      <w:proofErr w:type="spellStart"/>
      <w:r w:rsidRPr="003D58DD">
        <w:rPr>
          <w:lang w:val="bg-BG" w:eastAsia="bg-BG"/>
        </w:rPr>
        <w:t>гастрина</w:t>
      </w:r>
      <w:proofErr w:type="spellEnd"/>
      <w:r w:rsidRPr="003D58DD">
        <w:rPr>
          <w:lang w:val="bg-BG" w:eastAsia="bg-BG"/>
        </w:rPr>
        <w:t xml:space="preserve"> е обратимо. Тъй като </w:t>
      </w:r>
      <w:proofErr w:type="spellStart"/>
      <w:r w:rsidRPr="003D58DD">
        <w:rPr>
          <w:lang w:val="bg-BG" w:eastAsia="bg-BG"/>
        </w:rPr>
        <w:t>пантопразол</w:t>
      </w:r>
      <w:proofErr w:type="spellEnd"/>
      <w:r w:rsidRPr="003D58DD">
        <w:rPr>
          <w:lang w:val="bg-BG" w:eastAsia="bg-BG"/>
        </w:rPr>
        <w:t xml:space="preserve"> се свързва с ензимите </w:t>
      </w:r>
      <w:proofErr w:type="spellStart"/>
      <w:r w:rsidRPr="003D58DD">
        <w:rPr>
          <w:lang w:val="bg-BG" w:eastAsia="bg-BG"/>
        </w:rPr>
        <w:t>дистално</w:t>
      </w:r>
      <w:proofErr w:type="spellEnd"/>
      <w:r w:rsidRPr="003D58DD">
        <w:rPr>
          <w:lang w:val="bg-BG" w:eastAsia="bg-BG"/>
        </w:rPr>
        <w:t xml:space="preserve"> от </w:t>
      </w:r>
      <w:r w:rsidRPr="003D58DD">
        <w:rPr>
          <w:lang w:val="bg-BG" w:eastAsia="bg-BG"/>
        </w:rPr>
        <w:lastRenderedPageBreak/>
        <w:t>рецепторното ниво, той може да инхибира секрецията на солна киселина, независимо от стимулирането й от други субстанции (</w:t>
      </w:r>
      <w:proofErr w:type="spellStart"/>
      <w:r w:rsidRPr="003D58DD">
        <w:rPr>
          <w:lang w:val="bg-BG" w:eastAsia="bg-BG"/>
        </w:rPr>
        <w:t>ацетилхолин</w:t>
      </w:r>
      <w:proofErr w:type="spellEnd"/>
      <w:r w:rsidRPr="003D58DD">
        <w:rPr>
          <w:lang w:val="bg-BG" w:eastAsia="bg-BG"/>
        </w:rPr>
        <w:t xml:space="preserve">, хистамин, </w:t>
      </w:r>
      <w:proofErr w:type="spellStart"/>
      <w:r w:rsidRPr="003D58DD">
        <w:rPr>
          <w:lang w:val="bg-BG" w:eastAsia="bg-BG"/>
        </w:rPr>
        <w:t>гастрин</w:t>
      </w:r>
      <w:proofErr w:type="spellEnd"/>
      <w:r w:rsidRPr="003D58DD">
        <w:rPr>
          <w:lang w:val="bg-BG" w:eastAsia="bg-BG"/>
        </w:rPr>
        <w:t>).</w:t>
      </w:r>
    </w:p>
    <w:p w14:paraId="6155C1EA" w14:textId="77777777" w:rsidR="003D58DD" w:rsidRPr="003D58DD" w:rsidRDefault="003D58DD" w:rsidP="003D58DD">
      <w:pPr>
        <w:rPr>
          <w:sz w:val="24"/>
          <w:szCs w:val="24"/>
          <w:lang w:val="bg-BG"/>
        </w:rPr>
      </w:pPr>
      <w:r w:rsidRPr="003D58DD">
        <w:rPr>
          <w:lang w:val="bg-BG" w:eastAsia="bg-BG"/>
        </w:rPr>
        <w:t>Ефектът е същият, независимо дали активното вещество се прилага перорално или интравенозно.</w:t>
      </w:r>
    </w:p>
    <w:p w14:paraId="7EF4FE5A" w14:textId="77777777" w:rsidR="003D58DD" w:rsidRDefault="003D58DD" w:rsidP="003D58DD">
      <w:pPr>
        <w:rPr>
          <w:u w:val="single"/>
          <w:lang w:val="bg-BG" w:eastAsia="bg-BG"/>
        </w:rPr>
      </w:pPr>
    </w:p>
    <w:p w14:paraId="31FD1DF4" w14:textId="3CF4307D" w:rsidR="003D58DD" w:rsidRPr="003D58DD" w:rsidRDefault="003D58DD" w:rsidP="003D58DD">
      <w:pPr>
        <w:pStyle w:val="Heading3"/>
        <w:rPr>
          <w:rFonts w:eastAsia="Times New Roman"/>
          <w:u w:val="single"/>
          <w:lang w:val="bg-BG"/>
        </w:rPr>
      </w:pPr>
      <w:proofErr w:type="spellStart"/>
      <w:r w:rsidRPr="003D58DD">
        <w:rPr>
          <w:rFonts w:eastAsia="Times New Roman"/>
          <w:u w:val="single"/>
          <w:lang w:val="bg-BG" w:eastAsia="bg-BG"/>
        </w:rPr>
        <w:t>Фармакодинамични</w:t>
      </w:r>
      <w:proofErr w:type="spellEnd"/>
      <w:r w:rsidRPr="003D58DD">
        <w:rPr>
          <w:rFonts w:eastAsia="Times New Roman"/>
          <w:u w:val="single"/>
          <w:lang w:val="bg-BG" w:eastAsia="bg-BG"/>
        </w:rPr>
        <w:t xml:space="preserve"> свойства</w:t>
      </w:r>
    </w:p>
    <w:p w14:paraId="5672DB5A" w14:textId="77777777" w:rsidR="003D58DD" w:rsidRPr="003D58DD" w:rsidRDefault="003D58DD" w:rsidP="003D58DD">
      <w:pPr>
        <w:rPr>
          <w:sz w:val="24"/>
          <w:szCs w:val="24"/>
          <w:lang w:val="bg-BG"/>
        </w:rPr>
      </w:pPr>
      <w:r w:rsidRPr="003D58DD">
        <w:rPr>
          <w:lang w:val="bg-BG" w:eastAsia="bg-BG"/>
        </w:rPr>
        <w:t xml:space="preserve">Нивата на </w:t>
      </w:r>
      <w:proofErr w:type="spellStart"/>
      <w:r w:rsidRPr="003D58DD">
        <w:rPr>
          <w:lang w:val="bg-BG" w:eastAsia="bg-BG"/>
        </w:rPr>
        <w:t>гастрина</w:t>
      </w:r>
      <w:proofErr w:type="spellEnd"/>
      <w:r w:rsidRPr="003D58DD">
        <w:rPr>
          <w:lang w:val="bg-BG" w:eastAsia="bg-BG"/>
        </w:rPr>
        <w:t xml:space="preserve"> на гладно се повишават от </w:t>
      </w:r>
      <w:proofErr w:type="spellStart"/>
      <w:r w:rsidRPr="003D58DD">
        <w:rPr>
          <w:lang w:val="bg-BG" w:eastAsia="bg-BG"/>
        </w:rPr>
        <w:t>пантопразол</w:t>
      </w:r>
      <w:proofErr w:type="spellEnd"/>
      <w:r w:rsidRPr="003D58DD">
        <w:rPr>
          <w:lang w:val="bg-BG" w:eastAsia="bg-BG"/>
        </w:rPr>
        <w:t xml:space="preserve">. При краткосрочен прием при повечето случаи те не надхвърлят горната граница на нормата. При продължително лечение, нивата на </w:t>
      </w:r>
      <w:proofErr w:type="spellStart"/>
      <w:r w:rsidRPr="003D58DD">
        <w:rPr>
          <w:lang w:val="bg-BG" w:eastAsia="bg-BG"/>
        </w:rPr>
        <w:t>гастрина</w:t>
      </w:r>
      <w:proofErr w:type="spellEnd"/>
      <w:r w:rsidRPr="003D58DD">
        <w:rPr>
          <w:lang w:val="bg-BG" w:eastAsia="bg-BG"/>
        </w:rPr>
        <w:t xml:space="preserve"> се удвояват при повечето случаи. Много голямо повишение настъпва само при отделни случаи. Като резултат, при продължително лечение, при малка част от случаите, се наблюдава леко до средно повишаване броя на специфичните ендокринни </w:t>
      </w:r>
      <w:r w:rsidRPr="003D58DD">
        <w:t xml:space="preserve">(ECL) </w:t>
      </w:r>
      <w:r w:rsidRPr="003D58DD">
        <w:rPr>
          <w:lang w:val="bg-BG" w:eastAsia="bg-BG"/>
        </w:rPr>
        <w:t xml:space="preserve">клетки в стомаха (обикновена до </w:t>
      </w:r>
      <w:proofErr w:type="spellStart"/>
      <w:r w:rsidRPr="003D58DD">
        <w:rPr>
          <w:lang w:val="bg-BG" w:eastAsia="bg-BG"/>
        </w:rPr>
        <w:t>аденоидна</w:t>
      </w:r>
      <w:proofErr w:type="spellEnd"/>
      <w:r w:rsidRPr="003D58DD">
        <w:rPr>
          <w:lang w:val="bg-BG" w:eastAsia="bg-BG"/>
        </w:rPr>
        <w:t xml:space="preserve"> хиперплазия). Все пак, съгласно проучванията проведени до момента, формирането на </w:t>
      </w:r>
      <w:proofErr w:type="spellStart"/>
      <w:r w:rsidRPr="003D58DD">
        <w:rPr>
          <w:lang w:val="bg-BG" w:eastAsia="bg-BG"/>
        </w:rPr>
        <w:t>канцероидни</w:t>
      </w:r>
      <w:proofErr w:type="spellEnd"/>
      <w:r w:rsidRPr="003D58DD">
        <w:rPr>
          <w:lang w:val="bg-BG" w:eastAsia="bg-BG"/>
        </w:rPr>
        <w:t xml:space="preserve"> </w:t>
      </w:r>
      <w:proofErr w:type="spellStart"/>
      <w:r w:rsidRPr="003D58DD">
        <w:rPr>
          <w:lang w:val="bg-BG" w:eastAsia="bg-BG"/>
        </w:rPr>
        <w:t>прекурсори</w:t>
      </w:r>
      <w:proofErr w:type="spellEnd"/>
      <w:r w:rsidRPr="003D58DD">
        <w:rPr>
          <w:lang w:val="bg-BG" w:eastAsia="bg-BG"/>
        </w:rPr>
        <w:t xml:space="preserve"> (атипична хиперплазия) или стомашни </w:t>
      </w:r>
      <w:proofErr w:type="spellStart"/>
      <w:r w:rsidRPr="003D58DD">
        <w:rPr>
          <w:lang w:val="bg-BG" w:eastAsia="bg-BG"/>
        </w:rPr>
        <w:t>канцероиди</w:t>
      </w:r>
      <w:proofErr w:type="spellEnd"/>
      <w:r w:rsidRPr="003D58DD">
        <w:rPr>
          <w:lang w:val="bg-BG" w:eastAsia="bg-BG"/>
        </w:rPr>
        <w:t>, каквито са били открити при опитите с животни (</w:t>
      </w:r>
      <w:proofErr w:type="spellStart"/>
      <w:r w:rsidRPr="003D58DD">
        <w:rPr>
          <w:lang w:val="bg-BG" w:eastAsia="bg-BG"/>
        </w:rPr>
        <w:t>вж</w:t>
      </w:r>
      <w:proofErr w:type="spellEnd"/>
      <w:r w:rsidRPr="003D58DD">
        <w:rPr>
          <w:lang w:val="bg-BG" w:eastAsia="bg-BG"/>
        </w:rPr>
        <w:t xml:space="preserve"> точка 5.3) не са наблюдавани при хора.</w:t>
      </w:r>
    </w:p>
    <w:p w14:paraId="77E23ABC" w14:textId="77777777" w:rsidR="003D58DD" w:rsidRDefault="003D58DD" w:rsidP="003D58DD">
      <w:pPr>
        <w:rPr>
          <w:lang w:val="bg-BG" w:eastAsia="bg-BG"/>
        </w:rPr>
      </w:pPr>
    </w:p>
    <w:p w14:paraId="0F55F100" w14:textId="123AE14E" w:rsidR="003D58DD" w:rsidRPr="003D58DD" w:rsidRDefault="003D58DD" w:rsidP="003D58DD">
      <w:pPr>
        <w:rPr>
          <w:sz w:val="24"/>
          <w:szCs w:val="24"/>
          <w:lang w:val="bg-BG"/>
        </w:rPr>
      </w:pPr>
      <w:r w:rsidRPr="003D58DD">
        <w:rPr>
          <w:lang w:val="bg-BG" w:eastAsia="bg-BG"/>
        </w:rPr>
        <w:t xml:space="preserve">Базирайки се на резултати от проучвания при животни, влиянието на дълготрайното лечение с </w:t>
      </w:r>
      <w:proofErr w:type="spellStart"/>
      <w:r w:rsidRPr="003D58DD">
        <w:rPr>
          <w:lang w:val="bg-BG" w:eastAsia="bg-BG"/>
        </w:rPr>
        <w:t>пантопразол</w:t>
      </w:r>
      <w:proofErr w:type="spellEnd"/>
      <w:r w:rsidRPr="003D58DD">
        <w:rPr>
          <w:lang w:val="bg-BG" w:eastAsia="bg-BG"/>
        </w:rPr>
        <w:t>, в продължение на повече от една година, върху параметрите на функцията на щитовидната жлеза не може да бъде изключено напълно.</w:t>
      </w:r>
    </w:p>
    <w:p w14:paraId="789549BD" w14:textId="77777777" w:rsidR="003D58DD" w:rsidRDefault="003D58DD" w:rsidP="003D58DD">
      <w:pPr>
        <w:rPr>
          <w:lang w:val="bg-BG" w:eastAsia="bg-BG"/>
        </w:rPr>
      </w:pPr>
    </w:p>
    <w:p w14:paraId="6F0B56A7" w14:textId="52B4AE73" w:rsidR="003D58DD" w:rsidRPr="003D58DD" w:rsidRDefault="003D58DD" w:rsidP="003D58DD">
      <w:pPr>
        <w:rPr>
          <w:sz w:val="24"/>
          <w:szCs w:val="24"/>
          <w:lang w:val="bg-BG"/>
        </w:rPr>
      </w:pPr>
      <w:r w:rsidRPr="003D58DD">
        <w:rPr>
          <w:lang w:val="bg-BG" w:eastAsia="bg-BG"/>
        </w:rPr>
        <w:t xml:space="preserve">По време на лечение с </w:t>
      </w:r>
      <w:proofErr w:type="spellStart"/>
      <w:r w:rsidRPr="003D58DD">
        <w:rPr>
          <w:lang w:val="bg-BG" w:eastAsia="bg-BG"/>
        </w:rPr>
        <w:t>антисекреторни</w:t>
      </w:r>
      <w:proofErr w:type="spellEnd"/>
      <w:r w:rsidRPr="003D58DD">
        <w:rPr>
          <w:lang w:val="bg-BG" w:eastAsia="bg-BG"/>
        </w:rPr>
        <w:t xml:space="preserve"> лекарствени продукти </w:t>
      </w:r>
      <w:proofErr w:type="spellStart"/>
      <w:r w:rsidRPr="003D58DD">
        <w:rPr>
          <w:lang w:val="bg-BG" w:eastAsia="bg-BG"/>
        </w:rPr>
        <w:t>гастрина</w:t>
      </w:r>
      <w:proofErr w:type="spellEnd"/>
      <w:r w:rsidRPr="003D58DD">
        <w:rPr>
          <w:lang w:val="bg-BG" w:eastAsia="bg-BG"/>
        </w:rPr>
        <w:t xml:space="preserve"> в серума се повишава в отговор на понижената киселинна секреция. В резултат на намалената стомашна киселинност се повишава и нивото на </w:t>
      </w:r>
      <w:proofErr w:type="spellStart"/>
      <w:r w:rsidRPr="003D58DD">
        <w:t>CgA</w:t>
      </w:r>
      <w:proofErr w:type="spellEnd"/>
      <w:r w:rsidRPr="003D58DD">
        <w:t xml:space="preserve">. </w:t>
      </w:r>
      <w:r w:rsidRPr="003D58DD">
        <w:rPr>
          <w:lang w:val="bg-BG" w:eastAsia="bg-BG"/>
        </w:rPr>
        <w:t xml:space="preserve">Повишеното ниво на </w:t>
      </w:r>
      <w:proofErr w:type="spellStart"/>
      <w:r w:rsidRPr="003D58DD">
        <w:t>CgA</w:t>
      </w:r>
      <w:proofErr w:type="spellEnd"/>
      <w:r w:rsidRPr="003D58DD">
        <w:t xml:space="preserve"> </w:t>
      </w:r>
      <w:r w:rsidRPr="003D58DD">
        <w:rPr>
          <w:lang w:val="bg-BG" w:eastAsia="bg-BG"/>
        </w:rPr>
        <w:t xml:space="preserve">може да повлияе на изследванията за </w:t>
      </w:r>
      <w:proofErr w:type="spellStart"/>
      <w:r w:rsidRPr="003D58DD">
        <w:rPr>
          <w:lang w:val="bg-BG" w:eastAsia="bg-BG"/>
        </w:rPr>
        <w:t>невроендокринни</w:t>
      </w:r>
      <w:proofErr w:type="spellEnd"/>
      <w:r w:rsidRPr="003D58DD">
        <w:rPr>
          <w:lang w:val="bg-BG" w:eastAsia="bg-BG"/>
        </w:rPr>
        <w:t xml:space="preserve"> тумори.</w:t>
      </w:r>
    </w:p>
    <w:p w14:paraId="210833B7" w14:textId="77777777" w:rsidR="003D58DD" w:rsidRPr="003D58DD" w:rsidRDefault="003D58DD" w:rsidP="003D58DD">
      <w:pPr>
        <w:rPr>
          <w:sz w:val="24"/>
          <w:szCs w:val="24"/>
          <w:lang w:val="bg-BG"/>
        </w:rPr>
      </w:pPr>
      <w:r w:rsidRPr="003D58DD">
        <w:rPr>
          <w:lang w:val="bg-BG" w:eastAsia="bg-BG"/>
        </w:rPr>
        <w:t xml:space="preserve">Наличните публикувани данни показват, че прилагането на инхибитори на </w:t>
      </w:r>
      <w:proofErr w:type="spellStart"/>
      <w:r w:rsidRPr="003D58DD">
        <w:rPr>
          <w:lang w:val="bg-BG" w:eastAsia="bg-BG"/>
        </w:rPr>
        <w:t>протонната</w:t>
      </w:r>
      <w:proofErr w:type="spellEnd"/>
      <w:r w:rsidRPr="003D58DD">
        <w:rPr>
          <w:lang w:val="bg-BG" w:eastAsia="bg-BG"/>
        </w:rPr>
        <w:t xml:space="preserve"> помпа трябва да се преустанови между 5 дни и 2 седмици преди измерване на </w:t>
      </w:r>
      <w:proofErr w:type="spellStart"/>
      <w:r w:rsidRPr="003D58DD">
        <w:t>CgA</w:t>
      </w:r>
      <w:proofErr w:type="spellEnd"/>
      <w:r w:rsidRPr="003D58DD">
        <w:t xml:space="preserve">. </w:t>
      </w:r>
      <w:r w:rsidRPr="003D58DD">
        <w:rPr>
          <w:lang w:val="bg-BG" w:eastAsia="bg-BG"/>
        </w:rPr>
        <w:t xml:space="preserve">Това се прави с цел нивата на </w:t>
      </w:r>
      <w:proofErr w:type="spellStart"/>
      <w:r w:rsidRPr="003D58DD">
        <w:t>CgA</w:t>
      </w:r>
      <w:proofErr w:type="spellEnd"/>
      <w:r w:rsidRPr="003D58DD">
        <w:t xml:space="preserve">, </w:t>
      </w:r>
      <w:r w:rsidRPr="003D58DD">
        <w:rPr>
          <w:lang w:val="bg-BG" w:eastAsia="bg-BG"/>
        </w:rPr>
        <w:t>които могат да са лъжливо повишени след лечение с ИПП, да се възстановят до референтните си граници.</w:t>
      </w:r>
    </w:p>
    <w:p w14:paraId="233F8173" w14:textId="77777777" w:rsidR="003D58DD" w:rsidRPr="003D58DD" w:rsidRDefault="003D58DD" w:rsidP="003D58DD">
      <w:pPr>
        <w:rPr>
          <w:sz w:val="24"/>
          <w:szCs w:val="24"/>
          <w:lang w:val="bg-BG"/>
        </w:rPr>
      </w:pPr>
    </w:p>
    <w:p w14:paraId="5BBB6146" w14:textId="77777777" w:rsidR="003D58DD" w:rsidRPr="003D58DD" w:rsidRDefault="003D58DD" w:rsidP="003D58DD"/>
    <w:p w14:paraId="788B4E5E" w14:textId="17CEC5D3" w:rsidR="002C50EE" w:rsidRDefault="002C50EE" w:rsidP="002C50EE">
      <w:pPr>
        <w:pStyle w:val="Heading2"/>
      </w:pPr>
      <w:r>
        <w:t xml:space="preserve">5.2. </w:t>
      </w:r>
      <w:proofErr w:type="spellStart"/>
      <w:r>
        <w:t>Фармакокинетични</w:t>
      </w:r>
      <w:proofErr w:type="spellEnd"/>
      <w:r>
        <w:t xml:space="preserve"> </w:t>
      </w:r>
      <w:proofErr w:type="spellStart"/>
      <w:r>
        <w:t>свойства</w:t>
      </w:r>
      <w:proofErr w:type="spellEnd"/>
    </w:p>
    <w:p w14:paraId="4A44E668" w14:textId="77777777" w:rsidR="003D58DD" w:rsidRDefault="003D58DD" w:rsidP="003D58DD">
      <w:pPr>
        <w:rPr>
          <w:lang w:val="bg-BG" w:eastAsia="bg-BG"/>
        </w:rPr>
      </w:pPr>
    </w:p>
    <w:p w14:paraId="67567B8D" w14:textId="2A278C7A" w:rsidR="003D58DD" w:rsidRPr="003D58DD" w:rsidRDefault="003D58DD" w:rsidP="003D58DD">
      <w:pPr>
        <w:pStyle w:val="Heading3"/>
        <w:rPr>
          <w:rFonts w:eastAsia="Times New Roman"/>
          <w:u w:val="single"/>
          <w:lang w:val="bg-BG"/>
        </w:rPr>
      </w:pPr>
      <w:r w:rsidRPr="003D58DD">
        <w:rPr>
          <w:rFonts w:eastAsia="Times New Roman"/>
          <w:u w:val="single"/>
          <w:lang w:val="bg-BG" w:eastAsia="bg-BG"/>
        </w:rPr>
        <w:t>Абсорбция</w:t>
      </w:r>
    </w:p>
    <w:p w14:paraId="7BCED06D" w14:textId="77777777" w:rsidR="003D58DD" w:rsidRPr="003D58DD" w:rsidRDefault="003D58DD" w:rsidP="003D58DD">
      <w:pPr>
        <w:rPr>
          <w:sz w:val="24"/>
          <w:szCs w:val="24"/>
          <w:lang w:val="bg-BG"/>
        </w:rPr>
      </w:pPr>
      <w:r w:rsidRPr="003D58DD">
        <w:rPr>
          <w:lang w:val="bg-BG" w:eastAsia="bg-BG"/>
        </w:rPr>
        <w:t xml:space="preserve">Обичайно, около 2,0 - 2,5 часа след приложението </w:t>
      </w:r>
      <w:r w:rsidRPr="003D58DD">
        <w:t>(</w:t>
      </w:r>
      <w:proofErr w:type="spellStart"/>
      <w:r w:rsidRPr="003D58DD">
        <w:t>t</w:t>
      </w:r>
      <w:r w:rsidRPr="003D58DD">
        <w:rPr>
          <w:vertAlign w:val="subscript"/>
        </w:rPr>
        <w:t>max</w:t>
      </w:r>
      <w:proofErr w:type="spellEnd"/>
      <w:r w:rsidRPr="003D58DD">
        <w:t xml:space="preserve">) </w:t>
      </w:r>
      <w:r w:rsidRPr="003D58DD">
        <w:rPr>
          <w:lang w:val="bg-BG" w:eastAsia="bg-BG"/>
        </w:rPr>
        <w:t xml:space="preserve">на еднократна перорална доза 20 </w:t>
      </w:r>
      <w:r w:rsidRPr="003D58DD">
        <w:t xml:space="preserve">mg, </w:t>
      </w:r>
      <w:r w:rsidRPr="003D58DD">
        <w:rPr>
          <w:lang w:val="bg-BG" w:eastAsia="bg-BG"/>
        </w:rPr>
        <w:t>се достига максимална плазмена концентрация (С</w:t>
      </w:r>
      <w:r w:rsidRPr="003D58DD">
        <w:rPr>
          <w:vertAlign w:val="subscript"/>
        </w:rPr>
        <w:t>max</w:t>
      </w:r>
      <w:r w:rsidRPr="003D58DD">
        <w:rPr>
          <w:lang w:val="bg-BG" w:eastAsia="bg-BG"/>
        </w:rPr>
        <w:t xml:space="preserve">) около 1-1,5 </w:t>
      </w:r>
      <w:proofErr w:type="spellStart"/>
      <w:r w:rsidRPr="003D58DD">
        <w:t>μg</w:t>
      </w:r>
      <w:proofErr w:type="spellEnd"/>
      <w:r w:rsidRPr="003D58DD">
        <w:t xml:space="preserve">/ml </w:t>
      </w:r>
      <w:r w:rsidRPr="003D58DD">
        <w:rPr>
          <w:lang w:val="bg-BG" w:eastAsia="bg-BG"/>
        </w:rPr>
        <w:t>и тези нива остават постоянни след многократно прилагане.</w:t>
      </w:r>
    </w:p>
    <w:p w14:paraId="481ECE46" w14:textId="77777777" w:rsidR="003D58DD" w:rsidRPr="003D58DD" w:rsidRDefault="003D58DD" w:rsidP="003D58DD">
      <w:pPr>
        <w:rPr>
          <w:sz w:val="24"/>
          <w:szCs w:val="24"/>
          <w:lang w:val="bg-BG"/>
        </w:rPr>
      </w:pPr>
      <w:r w:rsidRPr="003D58DD">
        <w:rPr>
          <w:lang w:val="bg-BG" w:eastAsia="bg-BG"/>
        </w:rPr>
        <w:t xml:space="preserve">Абсолютната бионаличност на таблетната форма е около 77%. Съвместният прием на </w:t>
      </w:r>
      <w:proofErr w:type="spellStart"/>
      <w:r w:rsidRPr="003D58DD">
        <w:rPr>
          <w:lang w:val="bg-BG" w:eastAsia="bg-BG"/>
        </w:rPr>
        <w:t>пантопразол</w:t>
      </w:r>
      <w:proofErr w:type="spellEnd"/>
      <w:r w:rsidRPr="003D58DD">
        <w:rPr>
          <w:lang w:val="bg-BG" w:eastAsia="bg-BG"/>
        </w:rPr>
        <w:t xml:space="preserve"> с храна не повлиява </w:t>
      </w:r>
      <w:r w:rsidRPr="003D58DD">
        <w:t xml:space="preserve">AUC, </w:t>
      </w:r>
      <w:r w:rsidRPr="003D58DD">
        <w:rPr>
          <w:lang w:val="bg-BG" w:eastAsia="bg-BG"/>
        </w:rPr>
        <w:t xml:space="preserve">максималните плазмени концентрации и респективно бионаличността. В този случай може да се очаква увеличаване продължителността на </w:t>
      </w:r>
      <w:r w:rsidRPr="003D58DD">
        <w:t xml:space="preserve">lag- </w:t>
      </w:r>
      <w:r w:rsidRPr="003D58DD">
        <w:rPr>
          <w:lang w:val="bg-BG" w:eastAsia="bg-BG"/>
        </w:rPr>
        <w:t>фазата.</w:t>
      </w:r>
    </w:p>
    <w:p w14:paraId="760A40B9" w14:textId="77777777" w:rsidR="003D58DD" w:rsidRDefault="003D58DD" w:rsidP="003D58DD">
      <w:pPr>
        <w:rPr>
          <w:lang w:val="bg-BG" w:eastAsia="bg-BG"/>
        </w:rPr>
      </w:pPr>
    </w:p>
    <w:p w14:paraId="60DC23D3" w14:textId="50480590" w:rsidR="003D58DD" w:rsidRPr="003D58DD" w:rsidRDefault="003D58DD" w:rsidP="003D58DD">
      <w:pPr>
        <w:pStyle w:val="Heading3"/>
        <w:rPr>
          <w:rFonts w:eastAsia="Times New Roman"/>
          <w:u w:val="single"/>
          <w:lang w:val="bg-BG"/>
        </w:rPr>
      </w:pPr>
      <w:r w:rsidRPr="003D58DD">
        <w:rPr>
          <w:rFonts w:eastAsia="Times New Roman"/>
          <w:u w:val="single"/>
          <w:lang w:val="bg-BG" w:eastAsia="bg-BG"/>
        </w:rPr>
        <w:t>Разпределение</w:t>
      </w:r>
    </w:p>
    <w:p w14:paraId="78575208" w14:textId="77777777" w:rsidR="003D58DD" w:rsidRPr="003D58DD" w:rsidRDefault="003D58DD" w:rsidP="003D58DD">
      <w:pPr>
        <w:rPr>
          <w:sz w:val="24"/>
          <w:szCs w:val="24"/>
          <w:lang w:val="bg-BG"/>
        </w:rPr>
      </w:pPr>
      <w:r w:rsidRPr="003D58DD">
        <w:rPr>
          <w:lang w:val="bg-BG" w:eastAsia="bg-BG"/>
        </w:rPr>
        <w:t xml:space="preserve">Обемът на разпределение е около 0,15 </w:t>
      </w:r>
      <w:r w:rsidRPr="003D58DD">
        <w:t xml:space="preserve">1/kg </w:t>
      </w:r>
      <w:r w:rsidRPr="003D58DD">
        <w:rPr>
          <w:lang w:val="bg-BG" w:eastAsia="bg-BG"/>
        </w:rPr>
        <w:t>и свързването със серумните протеини е около 98%.</w:t>
      </w:r>
    </w:p>
    <w:p w14:paraId="015F9D47" w14:textId="77777777" w:rsidR="003D58DD" w:rsidRDefault="003D58DD" w:rsidP="003D58DD">
      <w:pPr>
        <w:rPr>
          <w:lang w:val="bg-BG" w:eastAsia="bg-BG"/>
        </w:rPr>
      </w:pPr>
    </w:p>
    <w:p w14:paraId="48F2EAD3" w14:textId="4C21637E" w:rsidR="003D58DD" w:rsidRPr="003D58DD" w:rsidRDefault="003D58DD" w:rsidP="003D58DD">
      <w:pPr>
        <w:pStyle w:val="Heading3"/>
        <w:rPr>
          <w:rFonts w:eastAsia="Times New Roman"/>
          <w:u w:val="single"/>
          <w:lang w:val="bg-BG" w:eastAsia="bg-BG"/>
        </w:rPr>
      </w:pPr>
      <w:r w:rsidRPr="003D58DD">
        <w:rPr>
          <w:rFonts w:eastAsia="Times New Roman"/>
          <w:u w:val="single"/>
          <w:lang w:val="bg-BG" w:eastAsia="bg-BG"/>
        </w:rPr>
        <w:lastRenderedPageBreak/>
        <w:t>Биотрансформация</w:t>
      </w:r>
    </w:p>
    <w:p w14:paraId="51D99EAA" w14:textId="77777777" w:rsidR="003D58DD" w:rsidRPr="003D58DD" w:rsidRDefault="003D58DD" w:rsidP="003D58DD">
      <w:pPr>
        <w:rPr>
          <w:sz w:val="24"/>
          <w:szCs w:val="24"/>
          <w:lang w:val="bg-BG"/>
        </w:rPr>
      </w:pPr>
      <w:proofErr w:type="spellStart"/>
      <w:r w:rsidRPr="003D58DD">
        <w:rPr>
          <w:lang w:val="bg-BG" w:eastAsia="bg-BG"/>
        </w:rPr>
        <w:t>Пантопразол</w:t>
      </w:r>
      <w:proofErr w:type="spellEnd"/>
      <w:r w:rsidRPr="003D58DD">
        <w:rPr>
          <w:lang w:val="bg-BG" w:eastAsia="bg-BG"/>
        </w:rPr>
        <w:t xml:space="preserve"> се </w:t>
      </w:r>
      <w:proofErr w:type="spellStart"/>
      <w:r w:rsidRPr="003D58DD">
        <w:rPr>
          <w:lang w:val="bg-BG" w:eastAsia="bg-BG"/>
        </w:rPr>
        <w:t>метаболизира</w:t>
      </w:r>
      <w:proofErr w:type="spellEnd"/>
      <w:r w:rsidRPr="003D58DD">
        <w:rPr>
          <w:lang w:val="bg-BG" w:eastAsia="bg-BG"/>
        </w:rPr>
        <w:t xml:space="preserve"> предимно в черния дроб. Основният метаболитен път е </w:t>
      </w:r>
      <w:proofErr w:type="spellStart"/>
      <w:r w:rsidRPr="003D58DD">
        <w:rPr>
          <w:lang w:val="bg-BG" w:eastAsia="bg-BG"/>
        </w:rPr>
        <w:t>деметилиране</w:t>
      </w:r>
      <w:proofErr w:type="spellEnd"/>
      <w:r w:rsidRPr="003D58DD">
        <w:rPr>
          <w:lang w:val="bg-BG" w:eastAsia="bg-BG"/>
        </w:rPr>
        <w:t xml:space="preserve"> от </w:t>
      </w:r>
      <w:r w:rsidRPr="003D58DD">
        <w:t xml:space="preserve">CYP2C19 </w:t>
      </w:r>
      <w:r w:rsidRPr="003D58DD">
        <w:rPr>
          <w:lang w:val="bg-BG" w:eastAsia="bg-BG"/>
        </w:rPr>
        <w:t xml:space="preserve">с последваща сулфатна </w:t>
      </w:r>
      <w:proofErr w:type="spellStart"/>
      <w:r w:rsidRPr="003D58DD">
        <w:rPr>
          <w:lang w:val="bg-BG" w:eastAsia="bg-BG"/>
        </w:rPr>
        <w:t>конюгация</w:t>
      </w:r>
      <w:proofErr w:type="spellEnd"/>
      <w:r w:rsidRPr="003D58DD">
        <w:rPr>
          <w:lang w:val="bg-BG" w:eastAsia="bg-BG"/>
        </w:rPr>
        <w:t xml:space="preserve">; друг метаболитен път включва оксидация от </w:t>
      </w:r>
      <w:r w:rsidRPr="003D58DD">
        <w:t>CYP3A4.</w:t>
      </w:r>
    </w:p>
    <w:p w14:paraId="42434428" w14:textId="77777777" w:rsidR="003D58DD" w:rsidRDefault="003D58DD" w:rsidP="003D58DD">
      <w:pPr>
        <w:rPr>
          <w:lang w:val="bg-BG" w:eastAsia="bg-BG"/>
        </w:rPr>
      </w:pPr>
    </w:p>
    <w:p w14:paraId="24A8CF07" w14:textId="7B749349" w:rsidR="003D58DD" w:rsidRPr="003D58DD" w:rsidRDefault="003D58DD" w:rsidP="003D58DD">
      <w:pPr>
        <w:pStyle w:val="Heading3"/>
        <w:rPr>
          <w:rFonts w:eastAsia="Times New Roman"/>
          <w:u w:val="single"/>
          <w:lang w:val="bg-BG"/>
        </w:rPr>
      </w:pPr>
      <w:r w:rsidRPr="003D58DD">
        <w:rPr>
          <w:rFonts w:eastAsia="Times New Roman"/>
          <w:u w:val="single"/>
          <w:lang w:val="bg-BG" w:eastAsia="bg-BG"/>
        </w:rPr>
        <w:t>Елиминиране</w:t>
      </w:r>
    </w:p>
    <w:p w14:paraId="7B1B0F43" w14:textId="77777777" w:rsidR="003D58DD" w:rsidRPr="003D58DD" w:rsidRDefault="003D58DD" w:rsidP="003D58DD">
      <w:pPr>
        <w:rPr>
          <w:sz w:val="24"/>
          <w:szCs w:val="24"/>
          <w:lang w:val="bg-BG"/>
        </w:rPr>
      </w:pPr>
      <w:proofErr w:type="spellStart"/>
      <w:r w:rsidRPr="003D58DD">
        <w:rPr>
          <w:lang w:val="bg-BG" w:eastAsia="bg-BG"/>
        </w:rPr>
        <w:t>Клирънсът</w:t>
      </w:r>
      <w:proofErr w:type="spellEnd"/>
      <w:r w:rsidRPr="003D58DD">
        <w:rPr>
          <w:lang w:val="bg-BG" w:eastAsia="bg-BG"/>
        </w:rPr>
        <w:t xml:space="preserve"> е около 0,1 </w:t>
      </w:r>
      <w:r w:rsidRPr="003D58DD">
        <w:t xml:space="preserve">1/h/kg </w:t>
      </w:r>
      <w:r w:rsidRPr="003D58DD">
        <w:rPr>
          <w:lang w:val="bg-BG" w:eastAsia="bg-BG"/>
        </w:rPr>
        <w:t xml:space="preserve">и терминалният полуживот </w:t>
      </w:r>
      <w:r w:rsidRPr="003D58DD">
        <w:t>(</w:t>
      </w:r>
      <w:proofErr w:type="spellStart"/>
      <w:r w:rsidRPr="003D58DD">
        <w:t>tl</w:t>
      </w:r>
      <w:proofErr w:type="spellEnd"/>
      <w:r w:rsidRPr="003D58DD">
        <w:t xml:space="preserve">/2) </w:t>
      </w:r>
      <w:r w:rsidRPr="003D58DD">
        <w:rPr>
          <w:lang w:val="bg-BG" w:eastAsia="bg-BG"/>
        </w:rPr>
        <w:t xml:space="preserve">е около 1 </w:t>
      </w:r>
      <w:r w:rsidRPr="003D58DD">
        <w:t xml:space="preserve">h. </w:t>
      </w:r>
      <w:r w:rsidRPr="003D58DD">
        <w:rPr>
          <w:lang w:val="bg-BG" w:eastAsia="bg-BG"/>
        </w:rPr>
        <w:t xml:space="preserve">Поради специфичното свързване на </w:t>
      </w:r>
      <w:proofErr w:type="spellStart"/>
      <w:r w:rsidRPr="003D58DD">
        <w:rPr>
          <w:lang w:val="bg-BG" w:eastAsia="bg-BG"/>
        </w:rPr>
        <w:t>пантопразола</w:t>
      </w:r>
      <w:proofErr w:type="spellEnd"/>
      <w:r w:rsidRPr="003D58DD">
        <w:rPr>
          <w:lang w:val="bg-BG" w:eastAsia="bg-BG"/>
        </w:rPr>
        <w:t xml:space="preserve"> с </w:t>
      </w:r>
      <w:proofErr w:type="spellStart"/>
      <w:r w:rsidRPr="003D58DD">
        <w:rPr>
          <w:lang w:val="bg-BG" w:eastAsia="bg-BG"/>
        </w:rPr>
        <w:t>протонната</w:t>
      </w:r>
      <w:proofErr w:type="spellEnd"/>
      <w:r w:rsidRPr="003D58DD">
        <w:rPr>
          <w:lang w:val="bg-BG" w:eastAsia="bg-BG"/>
        </w:rPr>
        <w:t xml:space="preserve"> помпа в </w:t>
      </w:r>
      <w:proofErr w:type="spellStart"/>
      <w:r w:rsidRPr="003D58DD">
        <w:rPr>
          <w:lang w:val="bg-BG" w:eastAsia="bg-BG"/>
        </w:rPr>
        <w:t>париеталните</w:t>
      </w:r>
      <w:proofErr w:type="spellEnd"/>
      <w:r w:rsidRPr="003D58DD">
        <w:rPr>
          <w:lang w:val="bg-BG" w:eastAsia="bg-BG"/>
        </w:rPr>
        <w:t xml:space="preserve"> клетки, </w:t>
      </w:r>
      <w:proofErr w:type="spellStart"/>
      <w:r w:rsidRPr="003D58DD">
        <w:rPr>
          <w:lang w:val="bg-BG" w:eastAsia="bg-BG"/>
        </w:rPr>
        <w:t>елеминационният</w:t>
      </w:r>
      <w:proofErr w:type="spellEnd"/>
      <w:r w:rsidRPr="003D58DD">
        <w:rPr>
          <w:lang w:val="bg-BG" w:eastAsia="bg-BG"/>
        </w:rPr>
        <w:t xml:space="preserve"> полуживот не </w:t>
      </w:r>
      <w:proofErr w:type="spellStart"/>
      <w:r w:rsidRPr="003D58DD">
        <w:rPr>
          <w:lang w:val="bg-BG" w:eastAsia="bg-BG"/>
        </w:rPr>
        <w:t>корелира</w:t>
      </w:r>
      <w:proofErr w:type="spellEnd"/>
      <w:r w:rsidRPr="003D58DD">
        <w:rPr>
          <w:lang w:val="bg-BG" w:eastAsia="bg-BG"/>
        </w:rPr>
        <w:t xml:space="preserve"> с много по-дългата продължителност на действие (инхибиране на киселинната секреция).</w:t>
      </w:r>
    </w:p>
    <w:p w14:paraId="093CC595" w14:textId="77777777" w:rsidR="003D58DD" w:rsidRDefault="003D58DD" w:rsidP="003D58DD">
      <w:pPr>
        <w:rPr>
          <w:lang w:val="bg-BG" w:eastAsia="bg-BG"/>
        </w:rPr>
      </w:pPr>
    </w:p>
    <w:p w14:paraId="582587BB" w14:textId="02B5885B" w:rsidR="003D58DD" w:rsidRPr="003D58DD" w:rsidRDefault="003D58DD" w:rsidP="003D58DD">
      <w:pPr>
        <w:rPr>
          <w:sz w:val="24"/>
          <w:szCs w:val="24"/>
          <w:lang w:val="bg-BG"/>
        </w:rPr>
      </w:pPr>
      <w:r w:rsidRPr="003D58DD">
        <w:rPr>
          <w:lang w:val="bg-BG" w:eastAsia="bg-BG"/>
        </w:rPr>
        <w:t xml:space="preserve">Фармакокинетиката не варира след еднократно или повторно прилагане. В </w:t>
      </w:r>
      <w:proofErr w:type="spellStart"/>
      <w:r w:rsidRPr="003D58DD">
        <w:rPr>
          <w:lang w:val="bg-BG" w:eastAsia="bg-BG"/>
        </w:rPr>
        <w:t>дозовия</w:t>
      </w:r>
      <w:proofErr w:type="spellEnd"/>
      <w:r w:rsidRPr="003D58DD">
        <w:rPr>
          <w:lang w:val="bg-BG" w:eastAsia="bg-BG"/>
        </w:rPr>
        <w:t xml:space="preserve"> интервал от 10 до 80 </w:t>
      </w:r>
      <w:r w:rsidRPr="003D58DD">
        <w:t xml:space="preserve">mg </w:t>
      </w:r>
      <w:r w:rsidRPr="003D58DD">
        <w:rPr>
          <w:lang w:val="bg-BG" w:eastAsia="bg-BG"/>
        </w:rPr>
        <w:t xml:space="preserve">плазмената кинетика на </w:t>
      </w:r>
      <w:proofErr w:type="spellStart"/>
      <w:r w:rsidRPr="003D58DD">
        <w:rPr>
          <w:lang w:val="bg-BG" w:eastAsia="bg-BG"/>
        </w:rPr>
        <w:t>пантопразол</w:t>
      </w:r>
      <w:proofErr w:type="spellEnd"/>
      <w:r w:rsidRPr="003D58DD">
        <w:rPr>
          <w:lang w:val="bg-BG" w:eastAsia="bg-BG"/>
        </w:rPr>
        <w:t xml:space="preserve"> е линейна (след перорално или интравенозно приложение).</w:t>
      </w:r>
    </w:p>
    <w:p w14:paraId="6C5136F0" w14:textId="77777777" w:rsidR="003D58DD" w:rsidRDefault="003D58DD" w:rsidP="003D58DD">
      <w:pPr>
        <w:rPr>
          <w:lang w:val="bg-BG" w:eastAsia="bg-BG"/>
        </w:rPr>
      </w:pPr>
    </w:p>
    <w:p w14:paraId="32D4FDA8" w14:textId="7BD66E45" w:rsidR="003D58DD" w:rsidRPr="003D58DD" w:rsidRDefault="003D58DD" w:rsidP="003D58DD">
      <w:pPr>
        <w:rPr>
          <w:sz w:val="24"/>
          <w:szCs w:val="24"/>
          <w:lang w:val="bg-BG"/>
        </w:rPr>
      </w:pPr>
      <w:proofErr w:type="spellStart"/>
      <w:r w:rsidRPr="003D58DD">
        <w:rPr>
          <w:lang w:val="bg-BG" w:eastAsia="bg-BG"/>
        </w:rPr>
        <w:t>Пантопразол</w:t>
      </w:r>
      <w:proofErr w:type="spellEnd"/>
      <w:r w:rsidRPr="003D58DD">
        <w:rPr>
          <w:lang w:val="bg-BG" w:eastAsia="bg-BG"/>
        </w:rPr>
        <w:t xml:space="preserve"> почти напълно се </w:t>
      </w:r>
      <w:proofErr w:type="spellStart"/>
      <w:r w:rsidRPr="003D58DD">
        <w:rPr>
          <w:lang w:val="bg-BG" w:eastAsia="bg-BG"/>
        </w:rPr>
        <w:t>метаболизира</w:t>
      </w:r>
      <w:proofErr w:type="spellEnd"/>
      <w:r w:rsidRPr="003D58DD">
        <w:rPr>
          <w:lang w:val="bg-BG" w:eastAsia="bg-BG"/>
        </w:rPr>
        <w:t xml:space="preserve"> в черния дроб. Бъбречното елиминиране представлява основният път за екскреция (около 80%) за метаболитите на </w:t>
      </w:r>
      <w:proofErr w:type="spellStart"/>
      <w:r w:rsidRPr="003D58DD">
        <w:rPr>
          <w:lang w:val="bg-BG" w:eastAsia="bg-BG"/>
        </w:rPr>
        <w:t>пантопразола</w:t>
      </w:r>
      <w:proofErr w:type="spellEnd"/>
      <w:r w:rsidRPr="003D58DD">
        <w:rPr>
          <w:lang w:val="bg-BG" w:eastAsia="bg-BG"/>
        </w:rPr>
        <w:t xml:space="preserve">, останалата част се </w:t>
      </w:r>
      <w:proofErr w:type="spellStart"/>
      <w:r w:rsidRPr="003D58DD">
        <w:rPr>
          <w:lang w:val="bg-BG" w:eastAsia="bg-BG"/>
        </w:rPr>
        <w:t>екскретира</w:t>
      </w:r>
      <w:proofErr w:type="spellEnd"/>
      <w:r w:rsidRPr="003D58DD">
        <w:rPr>
          <w:lang w:val="bg-BG" w:eastAsia="bg-BG"/>
        </w:rPr>
        <w:t xml:space="preserve"> с </w:t>
      </w:r>
      <w:proofErr w:type="spellStart"/>
      <w:r w:rsidRPr="003D58DD">
        <w:rPr>
          <w:lang w:val="bg-BG" w:eastAsia="bg-BG"/>
        </w:rPr>
        <w:t>фецеса</w:t>
      </w:r>
      <w:proofErr w:type="spellEnd"/>
      <w:r w:rsidRPr="003D58DD">
        <w:rPr>
          <w:lang w:val="bg-BG" w:eastAsia="bg-BG"/>
        </w:rPr>
        <w:t xml:space="preserve">. Основният метаболит в серума и урината е </w:t>
      </w:r>
      <w:proofErr w:type="spellStart"/>
      <w:r w:rsidRPr="003D58DD">
        <w:rPr>
          <w:lang w:val="bg-BG" w:eastAsia="bg-BG"/>
        </w:rPr>
        <w:t>десметилпантопразол</w:t>
      </w:r>
      <w:proofErr w:type="spellEnd"/>
      <w:r w:rsidRPr="003D58DD">
        <w:rPr>
          <w:lang w:val="bg-BG" w:eastAsia="bg-BG"/>
        </w:rPr>
        <w:t xml:space="preserve">, който е сулфатно </w:t>
      </w:r>
      <w:proofErr w:type="spellStart"/>
      <w:r w:rsidRPr="003D58DD">
        <w:rPr>
          <w:lang w:val="bg-BG" w:eastAsia="bg-BG"/>
        </w:rPr>
        <w:t>конюгиран</w:t>
      </w:r>
      <w:proofErr w:type="spellEnd"/>
      <w:r w:rsidRPr="003D58DD">
        <w:rPr>
          <w:lang w:val="bg-BG" w:eastAsia="bg-BG"/>
        </w:rPr>
        <w:t xml:space="preserve">. Полуживотът на основния метаболит (около 1,5 часа) не е много по-дълъг от този на </w:t>
      </w:r>
      <w:proofErr w:type="spellStart"/>
      <w:r w:rsidRPr="003D58DD">
        <w:rPr>
          <w:lang w:val="bg-BG" w:eastAsia="bg-BG"/>
        </w:rPr>
        <w:t>пантопразола</w:t>
      </w:r>
      <w:proofErr w:type="spellEnd"/>
      <w:r w:rsidRPr="003D58DD">
        <w:rPr>
          <w:lang w:val="bg-BG" w:eastAsia="bg-BG"/>
        </w:rPr>
        <w:t>.</w:t>
      </w:r>
    </w:p>
    <w:p w14:paraId="6D5C0D3A" w14:textId="77777777" w:rsidR="003D58DD" w:rsidRDefault="003D58DD" w:rsidP="003D58DD">
      <w:pPr>
        <w:rPr>
          <w:b/>
          <w:bCs/>
          <w:lang w:val="bg-BG" w:eastAsia="bg-BG"/>
        </w:rPr>
      </w:pPr>
      <w:bookmarkStart w:id="1" w:name="bookmark0"/>
    </w:p>
    <w:p w14:paraId="3013DF03" w14:textId="472B90BA" w:rsidR="003D58DD" w:rsidRPr="003D58DD" w:rsidRDefault="003D58DD" w:rsidP="003D58DD">
      <w:pPr>
        <w:rPr>
          <w:sz w:val="24"/>
          <w:szCs w:val="24"/>
          <w:lang w:val="bg-BG"/>
        </w:rPr>
      </w:pPr>
      <w:r w:rsidRPr="003D58DD">
        <w:rPr>
          <w:b/>
          <w:bCs/>
          <w:lang w:val="bg-BG" w:eastAsia="bg-BG"/>
        </w:rPr>
        <w:t>Специални популации</w:t>
      </w:r>
      <w:bookmarkEnd w:id="1"/>
    </w:p>
    <w:p w14:paraId="775B1235" w14:textId="77777777" w:rsidR="003D58DD" w:rsidRDefault="003D58DD" w:rsidP="003D58DD">
      <w:pPr>
        <w:rPr>
          <w:i/>
          <w:iCs/>
          <w:lang w:val="bg-BG" w:eastAsia="bg-BG"/>
        </w:rPr>
      </w:pPr>
    </w:p>
    <w:p w14:paraId="055F4CC9" w14:textId="020AE760" w:rsidR="003D58DD" w:rsidRPr="003D58DD" w:rsidRDefault="003D58DD" w:rsidP="003D58DD">
      <w:pPr>
        <w:rPr>
          <w:sz w:val="24"/>
          <w:szCs w:val="24"/>
          <w:lang w:val="bg-BG"/>
        </w:rPr>
      </w:pPr>
      <w:r w:rsidRPr="003D58DD">
        <w:rPr>
          <w:i/>
          <w:iCs/>
          <w:lang w:val="bg-BG" w:eastAsia="bg-BG"/>
        </w:rPr>
        <w:t>Увредена бъбречна функция</w:t>
      </w:r>
    </w:p>
    <w:p w14:paraId="34117491" w14:textId="77777777" w:rsidR="003D58DD" w:rsidRPr="003D58DD" w:rsidRDefault="003D58DD" w:rsidP="003D58DD">
      <w:pPr>
        <w:rPr>
          <w:sz w:val="24"/>
          <w:szCs w:val="24"/>
          <w:lang w:val="bg-BG"/>
        </w:rPr>
      </w:pPr>
      <w:r w:rsidRPr="003D58DD">
        <w:rPr>
          <w:lang w:val="bg-BG" w:eastAsia="bg-BG"/>
        </w:rPr>
        <w:t xml:space="preserve">Не се препоръчва намаляване на дозата, когато </w:t>
      </w:r>
      <w:proofErr w:type="spellStart"/>
      <w:r w:rsidRPr="003D58DD">
        <w:rPr>
          <w:lang w:val="bg-BG" w:eastAsia="bg-BG"/>
        </w:rPr>
        <w:t>пантопразол</w:t>
      </w:r>
      <w:proofErr w:type="spellEnd"/>
      <w:r w:rsidRPr="003D58DD">
        <w:rPr>
          <w:lang w:val="bg-BG" w:eastAsia="bg-BG"/>
        </w:rPr>
        <w:t xml:space="preserve"> се прилага при пациенти с нарушена бъбречна функция (включително пациенти на хемодиализа, която отстранява само незначителни количества </w:t>
      </w:r>
      <w:proofErr w:type="spellStart"/>
      <w:r w:rsidRPr="003D58DD">
        <w:rPr>
          <w:lang w:val="bg-BG" w:eastAsia="bg-BG"/>
        </w:rPr>
        <w:t>пантопразол</w:t>
      </w:r>
      <w:proofErr w:type="spellEnd"/>
      <w:r w:rsidRPr="003D58DD">
        <w:rPr>
          <w:lang w:val="bg-BG" w:eastAsia="bg-BG"/>
        </w:rPr>
        <w:t xml:space="preserve">). Както при здрави индивиди елиминационният полуживот на </w:t>
      </w:r>
      <w:proofErr w:type="spellStart"/>
      <w:r w:rsidRPr="003D58DD">
        <w:rPr>
          <w:lang w:val="bg-BG" w:eastAsia="bg-BG"/>
        </w:rPr>
        <w:t>пантопразол</w:t>
      </w:r>
      <w:proofErr w:type="spellEnd"/>
      <w:r w:rsidRPr="003D58DD">
        <w:rPr>
          <w:lang w:val="bg-BG" w:eastAsia="bg-BG"/>
        </w:rPr>
        <w:t xml:space="preserve"> е кратък. Независимо, че основният метаболит има по-дълъг полуживот (2-Зчаса) екскрецията е все така бърза и поради това не настъпва кумулация.</w:t>
      </w:r>
    </w:p>
    <w:p w14:paraId="4011B2F3" w14:textId="77777777" w:rsidR="003D58DD" w:rsidRDefault="003D58DD" w:rsidP="003D58DD">
      <w:pPr>
        <w:rPr>
          <w:i/>
          <w:iCs/>
          <w:lang w:val="bg-BG" w:eastAsia="bg-BG"/>
        </w:rPr>
      </w:pPr>
    </w:p>
    <w:p w14:paraId="1CB1A556" w14:textId="1EC9D589" w:rsidR="003D58DD" w:rsidRPr="003D58DD" w:rsidRDefault="003D58DD" w:rsidP="003D58DD">
      <w:pPr>
        <w:rPr>
          <w:sz w:val="24"/>
          <w:szCs w:val="24"/>
          <w:lang w:val="bg-BG"/>
        </w:rPr>
      </w:pPr>
      <w:r w:rsidRPr="003D58DD">
        <w:rPr>
          <w:i/>
          <w:iCs/>
          <w:lang w:val="bg-BG" w:eastAsia="bg-BG"/>
        </w:rPr>
        <w:t>Увредена чернодробна функция</w:t>
      </w:r>
    </w:p>
    <w:p w14:paraId="662092BB" w14:textId="77777777" w:rsidR="003D58DD" w:rsidRPr="003D58DD" w:rsidRDefault="003D58DD" w:rsidP="003D58DD">
      <w:pPr>
        <w:rPr>
          <w:sz w:val="24"/>
          <w:szCs w:val="24"/>
          <w:lang w:val="bg-BG"/>
        </w:rPr>
      </w:pPr>
      <w:r w:rsidRPr="003D58DD">
        <w:rPr>
          <w:lang w:val="bg-BG" w:eastAsia="bg-BG"/>
        </w:rPr>
        <w:t xml:space="preserve">След прилагане на </w:t>
      </w:r>
      <w:proofErr w:type="spellStart"/>
      <w:r w:rsidRPr="003D58DD">
        <w:rPr>
          <w:lang w:val="bg-BG" w:eastAsia="bg-BG"/>
        </w:rPr>
        <w:t>пантопразол</w:t>
      </w:r>
      <w:proofErr w:type="spellEnd"/>
      <w:r w:rsidRPr="003D58DD">
        <w:rPr>
          <w:lang w:val="bg-BG" w:eastAsia="bg-BG"/>
        </w:rPr>
        <w:t xml:space="preserve"> на пациенти с чернодробно увреждане (А, В и С клас по </w:t>
      </w:r>
      <w:r w:rsidRPr="003D58DD">
        <w:rPr>
          <w:i/>
          <w:iCs/>
        </w:rPr>
        <w:t>Child- Pugh)</w:t>
      </w:r>
      <w:r w:rsidRPr="003D58DD">
        <w:t xml:space="preserve"> </w:t>
      </w:r>
      <w:r w:rsidRPr="003D58DD">
        <w:rPr>
          <w:lang w:val="bg-BG" w:eastAsia="bg-BG"/>
        </w:rPr>
        <w:t xml:space="preserve">полуживотът му се удължава до между 3 и 6 часа, а нивата на </w:t>
      </w:r>
      <w:r w:rsidRPr="003D58DD">
        <w:t xml:space="preserve">AUC </w:t>
      </w:r>
      <w:r w:rsidRPr="003D58DD">
        <w:rPr>
          <w:lang w:val="bg-BG" w:eastAsia="bg-BG"/>
        </w:rPr>
        <w:t xml:space="preserve">се увеличават с коефициент от 3-5, докато </w:t>
      </w:r>
      <w:proofErr w:type="spellStart"/>
      <w:r w:rsidRPr="003D58DD">
        <w:rPr>
          <w:lang w:val="bg-BG" w:eastAsia="bg-BG"/>
        </w:rPr>
        <w:t>Стах</w:t>
      </w:r>
      <w:proofErr w:type="spellEnd"/>
      <w:r w:rsidRPr="003D58DD">
        <w:rPr>
          <w:lang w:val="bg-BG" w:eastAsia="bg-BG"/>
        </w:rPr>
        <w:t xml:space="preserve"> се повишава незначително с коефициент 1,3 в сравнение със здрави индивиди.</w:t>
      </w:r>
    </w:p>
    <w:p w14:paraId="6A356E00" w14:textId="77777777" w:rsidR="003D58DD" w:rsidRDefault="003D58DD" w:rsidP="003D58DD">
      <w:pPr>
        <w:rPr>
          <w:i/>
          <w:iCs/>
          <w:lang w:val="bg-BG" w:eastAsia="bg-BG"/>
        </w:rPr>
      </w:pPr>
    </w:p>
    <w:p w14:paraId="0AA9FC82" w14:textId="36154CF0" w:rsidR="003D58DD" w:rsidRPr="003D58DD" w:rsidRDefault="003D58DD" w:rsidP="003D58DD">
      <w:pPr>
        <w:rPr>
          <w:sz w:val="24"/>
          <w:szCs w:val="24"/>
          <w:lang w:val="bg-BG"/>
        </w:rPr>
      </w:pPr>
      <w:r w:rsidRPr="003D58DD">
        <w:rPr>
          <w:i/>
          <w:iCs/>
          <w:lang w:val="bg-BG" w:eastAsia="bg-BG"/>
        </w:rPr>
        <w:t>Пациенти в старческа възраст</w:t>
      </w:r>
    </w:p>
    <w:p w14:paraId="3648C245" w14:textId="77777777" w:rsidR="003D58DD" w:rsidRPr="003D58DD" w:rsidRDefault="003D58DD" w:rsidP="003D58DD">
      <w:pPr>
        <w:rPr>
          <w:sz w:val="24"/>
          <w:szCs w:val="24"/>
          <w:lang w:val="bg-BG"/>
        </w:rPr>
      </w:pPr>
      <w:r w:rsidRPr="003D58DD">
        <w:rPr>
          <w:lang w:val="bg-BG" w:eastAsia="bg-BG"/>
        </w:rPr>
        <w:t xml:space="preserve">Лекото повишение на </w:t>
      </w:r>
      <w:r w:rsidRPr="003D58DD">
        <w:t xml:space="preserve">AUC </w:t>
      </w:r>
      <w:r w:rsidRPr="003D58DD">
        <w:rPr>
          <w:lang w:val="bg-BG" w:eastAsia="bg-BG"/>
        </w:rPr>
        <w:t xml:space="preserve">и </w:t>
      </w:r>
      <w:proofErr w:type="spellStart"/>
      <w:r w:rsidRPr="003D58DD">
        <w:rPr>
          <w:lang w:val="bg-BG" w:eastAsia="bg-BG"/>
        </w:rPr>
        <w:t>Стах</w:t>
      </w:r>
      <w:proofErr w:type="spellEnd"/>
      <w:r w:rsidRPr="003D58DD">
        <w:rPr>
          <w:lang w:val="bg-BG" w:eastAsia="bg-BG"/>
        </w:rPr>
        <w:t xml:space="preserve"> при доброволци в напреднала възраст, в сравнение с по-млади индивиди, не е от клинично значение.</w:t>
      </w:r>
    </w:p>
    <w:p w14:paraId="30688DD1" w14:textId="77777777" w:rsidR="003D58DD" w:rsidRDefault="003D58DD" w:rsidP="003D58DD">
      <w:pPr>
        <w:rPr>
          <w:i/>
          <w:iCs/>
          <w:lang w:val="bg-BG" w:eastAsia="bg-BG"/>
        </w:rPr>
      </w:pPr>
    </w:p>
    <w:p w14:paraId="2051B001" w14:textId="7F746C38" w:rsidR="003D58DD" w:rsidRPr="003D58DD" w:rsidRDefault="003D58DD" w:rsidP="003D58DD">
      <w:pPr>
        <w:rPr>
          <w:sz w:val="24"/>
          <w:szCs w:val="24"/>
          <w:lang w:val="bg-BG"/>
        </w:rPr>
      </w:pPr>
      <w:r w:rsidRPr="003D58DD">
        <w:rPr>
          <w:i/>
          <w:iCs/>
          <w:lang w:val="bg-BG" w:eastAsia="bg-BG"/>
        </w:rPr>
        <w:t>Деца</w:t>
      </w:r>
    </w:p>
    <w:p w14:paraId="78D9CF28" w14:textId="77777777" w:rsidR="003D58DD" w:rsidRPr="003D58DD" w:rsidRDefault="003D58DD" w:rsidP="003D58DD">
      <w:pPr>
        <w:rPr>
          <w:sz w:val="24"/>
          <w:szCs w:val="24"/>
          <w:lang w:val="bg-BG"/>
        </w:rPr>
      </w:pPr>
      <w:r w:rsidRPr="003D58DD">
        <w:rPr>
          <w:lang w:val="bg-BG" w:eastAsia="bg-BG"/>
        </w:rPr>
        <w:t xml:space="preserve">След прилагането на единична доза от 20 до 40 </w:t>
      </w:r>
      <w:r w:rsidRPr="003D58DD">
        <w:t xml:space="preserve">mg/kg </w:t>
      </w:r>
      <w:r w:rsidRPr="003D58DD">
        <w:rPr>
          <w:lang w:val="bg-BG" w:eastAsia="bg-BG"/>
        </w:rPr>
        <w:t xml:space="preserve">телесно тегло </w:t>
      </w:r>
      <w:proofErr w:type="spellStart"/>
      <w:r w:rsidRPr="003D58DD">
        <w:rPr>
          <w:lang w:val="bg-BG" w:eastAsia="bg-BG"/>
        </w:rPr>
        <w:t>перорапно</w:t>
      </w:r>
      <w:proofErr w:type="spellEnd"/>
      <w:r w:rsidRPr="003D58DD">
        <w:rPr>
          <w:lang w:val="bg-BG" w:eastAsia="bg-BG"/>
        </w:rPr>
        <w:t xml:space="preserve"> на деца на възраст от 5-16 години, </w:t>
      </w:r>
      <w:r w:rsidRPr="003D58DD">
        <w:t xml:space="preserve">AUC </w:t>
      </w:r>
      <w:r w:rsidRPr="003D58DD">
        <w:rPr>
          <w:lang w:val="bg-BG" w:eastAsia="bg-BG"/>
        </w:rPr>
        <w:t xml:space="preserve">и С </w:t>
      </w:r>
      <w:r w:rsidRPr="003D58DD">
        <w:t xml:space="preserve">max </w:t>
      </w:r>
      <w:r w:rsidRPr="003D58DD">
        <w:rPr>
          <w:lang w:val="bg-BG" w:eastAsia="bg-BG"/>
        </w:rPr>
        <w:t>са били в диапазона при възрастни пациенти.</w:t>
      </w:r>
    </w:p>
    <w:p w14:paraId="56ED2598" w14:textId="77777777" w:rsidR="003D58DD" w:rsidRPr="003D58DD" w:rsidRDefault="003D58DD" w:rsidP="003D58DD">
      <w:pPr>
        <w:rPr>
          <w:sz w:val="24"/>
          <w:szCs w:val="24"/>
          <w:lang w:val="bg-BG"/>
        </w:rPr>
      </w:pPr>
      <w:r w:rsidRPr="003D58DD">
        <w:rPr>
          <w:lang w:val="bg-BG" w:eastAsia="bg-BG"/>
        </w:rPr>
        <w:t xml:space="preserve">След прилагане на еднократна интравенозна доза </w:t>
      </w:r>
      <w:proofErr w:type="spellStart"/>
      <w:r w:rsidRPr="003D58DD">
        <w:rPr>
          <w:lang w:val="bg-BG" w:eastAsia="bg-BG"/>
        </w:rPr>
        <w:t>пантопразол</w:t>
      </w:r>
      <w:proofErr w:type="spellEnd"/>
      <w:r w:rsidRPr="003D58DD">
        <w:rPr>
          <w:lang w:val="bg-BG" w:eastAsia="bg-BG"/>
        </w:rPr>
        <w:t xml:space="preserve"> от 0,8 или 1,6 </w:t>
      </w:r>
      <w:r w:rsidRPr="003D58DD">
        <w:t xml:space="preserve">mg/kg </w:t>
      </w:r>
      <w:r w:rsidRPr="003D58DD">
        <w:rPr>
          <w:lang w:val="bg-BG" w:eastAsia="bg-BG"/>
        </w:rPr>
        <w:t xml:space="preserve">телесно тегло на деца на възраст между 2-16 години, не е била установена съществена </w:t>
      </w:r>
      <w:r w:rsidRPr="003D58DD">
        <w:rPr>
          <w:lang w:val="bg-BG" w:eastAsia="bg-BG"/>
        </w:rPr>
        <w:lastRenderedPageBreak/>
        <w:t xml:space="preserve">разлика между </w:t>
      </w:r>
      <w:proofErr w:type="spellStart"/>
      <w:r w:rsidRPr="003D58DD">
        <w:rPr>
          <w:lang w:val="bg-BG" w:eastAsia="bg-BG"/>
        </w:rPr>
        <w:t>клирънсът</w:t>
      </w:r>
      <w:proofErr w:type="spellEnd"/>
      <w:r w:rsidRPr="003D58DD">
        <w:rPr>
          <w:lang w:val="bg-BG" w:eastAsia="bg-BG"/>
        </w:rPr>
        <w:t xml:space="preserve"> на </w:t>
      </w:r>
      <w:proofErr w:type="spellStart"/>
      <w:r w:rsidRPr="003D58DD">
        <w:rPr>
          <w:lang w:val="bg-BG" w:eastAsia="bg-BG"/>
        </w:rPr>
        <w:t>пантопразол</w:t>
      </w:r>
      <w:proofErr w:type="spellEnd"/>
      <w:r w:rsidRPr="003D58DD">
        <w:rPr>
          <w:lang w:val="bg-BG" w:eastAsia="bg-BG"/>
        </w:rPr>
        <w:t xml:space="preserve"> и възрастта или телесното тегло. </w:t>
      </w:r>
      <w:r w:rsidRPr="003D58DD">
        <w:t xml:space="preserve">AUC </w:t>
      </w:r>
      <w:r w:rsidRPr="003D58DD">
        <w:rPr>
          <w:lang w:val="bg-BG" w:eastAsia="bg-BG"/>
        </w:rPr>
        <w:t>и обема на разпределение са съответствали на тези при възрастни.</w:t>
      </w:r>
    </w:p>
    <w:p w14:paraId="7287DE54" w14:textId="77777777" w:rsidR="003D58DD" w:rsidRPr="003D58DD" w:rsidRDefault="003D58DD" w:rsidP="003D58DD"/>
    <w:p w14:paraId="134A69A8" w14:textId="299A8BC6" w:rsidR="002C50EE" w:rsidRDefault="002C50EE" w:rsidP="002C50EE">
      <w:pPr>
        <w:pStyle w:val="Heading2"/>
      </w:pPr>
      <w:r>
        <w:t xml:space="preserve">5.3. </w:t>
      </w:r>
      <w:proofErr w:type="spellStart"/>
      <w:r>
        <w:t>Предклинични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безопасност</w:t>
      </w:r>
      <w:proofErr w:type="spellEnd"/>
    </w:p>
    <w:p w14:paraId="04CAB7E1" w14:textId="77777777" w:rsidR="003D58DD" w:rsidRDefault="003D58DD" w:rsidP="003D58DD">
      <w:pPr>
        <w:rPr>
          <w:lang w:val="bg-BG" w:eastAsia="bg-BG"/>
        </w:rPr>
      </w:pPr>
    </w:p>
    <w:p w14:paraId="17806EEA" w14:textId="022C9E8A" w:rsidR="003D58DD" w:rsidRPr="003D58DD" w:rsidRDefault="003D58DD" w:rsidP="003D58DD">
      <w:pPr>
        <w:rPr>
          <w:sz w:val="24"/>
          <w:szCs w:val="24"/>
          <w:lang w:val="bg-BG"/>
        </w:rPr>
      </w:pPr>
      <w:r w:rsidRPr="003D58DD">
        <w:rPr>
          <w:lang w:val="bg-BG" w:eastAsia="bg-BG"/>
        </w:rPr>
        <w:t>Предклиничните данни, базирани на конвенционалните фармакологични</w:t>
      </w:r>
      <w:r w:rsidRPr="003D58DD">
        <w:t xml:space="preserve"> </w:t>
      </w:r>
      <w:r w:rsidRPr="003D58DD">
        <w:rPr>
          <w:lang w:val="bg-BG" w:eastAsia="bg-BG"/>
        </w:rPr>
        <w:t>проучвания за</w:t>
      </w:r>
      <w:r>
        <w:rPr>
          <w:lang w:val="bg-BG" w:eastAsia="bg-BG"/>
        </w:rPr>
        <w:t xml:space="preserve"> </w:t>
      </w:r>
      <w:r w:rsidRPr="003D58DD">
        <w:rPr>
          <w:lang w:val="bg-BG" w:eastAsia="bg-BG"/>
        </w:rPr>
        <w:t xml:space="preserve">безопасност, токсичност при многократно прилагане и </w:t>
      </w:r>
      <w:proofErr w:type="spellStart"/>
      <w:r w:rsidRPr="003D58DD">
        <w:rPr>
          <w:lang w:val="bg-BG" w:eastAsia="bg-BG"/>
        </w:rPr>
        <w:t>генотоксичност</w:t>
      </w:r>
      <w:proofErr w:type="spellEnd"/>
      <w:r w:rsidRPr="003D58DD">
        <w:rPr>
          <w:lang w:val="bg-BG" w:eastAsia="bg-BG"/>
        </w:rPr>
        <w:t>, не показват особен риск за хората.</w:t>
      </w:r>
    </w:p>
    <w:p w14:paraId="551ADA11" w14:textId="77777777" w:rsidR="003D58DD" w:rsidRDefault="003D58DD" w:rsidP="003D58DD">
      <w:pPr>
        <w:rPr>
          <w:lang w:val="bg-BG" w:eastAsia="bg-BG"/>
        </w:rPr>
      </w:pPr>
    </w:p>
    <w:p w14:paraId="352BD229" w14:textId="12AEC07B" w:rsidR="003D58DD" w:rsidRPr="003D58DD" w:rsidRDefault="003D58DD" w:rsidP="003D58DD">
      <w:pPr>
        <w:rPr>
          <w:sz w:val="24"/>
          <w:szCs w:val="24"/>
          <w:lang w:val="bg-BG"/>
        </w:rPr>
      </w:pPr>
      <w:r w:rsidRPr="003D58DD">
        <w:rPr>
          <w:lang w:val="bg-BG" w:eastAsia="bg-BG"/>
        </w:rPr>
        <w:t xml:space="preserve">При двегодишни проучвания за канцерогенност при плъхове са били открити </w:t>
      </w:r>
      <w:proofErr w:type="spellStart"/>
      <w:r w:rsidRPr="003D58DD">
        <w:rPr>
          <w:lang w:val="bg-BG" w:eastAsia="bg-BG"/>
        </w:rPr>
        <w:t>невроендокринни</w:t>
      </w:r>
      <w:proofErr w:type="spellEnd"/>
      <w:r w:rsidRPr="003D58DD">
        <w:rPr>
          <w:lang w:val="bg-BG" w:eastAsia="bg-BG"/>
        </w:rPr>
        <w:t xml:space="preserve"> </w:t>
      </w:r>
      <w:proofErr w:type="spellStart"/>
      <w:r w:rsidRPr="003D58DD">
        <w:rPr>
          <w:lang w:val="bg-BG" w:eastAsia="bg-BG"/>
        </w:rPr>
        <w:t>неоплазми</w:t>
      </w:r>
      <w:proofErr w:type="spellEnd"/>
      <w:r w:rsidRPr="003D58DD">
        <w:rPr>
          <w:lang w:val="bg-BG" w:eastAsia="bg-BG"/>
        </w:rPr>
        <w:t xml:space="preserve">. В допълнение, </w:t>
      </w:r>
      <w:proofErr w:type="spellStart"/>
      <w:r w:rsidRPr="003D58DD">
        <w:rPr>
          <w:lang w:val="bg-BG" w:eastAsia="bg-BG"/>
        </w:rPr>
        <w:t>сквамозноклетьчни</w:t>
      </w:r>
      <w:proofErr w:type="spellEnd"/>
      <w:r w:rsidRPr="003D58DD">
        <w:rPr>
          <w:lang w:val="bg-BG" w:eastAsia="bg-BG"/>
        </w:rPr>
        <w:t xml:space="preserve"> </w:t>
      </w:r>
      <w:proofErr w:type="spellStart"/>
      <w:r w:rsidRPr="003D58DD">
        <w:rPr>
          <w:lang w:val="bg-BG" w:eastAsia="bg-BG"/>
        </w:rPr>
        <w:t>папиломи</w:t>
      </w:r>
      <w:proofErr w:type="spellEnd"/>
      <w:r w:rsidRPr="003D58DD">
        <w:rPr>
          <w:lang w:val="bg-BG" w:eastAsia="bg-BG"/>
        </w:rPr>
        <w:t xml:space="preserve"> са били открити в </w:t>
      </w:r>
      <w:proofErr w:type="spellStart"/>
      <w:r w:rsidRPr="003D58DD">
        <w:rPr>
          <w:lang w:val="bg-BG" w:eastAsia="bg-BG"/>
        </w:rPr>
        <w:t>предстомаха</w:t>
      </w:r>
      <w:proofErr w:type="spellEnd"/>
      <w:r w:rsidRPr="003D58DD">
        <w:rPr>
          <w:lang w:val="bg-BG" w:eastAsia="bg-BG"/>
        </w:rPr>
        <w:t xml:space="preserve"> на плъхове при едно проучване. Механизмът водещ до формиране на стомашни </w:t>
      </w:r>
      <w:proofErr w:type="spellStart"/>
      <w:r w:rsidRPr="003D58DD">
        <w:rPr>
          <w:lang w:val="bg-BG" w:eastAsia="bg-BG"/>
        </w:rPr>
        <w:t>карциноиди</w:t>
      </w:r>
      <w:proofErr w:type="spellEnd"/>
      <w:r w:rsidRPr="003D58DD">
        <w:rPr>
          <w:lang w:val="bg-BG" w:eastAsia="bg-BG"/>
        </w:rPr>
        <w:t xml:space="preserve"> от </w:t>
      </w:r>
      <w:proofErr w:type="spellStart"/>
      <w:r w:rsidRPr="003D58DD">
        <w:rPr>
          <w:lang w:val="bg-BG" w:eastAsia="bg-BG"/>
        </w:rPr>
        <w:t>субституираните</w:t>
      </w:r>
      <w:proofErr w:type="spellEnd"/>
      <w:r w:rsidRPr="003D58DD">
        <w:rPr>
          <w:lang w:val="bg-BG" w:eastAsia="bg-BG"/>
        </w:rPr>
        <w:t xml:space="preserve"> </w:t>
      </w:r>
      <w:proofErr w:type="spellStart"/>
      <w:r w:rsidRPr="003D58DD">
        <w:rPr>
          <w:lang w:val="bg-BG" w:eastAsia="bg-BG"/>
        </w:rPr>
        <w:t>бензимидазоли</w:t>
      </w:r>
      <w:proofErr w:type="spellEnd"/>
      <w:r w:rsidRPr="003D58DD">
        <w:rPr>
          <w:lang w:val="bg-BG" w:eastAsia="bg-BG"/>
        </w:rPr>
        <w:t xml:space="preserve"> е бил внимателно проучен и е достигнато до извода, че това е вторична реакция на силно повишените серумни нива на </w:t>
      </w:r>
      <w:proofErr w:type="spellStart"/>
      <w:r w:rsidRPr="003D58DD">
        <w:rPr>
          <w:lang w:val="bg-BG" w:eastAsia="bg-BG"/>
        </w:rPr>
        <w:t>гастрина</w:t>
      </w:r>
      <w:proofErr w:type="spellEnd"/>
      <w:r w:rsidRPr="003D58DD">
        <w:rPr>
          <w:lang w:val="bg-BG" w:eastAsia="bg-BG"/>
        </w:rPr>
        <w:t>, настъпващи при плъхове по време на хронично лечение с високи дози.</w:t>
      </w:r>
    </w:p>
    <w:p w14:paraId="737961ED" w14:textId="77777777" w:rsidR="003D58DD" w:rsidRDefault="003D58DD" w:rsidP="003D58DD">
      <w:pPr>
        <w:rPr>
          <w:lang w:val="bg-BG" w:eastAsia="bg-BG"/>
        </w:rPr>
      </w:pPr>
    </w:p>
    <w:p w14:paraId="6D2A4FD9" w14:textId="589F547F" w:rsidR="003D58DD" w:rsidRPr="003D58DD" w:rsidRDefault="003D58DD" w:rsidP="003D58DD">
      <w:pPr>
        <w:rPr>
          <w:sz w:val="24"/>
          <w:szCs w:val="24"/>
          <w:lang w:val="bg-BG"/>
        </w:rPr>
      </w:pPr>
      <w:r w:rsidRPr="003D58DD">
        <w:rPr>
          <w:lang w:val="bg-BG" w:eastAsia="bg-BG"/>
        </w:rPr>
        <w:t xml:space="preserve">При двегодишни проучвания върху гризачи е установен увеличен брой на </w:t>
      </w:r>
      <w:proofErr w:type="spellStart"/>
      <w:r w:rsidRPr="003D58DD">
        <w:rPr>
          <w:lang w:val="bg-BG" w:eastAsia="bg-BG"/>
        </w:rPr>
        <w:t>чернодоробни</w:t>
      </w:r>
      <w:proofErr w:type="spellEnd"/>
      <w:r w:rsidRPr="003D58DD">
        <w:rPr>
          <w:lang w:val="bg-BG" w:eastAsia="bg-BG"/>
        </w:rPr>
        <w:t xml:space="preserve"> тумори при плъхове (само при едно проучване при плъхове) и женски мишки, което е интерпретирано като следствие на високата степен на метаболизъм на </w:t>
      </w:r>
      <w:proofErr w:type="spellStart"/>
      <w:r w:rsidRPr="003D58DD">
        <w:rPr>
          <w:lang w:val="bg-BG" w:eastAsia="bg-BG"/>
        </w:rPr>
        <w:t>пантопразол</w:t>
      </w:r>
      <w:proofErr w:type="spellEnd"/>
      <w:r w:rsidRPr="003D58DD">
        <w:rPr>
          <w:lang w:val="bg-BG" w:eastAsia="bg-BG"/>
        </w:rPr>
        <w:t xml:space="preserve"> в черния дроб.</w:t>
      </w:r>
    </w:p>
    <w:p w14:paraId="34BD2E20" w14:textId="77777777" w:rsidR="003D58DD" w:rsidRDefault="003D58DD" w:rsidP="003D58DD">
      <w:pPr>
        <w:rPr>
          <w:lang w:val="bg-BG" w:eastAsia="bg-BG"/>
        </w:rPr>
      </w:pPr>
    </w:p>
    <w:p w14:paraId="0B4639B0" w14:textId="404BBDCD" w:rsidR="003D58DD" w:rsidRPr="003D58DD" w:rsidRDefault="003D58DD" w:rsidP="003D58DD">
      <w:pPr>
        <w:rPr>
          <w:sz w:val="24"/>
          <w:szCs w:val="24"/>
          <w:lang w:val="bg-BG"/>
        </w:rPr>
      </w:pPr>
      <w:r w:rsidRPr="003D58DD">
        <w:rPr>
          <w:lang w:val="bg-BG" w:eastAsia="bg-BG"/>
        </w:rPr>
        <w:t xml:space="preserve">Слабо увеличение на честотата на </w:t>
      </w:r>
      <w:proofErr w:type="spellStart"/>
      <w:r w:rsidRPr="003D58DD">
        <w:rPr>
          <w:lang w:val="bg-BG" w:eastAsia="bg-BG"/>
        </w:rPr>
        <w:t>неопластичните</w:t>
      </w:r>
      <w:proofErr w:type="spellEnd"/>
      <w:r w:rsidRPr="003D58DD">
        <w:rPr>
          <w:lang w:val="bg-BG" w:eastAsia="bg-BG"/>
        </w:rPr>
        <w:t xml:space="preserve"> </w:t>
      </w:r>
      <w:proofErr w:type="spellStart"/>
      <w:r w:rsidRPr="003D58DD">
        <w:rPr>
          <w:lang w:val="bg-BG" w:eastAsia="bg-BG"/>
        </w:rPr>
        <w:t>измененния</w:t>
      </w:r>
      <w:proofErr w:type="spellEnd"/>
      <w:r w:rsidRPr="003D58DD">
        <w:rPr>
          <w:lang w:val="bg-BG" w:eastAsia="bg-BG"/>
        </w:rPr>
        <w:t xml:space="preserve"> на щитовидната жлеза е установено при групата плъхове, третирани с най-висока доза (200 </w:t>
      </w:r>
      <w:r w:rsidRPr="003D58DD">
        <w:t xml:space="preserve">mg/kg) </w:t>
      </w:r>
      <w:r w:rsidRPr="003D58DD">
        <w:rPr>
          <w:lang w:val="bg-BG" w:eastAsia="bg-BG"/>
        </w:rPr>
        <w:t xml:space="preserve">при едно двегодишно проучване. Наличието на тези новообразувания е свързано с предизвиканите от </w:t>
      </w:r>
      <w:proofErr w:type="spellStart"/>
      <w:r w:rsidRPr="003D58DD">
        <w:rPr>
          <w:lang w:val="bg-BG" w:eastAsia="bg-BG"/>
        </w:rPr>
        <w:t>пантопразол</w:t>
      </w:r>
      <w:proofErr w:type="spellEnd"/>
      <w:r w:rsidRPr="003D58DD">
        <w:rPr>
          <w:lang w:val="bg-BG" w:eastAsia="bg-BG"/>
        </w:rPr>
        <w:t xml:space="preserve"> промени в </w:t>
      </w:r>
      <w:proofErr w:type="spellStart"/>
      <w:r w:rsidRPr="003D58DD">
        <w:rPr>
          <w:lang w:val="bg-BG" w:eastAsia="bg-BG"/>
        </w:rPr>
        <w:t>катаболизма</w:t>
      </w:r>
      <w:proofErr w:type="spellEnd"/>
      <w:r w:rsidRPr="003D58DD">
        <w:rPr>
          <w:lang w:val="bg-BG" w:eastAsia="bg-BG"/>
        </w:rPr>
        <w:t xml:space="preserve"> на </w:t>
      </w:r>
      <w:proofErr w:type="spellStart"/>
      <w:r w:rsidRPr="003D58DD">
        <w:rPr>
          <w:lang w:val="bg-BG" w:eastAsia="bg-BG"/>
        </w:rPr>
        <w:t>тироксина</w:t>
      </w:r>
      <w:proofErr w:type="spellEnd"/>
      <w:r w:rsidRPr="003D58DD">
        <w:rPr>
          <w:lang w:val="bg-BG" w:eastAsia="bg-BG"/>
        </w:rPr>
        <w:t xml:space="preserve"> в черния дроб на плъха. Тъй като при човека дозата е ниска, не се очакват нежелани реакции от страна на щитовидната жлеза.</w:t>
      </w:r>
    </w:p>
    <w:p w14:paraId="593779E2" w14:textId="77777777" w:rsidR="003D58DD" w:rsidRDefault="003D58DD" w:rsidP="003D58DD">
      <w:pPr>
        <w:rPr>
          <w:lang w:val="bg-BG" w:eastAsia="bg-BG"/>
        </w:rPr>
      </w:pPr>
    </w:p>
    <w:p w14:paraId="201FC02C" w14:textId="66580151" w:rsidR="003D58DD" w:rsidRPr="003D58DD" w:rsidRDefault="003D58DD" w:rsidP="003D58DD">
      <w:pPr>
        <w:rPr>
          <w:sz w:val="24"/>
          <w:szCs w:val="24"/>
          <w:lang w:val="bg-BG"/>
        </w:rPr>
      </w:pPr>
      <w:r w:rsidRPr="003D58DD">
        <w:rPr>
          <w:lang w:val="bg-BG" w:eastAsia="bg-BG"/>
        </w:rPr>
        <w:t xml:space="preserve">В изпитвания за репродуктивна токсичност проведени при животни в дози по-високи от 5 </w:t>
      </w:r>
      <w:r w:rsidRPr="003D58DD">
        <w:t xml:space="preserve">mg/kg </w:t>
      </w:r>
      <w:r w:rsidRPr="003D58DD">
        <w:rPr>
          <w:lang w:val="bg-BG" w:eastAsia="bg-BG"/>
        </w:rPr>
        <w:t xml:space="preserve">телесно тегло са били наблюдавани признаци и симптоми на </w:t>
      </w:r>
      <w:proofErr w:type="spellStart"/>
      <w:r w:rsidRPr="003D58DD">
        <w:rPr>
          <w:lang w:val="bg-BG" w:eastAsia="bg-BG"/>
        </w:rPr>
        <w:t>лекостепенна</w:t>
      </w:r>
      <w:proofErr w:type="spellEnd"/>
      <w:r w:rsidRPr="003D58DD">
        <w:rPr>
          <w:lang w:val="bg-BG" w:eastAsia="bg-BG"/>
        </w:rPr>
        <w:t xml:space="preserve"> </w:t>
      </w:r>
      <w:proofErr w:type="spellStart"/>
      <w:r w:rsidRPr="003D58DD">
        <w:rPr>
          <w:lang w:val="bg-BG" w:eastAsia="bg-BG"/>
        </w:rPr>
        <w:t>фетотоксичност</w:t>
      </w:r>
      <w:proofErr w:type="spellEnd"/>
      <w:r w:rsidRPr="003D58DD">
        <w:rPr>
          <w:lang w:val="bg-BG" w:eastAsia="bg-BG"/>
        </w:rPr>
        <w:t>.</w:t>
      </w:r>
    </w:p>
    <w:p w14:paraId="7D1C2A67" w14:textId="07F27F72" w:rsidR="003D58DD" w:rsidRPr="003D58DD" w:rsidRDefault="003D58DD" w:rsidP="003D58DD">
      <w:pPr>
        <w:rPr>
          <w:sz w:val="24"/>
          <w:szCs w:val="24"/>
          <w:lang w:val="bg-BG"/>
        </w:rPr>
      </w:pPr>
      <w:r w:rsidRPr="003D58DD">
        <w:rPr>
          <w:lang w:val="bg-BG" w:eastAsia="bg-BG"/>
        </w:rPr>
        <w:t xml:space="preserve">Проведените изследвания не откриват доказателства за увреждане на </w:t>
      </w:r>
      <w:proofErr w:type="spellStart"/>
      <w:r w:rsidRPr="003D58DD">
        <w:rPr>
          <w:lang w:val="bg-BG" w:eastAsia="bg-BG"/>
        </w:rPr>
        <w:t>фертилитета</w:t>
      </w:r>
      <w:proofErr w:type="spellEnd"/>
      <w:r w:rsidRPr="003D58DD">
        <w:rPr>
          <w:lang w:val="bg-BG" w:eastAsia="bg-BG"/>
        </w:rPr>
        <w:t xml:space="preserve"> или тератогенни ефекти. Проникването през плацентата е проучено при плъхове и е установено, че се увеличава с напредване на бременността. В резултат на това, концентрацията на </w:t>
      </w:r>
      <w:proofErr w:type="spellStart"/>
      <w:r w:rsidRPr="003D58DD">
        <w:rPr>
          <w:lang w:val="bg-BG" w:eastAsia="bg-BG"/>
        </w:rPr>
        <w:t>пантопразол</w:t>
      </w:r>
      <w:proofErr w:type="spellEnd"/>
      <w:r w:rsidRPr="003D58DD">
        <w:rPr>
          <w:lang w:val="bg-BG" w:eastAsia="bg-BG"/>
        </w:rPr>
        <w:t xml:space="preserve"> в плода се увеличава непосредствено преди раждането.</w:t>
      </w:r>
    </w:p>
    <w:p w14:paraId="28F0EB38" w14:textId="77777777" w:rsidR="003D58DD" w:rsidRPr="003D58DD" w:rsidRDefault="003D58DD" w:rsidP="003D58DD"/>
    <w:p w14:paraId="28C40F19" w14:textId="6FFCD880" w:rsidR="002C50EE" w:rsidRDefault="002C50EE" w:rsidP="002C50EE">
      <w:pPr>
        <w:pStyle w:val="Heading1"/>
      </w:pPr>
      <w:r>
        <w:t>7. ПРИТЕЖАТЕЛ НА РАЗРЕШЕНИЕТО ЗА УПОТРЕБА</w:t>
      </w:r>
    </w:p>
    <w:p w14:paraId="705F0155" w14:textId="77777777" w:rsidR="003D58DD" w:rsidRPr="003D58DD" w:rsidRDefault="003D58DD" w:rsidP="003D58DD">
      <w:pPr>
        <w:rPr>
          <w:sz w:val="24"/>
          <w:szCs w:val="24"/>
          <w:lang w:val="bg-BG"/>
        </w:rPr>
      </w:pPr>
      <w:r w:rsidRPr="003D58DD">
        <w:rPr>
          <w:lang w:val="bg-BG" w:eastAsia="bg-BG"/>
        </w:rPr>
        <w:t>НОБЕЛ ФАРМА ЕООД</w:t>
      </w:r>
    </w:p>
    <w:p w14:paraId="07C2FF8F" w14:textId="77777777" w:rsidR="003D58DD" w:rsidRPr="003D58DD" w:rsidRDefault="003D58DD" w:rsidP="003D58DD">
      <w:pPr>
        <w:rPr>
          <w:sz w:val="24"/>
          <w:szCs w:val="24"/>
          <w:lang w:val="bg-BG"/>
        </w:rPr>
      </w:pPr>
      <w:r w:rsidRPr="003D58DD">
        <w:rPr>
          <w:lang w:val="bg-BG" w:eastAsia="bg-BG"/>
        </w:rPr>
        <w:t>Околовръстен път № 36</w:t>
      </w:r>
    </w:p>
    <w:p w14:paraId="520AAC50" w14:textId="5ED2D728" w:rsidR="003D58DD" w:rsidRPr="003D58DD" w:rsidRDefault="003D58DD" w:rsidP="003D58DD">
      <w:r w:rsidRPr="003D58DD">
        <w:rPr>
          <w:lang w:val="bg-BG" w:eastAsia="bg-BG"/>
        </w:rPr>
        <w:t>София 1415, България</w:t>
      </w:r>
    </w:p>
    <w:p w14:paraId="04840D59" w14:textId="5994FAF0" w:rsidR="002C50EE" w:rsidRDefault="002C50EE" w:rsidP="002C50EE">
      <w:pPr>
        <w:pStyle w:val="Heading1"/>
      </w:pPr>
      <w:r>
        <w:t>8. НОМЕР НА РАЗРЕШЕНИЕТО ЗА УПОТРЕБА</w:t>
      </w:r>
    </w:p>
    <w:p w14:paraId="58F54CE0" w14:textId="77777777" w:rsidR="003D58DD" w:rsidRPr="003D58DD" w:rsidRDefault="003D58DD" w:rsidP="003D58DD">
      <w:pPr>
        <w:rPr>
          <w:sz w:val="24"/>
          <w:szCs w:val="24"/>
          <w:lang w:val="bg-BG"/>
        </w:rPr>
      </w:pPr>
      <w:r w:rsidRPr="003D58DD">
        <w:rPr>
          <w:lang w:val="bg-BG" w:eastAsia="bg-BG"/>
        </w:rPr>
        <w:t>Регистрационен № 20130444</w:t>
      </w:r>
    </w:p>
    <w:p w14:paraId="436BA81F" w14:textId="77777777" w:rsidR="003D58DD" w:rsidRPr="003D58DD" w:rsidRDefault="003D58DD" w:rsidP="003D58DD"/>
    <w:p w14:paraId="5900CBF3" w14:textId="55930E68" w:rsidR="002C50EE" w:rsidRDefault="002C50EE" w:rsidP="002C50EE">
      <w:pPr>
        <w:pStyle w:val="Heading1"/>
      </w:pPr>
      <w:r>
        <w:lastRenderedPageBreak/>
        <w:t>9. ДАТА НА ПЪРВО РАЗРЕШАВАНЕ/ПОДНОВЯВАНЕ НА РАЗРЕШЕНИЕТО ЗА УПОТРЕБА</w:t>
      </w:r>
    </w:p>
    <w:p w14:paraId="1CD65BCF" w14:textId="77777777" w:rsidR="003D58DD" w:rsidRPr="003D58DD" w:rsidRDefault="003D58DD" w:rsidP="003D58DD">
      <w:pPr>
        <w:rPr>
          <w:sz w:val="24"/>
          <w:szCs w:val="24"/>
          <w:lang w:val="bg-BG"/>
        </w:rPr>
      </w:pPr>
      <w:r w:rsidRPr="003D58DD">
        <w:rPr>
          <w:lang w:val="bg-BG" w:eastAsia="bg-BG"/>
        </w:rPr>
        <w:t>Дата на първо разрешаване: 06.12.2013 г</w:t>
      </w:r>
    </w:p>
    <w:p w14:paraId="059C8E3E" w14:textId="668CC2A7" w:rsidR="003D58DD" w:rsidRPr="003D58DD" w:rsidRDefault="003D58DD" w:rsidP="003D58DD">
      <w:r w:rsidRPr="003D58DD">
        <w:rPr>
          <w:lang w:val="bg-BG" w:eastAsia="bg-BG"/>
        </w:rPr>
        <w:t>Дата на подновяване на разрешението за употреба: 14.02.2019 г.</w:t>
      </w:r>
    </w:p>
    <w:p w14:paraId="0E9D0119" w14:textId="77777777" w:rsidR="002C50EE" w:rsidRDefault="002C50EE" w:rsidP="002C50EE">
      <w:pPr>
        <w:pStyle w:val="Heading1"/>
      </w:pPr>
      <w:r>
        <w:t>10. ДАТА НА АКТУАЛИЗИРАНЕ НА ТЕКСТА</w:t>
      </w:r>
    </w:p>
    <w:bookmarkEnd w:id="0"/>
    <w:p w14:paraId="423F4C2A" w14:textId="41184AE2" w:rsidR="00C87E90" w:rsidRPr="003E3126" w:rsidRDefault="003D58DD" w:rsidP="003D58DD">
      <w:r>
        <w:t>12/2019</w:t>
      </w:r>
    </w:p>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3"/>
  </w:num>
  <w:num w:numId="5">
    <w:abstractNumId w:val="1"/>
  </w:num>
  <w:num w:numId="6">
    <w:abstractNumId w:val="11"/>
  </w:num>
  <w:num w:numId="7">
    <w:abstractNumId w:val="6"/>
  </w:num>
  <w:num w:numId="8">
    <w:abstractNumId w:val="10"/>
  </w:num>
  <w:num w:numId="9">
    <w:abstractNumId w:val="2"/>
  </w:num>
  <w:num w:numId="10">
    <w:abstractNumId w:val="4"/>
  </w:num>
  <w:num w:numId="11">
    <w:abstractNumId w:val="16"/>
  </w:num>
  <w:num w:numId="12">
    <w:abstractNumId w:val="9"/>
  </w:num>
  <w:num w:numId="13">
    <w:abstractNumId w:val="12"/>
  </w:num>
  <w:num w:numId="14">
    <w:abstractNumId w:val="7"/>
  </w:num>
  <w:num w:numId="15">
    <w:abstractNumId w:val="15"/>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4DBB"/>
    <w:rsid w:val="002C50EE"/>
    <w:rsid w:val="00340A0A"/>
    <w:rsid w:val="003D58DD"/>
    <w:rsid w:val="003E3126"/>
    <w:rsid w:val="00517A5B"/>
    <w:rsid w:val="00593A00"/>
    <w:rsid w:val="00605BCA"/>
    <w:rsid w:val="006158A1"/>
    <w:rsid w:val="00617B1F"/>
    <w:rsid w:val="00672487"/>
    <w:rsid w:val="00672600"/>
    <w:rsid w:val="00681D4A"/>
    <w:rsid w:val="00685882"/>
    <w:rsid w:val="0075649D"/>
    <w:rsid w:val="007C0F3B"/>
    <w:rsid w:val="00814073"/>
    <w:rsid w:val="00826F0D"/>
    <w:rsid w:val="00893B92"/>
    <w:rsid w:val="008C70A2"/>
    <w:rsid w:val="009773E4"/>
    <w:rsid w:val="00A20351"/>
    <w:rsid w:val="00AC63CE"/>
    <w:rsid w:val="00AE2107"/>
    <w:rsid w:val="00B275A8"/>
    <w:rsid w:val="00BF2600"/>
    <w:rsid w:val="00C07B84"/>
    <w:rsid w:val="00C33464"/>
    <w:rsid w:val="00C83063"/>
    <w:rsid w:val="00C87E90"/>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mailto:bda@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2021-07-22T11:29:00Z</dcterms:created>
  <dcterms:modified xsi:type="dcterms:W3CDTF">2021-07-22T11:29:00Z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