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B239815" w14:textId="3801BE6B" w:rsidR="00AA23EC" w:rsidRDefault="00DD466D" w:rsidP="00DD466D">
      <w:pPr>
        <w:pStyle w:val="Heading1"/>
      </w:pPr>
      <w:r>
        <w:t>1.ИМЕ НА ЛЕКАРСТВЕНИЯ ПРОДУКТ</w:t>
      </w:r>
    </w:p>
    <w:p w14:paraId="35F2E5DD" w14:textId="426924B4" w:rsidR="007D27EC" w:rsidRDefault="007D27EC" w:rsidP="007D27EC"/>
    <w:p w14:paraId="75145981" w14:textId="77777777" w:rsidR="007D27EC" w:rsidRPr="007D27EC" w:rsidRDefault="007D27EC" w:rsidP="007D27EC">
      <w:pPr>
        <w:rPr>
          <w:sz w:val="24"/>
          <w:szCs w:val="24"/>
        </w:rPr>
      </w:pPr>
      <w:proofErr w:type="spellStart"/>
      <w:r w:rsidRPr="007D27EC">
        <w:rPr>
          <w:lang w:val="en-US"/>
        </w:rPr>
        <w:t>Pulcet</w:t>
      </w:r>
      <w:proofErr w:type="spellEnd"/>
      <w:r w:rsidRPr="007D27EC">
        <w:t xml:space="preserve"> </w:t>
      </w:r>
      <w:r w:rsidRPr="007D27EC">
        <w:rPr>
          <w:lang w:eastAsia="bg-BG"/>
        </w:rPr>
        <w:t xml:space="preserve">40 </w:t>
      </w:r>
      <w:r w:rsidRPr="007D27EC">
        <w:rPr>
          <w:lang w:val="en-US"/>
        </w:rPr>
        <w:t>mg</w:t>
      </w:r>
      <w:r w:rsidRPr="007D27EC">
        <w:t xml:space="preserve"> </w:t>
      </w:r>
      <w:r w:rsidRPr="007D27EC">
        <w:rPr>
          <w:lang w:val="en-US"/>
        </w:rPr>
        <w:t>gastro</w:t>
      </w:r>
      <w:r w:rsidRPr="007D27EC">
        <w:t>-</w:t>
      </w:r>
      <w:r w:rsidRPr="007D27EC">
        <w:rPr>
          <w:lang w:val="en-US"/>
        </w:rPr>
        <w:t>resistant</w:t>
      </w:r>
      <w:r w:rsidRPr="007D27EC">
        <w:t xml:space="preserve"> </w:t>
      </w:r>
      <w:r w:rsidRPr="007D27EC">
        <w:rPr>
          <w:lang w:val="en-US"/>
        </w:rPr>
        <w:t>tablets</w:t>
      </w:r>
    </w:p>
    <w:p w14:paraId="28BA96E3" w14:textId="588A841F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Пул</w:t>
      </w:r>
      <w:r w:rsidR="001436FB">
        <w:rPr>
          <w:lang w:eastAsia="bg-BG"/>
        </w:rPr>
        <w:t>ц</w:t>
      </w:r>
      <w:r w:rsidRPr="007D27EC">
        <w:rPr>
          <w:lang w:eastAsia="bg-BG"/>
        </w:rPr>
        <w:t xml:space="preserve">ет </w:t>
      </w:r>
      <w:r w:rsidRPr="007D27EC">
        <w:t xml:space="preserve">40 </w:t>
      </w:r>
      <w:r w:rsidRPr="007D27EC">
        <w:rPr>
          <w:lang w:val="en-US"/>
        </w:rPr>
        <w:t>mg</w:t>
      </w:r>
      <w:r w:rsidRPr="007D27EC">
        <w:t xml:space="preserve"> </w:t>
      </w:r>
      <w:r w:rsidRPr="007D27EC">
        <w:rPr>
          <w:lang w:eastAsia="bg-BG"/>
        </w:rPr>
        <w:t>стомашно-устойчиви таблетки</w:t>
      </w:r>
    </w:p>
    <w:p w14:paraId="56B1E9ED" w14:textId="77777777" w:rsidR="007D27EC" w:rsidRPr="007D27EC" w:rsidRDefault="007D27EC" w:rsidP="007D27EC"/>
    <w:p w14:paraId="0A368469" w14:textId="193B4108" w:rsidR="00C0049F" w:rsidRDefault="00DD466D" w:rsidP="009F1313">
      <w:pPr>
        <w:pStyle w:val="Heading1"/>
      </w:pPr>
      <w:r>
        <w:t>2. КАЧЕСТВЕН И КОЛИЧЕСТВЕН СЪСТАВ</w:t>
      </w:r>
    </w:p>
    <w:p w14:paraId="113A9D16" w14:textId="10A90BEB" w:rsidR="007D27EC" w:rsidRDefault="007D27EC" w:rsidP="007D27EC"/>
    <w:p w14:paraId="0DE44547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 xml:space="preserve">Всяка стомашно-устойчива таблетка съдържа пантопразол натрий сескихидрат, еквивалентен на 40 </w:t>
      </w:r>
      <w:r w:rsidRPr="007D27EC">
        <w:rPr>
          <w:lang w:val="en-US"/>
        </w:rPr>
        <w:t>mg</w:t>
      </w:r>
      <w:r w:rsidRPr="007D27EC">
        <w:rPr>
          <w:lang w:val="ru-RU"/>
        </w:rPr>
        <w:t xml:space="preserve"> </w:t>
      </w:r>
      <w:r w:rsidRPr="007D27EC">
        <w:rPr>
          <w:lang w:eastAsia="bg-BG"/>
        </w:rPr>
        <w:t xml:space="preserve">пантопразол </w:t>
      </w:r>
      <w:r w:rsidRPr="007D27EC">
        <w:rPr>
          <w:lang w:val="ru-RU"/>
        </w:rPr>
        <w:t>(</w:t>
      </w:r>
      <w:r w:rsidRPr="007D27EC">
        <w:rPr>
          <w:lang w:val="en-US"/>
        </w:rPr>
        <w:t>pantoprazole</w:t>
      </w:r>
      <w:r w:rsidRPr="007D27EC">
        <w:rPr>
          <w:lang w:val="ru-RU"/>
        </w:rPr>
        <w:t>)</w:t>
      </w:r>
    </w:p>
    <w:p w14:paraId="403AEF51" w14:textId="77777777" w:rsidR="007D27EC" w:rsidRPr="007D27EC" w:rsidRDefault="007D27EC" w:rsidP="007D27EC"/>
    <w:p w14:paraId="614984C4" w14:textId="09426127" w:rsidR="008A6AF2" w:rsidRDefault="00DD466D" w:rsidP="002C50EE">
      <w:pPr>
        <w:pStyle w:val="Heading1"/>
      </w:pPr>
      <w:r>
        <w:t>3. ЛЕКАРСТВЕНА ФОРМА</w:t>
      </w:r>
    </w:p>
    <w:p w14:paraId="5295DD06" w14:textId="5A4D106F" w:rsidR="007D27EC" w:rsidRDefault="007D27EC" w:rsidP="007D27EC"/>
    <w:p w14:paraId="160FDF54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Стомашно-устойчива таблетка</w:t>
      </w:r>
    </w:p>
    <w:p w14:paraId="597C69AF" w14:textId="79F768F0" w:rsidR="007D27EC" w:rsidRPr="007D27EC" w:rsidRDefault="007D27EC" w:rsidP="007D27EC">
      <w:r w:rsidRPr="007D27EC">
        <w:rPr>
          <w:lang w:eastAsia="bg-BG"/>
        </w:rPr>
        <w:t>Светло жълти овални стомашно-устойчиви таблетки.</w:t>
      </w:r>
    </w:p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754A29C8" w14:textId="34304510" w:rsidR="00C0049F" w:rsidRDefault="002C50EE" w:rsidP="009F1313">
      <w:pPr>
        <w:pStyle w:val="Heading2"/>
      </w:pPr>
      <w:r>
        <w:t>4.1. Терапевтични показания</w:t>
      </w:r>
    </w:p>
    <w:p w14:paraId="1A864943" w14:textId="2381ADB5" w:rsidR="00395555" w:rsidRDefault="00395555" w:rsidP="00395555"/>
    <w:p w14:paraId="357F4528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Възрастни и юноши над 12 годишна възраст</w:t>
      </w:r>
    </w:p>
    <w:p w14:paraId="6E8CE32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Гастро-езофагеална рефлуксна болест и свързаните с нея (парене зад гръдната кост, киселинен рефлукс, болка при преглъщане, екстраезофагеални оплаквания като хронична кашлица и др.)</w:t>
      </w:r>
    </w:p>
    <w:p w14:paraId="1191CFFB" w14:textId="77777777" w:rsid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DF31DEB" w14:textId="4054D590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Възрастни</w:t>
      </w:r>
    </w:p>
    <w:p w14:paraId="62CF969D" w14:textId="77777777" w:rsidR="007D27EC" w:rsidRPr="007D27EC" w:rsidRDefault="007D27EC" w:rsidP="007D27EC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Премахване на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(</w:t>
      </w:r>
      <w:r w:rsidRPr="007D27EC">
        <w:rPr>
          <w:rFonts w:eastAsia="Times New Roman" w:cs="Arial"/>
          <w:i/>
          <w:iCs/>
          <w:color w:val="000000"/>
          <w:lang w:val="en-US"/>
        </w:rPr>
        <w:t>H</w:t>
      </w:r>
      <w:r w:rsidRPr="007D27EC">
        <w:rPr>
          <w:rFonts w:eastAsia="Times New Roman" w:cs="Arial"/>
          <w:i/>
          <w:iCs/>
          <w:color w:val="000000"/>
          <w:lang w:val="ru-RU"/>
        </w:rPr>
        <w:t>.</w:t>
      </w:r>
      <w:proofErr w:type="spellStart"/>
      <w:r w:rsidRPr="007D27EC">
        <w:rPr>
          <w:rFonts w:eastAsia="Times New Roman" w:cs="Arial"/>
          <w:i/>
          <w:iCs/>
          <w:color w:val="000000"/>
          <w:lang w:val="en-US"/>
        </w:rPr>
        <w:t>pilory</w:t>
      </w:r>
      <w:proofErr w:type="spellEnd"/>
      <w:r w:rsidRPr="007D27EC">
        <w:rPr>
          <w:rFonts w:eastAsia="Times New Roman" w:cs="Arial"/>
          <w:i/>
          <w:iCs/>
          <w:color w:val="000000"/>
          <w:lang w:val="ru-RU"/>
        </w:rPr>
        <w:t>)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в комбинация с два подходящи антибиотика при пациенти с асоциирани с </w:t>
      </w:r>
      <w:r w:rsidRPr="007D27EC">
        <w:rPr>
          <w:rFonts w:eastAsia="Times New Roman" w:cs="Arial"/>
          <w:i/>
          <w:iCs/>
          <w:color w:val="000000"/>
          <w:lang w:val="en-US"/>
        </w:rPr>
        <w:t>H</w:t>
      </w:r>
      <w:r w:rsidRPr="007D27EC">
        <w:rPr>
          <w:rFonts w:eastAsia="Times New Roman" w:cs="Arial"/>
          <w:i/>
          <w:iCs/>
          <w:color w:val="000000"/>
          <w:lang w:val="ru-RU"/>
        </w:rPr>
        <w:t>.</w:t>
      </w:r>
      <w:proofErr w:type="spellStart"/>
      <w:r w:rsidRPr="007D27EC">
        <w:rPr>
          <w:rFonts w:eastAsia="Times New Roman" w:cs="Arial"/>
          <w:i/>
          <w:iCs/>
          <w:color w:val="000000"/>
          <w:lang w:val="en-US"/>
        </w:rPr>
        <w:t>pilory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пептични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язви;</w:t>
      </w:r>
    </w:p>
    <w:p w14:paraId="0DB1420F" w14:textId="77777777" w:rsidR="007D27EC" w:rsidRDefault="007D27EC" w:rsidP="007D27EC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>Стомашна и дуоденална язва</w:t>
      </w:r>
    </w:p>
    <w:p w14:paraId="1EC4A486" w14:textId="577063CB" w:rsidR="007D27EC" w:rsidRPr="007D27EC" w:rsidRDefault="007D27EC" w:rsidP="007D27EC">
      <w:pPr>
        <w:pStyle w:val="ListParagraph"/>
        <w:numPr>
          <w:ilvl w:val="0"/>
          <w:numId w:val="32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 xml:space="preserve">Синдром на </w:t>
      </w:r>
      <w:r w:rsidRPr="007D27EC">
        <w:rPr>
          <w:rFonts w:eastAsia="Times New Roman" w:cs="Arial"/>
          <w:color w:val="000000"/>
          <w:lang w:val="en-US"/>
        </w:rPr>
        <w:t>Zollinger</w:t>
      </w:r>
      <w:r w:rsidRPr="007D27EC">
        <w:rPr>
          <w:rFonts w:eastAsia="Times New Roman" w:cs="Arial"/>
          <w:color w:val="000000"/>
          <w:lang w:val="ru-RU"/>
        </w:rPr>
        <w:t>-</w:t>
      </w:r>
      <w:r w:rsidRPr="007D27EC">
        <w:rPr>
          <w:rFonts w:eastAsia="Times New Roman" w:cs="Arial"/>
          <w:color w:val="000000"/>
          <w:lang w:val="en-US"/>
        </w:rPr>
        <w:t>Ellison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други патологични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хиперсекреторни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състояния</w:t>
      </w:r>
    </w:p>
    <w:p w14:paraId="40F1CF99" w14:textId="77777777" w:rsidR="007D27EC" w:rsidRPr="00395555" w:rsidRDefault="007D27EC" w:rsidP="00395555"/>
    <w:p w14:paraId="7C0CA5EB" w14:textId="643FEEB9" w:rsidR="00C0049F" w:rsidRDefault="002C50EE" w:rsidP="009F1313">
      <w:pPr>
        <w:pStyle w:val="Heading2"/>
      </w:pPr>
      <w:r>
        <w:t>4.2. Дозировка и начин на приложение</w:t>
      </w:r>
    </w:p>
    <w:p w14:paraId="03B60EAB" w14:textId="7A5D7954" w:rsidR="007D27EC" w:rsidRDefault="007D27EC" w:rsidP="007D27EC"/>
    <w:p w14:paraId="58EABB84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Пулсет не трябва да се приема без лекарско предписание.</w:t>
      </w:r>
    </w:p>
    <w:p w14:paraId="5ECAB87D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0289F7A" w14:textId="6DBBF59F" w:rsidR="007D27EC" w:rsidRPr="007D27EC" w:rsidRDefault="007D27EC" w:rsidP="007D27EC">
      <w:pPr>
        <w:pStyle w:val="Heading3"/>
        <w:rPr>
          <w:rFonts w:eastAsia="Times New Roman"/>
          <w:u w:val="single"/>
        </w:rPr>
      </w:pPr>
      <w:r w:rsidRPr="007D27EC">
        <w:rPr>
          <w:rFonts w:eastAsia="Times New Roman"/>
          <w:u w:val="single"/>
          <w:lang w:eastAsia="bg-BG"/>
        </w:rPr>
        <w:t>Дозировка:</w:t>
      </w:r>
    </w:p>
    <w:p w14:paraId="0E882D57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17AF411" w14:textId="4B18B943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Възрастни и деца над 12 годишна възраст</w:t>
      </w:r>
    </w:p>
    <w:p w14:paraId="0916CF3B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4F22DD5" w14:textId="22148AA0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>Гастроезофагеална р</w:t>
      </w:r>
      <w:r w:rsidRPr="007D27EC">
        <w:rPr>
          <w:rFonts w:eastAsia="Times New Roman" w:cs="Arial"/>
          <w:color w:val="000000"/>
          <w:lang w:eastAsia="bg-BG"/>
        </w:rPr>
        <w:t>е</w:t>
      </w:r>
      <w:r w:rsidRPr="007D27EC">
        <w:rPr>
          <w:rFonts w:eastAsia="Times New Roman" w:cs="Arial"/>
          <w:color w:val="000000"/>
          <w:u w:val="single"/>
          <w:lang w:eastAsia="bg-BG"/>
        </w:rPr>
        <w:t>флуксна болест и</w:t>
      </w:r>
      <w:r w:rsidRPr="007D27EC">
        <w:rPr>
          <w:rFonts w:eastAsia="Times New Roman" w:cs="Arial"/>
          <w:color w:val="000000"/>
          <w:lang w:eastAsia="bg-BG"/>
        </w:rPr>
        <w:t xml:space="preserve"> свързаните с нея (парене зад гръдната кост, киселинен рефлукс, болка при преглъщане, екстраезофагеални оплаквания като хронична кашлица и др.)</w:t>
      </w:r>
    </w:p>
    <w:p w14:paraId="48968C94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D50F62" w14:textId="19400899" w:rsidR="007D27EC" w:rsidRPr="007D27EC" w:rsidRDefault="007D27EC" w:rsidP="007D27EC">
      <w:pPr>
        <w:spacing w:line="240" w:lineRule="auto"/>
        <w:rPr>
          <w:rFonts w:eastAsia="Times New Roman" w:cs="Arial"/>
          <w:sz w:val="24"/>
          <w:szCs w:val="24"/>
        </w:rPr>
      </w:pPr>
      <w:r w:rsidRPr="007D27EC">
        <w:rPr>
          <w:rFonts w:eastAsia="Times New Roman" w:cs="Arial"/>
          <w:color w:val="000000"/>
          <w:lang w:eastAsia="bg-BG"/>
        </w:rPr>
        <w:lastRenderedPageBreak/>
        <w:t xml:space="preserve">Една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дневно. При индивидуални случаи дозата може да се удвои (увеличаване до 2 таблетки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дневно), обикновено, при липса на резултат от друго лечение. Обичайно за лечение на гастроезофагеалната рефлуксна болест се изисква 4-седмичен период. Ако това не е достатъчно, оздравяването обикновено се постига след още 4-седмичен терапевтичен курс.</w:t>
      </w:r>
    </w:p>
    <w:p w14:paraId="6F048918" w14:textId="529BF00B" w:rsidR="007D27EC" w:rsidRPr="007D27EC" w:rsidRDefault="007D27EC" w:rsidP="007D27EC">
      <w:pPr>
        <w:rPr>
          <w:rFonts w:cs="Arial"/>
        </w:rPr>
      </w:pPr>
    </w:p>
    <w:p w14:paraId="75033D60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Възрастни:</w:t>
      </w:r>
    </w:p>
    <w:p w14:paraId="5E362CD0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85681D1" w14:textId="0FA23E21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 xml:space="preserve">Премахване на </w:t>
      </w:r>
      <w:r w:rsidRPr="007D27EC">
        <w:rPr>
          <w:rFonts w:eastAsia="Times New Roman" w:cs="Arial"/>
          <w:i/>
          <w:iCs/>
          <w:color w:val="000000"/>
          <w:u w:val="single"/>
          <w:lang w:eastAsia="bg-BG"/>
        </w:rPr>
        <w:t xml:space="preserve">Н. </w:t>
      </w:r>
      <w:r w:rsidRPr="007D27EC">
        <w:rPr>
          <w:rFonts w:eastAsia="Times New Roman" w:cs="Arial"/>
          <w:i/>
          <w:iCs/>
          <w:color w:val="000000"/>
          <w:u w:val="single"/>
          <w:lang w:val="en-US"/>
        </w:rPr>
        <w:t>pylori</w:t>
      </w:r>
      <w:r w:rsidRPr="007D27EC">
        <w:rPr>
          <w:rFonts w:eastAsia="Times New Roman" w:cs="Arial"/>
          <w:color w:val="000000"/>
          <w:u w:val="single"/>
          <w:lang w:val="ru-RU"/>
        </w:rPr>
        <w:t xml:space="preserve"> </w:t>
      </w:r>
      <w:r w:rsidRPr="007D27EC">
        <w:rPr>
          <w:rFonts w:eastAsia="Times New Roman" w:cs="Arial"/>
          <w:color w:val="000000"/>
          <w:u w:val="single"/>
          <w:lang w:eastAsia="bg-BG"/>
        </w:rPr>
        <w:t>в комбинация с два подходящи антибиотика</w:t>
      </w:r>
    </w:p>
    <w:p w14:paraId="49BEDECE" w14:textId="21A3B09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позитивни пациенти със стомашни или дуоденални язви, трябва да се постигне премахване на бактериите чрез комбинирано лечение. Трябва да се следват местните ръководства (напр. националните препоръки) за бактериалната резистентност и правилното предписване и употреба на антибактериални агенти. В зависимост от устойчивостта на причинителя, може да бъдат препоръчани следните комбинации за премахване на </w:t>
      </w:r>
      <w:r w:rsidRPr="007D27EC">
        <w:rPr>
          <w:rFonts w:eastAsia="Times New Roman" w:cs="Arial"/>
          <w:i/>
          <w:iCs/>
          <w:color w:val="000000"/>
          <w:lang w:eastAsia="bg-BG"/>
        </w:rPr>
        <w:t xml:space="preserve">Н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i/>
          <w:iCs/>
          <w:color w:val="000000"/>
          <w:lang w:val="ru-RU"/>
        </w:rPr>
        <w:t>:</w:t>
      </w:r>
    </w:p>
    <w:p w14:paraId="36804A7D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A76614C" w14:textId="5E875EA6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А) два пъти дневно по 1 стомашно-устойчива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</w:p>
    <w:p w14:paraId="6A7F7FFE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+ два пъти дневно по 1000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амоксицилин</w:t>
      </w:r>
    </w:p>
    <w:p w14:paraId="385E15E1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+ два пъти днвено по 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кларитромицин</w:t>
      </w:r>
    </w:p>
    <w:p w14:paraId="5D659FC8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C7A3414" w14:textId="49304CA1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Б) два пъти дневно по 1 стомашно-устойчива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+ два пъти дневно по 400-500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метронидазол (или 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тинидазол) + два пъти дневно по 250-500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кларитромицин</w:t>
      </w:r>
    </w:p>
    <w:p w14:paraId="54375614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72CA6DA" w14:textId="73DF70DF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 xml:space="preserve">В) </w:t>
      </w:r>
      <w:r w:rsidRPr="007D27EC">
        <w:rPr>
          <w:rFonts w:eastAsia="Times New Roman" w:cs="Arial"/>
          <w:color w:val="000000"/>
          <w:lang w:eastAsia="bg-BG"/>
        </w:rPr>
        <w:t xml:space="preserve">два пъти дневно по 1 стомашно-устойчива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+ два пъти дневно по 1000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амоксицилин</w:t>
      </w:r>
    </w:p>
    <w:p w14:paraId="1709CCE5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+ два пъти дневно по 400-500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метронидазол (или 500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тинидазол)</w:t>
      </w:r>
    </w:p>
    <w:p w14:paraId="6476D915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E061C8B" w14:textId="04A2612E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 комбинирана терапия за премахване на инфекция с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i/>
          <w:iCs/>
          <w:color w:val="000000"/>
          <w:lang w:val="ru-RU"/>
        </w:rPr>
        <w:t>,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втората стомашно- устойчива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трябва да се приема преди вечеря. Комбинираната терапия се провежда обичайно 7 дни и може да се продължи допълнително още 7 дни, до обща продължителност до 2 седмици. Ако за осигуряване излекуването на язвите е показано допълнително лечение с пантопразол, трябва да се следват лозовите препоръки за лечение на дуоденална и стомашна язва.</w:t>
      </w:r>
    </w:p>
    <w:p w14:paraId="70BC58AA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B81F8E7" w14:textId="69EE2989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Ако комбинираната терапия не е възможна, например ако пациентът дава негативни тестове за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i/>
          <w:iCs/>
          <w:color w:val="000000"/>
          <w:lang w:val="ru-RU"/>
        </w:rPr>
        <w:t>,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се препоръчват следните дозови насоки за монотерапия с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>:</w:t>
      </w:r>
    </w:p>
    <w:p w14:paraId="57A3E1E0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436B239" w14:textId="3E72DD63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>Лечение на стомашна язва</w:t>
      </w:r>
    </w:p>
    <w:p w14:paraId="01601BBD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Една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дневно, при отделни случаи дозата може да се удвои (повиши до 2 таблетки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), по-специално, когато не е имало отговор на друго лечение. Обичайно за лечение на стомашна язва се изисква 4-седмичен период. Ако това не е достатъчно, оздравяването обикновено се постига след още 4-седмичен курс на лечение.</w:t>
      </w:r>
    </w:p>
    <w:p w14:paraId="0ACBE1F8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F14CBC5" w14:textId="6F542993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>Лечение на дуоденална язва</w:t>
      </w:r>
    </w:p>
    <w:p w14:paraId="3BDA218E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Една таблетка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дневно, при отделни случаи дозата може да се удвои (повиши до 2 таблетки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), по-специално, когато не е имало отговор на друго лечение. Обичайно дуоденалната язва се лекува за 2 седмици. Ако това не е достатъчно, при почти всички случаи оздравяването се постига през следващите 2 седмици.</w:t>
      </w:r>
    </w:p>
    <w:p w14:paraId="0BCA6A14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A46137C" w14:textId="451D3015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 xml:space="preserve">Синдром на </w:t>
      </w:r>
      <w:r w:rsidRPr="007D27EC">
        <w:rPr>
          <w:rFonts w:eastAsia="Times New Roman" w:cs="Arial"/>
          <w:i/>
          <w:iCs/>
          <w:color w:val="000000"/>
          <w:u w:val="single"/>
          <w:lang w:val="en-US"/>
        </w:rPr>
        <w:t>Zollinger</w:t>
      </w:r>
      <w:r w:rsidRPr="007D27EC">
        <w:rPr>
          <w:rFonts w:eastAsia="Times New Roman" w:cs="Arial"/>
          <w:i/>
          <w:iCs/>
          <w:color w:val="000000"/>
          <w:u w:val="single"/>
          <w:lang w:val="ru-RU"/>
        </w:rPr>
        <w:t>-</w:t>
      </w:r>
      <w:r w:rsidRPr="007D27EC">
        <w:rPr>
          <w:rFonts w:eastAsia="Times New Roman" w:cs="Arial"/>
          <w:i/>
          <w:iCs/>
          <w:color w:val="000000"/>
          <w:u w:val="single"/>
          <w:lang w:val="en-US"/>
        </w:rPr>
        <w:t>Ellis</w:t>
      </w:r>
      <w:r w:rsidRPr="007D27EC">
        <w:rPr>
          <w:rFonts w:eastAsia="Times New Roman" w:cs="Arial"/>
          <w:i/>
          <w:iCs/>
          <w:color w:val="000000"/>
          <w:u w:val="single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u w:val="single"/>
          <w:lang w:val="en-US"/>
        </w:rPr>
        <w:t>on</w:t>
      </w:r>
      <w:r w:rsidRPr="007D27EC">
        <w:rPr>
          <w:rFonts w:eastAsia="Times New Roman" w:cs="Arial"/>
          <w:color w:val="000000"/>
          <w:u w:val="single"/>
          <w:lang w:val="ru-RU"/>
        </w:rPr>
        <w:t xml:space="preserve"> </w:t>
      </w:r>
      <w:r w:rsidRPr="007D27EC">
        <w:rPr>
          <w:rFonts w:eastAsia="Times New Roman" w:cs="Arial"/>
          <w:color w:val="000000"/>
          <w:u w:val="single"/>
          <w:lang w:eastAsia="bg-BG"/>
        </w:rPr>
        <w:t>и други патологични хиперсекреторни състояния</w:t>
      </w:r>
    </w:p>
    <w:p w14:paraId="2D66602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За продължително приложение при пациенти със Синдром на </w:t>
      </w:r>
      <w:r w:rsidRPr="007D27EC">
        <w:rPr>
          <w:rFonts w:eastAsia="Times New Roman" w:cs="Arial"/>
          <w:i/>
          <w:iCs/>
          <w:color w:val="000000"/>
          <w:lang w:val="en-US"/>
        </w:rPr>
        <w:t>Zollinger</w:t>
      </w:r>
      <w:r w:rsidRPr="007D27EC">
        <w:rPr>
          <w:rFonts w:eastAsia="Times New Roman" w:cs="Arial"/>
          <w:i/>
          <w:iCs/>
          <w:color w:val="000000"/>
          <w:lang w:val="ru-RU"/>
        </w:rPr>
        <w:t>-</w:t>
      </w:r>
      <w:r w:rsidRPr="007D27EC">
        <w:rPr>
          <w:rFonts w:eastAsia="Times New Roman" w:cs="Arial"/>
          <w:i/>
          <w:iCs/>
          <w:color w:val="000000"/>
          <w:lang w:val="en-US"/>
        </w:rPr>
        <w:t>Ellison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други патологични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хиперсекреторни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състояния, трябва да се започне с дневна доза 80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(2 стомашно- устойчиви таблетки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Пулсет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). </w:t>
      </w:r>
      <w:r w:rsidRPr="007D27EC">
        <w:rPr>
          <w:rFonts w:eastAsia="Times New Roman" w:cs="Arial"/>
          <w:color w:val="000000"/>
          <w:lang w:eastAsia="bg-BG"/>
        </w:rPr>
        <w:t xml:space="preserve">В последствие дозата трябва да се прецизира или намали, въз основа на резултатите от определянето на стомашна киселинна секреция. Дневни дози над 80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трябва да се разделят и да се приемат два пъти дневно. Временното повишаване на дозата над 160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пантопразол е възможно, но не трябва да се прилага по-дълго от необходимото за адекватен контрол на киселинната секреция.</w:t>
      </w:r>
    </w:p>
    <w:p w14:paraId="4B83856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Продължителността на лечението на Синдрома на </w:t>
      </w:r>
      <w:r w:rsidRPr="007D27EC">
        <w:rPr>
          <w:rFonts w:eastAsia="Times New Roman" w:cs="Arial"/>
          <w:i/>
          <w:iCs/>
          <w:color w:val="000000"/>
          <w:lang w:val="en-US"/>
        </w:rPr>
        <w:t>Zollinger</w:t>
      </w:r>
      <w:r w:rsidRPr="007D27EC">
        <w:rPr>
          <w:rFonts w:eastAsia="Times New Roman" w:cs="Arial"/>
          <w:i/>
          <w:iCs/>
          <w:color w:val="000000"/>
          <w:lang w:val="ru-RU"/>
        </w:rPr>
        <w:t>-</w:t>
      </w:r>
      <w:r w:rsidRPr="007D27EC">
        <w:rPr>
          <w:rFonts w:eastAsia="Times New Roman" w:cs="Arial"/>
          <w:i/>
          <w:iCs/>
          <w:color w:val="000000"/>
          <w:lang w:val="en-US"/>
        </w:rPr>
        <w:t>Ellison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другите патологични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хиперсекреторни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състояния не е ограничена и трябва да се адаптира съгласно клиничните условия.</w:t>
      </w:r>
    </w:p>
    <w:p w14:paraId="4354AD83" w14:textId="3DA5B67F" w:rsidR="007D27EC" w:rsidRPr="007D27EC" w:rsidRDefault="007D27EC" w:rsidP="007D27EC">
      <w:pPr>
        <w:rPr>
          <w:rFonts w:cs="Arial"/>
        </w:rPr>
      </w:pPr>
    </w:p>
    <w:p w14:paraId="6B186553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Специални групи пациенти</w:t>
      </w:r>
    </w:p>
    <w:p w14:paraId="129CC0E6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1F40B2E" w14:textId="2C71537E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Деца под 12 годишна възраст</w:t>
      </w:r>
    </w:p>
    <w:p w14:paraId="2A5DAF04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не се препоръчва за употреба при деца под 12 годишна възраст поради ограничените данни за приложението му при тази възрастова група.</w:t>
      </w:r>
    </w:p>
    <w:p w14:paraId="78ECB890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70FF4FB" w14:textId="4223F7F8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Чернодробна недостатъчност</w:t>
      </w:r>
    </w:p>
    <w:p w14:paraId="6A363ACA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 пациенти с тежка чернодробна недостатъчност не трябва да се превишава дневната доза от 20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пантопразол (1 стомашно-устойчива таблетка от 20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пантопразол).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не трябва да се използва за комбинирано лечение за премахване на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при пациенти с умерена и тежка чернодробна дисфункция, тъй като понастоящем няма налични данни за ефикасността и безопасността на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стомашно-устойчиви таблетки при комбинирано лечение при тези пациенти (вж. точка 4.4).</w:t>
      </w:r>
    </w:p>
    <w:p w14:paraId="5811E8FC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D7A5005" w14:textId="78C27BBD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Бъбречна недостатъчност</w:t>
      </w:r>
    </w:p>
    <w:p w14:paraId="185C943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Не е необходима корекция на дозата при пациенти с нарушена бъбречна функция.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не трябва да се използва за комбинирано лечение за премахване на </w:t>
      </w:r>
      <w:r w:rsidRPr="007D27EC">
        <w:rPr>
          <w:rFonts w:eastAsia="Times New Roman" w:cs="Arial"/>
          <w:i/>
          <w:iCs/>
          <w:color w:val="000000"/>
          <w:lang w:val="en-US"/>
        </w:rPr>
        <w:t>Helicobacter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pylori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при пациенти с нарушена бъбречна функция, тъй като понастоящем няма налични данни за ефикасността и безопасността на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стомашно-устойчиви таблетки при комбинирано лечение при тези пациенти.</w:t>
      </w:r>
    </w:p>
    <w:p w14:paraId="0B167CE8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2AF48B1" w14:textId="5261C02E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09847D0E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Не е необходима корекция на дозата при пациенти в напреднала възраст.</w:t>
      </w:r>
    </w:p>
    <w:p w14:paraId="59D16D7A" w14:textId="77777777" w:rsidR="007D27EC" w:rsidRPr="007D27EC" w:rsidRDefault="007D27EC" w:rsidP="007D27EC">
      <w:pPr>
        <w:pStyle w:val="Heading3"/>
        <w:rPr>
          <w:rFonts w:eastAsia="Times New Roman"/>
          <w:u w:val="single"/>
          <w:lang w:eastAsia="bg-BG"/>
        </w:rPr>
      </w:pPr>
    </w:p>
    <w:p w14:paraId="3ABE31E4" w14:textId="0DADA64C" w:rsidR="007D27EC" w:rsidRPr="007D27EC" w:rsidRDefault="007D27EC" w:rsidP="007D27EC">
      <w:pPr>
        <w:pStyle w:val="Heading3"/>
        <w:rPr>
          <w:rFonts w:eastAsia="Times New Roman"/>
          <w:sz w:val="22"/>
          <w:szCs w:val="22"/>
          <w:u w:val="single"/>
        </w:rPr>
      </w:pPr>
      <w:r w:rsidRPr="007D27EC">
        <w:rPr>
          <w:rFonts w:eastAsia="Times New Roman"/>
          <w:sz w:val="22"/>
          <w:szCs w:val="22"/>
          <w:u w:val="single"/>
          <w:lang w:eastAsia="bg-BG"/>
        </w:rPr>
        <w:t>Начин на приложение</w:t>
      </w:r>
    </w:p>
    <w:p w14:paraId="2D8CCD53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Таблетките се приемат с пълна чаша вода, 1 час преди хранене без да се дъвчат или натрошават.</w:t>
      </w:r>
    </w:p>
    <w:p w14:paraId="19570B38" w14:textId="77777777" w:rsidR="007D27EC" w:rsidRPr="007D27EC" w:rsidRDefault="007D27EC" w:rsidP="007D27EC"/>
    <w:p w14:paraId="62B13D0B" w14:textId="6EF97074" w:rsidR="00395555" w:rsidRDefault="002C50EE" w:rsidP="008A6AF2">
      <w:pPr>
        <w:pStyle w:val="Heading2"/>
      </w:pPr>
      <w:r>
        <w:t>4.3. Противопоказания</w:t>
      </w:r>
    </w:p>
    <w:p w14:paraId="725BF412" w14:textId="4CAF3FF6" w:rsidR="007D27EC" w:rsidRDefault="007D27EC" w:rsidP="007D27EC"/>
    <w:p w14:paraId="00805AE3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Свръхчувствителност към активното вещество или към някое от помощните вещества, изброени в точка 6.1.</w:t>
      </w:r>
    </w:p>
    <w:p w14:paraId="7A35B015" w14:textId="77777777" w:rsidR="007D27EC" w:rsidRPr="007D27EC" w:rsidRDefault="007D27EC" w:rsidP="007D27EC"/>
    <w:p w14:paraId="5A4AC413" w14:textId="572B74CE" w:rsidR="00395555" w:rsidRDefault="002C50EE" w:rsidP="008A6AF2">
      <w:pPr>
        <w:pStyle w:val="Heading2"/>
      </w:pPr>
      <w:r>
        <w:lastRenderedPageBreak/>
        <w:t>4.4. Специални предупреждения и предпазни мерки при употреба</w:t>
      </w:r>
    </w:p>
    <w:p w14:paraId="392CE179" w14:textId="09D2ADB6" w:rsidR="007D27EC" w:rsidRDefault="007D27EC" w:rsidP="007D27EC"/>
    <w:p w14:paraId="7840638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Чернодробна недостатъчност</w:t>
      </w:r>
    </w:p>
    <w:p w14:paraId="5937BF5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 пациенти с тежка чернодробна недостатъчност трябва редовно да се следят чернодробните ензими по време на лечението с пантопразол, особено при продължителна терапия. В случай на повишаване на чернодробните ензими лечението с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трябва да се преустанови (вж. точка 4.2).</w:t>
      </w:r>
    </w:p>
    <w:p w14:paraId="051BFC93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AB41930" w14:textId="003B7C4B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Комбинирано лечение</w:t>
      </w:r>
    </w:p>
    <w:p w14:paraId="7A37233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При комбинирано лечение трябва да се съблюдават кратките характеристики на продукта на съответните лекарствени продукти.</w:t>
      </w:r>
    </w:p>
    <w:p w14:paraId="5A7972F1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04E306C" w14:textId="39A06CC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Наличие на алармиращи симптоми</w:t>
      </w:r>
    </w:p>
    <w:p w14:paraId="42A4716E" w14:textId="1DB5572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При наличие на някой алармиращ симптом (напр. значителна нежелана загуба на телесно тегло, рецидивиращо повръщане, дисфагия, хематемеза, анемия или мелена) и когато е суспектна или налична стомашна язва, трябва да се изключи наличието на малигнено заболяване, тъй като лечението с пантопразол може да облекчи симптомите и така да забави диагностицирането.</w:t>
      </w:r>
    </w:p>
    <w:p w14:paraId="725ECEEB" w14:textId="612A5479" w:rsidR="007D27EC" w:rsidRDefault="007D27EC" w:rsidP="007D27EC"/>
    <w:p w14:paraId="6A38CC8D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Трябва да се обсъдят допълнителни изследвания, ако симптомите персистират, независимо от адекватното лечение.</w:t>
      </w:r>
    </w:p>
    <w:p w14:paraId="0361D071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00C3AE1" w14:textId="0B1D701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Едновременното приложение с атазанавир</w:t>
      </w:r>
    </w:p>
    <w:p w14:paraId="103B94A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Едновременното приложение на атазанавир с инхибитори на протонната помпа не се препоръчва (вж. точка 4,5). Ако комбинацията на атазанавир с инхибитори на протонната помпа е приета за неизбежна, се препоръчва стриктно клинично наблюдение (напр. вирусно натоварване) в комбинация с повишена доза атазанавир до 400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със 100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ритонавир. Дневната доза от 20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пантопразол не трябва да се надвишава.</w:t>
      </w:r>
    </w:p>
    <w:p w14:paraId="67A0E9FB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8C3302C" w14:textId="5A86275C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Влияние върху абсорбцията на витамин В12</w:t>
      </w:r>
    </w:p>
    <w:p w14:paraId="531BEFD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 пациенти със синдром на </w:t>
      </w:r>
      <w:r w:rsidRPr="007D27EC">
        <w:rPr>
          <w:rFonts w:eastAsia="Times New Roman" w:cs="Arial"/>
          <w:i/>
          <w:iCs/>
          <w:color w:val="000000"/>
          <w:lang w:val="en-US"/>
        </w:rPr>
        <w:t>Zollinger</w:t>
      </w:r>
      <w:r w:rsidRPr="007D27EC">
        <w:rPr>
          <w:rFonts w:eastAsia="Times New Roman" w:cs="Arial"/>
          <w:i/>
          <w:iCs/>
          <w:color w:val="000000"/>
          <w:lang w:val="ru-RU"/>
        </w:rPr>
        <w:t>-</w:t>
      </w:r>
      <w:r w:rsidRPr="007D27EC">
        <w:rPr>
          <w:rFonts w:eastAsia="Times New Roman" w:cs="Arial"/>
          <w:i/>
          <w:iCs/>
          <w:color w:val="000000"/>
          <w:lang w:val="en-US"/>
        </w:rPr>
        <w:t>Ellison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други патологични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хиперсекреторни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състояния, изискващи продължително лечение,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пантопразол</w:t>
      </w:r>
      <w:proofErr w:type="spellEnd"/>
      <w:r w:rsidRPr="007D27EC">
        <w:rPr>
          <w:rFonts w:eastAsia="Times New Roman" w:cs="Arial"/>
          <w:color w:val="000000"/>
          <w:lang w:eastAsia="bg-BG"/>
        </w:rPr>
        <w:t>, като всички блокиращи секрецията на стомашна киселина лекарства, може да намали резорбцията на витамин (</w:t>
      </w:r>
      <w:proofErr w:type="spellStart"/>
      <w:r w:rsidRPr="007D27EC">
        <w:rPr>
          <w:rFonts w:eastAsia="Times New Roman" w:cs="Arial"/>
          <w:color w:val="000000"/>
          <w:lang w:eastAsia="bg-BG"/>
        </w:rPr>
        <w:t>цианкобалмин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) поради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хипо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- или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ахлорхидрия</w:t>
      </w:r>
      <w:proofErr w:type="spellEnd"/>
      <w:r w:rsidRPr="007D27EC">
        <w:rPr>
          <w:rFonts w:eastAsia="Times New Roman" w:cs="Arial"/>
          <w:color w:val="000000"/>
          <w:lang w:eastAsia="bg-BG"/>
        </w:rPr>
        <w:t>. Това трябва да се има предвид, при пациенти с намалени телесни запаси или рискови фактори за понижена абсорбция на витамин В</w:t>
      </w:r>
      <w:r w:rsidRPr="007D27EC">
        <w:rPr>
          <w:rFonts w:eastAsia="Times New Roman" w:cs="Arial"/>
          <w:color w:val="000000"/>
          <w:vertAlign w:val="subscript"/>
          <w:lang w:eastAsia="bg-BG"/>
        </w:rPr>
        <w:t>12</w:t>
      </w:r>
      <w:r w:rsidRPr="007D27EC">
        <w:rPr>
          <w:rFonts w:eastAsia="Times New Roman" w:cs="Arial"/>
          <w:color w:val="000000"/>
          <w:lang w:eastAsia="bg-BG"/>
        </w:rPr>
        <w:t>, при продължителна терапия или ако се наблюдават съответни клинични симптоми.</w:t>
      </w:r>
    </w:p>
    <w:p w14:paraId="00200207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1CCB523" w14:textId="233D422A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Продължително лечение</w:t>
      </w:r>
    </w:p>
    <w:p w14:paraId="554DFC18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При продължително лечение, особено при продължителност повече от 1 година, пациентите трябва да се наблюдават редовно.</w:t>
      </w:r>
    </w:p>
    <w:p w14:paraId="33F0EEEE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BCD12A4" w14:textId="66FA85EE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Гастро-интестинални инфекции, предизвикани от бактерии</w:t>
      </w:r>
    </w:p>
    <w:p w14:paraId="7550E2F5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Лечението с инхибитори на протонната помпа може би се асоциира с повишен риск от инфекция с </w:t>
      </w:r>
      <w:r w:rsidRPr="007D27EC">
        <w:rPr>
          <w:rFonts w:eastAsia="Times New Roman" w:cs="Arial"/>
          <w:i/>
          <w:iCs/>
          <w:color w:val="000000"/>
          <w:lang w:val="en-US"/>
        </w:rPr>
        <w:t>Clostridium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difficile</w:t>
      </w:r>
      <w:r w:rsidRPr="007D27EC">
        <w:rPr>
          <w:rFonts w:eastAsia="Times New Roman" w:cs="Arial"/>
          <w:i/>
          <w:iCs/>
          <w:color w:val="000000"/>
          <w:lang w:val="ru-RU"/>
        </w:rPr>
        <w:t>.</w:t>
      </w:r>
    </w:p>
    <w:p w14:paraId="3B1FD8D9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Може да се очаква, че пантопразол, както всички други инхибитори на протонната помпа, повишава броя на бактериите, нормално присъстващи в горните отдели на храносмилателния тракт. Лечението с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може да доведе до леко повишен риск от стомашно-чревни инфекции, причинени от бактерии, като </w:t>
      </w:r>
      <w:r w:rsidRPr="007D27EC">
        <w:rPr>
          <w:rFonts w:eastAsia="Times New Roman" w:cs="Arial"/>
          <w:i/>
          <w:iCs/>
          <w:color w:val="000000"/>
          <w:lang w:val="en-US"/>
        </w:rPr>
        <w:t>Salmonella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, </w:t>
      </w:r>
      <w:r w:rsidRPr="007D27EC">
        <w:rPr>
          <w:rFonts w:eastAsia="Times New Roman" w:cs="Arial"/>
          <w:i/>
          <w:iCs/>
          <w:color w:val="000000"/>
          <w:lang w:val="en-US"/>
        </w:rPr>
        <w:t>Campylobacter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eastAsia="bg-BG"/>
        </w:rPr>
        <w:t xml:space="preserve">или </w:t>
      </w:r>
      <w:r w:rsidRPr="007D27EC">
        <w:rPr>
          <w:rFonts w:eastAsia="Times New Roman" w:cs="Arial"/>
          <w:i/>
          <w:iCs/>
          <w:color w:val="000000"/>
          <w:lang w:val="en-US"/>
        </w:rPr>
        <w:t>Clostridium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7D27EC">
        <w:rPr>
          <w:rFonts w:eastAsia="Times New Roman" w:cs="Arial"/>
          <w:i/>
          <w:iCs/>
          <w:color w:val="000000"/>
          <w:lang w:val="en-US"/>
        </w:rPr>
        <w:t>difficile</w:t>
      </w:r>
      <w:r w:rsidRPr="007D27EC">
        <w:rPr>
          <w:rFonts w:eastAsia="Times New Roman" w:cs="Arial"/>
          <w:i/>
          <w:iCs/>
          <w:color w:val="000000"/>
          <w:lang w:val="ru-RU"/>
        </w:rPr>
        <w:t>.</w:t>
      </w:r>
    </w:p>
    <w:p w14:paraId="65123D1B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FCEE2CF" w14:textId="3D0ADECD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Хипомагнезиемия</w:t>
      </w:r>
    </w:p>
    <w:p w14:paraId="4EE00134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Съобщава се за случаи на тежка магнезиемия при прием на инхибитори на протонната помпа, като пантопразол за срок най-малко 3 месеца, а в повечето случаи 1 година. Възможно е да настъпят сериозни прояви на хипомагнезиемия, като умора, повишен мускулен тонус, делир, конвулсии, световъртеж и вентикуларна аритмия, които може е да започнат неусетно и даостанат незабелязани. При повечето засегнати пациенти, след преминаване на заместваща терапия с магнезий и прекратяване приема на инхибитора на протонната помпа, се наблюдава подобряване на хипомагнезиемията.</w:t>
      </w:r>
    </w:p>
    <w:p w14:paraId="029B183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При пациенти, за които се очаква да бъдат на продължителна терапия или които приемат инхибитори на протонната помпа и дигоксин, или лекарства, които могат да предизвикат хипомагнезиемия (например диуретици), медицинските специалисти трябда да обсъдят контрол на нивата на магнезий преди започване и по време на лечението с инхибитори на протонната помпа.</w:t>
      </w:r>
    </w:p>
    <w:p w14:paraId="4A004CB0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2FC8DD0" w14:textId="07BF1E76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 xml:space="preserve">Субакутен кожен лупус еритематодес </w:t>
      </w:r>
      <w:r w:rsidRPr="007D27EC">
        <w:rPr>
          <w:rFonts w:eastAsia="Times New Roman" w:cs="Arial"/>
          <w:i/>
          <w:iCs/>
          <w:color w:val="000000"/>
          <w:lang w:val="ru-RU"/>
        </w:rPr>
        <w:t>(</w:t>
      </w:r>
      <w:r w:rsidRPr="007D27EC">
        <w:rPr>
          <w:rFonts w:eastAsia="Times New Roman" w:cs="Arial"/>
          <w:i/>
          <w:iCs/>
          <w:color w:val="000000"/>
          <w:lang w:val="en-US"/>
        </w:rPr>
        <w:t>SCLE</w:t>
      </w:r>
      <w:r w:rsidRPr="007D27EC">
        <w:rPr>
          <w:rFonts w:eastAsia="Times New Roman" w:cs="Arial"/>
          <w:i/>
          <w:iCs/>
          <w:color w:val="000000"/>
          <w:lang w:val="ru-RU"/>
        </w:rPr>
        <w:t>)</w:t>
      </w:r>
    </w:p>
    <w:p w14:paraId="7DD90EE5" w14:textId="088AE225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 xml:space="preserve">Инхибиторите на протонната помпа са свързани с много редки случаи на </w:t>
      </w:r>
      <w:r w:rsidRPr="007D27EC">
        <w:rPr>
          <w:rFonts w:eastAsia="Times New Roman" w:cs="Arial"/>
          <w:color w:val="000000"/>
          <w:lang w:val="en-US"/>
        </w:rPr>
        <w:t>SCLE</w:t>
      </w:r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eastAsia="bg-BG"/>
        </w:rPr>
        <w:t xml:space="preserve">Ако се появят лезии, особено в участъци от кожата, изложени на слънчеви лъчи, и ако те са съпроводени с болки в ставите, пациентът трябва незабавно да потърси медицинска помощ и медицинският специалист следва да обмисли спиране на приема на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val="en-US"/>
        </w:rPr>
        <w:t>SCLE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 xml:space="preserve">настъпил след предходно лечение с инхибитор на протонната помпа, може да увеличи риска от </w:t>
      </w:r>
      <w:r w:rsidRPr="007D27EC">
        <w:rPr>
          <w:rFonts w:eastAsia="Times New Roman" w:cs="Arial"/>
          <w:color w:val="000000"/>
          <w:lang w:val="en-US"/>
        </w:rPr>
        <w:t>SCLE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при употреба на други инхибитори на протонната помпа.</w:t>
      </w:r>
    </w:p>
    <w:p w14:paraId="53124FA0" w14:textId="00859115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58A4C9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Фрактури на костите</w:t>
      </w:r>
    </w:p>
    <w:p w14:paraId="75A902C3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Приемът на инхибитори на протонната помпа, особено във високи дози и за период повече от една година, може да увеличи риска от фрактури на бедрото, китката и гръбначния стълб, най-вече при пациенти в напреднала възраст или при наличие на други рискови фактори. Проучвания показват, че инхибиторите на протонната помпа могат да повишат риска от фрактури с 10-40%. До известна степен това увеличение е възможно да се дължи и на други рискови фактори. Пациенти с риск от остеопороза трябва да получат грижи отговарящи на съвременните клинични ръководства и да им се осигури адекватен прием на витамин </w:t>
      </w:r>
      <w:r w:rsidRPr="007D27EC">
        <w:rPr>
          <w:rFonts w:eastAsia="Times New Roman" w:cs="Arial"/>
          <w:color w:val="000000"/>
          <w:lang w:val="en-US"/>
        </w:rPr>
        <w:t>D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и калций.</w:t>
      </w:r>
    </w:p>
    <w:p w14:paraId="33A48BBD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FDBDEBC" w14:textId="5BA0673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Повлияване на лабораторните резултати</w:t>
      </w:r>
    </w:p>
    <w:p w14:paraId="60FCC1B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Повишеното ниво на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хромогранин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</w:t>
      </w:r>
      <w:r w:rsidRPr="007D27EC">
        <w:rPr>
          <w:rFonts w:eastAsia="Times New Roman" w:cs="Arial"/>
          <w:color w:val="000000"/>
          <w:lang w:val="en-US"/>
        </w:rPr>
        <w:t>A</w:t>
      </w:r>
      <w:r w:rsidRPr="007D27EC">
        <w:rPr>
          <w:rFonts w:eastAsia="Times New Roman" w:cs="Arial"/>
          <w:color w:val="000000"/>
          <w:lang w:val="ru-RU"/>
        </w:rPr>
        <w:t xml:space="preserve"> (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 xml:space="preserve">може да повлияе на изследванията за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невроендокринни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тумори. За да се избегне това взаимодействие, лечението с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Пулсет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трябва да се спре временно най-малко за 5 дни преди определянето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(вж. точка 5.1). Ако нивата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гастрина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не са се възстановили в референтните си граници след началното определяне, измерването трябва да бъде повторено 14 дни след спиране на лечението с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инхибитор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на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протонната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помпа.</w:t>
      </w:r>
    </w:p>
    <w:p w14:paraId="1F1B91F2" w14:textId="77777777" w:rsidR="007D27EC" w:rsidRPr="007D27EC" w:rsidRDefault="007D27EC" w:rsidP="007D27EC">
      <w:pPr>
        <w:spacing w:line="240" w:lineRule="auto"/>
        <w:rPr>
          <w:rFonts w:ascii="Times New Roman" w:eastAsia="Times New Roman" w:hAnsi="Times New Roman" w:cs="Times New Roman"/>
        </w:rPr>
      </w:pPr>
    </w:p>
    <w:p w14:paraId="2FF7A1BD" w14:textId="77777777" w:rsidR="007D27EC" w:rsidRPr="007D27EC" w:rsidRDefault="007D27EC" w:rsidP="007D27EC"/>
    <w:p w14:paraId="1244F76A" w14:textId="61006349" w:rsidR="00395555" w:rsidRDefault="002C50EE" w:rsidP="008A6AF2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66EDC122" w14:textId="4A172F7C" w:rsidR="007D27EC" w:rsidRDefault="007D27EC" w:rsidP="007D27EC"/>
    <w:p w14:paraId="4E2C11A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Ефект на пантопразол върху абсорбцията на други лекарствени продукти</w:t>
      </w:r>
    </w:p>
    <w:p w14:paraId="0BADF0F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Поради пълното и продължително инхибиране на секрецията на солна киселина, пантопразол може да намали резорбцията на лекарства със зависима от </w:t>
      </w:r>
      <w:r w:rsidRPr="007D27EC">
        <w:rPr>
          <w:rFonts w:eastAsia="Times New Roman" w:cs="Arial"/>
          <w:color w:val="000000"/>
          <w:lang w:val="en-US"/>
        </w:rPr>
        <w:t>pH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на стомаха бионаличност, напр. някои азолови противогъбични средства, като кетоконазол, итраконазол, позаконазол и други лекарства като ерлотиниб.</w:t>
      </w:r>
    </w:p>
    <w:p w14:paraId="52CECEAE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B01E2A3" w14:textId="1D86AE06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Лекарства за лечение на СПИН (атазанавир, нелфинавир)</w:t>
      </w:r>
    </w:p>
    <w:p w14:paraId="026055D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Едновременното приложение на атазанавир и други лекарства против СПИН, чиято резорбция е </w:t>
      </w:r>
      <w:r w:rsidRPr="007D27EC">
        <w:rPr>
          <w:rFonts w:eastAsia="Times New Roman" w:cs="Arial"/>
          <w:color w:val="000000"/>
          <w:lang w:val="en-US"/>
        </w:rPr>
        <w:t>pH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зависима от инхибитори на протонната помпа, може да доведе до значително намаляване на тяхната бионаличност и да повлияе на ефикасността им. По тази причина едновременното приложение на инхибитори на протонната помпа и атазанавир не се препоръчва (вж. точка 4.4). Ако комбинацията на атазанавир с инхибитор на протонната помпа е приета за неизбежна, препоръчва се стриктно клинично наблюдение (напр. вирусно натоварване) в комбинация с повишена доза атазанавир до 400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със 100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ритонавир. Дневната доза от 20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пантопразол не трябва да се надвишава. Поради това дозата трябва да се редуцира до 1 таблетка (40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пантопразол) през ден.</w:t>
      </w:r>
    </w:p>
    <w:p w14:paraId="20EC1FA5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4C8FB28" w14:textId="7B665C3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Кумаринови антикоагуланти (фенпрокумон и варфарин)</w:t>
      </w:r>
    </w:p>
    <w:p w14:paraId="6D580B44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Въпреки, че при клиничните фармакокинетични проучвания при едновременно приложение на фенпрокумон или варфарин не са наблюдавани взаимодействия, са докладвани няколко изолирани случаи на промени в стойностите на Международното нормализирано съотношение </w:t>
      </w:r>
      <w:r w:rsidRPr="007D27EC">
        <w:rPr>
          <w:rFonts w:eastAsia="Times New Roman" w:cs="Arial"/>
          <w:color w:val="000000"/>
          <w:lang w:val="ru-RU"/>
        </w:rPr>
        <w:t>(</w:t>
      </w:r>
      <w:r w:rsidRPr="007D27EC">
        <w:rPr>
          <w:rFonts w:eastAsia="Times New Roman" w:cs="Arial"/>
          <w:color w:val="000000"/>
          <w:lang w:val="en-US"/>
        </w:rPr>
        <w:t>International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val="en-US"/>
        </w:rPr>
        <w:t>Normalized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val="en-US"/>
        </w:rPr>
        <w:t>Ratio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val="en-US"/>
        </w:rPr>
        <w:t>INR</w:t>
      </w:r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>при едновременно приложение през постмаркетинговия период. Поради това, при пациенти лекувани с кумаринови антикоагуланти (например фенпрокумон или варфарин) се препоръчва проследяване на протромбиновото време</w:t>
      </w:r>
      <w:r w:rsidRPr="007D27EC">
        <w:rPr>
          <w:rFonts w:eastAsia="Times New Roman" w:cs="Arial"/>
          <w:color w:val="000000"/>
          <w:lang w:val="ru-RU"/>
        </w:rPr>
        <w:t>/</w:t>
      </w:r>
      <w:r w:rsidRPr="007D27EC">
        <w:rPr>
          <w:rFonts w:eastAsia="Times New Roman" w:cs="Arial"/>
          <w:color w:val="000000"/>
          <w:lang w:val="en-US"/>
        </w:rPr>
        <w:t>INR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след започване, при прекратяване на лечението или по време на нередовна употреба на пантопразол.</w:t>
      </w:r>
    </w:p>
    <w:p w14:paraId="0466EB87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5B52976" w14:textId="413E0C3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Метотрексат</w:t>
      </w:r>
    </w:p>
    <w:p w14:paraId="72047426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Докладвано е, че едновременното приложение на високи дози метотрексат (напр. 300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>и високи дози инхибитори на протонната помпа повишава нивата на метотрексат при някои пациенти. Поради това при състояния, при които се прилага висока доза метотрексат, напр рак или</w:t>
      </w:r>
    </w:p>
    <w:p w14:paraId="768584BB" w14:textId="0EFFE396" w:rsidR="007D27EC" w:rsidRPr="007D27EC" w:rsidRDefault="007D27EC" w:rsidP="007D27EC">
      <w:pPr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>псориазис, може да се наложи обсъждане на временно прекратяване на приложението на пантопразол.</w:t>
      </w:r>
    </w:p>
    <w:p w14:paraId="09CAB994" w14:textId="62DBD362" w:rsidR="007D27EC" w:rsidRPr="007D27EC" w:rsidRDefault="007D27EC" w:rsidP="007D27EC">
      <w:pPr>
        <w:rPr>
          <w:rFonts w:cs="Arial"/>
        </w:rPr>
      </w:pPr>
    </w:p>
    <w:p w14:paraId="4B008EB5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Други проучвания на взаимодействия</w:t>
      </w:r>
    </w:p>
    <w:p w14:paraId="6F6FA04D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Пантопразол се метаболизира предимно в черния дроб чрез ензимната система на цитохром Р-450. Основният път на метаболизъм е деметилиране чрез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19, </w:t>
      </w:r>
      <w:r w:rsidRPr="007D27EC">
        <w:rPr>
          <w:rFonts w:eastAsia="Times New Roman" w:cs="Arial"/>
          <w:color w:val="000000"/>
          <w:lang w:eastAsia="bg-BG"/>
        </w:rPr>
        <w:t xml:space="preserve">а другите метаболитни пътища включват оксидиране чрез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3</w:t>
      </w:r>
      <w:r w:rsidRPr="007D27EC">
        <w:rPr>
          <w:rFonts w:eastAsia="Times New Roman" w:cs="Arial"/>
          <w:color w:val="000000"/>
          <w:lang w:val="en-US"/>
        </w:rPr>
        <w:t>A</w:t>
      </w:r>
      <w:r w:rsidRPr="007D27EC">
        <w:rPr>
          <w:rFonts w:eastAsia="Times New Roman" w:cs="Arial"/>
          <w:color w:val="000000"/>
          <w:lang w:val="ru-RU"/>
        </w:rPr>
        <w:t>4.</w:t>
      </w:r>
    </w:p>
    <w:p w14:paraId="11E87CD6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8658F0D" w14:textId="2C35401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Проучванията показват, че пантопразол не влиза в клинично значимо взаимодействие с други лекарства, които се метаболизират по същите пътища, като карбамазепин, диазепам, глибенкламид, нифедипин и перорални контрацептиви, съдържащи левоноргестрел и етинил естрадиол, не са установени клинично значими взаимодействия.</w:t>
      </w:r>
    </w:p>
    <w:p w14:paraId="59D6BE8B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2DC0E9" w14:textId="1F09E65A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Резултатите от проучванията за обхвата на взаимодействие, показват, че пантопразол не повлиява метаболизма на активните вещества, метаболизиращи се чрез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1</w:t>
      </w:r>
      <w:r w:rsidRPr="007D27EC">
        <w:rPr>
          <w:rFonts w:eastAsia="Times New Roman" w:cs="Arial"/>
          <w:color w:val="000000"/>
          <w:lang w:val="en-US"/>
        </w:rPr>
        <w:t>A</w:t>
      </w:r>
      <w:r w:rsidRPr="007D27EC">
        <w:rPr>
          <w:rFonts w:eastAsia="Times New Roman" w:cs="Arial"/>
          <w:color w:val="000000"/>
          <w:lang w:val="ru-RU"/>
        </w:rPr>
        <w:t xml:space="preserve">2 </w:t>
      </w:r>
      <w:r w:rsidRPr="007D27EC">
        <w:rPr>
          <w:rFonts w:eastAsia="Times New Roman" w:cs="Arial"/>
          <w:color w:val="000000"/>
          <w:lang w:eastAsia="bg-BG"/>
        </w:rPr>
        <w:t xml:space="preserve">(като кофеин, теофилин),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9 </w:t>
      </w:r>
      <w:r w:rsidRPr="007D27EC">
        <w:rPr>
          <w:rFonts w:eastAsia="Times New Roman" w:cs="Arial"/>
          <w:color w:val="000000"/>
          <w:lang w:eastAsia="bg-BG"/>
        </w:rPr>
        <w:t xml:space="preserve">(като пироксикам, диклофенак, напроксен),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D</w:t>
      </w:r>
      <w:r w:rsidRPr="007D27EC">
        <w:rPr>
          <w:rFonts w:eastAsia="Times New Roman" w:cs="Arial"/>
          <w:color w:val="000000"/>
          <w:lang w:val="ru-RU"/>
        </w:rPr>
        <w:t xml:space="preserve">6 </w:t>
      </w:r>
      <w:r w:rsidRPr="007D27EC">
        <w:rPr>
          <w:rFonts w:eastAsia="Times New Roman" w:cs="Arial"/>
          <w:color w:val="000000"/>
          <w:lang w:eastAsia="bg-BG"/>
        </w:rPr>
        <w:t xml:space="preserve">(като меторполол),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E</w:t>
      </w:r>
      <w:r w:rsidRPr="007D27EC">
        <w:rPr>
          <w:rFonts w:eastAsia="Times New Roman" w:cs="Arial"/>
          <w:color w:val="000000"/>
          <w:lang w:val="ru-RU"/>
        </w:rPr>
        <w:t xml:space="preserve">1 </w:t>
      </w:r>
      <w:r w:rsidRPr="007D27EC">
        <w:rPr>
          <w:rFonts w:eastAsia="Times New Roman" w:cs="Arial"/>
          <w:color w:val="000000"/>
          <w:lang w:eastAsia="bg-BG"/>
        </w:rPr>
        <w:t>(като етанол) и не се намесва в свързаната с р-гликопротеин абсорбция на дигоксин.</w:t>
      </w:r>
    </w:p>
    <w:p w14:paraId="30931B64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54E86A9" w14:textId="14B9A246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Не са установени взаимодействия при съвместно приложение с антиацидни продукти.</w:t>
      </w:r>
    </w:p>
    <w:p w14:paraId="7BCD7976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090B6F8" w14:textId="3AB2E379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lastRenderedPageBreak/>
        <w:t>Провеждани са също проучвания на взаимодействието при прилагане на пантопразол едновременно със съответните антибиотици (кларитромицин, метронидазол, амоксицилин). Не са били открити клинично значими взаимодействия.</w:t>
      </w:r>
    </w:p>
    <w:p w14:paraId="500A6AE0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AC81D10" w14:textId="1E58CF03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 xml:space="preserve">Лекарствени продукти които инхибират или индуцират </w:t>
      </w:r>
      <w:r w:rsidRPr="007D27EC">
        <w:rPr>
          <w:rFonts w:eastAsia="Times New Roman" w:cs="Arial"/>
          <w:i/>
          <w:iCs/>
          <w:color w:val="000000"/>
          <w:lang w:val="en-US"/>
        </w:rPr>
        <w:t>CYP</w:t>
      </w:r>
      <w:r w:rsidRPr="007D27EC">
        <w:rPr>
          <w:rFonts w:eastAsia="Times New Roman" w:cs="Arial"/>
          <w:i/>
          <w:iCs/>
          <w:color w:val="000000"/>
          <w:lang w:val="ru-RU"/>
        </w:rPr>
        <w:t>2</w:t>
      </w:r>
      <w:r w:rsidRPr="007D27EC">
        <w:rPr>
          <w:rFonts w:eastAsia="Times New Roman" w:cs="Arial"/>
          <w:i/>
          <w:iCs/>
          <w:color w:val="000000"/>
          <w:lang w:val="en-US"/>
        </w:rPr>
        <w:t>C</w:t>
      </w:r>
      <w:r w:rsidRPr="007D27EC">
        <w:rPr>
          <w:rFonts w:eastAsia="Times New Roman" w:cs="Arial"/>
          <w:i/>
          <w:iCs/>
          <w:color w:val="000000"/>
          <w:lang w:val="ru-RU"/>
        </w:rPr>
        <w:t xml:space="preserve">19 </w:t>
      </w:r>
      <w:r w:rsidRPr="007D27EC">
        <w:rPr>
          <w:rFonts w:eastAsia="Times New Roman" w:cs="Arial"/>
          <w:i/>
          <w:iCs/>
          <w:color w:val="000000"/>
          <w:lang w:eastAsia="bg-BG"/>
        </w:rPr>
        <w:t xml:space="preserve">(такролимус, флувоксамин) </w:t>
      </w:r>
      <w:r w:rsidRPr="007D27EC">
        <w:rPr>
          <w:rFonts w:eastAsia="Times New Roman" w:cs="Arial"/>
          <w:color w:val="000000"/>
          <w:lang w:eastAsia="bg-BG"/>
        </w:rPr>
        <w:t xml:space="preserve">Едновременното приложение на пантопразол и такролимус може да повиши общите серумни нива на такролимус, особено при трансплантирани пациенти, които са средни или бавни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 </w:t>
      </w:r>
      <w:r w:rsidRPr="007D27EC">
        <w:rPr>
          <w:rFonts w:eastAsia="Times New Roman" w:cs="Arial"/>
          <w:color w:val="000000"/>
          <w:lang w:eastAsia="bg-BG"/>
        </w:rPr>
        <w:t>метаболизатори.</w:t>
      </w:r>
    </w:p>
    <w:p w14:paraId="2A0FC7E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Препоръчва се следене на плазмените концентрации на такролимус при започване и прекратяване на едновременното лечение с пантопразол и такролимус.</w:t>
      </w:r>
    </w:p>
    <w:p w14:paraId="3A74C1A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Инхибитори на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19, </w:t>
      </w:r>
      <w:r w:rsidRPr="007D27EC">
        <w:rPr>
          <w:rFonts w:eastAsia="Times New Roman" w:cs="Arial"/>
          <w:color w:val="000000"/>
          <w:lang w:eastAsia="bg-BG"/>
        </w:rPr>
        <w:t xml:space="preserve">като флувоксамин, вероятно могат да повишат системната експозиция на пантопразол. Може да се обсъди дозова редукция при едновременно приложение на пантопразол и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 </w:t>
      </w:r>
      <w:r w:rsidRPr="007D27EC">
        <w:rPr>
          <w:rFonts w:eastAsia="Times New Roman" w:cs="Arial"/>
          <w:color w:val="000000"/>
          <w:lang w:eastAsia="bg-BG"/>
        </w:rPr>
        <w:t>инхибитора флувоксамин.</w:t>
      </w:r>
    </w:p>
    <w:p w14:paraId="26493F34" w14:textId="77777777" w:rsidR="007D27EC" w:rsidRPr="007D27EC" w:rsidRDefault="007D27EC" w:rsidP="007D27EC"/>
    <w:p w14:paraId="6EADE4D6" w14:textId="5B10ED34" w:rsidR="00395555" w:rsidRDefault="002C50EE" w:rsidP="008A6AF2">
      <w:pPr>
        <w:pStyle w:val="Heading2"/>
      </w:pPr>
      <w:r>
        <w:t>4.6. Фертилитет, бременност и кърмене</w:t>
      </w:r>
    </w:p>
    <w:p w14:paraId="3368BAE2" w14:textId="53D64585" w:rsidR="007D27EC" w:rsidRDefault="007D27EC" w:rsidP="007D27EC"/>
    <w:p w14:paraId="556F87A6" w14:textId="77777777" w:rsidR="007D27EC" w:rsidRPr="007D27EC" w:rsidRDefault="007D27EC" w:rsidP="007D27EC">
      <w:pPr>
        <w:pStyle w:val="Heading3"/>
        <w:rPr>
          <w:rFonts w:eastAsia="Times New Roman"/>
          <w:i/>
        </w:rPr>
      </w:pPr>
      <w:r w:rsidRPr="007D27EC">
        <w:rPr>
          <w:rFonts w:eastAsia="Times New Roman"/>
          <w:i/>
          <w:lang w:eastAsia="bg-BG"/>
        </w:rPr>
        <w:t>Бременност</w:t>
      </w:r>
    </w:p>
    <w:p w14:paraId="32B3D375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Няма адекватни данни за употребата на пантопразол при бременни жени. Проучванията при животни са показали репродуктивна токсичност (вж. точка 5.3). Потенциалният риск за хората не е известен.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не трябва да се прилага по време на бременност, освен при ясна необходимост.</w:t>
      </w:r>
    </w:p>
    <w:p w14:paraId="7A8AD474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7C3F56A" w14:textId="7523D40C" w:rsidR="007D27EC" w:rsidRPr="007D27EC" w:rsidRDefault="007D27EC" w:rsidP="007D27EC">
      <w:pPr>
        <w:pStyle w:val="Heading3"/>
        <w:rPr>
          <w:rFonts w:eastAsia="Times New Roman"/>
          <w:i/>
        </w:rPr>
      </w:pPr>
      <w:r w:rsidRPr="007D27EC">
        <w:rPr>
          <w:rFonts w:eastAsia="Times New Roman"/>
          <w:i/>
          <w:lang w:eastAsia="bg-BG"/>
        </w:rPr>
        <w:t>Кърмене</w:t>
      </w:r>
    </w:p>
    <w:p w14:paraId="73AAA90A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Проучванията при животни са показали екскреция на пантопразол в млякото. Докладвана е екскреция в майчиното мляко. Поради това решението дали да се продължи/прекрати кърменето или продължи/прекрати лечението трябва да се вземе, като се има предвид ползата от кърменето за детето и ползата от лечението с Пулсет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за майката.</w:t>
      </w:r>
    </w:p>
    <w:p w14:paraId="5E35DBDA" w14:textId="77777777" w:rsidR="007D27EC" w:rsidRPr="007D27EC" w:rsidRDefault="007D27EC" w:rsidP="007D27EC"/>
    <w:p w14:paraId="5766770B" w14:textId="519B8919" w:rsidR="00395555" w:rsidRDefault="002C50EE" w:rsidP="008A6AF2">
      <w:pPr>
        <w:pStyle w:val="Heading2"/>
      </w:pPr>
      <w:r>
        <w:t>4.7. Ефекти върху способността за шофиране и работа с машини</w:t>
      </w:r>
    </w:p>
    <w:p w14:paraId="56E7687C" w14:textId="06A0462D" w:rsidR="007D27EC" w:rsidRDefault="007D27EC" w:rsidP="007D27EC"/>
    <w:p w14:paraId="4DB0D9C1" w14:textId="6D975B51" w:rsidR="007D27EC" w:rsidRDefault="007D27EC" w:rsidP="007D27EC">
      <w:r>
        <w:t>Може да настъпят нежелани лекарствени реакции като замайване и зрителни нарушения (вж.точка 4.8). При проява на подобни ефекти, пациентите не трябва да шофират или работят с машини.</w:t>
      </w:r>
    </w:p>
    <w:p w14:paraId="6297273D" w14:textId="77777777" w:rsidR="007D27EC" w:rsidRPr="007D27EC" w:rsidRDefault="007D27EC" w:rsidP="007D27EC"/>
    <w:p w14:paraId="4FE16E21" w14:textId="02DECB61" w:rsidR="00395555" w:rsidRDefault="002C50EE" w:rsidP="008A6AF2">
      <w:pPr>
        <w:pStyle w:val="Heading2"/>
      </w:pPr>
      <w:r>
        <w:t>4.8. Нежелани лекарствени реакции</w:t>
      </w:r>
    </w:p>
    <w:p w14:paraId="382CF798" w14:textId="30235445" w:rsidR="007D27EC" w:rsidRDefault="007D27EC" w:rsidP="007D27EC"/>
    <w:p w14:paraId="10F39B8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Нежелани лекарствени реакции е възможно да се проявят приблизитено при 5% от пациентите. Най-често съобщаваните са диария и главоболие, настъпващи при приблизително 1% от пациентите.</w:t>
      </w:r>
    </w:p>
    <w:p w14:paraId="59322340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CA1742F" w14:textId="1020E65C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В табличен вид по-долу са представени нежеланите лекарствени реакции, докладвани при прием на пантопразол, класифицирани чрез следната класификация за честота:</w:t>
      </w:r>
    </w:p>
    <w:p w14:paraId="441C6379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8F3247E" w14:textId="5EBAECD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Много чести (≥1/10), чести (≥1/100 до &lt;1/10), нечести (≥1/1000 до &lt;1/100), редки (≥1/10 000 до &lt;1/1000), много редки (&lt;1/10 000), с неизвестна честота (от наличните данни не може да бъде направена оценка). За всички нежелани реакции, докладвани през постмаркетинговото наблюдение, не е възможно да се определи честотата на нежеланите реакции, поради което те са посочени с неизвестна честота.</w:t>
      </w:r>
    </w:p>
    <w:p w14:paraId="5E88E936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2CB9B29" w14:textId="201EF425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При всяко групиране в зависимост от честотата, нежеланите лекарствени реакции се изброяват в низходящ ред по отношение на тяхната сериозност.</w:t>
      </w:r>
    </w:p>
    <w:p w14:paraId="6F2957EC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80C663D" w14:textId="737F2131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Таблица 1. Нежелани лекарствени реакции при приложението на пантопразол при клинични проучвания и пост-маркетингово наблюдение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5"/>
        <w:gridCol w:w="2277"/>
        <w:gridCol w:w="2003"/>
        <w:gridCol w:w="1496"/>
        <w:gridCol w:w="1619"/>
      </w:tblGrid>
      <w:tr w:rsidR="007D27EC" w14:paraId="2E3DEA19" w14:textId="77777777" w:rsidTr="007D27EC">
        <w:tc>
          <w:tcPr>
            <w:tcW w:w="1783" w:type="dxa"/>
          </w:tcPr>
          <w:p w14:paraId="2A11C9E6" w14:textId="0CB4D057" w:rsidR="007D27EC" w:rsidRDefault="007D27EC" w:rsidP="007D27EC">
            <w:r>
              <w:t>Системно- органен клас</w:t>
            </w:r>
          </w:p>
        </w:tc>
        <w:tc>
          <w:tcPr>
            <w:tcW w:w="2403" w:type="dxa"/>
          </w:tcPr>
          <w:p w14:paraId="077B3342" w14:textId="0FA948E3" w:rsidR="007D27EC" w:rsidRDefault="007D27EC" w:rsidP="007D27EC">
            <w:r>
              <w:t>Нечести</w:t>
            </w:r>
          </w:p>
        </w:tc>
        <w:tc>
          <w:tcPr>
            <w:tcW w:w="2112" w:type="dxa"/>
          </w:tcPr>
          <w:p w14:paraId="1C6A0F05" w14:textId="6C5DF78A" w:rsidR="007D27EC" w:rsidRDefault="007D27EC" w:rsidP="007D27EC">
            <w:r>
              <w:t>Чести</w:t>
            </w:r>
          </w:p>
        </w:tc>
        <w:tc>
          <w:tcPr>
            <w:tcW w:w="1574" w:type="dxa"/>
          </w:tcPr>
          <w:p w14:paraId="2BCEF475" w14:textId="6BEE697C" w:rsidR="007D27EC" w:rsidRDefault="007D27EC" w:rsidP="007D27EC">
            <w:r>
              <w:t>Много редки</w:t>
            </w:r>
          </w:p>
        </w:tc>
        <w:tc>
          <w:tcPr>
            <w:tcW w:w="1704" w:type="dxa"/>
          </w:tcPr>
          <w:p w14:paraId="3D84E47A" w14:textId="345199BB" w:rsidR="007D27EC" w:rsidRDefault="007D27EC" w:rsidP="007D27EC">
            <w:r>
              <w:t>с неизвестна честота</w:t>
            </w:r>
          </w:p>
        </w:tc>
      </w:tr>
      <w:tr w:rsidR="007D27EC" w14:paraId="1D67F346" w14:textId="77777777" w:rsidTr="007D27EC">
        <w:tc>
          <w:tcPr>
            <w:tcW w:w="1783" w:type="dxa"/>
          </w:tcPr>
          <w:p w14:paraId="184A8964" w14:textId="39837320" w:rsidR="007D27EC" w:rsidRDefault="007D27EC" w:rsidP="007D27EC">
            <w:r>
              <w:t>Нарушения на кръвта и лимфната система</w:t>
            </w:r>
          </w:p>
        </w:tc>
        <w:tc>
          <w:tcPr>
            <w:tcW w:w="2403" w:type="dxa"/>
          </w:tcPr>
          <w:p w14:paraId="7E857FAA" w14:textId="77777777" w:rsidR="007D27EC" w:rsidRDefault="007D27EC" w:rsidP="007D27EC"/>
        </w:tc>
        <w:tc>
          <w:tcPr>
            <w:tcW w:w="2112" w:type="dxa"/>
          </w:tcPr>
          <w:p w14:paraId="627FA1C1" w14:textId="77777777" w:rsidR="007D27EC" w:rsidRDefault="007D27EC" w:rsidP="007D27EC"/>
        </w:tc>
        <w:tc>
          <w:tcPr>
            <w:tcW w:w="1574" w:type="dxa"/>
          </w:tcPr>
          <w:p w14:paraId="556D52D6" w14:textId="02E46473" w:rsidR="007D27EC" w:rsidRDefault="007D27EC" w:rsidP="007D27EC">
            <w:r>
              <w:t>Тромбоцитопе ния, левкопения, панцитопения</w:t>
            </w:r>
          </w:p>
        </w:tc>
        <w:tc>
          <w:tcPr>
            <w:tcW w:w="1704" w:type="dxa"/>
          </w:tcPr>
          <w:p w14:paraId="5E0FC0E5" w14:textId="77777777" w:rsidR="007D27EC" w:rsidRDefault="007D27EC" w:rsidP="007D27EC"/>
        </w:tc>
      </w:tr>
      <w:tr w:rsidR="007D27EC" w14:paraId="58020D04" w14:textId="77777777" w:rsidTr="007D27EC">
        <w:tc>
          <w:tcPr>
            <w:tcW w:w="1783" w:type="dxa"/>
          </w:tcPr>
          <w:p w14:paraId="37EC955A" w14:textId="0EEE50BE" w:rsidR="007D27EC" w:rsidRDefault="007D27EC" w:rsidP="007D27EC">
            <w:r>
              <w:t>Нарушения на имунната система</w:t>
            </w:r>
          </w:p>
        </w:tc>
        <w:tc>
          <w:tcPr>
            <w:tcW w:w="2403" w:type="dxa"/>
          </w:tcPr>
          <w:p w14:paraId="0A2A7E22" w14:textId="77777777" w:rsidR="007D27EC" w:rsidRDefault="007D27EC" w:rsidP="007D27EC"/>
        </w:tc>
        <w:tc>
          <w:tcPr>
            <w:tcW w:w="2112" w:type="dxa"/>
          </w:tcPr>
          <w:p w14:paraId="679C4F02" w14:textId="77777777" w:rsidR="007D27EC" w:rsidRDefault="007D27EC" w:rsidP="007D27EC">
            <w:r>
              <w:t>Свръхчувствително ст (вкл.</w:t>
            </w:r>
          </w:p>
          <w:p w14:paraId="1B358910" w14:textId="728FE33B" w:rsidR="007D27EC" w:rsidRDefault="007D27EC" w:rsidP="007D27EC">
            <w:r>
              <w:t>анафилактични реакции и анафилактичен шок)</w:t>
            </w:r>
          </w:p>
        </w:tc>
        <w:tc>
          <w:tcPr>
            <w:tcW w:w="1574" w:type="dxa"/>
          </w:tcPr>
          <w:p w14:paraId="6FD7F2D1" w14:textId="77777777" w:rsidR="007D27EC" w:rsidRDefault="007D27EC" w:rsidP="007D27EC"/>
        </w:tc>
        <w:tc>
          <w:tcPr>
            <w:tcW w:w="1704" w:type="dxa"/>
          </w:tcPr>
          <w:p w14:paraId="4A8B2B1E" w14:textId="77777777" w:rsidR="007D27EC" w:rsidRDefault="007D27EC" w:rsidP="007D27EC"/>
        </w:tc>
      </w:tr>
      <w:tr w:rsidR="007D27EC" w14:paraId="3983F592" w14:textId="77777777" w:rsidTr="007D27EC">
        <w:tc>
          <w:tcPr>
            <w:tcW w:w="1783" w:type="dxa"/>
          </w:tcPr>
          <w:p w14:paraId="61BA3A9A" w14:textId="150D30AB" w:rsidR="007D27EC" w:rsidRDefault="007D27EC" w:rsidP="007D27EC">
            <w:r>
              <w:t>Нарушения на метаболизма и храненето</w:t>
            </w:r>
          </w:p>
        </w:tc>
        <w:tc>
          <w:tcPr>
            <w:tcW w:w="2403" w:type="dxa"/>
          </w:tcPr>
          <w:p w14:paraId="40671238" w14:textId="77777777" w:rsidR="007D27EC" w:rsidRDefault="007D27EC" w:rsidP="007D27EC"/>
        </w:tc>
        <w:tc>
          <w:tcPr>
            <w:tcW w:w="2112" w:type="dxa"/>
          </w:tcPr>
          <w:p w14:paraId="4D32B3E0" w14:textId="3610C8B1" w:rsidR="007D27EC" w:rsidRDefault="007D27EC" w:rsidP="007D27EC">
            <w:r>
              <w:t>Хиперлипидемия и повишаване липидите (триглицериди, холестерол), промени в телесното тегло.</w:t>
            </w:r>
          </w:p>
        </w:tc>
        <w:tc>
          <w:tcPr>
            <w:tcW w:w="1574" w:type="dxa"/>
          </w:tcPr>
          <w:p w14:paraId="2D2B87CB" w14:textId="77777777" w:rsidR="007D27EC" w:rsidRDefault="007D27EC" w:rsidP="007D27EC"/>
        </w:tc>
        <w:tc>
          <w:tcPr>
            <w:tcW w:w="1704" w:type="dxa"/>
          </w:tcPr>
          <w:p w14:paraId="7A055467" w14:textId="3CF00D76" w:rsidR="007D27EC" w:rsidRDefault="007D27EC" w:rsidP="007D27EC">
            <w:r>
              <w:t>Хипонатрие мия Хипомагнез иемия Хипокалцие мия, свързана с хипомагнез иемия</w:t>
            </w:r>
          </w:p>
        </w:tc>
      </w:tr>
      <w:tr w:rsidR="007D27EC" w14:paraId="7C0A3395" w14:textId="77777777" w:rsidTr="007D27EC">
        <w:tc>
          <w:tcPr>
            <w:tcW w:w="1783" w:type="dxa"/>
          </w:tcPr>
          <w:p w14:paraId="1670A926" w14:textId="60413591" w:rsidR="007D27EC" w:rsidRDefault="007D27EC" w:rsidP="007D27EC">
            <w:r>
              <w:t>Психични нарушения</w:t>
            </w:r>
          </w:p>
        </w:tc>
        <w:tc>
          <w:tcPr>
            <w:tcW w:w="2403" w:type="dxa"/>
          </w:tcPr>
          <w:p w14:paraId="7B15D8BD" w14:textId="40B0E360" w:rsidR="007D27EC" w:rsidRDefault="007D27EC" w:rsidP="007D27EC">
            <w:r>
              <w:t>Нарушения на съня</w:t>
            </w:r>
          </w:p>
        </w:tc>
        <w:tc>
          <w:tcPr>
            <w:tcW w:w="2112" w:type="dxa"/>
          </w:tcPr>
          <w:p w14:paraId="1028C4DF" w14:textId="5D0FC2B3" w:rsidR="007D27EC" w:rsidRDefault="007D27EC" w:rsidP="007D27EC">
            <w:r>
              <w:t>Депресия (и всички агравитации)</w:t>
            </w:r>
          </w:p>
        </w:tc>
        <w:tc>
          <w:tcPr>
            <w:tcW w:w="1574" w:type="dxa"/>
          </w:tcPr>
          <w:p w14:paraId="07155C62" w14:textId="40AD2B4A" w:rsidR="007D27EC" w:rsidRDefault="007D27EC" w:rsidP="007D27EC">
            <w:r>
              <w:t>Дезориентаци я (и всички агравитации)</w:t>
            </w:r>
          </w:p>
        </w:tc>
        <w:tc>
          <w:tcPr>
            <w:tcW w:w="1704" w:type="dxa"/>
          </w:tcPr>
          <w:p w14:paraId="4E627CB1" w14:textId="77777777" w:rsidR="007D27EC" w:rsidRDefault="007D27EC" w:rsidP="007D27EC">
            <w:r>
              <w:t>Халюцинац ии, обърканост (по- специално при пациенти с предиспози ция както и агравиране на</w:t>
            </w:r>
          </w:p>
          <w:p w14:paraId="5985C602" w14:textId="33565EBB" w:rsidR="007D27EC" w:rsidRDefault="007D27EC" w:rsidP="007D27EC">
            <w:r>
              <w:t>съществува щи симптоми)</w:t>
            </w:r>
          </w:p>
        </w:tc>
      </w:tr>
      <w:tr w:rsidR="007D27EC" w14:paraId="40689A5A" w14:textId="77777777" w:rsidTr="007D27EC">
        <w:tc>
          <w:tcPr>
            <w:tcW w:w="1783" w:type="dxa"/>
            <w:vAlign w:val="bottom"/>
          </w:tcPr>
          <w:p w14:paraId="2E69DACF" w14:textId="7696D545" w:rsidR="007D27EC" w:rsidRDefault="007D27EC" w:rsidP="007D27EC">
            <w:r>
              <w:t>Нарушения на нервната система</w:t>
            </w:r>
          </w:p>
        </w:tc>
        <w:tc>
          <w:tcPr>
            <w:tcW w:w="2403" w:type="dxa"/>
          </w:tcPr>
          <w:p w14:paraId="2DFBFE75" w14:textId="1380C037" w:rsidR="007D27EC" w:rsidRDefault="007D27EC" w:rsidP="007D27EC">
            <w:r>
              <w:t>Главоболие, замаяност</w:t>
            </w:r>
          </w:p>
        </w:tc>
        <w:tc>
          <w:tcPr>
            <w:tcW w:w="2112" w:type="dxa"/>
            <w:vAlign w:val="bottom"/>
          </w:tcPr>
          <w:p w14:paraId="375D9E61" w14:textId="4D5AB31B" w:rsidR="007D27EC" w:rsidRDefault="007D27EC" w:rsidP="007D27EC">
            <w:r>
              <w:t>Нарушения на вкуса</w:t>
            </w:r>
          </w:p>
        </w:tc>
        <w:tc>
          <w:tcPr>
            <w:tcW w:w="1574" w:type="dxa"/>
          </w:tcPr>
          <w:p w14:paraId="1D91BAD8" w14:textId="77777777" w:rsidR="007D27EC" w:rsidRDefault="007D27EC" w:rsidP="007D27EC"/>
        </w:tc>
        <w:tc>
          <w:tcPr>
            <w:tcW w:w="1704" w:type="dxa"/>
          </w:tcPr>
          <w:p w14:paraId="7AB9AE82" w14:textId="2B95E455" w:rsidR="007D27EC" w:rsidRDefault="007D27EC" w:rsidP="007D27EC">
            <w:r>
              <w:t>Парестезия</w:t>
            </w:r>
          </w:p>
        </w:tc>
      </w:tr>
      <w:tr w:rsidR="007D27EC" w14:paraId="0FCACF53" w14:textId="77777777" w:rsidTr="007D27EC">
        <w:tc>
          <w:tcPr>
            <w:tcW w:w="1783" w:type="dxa"/>
          </w:tcPr>
          <w:p w14:paraId="07F6428B" w14:textId="30655C55" w:rsidR="007D27EC" w:rsidRDefault="007D27EC" w:rsidP="007D27EC">
            <w:r>
              <w:t>Нарушения на очите</w:t>
            </w:r>
          </w:p>
        </w:tc>
        <w:tc>
          <w:tcPr>
            <w:tcW w:w="2403" w:type="dxa"/>
          </w:tcPr>
          <w:p w14:paraId="0D638BCA" w14:textId="77777777" w:rsidR="007D27EC" w:rsidRDefault="007D27EC" w:rsidP="007D27EC"/>
        </w:tc>
        <w:tc>
          <w:tcPr>
            <w:tcW w:w="2112" w:type="dxa"/>
          </w:tcPr>
          <w:p w14:paraId="3EF68E30" w14:textId="3B93FF59" w:rsidR="007D27EC" w:rsidRDefault="007D27EC" w:rsidP="007D27EC">
            <w:r>
              <w:t>Нарушение на зрението/замъглено виждане</w:t>
            </w:r>
          </w:p>
        </w:tc>
        <w:tc>
          <w:tcPr>
            <w:tcW w:w="1574" w:type="dxa"/>
          </w:tcPr>
          <w:p w14:paraId="13B99E0F" w14:textId="77777777" w:rsidR="007D27EC" w:rsidRDefault="007D27EC" w:rsidP="007D27EC"/>
        </w:tc>
        <w:tc>
          <w:tcPr>
            <w:tcW w:w="1704" w:type="dxa"/>
          </w:tcPr>
          <w:p w14:paraId="52F15806" w14:textId="77777777" w:rsidR="007D27EC" w:rsidRDefault="007D27EC" w:rsidP="007D27EC"/>
        </w:tc>
      </w:tr>
      <w:tr w:rsidR="007D27EC" w14:paraId="08F74084" w14:textId="77777777" w:rsidTr="007D27EC">
        <w:tc>
          <w:tcPr>
            <w:tcW w:w="1783" w:type="dxa"/>
          </w:tcPr>
          <w:p w14:paraId="72806144" w14:textId="37B7C456" w:rsidR="007D27EC" w:rsidRDefault="007D27EC" w:rsidP="007D27EC">
            <w:r>
              <w:lastRenderedPageBreak/>
              <w:t>Стомашно-чревни нарушения</w:t>
            </w:r>
          </w:p>
        </w:tc>
        <w:tc>
          <w:tcPr>
            <w:tcW w:w="2403" w:type="dxa"/>
            <w:vAlign w:val="bottom"/>
          </w:tcPr>
          <w:p w14:paraId="42205DCC" w14:textId="1FF3EA44" w:rsidR="007D27EC" w:rsidRDefault="007D27EC" w:rsidP="007D27EC">
            <w:r>
              <w:t>Диария, гадене/повръщане, Раздуване на корема; запек; сухота в устата; Коремни болки и дискомфорт.</w:t>
            </w:r>
          </w:p>
        </w:tc>
        <w:tc>
          <w:tcPr>
            <w:tcW w:w="2112" w:type="dxa"/>
          </w:tcPr>
          <w:p w14:paraId="6EBB2AC1" w14:textId="6B6EF011" w:rsidR="007D27EC" w:rsidRDefault="007D27EC" w:rsidP="007D27EC">
            <w:r>
              <w:t>Полипи на дъното (фундуса) на стомаха (доброкачествени)</w:t>
            </w:r>
          </w:p>
        </w:tc>
        <w:tc>
          <w:tcPr>
            <w:tcW w:w="1574" w:type="dxa"/>
          </w:tcPr>
          <w:p w14:paraId="1D64318A" w14:textId="77777777" w:rsidR="007D27EC" w:rsidRDefault="007D27EC" w:rsidP="007D27EC"/>
        </w:tc>
        <w:tc>
          <w:tcPr>
            <w:tcW w:w="1704" w:type="dxa"/>
          </w:tcPr>
          <w:p w14:paraId="27CD45B0" w14:textId="19FCB350" w:rsidR="007D27EC" w:rsidRDefault="007D27EC" w:rsidP="007D27EC">
            <w:r>
              <w:t>Микроскопс ки колит</w:t>
            </w:r>
          </w:p>
        </w:tc>
      </w:tr>
      <w:tr w:rsidR="007D27EC" w14:paraId="08033086" w14:textId="77777777" w:rsidTr="007D27EC">
        <w:tc>
          <w:tcPr>
            <w:tcW w:w="1783" w:type="dxa"/>
          </w:tcPr>
          <w:p w14:paraId="1072B7B0" w14:textId="0E77D6B6" w:rsidR="007D27EC" w:rsidRDefault="007D27EC" w:rsidP="007D27EC">
            <w:r>
              <w:t>Хепатобилиарни нарушения</w:t>
            </w:r>
          </w:p>
        </w:tc>
        <w:tc>
          <w:tcPr>
            <w:tcW w:w="2403" w:type="dxa"/>
          </w:tcPr>
          <w:p w14:paraId="1BFD831A" w14:textId="2674C502" w:rsidR="007D27EC" w:rsidRDefault="007D27EC" w:rsidP="007D27EC">
            <w:r>
              <w:t xml:space="preserve">Повишаване на чернодробните ензими (трансаминази, </w:t>
            </w:r>
            <w:r>
              <w:rPr>
                <w:lang w:val="en-US"/>
              </w:rPr>
              <w:t>y</w:t>
            </w:r>
            <w:r w:rsidRPr="007D27EC">
              <w:rPr>
                <w:lang w:val="ru-RU"/>
              </w:rPr>
              <w:t>-</w:t>
            </w:r>
            <w:r>
              <w:rPr>
                <w:lang w:val="en-US"/>
              </w:rPr>
              <w:t>GT</w:t>
            </w:r>
            <w:r w:rsidRPr="007D27EC">
              <w:rPr>
                <w:lang w:val="ru-RU"/>
              </w:rPr>
              <w:t>)</w:t>
            </w:r>
          </w:p>
        </w:tc>
        <w:tc>
          <w:tcPr>
            <w:tcW w:w="2112" w:type="dxa"/>
          </w:tcPr>
          <w:p w14:paraId="679B3DB5" w14:textId="68B69CBD" w:rsidR="007D27EC" w:rsidRDefault="007D27EC" w:rsidP="007D27EC">
            <w:r>
              <w:t>Повишаване на билирубина</w:t>
            </w:r>
          </w:p>
        </w:tc>
        <w:tc>
          <w:tcPr>
            <w:tcW w:w="1574" w:type="dxa"/>
          </w:tcPr>
          <w:p w14:paraId="499B2A9C" w14:textId="77777777" w:rsidR="007D27EC" w:rsidRDefault="007D27EC" w:rsidP="007D27EC"/>
        </w:tc>
        <w:tc>
          <w:tcPr>
            <w:tcW w:w="1704" w:type="dxa"/>
            <w:vAlign w:val="bottom"/>
          </w:tcPr>
          <w:p w14:paraId="60BE850D" w14:textId="40A7F5A6" w:rsidR="007D27EC" w:rsidRDefault="007D27EC" w:rsidP="007D27EC">
            <w:r>
              <w:t>Хепатоцелу ларни увреждания; Жълтеница; Хепатоцелу ларна недостатъчност</w:t>
            </w:r>
          </w:p>
        </w:tc>
      </w:tr>
      <w:tr w:rsidR="007D27EC" w14:paraId="421072DE" w14:textId="77777777" w:rsidTr="007D27EC">
        <w:tc>
          <w:tcPr>
            <w:tcW w:w="1783" w:type="dxa"/>
          </w:tcPr>
          <w:p w14:paraId="7D692E43" w14:textId="0687A5DE" w:rsidR="007D27EC" w:rsidRDefault="007D27EC" w:rsidP="007D27EC">
            <w:r>
              <w:t>Нарушения на кожата и подкожната тъкан</w:t>
            </w:r>
          </w:p>
        </w:tc>
        <w:tc>
          <w:tcPr>
            <w:tcW w:w="2403" w:type="dxa"/>
          </w:tcPr>
          <w:p w14:paraId="1CF2F0D8" w14:textId="77777777" w:rsidR="007D27EC" w:rsidRDefault="007D27EC" w:rsidP="007D27EC">
            <w:r>
              <w:t>Кожен</w:t>
            </w:r>
          </w:p>
          <w:p w14:paraId="4720B946" w14:textId="2F0E54FA" w:rsidR="007D27EC" w:rsidRDefault="007D27EC" w:rsidP="007D27EC">
            <w:r>
              <w:t>обрив/екзантем/обриви ; Сърбеж</w:t>
            </w:r>
          </w:p>
        </w:tc>
        <w:tc>
          <w:tcPr>
            <w:tcW w:w="2112" w:type="dxa"/>
          </w:tcPr>
          <w:p w14:paraId="4D7092DD" w14:textId="53DED1BC" w:rsidR="007D27EC" w:rsidRDefault="007D27EC" w:rsidP="007D27EC">
            <w:r>
              <w:t>Уртикария, Ангиоедем</w:t>
            </w:r>
          </w:p>
        </w:tc>
        <w:tc>
          <w:tcPr>
            <w:tcW w:w="1574" w:type="dxa"/>
          </w:tcPr>
          <w:p w14:paraId="72BEF95B" w14:textId="77777777" w:rsidR="007D27EC" w:rsidRDefault="007D27EC" w:rsidP="007D27EC"/>
        </w:tc>
        <w:tc>
          <w:tcPr>
            <w:tcW w:w="1704" w:type="dxa"/>
            <w:vAlign w:val="bottom"/>
          </w:tcPr>
          <w:p w14:paraId="2371066E" w14:textId="26210E1D" w:rsidR="007D27EC" w:rsidRDefault="007D27EC" w:rsidP="007D27EC">
            <w:r>
              <w:t xml:space="preserve">Синдром на </w:t>
            </w:r>
            <w:r>
              <w:rPr>
                <w:lang w:val="en-US"/>
              </w:rPr>
              <w:t>Stevens</w:t>
            </w:r>
            <w:r w:rsidRPr="007D27EC">
              <w:t xml:space="preserve">- </w:t>
            </w:r>
            <w:r>
              <w:rPr>
                <w:lang w:val="en-US"/>
              </w:rPr>
              <w:t>Johnson</w:t>
            </w:r>
            <w:r w:rsidRPr="007D27EC">
              <w:t xml:space="preserve">, </w:t>
            </w:r>
            <w:r>
              <w:t xml:space="preserve">Синдром на </w:t>
            </w:r>
            <w:r>
              <w:rPr>
                <w:lang w:val="en-US"/>
              </w:rPr>
              <w:t>Lyell</w:t>
            </w:r>
            <w:r w:rsidRPr="007D27EC">
              <w:t xml:space="preserve">, </w:t>
            </w:r>
            <w:r>
              <w:rPr>
                <w:i/>
                <w:iCs/>
                <w:lang w:val="en-US"/>
              </w:rPr>
              <w:t>erythema</w:t>
            </w:r>
            <w:r w:rsidRPr="007D27EC">
              <w:rPr>
                <w:i/>
                <w:iCs/>
              </w:rPr>
              <w:t xml:space="preserve"> </w:t>
            </w:r>
            <w:r>
              <w:rPr>
                <w:i/>
                <w:iCs/>
                <w:lang w:val="en-US"/>
              </w:rPr>
              <w:t>multiforme</w:t>
            </w:r>
            <w:r w:rsidRPr="007D27EC">
              <w:rPr>
                <w:i/>
                <w:iCs/>
              </w:rPr>
              <w:t xml:space="preserve">, </w:t>
            </w:r>
            <w:proofErr w:type="spellStart"/>
            <w:r>
              <w:t>фоточувств</w:t>
            </w:r>
            <w:proofErr w:type="spellEnd"/>
            <w:r>
              <w:t xml:space="preserve"> </w:t>
            </w:r>
            <w:proofErr w:type="spellStart"/>
            <w:r>
              <w:t>ителност</w:t>
            </w:r>
            <w:proofErr w:type="spellEnd"/>
            <w:r>
              <w:t xml:space="preserve"> </w:t>
            </w:r>
            <w:proofErr w:type="spellStart"/>
            <w:r>
              <w:t>Субакутен</w:t>
            </w:r>
            <w:proofErr w:type="spellEnd"/>
            <w:r>
              <w:t xml:space="preserve"> кожен лупус еритематоде с (вж. точка 4.4.)</w:t>
            </w:r>
          </w:p>
        </w:tc>
      </w:tr>
      <w:tr w:rsidR="007D27EC" w14:paraId="37B5D45C" w14:textId="77777777" w:rsidTr="007D27EC">
        <w:tc>
          <w:tcPr>
            <w:tcW w:w="1783" w:type="dxa"/>
            <w:vAlign w:val="bottom"/>
          </w:tcPr>
          <w:p w14:paraId="0C137E60" w14:textId="3ACF8482" w:rsidR="007D27EC" w:rsidRDefault="007D27EC" w:rsidP="007D27EC">
            <w:r>
              <w:t>Нарушения на мускулно- скелетната система и съединителната тъкан</w:t>
            </w:r>
          </w:p>
        </w:tc>
        <w:tc>
          <w:tcPr>
            <w:tcW w:w="2403" w:type="dxa"/>
          </w:tcPr>
          <w:p w14:paraId="62E3E68A" w14:textId="461B39EE" w:rsidR="007D27EC" w:rsidRDefault="007D27EC" w:rsidP="007D27EC">
            <w:r>
              <w:t>Фрактура на бедрената кост, китката или гръбначния стълб (вж. точка 4.4)</w:t>
            </w:r>
          </w:p>
        </w:tc>
        <w:tc>
          <w:tcPr>
            <w:tcW w:w="2112" w:type="dxa"/>
          </w:tcPr>
          <w:p w14:paraId="5C1028C7" w14:textId="1D8A3CF9" w:rsidR="007D27EC" w:rsidRDefault="007D27EC" w:rsidP="007D27EC">
            <w:r>
              <w:t>Артралгия, Миалгия</w:t>
            </w:r>
          </w:p>
        </w:tc>
        <w:tc>
          <w:tcPr>
            <w:tcW w:w="1574" w:type="dxa"/>
          </w:tcPr>
          <w:p w14:paraId="72F942AA" w14:textId="77777777" w:rsidR="007D27EC" w:rsidRDefault="007D27EC" w:rsidP="007D27EC"/>
        </w:tc>
        <w:tc>
          <w:tcPr>
            <w:tcW w:w="1704" w:type="dxa"/>
          </w:tcPr>
          <w:p w14:paraId="5F7F74EF" w14:textId="77777777" w:rsidR="007D27EC" w:rsidRDefault="007D27EC" w:rsidP="007D27EC"/>
        </w:tc>
      </w:tr>
      <w:tr w:rsidR="007D27EC" w14:paraId="34F96296" w14:textId="77777777" w:rsidTr="007D27EC">
        <w:tc>
          <w:tcPr>
            <w:tcW w:w="1783" w:type="dxa"/>
            <w:vAlign w:val="bottom"/>
          </w:tcPr>
          <w:p w14:paraId="55A0979A" w14:textId="5B51EA4E" w:rsidR="007D27EC" w:rsidRDefault="007D27EC" w:rsidP="007D27EC">
            <w:r>
              <w:t>Нарушения на бъбреците и пикочните пътища</w:t>
            </w:r>
          </w:p>
        </w:tc>
        <w:tc>
          <w:tcPr>
            <w:tcW w:w="2403" w:type="dxa"/>
          </w:tcPr>
          <w:p w14:paraId="0CE4C20B" w14:textId="77777777" w:rsidR="007D27EC" w:rsidRDefault="007D27EC" w:rsidP="007D27EC"/>
        </w:tc>
        <w:tc>
          <w:tcPr>
            <w:tcW w:w="2112" w:type="dxa"/>
          </w:tcPr>
          <w:p w14:paraId="3EF4E455" w14:textId="77777777" w:rsidR="007D27EC" w:rsidRDefault="007D27EC" w:rsidP="007D27EC"/>
        </w:tc>
        <w:tc>
          <w:tcPr>
            <w:tcW w:w="1574" w:type="dxa"/>
          </w:tcPr>
          <w:p w14:paraId="53E85D88" w14:textId="77777777" w:rsidR="007D27EC" w:rsidRDefault="007D27EC" w:rsidP="007D27EC"/>
        </w:tc>
        <w:tc>
          <w:tcPr>
            <w:tcW w:w="1704" w:type="dxa"/>
          </w:tcPr>
          <w:p w14:paraId="1458FD48" w14:textId="7096A7F9" w:rsidR="007D27EC" w:rsidRDefault="007D27EC" w:rsidP="007D27EC">
            <w:r>
              <w:t>Интерстици ален нефрит</w:t>
            </w:r>
          </w:p>
        </w:tc>
      </w:tr>
      <w:tr w:rsidR="007D27EC" w14:paraId="6F5B25B9" w14:textId="77777777" w:rsidTr="007D27EC">
        <w:tc>
          <w:tcPr>
            <w:tcW w:w="1783" w:type="dxa"/>
            <w:vAlign w:val="bottom"/>
          </w:tcPr>
          <w:p w14:paraId="5E47ED81" w14:textId="5EB6DC0A" w:rsidR="007D27EC" w:rsidRDefault="007D27EC" w:rsidP="007D27EC">
            <w:r>
              <w:t>Нарушения на възпроизводителна та система и гърдата</w:t>
            </w:r>
          </w:p>
        </w:tc>
        <w:tc>
          <w:tcPr>
            <w:tcW w:w="2403" w:type="dxa"/>
          </w:tcPr>
          <w:p w14:paraId="086F65FA" w14:textId="77777777" w:rsidR="007D27EC" w:rsidRDefault="007D27EC" w:rsidP="007D27EC"/>
        </w:tc>
        <w:tc>
          <w:tcPr>
            <w:tcW w:w="2112" w:type="dxa"/>
          </w:tcPr>
          <w:p w14:paraId="34A7E1D1" w14:textId="28244AB8" w:rsidR="007D27EC" w:rsidRDefault="007D27EC" w:rsidP="007D27EC">
            <w:r>
              <w:t>Гинекомастия</w:t>
            </w:r>
          </w:p>
        </w:tc>
        <w:tc>
          <w:tcPr>
            <w:tcW w:w="1574" w:type="dxa"/>
          </w:tcPr>
          <w:p w14:paraId="278ED908" w14:textId="77777777" w:rsidR="007D27EC" w:rsidRDefault="007D27EC" w:rsidP="007D27EC"/>
        </w:tc>
        <w:tc>
          <w:tcPr>
            <w:tcW w:w="1704" w:type="dxa"/>
          </w:tcPr>
          <w:p w14:paraId="2E28D409" w14:textId="77777777" w:rsidR="007D27EC" w:rsidRDefault="007D27EC" w:rsidP="007D27EC"/>
        </w:tc>
      </w:tr>
      <w:tr w:rsidR="007D27EC" w14:paraId="1C81B4E3" w14:textId="77777777" w:rsidTr="007D27EC">
        <w:tc>
          <w:tcPr>
            <w:tcW w:w="1783" w:type="dxa"/>
            <w:vAlign w:val="bottom"/>
          </w:tcPr>
          <w:p w14:paraId="16C31CDA" w14:textId="13533B94" w:rsidR="007D27EC" w:rsidRDefault="007D27EC" w:rsidP="007D27EC">
            <w:r>
              <w:t xml:space="preserve">Общи нарушения и ефекти на </w:t>
            </w:r>
            <w:r>
              <w:lastRenderedPageBreak/>
              <w:t>мястото на приложение</w:t>
            </w:r>
          </w:p>
        </w:tc>
        <w:tc>
          <w:tcPr>
            <w:tcW w:w="2403" w:type="dxa"/>
          </w:tcPr>
          <w:p w14:paraId="56368760" w14:textId="7B216239" w:rsidR="007D27EC" w:rsidRDefault="007D27EC" w:rsidP="007D27EC">
            <w:r>
              <w:lastRenderedPageBreak/>
              <w:t>Астения, умора и неразположение</w:t>
            </w:r>
          </w:p>
        </w:tc>
        <w:tc>
          <w:tcPr>
            <w:tcW w:w="2112" w:type="dxa"/>
            <w:vAlign w:val="bottom"/>
          </w:tcPr>
          <w:p w14:paraId="4AC20D28" w14:textId="77777777" w:rsidR="007D27EC" w:rsidRDefault="007D27EC" w:rsidP="007D27EC">
            <w:r>
              <w:t xml:space="preserve">Повишаване на телесната температура; Периферни </w:t>
            </w:r>
          </w:p>
          <w:p w14:paraId="04F43FDA" w14:textId="117F9977" w:rsidR="007D27EC" w:rsidRDefault="007D27EC" w:rsidP="007D27EC">
            <w:r>
              <w:lastRenderedPageBreak/>
              <w:t>отоци</w:t>
            </w:r>
          </w:p>
        </w:tc>
        <w:tc>
          <w:tcPr>
            <w:tcW w:w="1574" w:type="dxa"/>
            <w:vAlign w:val="center"/>
          </w:tcPr>
          <w:p w14:paraId="294236BC" w14:textId="77777777" w:rsidR="007D27EC" w:rsidRDefault="007D27EC" w:rsidP="007D27EC"/>
        </w:tc>
        <w:tc>
          <w:tcPr>
            <w:tcW w:w="1704" w:type="dxa"/>
          </w:tcPr>
          <w:p w14:paraId="6C3A8809" w14:textId="77777777" w:rsidR="007D27EC" w:rsidRDefault="007D27EC" w:rsidP="007D27EC"/>
        </w:tc>
      </w:tr>
    </w:tbl>
    <w:p w14:paraId="5664A193" w14:textId="672F2D37" w:rsidR="007D27EC" w:rsidRDefault="007D27EC" w:rsidP="007D27EC"/>
    <w:p w14:paraId="12E8BAB0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054EB06E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Нежеланите реакции може да бъдат съобщени директно на Изпълнителна агенция по лекарствата (ИАЛ):</w:t>
      </w:r>
    </w:p>
    <w:p w14:paraId="2BE3A64E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6D3322B" w14:textId="73695B62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БЪЛГАРИЯ, София 1303, ул. Дамян Груев 8</w:t>
      </w:r>
    </w:p>
    <w:p w14:paraId="5F387D07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Тел. +359 2 8903555</w:t>
      </w:r>
    </w:p>
    <w:p w14:paraId="1521547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ел. поща: </w:t>
      </w:r>
      <w:hyperlink r:id="rId5" w:history="1">
        <w:r w:rsidRPr="007D27EC">
          <w:rPr>
            <w:rFonts w:eastAsia="Times New Roman" w:cs="Arial"/>
            <w:color w:val="000000"/>
            <w:u w:val="single"/>
            <w:lang w:val="en-US"/>
          </w:rPr>
          <w:t>bda</w:t>
        </w:r>
        <w:r w:rsidRPr="007D27EC">
          <w:rPr>
            <w:rFonts w:eastAsia="Times New Roman" w:cs="Arial"/>
            <w:color w:val="000000"/>
            <w:u w:val="single"/>
            <w:lang w:val="ru-RU"/>
          </w:rPr>
          <w:t>@</w:t>
        </w:r>
        <w:r w:rsidRPr="007D27EC">
          <w:rPr>
            <w:rFonts w:eastAsia="Times New Roman" w:cs="Arial"/>
            <w:color w:val="000000"/>
            <w:u w:val="single"/>
            <w:lang w:val="en-US"/>
          </w:rPr>
          <w:t>bda</w:t>
        </w:r>
        <w:r w:rsidRPr="007D27EC">
          <w:rPr>
            <w:rFonts w:eastAsia="Times New Roman" w:cs="Arial"/>
            <w:color w:val="000000"/>
            <w:u w:val="single"/>
            <w:lang w:val="ru-RU"/>
          </w:rPr>
          <w:t>.</w:t>
        </w:r>
        <w:r w:rsidRPr="007D27EC">
          <w:rPr>
            <w:rFonts w:eastAsia="Times New Roman" w:cs="Arial"/>
            <w:color w:val="000000"/>
            <w:u w:val="single"/>
            <w:lang w:val="en-US"/>
          </w:rPr>
          <w:t>bg</w:t>
        </w:r>
      </w:hyperlink>
    </w:p>
    <w:p w14:paraId="3AB2AB7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уебсайт: </w:t>
      </w:r>
      <w:hyperlink r:id="rId6" w:history="1">
        <w:r w:rsidRPr="007D27EC">
          <w:rPr>
            <w:rFonts w:eastAsia="Times New Roman" w:cs="Arial"/>
            <w:color w:val="000000"/>
            <w:u w:val="single"/>
            <w:lang w:val="en-US"/>
          </w:rPr>
          <w:t>www.bda.bg</w:t>
        </w:r>
      </w:hyperlink>
    </w:p>
    <w:p w14:paraId="17E67FA8" w14:textId="77777777" w:rsidR="007D27EC" w:rsidRPr="007D27EC" w:rsidRDefault="007D27EC" w:rsidP="007D27EC"/>
    <w:p w14:paraId="4ED30546" w14:textId="7BA0A272" w:rsidR="007C605B" w:rsidRDefault="002C50EE" w:rsidP="009F1313">
      <w:pPr>
        <w:pStyle w:val="Heading2"/>
      </w:pPr>
      <w:r>
        <w:t>4.9. Предозиране</w:t>
      </w:r>
    </w:p>
    <w:p w14:paraId="5C84FA41" w14:textId="74817FC7" w:rsidR="007D27EC" w:rsidRDefault="007D27EC" w:rsidP="007D27EC"/>
    <w:p w14:paraId="652EFFF1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Няма известни симптоми за предозиране при хора.</w:t>
      </w:r>
    </w:p>
    <w:p w14:paraId="571DB477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 xml:space="preserve">Системната експозиция с дози над 240 </w:t>
      </w:r>
      <w:r w:rsidRPr="007D27EC">
        <w:rPr>
          <w:lang w:val="en-US"/>
        </w:rPr>
        <w:t>mg</w:t>
      </w:r>
      <w:r w:rsidRPr="007D27EC">
        <w:rPr>
          <w:lang w:val="ru-RU"/>
        </w:rPr>
        <w:t xml:space="preserve">, </w:t>
      </w:r>
      <w:r w:rsidRPr="007D27EC">
        <w:rPr>
          <w:lang w:eastAsia="bg-BG"/>
        </w:rPr>
        <w:t>приложени интравенозно в продължение на 2 минути, са били понесени добре.</w:t>
      </w:r>
    </w:p>
    <w:p w14:paraId="715191C2" w14:textId="77777777" w:rsidR="007D27EC" w:rsidRDefault="007D27EC" w:rsidP="007D27EC">
      <w:pPr>
        <w:rPr>
          <w:lang w:eastAsia="bg-BG"/>
        </w:rPr>
      </w:pPr>
    </w:p>
    <w:p w14:paraId="29A112FF" w14:textId="0020470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Тъй като пантопразол се свързва в голяма степен с протеините, не се диализира лесно.</w:t>
      </w:r>
    </w:p>
    <w:p w14:paraId="09C25AC1" w14:textId="77777777" w:rsidR="007D27EC" w:rsidRDefault="007D27EC" w:rsidP="007D27EC">
      <w:pPr>
        <w:rPr>
          <w:lang w:eastAsia="bg-BG"/>
        </w:rPr>
      </w:pPr>
    </w:p>
    <w:p w14:paraId="23628B58" w14:textId="1688661E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В случай на предозиране с клинични признаци на интоксикация, освен симптоматично и поддържащо лечение, не може да се дадат специфични терапевтични препоръки.</w:t>
      </w:r>
    </w:p>
    <w:p w14:paraId="270FF246" w14:textId="77777777" w:rsidR="007D27EC" w:rsidRPr="007D27EC" w:rsidRDefault="007D27EC" w:rsidP="007D27EC"/>
    <w:p w14:paraId="02081B24" w14:textId="1F46E296" w:rsidR="00395555" w:rsidRPr="00395555" w:rsidRDefault="002C50EE" w:rsidP="008A6AF2">
      <w:pPr>
        <w:pStyle w:val="Heading1"/>
      </w:pPr>
      <w:r>
        <w:t>5. ФАРМАКОЛОГИЧНИ СВОЙСТВА</w:t>
      </w:r>
    </w:p>
    <w:p w14:paraId="5350637D" w14:textId="6151C4D9" w:rsidR="00395555" w:rsidRDefault="002C50EE" w:rsidP="008A6AF2">
      <w:pPr>
        <w:pStyle w:val="Heading2"/>
      </w:pPr>
      <w:r>
        <w:t>5.1. Фармакодинамични свойства</w:t>
      </w:r>
    </w:p>
    <w:p w14:paraId="18F9AD59" w14:textId="3D7BF41E" w:rsidR="007D27EC" w:rsidRDefault="007D27EC" w:rsidP="007D27EC"/>
    <w:p w14:paraId="2CDB129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Фармакотерапевтична група: Инхибитор на протонната помпа</w:t>
      </w:r>
    </w:p>
    <w:p w14:paraId="6B642EB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АТС код: А02ВС02</w:t>
      </w:r>
    </w:p>
    <w:p w14:paraId="644FCD7A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D6063B0" w14:textId="1C57832B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t>Механизъм на действие</w:t>
      </w:r>
    </w:p>
    <w:p w14:paraId="75DD4F0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Пантопразол е субституиран бензимидазол, който инхибира секрецията на солната киселина в стомаха чрез специфична блокада на протонната помпа на париеталните клетки. Пантопразол се конвертира в неговата активна форма в киселата среда на париеталните клетки, където инхибира Н+, К+ АТФаза ензимите, т.е финалния стадий от продукцията на солна киселина в стомаха. Инхибирането е дозозависимо и засяга както базалната, така и стимулираната киселинна секреция. При повечето пациенти овладяването на симптомите на рефлукса се постига за 2 седмици. Както другите протонни инхибитори и Н2 рецепторни инхибитори, лечението с пантопразол редуцира киселинността в стомаха и по този начин повишава нивото на гастрина, пропорционално на редукцията на киселинността. Повишаването на нивото на гастрина е реверзибилно. Тъй като пантопразол се свързва с ензимите дистално от рецепторното ниво, той може да инхибира секрецията на солна киселина, независимо от стимулирането й от други субстанции (ацетилхолин, хистамин, гастрин). Ефектът е същият, независимо дали активното вещество се прилага перорално или интравенозно.</w:t>
      </w:r>
    </w:p>
    <w:p w14:paraId="39C4A823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62E5FCB" w14:textId="648ABEC0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u w:val="single"/>
          <w:lang w:eastAsia="bg-BG"/>
        </w:rPr>
        <w:lastRenderedPageBreak/>
        <w:t>Фармакодинамични ефекти</w:t>
      </w:r>
    </w:p>
    <w:p w14:paraId="7C1DBFE4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Нивата на гастрина на гладно се повишават от пантопразол. При краткосрочен прием при повечето случаи те не надхвърлят горната граница на нормата. В повечето случаи, при продължително лечение, нивата на гастрина се удвояват. Ексцесивно нарастване настъпва при золирани слиучаи.</w:t>
      </w:r>
    </w:p>
    <w:p w14:paraId="5750F2FF" w14:textId="48731F21" w:rsidR="007D27EC" w:rsidRPr="007D27EC" w:rsidRDefault="007D27EC" w:rsidP="007D27EC">
      <w:pPr>
        <w:rPr>
          <w:rFonts w:cs="Arial"/>
        </w:rPr>
      </w:pPr>
    </w:p>
    <w:p w14:paraId="00673E5E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Като резултат при продължително лечение при малка част от случаите се наблюдава леко до средно повишаване на броя на специфичните ендокринни </w:t>
      </w:r>
      <w:r w:rsidRPr="007D27EC">
        <w:rPr>
          <w:rFonts w:eastAsia="Times New Roman" w:cs="Arial"/>
          <w:color w:val="000000"/>
          <w:lang w:val="ru-RU"/>
        </w:rPr>
        <w:t>(</w:t>
      </w:r>
      <w:r w:rsidRPr="007D27EC">
        <w:rPr>
          <w:rFonts w:eastAsia="Times New Roman" w:cs="Arial"/>
          <w:color w:val="000000"/>
          <w:lang w:val="en-US"/>
        </w:rPr>
        <w:t>ECL</w:t>
      </w:r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>клетки в стомаха (обикновенна до аденоматоидна хиперплазия). Все пак, съгласно проучванията проведени до момента, формирането на канцероидни прекурсори (атипична хиперплазия) или стомашни канцероиди, каквито са били открити при опитите с животни (вж. точка 5.3), не са наблюдавани при хора.</w:t>
      </w:r>
    </w:p>
    <w:p w14:paraId="56976930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3D047FC" w14:textId="4A130443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>Предвид данните от проучвания при животни при продължително лечение с пантопразол повече от една година не може напълно да се изключи възможността за повлияване на параметрите на функцията на щитовидната жлеза.</w:t>
      </w:r>
    </w:p>
    <w:p w14:paraId="0784A42D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8664BFE" w14:textId="09AB3108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По време на лечение с антисекреторни лекарствени продукти гастрина в серума се повишава в отговор на понижената киселинна секреция. В резултат на намалената стомашна киселинност се повишава и нивото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eastAsia="bg-BG"/>
        </w:rPr>
        <w:t xml:space="preserve">Повишеното ниво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може да повлияе на изследванията за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невроендокринни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тумори.</w:t>
      </w:r>
    </w:p>
    <w:p w14:paraId="03BCC705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77E0F05" w14:textId="2C76F0BA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Наличните публикувани данни показват, че прилагането на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инхибитори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на </w:t>
      </w:r>
      <w:proofErr w:type="spellStart"/>
      <w:r w:rsidRPr="007D27EC">
        <w:rPr>
          <w:rFonts w:eastAsia="Times New Roman" w:cs="Arial"/>
          <w:color w:val="000000"/>
          <w:lang w:eastAsia="bg-BG"/>
        </w:rPr>
        <w:t>протонната</w:t>
      </w:r>
      <w:proofErr w:type="spellEnd"/>
      <w:r w:rsidRPr="007D27EC">
        <w:rPr>
          <w:rFonts w:eastAsia="Times New Roman" w:cs="Arial"/>
          <w:color w:val="000000"/>
          <w:lang w:eastAsia="bg-BG"/>
        </w:rPr>
        <w:t xml:space="preserve"> помпа трябва да се преустанови между 5 дни и 2 седмици преди измерване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eastAsia="bg-BG"/>
        </w:rPr>
        <w:t xml:space="preserve">Това се прави с цел нивата на </w:t>
      </w:r>
      <w:proofErr w:type="spellStart"/>
      <w:r w:rsidRPr="007D27EC">
        <w:rPr>
          <w:rFonts w:eastAsia="Times New Roman" w:cs="Arial"/>
          <w:color w:val="000000"/>
          <w:lang w:val="en-US"/>
        </w:rPr>
        <w:t>CgA</w:t>
      </w:r>
      <w:proofErr w:type="spellEnd"/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>които могат да са лъжливо повишени след лечение с ИПП, да се възстановят до референтните си граници.</w:t>
      </w:r>
    </w:p>
    <w:p w14:paraId="037E1BB8" w14:textId="77777777" w:rsidR="007D27EC" w:rsidRPr="007D27EC" w:rsidRDefault="007D27EC" w:rsidP="007D27EC"/>
    <w:p w14:paraId="26535098" w14:textId="09420C1A" w:rsidR="00395555" w:rsidRDefault="002C50EE" w:rsidP="008A6AF2">
      <w:pPr>
        <w:pStyle w:val="Heading2"/>
      </w:pPr>
      <w:r>
        <w:t>5.2. Фармакокинетични свойства</w:t>
      </w:r>
    </w:p>
    <w:p w14:paraId="45D6F705" w14:textId="62CF4FC9" w:rsidR="007D27EC" w:rsidRDefault="007D27EC" w:rsidP="007D27EC"/>
    <w:p w14:paraId="670F8C01" w14:textId="77777777" w:rsidR="007D27EC" w:rsidRPr="007D27EC" w:rsidRDefault="007D27EC" w:rsidP="007D27EC">
      <w:pPr>
        <w:pStyle w:val="Heading3"/>
        <w:rPr>
          <w:rFonts w:eastAsia="Times New Roman"/>
          <w:u w:val="single"/>
        </w:rPr>
      </w:pPr>
      <w:r w:rsidRPr="007D27EC">
        <w:rPr>
          <w:rFonts w:eastAsia="Times New Roman"/>
          <w:u w:val="single"/>
          <w:lang w:eastAsia="bg-BG"/>
        </w:rPr>
        <w:t>Абсорбция</w:t>
      </w:r>
    </w:p>
    <w:p w14:paraId="5A7AE11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Пантопразол се резорбира бързо, като максимални плазмени концентрации се достигат дори след еднократна перорална доза от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eastAsia="bg-BG"/>
        </w:rPr>
        <w:t xml:space="preserve">Средно за около 2,0 - 2,5 </w:t>
      </w:r>
      <w:r w:rsidRPr="007D27EC">
        <w:rPr>
          <w:rFonts w:eastAsia="Times New Roman" w:cs="Arial"/>
          <w:color w:val="000000"/>
          <w:lang w:val="en-US"/>
        </w:rPr>
        <w:t>h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се достигат максимални плазмени концентрации от около 1-1,5 μ</w:t>
      </w:r>
      <w:r w:rsidRPr="007D27EC">
        <w:rPr>
          <w:rFonts w:eastAsia="Times New Roman" w:cs="Arial"/>
          <w:color w:val="000000"/>
          <w:lang w:val="en-US"/>
        </w:rPr>
        <w:t>g</w:t>
      </w:r>
      <w:r w:rsidRPr="007D27EC">
        <w:rPr>
          <w:rFonts w:eastAsia="Times New Roman" w:cs="Arial"/>
          <w:color w:val="000000"/>
          <w:lang w:val="ru-RU"/>
        </w:rPr>
        <w:t>/</w:t>
      </w:r>
      <w:r w:rsidRPr="007D27EC">
        <w:rPr>
          <w:rFonts w:eastAsia="Times New Roman" w:cs="Arial"/>
          <w:color w:val="000000"/>
          <w:lang w:val="en-US"/>
        </w:rPr>
        <w:t>ml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 xml:space="preserve">като тези стойности се запазват постоянни след многократно прилагане. Фармакокинетиката не варира след еднократно и повторно приложение. В дозовия диапазон от 10 до 80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>плазмената кинетика на пантопразол е линеарна, след перорално и интравенозно проложение.</w:t>
      </w:r>
    </w:p>
    <w:p w14:paraId="37196028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Абсолютната биоаналитичност на таблетната форма е около 77%. Съвместният прием на храна не повлиява </w:t>
      </w:r>
      <w:r w:rsidRPr="007D27EC">
        <w:rPr>
          <w:rFonts w:eastAsia="Times New Roman" w:cs="Arial"/>
          <w:color w:val="000000"/>
          <w:lang w:val="en-US"/>
        </w:rPr>
        <w:t>AUC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 xml:space="preserve">максималните плазмени концентрации и респективно бионаличността, Единствено продължителността на </w:t>
      </w:r>
      <w:r w:rsidRPr="007D27EC">
        <w:rPr>
          <w:rFonts w:eastAsia="Times New Roman" w:cs="Arial"/>
          <w:color w:val="000000"/>
          <w:lang w:val="en-US"/>
        </w:rPr>
        <w:t>lag</w:t>
      </w:r>
      <w:r w:rsidRPr="007D27EC">
        <w:rPr>
          <w:rFonts w:eastAsia="Times New Roman" w:cs="Arial"/>
          <w:color w:val="000000"/>
          <w:lang w:eastAsia="bg-BG"/>
        </w:rPr>
        <w:t>-фазата може да бъде увеличена при съвместно приемане с храна.</w:t>
      </w:r>
    </w:p>
    <w:p w14:paraId="6F8778B0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38AB898" w14:textId="653CFB74" w:rsidR="007D27EC" w:rsidRPr="007D27EC" w:rsidRDefault="007D27EC" w:rsidP="007D27EC">
      <w:pPr>
        <w:pStyle w:val="Heading3"/>
        <w:rPr>
          <w:rFonts w:eastAsia="Times New Roman"/>
          <w:u w:val="single"/>
        </w:rPr>
      </w:pPr>
      <w:r w:rsidRPr="007D27EC">
        <w:rPr>
          <w:rFonts w:eastAsia="Times New Roman"/>
          <w:u w:val="single"/>
          <w:lang w:eastAsia="bg-BG"/>
        </w:rPr>
        <w:t>Разпределение</w:t>
      </w:r>
    </w:p>
    <w:p w14:paraId="5BD885CB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Свързването на пантопразол със серумните протеини е около 98%. Обемът на разпределение е от около 0,15 </w:t>
      </w:r>
      <w:r w:rsidRPr="007D27EC">
        <w:rPr>
          <w:rFonts w:eastAsia="Times New Roman" w:cs="Arial"/>
          <w:color w:val="000000"/>
          <w:lang w:val="en-US"/>
        </w:rPr>
        <w:t>l</w:t>
      </w:r>
      <w:r w:rsidRPr="007D27EC">
        <w:rPr>
          <w:rFonts w:eastAsia="Times New Roman" w:cs="Arial"/>
          <w:color w:val="000000"/>
          <w:lang w:val="ru-RU"/>
        </w:rPr>
        <w:t>/</w:t>
      </w:r>
      <w:r w:rsidRPr="007D27EC">
        <w:rPr>
          <w:rFonts w:eastAsia="Times New Roman" w:cs="Arial"/>
          <w:color w:val="000000"/>
          <w:lang w:val="en-US"/>
        </w:rPr>
        <w:t>kg</w:t>
      </w:r>
      <w:r w:rsidRPr="007D27EC">
        <w:rPr>
          <w:rFonts w:eastAsia="Times New Roman" w:cs="Arial"/>
          <w:color w:val="000000"/>
          <w:lang w:val="ru-RU"/>
        </w:rPr>
        <w:t>.</w:t>
      </w:r>
    </w:p>
    <w:p w14:paraId="3A0E0109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C91B023" w14:textId="1BD79F7B" w:rsidR="007D27EC" w:rsidRPr="007D27EC" w:rsidRDefault="007D27EC" w:rsidP="007D27EC">
      <w:pPr>
        <w:pStyle w:val="Heading3"/>
        <w:rPr>
          <w:rFonts w:eastAsia="Times New Roman"/>
          <w:u w:val="single"/>
        </w:rPr>
      </w:pPr>
      <w:r w:rsidRPr="007D27EC">
        <w:rPr>
          <w:rFonts w:eastAsia="Times New Roman"/>
          <w:u w:val="single"/>
          <w:lang w:eastAsia="bg-BG"/>
        </w:rPr>
        <w:t>Биотрансформация</w:t>
      </w:r>
    </w:p>
    <w:p w14:paraId="1C1EFE11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Субстанцията почти напълно се метаболизира в черния дроб. Главният метаболитен път е деметилирането чрез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 </w:t>
      </w:r>
      <w:r w:rsidRPr="007D27EC">
        <w:rPr>
          <w:rFonts w:eastAsia="Times New Roman" w:cs="Arial"/>
          <w:color w:val="000000"/>
          <w:lang w:eastAsia="bg-BG"/>
        </w:rPr>
        <w:t xml:space="preserve">с последваща сулфатна конюгация, друг метаболитен път включва оксидиране чрез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3</w:t>
      </w:r>
      <w:r w:rsidRPr="007D27EC">
        <w:rPr>
          <w:rFonts w:eastAsia="Times New Roman" w:cs="Arial"/>
          <w:color w:val="000000"/>
          <w:lang w:val="en-US"/>
        </w:rPr>
        <w:t>A</w:t>
      </w:r>
      <w:r w:rsidRPr="007D27EC">
        <w:rPr>
          <w:rFonts w:eastAsia="Times New Roman" w:cs="Arial"/>
          <w:color w:val="000000"/>
          <w:lang w:val="ru-RU"/>
        </w:rPr>
        <w:t>4.</w:t>
      </w:r>
    </w:p>
    <w:p w14:paraId="6DBD8D03" w14:textId="77777777" w:rsidR="007D27EC" w:rsidRPr="007D27EC" w:rsidRDefault="007D27EC" w:rsidP="007D27EC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C05935C" w14:textId="3B2DF930" w:rsidR="007D27EC" w:rsidRPr="007D27EC" w:rsidRDefault="007D27EC" w:rsidP="007D27EC">
      <w:pPr>
        <w:pStyle w:val="Heading3"/>
        <w:rPr>
          <w:rFonts w:eastAsia="Times New Roman"/>
          <w:u w:val="single"/>
        </w:rPr>
      </w:pPr>
      <w:r w:rsidRPr="007D27EC">
        <w:rPr>
          <w:rFonts w:eastAsia="Times New Roman"/>
          <w:u w:val="single"/>
          <w:lang w:eastAsia="bg-BG"/>
        </w:rPr>
        <w:t>Елиминиране</w:t>
      </w:r>
    </w:p>
    <w:p w14:paraId="2CF331AD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Терминалният елиминационен полуживот е около 1 час и клирънсът около 0,1 </w:t>
      </w:r>
      <w:r w:rsidRPr="007D27EC">
        <w:rPr>
          <w:rFonts w:eastAsia="Times New Roman" w:cs="Arial"/>
          <w:color w:val="000000"/>
          <w:lang w:val="ru-RU"/>
        </w:rPr>
        <w:t>1/</w:t>
      </w:r>
      <w:r w:rsidRPr="007D27EC">
        <w:rPr>
          <w:rFonts w:eastAsia="Times New Roman" w:cs="Arial"/>
          <w:color w:val="000000"/>
          <w:lang w:val="en-US"/>
        </w:rPr>
        <w:t>h</w:t>
      </w:r>
      <w:r w:rsidRPr="007D27EC">
        <w:rPr>
          <w:rFonts w:eastAsia="Times New Roman" w:cs="Arial"/>
          <w:color w:val="000000"/>
          <w:lang w:val="ru-RU"/>
        </w:rPr>
        <w:t>/</w:t>
      </w:r>
      <w:r w:rsidRPr="007D27EC">
        <w:rPr>
          <w:rFonts w:eastAsia="Times New Roman" w:cs="Arial"/>
          <w:color w:val="000000"/>
          <w:lang w:val="en-US"/>
        </w:rPr>
        <w:t>kg</w:t>
      </w:r>
      <w:r w:rsidRPr="007D27EC">
        <w:rPr>
          <w:rFonts w:eastAsia="Times New Roman" w:cs="Arial"/>
          <w:color w:val="000000"/>
          <w:lang w:val="ru-RU"/>
        </w:rPr>
        <w:t xml:space="preserve">. </w:t>
      </w:r>
      <w:r w:rsidRPr="007D27EC">
        <w:rPr>
          <w:rFonts w:eastAsia="Times New Roman" w:cs="Arial"/>
          <w:color w:val="000000"/>
          <w:lang w:eastAsia="bg-BG"/>
        </w:rPr>
        <w:t>Установени са няколко субекта със забавено елиминиране. Поради специфичното свързване на пантопразол с протонните помпи на париеталните клетки, елиминационният полуживот не корелира с много по- дългата продължителност на действие (инхибиране на киселинната секреция).</w:t>
      </w:r>
    </w:p>
    <w:p w14:paraId="08C57A11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Бъбречното елиминиране е основният път на екскреция на метаболитите на пантопразол (около 80%), останалата част се екскретира с изпражненията. Основният метаболит, установен, както в серума, така и в урината, е дезметилпантопразол, който е сулфатно конюгиран. Периодът на полуелиминиране на основния метаболит (около 1,5 </w:t>
      </w:r>
      <w:r w:rsidRPr="007D27EC">
        <w:rPr>
          <w:rFonts w:eastAsia="Times New Roman" w:cs="Arial"/>
          <w:color w:val="000000"/>
          <w:lang w:val="en-US"/>
        </w:rPr>
        <w:t>h</w:t>
      </w:r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>не е много по-продължителен от този на</w:t>
      </w:r>
    </w:p>
    <w:p w14:paraId="4634AB1C" w14:textId="464A7775" w:rsidR="007D27EC" w:rsidRPr="007D27EC" w:rsidRDefault="007D27EC" w:rsidP="007D27EC">
      <w:pPr>
        <w:rPr>
          <w:rFonts w:eastAsia="Times New Roman" w:cs="Arial"/>
          <w:color w:val="000000"/>
          <w:lang w:eastAsia="bg-BG"/>
        </w:rPr>
      </w:pPr>
      <w:r w:rsidRPr="007D27EC">
        <w:rPr>
          <w:rFonts w:eastAsia="Times New Roman" w:cs="Arial"/>
          <w:color w:val="000000"/>
          <w:lang w:eastAsia="bg-BG"/>
        </w:rPr>
        <w:t>пантопразол.</w:t>
      </w:r>
    </w:p>
    <w:p w14:paraId="31D59E65" w14:textId="6B2A48D4" w:rsidR="007D27EC" w:rsidRPr="007D27EC" w:rsidRDefault="007D27EC" w:rsidP="007D27EC">
      <w:pPr>
        <w:rPr>
          <w:rFonts w:eastAsia="Times New Roman" w:cs="Arial"/>
          <w:color w:val="000000"/>
          <w:lang w:eastAsia="bg-BG"/>
        </w:rPr>
      </w:pPr>
    </w:p>
    <w:p w14:paraId="6FD93A01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u w:val="single"/>
          <w:lang w:eastAsia="bg-BG"/>
        </w:rPr>
        <w:t>Специални популации</w:t>
      </w:r>
    </w:p>
    <w:p w14:paraId="3DB7CC47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B9337AA" w14:textId="1F8B4A8D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Бавни метаболизатори</w:t>
      </w:r>
    </w:p>
    <w:p w14:paraId="59CB65F9" w14:textId="7419DEF5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Прибилизително при 3% от Европейската популация липсва функциониращ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val="ru-RU"/>
        </w:rPr>
        <w:t xml:space="preserve">19 </w:t>
      </w:r>
      <w:r w:rsidRPr="007D27EC">
        <w:rPr>
          <w:rFonts w:eastAsia="Times New Roman" w:cs="Arial"/>
          <w:color w:val="000000"/>
          <w:lang w:eastAsia="bg-BG"/>
        </w:rPr>
        <w:t xml:space="preserve">ензим и те са наречени слаби метаболизатори. При тези индивиди метаболизмът на пантопразол вероятно се катализира от </w:t>
      </w:r>
      <w:r w:rsidRPr="007D27EC">
        <w:rPr>
          <w:rFonts w:eastAsia="Times New Roman" w:cs="Arial"/>
          <w:color w:val="000000"/>
          <w:lang w:val="en-US"/>
        </w:rPr>
        <w:t>CYP</w:t>
      </w:r>
      <w:r w:rsidRPr="007D27EC">
        <w:rPr>
          <w:rFonts w:eastAsia="Times New Roman" w:cs="Arial"/>
          <w:color w:val="000000"/>
          <w:lang w:val="ru-RU"/>
        </w:rPr>
        <w:t>3</w:t>
      </w:r>
      <w:r w:rsidRPr="007D27EC">
        <w:rPr>
          <w:rFonts w:eastAsia="Times New Roman" w:cs="Arial"/>
          <w:color w:val="000000"/>
          <w:lang w:val="en-US"/>
        </w:rPr>
        <w:t>A</w:t>
      </w:r>
      <w:r w:rsidRPr="007D27EC">
        <w:rPr>
          <w:rFonts w:eastAsia="Times New Roman" w:cs="Arial"/>
          <w:color w:val="000000"/>
          <w:lang w:val="ru-RU"/>
        </w:rPr>
        <w:t xml:space="preserve">4. </w:t>
      </w:r>
      <w:r w:rsidRPr="007D27EC">
        <w:rPr>
          <w:rFonts w:eastAsia="Times New Roman" w:cs="Arial"/>
          <w:color w:val="000000"/>
          <w:lang w:eastAsia="bg-BG"/>
        </w:rPr>
        <w:t xml:space="preserve">След приложена еднократна доза от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пантопразол, средната повърхност под кривата за плазмена концентрация-време е била 6 пъти по-голяма при слабите метаболизатори в сравнение със субекти с функциониращ С</w:t>
      </w:r>
      <w:r w:rsidRPr="007D27EC">
        <w:rPr>
          <w:rFonts w:eastAsia="Times New Roman" w:cs="Arial"/>
          <w:color w:val="000000"/>
          <w:lang w:val="en-US"/>
        </w:rPr>
        <w:t>YP</w:t>
      </w:r>
      <w:r w:rsidRPr="007D27EC">
        <w:rPr>
          <w:rFonts w:eastAsia="Times New Roman" w:cs="Arial"/>
          <w:color w:val="000000"/>
          <w:lang w:val="ru-RU"/>
        </w:rPr>
        <w:t>2</w:t>
      </w:r>
      <w:r w:rsidRPr="007D27EC">
        <w:rPr>
          <w:rFonts w:eastAsia="Times New Roman" w:cs="Arial"/>
          <w:color w:val="000000"/>
          <w:lang w:val="en-US"/>
        </w:rPr>
        <w:t>C</w:t>
      </w:r>
      <w:r w:rsidRPr="007D27EC">
        <w:rPr>
          <w:rFonts w:eastAsia="Times New Roman" w:cs="Arial"/>
          <w:color w:val="000000"/>
          <w:lang w:eastAsia="bg-BG"/>
        </w:rPr>
        <w:t>19 ензим (екстензивни метаболизатори). Средната максимална плазмена концентрация е била повишена с около 60%. Тези факти нямат отношение към дозирането на пантопразол.</w:t>
      </w:r>
    </w:p>
    <w:p w14:paraId="5AA4C61B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B13ECFA" w14:textId="40E2DF7E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Бъбречна недостатъчност</w:t>
      </w:r>
    </w:p>
    <w:p w14:paraId="767725C2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Не се изисква намаляване на дозата, когато пантопразол се прилага при пациенти с ограничена бъбречна функция (вкл. пациенти на хемодиализа). При тези пациенти, подобно на пациентите с интактна бъбречна функция, плазменият период на полуелиминиране на пантопразол е кратък. Само много малка част от пантопразол може да се диализира. Независимо, че периодът на полуелиминиране на основния метаболит е умерено удължен (2-3 </w:t>
      </w:r>
      <w:r w:rsidRPr="007D27EC">
        <w:rPr>
          <w:rFonts w:eastAsia="Times New Roman" w:cs="Arial"/>
          <w:color w:val="000000"/>
          <w:lang w:val="en-US"/>
        </w:rPr>
        <w:t>h</w:t>
      </w:r>
      <w:r w:rsidRPr="007D27EC">
        <w:rPr>
          <w:rFonts w:eastAsia="Times New Roman" w:cs="Arial"/>
          <w:color w:val="000000"/>
          <w:lang w:val="ru-RU"/>
        </w:rPr>
        <w:t xml:space="preserve">), </w:t>
      </w:r>
      <w:r w:rsidRPr="007D27EC">
        <w:rPr>
          <w:rFonts w:eastAsia="Times New Roman" w:cs="Arial"/>
          <w:color w:val="000000"/>
          <w:lang w:eastAsia="bg-BG"/>
        </w:rPr>
        <w:t>екскрецията е все така бърза и не настъпва кумулация.</w:t>
      </w:r>
    </w:p>
    <w:p w14:paraId="4AB946ED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3F075E4" w14:textId="4F249D74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Чернодробна недостатъчност</w:t>
      </w:r>
    </w:p>
    <w:p w14:paraId="4AE793C1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Въпреки, че при пациенти с чернодробна цироза (клас А и В съгласно </w:t>
      </w:r>
      <w:r w:rsidRPr="007D27EC">
        <w:rPr>
          <w:rFonts w:eastAsia="Times New Roman" w:cs="Arial"/>
          <w:color w:val="000000"/>
          <w:lang w:val="en-US"/>
        </w:rPr>
        <w:t>Child</w:t>
      </w:r>
      <w:r w:rsidRPr="007D27EC">
        <w:rPr>
          <w:rFonts w:eastAsia="Times New Roman" w:cs="Arial"/>
          <w:color w:val="000000"/>
          <w:lang w:val="ru-RU"/>
        </w:rPr>
        <w:t xml:space="preserve">) </w:t>
      </w:r>
      <w:r w:rsidRPr="007D27EC">
        <w:rPr>
          <w:rFonts w:eastAsia="Times New Roman" w:cs="Arial"/>
          <w:color w:val="000000"/>
          <w:lang w:eastAsia="bg-BG"/>
        </w:rPr>
        <w:t xml:space="preserve">е установено удължаване на елиминационния полуживот до 3-6 </w:t>
      </w:r>
      <w:r w:rsidRPr="007D27EC">
        <w:rPr>
          <w:rFonts w:eastAsia="Times New Roman" w:cs="Arial"/>
          <w:color w:val="000000"/>
          <w:lang w:val="en-US"/>
        </w:rPr>
        <w:t>h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и увеличение с фактор 3-5 на стойността на </w:t>
      </w:r>
      <w:r w:rsidRPr="007D27EC">
        <w:rPr>
          <w:rFonts w:eastAsia="Times New Roman" w:cs="Arial"/>
          <w:color w:val="000000"/>
          <w:lang w:val="en-US"/>
        </w:rPr>
        <w:t>AUC</w:t>
      </w:r>
      <w:r w:rsidRPr="007D27EC">
        <w:rPr>
          <w:rFonts w:eastAsia="Times New Roman" w:cs="Arial"/>
          <w:color w:val="000000"/>
          <w:lang w:val="ru-RU"/>
        </w:rPr>
        <w:t xml:space="preserve">, </w:t>
      </w:r>
      <w:r w:rsidRPr="007D27EC">
        <w:rPr>
          <w:rFonts w:eastAsia="Times New Roman" w:cs="Arial"/>
          <w:color w:val="000000"/>
          <w:lang w:eastAsia="bg-BG"/>
        </w:rPr>
        <w:t>наблюдаваните максимални плазмени концентрации са само 1,3 пъти по-високи от тези при здрави индивиди.</w:t>
      </w:r>
    </w:p>
    <w:p w14:paraId="7D8C7C35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311C2A7B" w14:textId="7E50D1C5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Старческа популация</w:t>
      </w:r>
    </w:p>
    <w:p w14:paraId="20968295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Лекото увеличение на </w:t>
      </w:r>
      <w:r w:rsidRPr="007D27EC">
        <w:rPr>
          <w:rFonts w:eastAsia="Times New Roman" w:cs="Arial"/>
          <w:color w:val="000000"/>
          <w:lang w:val="en-US"/>
        </w:rPr>
        <w:t>AUC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и Стах, установено при по-възрастни доброволци, в сравнение с по- младите участници, също така не е от клинично значение.</w:t>
      </w:r>
    </w:p>
    <w:p w14:paraId="5A7C18B8" w14:textId="77777777" w:rsidR="007D27EC" w:rsidRPr="007D27EC" w:rsidRDefault="007D27EC" w:rsidP="007D27EC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91C560F" w14:textId="1185F105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5F1E65AC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След прилагането на единична перорална доза от 20 до 40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пантопразол на деца на възраст от 5-16 години </w:t>
      </w:r>
      <w:r w:rsidRPr="007D27EC">
        <w:rPr>
          <w:rFonts w:eastAsia="Times New Roman" w:cs="Arial"/>
          <w:color w:val="000000"/>
          <w:lang w:val="en-US"/>
        </w:rPr>
        <w:t>AUC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и Стах са били в диапазон, съответстващ на нивото при възрастни.</w:t>
      </w:r>
    </w:p>
    <w:p w14:paraId="2C2F6ABA" w14:textId="77777777" w:rsidR="007D27EC" w:rsidRPr="007D27EC" w:rsidRDefault="007D27EC" w:rsidP="007D27EC">
      <w:pPr>
        <w:spacing w:line="240" w:lineRule="auto"/>
        <w:rPr>
          <w:rFonts w:eastAsia="Times New Roman" w:cs="Arial"/>
        </w:rPr>
      </w:pPr>
      <w:r w:rsidRPr="007D27EC">
        <w:rPr>
          <w:rFonts w:eastAsia="Times New Roman" w:cs="Arial"/>
          <w:color w:val="000000"/>
          <w:lang w:eastAsia="bg-BG"/>
        </w:rPr>
        <w:t xml:space="preserve">След прилагането на единична интравенозна доза от 0,8 или 1,6 </w:t>
      </w:r>
      <w:r w:rsidRPr="007D27EC">
        <w:rPr>
          <w:rFonts w:eastAsia="Times New Roman" w:cs="Arial"/>
          <w:color w:val="000000"/>
          <w:lang w:val="en-US"/>
        </w:rPr>
        <w:t>mg</w:t>
      </w:r>
      <w:r w:rsidRPr="007D27EC">
        <w:rPr>
          <w:rFonts w:eastAsia="Times New Roman" w:cs="Arial"/>
          <w:color w:val="000000"/>
          <w:lang w:val="ru-RU"/>
        </w:rPr>
        <w:t>/</w:t>
      </w:r>
      <w:r w:rsidRPr="007D27EC">
        <w:rPr>
          <w:rFonts w:eastAsia="Times New Roman" w:cs="Arial"/>
          <w:color w:val="000000"/>
          <w:lang w:val="en-US"/>
        </w:rPr>
        <w:t>kg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 xml:space="preserve">пантопразол на деца на възраст 2-16 години не е установена значителна асоциация между клирънсът на </w:t>
      </w:r>
      <w:r w:rsidRPr="007D27EC">
        <w:rPr>
          <w:rFonts w:eastAsia="Times New Roman" w:cs="Arial"/>
          <w:color w:val="000000"/>
          <w:lang w:eastAsia="bg-BG"/>
        </w:rPr>
        <w:lastRenderedPageBreak/>
        <w:t xml:space="preserve">пантопразол и възрастта и теглото. </w:t>
      </w:r>
      <w:r w:rsidRPr="007D27EC">
        <w:rPr>
          <w:rFonts w:eastAsia="Times New Roman" w:cs="Arial"/>
          <w:color w:val="000000"/>
          <w:lang w:val="en-US"/>
        </w:rPr>
        <w:t>AUC</w:t>
      </w:r>
      <w:r w:rsidRPr="007D27EC">
        <w:rPr>
          <w:rFonts w:eastAsia="Times New Roman" w:cs="Arial"/>
          <w:color w:val="000000"/>
          <w:lang w:val="ru-RU"/>
        </w:rPr>
        <w:t xml:space="preserve"> </w:t>
      </w:r>
      <w:r w:rsidRPr="007D27EC">
        <w:rPr>
          <w:rFonts w:eastAsia="Times New Roman" w:cs="Arial"/>
          <w:color w:val="000000"/>
          <w:lang w:eastAsia="bg-BG"/>
        </w:rPr>
        <w:t>и обемът на разпределение са били в съответствие с данните при възрастни.</w:t>
      </w:r>
    </w:p>
    <w:p w14:paraId="5038D970" w14:textId="77777777" w:rsidR="007D27EC" w:rsidRPr="007D27EC" w:rsidRDefault="007D27EC" w:rsidP="007D27EC"/>
    <w:p w14:paraId="028E658A" w14:textId="19D29C16" w:rsidR="00395555" w:rsidRDefault="002C50EE" w:rsidP="008A6AF2">
      <w:pPr>
        <w:pStyle w:val="Heading2"/>
      </w:pPr>
      <w:r>
        <w:t>5.3. Предклинични данни за безопасност</w:t>
      </w:r>
    </w:p>
    <w:p w14:paraId="3FBABD60" w14:textId="79FFED5A" w:rsidR="007D27EC" w:rsidRDefault="007D27EC" w:rsidP="007D27EC"/>
    <w:p w14:paraId="38321365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Предклиничните данни, базирани на конвенционалните проучвания за фармакология на безопасност, токсичност на повторната доза и генотоксичност, не показват особен риск за хора.</w:t>
      </w:r>
    </w:p>
    <w:p w14:paraId="5F21C90D" w14:textId="77777777" w:rsidR="007D27EC" w:rsidRDefault="007D27EC" w:rsidP="007D27EC">
      <w:pPr>
        <w:rPr>
          <w:lang w:eastAsia="bg-BG"/>
        </w:rPr>
      </w:pPr>
    </w:p>
    <w:p w14:paraId="741EDC1C" w14:textId="154DA78F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При 2-годишно проучване за канцерогенеза при плъхове са били открити невроендокринни неоплазми. В допълнение, сквамозно-клетъчни папиломи са били открити при плъхове при едно проучване. Механизмът, водещ до формиране на стомашни карциноиди от субституираните бензимидазоли, е бил внимателно проучен и е достигнато до извода, че това е вторична реакция на силно повишените серумни нива на гастрина, настъпващи при плъхове по време на хронично високо-дозово третиране.</w:t>
      </w:r>
    </w:p>
    <w:p w14:paraId="5EEF16E1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При двегодишни изследвания върху гризачи е установен увеличен брой на чернодробни тумори при плъхове (само при едно проучване при плъхове) и женски мишки, което е интерпретирано като следствие на високата степен на метаболизъм на пантопразол в черния дроб.</w:t>
      </w:r>
    </w:p>
    <w:p w14:paraId="6A41A1F5" w14:textId="26E27F20" w:rsidR="007D27EC" w:rsidRDefault="007D27EC" w:rsidP="007D27EC"/>
    <w:p w14:paraId="0CD56C15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 xml:space="preserve">Слабо увеличение на честотата на неопластичните измененния на щитовидната жлеза е установено при групата плъхове, третирани с най-висока доза (200 </w:t>
      </w:r>
      <w:r w:rsidRPr="007D27EC">
        <w:rPr>
          <w:lang w:val="en-US"/>
        </w:rPr>
        <w:t>mg</w:t>
      </w:r>
      <w:r w:rsidRPr="007D27EC">
        <w:rPr>
          <w:lang w:val="ru-RU"/>
        </w:rPr>
        <w:t>/</w:t>
      </w:r>
      <w:r w:rsidRPr="007D27EC">
        <w:rPr>
          <w:lang w:val="en-US"/>
        </w:rPr>
        <w:t>kg</w:t>
      </w:r>
      <w:r w:rsidRPr="007D27EC">
        <w:rPr>
          <w:lang w:val="ru-RU"/>
        </w:rPr>
        <w:t xml:space="preserve">) </w:t>
      </w:r>
      <w:r w:rsidRPr="007D27EC">
        <w:rPr>
          <w:lang w:eastAsia="bg-BG"/>
        </w:rPr>
        <w:t>в едно от двегодишните проучвания. Наличието на тези новообразувания е свързано с предизвиканите от пантопразол промени в катаболизма на тироксина в черния дроб на плъха. Тъй като при човека дозата е ниска, не се очакват нежелани реакции от страна на щитовидната жлеза.</w:t>
      </w:r>
    </w:p>
    <w:p w14:paraId="72A02403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 xml:space="preserve">При проучвания при животни с дози над 5 </w:t>
      </w:r>
      <w:r w:rsidRPr="007D27EC">
        <w:rPr>
          <w:lang w:val="en-US"/>
        </w:rPr>
        <w:t>mg</w:t>
      </w:r>
      <w:r w:rsidRPr="007D27EC">
        <w:rPr>
          <w:lang w:val="ru-RU"/>
        </w:rPr>
        <w:t>/</w:t>
      </w:r>
      <w:r w:rsidRPr="007D27EC">
        <w:rPr>
          <w:lang w:val="en-US"/>
        </w:rPr>
        <w:t>kg</w:t>
      </w:r>
      <w:r w:rsidRPr="007D27EC">
        <w:rPr>
          <w:lang w:val="ru-RU"/>
        </w:rPr>
        <w:t xml:space="preserve"> </w:t>
      </w:r>
      <w:r w:rsidRPr="007D27EC">
        <w:rPr>
          <w:lang w:eastAsia="bg-BG"/>
        </w:rPr>
        <w:t>са били налюдавани белези на лека фетотоксичност.</w:t>
      </w:r>
    </w:p>
    <w:p w14:paraId="049284C0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Проведените изследвания не откриват доказателства за увреждане на фертилитета или тератогенни ефекти.</w:t>
      </w:r>
    </w:p>
    <w:p w14:paraId="03FB5E65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Проникването през плацентата е проучено при плъхове и е установено, че се увеличава с напредване на бременността. В резултат на това, концентрацията на пантопразол в плода се увеличава непосредствено преди раждането.</w:t>
      </w:r>
    </w:p>
    <w:p w14:paraId="5A33C7F0" w14:textId="77777777" w:rsidR="007D27EC" w:rsidRPr="007D27EC" w:rsidRDefault="007D27EC" w:rsidP="007D27EC"/>
    <w:p w14:paraId="6A7820AB" w14:textId="2E2AE917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0DF2BAF7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НОБЕЛ ФАРМА ЕООД</w:t>
      </w:r>
    </w:p>
    <w:p w14:paraId="33FB43BD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Околовръстен път № 36</w:t>
      </w:r>
    </w:p>
    <w:p w14:paraId="3F3CEA60" w14:textId="4962715E" w:rsidR="007D27EC" w:rsidRDefault="007D27EC" w:rsidP="007D27EC">
      <w:r w:rsidRPr="007D27EC">
        <w:rPr>
          <w:lang w:eastAsia="bg-BG"/>
        </w:rPr>
        <w:t>София 1415, България</w:t>
      </w:r>
    </w:p>
    <w:p w14:paraId="36063315" w14:textId="77777777" w:rsidR="007D27EC" w:rsidRPr="007D27EC" w:rsidRDefault="007D27EC" w:rsidP="007D27EC"/>
    <w:p w14:paraId="04840D59" w14:textId="60A3F678" w:rsidR="002C50EE" w:rsidRDefault="002C50EE" w:rsidP="00395555">
      <w:pPr>
        <w:pStyle w:val="Heading1"/>
      </w:pPr>
      <w:r>
        <w:t>8. НОМЕР НА РАЗРЕШЕНИЕТО ЗА УПОТРЕБА</w:t>
      </w:r>
    </w:p>
    <w:p w14:paraId="0D3332D6" w14:textId="53898D8A" w:rsidR="007D27EC" w:rsidRPr="007D27EC" w:rsidRDefault="007D27EC" w:rsidP="007D27EC">
      <w:r>
        <w:t>20060862</w:t>
      </w:r>
    </w:p>
    <w:p w14:paraId="2CCB5832" w14:textId="5F07D87F" w:rsidR="007C605B" w:rsidRDefault="002C50EE" w:rsidP="007C605B">
      <w:pPr>
        <w:pStyle w:val="Heading1"/>
      </w:pPr>
      <w:r>
        <w:lastRenderedPageBreak/>
        <w:t>9. ДАТА НА ПЪРВО РАЗРЕШАВАНЕ/ПОДНОВЯВАНЕ НА РАЗРЕШЕНИЕТО ЗА УПОТРЕБА</w:t>
      </w:r>
    </w:p>
    <w:p w14:paraId="0260A600" w14:textId="77777777" w:rsidR="007D27EC" w:rsidRPr="007D27EC" w:rsidRDefault="007D27EC" w:rsidP="007D27EC">
      <w:pPr>
        <w:rPr>
          <w:sz w:val="24"/>
          <w:szCs w:val="24"/>
        </w:rPr>
      </w:pPr>
      <w:r w:rsidRPr="007D27EC">
        <w:rPr>
          <w:lang w:eastAsia="bg-BG"/>
        </w:rPr>
        <w:t>Дата на първо разрешаване: 29.12.2006</w:t>
      </w:r>
    </w:p>
    <w:p w14:paraId="4B097985" w14:textId="50CCEDD8" w:rsidR="007D27EC" w:rsidRPr="007D27EC" w:rsidRDefault="007D27EC" w:rsidP="007D27EC">
      <w:r w:rsidRPr="007D27EC">
        <w:rPr>
          <w:lang w:eastAsia="bg-BG"/>
        </w:rPr>
        <w:t>Дата на последно подновяване: 03.04.2012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64AC893F" w:rsidR="007C605B" w:rsidRPr="003E3126" w:rsidRDefault="007D27EC" w:rsidP="007D27EC">
      <w:r>
        <w:t>12/2019</w:t>
      </w:r>
    </w:p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5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0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5451E8"/>
    <w:multiLevelType w:val="hybridMultilevel"/>
    <w:tmpl w:val="154A3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6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28"/>
  </w:num>
  <w:num w:numId="12">
    <w:abstractNumId w:val="13"/>
  </w:num>
  <w:num w:numId="13">
    <w:abstractNumId w:val="18"/>
  </w:num>
  <w:num w:numId="14">
    <w:abstractNumId w:val="11"/>
  </w:num>
  <w:num w:numId="15">
    <w:abstractNumId w:val="27"/>
  </w:num>
  <w:num w:numId="16">
    <w:abstractNumId w:val="9"/>
  </w:num>
  <w:num w:numId="17">
    <w:abstractNumId w:val="23"/>
  </w:num>
  <w:num w:numId="18">
    <w:abstractNumId w:val="7"/>
  </w:num>
  <w:num w:numId="19">
    <w:abstractNumId w:val="25"/>
  </w:num>
  <w:num w:numId="20">
    <w:abstractNumId w:val="22"/>
  </w:num>
  <w:num w:numId="21">
    <w:abstractNumId w:val="16"/>
  </w:num>
  <w:num w:numId="22">
    <w:abstractNumId w:val="24"/>
  </w:num>
  <w:num w:numId="23">
    <w:abstractNumId w:val="17"/>
  </w:num>
  <w:num w:numId="24">
    <w:abstractNumId w:val="8"/>
  </w:num>
  <w:num w:numId="25">
    <w:abstractNumId w:val="21"/>
  </w:num>
  <w:num w:numId="26">
    <w:abstractNumId w:val="20"/>
  </w:num>
  <w:num w:numId="27">
    <w:abstractNumId w:val="29"/>
  </w:num>
  <w:num w:numId="28">
    <w:abstractNumId w:val="6"/>
  </w:num>
  <w:num w:numId="29">
    <w:abstractNumId w:val="19"/>
  </w:num>
  <w:num w:numId="30">
    <w:abstractNumId w:val="31"/>
  </w:num>
  <w:num w:numId="31">
    <w:abstractNumId w:val="5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00"/>
    <w:rsid w:val="001436FB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D4D6B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5649D"/>
    <w:rsid w:val="007C605B"/>
    <w:rsid w:val="007D27EC"/>
    <w:rsid w:val="00814073"/>
    <w:rsid w:val="00826F0D"/>
    <w:rsid w:val="00893B92"/>
    <w:rsid w:val="008A6AF2"/>
    <w:rsid w:val="008C70A2"/>
    <w:rsid w:val="009773E4"/>
    <w:rsid w:val="009B171C"/>
    <w:rsid w:val="009F1313"/>
    <w:rsid w:val="00A20351"/>
    <w:rsid w:val="00AA23EC"/>
    <w:rsid w:val="00AC63CE"/>
    <w:rsid w:val="00AE2107"/>
    <w:rsid w:val="00B275A8"/>
    <w:rsid w:val="00BF2600"/>
    <w:rsid w:val="00C0049F"/>
    <w:rsid w:val="00C07B84"/>
    <w:rsid w:val="00C33464"/>
    <w:rsid w:val="00C809A7"/>
    <w:rsid w:val="00C83063"/>
    <w:rsid w:val="00C87E90"/>
    <w:rsid w:val="00CA1B5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da.bg" TargetMode="External"/><Relationship Id="rId5" Type="http://schemas.openxmlformats.org/officeDocument/2006/relationships/hyperlink" Target="mailto:bda@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4380</Words>
  <Characters>24969</Characters>
  <Application>Microsoft Office Word</Application>
  <DocSecurity>0</DocSecurity>
  <Lines>208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KOTEVSKA, ANA</cp:lastModifiedBy>
  <cp:revision>3</cp:revision>
  <dcterms:created xsi:type="dcterms:W3CDTF">2022-01-19T01:10:00Z</dcterms:created>
  <dcterms:modified xsi:type="dcterms:W3CDTF">2022-01-31T07:17:00Z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