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7A328C" w14:textId="16329281" w:rsidR="002C50EE" w:rsidRDefault="002C50EE" w:rsidP="002C50EE">
      <w:pPr>
        <w:pStyle w:val="Heading1"/>
        <w:jc w:val="center"/>
      </w:pPr>
      <w:bookmarkStart w:id="0" w:name="_Hlk63124480"/>
      <w:r>
        <w:t>КРАТКА ХАРАКТЕРИСТИКА НА ПРОДУКТА</w:t>
      </w:r>
    </w:p>
    <w:p w14:paraId="79516554" w14:textId="6EB1A3FD" w:rsidR="00DB32D3" w:rsidRDefault="00DD466D" w:rsidP="005726E3">
      <w:pPr>
        <w:pStyle w:val="Heading1"/>
      </w:pPr>
      <w:r>
        <w:t>1.ИМЕ НА ЛЕКАРСТВЕНИЯ ПРОДУКТ</w:t>
      </w:r>
    </w:p>
    <w:p w14:paraId="2FED1FC4" w14:textId="36E8699C" w:rsidR="000E158B" w:rsidRDefault="000E158B" w:rsidP="000E158B"/>
    <w:p w14:paraId="7311959D" w14:textId="77777777" w:rsidR="000E158B" w:rsidRPr="000E158B" w:rsidRDefault="000E158B" w:rsidP="000E158B">
      <w:pPr>
        <w:rPr>
          <w:sz w:val="24"/>
          <w:szCs w:val="24"/>
        </w:rPr>
      </w:pPr>
      <w:r w:rsidRPr="000E158B">
        <w:rPr>
          <w:lang w:eastAsia="bg-BG"/>
        </w:rPr>
        <w:t xml:space="preserve">Пирамем 800 </w:t>
      </w:r>
      <w:r w:rsidRPr="000E158B">
        <w:rPr>
          <w:lang w:val="en-US"/>
        </w:rPr>
        <w:t>mg</w:t>
      </w:r>
      <w:r w:rsidRPr="000E158B">
        <w:t xml:space="preserve"> </w:t>
      </w:r>
      <w:r w:rsidRPr="000E158B">
        <w:rPr>
          <w:lang w:eastAsia="bg-BG"/>
        </w:rPr>
        <w:t>филмирани таблетки</w:t>
      </w:r>
    </w:p>
    <w:p w14:paraId="04A59F1A" w14:textId="77777777" w:rsidR="000E158B" w:rsidRPr="000E158B" w:rsidRDefault="000E158B" w:rsidP="000E158B">
      <w:pPr>
        <w:rPr>
          <w:sz w:val="24"/>
          <w:szCs w:val="24"/>
        </w:rPr>
      </w:pPr>
      <w:proofErr w:type="spellStart"/>
      <w:r w:rsidRPr="000E158B">
        <w:rPr>
          <w:lang w:val="en-US"/>
        </w:rPr>
        <w:t>Pyramem</w:t>
      </w:r>
      <w:proofErr w:type="spellEnd"/>
      <w:r w:rsidRPr="000E158B">
        <w:t xml:space="preserve"> </w:t>
      </w:r>
      <w:r w:rsidRPr="000E158B">
        <w:rPr>
          <w:lang w:eastAsia="bg-BG"/>
        </w:rPr>
        <w:t xml:space="preserve">800 </w:t>
      </w:r>
      <w:r w:rsidRPr="000E158B">
        <w:rPr>
          <w:lang w:val="en-US"/>
        </w:rPr>
        <w:t>mg</w:t>
      </w:r>
      <w:r w:rsidRPr="000E158B">
        <w:t xml:space="preserve"> </w:t>
      </w:r>
      <w:r w:rsidRPr="000E158B">
        <w:rPr>
          <w:lang w:val="en-US"/>
        </w:rPr>
        <w:t>film</w:t>
      </w:r>
      <w:r w:rsidRPr="000E158B">
        <w:t>-</w:t>
      </w:r>
      <w:r w:rsidRPr="000E158B">
        <w:rPr>
          <w:lang w:val="en-US"/>
        </w:rPr>
        <w:t>coated</w:t>
      </w:r>
      <w:r w:rsidRPr="000E158B">
        <w:t xml:space="preserve"> </w:t>
      </w:r>
      <w:r w:rsidRPr="000E158B">
        <w:rPr>
          <w:lang w:val="en-US"/>
        </w:rPr>
        <w:t>tablets</w:t>
      </w:r>
    </w:p>
    <w:p w14:paraId="0D28637C" w14:textId="77777777" w:rsidR="000E158B" w:rsidRPr="000E158B" w:rsidRDefault="000E158B" w:rsidP="000E158B"/>
    <w:p w14:paraId="48E6CABE" w14:textId="60D54DAF" w:rsidR="00DB32D3" w:rsidRDefault="00DD466D" w:rsidP="005726E3">
      <w:pPr>
        <w:pStyle w:val="Heading1"/>
      </w:pPr>
      <w:r>
        <w:t>2. КАЧЕСТВЕН И КОЛИЧЕСТВЕН СЪСТАВ</w:t>
      </w:r>
    </w:p>
    <w:p w14:paraId="721216FA" w14:textId="3B085DF2" w:rsidR="000E158B" w:rsidRDefault="000E158B" w:rsidP="000E158B"/>
    <w:p w14:paraId="4B08E0C2" w14:textId="23FF2B5C" w:rsidR="000E158B" w:rsidRDefault="000E158B" w:rsidP="000E158B">
      <w:r w:rsidRPr="000E158B">
        <w:rPr>
          <w:lang w:eastAsia="bg-BG"/>
        </w:rPr>
        <w:t xml:space="preserve">Всяка филмирана табетка съдържа 800 </w:t>
      </w:r>
      <w:r w:rsidRPr="000E158B">
        <w:rPr>
          <w:lang w:val="en-US"/>
        </w:rPr>
        <w:t>mg</w:t>
      </w:r>
      <w:r w:rsidRPr="000E158B">
        <w:t xml:space="preserve"> </w:t>
      </w:r>
      <w:r w:rsidRPr="000E158B">
        <w:rPr>
          <w:lang w:eastAsia="bg-BG"/>
        </w:rPr>
        <w:t xml:space="preserve">пирацетам </w:t>
      </w:r>
      <w:r w:rsidRPr="000E158B">
        <w:t>(</w:t>
      </w:r>
      <w:proofErr w:type="spellStart"/>
      <w:r w:rsidRPr="000E158B">
        <w:rPr>
          <w:lang w:val="en-US"/>
        </w:rPr>
        <w:t>piracetam</w:t>
      </w:r>
      <w:proofErr w:type="spellEnd"/>
      <w:r w:rsidRPr="000E158B">
        <w:t>).</w:t>
      </w:r>
    </w:p>
    <w:p w14:paraId="0F2F37C6" w14:textId="77777777" w:rsidR="000E158B" w:rsidRPr="000E158B" w:rsidRDefault="000E158B" w:rsidP="000E158B">
      <w:pPr>
        <w:rPr>
          <w:sz w:val="24"/>
          <w:szCs w:val="24"/>
        </w:rPr>
      </w:pPr>
    </w:p>
    <w:p w14:paraId="614984C4" w14:textId="0197F452" w:rsidR="008A6AF2" w:rsidRDefault="00DD466D" w:rsidP="002C50EE">
      <w:pPr>
        <w:pStyle w:val="Heading1"/>
      </w:pPr>
      <w:r>
        <w:t>3. ЛЕКАРСТВЕНА ФОРМА</w:t>
      </w:r>
    </w:p>
    <w:p w14:paraId="3D84B1F9" w14:textId="26AC828A" w:rsidR="000E158B" w:rsidRDefault="000E158B" w:rsidP="000E158B"/>
    <w:p w14:paraId="1A8DF72A" w14:textId="77777777" w:rsidR="000E158B" w:rsidRPr="000E158B" w:rsidRDefault="000E158B" w:rsidP="000E158B">
      <w:pPr>
        <w:rPr>
          <w:sz w:val="24"/>
          <w:szCs w:val="24"/>
        </w:rPr>
      </w:pPr>
      <w:r w:rsidRPr="000E158B">
        <w:rPr>
          <w:lang w:eastAsia="bg-BG"/>
        </w:rPr>
        <w:t>Филмирана таблетка</w:t>
      </w:r>
    </w:p>
    <w:p w14:paraId="534FC280" w14:textId="77777777" w:rsidR="000E158B" w:rsidRPr="000E158B" w:rsidRDefault="000E158B" w:rsidP="000E158B">
      <w:pPr>
        <w:rPr>
          <w:sz w:val="24"/>
          <w:szCs w:val="24"/>
        </w:rPr>
      </w:pPr>
      <w:r w:rsidRPr="000E158B">
        <w:rPr>
          <w:lang w:eastAsia="bg-BG"/>
        </w:rPr>
        <w:t xml:space="preserve">Бели или почти бели, кръгли, двойноизпъкнали, филмирани таблетки с надпис </w:t>
      </w:r>
      <w:r w:rsidRPr="000E158B">
        <w:rPr>
          <w:lang w:val="ru-RU"/>
        </w:rPr>
        <w:t>„</w:t>
      </w:r>
      <w:proofErr w:type="spellStart"/>
      <w:r w:rsidRPr="000E158B">
        <w:rPr>
          <w:lang w:val="en-US"/>
        </w:rPr>
        <w:t>Pyramem</w:t>
      </w:r>
      <w:proofErr w:type="spellEnd"/>
      <w:r w:rsidRPr="000E158B">
        <w:rPr>
          <w:lang w:val="ru-RU"/>
        </w:rPr>
        <w:t xml:space="preserve"> </w:t>
      </w:r>
      <w:r w:rsidRPr="000E158B">
        <w:rPr>
          <w:lang w:eastAsia="bg-BG"/>
        </w:rPr>
        <w:t>800“ от едната страна и делителна черта от другата.</w:t>
      </w:r>
    </w:p>
    <w:p w14:paraId="4318A859" w14:textId="77777777" w:rsidR="000E158B" w:rsidRPr="000E158B" w:rsidRDefault="000E158B" w:rsidP="000E158B"/>
    <w:p w14:paraId="490FC2C4" w14:textId="6899DE43" w:rsidR="002C50EE" w:rsidRDefault="002C50EE" w:rsidP="002C50EE">
      <w:pPr>
        <w:pStyle w:val="Heading1"/>
      </w:pPr>
      <w:r>
        <w:t>4. КЛИНИЧНИ ДАННИ</w:t>
      </w:r>
    </w:p>
    <w:p w14:paraId="0771830A" w14:textId="35E583D7" w:rsidR="00DB32D3" w:rsidRDefault="002C50EE" w:rsidP="005726E3">
      <w:pPr>
        <w:pStyle w:val="Heading2"/>
      </w:pPr>
      <w:r>
        <w:t>4.1. Терапевтични показания</w:t>
      </w:r>
    </w:p>
    <w:p w14:paraId="40FF92B1" w14:textId="27AB63FF" w:rsidR="000E158B" w:rsidRDefault="000E158B" w:rsidP="000E158B"/>
    <w:p w14:paraId="788AF56D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u w:val="single"/>
          <w:lang w:eastAsia="bg-BG"/>
        </w:rPr>
        <w:t>Възрастни</w:t>
      </w:r>
    </w:p>
    <w:p w14:paraId="3E05C537" w14:textId="77777777" w:rsidR="000E158B" w:rsidRDefault="000E158B" w:rsidP="000E158B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0E158B">
        <w:rPr>
          <w:rFonts w:eastAsia="Times New Roman" w:cs="Arial"/>
          <w:color w:val="000000"/>
          <w:lang w:eastAsia="bg-BG"/>
        </w:rPr>
        <w:t>Симптоматично лечение на психоорганичен синдром със следните прояви - нарушения на паметта, нарушения на вниманието и липса на мотивация;</w:t>
      </w:r>
    </w:p>
    <w:p w14:paraId="71456BFB" w14:textId="77777777" w:rsidR="000E158B" w:rsidRDefault="000E158B" w:rsidP="000E158B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0E158B">
        <w:rPr>
          <w:rFonts w:eastAsia="Times New Roman" w:cs="Arial"/>
          <w:color w:val="000000"/>
          <w:lang w:eastAsia="bg-BG"/>
        </w:rPr>
        <w:t>Лечение на кортикален миоклонус, самостоятелно или в комбинация;</w:t>
      </w:r>
    </w:p>
    <w:p w14:paraId="477C1070" w14:textId="77777777" w:rsidR="000E158B" w:rsidRDefault="000E158B" w:rsidP="000E158B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0E158B">
        <w:rPr>
          <w:rFonts w:eastAsia="Times New Roman" w:cs="Arial"/>
          <w:color w:val="000000"/>
          <w:lang w:eastAsia="bg-BG"/>
        </w:rPr>
        <w:t>Лечение на вертиго и свързаните с него нарушения на равновесието, с изключение на световъртеж от вазомоторен или психичен произход;</w:t>
      </w:r>
    </w:p>
    <w:p w14:paraId="4B1CCD35" w14:textId="271764A0" w:rsidR="000E158B" w:rsidRPr="000E158B" w:rsidRDefault="000E158B" w:rsidP="000E158B">
      <w:pPr>
        <w:pStyle w:val="ListParagraph"/>
        <w:numPr>
          <w:ilvl w:val="0"/>
          <w:numId w:val="37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0E158B">
        <w:rPr>
          <w:rFonts w:eastAsia="Times New Roman" w:cs="Arial"/>
          <w:color w:val="000000"/>
          <w:lang w:eastAsia="bg-BG"/>
        </w:rPr>
        <w:t>Профилактика и ремисия на сърповидноклетъчна вазооклузивна криза.</w:t>
      </w:r>
    </w:p>
    <w:p w14:paraId="3E727344" w14:textId="77777777" w:rsidR="000E158B" w:rsidRPr="000E158B" w:rsidRDefault="000E158B" w:rsidP="000E158B">
      <w:pPr>
        <w:spacing w:line="240" w:lineRule="auto"/>
        <w:rPr>
          <w:rFonts w:eastAsia="Times New Roman" w:cs="Arial"/>
          <w:b/>
          <w:bCs/>
          <w:color w:val="000000"/>
          <w:u w:val="single"/>
          <w:lang w:eastAsia="bg-BG"/>
        </w:rPr>
      </w:pPr>
      <w:bookmarkStart w:id="1" w:name="bookmark0"/>
    </w:p>
    <w:p w14:paraId="2AF953C1" w14:textId="7832584D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b/>
          <w:bCs/>
          <w:color w:val="000000"/>
          <w:u w:val="single"/>
          <w:lang w:eastAsia="bg-BG"/>
        </w:rPr>
        <w:t>Деца</w:t>
      </w:r>
      <w:bookmarkEnd w:id="1"/>
    </w:p>
    <w:p w14:paraId="1394CC75" w14:textId="77777777" w:rsidR="000E158B" w:rsidRDefault="000E158B" w:rsidP="000E158B">
      <w:pPr>
        <w:pStyle w:val="ListParagraph"/>
        <w:numPr>
          <w:ilvl w:val="0"/>
          <w:numId w:val="38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0E158B">
        <w:rPr>
          <w:rFonts w:eastAsia="Times New Roman" w:cs="Arial"/>
          <w:color w:val="000000"/>
          <w:lang w:eastAsia="bg-BG"/>
        </w:rPr>
        <w:t>Лечение на дислексия в комбинация с други подходящи мерки, като говорна терапия;</w:t>
      </w:r>
    </w:p>
    <w:p w14:paraId="68352EDD" w14:textId="7F524E5A" w:rsidR="000E158B" w:rsidRPr="000E158B" w:rsidRDefault="000E158B" w:rsidP="000E158B">
      <w:pPr>
        <w:pStyle w:val="ListParagraph"/>
        <w:numPr>
          <w:ilvl w:val="0"/>
          <w:numId w:val="38"/>
        </w:numPr>
        <w:spacing w:line="240" w:lineRule="auto"/>
        <w:rPr>
          <w:rFonts w:eastAsia="Times New Roman" w:cs="Arial"/>
          <w:color w:val="000000"/>
          <w:lang w:eastAsia="bg-BG"/>
        </w:rPr>
      </w:pPr>
      <w:r w:rsidRPr="000E158B">
        <w:rPr>
          <w:rFonts w:eastAsia="Times New Roman" w:cs="Arial"/>
          <w:color w:val="000000"/>
          <w:lang w:eastAsia="bg-BG"/>
        </w:rPr>
        <w:t>Профилактика и ремисия на сърповидноклетъчна вазооклузивна криза.</w:t>
      </w:r>
    </w:p>
    <w:p w14:paraId="7528035A" w14:textId="77777777" w:rsidR="000E158B" w:rsidRPr="000E158B" w:rsidRDefault="000E158B" w:rsidP="000E158B"/>
    <w:p w14:paraId="7647A102" w14:textId="4E745E6C" w:rsidR="00DB32D3" w:rsidRDefault="002C50EE" w:rsidP="005726E3">
      <w:pPr>
        <w:pStyle w:val="Heading2"/>
      </w:pPr>
      <w:r>
        <w:t>4.2. Дозировка и начин на приложение</w:t>
      </w:r>
    </w:p>
    <w:p w14:paraId="61573EBB" w14:textId="6B0E828B" w:rsidR="000E158B" w:rsidRDefault="000E158B" w:rsidP="000E158B"/>
    <w:p w14:paraId="410B0C2A" w14:textId="77777777" w:rsidR="000E158B" w:rsidRPr="000E158B" w:rsidRDefault="000E158B" w:rsidP="000E158B">
      <w:pPr>
        <w:pStyle w:val="Heading3"/>
        <w:rPr>
          <w:rFonts w:eastAsia="Times New Roman"/>
          <w:u w:val="single"/>
        </w:rPr>
      </w:pPr>
      <w:r w:rsidRPr="000E158B">
        <w:rPr>
          <w:rFonts w:eastAsia="Times New Roman"/>
          <w:u w:val="single"/>
          <w:lang w:eastAsia="bg-BG"/>
        </w:rPr>
        <w:t>Дозировка</w:t>
      </w:r>
    </w:p>
    <w:p w14:paraId="5FDE8A03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i/>
          <w:iCs/>
          <w:color w:val="000000"/>
          <w:u w:val="single"/>
          <w:lang w:eastAsia="bg-BG"/>
        </w:rPr>
        <w:t>Възрастни</w:t>
      </w:r>
    </w:p>
    <w:p w14:paraId="77617E5C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i/>
          <w:iCs/>
          <w:color w:val="000000"/>
          <w:lang w:eastAsia="bg-BG"/>
        </w:rPr>
        <w:t>Лечение на миоклонус с кортикален произход</w:t>
      </w:r>
    </w:p>
    <w:p w14:paraId="7239977D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 xml:space="preserve">Началната дневна доза е 7,2 </w:t>
      </w:r>
      <w:r w:rsidRPr="000E158B">
        <w:rPr>
          <w:rFonts w:eastAsia="Times New Roman" w:cs="Arial"/>
          <w:color w:val="000000"/>
          <w:lang w:val="en-US"/>
        </w:rPr>
        <w:t>g</w:t>
      </w:r>
      <w:r w:rsidRPr="000E158B">
        <w:rPr>
          <w:rFonts w:eastAsia="Times New Roman" w:cs="Arial"/>
          <w:color w:val="000000"/>
          <w:lang w:val="ru-RU"/>
        </w:rPr>
        <w:t xml:space="preserve">, </w:t>
      </w:r>
      <w:r w:rsidRPr="000E158B">
        <w:rPr>
          <w:rFonts w:eastAsia="Times New Roman" w:cs="Arial"/>
          <w:color w:val="000000"/>
          <w:lang w:eastAsia="bg-BG"/>
        </w:rPr>
        <w:t xml:space="preserve">която се повишава с 4,8 </w:t>
      </w:r>
      <w:r w:rsidRPr="000E158B">
        <w:rPr>
          <w:rFonts w:eastAsia="Times New Roman" w:cs="Arial"/>
          <w:color w:val="000000"/>
          <w:lang w:val="en-US"/>
        </w:rPr>
        <w:t>g</w:t>
      </w:r>
      <w:r w:rsidRPr="000E158B">
        <w:rPr>
          <w:rFonts w:eastAsia="Times New Roman" w:cs="Arial"/>
          <w:color w:val="000000"/>
          <w:lang w:val="ru-RU"/>
        </w:rPr>
        <w:t xml:space="preserve"> </w:t>
      </w:r>
      <w:r w:rsidRPr="000E158B">
        <w:rPr>
          <w:rFonts w:eastAsia="Times New Roman" w:cs="Arial"/>
          <w:color w:val="000000"/>
          <w:lang w:eastAsia="bg-BG"/>
        </w:rPr>
        <w:t xml:space="preserve">на всеки 3-4 дни до достигане на максимална дневна доза от 24 </w:t>
      </w:r>
      <w:r w:rsidRPr="000E158B">
        <w:rPr>
          <w:rFonts w:eastAsia="Times New Roman" w:cs="Arial"/>
          <w:color w:val="000000"/>
          <w:lang w:val="en-US"/>
        </w:rPr>
        <w:t>g</w:t>
      </w:r>
      <w:r w:rsidRPr="000E158B">
        <w:rPr>
          <w:rFonts w:eastAsia="Times New Roman" w:cs="Arial"/>
          <w:color w:val="000000"/>
          <w:lang w:val="ru-RU"/>
        </w:rPr>
        <w:t xml:space="preserve">, </w:t>
      </w:r>
      <w:r w:rsidRPr="000E158B">
        <w:rPr>
          <w:rFonts w:eastAsia="Times New Roman" w:cs="Arial"/>
          <w:color w:val="000000"/>
          <w:lang w:eastAsia="bg-BG"/>
        </w:rPr>
        <w:t xml:space="preserve">разделена в 2 или 3 приема. Лечението с другите антимиоклонични лекарствени продукти трябва да се запази в същите дози. В зависимост </w:t>
      </w:r>
      <w:r w:rsidRPr="000E158B">
        <w:rPr>
          <w:rFonts w:eastAsia="Times New Roman" w:cs="Arial"/>
          <w:color w:val="000000"/>
          <w:lang w:eastAsia="bg-BG"/>
        </w:rPr>
        <w:lastRenderedPageBreak/>
        <w:t>от постигнатия клиничен резултат, при възможност, дозата на други такива лекарствени продукти трябва да бъде понижена.</w:t>
      </w:r>
    </w:p>
    <w:p w14:paraId="71ECAFCC" w14:textId="77777777" w:rsidR="000E158B" w:rsidRPr="000E158B" w:rsidRDefault="000E158B" w:rsidP="000E158B">
      <w:pPr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>Веднъж започнало, лечението с пирацетам трябва да продължи толкова дълго, колкото персистира първоначалното церебрално заболяване. При пациенти с остър епизод, спонтанна еволюция може да се появи с течение на времето, поради което на всеки 6 месеца трябва</w:t>
      </w:r>
      <w:r w:rsidRPr="000E158B">
        <w:rPr>
          <w:rFonts w:eastAsia="Times New Roman" w:cs="Arial"/>
          <w:color w:val="000000"/>
          <w:lang w:val="ru-RU"/>
        </w:rPr>
        <w:t xml:space="preserve"> </w:t>
      </w:r>
      <w:r w:rsidRPr="000E158B">
        <w:rPr>
          <w:rFonts w:eastAsia="Times New Roman" w:cs="Arial"/>
          <w:color w:val="000000"/>
          <w:lang w:eastAsia="bg-BG"/>
        </w:rPr>
        <w:t xml:space="preserve">да се правят опити за понижаване на дозата или прекратяване на лечението. Това трябва да се извършва чрез понижаване на дозата на пирацетам с 1,2 </w:t>
      </w:r>
      <w:r w:rsidRPr="000E158B">
        <w:rPr>
          <w:rFonts w:eastAsia="Times New Roman" w:cs="Arial"/>
          <w:color w:val="000000"/>
          <w:lang w:val="en-US"/>
        </w:rPr>
        <w:t>g</w:t>
      </w:r>
      <w:r w:rsidRPr="000E158B">
        <w:rPr>
          <w:rFonts w:eastAsia="Times New Roman" w:cs="Arial"/>
          <w:color w:val="000000"/>
          <w:lang w:val="ru-RU"/>
        </w:rPr>
        <w:t xml:space="preserve"> </w:t>
      </w:r>
      <w:r w:rsidRPr="000E158B">
        <w:rPr>
          <w:rFonts w:eastAsia="Times New Roman" w:cs="Arial"/>
          <w:color w:val="000000"/>
          <w:lang w:eastAsia="bg-BG"/>
        </w:rPr>
        <w:t>на всеки два дни (на всеки три или четири дни в случай на синдром на Ланс-Адамс, с цел да се предотврати възможността за внезапен рецидив или възобновяване на пристъпите).</w:t>
      </w:r>
    </w:p>
    <w:p w14:paraId="5A9DA753" w14:textId="77777777" w:rsidR="000E158B" w:rsidRPr="000E158B" w:rsidRDefault="000E158B" w:rsidP="000E158B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202123BE" w14:textId="68067404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i/>
          <w:iCs/>
          <w:color w:val="000000"/>
          <w:lang w:eastAsia="bg-BG"/>
        </w:rPr>
        <w:t>Симптоматично лечение на психоорганичен синдром</w:t>
      </w:r>
    </w:p>
    <w:p w14:paraId="3264E29A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 xml:space="preserve">Препоръчителната дневна доза варира от 2,4 </w:t>
      </w:r>
      <w:r w:rsidRPr="000E158B">
        <w:rPr>
          <w:rFonts w:eastAsia="Times New Roman" w:cs="Arial"/>
          <w:color w:val="000000"/>
          <w:lang w:val="en-US"/>
        </w:rPr>
        <w:t>g</w:t>
      </w:r>
      <w:r w:rsidRPr="000E158B">
        <w:rPr>
          <w:rFonts w:eastAsia="Times New Roman" w:cs="Arial"/>
          <w:color w:val="000000"/>
          <w:lang w:val="ru-RU"/>
        </w:rPr>
        <w:t xml:space="preserve"> </w:t>
      </w:r>
      <w:r w:rsidRPr="000E158B">
        <w:rPr>
          <w:rFonts w:eastAsia="Times New Roman" w:cs="Arial"/>
          <w:color w:val="000000"/>
          <w:lang w:eastAsia="bg-BG"/>
        </w:rPr>
        <w:t xml:space="preserve">до 4,8 </w:t>
      </w:r>
      <w:r w:rsidRPr="000E158B">
        <w:rPr>
          <w:rFonts w:eastAsia="Times New Roman" w:cs="Arial"/>
          <w:color w:val="000000"/>
          <w:lang w:val="en-US"/>
        </w:rPr>
        <w:t>g</w:t>
      </w:r>
      <w:r w:rsidRPr="000E158B">
        <w:rPr>
          <w:rFonts w:eastAsia="Times New Roman" w:cs="Arial"/>
          <w:color w:val="000000"/>
          <w:lang w:val="ru-RU"/>
        </w:rPr>
        <w:t xml:space="preserve">, </w:t>
      </w:r>
      <w:r w:rsidRPr="000E158B">
        <w:rPr>
          <w:rFonts w:eastAsia="Times New Roman" w:cs="Arial"/>
          <w:color w:val="000000"/>
          <w:lang w:eastAsia="bg-BG"/>
        </w:rPr>
        <w:t>разделена на 2 или 3 приема.</w:t>
      </w:r>
    </w:p>
    <w:p w14:paraId="5B143A5C" w14:textId="77777777" w:rsidR="000E158B" w:rsidRPr="000E158B" w:rsidRDefault="000E158B" w:rsidP="000E158B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6355F8B9" w14:textId="6D290E3D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i/>
          <w:iCs/>
          <w:color w:val="000000"/>
          <w:lang w:eastAsia="bg-BG"/>
        </w:rPr>
        <w:t>Лечение на вертиго</w:t>
      </w:r>
    </w:p>
    <w:p w14:paraId="7433B5AF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 xml:space="preserve">Препоръчителната дневна доза варира от 2,4 </w:t>
      </w:r>
      <w:r w:rsidRPr="000E158B">
        <w:rPr>
          <w:rFonts w:eastAsia="Times New Roman" w:cs="Arial"/>
          <w:color w:val="000000"/>
          <w:lang w:val="en-US"/>
        </w:rPr>
        <w:t>g</w:t>
      </w:r>
      <w:r w:rsidRPr="000E158B">
        <w:rPr>
          <w:rFonts w:eastAsia="Times New Roman" w:cs="Arial"/>
          <w:color w:val="000000"/>
          <w:lang w:val="ru-RU"/>
        </w:rPr>
        <w:t xml:space="preserve"> </w:t>
      </w:r>
      <w:r w:rsidRPr="000E158B">
        <w:rPr>
          <w:rFonts w:eastAsia="Times New Roman" w:cs="Arial"/>
          <w:color w:val="000000"/>
          <w:lang w:eastAsia="bg-BG"/>
        </w:rPr>
        <w:t xml:space="preserve">до 4,8 </w:t>
      </w:r>
      <w:r w:rsidRPr="000E158B">
        <w:rPr>
          <w:rFonts w:eastAsia="Times New Roman" w:cs="Arial"/>
          <w:color w:val="000000"/>
          <w:lang w:val="en-US"/>
        </w:rPr>
        <w:t>g</w:t>
      </w:r>
      <w:r w:rsidRPr="000E158B">
        <w:rPr>
          <w:rFonts w:eastAsia="Times New Roman" w:cs="Arial"/>
          <w:color w:val="000000"/>
          <w:lang w:val="ru-RU"/>
        </w:rPr>
        <w:t xml:space="preserve">, </w:t>
      </w:r>
      <w:r w:rsidRPr="000E158B">
        <w:rPr>
          <w:rFonts w:eastAsia="Times New Roman" w:cs="Arial"/>
          <w:color w:val="000000"/>
          <w:lang w:eastAsia="bg-BG"/>
        </w:rPr>
        <w:t>разделена на 2 или 3 приема.</w:t>
      </w:r>
    </w:p>
    <w:p w14:paraId="2432E8C4" w14:textId="77777777" w:rsidR="000E158B" w:rsidRPr="000E158B" w:rsidRDefault="000E158B" w:rsidP="000E158B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7ECDEAAA" w14:textId="320FD388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i/>
          <w:iCs/>
          <w:color w:val="000000"/>
          <w:lang w:eastAsia="bg-BG"/>
        </w:rPr>
        <w:t>Профилактика и ремисия на сърповидноклетъчна вазооклузивна криза</w:t>
      </w:r>
    </w:p>
    <w:p w14:paraId="3CB071C5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 xml:space="preserve">Препоръчителна дневна доза за профилактика -160 </w:t>
      </w:r>
      <w:r w:rsidRPr="000E158B">
        <w:rPr>
          <w:rFonts w:eastAsia="Times New Roman" w:cs="Arial"/>
          <w:color w:val="000000"/>
          <w:lang w:val="en-US"/>
        </w:rPr>
        <w:t>mg</w:t>
      </w:r>
      <w:r w:rsidRPr="000E158B">
        <w:rPr>
          <w:rFonts w:eastAsia="Times New Roman" w:cs="Arial"/>
          <w:color w:val="000000"/>
          <w:lang w:val="ru-RU"/>
        </w:rPr>
        <w:t>/</w:t>
      </w:r>
      <w:r w:rsidRPr="000E158B">
        <w:rPr>
          <w:rFonts w:eastAsia="Times New Roman" w:cs="Arial"/>
          <w:color w:val="000000"/>
          <w:lang w:val="en-US"/>
        </w:rPr>
        <w:t>kg</w:t>
      </w:r>
      <w:r w:rsidRPr="000E158B">
        <w:rPr>
          <w:rFonts w:eastAsia="Times New Roman" w:cs="Arial"/>
          <w:color w:val="000000"/>
          <w:lang w:val="ru-RU"/>
        </w:rPr>
        <w:t xml:space="preserve"> </w:t>
      </w:r>
      <w:r w:rsidRPr="000E158B">
        <w:rPr>
          <w:rFonts w:eastAsia="Times New Roman" w:cs="Arial"/>
          <w:color w:val="000000"/>
          <w:lang w:eastAsia="bg-BG"/>
        </w:rPr>
        <w:t>перорално, разделена на четири приема.</w:t>
      </w:r>
    </w:p>
    <w:p w14:paraId="58096FB3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 xml:space="preserve">Препоръчителна дневна доза за ремисия - 300 </w:t>
      </w:r>
      <w:r w:rsidRPr="000E158B">
        <w:rPr>
          <w:rFonts w:eastAsia="Times New Roman" w:cs="Arial"/>
          <w:color w:val="000000"/>
          <w:lang w:val="en-US"/>
        </w:rPr>
        <w:t>mg</w:t>
      </w:r>
      <w:r w:rsidRPr="000E158B">
        <w:rPr>
          <w:rFonts w:eastAsia="Times New Roman" w:cs="Arial"/>
          <w:color w:val="000000"/>
          <w:lang w:val="ru-RU"/>
        </w:rPr>
        <w:t>/</w:t>
      </w:r>
      <w:r w:rsidRPr="000E158B">
        <w:rPr>
          <w:rFonts w:eastAsia="Times New Roman" w:cs="Arial"/>
          <w:color w:val="000000"/>
          <w:lang w:val="en-US"/>
        </w:rPr>
        <w:t>kg</w:t>
      </w:r>
      <w:r w:rsidRPr="000E158B">
        <w:rPr>
          <w:rFonts w:eastAsia="Times New Roman" w:cs="Arial"/>
          <w:color w:val="000000"/>
          <w:lang w:val="ru-RU"/>
        </w:rPr>
        <w:t xml:space="preserve"> </w:t>
      </w:r>
      <w:r w:rsidRPr="000E158B">
        <w:rPr>
          <w:rFonts w:eastAsia="Times New Roman" w:cs="Arial"/>
          <w:color w:val="000000"/>
          <w:lang w:eastAsia="bg-BG"/>
        </w:rPr>
        <w:t>интравенозно, разделена на четири приема.</w:t>
      </w:r>
    </w:p>
    <w:p w14:paraId="7D0F1DC2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 xml:space="preserve">Дневна доза по-ниска от 160 </w:t>
      </w:r>
      <w:r w:rsidRPr="000E158B">
        <w:rPr>
          <w:rFonts w:eastAsia="Times New Roman" w:cs="Arial"/>
          <w:color w:val="000000"/>
          <w:lang w:val="en-US"/>
        </w:rPr>
        <w:t>mg</w:t>
      </w:r>
      <w:r w:rsidRPr="000E158B">
        <w:rPr>
          <w:rFonts w:eastAsia="Times New Roman" w:cs="Arial"/>
          <w:color w:val="000000"/>
          <w:lang w:val="ru-RU"/>
        </w:rPr>
        <w:t>/</w:t>
      </w:r>
      <w:r w:rsidRPr="000E158B">
        <w:rPr>
          <w:rFonts w:eastAsia="Times New Roman" w:cs="Arial"/>
          <w:color w:val="000000"/>
          <w:lang w:val="en-US"/>
        </w:rPr>
        <w:t>kg</w:t>
      </w:r>
      <w:r w:rsidRPr="000E158B">
        <w:rPr>
          <w:rFonts w:eastAsia="Times New Roman" w:cs="Arial"/>
          <w:color w:val="000000"/>
          <w:lang w:val="ru-RU"/>
        </w:rPr>
        <w:t xml:space="preserve"> </w:t>
      </w:r>
      <w:r w:rsidRPr="000E158B">
        <w:rPr>
          <w:rFonts w:eastAsia="Times New Roman" w:cs="Arial"/>
          <w:color w:val="000000"/>
          <w:lang w:eastAsia="bg-BG"/>
        </w:rPr>
        <w:t>или нередовен прием може да доведе до подновяване на кризата.</w:t>
      </w:r>
    </w:p>
    <w:p w14:paraId="1F306A31" w14:textId="77777777" w:rsidR="000E158B" w:rsidRPr="000E158B" w:rsidRDefault="000E158B" w:rsidP="000E158B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47F5A5B8" w14:textId="36EF8E3C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u w:val="single"/>
          <w:lang w:eastAsia="bg-BG"/>
        </w:rPr>
        <w:t>Педиатрична популация</w:t>
      </w:r>
    </w:p>
    <w:p w14:paraId="35E362A1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i/>
          <w:iCs/>
          <w:color w:val="000000"/>
          <w:lang w:eastAsia="bg-BG"/>
        </w:rPr>
        <w:t>Лечение на дислексия в комбинация с говорна терапия</w:t>
      </w:r>
    </w:p>
    <w:p w14:paraId="6F4B8BB5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 xml:space="preserve">При деца на възраст от 8 години и при юноши препоръчителната дневна доза е 3,2 </w:t>
      </w:r>
      <w:r w:rsidRPr="000E158B">
        <w:rPr>
          <w:rFonts w:eastAsia="Times New Roman" w:cs="Arial"/>
          <w:color w:val="000000"/>
          <w:lang w:val="en-US"/>
        </w:rPr>
        <w:t>g</w:t>
      </w:r>
      <w:r w:rsidRPr="000E158B">
        <w:rPr>
          <w:rFonts w:eastAsia="Times New Roman" w:cs="Arial"/>
          <w:color w:val="000000"/>
          <w:lang w:val="ru-RU"/>
        </w:rPr>
        <w:t xml:space="preserve">, </w:t>
      </w:r>
      <w:r w:rsidRPr="000E158B">
        <w:rPr>
          <w:rFonts w:eastAsia="Times New Roman" w:cs="Arial"/>
          <w:color w:val="000000"/>
          <w:lang w:eastAsia="bg-BG"/>
        </w:rPr>
        <w:t>разделена на два приема.</w:t>
      </w:r>
    </w:p>
    <w:p w14:paraId="3EC1F1E2" w14:textId="77777777" w:rsidR="000E158B" w:rsidRPr="000E158B" w:rsidRDefault="000E158B" w:rsidP="000E158B">
      <w:pPr>
        <w:spacing w:line="240" w:lineRule="auto"/>
        <w:rPr>
          <w:rFonts w:eastAsia="Times New Roman" w:cs="Arial"/>
          <w:i/>
          <w:iCs/>
          <w:color w:val="000000"/>
          <w:lang w:eastAsia="bg-BG"/>
        </w:rPr>
      </w:pPr>
    </w:p>
    <w:p w14:paraId="403B9B0F" w14:textId="1F669DD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i/>
          <w:iCs/>
          <w:color w:val="000000"/>
          <w:lang w:eastAsia="bg-BG"/>
        </w:rPr>
        <w:t xml:space="preserve">За профилактика и ремисия на сърповидноклетъчна вазооклузивна криза </w:t>
      </w:r>
      <w:r w:rsidRPr="000E158B">
        <w:rPr>
          <w:rFonts w:eastAsia="Times New Roman" w:cs="Arial"/>
          <w:color w:val="000000"/>
          <w:lang w:eastAsia="bg-BG"/>
        </w:rPr>
        <w:t xml:space="preserve">Препоръчителната дневна доза за профилактика е 160 </w:t>
      </w:r>
      <w:r w:rsidRPr="000E158B">
        <w:rPr>
          <w:rFonts w:eastAsia="Times New Roman" w:cs="Arial"/>
          <w:color w:val="000000"/>
          <w:lang w:val="en-US"/>
        </w:rPr>
        <w:t>mg</w:t>
      </w:r>
      <w:r w:rsidRPr="000E158B">
        <w:rPr>
          <w:rFonts w:eastAsia="Times New Roman" w:cs="Arial"/>
          <w:color w:val="000000"/>
          <w:lang w:val="ru-RU"/>
        </w:rPr>
        <w:t>/</w:t>
      </w:r>
      <w:r w:rsidRPr="000E158B">
        <w:rPr>
          <w:rFonts w:eastAsia="Times New Roman" w:cs="Arial"/>
          <w:color w:val="000000"/>
          <w:lang w:val="en-US"/>
        </w:rPr>
        <w:t>kg</w:t>
      </w:r>
      <w:r w:rsidRPr="000E158B">
        <w:rPr>
          <w:rFonts w:eastAsia="Times New Roman" w:cs="Arial"/>
          <w:color w:val="000000"/>
          <w:lang w:val="ru-RU"/>
        </w:rPr>
        <w:t xml:space="preserve"> </w:t>
      </w:r>
      <w:r w:rsidRPr="000E158B">
        <w:rPr>
          <w:rFonts w:eastAsia="Times New Roman" w:cs="Arial"/>
          <w:color w:val="000000"/>
          <w:lang w:eastAsia="bg-BG"/>
        </w:rPr>
        <w:t>перорално.</w:t>
      </w:r>
    </w:p>
    <w:p w14:paraId="49B8757A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 xml:space="preserve">Препоръчителната дневна доза за ремисия е 300 </w:t>
      </w:r>
      <w:r w:rsidRPr="000E158B">
        <w:rPr>
          <w:rFonts w:eastAsia="Times New Roman" w:cs="Arial"/>
          <w:color w:val="000000"/>
          <w:lang w:val="en-US"/>
        </w:rPr>
        <w:t>mg</w:t>
      </w:r>
      <w:r w:rsidRPr="000E158B">
        <w:rPr>
          <w:rFonts w:eastAsia="Times New Roman" w:cs="Arial"/>
          <w:color w:val="000000"/>
          <w:lang w:val="ru-RU"/>
        </w:rPr>
        <w:t>/</w:t>
      </w:r>
      <w:r w:rsidRPr="000E158B">
        <w:rPr>
          <w:rFonts w:eastAsia="Times New Roman" w:cs="Arial"/>
          <w:color w:val="000000"/>
          <w:lang w:val="en-US"/>
        </w:rPr>
        <w:t>kg</w:t>
      </w:r>
      <w:r w:rsidRPr="000E158B">
        <w:rPr>
          <w:rFonts w:eastAsia="Times New Roman" w:cs="Arial"/>
          <w:color w:val="000000"/>
          <w:lang w:val="ru-RU"/>
        </w:rPr>
        <w:t xml:space="preserve"> </w:t>
      </w:r>
      <w:r w:rsidRPr="000E158B">
        <w:rPr>
          <w:rFonts w:eastAsia="Times New Roman" w:cs="Arial"/>
          <w:color w:val="000000"/>
          <w:lang w:eastAsia="bg-BG"/>
        </w:rPr>
        <w:t>интравенозно.</w:t>
      </w:r>
    </w:p>
    <w:p w14:paraId="2FF3B2CD" w14:textId="77777777" w:rsidR="000E158B" w:rsidRPr="000E158B" w:rsidRDefault="000E158B" w:rsidP="000E158B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47F99CB" w14:textId="31694E75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 xml:space="preserve">Дневна доза, по-ниска от 160 </w:t>
      </w:r>
      <w:r w:rsidRPr="000E158B">
        <w:rPr>
          <w:rFonts w:eastAsia="Times New Roman" w:cs="Arial"/>
          <w:color w:val="000000"/>
          <w:lang w:val="en-US"/>
        </w:rPr>
        <w:t>mg</w:t>
      </w:r>
      <w:r w:rsidRPr="000E158B">
        <w:rPr>
          <w:rFonts w:eastAsia="Times New Roman" w:cs="Arial"/>
          <w:color w:val="000000"/>
          <w:lang w:val="ru-RU"/>
        </w:rPr>
        <w:t>/</w:t>
      </w:r>
      <w:r w:rsidRPr="000E158B">
        <w:rPr>
          <w:rFonts w:eastAsia="Times New Roman" w:cs="Arial"/>
          <w:color w:val="000000"/>
          <w:lang w:val="en-US"/>
        </w:rPr>
        <w:t>kg</w:t>
      </w:r>
      <w:r w:rsidRPr="000E158B">
        <w:rPr>
          <w:rFonts w:eastAsia="Times New Roman" w:cs="Arial"/>
          <w:color w:val="000000"/>
          <w:lang w:val="ru-RU"/>
        </w:rPr>
        <w:t xml:space="preserve"> </w:t>
      </w:r>
      <w:r w:rsidRPr="000E158B">
        <w:rPr>
          <w:rFonts w:eastAsia="Times New Roman" w:cs="Arial"/>
          <w:color w:val="000000"/>
          <w:lang w:eastAsia="bg-BG"/>
        </w:rPr>
        <w:t>или нередовен прием може да доведе до подновяване на кризата.</w:t>
      </w:r>
    </w:p>
    <w:p w14:paraId="6E3BDDBB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 xml:space="preserve">Пирацетам може да се прилага при деца над 3 години, страдащи от сърповидноклетъчна анемия в препоръчителни дневни дози (в </w:t>
      </w:r>
      <w:r w:rsidRPr="000E158B">
        <w:rPr>
          <w:rFonts w:eastAsia="Times New Roman" w:cs="Arial"/>
          <w:color w:val="000000"/>
          <w:lang w:val="en-US"/>
        </w:rPr>
        <w:t>mg</w:t>
      </w:r>
      <w:r w:rsidRPr="000E158B">
        <w:rPr>
          <w:rFonts w:eastAsia="Times New Roman" w:cs="Arial"/>
          <w:color w:val="000000"/>
          <w:lang w:val="ru-RU"/>
        </w:rPr>
        <w:t>/</w:t>
      </w:r>
      <w:r w:rsidRPr="000E158B">
        <w:rPr>
          <w:rFonts w:eastAsia="Times New Roman" w:cs="Arial"/>
          <w:color w:val="000000"/>
          <w:lang w:val="en-US"/>
        </w:rPr>
        <w:t>kg</w:t>
      </w:r>
      <w:r w:rsidRPr="000E158B">
        <w:rPr>
          <w:rFonts w:eastAsia="Times New Roman" w:cs="Arial"/>
          <w:color w:val="000000"/>
          <w:lang w:val="ru-RU"/>
        </w:rPr>
        <w:t xml:space="preserve">). </w:t>
      </w:r>
      <w:r w:rsidRPr="000E158B">
        <w:rPr>
          <w:rFonts w:eastAsia="Times New Roman" w:cs="Arial"/>
          <w:color w:val="000000"/>
          <w:lang w:eastAsia="bg-BG"/>
        </w:rPr>
        <w:t>Пирацетам е прилаган при ограничен брой деца на възраст от 1 до 3 години.</w:t>
      </w:r>
    </w:p>
    <w:p w14:paraId="4C96A60F" w14:textId="77777777" w:rsidR="000E158B" w:rsidRPr="000E158B" w:rsidRDefault="000E158B" w:rsidP="000E158B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09B638BC" w14:textId="331F2336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u w:val="single"/>
          <w:lang w:eastAsia="bg-BG"/>
        </w:rPr>
        <w:t>Старческа възраст</w:t>
      </w:r>
    </w:p>
    <w:p w14:paraId="2EAB4A0E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>При пациенти в старческа възраст с нарушена бъбречна функция се препоръчва адаптиране на дозата (вж. по-надолу Пациенти с бъбречни нарушения). Продължителното лечение при пациенти в старческа възраст изисква периодичен контрол на креатининовия клирънс с оглед адаптиране на дозата при необходимост.</w:t>
      </w:r>
    </w:p>
    <w:p w14:paraId="61FAF53C" w14:textId="77777777" w:rsidR="000E158B" w:rsidRPr="000E158B" w:rsidRDefault="000E158B" w:rsidP="000E158B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7C44D90B" w14:textId="4A6D6650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u w:val="single"/>
          <w:lang w:eastAsia="bg-BG"/>
        </w:rPr>
        <w:t>Бъбречно увреждане</w:t>
      </w:r>
    </w:p>
    <w:p w14:paraId="784772A7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 xml:space="preserve">Дневната доза трябва да се индивидуализира в зависимост от бъбречната функция. За адаптиране на дозата трябва да се използва приложената таблица, като е необходимо първоначално да се определи креатининовият клирънс </w:t>
      </w:r>
      <w:r w:rsidRPr="000E158B">
        <w:rPr>
          <w:rFonts w:eastAsia="Times New Roman" w:cs="Arial"/>
          <w:color w:val="000000"/>
          <w:lang w:val="ru-RU"/>
        </w:rPr>
        <w:t>(</w:t>
      </w:r>
      <w:proofErr w:type="spellStart"/>
      <w:r w:rsidRPr="000E158B">
        <w:rPr>
          <w:rFonts w:eastAsia="Times New Roman" w:cs="Arial"/>
          <w:color w:val="000000"/>
          <w:lang w:val="en-US"/>
        </w:rPr>
        <w:t>CLcr</w:t>
      </w:r>
      <w:proofErr w:type="spellEnd"/>
      <w:r w:rsidRPr="000E158B">
        <w:rPr>
          <w:rFonts w:eastAsia="Times New Roman" w:cs="Arial"/>
          <w:color w:val="000000"/>
          <w:lang w:val="ru-RU"/>
        </w:rPr>
        <w:t xml:space="preserve">) </w:t>
      </w:r>
      <w:r w:rsidRPr="000E158B">
        <w:rPr>
          <w:rFonts w:eastAsia="Times New Roman" w:cs="Arial"/>
          <w:color w:val="000000"/>
          <w:lang w:eastAsia="bg-BG"/>
        </w:rPr>
        <w:t xml:space="preserve">на пациента в </w:t>
      </w:r>
      <w:r w:rsidRPr="000E158B">
        <w:rPr>
          <w:rFonts w:eastAsia="Times New Roman" w:cs="Arial"/>
          <w:color w:val="000000"/>
          <w:lang w:val="en-US"/>
        </w:rPr>
        <w:t>ml</w:t>
      </w:r>
      <w:r w:rsidRPr="000E158B">
        <w:rPr>
          <w:rFonts w:eastAsia="Times New Roman" w:cs="Arial"/>
          <w:color w:val="000000"/>
          <w:lang w:val="ru-RU"/>
        </w:rPr>
        <w:t>/</w:t>
      </w:r>
      <w:r w:rsidRPr="000E158B">
        <w:rPr>
          <w:rFonts w:eastAsia="Times New Roman" w:cs="Arial"/>
          <w:color w:val="000000"/>
          <w:lang w:val="en-US"/>
        </w:rPr>
        <w:t>min</w:t>
      </w:r>
      <w:r w:rsidRPr="000E158B">
        <w:rPr>
          <w:rFonts w:eastAsia="Times New Roman" w:cs="Arial"/>
          <w:color w:val="000000"/>
          <w:lang w:val="ru-RU"/>
        </w:rPr>
        <w:t xml:space="preserve">. </w:t>
      </w:r>
      <w:r w:rsidRPr="000E158B">
        <w:rPr>
          <w:rFonts w:eastAsia="Times New Roman" w:cs="Arial"/>
          <w:color w:val="000000"/>
          <w:lang w:eastAsia="bg-BG"/>
        </w:rPr>
        <w:lastRenderedPageBreak/>
        <w:t xml:space="preserve">Креатининовият клирънс </w:t>
      </w:r>
      <w:r w:rsidRPr="000E158B">
        <w:rPr>
          <w:rFonts w:eastAsia="Times New Roman" w:cs="Arial"/>
          <w:color w:val="000000"/>
          <w:lang w:val="ru-RU"/>
        </w:rPr>
        <w:t>(</w:t>
      </w:r>
      <w:proofErr w:type="spellStart"/>
      <w:r w:rsidRPr="000E158B">
        <w:rPr>
          <w:rFonts w:eastAsia="Times New Roman" w:cs="Arial"/>
          <w:color w:val="000000"/>
          <w:lang w:val="en-US"/>
        </w:rPr>
        <w:t>CLcr</w:t>
      </w:r>
      <w:proofErr w:type="spellEnd"/>
      <w:r w:rsidRPr="000E158B">
        <w:rPr>
          <w:rFonts w:eastAsia="Times New Roman" w:cs="Arial"/>
          <w:color w:val="000000"/>
          <w:lang w:val="ru-RU"/>
        </w:rPr>
        <w:t xml:space="preserve">) </w:t>
      </w:r>
      <w:r w:rsidRPr="000E158B">
        <w:rPr>
          <w:rFonts w:eastAsia="Times New Roman" w:cs="Arial"/>
          <w:color w:val="000000"/>
          <w:lang w:eastAsia="bg-BG"/>
        </w:rPr>
        <w:t xml:space="preserve">в </w:t>
      </w:r>
      <w:r w:rsidRPr="000E158B">
        <w:rPr>
          <w:rFonts w:eastAsia="Times New Roman" w:cs="Arial"/>
          <w:color w:val="000000"/>
          <w:lang w:val="en-US"/>
        </w:rPr>
        <w:t>ml</w:t>
      </w:r>
      <w:r w:rsidRPr="000E158B">
        <w:rPr>
          <w:rFonts w:eastAsia="Times New Roman" w:cs="Arial"/>
          <w:color w:val="000000"/>
          <w:lang w:val="ru-RU"/>
        </w:rPr>
        <w:t>/</w:t>
      </w:r>
      <w:r w:rsidRPr="000E158B">
        <w:rPr>
          <w:rFonts w:eastAsia="Times New Roman" w:cs="Arial"/>
          <w:color w:val="000000"/>
          <w:lang w:val="en-US"/>
        </w:rPr>
        <w:t>min</w:t>
      </w:r>
      <w:r w:rsidRPr="000E158B">
        <w:rPr>
          <w:rFonts w:eastAsia="Times New Roman" w:cs="Arial"/>
          <w:color w:val="000000"/>
          <w:lang w:val="ru-RU"/>
        </w:rPr>
        <w:t xml:space="preserve"> </w:t>
      </w:r>
      <w:r w:rsidRPr="000E158B">
        <w:rPr>
          <w:rFonts w:eastAsia="Times New Roman" w:cs="Arial"/>
          <w:color w:val="000000"/>
          <w:lang w:eastAsia="bg-BG"/>
        </w:rPr>
        <w:t xml:space="preserve">може да се определи от стойностите на серумния креатинин </w:t>
      </w:r>
      <w:r w:rsidRPr="000E158B">
        <w:rPr>
          <w:rFonts w:eastAsia="Times New Roman" w:cs="Arial"/>
          <w:color w:val="000000"/>
          <w:lang w:val="ru-RU"/>
        </w:rPr>
        <w:t>(</w:t>
      </w:r>
      <w:r w:rsidRPr="000E158B">
        <w:rPr>
          <w:rFonts w:eastAsia="Times New Roman" w:cs="Arial"/>
          <w:color w:val="000000"/>
          <w:lang w:val="en-US"/>
        </w:rPr>
        <w:t>mg</w:t>
      </w:r>
      <w:r w:rsidRPr="000E158B">
        <w:rPr>
          <w:rFonts w:eastAsia="Times New Roman" w:cs="Arial"/>
          <w:color w:val="000000"/>
          <w:lang w:val="ru-RU"/>
        </w:rPr>
        <w:t>/</w:t>
      </w:r>
      <w:r w:rsidRPr="000E158B">
        <w:rPr>
          <w:rFonts w:eastAsia="Times New Roman" w:cs="Arial"/>
          <w:color w:val="000000"/>
          <w:lang w:val="en-US"/>
        </w:rPr>
        <w:t>dl</w:t>
      </w:r>
      <w:r w:rsidRPr="000E158B">
        <w:rPr>
          <w:rFonts w:eastAsia="Times New Roman" w:cs="Arial"/>
          <w:color w:val="000000"/>
          <w:lang w:val="ru-RU"/>
        </w:rPr>
        <w:t xml:space="preserve">), </w:t>
      </w:r>
      <w:r w:rsidRPr="000E158B">
        <w:rPr>
          <w:rFonts w:eastAsia="Times New Roman" w:cs="Arial"/>
          <w:color w:val="000000"/>
          <w:lang w:eastAsia="bg-BG"/>
        </w:rPr>
        <w:t>като се използва следната формула.</w:t>
      </w:r>
    </w:p>
    <w:p w14:paraId="26759138" w14:textId="0750E019" w:rsidR="000E158B" w:rsidRPr="000E158B" w:rsidRDefault="000E158B" w:rsidP="000E158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6B2FCF1" w14:textId="5ECC2776" w:rsidR="000E158B" w:rsidRPr="000E158B" w:rsidRDefault="000E158B" w:rsidP="000E158B">
      <w:pPr>
        <w:rPr>
          <w:rFonts w:eastAsiaTheme="minorEastAsia" w:cs="Arial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Arial"/>
            </w:rPr>
            <m:t>CLcr=</m:t>
          </m:r>
          <m:f>
            <m:fPr>
              <m:ctrlPr>
                <w:rPr>
                  <w:rFonts w:ascii="Cambria Math" w:hAnsi="Cambria Math" w:cs="Arial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  <w:u w:val="single"/>
                </w:rPr>
                <m:t xml:space="preserve">[140 - възрастта (години)] х теглото (в </m:t>
              </m:r>
              <m:r>
                <m:rPr>
                  <m:sty m:val="p"/>
                </m:rPr>
                <w:rPr>
                  <w:rFonts w:ascii="Cambria Math" w:hAnsi="Cambria Math" w:cs="Arial"/>
                  <w:u w:val="single"/>
                  <w:lang w:val="en-US"/>
                </w:rPr>
                <m:t>kg)</m:t>
              </m:r>
              <m:r>
                <m:rPr>
                  <m:sty m:val="p"/>
                </m:rPr>
                <w:rPr>
                  <w:rFonts w:ascii="Cambria Math" w:hAnsi="Cambria Math" w:cs="Arial"/>
                  <w:lang w:val="en-US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 w:cs="Arial"/>
                </w:rPr>
                <m:t>(х 85 за жените)</m:t>
              </m:r>
            </m:num>
            <m:den>
              <m:r>
                <m:rPr>
                  <m:sty m:val="p"/>
                </m:rPr>
                <w:rPr>
                  <w:rFonts w:ascii="Cambria Math" w:hAnsi="Cambria Math" w:cs="Arial"/>
                </w:rPr>
                <m:t xml:space="preserve">72х серумния креатинин </m:t>
              </m:r>
              <m:r>
                <m:rPr>
                  <m:sty m:val="p"/>
                </m:rPr>
                <w:rPr>
                  <w:rFonts w:ascii="Cambria Math" w:hAnsi="Cambria Math" w:cs="Arial"/>
                  <w:lang w:val="en-US"/>
                </w:rPr>
                <m:t>(mg/dl)</m:t>
              </m:r>
            </m:den>
          </m:f>
        </m:oMath>
      </m:oMathPara>
    </w:p>
    <w:p w14:paraId="5912C2FE" w14:textId="3FCF5E0B" w:rsidR="000E158B" w:rsidRDefault="000E158B" w:rsidP="000E158B">
      <w:pPr>
        <w:rPr>
          <w:rFonts w:eastAsiaTheme="minorEastAsia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8"/>
        <w:gridCol w:w="3106"/>
        <w:gridCol w:w="3126"/>
      </w:tblGrid>
      <w:tr w:rsidR="000E158B" w14:paraId="1A16C106" w14:textId="77777777" w:rsidTr="000E158B">
        <w:tc>
          <w:tcPr>
            <w:tcW w:w="3192" w:type="dxa"/>
          </w:tcPr>
          <w:p w14:paraId="058A4487" w14:textId="49E898F9" w:rsidR="000E158B" w:rsidRPr="000E158B" w:rsidRDefault="000E158B" w:rsidP="000E158B">
            <w:pPr>
              <w:rPr>
                <w:rFonts w:cs="Arial"/>
              </w:rPr>
            </w:pPr>
            <w:r w:rsidRPr="000E158B">
              <w:rPr>
                <w:b/>
                <w:bCs/>
              </w:rPr>
              <w:t>Група</w:t>
            </w:r>
          </w:p>
        </w:tc>
        <w:tc>
          <w:tcPr>
            <w:tcW w:w="3192" w:type="dxa"/>
          </w:tcPr>
          <w:p w14:paraId="2473A4C5" w14:textId="7B4172C7" w:rsidR="000E158B" w:rsidRPr="000E158B" w:rsidRDefault="000E158B" w:rsidP="000E158B">
            <w:pPr>
              <w:rPr>
                <w:rFonts w:cs="Arial"/>
              </w:rPr>
            </w:pPr>
            <w:r w:rsidRPr="000E158B">
              <w:rPr>
                <w:b/>
                <w:bCs/>
              </w:rPr>
              <w:t>Креатининов клирънс</w:t>
            </w:r>
          </w:p>
        </w:tc>
        <w:tc>
          <w:tcPr>
            <w:tcW w:w="3192" w:type="dxa"/>
          </w:tcPr>
          <w:p w14:paraId="0384D61D" w14:textId="18DD32D5" w:rsidR="000E158B" w:rsidRPr="000E158B" w:rsidRDefault="000E158B" w:rsidP="000E158B">
            <w:pPr>
              <w:rPr>
                <w:rFonts w:cs="Arial"/>
              </w:rPr>
            </w:pPr>
            <w:r w:rsidRPr="000E158B">
              <w:rPr>
                <w:b/>
                <w:bCs/>
              </w:rPr>
              <w:t>Доза и честота на приложение</w:t>
            </w:r>
          </w:p>
        </w:tc>
      </w:tr>
      <w:tr w:rsidR="000E158B" w14:paraId="06B45BBE" w14:textId="77777777" w:rsidTr="000E158B">
        <w:tc>
          <w:tcPr>
            <w:tcW w:w="3192" w:type="dxa"/>
          </w:tcPr>
          <w:p w14:paraId="75F7B647" w14:textId="78F3D6A3" w:rsidR="000E158B" w:rsidRPr="000E158B" w:rsidRDefault="000E158B" w:rsidP="000E158B">
            <w:pPr>
              <w:rPr>
                <w:rFonts w:cs="Arial"/>
              </w:rPr>
            </w:pPr>
            <w:r w:rsidRPr="000E158B">
              <w:t>Норма</w:t>
            </w:r>
          </w:p>
        </w:tc>
        <w:tc>
          <w:tcPr>
            <w:tcW w:w="3192" w:type="dxa"/>
          </w:tcPr>
          <w:p w14:paraId="3B18BD5A" w14:textId="3D7E336F" w:rsidR="000E158B" w:rsidRPr="000E158B" w:rsidRDefault="000E158B" w:rsidP="000E158B">
            <w:pPr>
              <w:rPr>
                <w:rFonts w:cs="Arial"/>
              </w:rPr>
            </w:pPr>
            <w:r w:rsidRPr="000E158B">
              <w:t xml:space="preserve">≥ 80 </w:t>
            </w:r>
            <w:r w:rsidRPr="000E158B">
              <w:rPr>
                <w:lang w:val="en-US"/>
              </w:rPr>
              <w:t>ml/min</w:t>
            </w:r>
          </w:p>
        </w:tc>
        <w:tc>
          <w:tcPr>
            <w:tcW w:w="3192" w:type="dxa"/>
          </w:tcPr>
          <w:p w14:paraId="3F24ED67" w14:textId="2D880BDB" w:rsidR="000E158B" w:rsidRPr="000E158B" w:rsidRDefault="000E158B" w:rsidP="000E158B">
            <w:pPr>
              <w:rPr>
                <w:rFonts w:cs="Arial"/>
              </w:rPr>
            </w:pPr>
            <w:r w:rsidRPr="000E158B">
              <w:t>Обичайна дневна доза, разделена на 2 до 4 приема</w:t>
            </w:r>
          </w:p>
        </w:tc>
      </w:tr>
      <w:tr w:rsidR="000E158B" w14:paraId="05B7E37B" w14:textId="77777777" w:rsidTr="000E158B">
        <w:tc>
          <w:tcPr>
            <w:tcW w:w="3192" w:type="dxa"/>
          </w:tcPr>
          <w:p w14:paraId="50303AE6" w14:textId="573BA4ED" w:rsidR="000E158B" w:rsidRPr="000E158B" w:rsidRDefault="000E158B" w:rsidP="000E158B">
            <w:pPr>
              <w:rPr>
                <w:rFonts w:cs="Arial"/>
              </w:rPr>
            </w:pPr>
            <w:r w:rsidRPr="000E158B">
              <w:t>Лека</w:t>
            </w:r>
          </w:p>
        </w:tc>
        <w:tc>
          <w:tcPr>
            <w:tcW w:w="3192" w:type="dxa"/>
          </w:tcPr>
          <w:p w14:paraId="65507034" w14:textId="2633062B" w:rsidR="000E158B" w:rsidRPr="000E158B" w:rsidRDefault="000E158B" w:rsidP="000E158B">
            <w:pPr>
              <w:rPr>
                <w:rFonts w:cs="Arial"/>
              </w:rPr>
            </w:pPr>
            <w:r w:rsidRPr="000E158B">
              <w:t xml:space="preserve">50 - 79 </w:t>
            </w:r>
            <w:r w:rsidRPr="000E158B">
              <w:rPr>
                <w:lang w:val="en-US"/>
              </w:rPr>
              <w:t>ml/min</w:t>
            </w:r>
          </w:p>
        </w:tc>
        <w:tc>
          <w:tcPr>
            <w:tcW w:w="3192" w:type="dxa"/>
          </w:tcPr>
          <w:p w14:paraId="59ED753F" w14:textId="0E8072F2" w:rsidR="000E158B" w:rsidRPr="000E158B" w:rsidRDefault="000E158B" w:rsidP="000E158B">
            <w:pPr>
              <w:rPr>
                <w:rFonts w:cs="Arial"/>
              </w:rPr>
            </w:pPr>
            <w:r w:rsidRPr="000E158B">
              <w:t>2/3 от обичайната дневна доза, разделена на 2 или 3 приема</w:t>
            </w:r>
          </w:p>
        </w:tc>
      </w:tr>
      <w:tr w:rsidR="000E158B" w14:paraId="37C9E743" w14:textId="77777777" w:rsidTr="000E158B">
        <w:tc>
          <w:tcPr>
            <w:tcW w:w="3192" w:type="dxa"/>
          </w:tcPr>
          <w:p w14:paraId="7A9EA73E" w14:textId="70C660CA" w:rsidR="000E158B" w:rsidRPr="000E158B" w:rsidRDefault="000E158B" w:rsidP="000E158B">
            <w:pPr>
              <w:rPr>
                <w:rFonts w:cs="Arial"/>
              </w:rPr>
            </w:pPr>
            <w:r w:rsidRPr="000E158B">
              <w:t>Умерена</w:t>
            </w:r>
          </w:p>
        </w:tc>
        <w:tc>
          <w:tcPr>
            <w:tcW w:w="3192" w:type="dxa"/>
          </w:tcPr>
          <w:p w14:paraId="3382F341" w14:textId="057C0C0A" w:rsidR="000E158B" w:rsidRPr="000E158B" w:rsidRDefault="000E158B" w:rsidP="000E158B">
            <w:pPr>
              <w:rPr>
                <w:rFonts w:cs="Arial"/>
              </w:rPr>
            </w:pPr>
            <w:r w:rsidRPr="000E158B">
              <w:t xml:space="preserve">30 - 49 </w:t>
            </w:r>
            <w:r w:rsidRPr="000E158B">
              <w:rPr>
                <w:lang w:val="en-US"/>
              </w:rPr>
              <w:t>ml/min</w:t>
            </w:r>
          </w:p>
        </w:tc>
        <w:tc>
          <w:tcPr>
            <w:tcW w:w="3192" w:type="dxa"/>
          </w:tcPr>
          <w:p w14:paraId="41BAD6A9" w14:textId="02E6896B" w:rsidR="000E158B" w:rsidRPr="000E158B" w:rsidRDefault="000E158B" w:rsidP="000E158B">
            <w:pPr>
              <w:rPr>
                <w:rFonts w:cs="Arial"/>
              </w:rPr>
            </w:pPr>
            <w:r w:rsidRPr="000E158B">
              <w:t>1/3 от обичайната дневна доза, разделена на 2 приема</w:t>
            </w:r>
          </w:p>
        </w:tc>
      </w:tr>
      <w:tr w:rsidR="000E158B" w14:paraId="3005E820" w14:textId="77777777" w:rsidTr="000E158B">
        <w:tc>
          <w:tcPr>
            <w:tcW w:w="3192" w:type="dxa"/>
          </w:tcPr>
          <w:p w14:paraId="57B9D552" w14:textId="7F5B40EF" w:rsidR="000E158B" w:rsidRPr="000E158B" w:rsidRDefault="000E158B" w:rsidP="000E158B">
            <w:pPr>
              <w:rPr>
                <w:rFonts w:cs="Arial"/>
              </w:rPr>
            </w:pPr>
            <w:r w:rsidRPr="000E158B">
              <w:t>Тежка</w:t>
            </w:r>
          </w:p>
        </w:tc>
        <w:tc>
          <w:tcPr>
            <w:tcW w:w="3192" w:type="dxa"/>
          </w:tcPr>
          <w:p w14:paraId="0F399EC8" w14:textId="6AD71CA3" w:rsidR="000E158B" w:rsidRPr="000E158B" w:rsidRDefault="000E158B" w:rsidP="000E158B">
            <w:pPr>
              <w:rPr>
                <w:rFonts w:cs="Arial"/>
              </w:rPr>
            </w:pPr>
            <w:r w:rsidRPr="000E158B">
              <w:rPr>
                <w:lang w:val="en-US"/>
              </w:rPr>
              <w:t>&lt;30ml/min</w:t>
            </w:r>
          </w:p>
        </w:tc>
        <w:tc>
          <w:tcPr>
            <w:tcW w:w="3192" w:type="dxa"/>
          </w:tcPr>
          <w:p w14:paraId="308D1907" w14:textId="59729751" w:rsidR="000E158B" w:rsidRPr="000E158B" w:rsidRDefault="000E158B" w:rsidP="000E158B">
            <w:pPr>
              <w:rPr>
                <w:rFonts w:cs="Arial"/>
              </w:rPr>
            </w:pPr>
            <w:r w:rsidRPr="000E158B">
              <w:t>1/6 от обичайната дневна доза, приложена еднократно</w:t>
            </w:r>
          </w:p>
        </w:tc>
      </w:tr>
      <w:tr w:rsidR="000E158B" w14:paraId="6322C1DF" w14:textId="77777777" w:rsidTr="000E158B">
        <w:tc>
          <w:tcPr>
            <w:tcW w:w="3192" w:type="dxa"/>
          </w:tcPr>
          <w:p w14:paraId="6DA6F182" w14:textId="1C23F33E" w:rsidR="000E158B" w:rsidRPr="000E158B" w:rsidRDefault="000E158B" w:rsidP="000E158B">
            <w:pPr>
              <w:rPr>
                <w:rFonts w:cs="Arial"/>
              </w:rPr>
            </w:pPr>
            <w:r w:rsidRPr="000E158B">
              <w:t>Терминален стадий на бъбречна недостатъчност</w:t>
            </w:r>
          </w:p>
        </w:tc>
        <w:tc>
          <w:tcPr>
            <w:tcW w:w="3192" w:type="dxa"/>
          </w:tcPr>
          <w:p w14:paraId="388BF8EB" w14:textId="2A374BD2" w:rsidR="000E158B" w:rsidRPr="000E158B" w:rsidRDefault="000E158B" w:rsidP="000E158B">
            <w:pPr>
              <w:rPr>
                <w:rFonts w:cs="Arial"/>
              </w:rPr>
            </w:pPr>
            <w:r w:rsidRPr="000E158B">
              <w:rPr>
                <w:rFonts w:cs="Arial"/>
              </w:rPr>
              <w:t>-</w:t>
            </w:r>
          </w:p>
        </w:tc>
        <w:tc>
          <w:tcPr>
            <w:tcW w:w="3192" w:type="dxa"/>
          </w:tcPr>
          <w:p w14:paraId="6CD93067" w14:textId="266476E8" w:rsidR="000E158B" w:rsidRPr="000E158B" w:rsidRDefault="000E158B" w:rsidP="000E158B">
            <w:pPr>
              <w:rPr>
                <w:rFonts w:cs="Arial"/>
              </w:rPr>
            </w:pPr>
            <w:r w:rsidRPr="000E158B">
              <w:t>Противопоказано</w:t>
            </w:r>
          </w:p>
        </w:tc>
      </w:tr>
    </w:tbl>
    <w:p w14:paraId="1157A8B0" w14:textId="4F63325A" w:rsidR="000E158B" w:rsidRDefault="000E158B" w:rsidP="000E158B">
      <w:pPr>
        <w:rPr>
          <w:rFonts w:cs="Arial"/>
        </w:rPr>
      </w:pPr>
    </w:p>
    <w:p w14:paraId="3D451DD7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u w:val="single"/>
          <w:lang w:eastAsia="bg-BG"/>
        </w:rPr>
        <w:t>Чернодробно увреждане</w:t>
      </w:r>
    </w:p>
    <w:p w14:paraId="1F968D4F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>При пациенти само с чернодробно увреждане не се налага адаптиране на дозата. Коригиране на дозата се препоръчва при пациенти, които имат комбинирано чернодробно и бъбречно увреждане (вж. по-горе Пациенти с бъбречно увреждане).</w:t>
      </w:r>
    </w:p>
    <w:p w14:paraId="5389EEFB" w14:textId="77777777" w:rsidR="000E158B" w:rsidRPr="000E158B" w:rsidRDefault="000E158B" w:rsidP="000E158B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6DB7DF1F" w14:textId="52604D7F" w:rsidR="000E158B" w:rsidRPr="000E158B" w:rsidRDefault="000E158B" w:rsidP="000E158B">
      <w:pPr>
        <w:pStyle w:val="Heading3"/>
        <w:rPr>
          <w:rFonts w:eastAsia="Times New Roman"/>
          <w:u w:val="single"/>
        </w:rPr>
      </w:pPr>
      <w:r w:rsidRPr="000E158B">
        <w:rPr>
          <w:rFonts w:eastAsia="Times New Roman"/>
          <w:u w:val="single"/>
          <w:lang w:eastAsia="bg-BG"/>
        </w:rPr>
        <w:t>Начин на приложение</w:t>
      </w:r>
    </w:p>
    <w:p w14:paraId="41F796C8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>Пирацетам трябва да се прилага перорално и може да се приема със или без крана. Таблетката (ите) трябва да се поглъща(т) с течност. Препоръчва се дневната доза да се приема на два до четири приема.</w:t>
      </w:r>
    </w:p>
    <w:p w14:paraId="2B8F7E5D" w14:textId="77777777" w:rsidR="000E158B" w:rsidRPr="000E158B" w:rsidRDefault="000E158B" w:rsidP="000E158B">
      <w:pPr>
        <w:rPr>
          <w:rFonts w:cs="Arial"/>
        </w:rPr>
      </w:pPr>
    </w:p>
    <w:p w14:paraId="74903285" w14:textId="77325DEC" w:rsidR="00DB32D3" w:rsidRDefault="002C50EE" w:rsidP="005726E3">
      <w:pPr>
        <w:pStyle w:val="Heading2"/>
      </w:pPr>
      <w:r>
        <w:t>4.3. Противопоказания</w:t>
      </w:r>
    </w:p>
    <w:p w14:paraId="624A170D" w14:textId="4361EE57" w:rsidR="000E158B" w:rsidRDefault="000E158B" w:rsidP="000E158B"/>
    <w:p w14:paraId="325EFEFE" w14:textId="77777777" w:rsidR="000E158B" w:rsidRPr="000E158B" w:rsidRDefault="000E158B" w:rsidP="000E158B">
      <w:pPr>
        <w:pStyle w:val="ListParagraph"/>
        <w:numPr>
          <w:ilvl w:val="0"/>
          <w:numId w:val="39"/>
        </w:numPr>
        <w:rPr>
          <w:sz w:val="24"/>
          <w:szCs w:val="24"/>
        </w:rPr>
      </w:pPr>
      <w:r w:rsidRPr="000E158B">
        <w:rPr>
          <w:lang w:eastAsia="bg-BG"/>
        </w:rPr>
        <w:t>Свръхчувствителност към пирацетам, други пиролидонови производни или към някое от помощните вещества, изброени в точка 6.1.</w:t>
      </w:r>
    </w:p>
    <w:p w14:paraId="4037E100" w14:textId="77777777" w:rsidR="000E158B" w:rsidRPr="000E158B" w:rsidRDefault="000E158B" w:rsidP="000E158B">
      <w:pPr>
        <w:pStyle w:val="ListParagraph"/>
        <w:numPr>
          <w:ilvl w:val="0"/>
          <w:numId w:val="39"/>
        </w:numPr>
        <w:rPr>
          <w:sz w:val="24"/>
          <w:szCs w:val="24"/>
        </w:rPr>
      </w:pPr>
      <w:r w:rsidRPr="000E158B">
        <w:rPr>
          <w:lang w:eastAsia="bg-BG"/>
        </w:rPr>
        <w:t>Пирацетам е противопоказан при пациенти с церебрална хеморагия.</w:t>
      </w:r>
    </w:p>
    <w:p w14:paraId="609EE723" w14:textId="77777777" w:rsidR="000E158B" w:rsidRPr="000E158B" w:rsidRDefault="000E158B" w:rsidP="000E158B">
      <w:pPr>
        <w:pStyle w:val="ListParagraph"/>
        <w:numPr>
          <w:ilvl w:val="0"/>
          <w:numId w:val="39"/>
        </w:numPr>
        <w:rPr>
          <w:sz w:val="24"/>
          <w:szCs w:val="24"/>
        </w:rPr>
      </w:pPr>
      <w:r w:rsidRPr="000E158B">
        <w:rPr>
          <w:lang w:eastAsia="bg-BG"/>
        </w:rPr>
        <w:t>Пирацетам е противопоказан при пациенти с терминална бъбречна недостатъчност.</w:t>
      </w:r>
    </w:p>
    <w:p w14:paraId="6ADF0EA0" w14:textId="1460CCD6" w:rsidR="000E158B" w:rsidRPr="000E158B" w:rsidRDefault="000E158B" w:rsidP="000E158B">
      <w:pPr>
        <w:pStyle w:val="ListParagraph"/>
        <w:numPr>
          <w:ilvl w:val="0"/>
          <w:numId w:val="39"/>
        </w:numPr>
        <w:rPr>
          <w:sz w:val="24"/>
          <w:szCs w:val="24"/>
        </w:rPr>
      </w:pPr>
      <w:r w:rsidRPr="000E158B">
        <w:rPr>
          <w:lang w:eastAsia="bg-BG"/>
        </w:rPr>
        <w:t>Пирацетам не трябва да се използа при пациенти, страдащи от хорея на Хънтингтон.</w:t>
      </w:r>
    </w:p>
    <w:p w14:paraId="1F015DCB" w14:textId="77777777" w:rsidR="000E158B" w:rsidRPr="000E158B" w:rsidRDefault="000E158B" w:rsidP="000E158B"/>
    <w:p w14:paraId="76DC8E58" w14:textId="4B1608CC" w:rsidR="00DB32D3" w:rsidRDefault="002C50EE" w:rsidP="005726E3">
      <w:pPr>
        <w:pStyle w:val="Heading2"/>
      </w:pPr>
      <w:r>
        <w:t>4.4. Специални предупреждения и предпазни мерки при употреба</w:t>
      </w:r>
    </w:p>
    <w:p w14:paraId="275C6735" w14:textId="1EF021B7" w:rsidR="000E158B" w:rsidRDefault="000E158B" w:rsidP="000E158B"/>
    <w:p w14:paraId="72588910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u w:val="single"/>
          <w:lang w:eastAsia="bg-BG"/>
        </w:rPr>
        <w:t>Ефекти върху агрегацията на тромбоцитите</w:t>
      </w:r>
    </w:p>
    <w:p w14:paraId="498F2133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lastRenderedPageBreak/>
        <w:t>Поради влиянието на пирацетам върху агрегацията на тромбоцитите (вж. точка 5.1) се препоръчва повишено внимание при пациенти с тежки хеморагии, при пациенти с риск от кървене (като например гастроинтестинална язва), пациенти с нарушения в кръвосъсирването, пациенти с анамнеза за хеморагичен инсулт, пациенти след големи хирургични интервенции, включително дентална хирургия, както и пациенти, които приемат антикоагуланти или тромбоцитни антиагреганти, включително ниски дози ацетилсалицилова киселина.</w:t>
      </w:r>
    </w:p>
    <w:p w14:paraId="454A2FBF" w14:textId="77777777" w:rsidR="000E158B" w:rsidRPr="000E158B" w:rsidRDefault="000E158B" w:rsidP="000E158B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12F97B12" w14:textId="4143135A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u w:val="single"/>
          <w:lang w:eastAsia="bg-BG"/>
        </w:rPr>
        <w:t>Бъбречна недостатъчност</w:t>
      </w:r>
    </w:p>
    <w:p w14:paraId="6027E68E" w14:textId="77777777" w:rsidR="000E158B" w:rsidRPr="000E158B" w:rsidRDefault="000E158B" w:rsidP="000E158B">
      <w:pPr>
        <w:spacing w:line="240" w:lineRule="auto"/>
        <w:rPr>
          <w:rFonts w:eastAsia="Times New Roman" w:cs="Arial"/>
          <w:color w:val="000000"/>
          <w:lang w:eastAsia="bg-BG"/>
        </w:rPr>
      </w:pPr>
      <w:r w:rsidRPr="000E158B">
        <w:rPr>
          <w:rFonts w:eastAsia="Times New Roman" w:cs="Arial"/>
          <w:color w:val="000000"/>
          <w:lang w:eastAsia="bg-BG"/>
        </w:rPr>
        <w:t xml:space="preserve">Пирацетам се елиминира чрез бъбреците, поради което се изисква повишено внимание в случай на </w:t>
      </w:r>
    </w:p>
    <w:p w14:paraId="07F31757" w14:textId="4A169A3D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>бъбречна недостатъчност (вж. точка 4.2).</w:t>
      </w:r>
    </w:p>
    <w:p w14:paraId="1AB7DEA7" w14:textId="77777777" w:rsidR="000E158B" w:rsidRPr="000E158B" w:rsidRDefault="000E158B" w:rsidP="000E158B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13D3281E" w14:textId="75C4D1F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u w:val="single"/>
          <w:lang w:eastAsia="bg-BG"/>
        </w:rPr>
        <w:t>Старческа възраст</w:t>
      </w:r>
    </w:p>
    <w:p w14:paraId="26B6D3A0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>При продължително лечение на пациенти в старческа възраст се изисква редовно оценяване на креатининовия клирънс с цел адаптиране на дозата при необходимост (вж. точка 4.2).</w:t>
      </w:r>
    </w:p>
    <w:p w14:paraId="6F581E13" w14:textId="77777777" w:rsidR="000E158B" w:rsidRPr="000E158B" w:rsidRDefault="000E158B" w:rsidP="000E158B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4EE17AF7" w14:textId="1AE57221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u w:val="single"/>
          <w:lang w:eastAsia="bg-BG"/>
        </w:rPr>
        <w:t>Прекъсване на лечението</w:t>
      </w:r>
    </w:p>
    <w:p w14:paraId="3B372767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>При пациенти с миоклонус трябва да се избягва рязко прекъсване на лечението, тъй като това може да предизвика внезапно влошаване на заболяването или възобновяване на пристъпите.</w:t>
      </w:r>
    </w:p>
    <w:p w14:paraId="21CF3510" w14:textId="77777777" w:rsidR="000E158B" w:rsidRPr="000E158B" w:rsidRDefault="000E158B" w:rsidP="000E158B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4DEF73CF" w14:textId="2286A0B0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u w:val="single"/>
          <w:lang w:eastAsia="bg-BG"/>
        </w:rPr>
        <w:t>Сърповидноклетъчна анемия</w:t>
      </w:r>
    </w:p>
    <w:p w14:paraId="763A9A6C" w14:textId="77777777" w:rsidR="000E158B" w:rsidRPr="000E158B" w:rsidRDefault="000E158B" w:rsidP="000E158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 xml:space="preserve">При пациенти със сърповидноклетъчна анемия приложението на дневна доза по-ниска от 160 </w:t>
      </w:r>
      <w:r w:rsidRPr="000E158B">
        <w:rPr>
          <w:rFonts w:eastAsia="Times New Roman" w:cs="Arial"/>
          <w:color w:val="000000"/>
          <w:lang w:val="en-US"/>
        </w:rPr>
        <w:t>mg</w:t>
      </w:r>
      <w:r w:rsidRPr="000E158B">
        <w:rPr>
          <w:rFonts w:eastAsia="Times New Roman" w:cs="Arial"/>
          <w:color w:val="000000"/>
          <w:lang w:val="ru-RU"/>
        </w:rPr>
        <w:t>/</w:t>
      </w:r>
      <w:r w:rsidRPr="000E158B">
        <w:rPr>
          <w:rFonts w:eastAsia="Times New Roman" w:cs="Arial"/>
          <w:color w:val="000000"/>
          <w:lang w:val="en-US"/>
        </w:rPr>
        <w:t>kg</w:t>
      </w:r>
      <w:r w:rsidRPr="000E158B">
        <w:rPr>
          <w:rFonts w:eastAsia="Times New Roman" w:cs="Arial"/>
          <w:color w:val="000000"/>
          <w:lang w:val="ru-RU"/>
        </w:rPr>
        <w:t xml:space="preserve"> </w:t>
      </w:r>
      <w:r w:rsidRPr="000E158B">
        <w:rPr>
          <w:rFonts w:eastAsia="Times New Roman" w:cs="Arial"/>
          <w:color w:val="000000"/>
          <w:lang w:eastAsia="bg-BG"/>
        </w:rPr>
        <w:t>може да провокира подновяване на кризата.</w:t>
      </w:r>
    </w:p>
    <w:p w14:paraId="7D4A2B90" w14:textId="77777777" w:rsidR="000E158B" w:rsidRPr="000E158B" w:rsidRDefault="000E158B" w:rsidP="000E158B"/>
    <w:p w14:paraId="62F27C9B" w14:textId="68C62614" w:rsidR="00DB32D3" w:rsidRDefault="002C50EE" w:rsidP="005726E3">
      <w:pPr>
        <w:pStyle w:val="Heading2"/>
      </w:pPr>
      <w:r>
        <w:t>4.5. Взаимодействие с други лекарствени продукти и други форми на</w:t>
      </w:r>
      <w:r w:rsidR="004F1CE7" w:rsidRPr="004F1CE7">
        <w:rPr>
          <w:lang w:val="ru-RU"/>
        </w:rPr>
        <w:t xml:space="preserve"> </w:t>
      </w:r>
      <w:r w:rsidR="004F1CE7">
        <w:t>взаимодействие</w:t>
      </w:r>
      <w:r>
        <w:t xml:space="preserve"> </w:t>
      </w:r>
    </w:p>
    <w:p w14:paraId="14AFBF62" w14:textId="354DDE94" w:rsidR="000E158B" w:rsidRDefault="000E158B" w:rsidP="000E158B"/>
    <w:p w14:paraId="0375A26E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u w:val="single"/>
          <w:lang w:eastAsia="bg-BG"/>
        </w:rPr>
        <w:t>Фармакокинетични взаимодействия</w:t>
      </w:r>
    </w:p>
    <w:p w14:paraId="52E4FC06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>Потенциалът за лекарствени взаимодействия, водещ до промени във фармакокинетиката пирацетам се очаква да бъде слаб, тъй като приблизително 90% от дозата на пирацетам отделя в урината като непроменено лекарство.</w:t>
      </w:r>
    </w:p>
    <w:p w14:paraId="0760B4A7" w14:textId="35A55682" w:rsidR="000E158B" w:rsidRPr="000E158B" w:rsidRDefault="000E158B" w:rsidP="000E158B">
      <w:pPr>
        <w:rPr>
          <w:rFonts w:cs="Arial"/>
        </w:rPr>
      </w:pPr>
    </w:p>
    <w:p w14:paraId="7F6C2748" w14:textId="06D33D56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i/>
          <w:iCs/>
          <w:color w:val="000000"/>
          <w:lang w:val="en-US"/>
        </w:rPr>
        <w:t>In</w:t>
      </w:r>
      <w:r w:rsidRPr="000E158B">
        <w:rPr>
          <w:rFonts w:eastAsia="Times New Roman" w:cs="Arial"/>
          <w:i/>
          <w:iCs/>
          <w:color w:val="000000"/>
          <w:lang w:val="ru-RU"/>
        </w:rPr>
        <w:t xml:space="preserve"> </w:t>
      </w:r>
      <w:r w:rsidRPr="000E158B">
        <w:rPr>
          <w:rFonts w:eastAsia="Times New Roman" w:cs="Arial"/>
          <w:i/>
          <w:iCs/>
          <w:color w:val="000000"/>
          <w:lang w:val="en-US"/>
        </w:rPr>
        <w:t>vitro</w:t>
      </w:r>
      <w:r w:rsidRPr="000E158B">
        <w:rPr>
          <w:rFonts w:eastAsia="Times New Roman" w:cs="Arial"/>
          <w:i/>
          <w:iCs/>
          <w:color w:val="000000"/>
          <w:lang w:val="ru-RU"/>
        </w:rPr>
        <w:t>,</w:t>
      </w:r>
      <w:r w:rsidRPr="000E158B">
        <w:rPr>
          <w:rFonts w:eastAsia="Times New Roman" w:cs="Arial"/>
          <w:color w:val="000000"/>
          <w:lang w:val="ru-RU"/>
        </w:rPr>
        <w:t xml:space="preserve"> </w:t>
      </w:r>
      <w:r w:rsidRPr="000E158B">
        <w:rPr>
          <w:rFonts w:eastAsia="Times New Roman" w:cs="Arial"/>
          <w:color w:val="000000"/>
          <w:lang w:eastAsia="bg-BG"/>
        </w:rPr>
        <w:t xml:space="preserve">пирацетам не инхибира човешките чернодробни цитохром Р450 изоензими </w:t>
      </w:r>
      <w:r w:rsidRPr="000E158B">
        <w:rPr>
          <w:rFonts w:eastAsia="Times New Roman" w:cs="Arial"/>
          <w:color w:val="000000"/>
          <w:lang w:val="en-US"/>
        </w:rPr>
        <w:t>CYP</w:t>
      </w:r>
      <w:r w:rsidRPr="000E158B">
        <w:rPr>
          <w:rFonts w:eastAsia="Times New Roman" w:cs="Arial"/>
          <w:color w:val="000000"/>
          <w:lang w:val="ru-RU"/>
        </w:rPr>
        <w:t xml:space="preserve"> </w:t>
      </w:r>
      <w:r w:rsidRPr="000E158B">
        <w:rPr>
          <w:rFonts w:eastAsia="Times New Roman" w:cs="Arial"/>
          <w:color w:val="000000"/>
          <w:lang w:eastAsia="bg-BG"/>
        </w:rPr>
        <w:t>1А2, 2В6,</w:t>
      </w:r>
      <w:r>
        <w:rPr>
          <w:rFonts w:eastAsia="Times New Roman" w:cs="Arial"/>
          <w:color w:val="000000"/>
          <w:lang w:eastAsia="bg-BG"/>
        </w:rPr>
        <w:t xml:space="preserve"> </w:t>
      </w:r>
      <w:r w:rsidRPr="000E158B">
        <w:rPr>
          <w:rFonts w:eastAsia="Times New Roman" w:cs="Arial"/>
          <w:color w:val="000000"/>
          <w:lang w:eastAsia="bg-BG"/>
        </w:rPr>
        <w:t>2С8,</w:t>
      </w:r>
      <w:r>
        <w:rPr>
          <w:rFonts w:eastAsia="Times New Roman" w:cs="Arial"/>
          <w:color w:val="000000"/>
          <w:lang w:eastAsia="bg-BG"/>
        </w:rPr>
        <w:t xml:space="preserve"> </w:t>
      </w:r>
      <w:r w:rsidRPr="000E158B">
        <w:rPr>
          <w:rFonts w:eastAsia="Times New Roman" w:cs="Arial"/>
          <w:color w:val="000000"/>
          <w:lang w:eastAsia="bg-BG"/>
        </w:rPr>
        <w:t>2С9,</w:t>
      </w:r>
      <w:r>
        <w:rPr>
          <w:rFonts w:eastAsia="Times New Roman" w:cs="Arial"/>
          <w:color w:val="000000"/>
          <w:lang w:eastAsia="bg-BG"/>
        </w:rPr>
        <w:t xml:space="preserve"> </w:t>
      </w:r>
      <w:r w:rsidRPr="000E158B">
        <w:rPr>
          <w:rFonts w:eastAsia="Times New Roman" w:cs="Arial"/>
          <w:color w:val="000000"/>
          <w:lang w:eastAsia="bg-BG"/>
        </w:rPr>
        <w:t>2С19,</w:t>
      </w:r>
      <w:r>
        <w:rPr>
          <w:rFonts w:eastAsia="Times New Roman" w:cs="Arial"/>
          <w:color w:val="000000"/>
          <w:lang w:eastAsia="bg-BG"/>
        </w:rPr>
        <w:t xml:space="preserve"> </w:t>
      </w:r>
      <w:r w:rsidRPr="000E158B">
        <w:rPr>
          <w:rFonts w:eastAsia="Times New Roman" w:cs="Arial"/>
          <w:color w:val="000000"/>
          <w:lang w:val="ru-RU"/>
        </w:rPr>
        <w:t>2</w:t>
      </w:r>
      <w:r w:rsidRPr="000E158B">
        <w:rPr>
          <w:rFonts w:eastAsia="Times New Roman" w:cs="Arial"/>
          <w:color w:val="000000"/>
          <w:lang w:val="en-US"/>
        </w:rPr>
        <w:t>D</w:t>
      </w:r>
      <w:r w:rsidRPr="000E158B">
        <w:rPr>
          <w:rFonts w:eastAsia="Times New Roman" w:cs="Arial"/>
          <w:color w:val="000000"/>
          <w:lang w:val="ru-RU"/>
        </w:rPr>
        <w:t>6,</w:t>
      </w:r>
      <w:r>
        <w:rPr>
          <w:rFonts w:eastAsia="Times New Roman" w:cs="Arial"/>
          <w:color w:val="000000"/>
          <w:lang w:val="ru-RU"/>
        </w:rPr>
        <w:t xml:space="preserve"> </w:t>
      </w:r>
      <w:r w:rsidRPr="000E158B">
        <w:rPr>
          <w:rFonts w:eastAsia="Times New Roman" w:cs="Arial"/>
          <w:color w:val="000000"/>
          <w:lang w:eastAsia="bg-BG"/>
        </w:rPr>
        <w:t>2Е1 и 4А9/11 в концентрации от 142,</w:t>
      </w:r>
      <w:r w:rsidRPr="000E158B">
        <w:rPr>
          <w:rFonts w:eastAsia="Times New Roman" w:cs="Arial"/>
          <w:color w:val="000000"/>
          <w:lang w:val="ru-RU"/>
        </w:rPr>
        <w:t xml:space="preserve"> </w:t>
      </w:r>
      <w:r w:rsidRPr="000E158B">
        <w:rPr>
          <w:rFonts w:eastAsia="Times New Roman" w:cs="Arial"/>
          <w:color w:val="000000"/>
          <w:lang w:eastAsia="bg-BG"/>
        </w:rPr>
        <w:t>426 и 1422 μ</w:t>
      </w:r>
      <w:r w:rsidRPr="000E158B">
        <w:rPr>
          <w:rFonts w:eastAsia="Times New Roman" w:cs="Arial"/>
          <w:color w:val="000000"/>
          <w:lang w:val="en-US"/>
        </w:rPr>
        <w:t>g</w:t>
      </w:r>
      <w:r w:rsidRPr="000E158B">
        <w:rPr>
          <w:rFonts w:eastAsia="Times New Roman" w:cs="Arial"/>
          <w:color w:val="000000"/>
          <w:lang w:val="ru-RU"/>
        </w:rPr>
        <w:t>/</w:t>
      </w:r>
      <w:r w:rsidRPr="000E158B">
        <w:rPr>
          <w:rFonts w:eastAsia="Times New Roman" w:cs="Arial"/>
          <w:color w:val="000000"/>
          <w:lang w:val="en-US"/>
        </w:rPr>
        <w:t>ml</w:t>
      </w:r>
      <w:r w:rsidRPr="000E158B">
        <w:rPr>
          <w:rFonts w:eastAsia="Times New Roman" w:cs="Arial"/>
          <w:color w:val="000000"/>
          <w:lang w:val="ru-RU"/>
        </w:rPr>
        <w:t>.</w:t>
      </w:r>
    </w:p>
    <w:p w14:paraId="732BEF49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 xml:space="preserve">В дози от 1 422 </w:t>
      </w:r>
      <w:r w:rsidRPr="000E158B">
        <w:rPr>
          <w:rFonts w:eastAsia="Times New Roman" w:cs="Arial"/>
          <w:color w:val="000000"/>
          <w:lang w:val="en-US"/>
        </w:rPr>
        <w:t>mg</w:t>
      </w:r>
      <w:r w:rsidRPr="000E158B">
        <w:rPr>
          <w:rFonts w:eastAsia="Times New Roman" w:cs="Arial"/>
          <w:color w:val="000000"/>
          <w:lang w:val="ru-RU"/>
        </w:rPr>
        <w:t>/</w:t>
      </w:r>
      <w:r w:rsidRPr="000E158B">
        <w:rPr>
          <w:rFonts w:eastAsia="Times New Roman" w:cs="Arial"/>
          <w:color w:val="000000"/>
          <w:lang w:val="en-US"/>
        </w:rPr>
        <w:t>ml</w:t>
      </w:r>
      <w:r w:rsidRPr="000E158B">
        <w:rPr>
          <w:rFonts w:eastAsia="Times New Roman" w:cs="Arial"/>
          <w:color w:val="000000"/>
          <w:lang w:val="ru-RU"/>
        </w:rPr>
        <w:t xml:space="preserve"> </w:t>
      </w:r>
      <w:r w:rsidRPr="000E158B">
        <w:rPr>
          <w:rFonts w:eastAsia="Times New Roman" w:cs="Arial"/>
          <w:color w:val="000000"/>
          <w:lang w:eastAsia="bg-BG"/>
        </w:rPr>
        <w:t xml:space="preserve">е наблюдаван минимален инхибиращ ефект върху </w:t>
      </w:r>
      <w:r w:rsidRPr="000E158B">
        <w:rPr>
          <w:rFonts w:eastAsia="Times New Roman" w:cs="Arial"/>
          <w:color w:val="000000"/>
          <w:lang w:val="en-US"/>
        </w:rPr>
        <w:t>CYP</w:t>
      </w:r>
      <w:r w:rsidRPr="000E158B">
        <w:rPr>
          <w:rFonts w:eastAsia="Times New Roman" w:cs="Arial"/>
          <w:color w:val="000000"/>
          <w:lang w:val="ru-RU"/>
        </w:rPr>
        <w:t xml:space="preserve"> </w:t>
      </w:r>
      <w:r w:rsidRPr="000E158B">
        <w:rPr>
          <w:rFonts w:eastAsia="Times New Roman" w:cs="Arial"/>
          <w:color w:val="000000"/>
          <w:lang w:eastAsia="bg-BG"/>
        </w:rPr>
        <w:t xml:space="preserve">2А6 (21%) и ЗА4/5 (11%). Въпреки това, </w:t>
      </w:r>
      <w:r w:rsidRPr="000E158B">
        <w:rPr>
          <w:rFonts w:eastAsia="Times New Roman" w:cs="Arial"/>
          <w:color w:val="000000"/>
          <w:lang w:val="en-US"/>
        </w:rPr>
        <w:t>Ki</w:t>
      </w:r>
      <w:r w:rsidRPr="000E158B">
        <w:rPr>
          <w:rFonts w:eastAsia="Times New Roman" w:cs="Arial"/>
          <w:color w:val="000000"/>
          <w:lang w:val="ru-RU"/>
        </w:rPr>
        <w:t xml:space="preserve"> </w:t>
      </w:r>
      <w:r w:rsidRPr="000E158B">
        <w:rPr>
          <w:rFonts w:eastAsia="Times New Roman" w:cs="Arial"/>
          <w:color w:val="000000"/>
          <w:lang w:eastAsia="bg-BG"/>
        </w:rPr>
        <w:t xml:space="preserve">стойностите за инхибиране на тези две </w:t>
      </w:r>
      <w:r w:rsidRPr="000E158B">
        <w:rPr>
          <w:rFonts w:eastAsia="Times New Roman" w:cs="Arial"/>
          <w:color w:val="000000"/>
          <w:lang w:val="en-US"/>
        </w:rPr>
        <w:t>CYP</w:t>
      </w:r>
      <w:r w:rsidRPr="000E158B">
        <w:rPr>
          <w:rFonts w:eastAsia="Times New Roman" w:cs="Arial"/>
          <w:color w:val="000000"/>
          <w:lang w:val="ru-RU"/>
        </w:rPr>
        <w:t xml:space="preserve"> </w:t>
      </w:r>
      <w:r w:rsidRPr="000E158B">
        <w:rPr>
          <w:rFonts w:eastAsia="Times New Roman" w:cs="Arial"/>
          <w:color w:val="000000"/>
          <w:lang w:eastAsia="bg-BG"/>
        </w:rPr>
        <w:t>изоформи вероятно значимо надвишават 1 422 μ</w:t>
      </w:r>
      <w:r w:rsidRPr="000E158B">
        <w:rPr>
          <w:rFonts w:eastAsia="Times New Roman" w:cs="Arial"/>
          <w:color w:val="000000"/>
          <w:lang w:val="en-US"/>
        </w:rPr>
        <w:t>g</w:t>
      </w:r>
      <w:r w:rsidRPr="000E158B">
        <w:rPr>
          <w:rFonts w:eastAsia="Times New Roman" w:cs="Arial"/>
          <w:color w:val="000000"/>
          <w:lang w:val="ru-RU"/>
        </w:rPr>
        <w:t>/</w:t>
      </w:r>
      <w:r w:rsidRPr="000E158B">
        <w:rPr>
          <w:rFonts w:eastAsia="Times New Roman" w:cs="Arial"/>
          <w:color w:val="000000"/>
          <w:lang w:val="en-US"/>
        </w:rPr>
        <w:t>ml</w:t>
      </w:r>
      <w:r w:rsidRPr="000E158B">
        <w:rPr>
          <w:rFonts w:eastAsia="Times New Roman" w:cs="Arial"/>
          <w:color w:val="000000"/>
          <w:lang w:val="ru-RU"/>
        </w:rPr>
        <w:t xml:space="preserve">. </w:t>
      </w:r>
      <w:r w:rsidRPr="000E158B">
        <w:rPr>
          <w:rFonts w:eastAsia="Times New Roman" w:cs="Arial"/>
          <w:color w:val="000000"/>
          <w:lang w:eastAsia="bg-BG"/>
        </w:rPr>
        <w:t>Ето защо, метаболитно взаимодействие на пирацетам с други лекарства е малко вероятно.</w:t>
      </w:r>
    </w:p>
    <w:p w14:paraId="0A1643C0" w14:textId="77777777" w:rsidR="000E158B" w:rsidRPr="000E158B" w:rsidRDefault="000E158B" w:rsidP="000E158B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7787C6B7" w14:textId="2E8A48C4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u w:val="single"/>
          <w:lang w:eastAsia="bg-BG"/>
        </w:rPr>
        <w:t>Тиреоидни хормони</w:t>
      </w:r>
    </w:p>
    <w:p w14:paraId="2EDF5CC8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>При едновременен прием на пирацетам с тиреоиден екстракт (Т</w:t>
      </w:r>
      <w:r w:rsidRPr="000E158B">
        <w:rPr>
          <w:rFonts w:eastAsia="Times New Roman" w:cs="Arial"/>
          <w:color w:val="000000"/>
          <w:vertAlign w:val="subscript"/>
          <w:lang w:eastAsia="bg-BG"/>
        </w:rPr>
        <w:t>3</w:t>
      </w:r>
      <w:r w:rsidRPr="000E158B">
        <w:rPr>
          <w:rFonts w:eastAsia="Times New Roman" w:cs="Arial"/>
          <w:color w:val="000000"/>
          <w:lang w:eastAsia="bg-BG"/>
        </w:rPr>
        <w:t xml:space="preserve"> + Т</w:t>
      </w:r>
      <w:r w:rsidRPr="000E158B">
        <w:rPr>
          <w:rFonts w:eastAsia="Times New Roman" w:cs="Arial"/>
          <w:color w:val="000000"/>
          <w:vertAlign w:val="subscript"/>
          <w:lang w:eastAsia="bg-BG"/>
        </w:rPr>
        <w:t>4</w:t>
      </w:r>
      <w:r w:rsidRPr="000E158B">
        <w:rPr>
          <w:rFonts w:eastAsia="Times New Roman" w:cs="Arial"/>
          <w:color w:val="000000"/>
          <w:lang w:eastAsia="bg-BG"/>
        </w:rPr>
        <w:t>) се съобщава за поява на обърканост, раздразнителност и смущения в съня.</w:t>
      </w:r>
    </w:p>
    <w:p w14:paraId="77B52242" w14:textId="77777777" w:rsidR="000E158B" w:rsidRPr="000E158B" w:rsidRDefault="000E158B" w:rsidP="000E158B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49F739B3" w14:textId="1331C73D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u w:val="single"/>
          <w:lang w:eastAsia="bg-BG"/>
        </w:rPr>
        <w:t>Аценокумарол</w:t>
      </w:r>
    </w:p>
    <w:p w14:paraId="2C6D6816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 xml:space="preserve">В публикувано единично-сляпо проучване при пациенти с тежка хронична венозна тромбоза, пирацетам, приложен в доза 9,6 </w:t>
      </w:r>
      <w:r w:rsidRPr="000E158B">
        <w:rPr>
          <w:rFonts w:eastAsia="Times New Roman" w:cs="Arial"/>
          <w:color w:val="000000"/>
          <w:lang w:val="en-US"/>
        </w:rPr>
        <w:t>g</w:t>
      </w:r>
      <w:r w:rsidRPr="000E158B">
        <w:rPr>
          <w:rFonts w:eastAsia="Times New Roman" w:cs="Arial"/>
          <w:color w:val="000000"/>
          <w:lang w:eastAsia="bg-BG"/>
        </w:rPr>
        <w:t xml:space="preserve">/дневно, не променя дозите на аценокумарол, необходими, за да се достигне </w:t>
      </w:r>
      <w:r w:rsidRPr="000E158B">
        <w:rPr>
          <w:rFonts w:eastAsia="Times New Roman" w:cs="Arial"/>
          <w:color w:val="000000"/>
          <w:lang w:val="en-US"/>
        </w:rPr>
        <w:t>INR</w:t>
      </w:r>
      <w:r w:rsidRPr="000E158B">
        <w:rPr>
          <w:rFonts w:eastAsia="Times New Roman" w:cs="Arial"/>
          <w:color w:val="000000"/>
          <w:lang w:val="ru-RU"/>
        </w:rPr>
        <w:t xml:space="preserve"> </w:t>
      </w:r>
      <w:r w:rsidRPr="000E158B">
        <w:rPr>
          <w:rFonts w:eastAsia="Times New Roman" w:cs="Arial"/>
          <w:color w:val="000000"/>
          <w:lang w:eastAsia="bg-BG"/>
        </w:rPr>
        <w:t xml:space="preserve">2,5-3,5, но в сравнение с ефекта на аценокумарол, </w:t>
      </w:r>
      <w:r w:rsidRPr="000E158B">
        <w:rPr>
          <w:rFonts w:eastAsia="Times New Roman" w:cs="Arial"/>
          <w:color w:val="000000"/>
          <w:lang w:eastAsia="bg-BG"/>
        </w:rPr>
        <w:lastRenderedPageBreak/>
        <w:t xml:space="preserve">приложен самостоятелно при прибавянето на пирацетам в доза 9,6 </w:t>
      </w:r>
      <w:r w:rsidRPr="000E158B">
        <w:rPr>
          <w:rFonts w:eastAsia="Times New Roman" w:cs="Arial"/>
          <w:color w:val="000000"/>
          <w:lang w:val="en-US"/>
        </w:rPr>
        <w:t>g</w:t>
      </w:r>
      <w:r w:rsidRPr="000E158B">
        <w:rPr>
          <w:rFonts w:eastAsia="Times New Roman" w:cs="Arial"/>
          <w:color w:val="000000"/>
          <w:lang w:eastAsia="bg-BG"/>
        </w:rPr>
        <w:t>/дневно значително се понижават агрегацията на тромбоцитите, освобождаването на бета-тромбоглобулин, стойностите на фибриногена и факторите на Вилебранд (</w:t>
      </w:r>
      <w:r w:rsidRPr="000E158B">
        <w:rPr>
          <w:rFonts w:eastAsia="Times New Roman" w:cs="Arial"/>
          <w:color w:val="000000"/>
          <w:lang w:val="en-US"/>
        </w:rPr>
        <w:t>VIII</w:t>
      </w:r>
      <w:r w:rsidRPr="000E158B">
        <w:rPr>
          <w:rFonts w:eastAsia="Times New Roman" w:cs="Arial"/>
          <w:color w:val="000000"/>
          <w:lang w:eastAsia="bg-BG"/>
        </w:rPr>
        <w:t xml:space="preserve">: С; </w:t>
      </w:r>
      <w:r w:rsidRPr="000E158B">
        <w:rPr>
          <w:rFonts w:eastAsia="Times New Roman" w:cs="Arial"/>
          <w:color w:val="000000"/>
          <w:lang w:val="en-US"/>
        </w:rPr>
        <w:t>VIII</w:t>
      </w:r>
      <w:r w:rsidRPr="000E158B">
        <w:rPr>
          <w:rFonts w:eastAsia="Times New Roman" w:cs="Arial"/>
          <w:color w:val="000000"/>
          <w:lang w:val="ru-RU"/>
        </w:rPr>
        <w:t>:</w:t>
      </w:r>
      <w:r w:rsidRPr="000E158B">
        <w:rPr>
          <w:rFonts w:eastAsia="Times New Roman" w:cs="Arial"/>
          <w:color w:val="000000"/>
          <w:lang w:eastAsia="bg-BG"/>
        </w:rPr>
        <w:t xml:space="preserve"> </w:t>
      </w:r>
      <w:proofErr w:type="spellStart"/>
      <w:r w:rsidRPr="000E158B">
        <w:rPr>
          <w:rFonts w:eastAsia="Times New Roman" w:cs="Arial"/>
          <w:color w:val="000000"/>
          <w:lang w:val="en-US"/>
        </w:rPr>
        <w:t>vW</w:t>
      </w:r>
      <w:proofErr w:type="spellEnd"/>
      <w:r w:rsidRPr="000E158B">
        <w:rPr>
          <w:rFonts w:eastAsia="Times New Roman" w:cs="Arial"/>
          <w:color w:val="000000"/>
          <w:lang w:val="ru-RU"/>
        </w:rPr>
        <w:t xml:space="preserve">: </w:t>
      </w:r>
      <w:r w:rsidRPr="000E158B">
        <w:rPr>
          <w:rFonts w:eastAsia="Times New Roman" w:cs="Arial"/>
          <w:color w:val="000000"/>
          <w:lang w:val="en-US"/>
        </w:rPr>
        <w:t>Ag</w:t>
      </w:r>
      <w:r w:rsidRPr="000E158B">
        <w:rPr>
          <w:rFonts w:eastAsia="Times New Roman" w:cs="Arial"/>
          <w:color w:val="000000"/>
          <w:lang w:val="ru-RU"/>
        </w:rPr>
        <w:t xml:space="preserve">; </w:t>
      </w:r>
      <w:r w:rsidRPr="000E158B">
        <w:rPr>
          <w:rFonts w:eastAsia="Times New Roman" w:cs="Arial"/>
          <w:color w:val="000000"/>
          <w:lang w:eastAsia="bg-BG"/>
        </w:rPr>
        <w:t xml:space="preserve">VIII: </w:t>
      </w:r>
      <w:proofErr w:type="spellStart"/>
      <w:r w:rsidRPr="000E158B">
        <w:rPr>
          <w:rFonts w:eastAsia="Times New Roman" w:cs="Arial"/>
          <w:color w:val="000000"/>
          <w:lang w:val="en-US"/>
        </w:rPr>
        <w:t>vW</w:t>
      </w:r>
      <w:proofErr w:type="spellEnd"/>
      <w:r w:rsidRPr="000E158B">
        <w:rPr>
          <w:rFonts w:eastAsia="Times New Roman" w:cs="Arial"/>
          <w:color w:val="000000"/>
          <w:lang w:val="ru-RU"/>
        </w:rPr>
        <w:t xml:space="preserve">: </w:t>
      </w:r>
      <w:proofErr w:type="spellStart"/>
      <w:r w:rsidRPr="000E158B">
        <w:rPr>
          <w:rFonts w:eastAsia="Times New Roman" w:cs="Arial"/>
          <w:color w:val="000000"/>
          <w:lang w:val="en-US"/>
        </w:rPr>
        <w:t>RCo</w:t>
      </w:r>
      <w:proofErr w:type="spellEnd"/>
      <w:r w:rsidRPr="000E158B">
        <w:rPr>
          <w:rFonts w:eastAsia="Times New Roman" w:cs="Arial"/>
          <w:color w:val="000000"/>
          <w:lang w:val="ru-RU"/>
        </w:rPr>
        <w:t xml:space="preserve">) </w:t>
      </w:r>
      <w:r w:rsidRPr="000E158B">
        <w:rPr>
          <w:rFonts w:eastAsia="Times New Roman" w:cs="Arial"/>
          <w:color w:val="000000"/>
          <w:lang w:eastAsia="bg-BG"/>
        </w:rPr>
        <w:t>и намалява вискозитета на цялата кръв и плазмата.</w:t>
      </w:r>
    </w:p>
    <w:p w14:paraId="6CDC0479" w14:textId="77777777" w:rsidR="000E158B" w:rsidRPr="000E158B" w:rsidRDefault="000E158B" w:rsidP="000E158B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7C3EE895" w14:textId="7AF03988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u w:val="single"/>
          <w:lang w:eastAsia="bg-BG"/>
        </w:rPr>
        <w:t>Антиепилептични лекарства</w:t>
      </w:r>
    </w:p>
    <w:p w14:paraId="146D9F1B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 xml:space="preserve">Пирацетам, приложен в дневна доза 20 </w:t>
      </w:r>
      <w:r w:rsidRPr="000E158B">
        <w:rPr>
          <w:rFonts w:eastAsia="Times New Roman" w:cs="Arial"/>
          <w:color w:val="000000"/>
          <w:lang w:val="en-US"/>
        </w:rPr>
        <w:t>g</w:t>
      </w:r>
      <w:r w:rsidRPr="000E158B">
        <w:rPr>
          <w:rFonts w:eastAsia="Times New Roman" w:cs="Arial"/>
          <w:color w:val="000000"/>
          <w:lang w:val="ru-RU"/>
        </w:rPr>
        <w:t xml:space="preserve"> </w:t>
      </w:r>
      <w:r w:rsidRPr="000E158B">
        <w:rPr>
          <w:rFonts w:eastAsia="Times New Roman" w:cs="Arial"/>
          <w:color w:val="000000"/>
          <w:lang w:eastAsia="bg-BG"/>
        </w:rPr>
        <w:t>в продължение на 4 седмици не оказва влияние върху максималните и равновесните плазмени концентрации на антиепилептичните лекарства (карбамазепин, фенитоин, фенобарбитон и валпроева киселина) при пациенти с епилепсия, приемащи постоянни дози.</w:t>
      </w:r>
    </w:p>
    <w:p w14:paraId="772A3FC3" w14:textId="77777777" w:rsidR="000E158B" w:rsidRPr="000E158B" w:rsidRDefault="000E158B" w:rsidP="000E158B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4C7D95C4" w14:textId="4FA48FB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u w:val="single"/>
          <w:lang w:eastAsia="bg-BG"/>
        </w:rPr>
        <w:t>Алкохол</w:t>
      </w:r>
    </w:p>
    <w:p w14:paraId="08E75A92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 xml:space="preserve">Едновременното приложение на алкохол не оказва ефект върху серумните концентрации на пирацетам, както и стойностите на алкохол не се променят след прилагане на пирацетам в доза 1,6 </w:t>
      </w:r>
      <w:r w:rsidRPr="000E158B">
        <w:rPr>
          <w:rFonts w:eastAsia="Times New Roman" w:cs="Arial"/>
          <w:color w:val="000000"/>
          <w:lang w:val="en-US"/>
        </w:rPr>
        <w:t>g</w:t>
      </w:r>
      <w:r w:rsidRPr="000E158B">
        <w:rPr>
          <w:rFonts w:eastAsia="Times New Roman" w:cs="Arial"/>
          <w:color w:val="000000"/>
          <w:lang w:val="ru-RU"/>
        </w:rPr>
        <w:t xml:space="preserve"> </w:t>
      </w:r>
      <w:r w:rsidRPr="000E158B">
        <w:rPr>
          <w:rFonts w:eastAsia="Times New Roman" w:cs="Arial"/>
          <w:color w:val="000000"/>
          <w:lang w:eastAsia="bg-BG"/>
        </w:rPr>
        <w:t>перорално.</w:t>
      </w:r>
    </w:p>
    <w:p w14:paraId="22F49B62" w14:textId="77777777" w:rsidR="000E158B" w:rsidRPr="000E158B" w:rsidRDefault="000E158B" w:rsidP="000E158B"/>
    <w:p w14:paraId="006BE4EC" w14:textId="70E4CE67" w:rsidR="00DB32D3" w:rsidRDefault="002C50EE" w:rsidP="005726E3">
      <w:pPr>
        <w:pStyle w:val="Heading2"/>
      </w:pPr>
      <w:r>
        <w:t>4.6. Фертилитет, бременност и кърмене</w:t>
      </w:r>
    </w:p>
    <w:p w14:paraId="14CF2E2C" w14:textId="6B2AFF0F" w:rsidR="000E158B" w:rsidRDefault="000E158B" w:rsidP="000E158B"/>
    <w:p w14:paraId="7861781C" w14:textId="77777777" w:rsidR="000E158B" w:rsidRPr="000E158B" w:rsidRDefault="000E158B" w:rsidP="000E158B">
      <w:pPr>
        <w:pStyle w:val="Heading3"/>
        <w:rPr>
          <w:rFonts w:eastAsia="Times New Roman"/>
          <w:u w:val="single"/>
        </w:rPr>
      </w:pPr>
      <w:r w:rsidRPr="000E158B">
        <w:rPr>
          <w:rFonts w:eastAsia="Times New Roman"/>
          <w:u w:val="single"/>
          <w:lang w:eastAsia="bg-BG"/>
        </w:rPr>
        <w:t>Бременност</w:t>
      </w:r>
    </w:p>
    <w:p w14:paraId="4E49CC52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>Няма адекватни данни за употреба на пирацетам при бременни жени. Проучвания върху животни не показват директен или индиректен увреждащ ефект върху бременността, ембрионалното/феталното развитие, раждането или постнаталното развитие (вж. точка 5.3). Пирацетам преминава през плацентарната бариера. Стойностите при новороденото са приблизително 70% до 90% от тези, установени при майката.</w:t>
      </w:r>
    </w:p>
    <w:p w14:paraId="00305343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>Пирацетам не трябва да се прилага по време на бременност, освен при абсолютна необходимост, когато ползата надвишава риска и клиничното състояние на бременната майка изисква лечение с пирацетам.</w:t>
      </w:r>
    </w:p>
    <w:p w14:paraId="58B659FC" w14:textId="77777777" w:rsidR="000E158B" w:rsidRPr="000E158B" w:rsidRDefault="000E158B" w:rsidP="000E158B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58F6F347" w14:textId="66A16541" w:rsidR="000E158B" w:rsidRPr="000E158B" w:rsidRDefault="000E158B" w:rsidP="000E158B">
      <w:pPr>
        <w:pStyle w:val="Heading3"/>
        <w:rPr>
          <w:rFonts w:eastAsia="Times New Roman"/>
          <w:u w:val="single"/>
        </w:rPr>
      </w:pPr>
      <w:r w:rsidRPr="000E158B">
        <w:rPr>
          <w:rFonts w:eastAsia="Times New Roman"/>
          <w:u w:val="single"/>
          <w:lang w:eastAsia="bg-BG"/>
        </w:rPr>
        <w:t>Кърмене</w:t>
      </w:r>
    </w:p>
    <w:p w14:paraId="14DFBEA4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>Пирацетам се екскретира в кърмата при хора, поради което не трябва да се използва в периода на кърмене или кърменето трябва да бъде прекратено докато се провежда лечение с пирацетам. Трябва да се реши дали да се прекрати кърменето или да се преустанови лечението с пирацетам, като се вземе предвид ползата от кърменето за детето или ползата от терапията за жената.</w:t>
      </w:r>
    </w:p>
    <w:p w14:paraId="6B87E1AD" w14:textId="77777777" w:rsidR="000E158B" w:rsidRPr="000E158B" w:rsidRDefault="000E158B" w:rsidP="000E158B"/>
    <w:p w14:paraId="128BA3A8" w14:textId="49097C90" w:rsidR="00DB32D3" w:rsidRDefault="002C50EE" w:rsidP="005726E3">
      <w:pPr>
        <w:pStyle w:val="Heading2"/>
      </w:pPr>
      <w:r>
        <w:t>4.7. Ефекти върху способността за шофиране и работа с машини</w:t>
      </w:r>
    </w:p>
    <w:p w14:paraId="0BFC79DB" w14:textId="6FDB7C5B" w:rsidR="000E158B" w:rsidRDefault="000E158B" w:rsidP="000E158B"/>
    <w:p w14:paraId="0ECDE811" w14:textId="77777777" w:rsidR="000E158B" w:rsidRPr="000E158B" w:rsidRDefault="000E158B" w:rsidP="000E158B">
      <w:pPr>
        <w:rPr>
          <w:sz w:val="24"/>
          <w:szCs w:val="24"/>
        </w:rPr>
      </w:pPr>
      <w:r w:rsidRPr="000E158B">
        <w:rPr>
          <w:lang w:eastAsia="bg-BG"/>
        </w:rPr>
        <w:t>Нежеланите събития, наблюдавани с лекарството, могат да окажат влияние върху способността за шофиране и работата с машини, и това трябва да се има предвид.</w:t>
      </w:r>
    </w:p>
    <w:p w14:paraId="523E98EE" w14:textId="77777777" w:rsidR="000E158B" w:rsidRPr="000E158B" w:rsidRDefault="000E158B" w:rsidP="000E158B"/>
    <w:p w14:paraId="44CE30A3" w14:textId="0C4C7E4A" w:rsidR="007122AD" w:rsidRDefault="002C50EE" w:rsidP="00936AD0">
      <w:pPr>
        <w:pStyle w:val="Heading2"/>
      </w:pPr>
      <w:r>
        <w:t>4.8. Нежелани лекарствени реакции</w:t>
      </w:r>
    </w:p>
    <w:p w14:paraId="6D959381" w14:textId="1E48A5AA" w:rsidR="000E158B" w:rsidRDefault="000E158B" w:rsidP="000E158B"/>
    <w:p w14:paraId="44DD9421" w14:textId="77777777" w:rsidR="000E158B" w:rsidRPr="000E158B" w:rsidRDefault="000E158B" w:rsidP="000E158B">
      <w:pPr>
        <w:spacing w:line="240" w:lineRule="auto"/>
        <w:rPr>
          <w:rFonts w:eastAsia="Times New Roman" w:cs="Arial"/>
        </w:rPr>
      </w:pPr>
      <w:r w:rsidRPr="000E158B">
        <w:rPr>
          <w:rFonts w:eastAsia="Times New Roman" w:cs="Arial"/>
          <w:color w:val="000000"/>
          <w:u w:val="single"/>
          <w:lang w:eastAsia="bg-BG"/>
        </w:rPr>
        <w:t>Обобщение на профила на безопасност</w:t>
      </w:r>
    </w:p>
    <w:p w14:paraId="141E7817" w14:textId="77777777" w:rsidR="000E158B" w:rsidRPr="000E158B" w:rsidRDefault="000E158B" w:rsidP="000E158B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03888EDB" w14:textId="06340131" w:rsidR="000E158B" w:rsidRPr="000E158B" w:rsidRDefault="000E158B" w:rsidP="000E158B">
      <w:pPr>
        <w:spacing w:line="240" w:lineRule="auto"/>
        <w:rPr>
          <w:rFonts w:eastAsia="Times New Roman" w:cs="Arial"/>
        </w:rPr>
      </w:pPr>
      <w:r w:rsidRPr="000E158B">
        <w:rPr>
          <w:rFonts w:eastAsia="Times New Roman" w:cs="Arial"/>
          <w:color w:val="000000"/>
          <w:lang w:eastAsia="bg-BG"/>
        </w:rPr>
        <w:t xml:space="preserve">Наличните данни за безопасност са получени от двойно-слепи плацебо-контролирани клинични или фармакоклинични проучвания (взети от </w:t>
      </w:r>
      <w:r w:rsidRPr="000E158B">
        <w:rPr>
          <w:rFonts w:eastAsia="Times New Roman" w:cs="Arial"/>
          <w:color w:val="000000"/>
          <w:lang w:val="en-US"/>
        </w:rPr>
        <w:t>UCB</w:t>
      </w:r>
      <w:r w:rsidRPr="000E158B">
        <w:rPr>
          <w:rFonts w:eastAsia="Times New Roman" w:cs="Arial"/>
          <w:color w:val="000000"/>
          <w:lang w:val="ru-RU"/>
        </w:rPr>
        <w:t xml:space="preserve"> </w:t>
      </w:r>
      <w:r w:rsidRPr="000E158B">
        <w:rPr>
          <w:rFonts w:eastAsia="Times New Roman" w:cs="Arial"/>
          <w:color w:val="000000"/>
          <w:lang w:val="en-US"/>
        </w:rPr>
        <w:t>Documentation</w:t>
      </w:r>
      <w:r w:rsidRPr="000E158B">
        <w:rPr>
          <w:rFonts w:eastAsia="Times New Roman" w:cs="Arial"/>
          <w:color w:val="000000"/>
          <w:lang w:val="ru-RU"/>
        </w:rPr>
        <w:t xml:space="preserve"> </w:t>
      </w:r>
      <w:r w:rsidRPr="000E158B">
        <w:rPr>
          <w:rFonts w:eastAsia="Times New Roman" w:cs="Arial"/>
          <w:color w:val="000000"/>
          <w:lang w:val="en-US"/>
        </w:rPr>
        <w:t>Data</w:t>
      </w:r>
      <w:r w:rsidRPr="000E158B">
        <w:rPr>
          <w:rFonts w:eastAsia="Times New Roman" w:cs="Arial"/>
          <w:color w:val="000000"/>
          <w:lang w:val="ru-RU"/>
        </w:rPr>
        <w:t xml:space="preserve"> </w:t>
      </w:r>
      <w:r w:rsidRPr="000E158B">
        <w:rPr>
          <w:rFonts w:eastAsia="Times New Roman" w:cs="Arial"/>
          <w:color w:val="000000"/>
          <w:lang w:val="en-US"/>
        </w:rPr>
        <w:t>Bank</w:t>
      </w:r>
      <w:r w:rsidRPr="000E158B">
        <w:rPr>
          <w:rFonts w:eastAsia="Times New Roman" w:cs="Arial"/>
          <w:color w:val="000000"/>
          <w:lang w:val="ru-RU"/>
        </w:rPr>
        <w:t xml:space="preserve">, </w:t>
      </w:r>
      <w:r w:rsidRPr="000E158B">
        <w:rPr>
          <w:rFonts w:eastAsia="Times New Roman" w:cs="Arial"/>
          <w:color w:val="000000"/>
          <w:lang w:eastAsia="bg-BG"/>
        </w:rPr>
        <w:t>юни 1997 г.), които включват повече от 3 000 пациенти приемали пирацетам, независимо от показанията, лекарствената форма, дневната доза или популационните характеристики.</w:t>
      </w:r>
    </w:p>
    <w:p w14:paraId="4D27370F" w14:textId="77777777" w:rsidR="000E158B" w:rsidRPr="000E158B" w:rsidRDefault="000E158B" w:rsidP="000E158B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28DD2B5F" w14:textId="36AE05F4" w:rsidR="000E158B" w:rsidRPr="000E158B" w:rsidRDefault="000E158B" w:rsidP="000E158B">
      <w:pPr>
        <w:spacing w:line="240" w:lineRule="auto"/>
        <w:rPr>
          <w:rFonts w:eastAsia="Times New Roman" w:cs="Arial"/>
        </w:rPr>
      </w:pPr>
      <w:r w:rsidRPr="000E158B">
        <w:rPr>
          <w:rFonts w:eastAsia="Times New Roman" w:cs="Arial"/>
          <w:color w:val="000000"/>
          <w:u w:val="single"/>
          <w:lang w:eastAsia="bg-BG"/>
        </w:rPr>
        <w:t>Списък на нежеланите лекарствени реакции</w:t>
      </w:r>
    </w:p>
    <w:p w14:paraId="3E16A7E6" w14:textId="77777777" w:rsidR="000E158B" w:rsidRPr="000E158B" w:rsidRDefault="000E158B" w:rsidP="000E158B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47D59DC0" w14:textId="747816FC" w:rsidR="000E158B" w:rsidRPr="000E158B" w:rsidRDefault="000E158B" w:rsidP="000E158B">
      <w:pPr>
        <w:spacing w:line="240" w:lineRule="auto"/>
        <w:rPr>
          <w:rFonts w:eastAsia="Times New Roman" w:cs="Arial"/>
        </w:rPr>
      </w:pPr>
      <w:r w:rsidRPr="000E158B">
        <w:rPr>
          <w:rFonts w:eastAsia="Times New Roman" w:cs="Arial"/>
          <w:color w:val="000000"/>
          <w:lang w:eastAsia="bg-BG"/>
        </w:rPr>
        <w:t>Нежеланите лекарствени реакции наблюдавани по време на клиничните проучвания и от постмаркетинговия период са класифицирани по системо-органни класове и по честота. Честотата е дефинирана както следва: много чести (≥ 1/10), чести (≥1/100 до&lt; 1/10), нечести (≥ 1/1 000 до &lt; 1/100), редки (≥1/10 000 до &lt; 1/1 000), много редки (&lt; 1/10 000), с неизвестна честота (от наличните данни не може да бъде направена оценка).</w:t>
      </w:r>
    </w:p>
    <w:p w14:paraId="6911981A" w14:textId="77777777" w:rsidR="000E158B" w:rsidRPr="000E158B" w:rsidRDefault="000E158B" w:rsidP="000E158B">
      <w:pPr>
        <w:spacing w:line="240" w:lineRule="auto"/>
        <w:rPr>
          <w:rFonts w:eastAsia="Times New Roman" w:cs="Arial"/>
        </w:rPr>
      </w:pPr>
      <w:r w:rsidRPr="000E158B">
        <w:rPr>
          <w:rFonts w:eastAsia="Times New Roman" w:cs="Arial"/>
          <w:color w:val="000000"/>
          <w:lang w:eastAsia="bg-BG"/>
        </w:rPr>
        <w:t>Данните от постмаркетинговия опит са недостатъчни, за да се подкрепи изчислената честота в третираната популация.</w:t>
      </w:r>
    </w:p>
    <w:p w14:paraId="28B31E8D" w14:textId="77777777" w:rsidR="000E158B" w:rsidRPr="000E158B" w:rsidRDefault="000E158B" w:rsidP="000E158B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630516FA" w14:textId="6FF1C22D" w:rsidR="000E158B" w:rsidRPr="000E158B" w:rsidRDefault="000E158B" w:rsidP="000E158B">
      <w:pPr>
        <w:spacing w:line="240" w:lineRule="auto"/>
        <w:rPr>
          <w:rFonts w:eastAsia="Times New Roman" w:cs="Arial"/>
        </w:rPr>
      </w:pPr>
      <w:r w:rsidRPr="000E158B">
        <w:rPr>
          <w:rFonts w:eastAsia="Times New Roman" w:cs="Arial"/>
          <w:color w:val="000000"/>
          <w:u w:val="single"/>
          <w:lang w:eastAsia="bg-BG"/>
        </w:rPr>
        <w:t>Нарушения на кръвта и лимфната система</w:t>
      </w:r>
    </w:p>
    <w:p w14:paraId="554F667C" w14:textId="77777777" w:rsidR="000E158B" w:rsidRPr="000E158B" w:rsidRDefault="000E158B" w:rsidP="000E158B">
      <w:pPr>
        <w:spacing w:line="240" w:lineRule="auto"/>
        <w:rPr>
          <w:rFonts w:eastAsia="Times New Roman" w:cs="Arial"/>
        </w:rPr>
      </w:pPr>
      <w:r w:rsidRPr="000E158B">
        <w:rPr>
          <w:rFonts w:eastAsia="Times New Roman" w:cs="Arial"/>
          <w:color w:val="000000"/>
          <w:lang w:eastAsia="bg-BG"/>
        </w:rPr>
        <w:t>С неизвестна честота: хеморагични нарушения</w:t>
      </w:r>
    </w:p>
    <w:p w14:paraId="140D8486" w14:textId="77777777" w:rsidR="000E158B" w:rsidRPr="000E158B" w:rsidRDefault="000E158B" w:rsidP="000E158B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621B91F0" w14:textId="7AA7D7C4" w:rsidR="000E158B" w:rsidRPr="000E158B" w:rsidRDefault="000E158B" w:rsidP="000E158B">
      <w:pPr>
        <w:spacing w:line="240" w:lineRule="auto"/>
        <w:rPr>
          <w:rFonts w:eastAsia="Times New Roman" w:cs="Arial"/>
        </w:rPr>
      </w:pPr>
      <w:r w:rsidRPr="000E158B">
        <w:rPr>
          <w:rFonts w:eastAsia="Times New Roman" w:cs="Arial"/>
          <w:color w:val="000000"/>
          <w:u w:val="single"/>
          <w:lang w:eastAsia="bg-BG"/>
        </w:rPr>
        <w:t>Нарушения на имунната система</w:t>
      </w:r>
    </w:p>
    <w:p w14:paraId="56BA9DCC" w14:textId="77777777" w:rsidR="000E158B" w:rsidRPr="000E158B" w:rsidRDefault="000E158B" w:rsidP="000E158B">
      <w:pPr>
        <w:spacing w:line="240" w:lineRule="auto"/>
        <w:rPr>
          <w:rFonts w:eastAsia="Times New Roman" w:cs="Arial"/>
        </w:rPr>
      </w:pPr>
      <w:r w:rsidRPr="000E158B">
        <w:rPr>
          <w:rFonts w:eastAsia="Times New Roman" w:cs="Arial"/>
          <w:color w:val="000000"/>
          <w:lang w:eastAsia="bg-BG"/>
        </w:rPr>
        <w:t>С неизвестна честота: анафилактоидни ракции, свръхчувствителност</w:t>
      </w:r>
    </w:p>
    <w:p w14:paraId="0A880784" w14:textId="77777777" w:rsidR="000E158B" w:rsidRPr="000E158B" w:rsidRDefault="000E158B" w:rsidP="000E158B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50446D61" w14:textId="65A1C824" w:rsidR="000E158B" w:rsidRPr="000E158B" w:rsidRDefault="000E158B" w:rsidP="000E158B">
      <w:pPr>
        <w:spacing w:line="240" w:lineRule="auto"/>
        <w:rPr>
          <w:rFonts w:eastAsia="Times New Roman" w:cs="Arial"/>
        </w:rPr>
      </w:pPr>
      <w:r w:rsidRPr="000E158B">
        <w:rPr>
          <w:rFonts w:eastAsia="Times New Roman" w:cs="Arial"/>
          <w:color w:val="000000"/>
          <w:u w:val="single"/>
          <w:lang w:eastAsia="bg-BG"/>
        </w:rPr>
        <w:t>Психични нарушения</w:t>
      </w:r>
    </w:p>
    <w:p w14:paraId="6C250D02" w14:textId="77777777" w:rsidR="000E158B" w:rsidRPr="000E158B" w:rsidRDefault="000E158B" w:rsidP="000E158B">
      <w:pPr>
        <w:spacing w:line="240" w:lineRule="auto"/>
        <w:rPr>
          <w:rFonts w:eastAsia="Times New Roman" w:cs="Arial"/>
        </w:rPr>
      </w:pPr>
      <w:r w:rsidRPr="000E158B">
        <w:rPr>
          <w:rFonts w:eastAsia="Times New Roman" w:cs="Arial"/>
          <w:color w:val="000000"/>
          <w:lang w:eastAsia="bg-BG"/>
        </w:rPr>
        <w:t>Чести: нервност</w:t>
      </w:r>
    </w:p>
    <w:p w14:paraId="6470FFB5" w14:textId="77777777" w:rsidR="000E158B" w:rsidRPr="000E158B" w:rsidRDefault="000E158B" w:rsidP="000E158B">
      <w:pPr>
        <w:spacing w:line="240" w:lineRule="auto"/>
        <w:rPr>
          <w:rFonts w:eastAsia="Times New Roman" w:cs="Arial"/>
        </w:rPr>
      </w:pPr>
      <w:r w:rsidRPr="000E158B">
        <w:rPr>
          <w:rFonts w:eastAsia="Times New Roman" w:cs="Arial"/>
          <w:color w:val="000000"/>
          <w:lang w:eastAsia="bg-BG"/>
        </w:rPr>
        <w:t>Нечести: депресия</w:t>
      </w:r>
    </w:p>
    <w:p w14:paraId="5E0EB7DE" w14:textId="77777777" w:rsidR="000E158B" w:rsidRPr="000E158B" w:rsidRDefault="000E158B" w:rsidP="000E158B">
      <w:pPr>
        <w:spacing w:line="240" w:lineRule="auto"/>
        <w:rPr>
          <w:rFonts w:eastAsia="Times New Roman" w:cs="Arial"/>
        </w:rPr>
      </w:pPr>
      <w:r w:rsidRPr="000E158B">
        <w:rPr>
          <w:rFonts w:eastAsia="Times New Roman" w:cs="Arial"/>
          <w:color w:val="000000"/>
          <w:lang w:eastAsia="bg-BG"/>
        </w:rPr>
        <w:t>С неизвестна честота: възбуда, тревожност, обърканост, халюцинации.</w:t>
      </w:r>
    </w:p>
    <w:p w14:paraId="31FF48D3" w14:textId="77777777" w:rsidR="000E158B" w:rsidRPr="000E158B" w:rsidRDefault="000E158B" w:rsidP="000E158B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75B095D0" w14:textId="1F94FECA" w:rsidR="000E158B" w:rsidRPr="000E158B" w:rsidRDefault="000E158B" w:rsidP="000E158B">
      <w:pPr>
        <w:spacing w:line="240" w:lineRule="auto"/>
        <w:rPr>
          <w:rFonts w:eastAsia="Times New Roman" w:cs="Arial"/>
        </w:rPr>
      </w:pPr>
      <w:r w:rsidRPr="000E158B">
        <w:rPr>
          <w:rFonts w:eastAsia="Times New Roman" w:cs="Arial"/>
          <w:color w:val="000000"/>
          <w:u w:val="single"/>
          <w:lang w:eastAsia="bg-BG"/>
        </w:rPr>
        <w:t>Нарушения на нервната система</w:t>
      </w:r>
    </w:p>
    <w:p w14:paraId="1270486C" w14:textId="77777777" w:rsidR="000E158B" w:rsidRPr="000E158B" w:rsidRDefault="000E158B" w:rsidP="000E158B">
      <w:pPr>
        <w:spacing w:line="240" w:lineRule="auto"/>
        <w:rPr>
          <w:rFonts w:eastAsia="Times New Roman" w:cs="Arial"/>
        </w:rPr>
      </w:pPr>
      <w:r w:rsidRPr="000E158B">
        <w:rPr>
          <w:rFonts w:eastAsia="Times New Roman" w:cs="Arial"/>
          <w:color w:val="000000"/>
          <w:lang w:eastAsia="bg-BG"/>
        </w:rPr>
        <w:t>Чести: хиперкинезия</w:t>
      </w:r>
    </w:p>
    <w:p w14:paraId="78971473" w14:textId="77777777" w:rsidR="000E158B" w:rsidRPr="000E158B" w:rsidRDefault="000E158B" w:rsidP="000E158B">
      <w:pPr>
        <w:spacing w:line="240" w:lineRule="auto"/>
        <w:rPr>
          <w:rFonts w:eastAsia="Times New Roman" w:cs="Arial"/>
        </w:rPr>
      </w:pPr>
      <w:r w:rsidRPr="000E158B">
        <w:rPr>
          <w:rFonts w:eastAsia="Times New Roman" w:cs="Arial"/>
          <w:color w:val="000000"/>
          <w:lang w:eastAsia="bg-BG"/>
        </w:rPr>
        <w:t>Нечести: сомнолентност</w:t>
      </w:r>
    </w:p>
    <w:p w14:paraId="56F868FA" w14:textId="77777777" w:rsidR="000E158B" w:rsidRPr="000E158B" w:rsidRDefault="000E158B" w:rsidP="000E158B">
      <w:pPr>
        <w:spacing w:line="240" w:lineRule="auto"/>
        <w:rPr>
          <w:rFonts w:eastAsia="Times New Roman" w:cs="Arial"/>
        </w:rPr>
      </w:pPr>
      <w:r w:rsidRPr="000E158B">
        <w:rPr>
          <w:rFonts w:eastAsia="Times New Roman" w:cs="Arial"/>
          <w:color w:val="000000"/>
          <w:lang w:eastAsia="bg-BG"/>
        </w:rPr>
        <w:t>С неизвестна честота: атаксия, нарушено равновесие, влошаване на епилепсията, главоболие, инсомния</w:t>
      </w:r>
    </w:p>
    <w:p w14:paraId="055E5712" w14:textId="77777777" w:rsidR="000E158B" w:rsidRPr="000E158B" w:rsidRDefault="000E158B" w:rsidP="000E158B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12E01990" w14:textId="29999E65" w:rsidR="000E158B" w:rsidRPr="000E158B" w:rsidRDefault="000E158B" w:rsidP="000E158B">
      <w:pPr>
        <w:spacing w:line="240" w:lineRule="auto"/>
        <w:rPr>
          <w:rFonts w:eastAsia="Times New Roman" w:cs="Arial"/>
        </w:rPr>
      </w:pPr>
      <w:r w:rsidRPr="000E158B">
        <w:rPr>
          <w:rFonts w:eastAsia="Times New Roman" w:cs="Arial"/>
          <w:color w:val="000000"/>
          <w:u w:val="single"/>
          <w:lang w:eastAsia="bg-BG"/>
        </w:rPr>
        <w:t>Нарушения на ухото и лабиринта</w:t>
      </w:r>
    </w:p>
    <w:p w14:paraId="3A415B84" w14:textId="77777777" w:rsidR="000E158B" w:rsidRPr="000E158B" w:rsidRDefault="000E158B" w:rsidP="000E158B">
      <w:pPr>
        <w:spacing w:line="240" w:lineRule="auto"/>
        <w:rPr>
          <w:rFonts w:eastAsia="Times New Roman" w:cs="Arial"/>
        </w:rPr>
      </w:pPr>
      <w:r w:rsidRPr="000E158B">
        <w:rPr>
          <w:rFonts w:eastAsia="Times New Roman" w:cs="Arial"/>
          <w:color w:val="000000"/>
          <w:lang w:eastAsia="bg-BG"/>
        </w:rPr>
        <w:t>С неизвестна честота: вертиго</w:t>
      </w:r>
    </w:p>
    <w:p w14:paraId="7F110861" w14:textId="77777777" w:rsidR="000E158B" w:rsidRPr="000E158B" w:rsidRDefault="000E158B" w:rsidP="000E158B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7860A540" w14:textId="0F3F00DE" w:rsidR="000E158B" w:rsidRPr="000E158B" w:rsidRDefault="000E158B" w:rsidP="000E158B">
      <w:pPr>
        <w:spacing w:line="240" w:lineRule="auto"/>
        <w:rPr>
          <w:rFonts w:eastAsia="Times New Roman" w:cs="Arial"/>
        </w:rPr>
      </w:pPr>
      <w:r w:rsidRPr="000E158B">
        <w:rPr>
          <w:rFonts w:eastAsia="Times New Roman" w:cs="Arial"/>
          <w:color w:val="000000"/>
          <w:u w:val="single"/>
          <w:lang w:eastAsia="bg-BG"/>
        </w:rPr>
        <w:t>Стомашно-чревни нарушения</w:t>
      </w:r>
    </w:p>
    <w:p w14:paraId="2EB08156" w14:textId="77777777" w:rsidR="000E158B" w:rsidRPr="000E158B" w:rsidRDefault="000E158B" w:rsidP="000E158B">
      <w:pPr>
        <w:spacing w:line="240" w:lineRule="auto"/>
        <w:rPr>
          <w:rFonts w:eastAsia="Times New Roman" w:cs="Arial"/>
        </w:rPr>
      </w:pPr>
      <w:r w:rsidRPr="000E158B">
        <w:rPr>
          <w:rFonts w:eastAsia="Times New Roman" w:cs="Arial"/>
          <w:color w:val="000000"/>
          <w:lang w:eastAsia="bg-BG"/>
        </w:rPr>
        <w:t>С неизвестна честота: болка в областта на корема, болка в горната част на корема, диария, гадене, повръщане</w:t>
      </w:r>
    </w:p>
    <w:p w14:paraId="5AE6C059" w14:textId="77777777" w:rsidR="000E158B" w:rsidRPr="000E158B" w:rsidRDefault="000E158B" w:rsidP="000E158B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445E8819" w14:textId="4B7B793C" w:rsidR="000E158B" w:rsidRPr="000E158B" w:rsidRDefault="000E158B" w:rsidP="000E158B">
      <w:pPr>
        <w:spacing w:line="240" w:lineRule="auto"/>
        <w:rPr>
          <w:rFonts w:eastAsia="Times New Roman" w:cs="Arial"/>
        </w:rPr>
      </w:pPr>
      <w:r w:rsidRPr="000E158B">
        <w:rPr>
          <w:rFonts w:eastAsia="Times New Roman" w:cs="Arial"/>
          <w:color w:val="000000"/>
          <w:u w:val="single"/>
          <w:lang w:eastAsia="bg-BG"/>
        </w:rPr>
        <w:t>Нарушения на кожата и подкожната тъкан</w:t>
      </w:r>
    </w:p>
    <w:p w14:paraId="79980856" w14:textId="77777777" w:rsidR="000E158B" w:rsidRPr="000E158B" w:rsidRDefault="000E158B" w:rsidP="000E158B">
      <w:pPr>
        <w:spacing w:line="240" w:lineRule="auto"/>
        <w:rPr>
          <w:rFonts w:eastAsia="Times New Roman" w:cs="Arial"/>
        </w:rPr>
      </w:pPr>
      <w:r w:rsidRPr="000E158B">
        <w:rPr>
          <w:rFonts w:eastAsia="Times New Roman" w:cs="Arial"/>
          <w:color w:val="000000"/>
          <w:lang w:eastAsia="bg-BG"/>
        </w:rPr>
        <w:t>С неизвестна честота: ангионевротичен оток, дерматит, пруритус, уртикария</w:t>
      </w:r>
    </w:p>
    <w:p w14:paraId="51A0B9C9" w14:textId="77777777" w:rsidR="000E158B" w:rsidRPr="000E158B" w:rsidRDefault="000E158B" w:rsidP="000E158B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6E055AD5" w14:textId="77777777" w:rsidR="000E158B" w:rsidRPr="000E158B" w:rsidRDefault="000E158B" w:rsidP="000E158B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  <w:r w:rsidRPr="000E158B">
        <w:rPr>
          <w:rFonts w:eastAsia="Times New Roman" w:cs="Arial"/>
          <w:color w:val="000000"/>
          <w:u w:val="single"/>
          <w:lang w:eastAsia="bg-BG"/>
        </w:rPr>
        <w:t xml:space="preserve">Общи нарушения и ефекти на мястото на приложение </w:t>
      </w:r>
    </w:p>
    <w:p w14:paraId="5884C29A" w14:textId="1B963F41" w:rsidR="000E158B" w:rsidRPr="000E158B" w:rsidRDefault="000E158B" w:rsidP="000E158B">
      <w:pPr>
        <w:spacing w:line="240" w:lineRule="auto"/>
        <w:rPr>
          <w:rFonts w:eastAsia="Times New Roman" w:cs="Arial"/>
        </w:rPr>
      </w:pPr>
      <w:r w:rsidRPr="000E158B">
        <w:rPr>
          <w:rFonts w:eastAsia="Times New Roman" w:cs="Arial"/>
          <w:color w:val="000000"/>
          <w:lang w:eastAsia="bg-BG"/>
        </w:rPr>
        <w:t>Нечести: астения</w:t>
      </w:r>
    </w:p>
    <w:p w14:paraId="21ECFC42" w14:textId="77777777" w:rsidR="000E158B" w:rsidRPr="000E158B" w:rsidRDefault="000E158B" w:rsidP="000E158B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782A756B" w14:textId="1E043188" w:rsidR="000E158B" w:rsidRPr="000E158B" w:rsidRDefault="000E158B" w:rsidP="000E158B">
      <w:pPr>
        <w:spacing w:line="240" w:lineRule="auto"/>
        <w:rPr>
          <w:rFonts w:eastAsia="Times New Roman" w:cs="Arial"/>
        </w:rPr>
      </w:pPr>
      <w:r w:rsidRPr="000E158B">
        <w:rPr>
          <w:rFonts w:eastAsia="Times New Roman" w:cs="Arial"/>
          <w:color w:val="000000"/>
          <w:u w:val="single"/>
          <w:lang w:eastAsia="bg-BG"/>
        </w:rPr>
        <w:t>Изследвания</w:t>
      </w:r>
    </w:p>
    <w:p w14:paraId="0FE78428" w14:textId="77777777" w:rsidR="000E158B" w:rsidRPr="000E158B" w:rsidRDefault="000E158B" w:rsidP="000E158B">
      <w:pPr>
        <w:spacing w:line="240" w:lineRule="auto"/>
        <w:rPr>
          <w:rFonts w:eastAsia="Times New Roman" w:cs="Arial"/>
        </w:rPr>
      </w:pPr>
      <w:r w:rsidRPr="000E158B">
        <w:rPr>
          <w:rFonts w:eastAsia="Times New Roman" w:cs="Arial"/>
          <w:color w:val="000000"/>
          <w:lang w:eastAsia="bg-BG"/>
        </w:rPr>
        <w:t>Чести: повишаване на теглото</w:t>
      </w:r>
    </w:p>
    <w:p w14:paraId="1C02C818" w14:textId="77777777" w:rsidR="000E158B" w:rsidRPr="000E158B" w:rsidRDefault="000E158B" w:rsidP="000E158B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3FC5B6CB" w14:textId="5E7A7C63" w:rsidR="000E158B" w:rsidRPr="000E158B" w:rsidRDefault="000E158B" w:rsidP="000E158B">
      <w:pPr>
        <w:spacing w:line="240" w:lineRule="auto"/>
        <w:rPr>
          <w:rFonts w:eastAsia="Times New Roman" w:cs="Arial"/>
        </w:rPr>
      </w:pPr>
      <w:r w:rsidRPr="000E158B">
        <w:rPr>
          <w:rFonts w:eastAsia="Times New Roman" w:cs="Arial"/>
          <w:color w:val="000000"/>
          <w:u w:val="single"/>
          <w:lang w:eastAsia="bg-BG"/>
        </w:rPr>
        <w:t>Съобщаване на подозирани нежелани реакции</w:t>
      </w:r>
    </w:p>
    <w:p w14:paraId="1CB966F3" w14:textId="77777777" w:rsidR="000E158B" w:rsidRPr="000E158B" w:rsidRDefault="000E158B" w:rsidP="000E158B">
      <w:pPr>
        <w:rPr>
          <w:rFonts w:eastAsia="Times New Roman" w:cs="Arial"/>
        </w:rPr>
      </w:pPr>
      <w:r w:rsidRPr="000E158B">
        <w:rPr>
          <w:rFonts w:eastAsia="Times New Roman" w:cs="Arial"/>
          <w:color w:val="000000"/>
          <w:lang w:eastAsia="bg-BG"/>
        </w:rPr>
        <w:t xml:space="preserve">Съобщаването на подозирани нежелани реакции след разрешаване за употреба на лекарствения продукт е важно. Това позволява да продължи наблюдението на съотношението полза/риск за лекарствения продукт. От медицинските специалисти се изисква да съобщават всяка подозирана нежелана реакция чрез Изпълнителна агенция </w:t>
      </w:r>
      <w:r w:rsidRPr="000E158B">
        <w:rPr>
          <w:rFonts w:eastAsia="Times New Roman" w:cs="Arial"/>
          <w:color w:val="000000"/>
          <w:lang w:eastAsia="bg-BG"/>
        </w:rPr>
        <w:lastRenderedPageBreak/>
        <w:t xml:space="preserve">по лекарствата, ул. „Дамян Груев” № 8,1303 София, тел.: 02 8903417, уебсайт: </w:t>
      </w:r>
      <w:r w:rsidRPr="000E158B">
        <w:rPr>
          <w:rFonts w:eastAsia="Times New Roman" w:cs="Arial"/>
        </w:rPr>
        <w:fldChar w:fldCharType="begin"/>
      </w:r>
      <w:r w:rsidRPr="000E158B">
        <w:rPr>
          <w:rFonts w:eastAsia="Times New Roman" w:cs="Arial"/>
        </w:rPr>
        <w:instrText xml:space="preserve"> HYPERLINK "http://www.bda.bg" </w:instrText>
      </w:r>
      <w:r w:rsidRPr="000E158B">
        <w:rPr>
          <w:rFonts w:eastAsia="Times New Roman" w:cs="Arial"/>
        </w:rPr>
      </w:r>
      <w:r w:rsidRPr="000E158B">
        <w:rPr>
          <w:rFonts w:eastAsia="Times New Roman" w:cs="Arial"/>
        </w:rPr>
        <w:fldChar w:fldCharType="separate"/>
      </w:r>
      <w:r w:rsidRPr="000E158B">
        <w:rPr>
          <w:rFonts w:eastAsia="Times New Roman" w:cs="Arial"/>
          <w:color w:val="000000"/>
          <w:lang w:val="en-US"/>
        </w:rPr>
        <w:t>www.bda.bg</w:t>
      </w:r>
      <w:r w:rsidRPr="000E158B">
        <w:rPr>
          <w:rFonts w:eastAsia="Times New Roman" w:cs="Arial"/>
        </w:rPr>
        <w:fldChar w:fldCharType="end"/>
      </w:r>
    </w:p>
    <w:p w14:paraId="1F024F6F" w14:textId="31C30A4D" w:rsidR="000E158B" w:rsidRPr="000E158B" w:rsidRDefault="000E158B" w:rsidP="000E158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4083084" w14:textId="77777777" w:rsidR="000E158B" w:rsidRPr="000E158B" w:rsidRDefault="000E158B" w:rsidP="000E158B"/>
    <w:p w14:paraId="5A87DBA3" w14:textId="12C0CAA7" w:rsidR="007122AD" w:rsidRDefault="002C50EE" w:rsidP="00936AD0">
      <w:pPr>
        <w:pStyle w:val="Heading2"/>
      </w:pPr>
      <w:r>
        <w:t>4.9. Предозиране</w:t>
      </w:r>
    </w:p>
    <w:p w14:paraId="092B1661" w14:textId="55063312" w:rsidR="000E158B" w:rsidRDefault="000E158B" w:rsidP="000E158B"/>
    <w:p w14:paraId="2CA31E88" w14:textId="77777777" w:rsidR="000E158B" w:rsidRPr="000E158B" w:rsidRDefault="000E158B" w:rsidP="000E158B">
      <w:pPr>
        <w:pStyle w:val="Heading3"/>
        <w:rPr>
          <w:u w:val="single"/>
        </w:rPr>
      </w:pPr>
      <w:r w:rsidRPr="000E158B">
        <w:rPr>
          <w:u w:val="single"/>
        </w:rPr>
        <w:t>Симптоми</w:t>
      </w:r>
    </w:p>
    <w:p w14:paraId="08D70D78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>Не са наблюдавани допълнителни нежелани лекарствени реакции, конкретно свързани с предозиране на пирацетам.</w:t>
      </w:r>
    </w:p>
    <w:p w14:paraId="3D2C61B3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 xml:space="preserve">Най-значимото предозиране с пирацетам е наблюдавано след перорален прием на 75 </w:t>
      </w:r>
      <w:r w:rsidRPr="000E158B">
        <w:rPr>
          <w:rFonts w:eastAsia="Times New Roman" w:cs="Arial"/>
          <w:color w:val="000000"/>
          <w:lang w:val="en-US"/>
        </w:rPr>
        <w:t>g</w:t>
      </w:r>
      <w:r w:rsidRPr="000E158B">
        <w:rPr>
          <w:rFonts w:eastAsia="Times New Roman" w:cs="Arial"/>
          <w:color w:val="000000"/>
          <w:lang w:val="ru-RU"/>
        </w:rPr>
        <w:t xml:space="preserve">. </w:t>
      </w:r>
      <w:r w:rsidRPr="000E158B">
        <w:rPr>
          <w:rFonts w:eastAsia="Times New Roman" w:cs="Arial"/>
          <w:color w:val="000000"/>
          <w:lang w:eastAsia="bg-BG"/>
        </w:rPr>
        <w:t>Кървавата диария с болки в областта на корема най-вероятно е била свързана с изключително високата доза сорбитол, съдържаща се в използваната лекарствена форма.</w:t>
      </w:r>
    </w:p>
    <w:p w14:paraId="774D0107" w14:textId="77777777" w:rsidR="000E158B" w:rsidRPr="000E158B" w:rsidRDefault="000E158B" w:rsidP="000E158B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6AACF734" w14:textId="3FD8B2B8" w:rsidR="000E158B" w:rsidRPr="000E158B" w:rsidRDefault="000E158B" w:rsidP="000E158B">
      <w:pPr>
        <w:pStyle w:val="Heading3"/>
        <w:rPr>
          <w:u w:val="single"/>
        </w:rPr>
      </w:pPr>
      <w:r w:rsidRPr="000E158B">
        <w:rPr>
          <w:u w:val="single"/>
        </w:rPr>
        <w:t>Мерки при предозиране</w:t>
      </w:r>
    </w:p>
    <w:p w14:paraId="0894644E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>При остро, значимо предозиране е необходимо изпразване на стомаха чрез стомашен лаваж или предизвикване на повръщане. Няма специфичен антидот за предозиране с пирацетам. Лечението на предозирането е симптоматично и може да включва хемодиализа. Ефективността на отделяне на пирацетам при диализа е 50 до 60%.</w:t>
      </w:r>
    </w:p>
    <w:p w14:paraId="69E21D57" w14:textId="77777777" w:rsidR="000E158B" w:rsidRPr="000E158B" w:rsidRDefault="000E158B" w:rsidP="000E158B"/>
    <w:p w14:paraId="02081B24" w14:textId="36FE76F4" w:rsidR="00395555" w:rsidRPr="00395555" w:rsidRDefault="002C50EE" w:rsidP="008A6AF2">
      <w:pPr>
        <w:pStyle w:val="Heading1"/>
      </w:pPr>
      <w:r>
        <w:t>5. ФАРМАКОЛОГИЧНИ СВОЙСТВА</w:t>
      </w:r>
    </w:p>
    <w:p w14:paraId="6339E404" w14:textId="15BA798B" w:rsidR="00875EEC" w:rsidRDefault="002C50EE" w:rsidP="005726E3">
      <w:pPr>
        <w:pStyle w:val="Heading2"/>
      </w:pPr>
      <w:r>
        <w:t>5.1. Фармакодинамични свойства</w:t>
      </w:r>
    </w:p>
    <w:p w14:paraId="2DD58118" w14:textId="72C64703" w:rsidR="000E158B" w:rsidRDefault="000E158B" w:rsidP="000E158B"/>
    <w:p w14:paraId="2513865D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 xml:space="preserve">Фармакотерапевтична група: Други психостимуланти и ноотропни средства, АТС код: </w:t>
      </w:r>
      <w:r w:rsidRPr="000E158B">
        <w:rPr>
          <w:rFonts w:eastAsia="Times New Roman" w:cs="Arial"/>
          <w:color w:val="000000"/>
          <w:lang w:val="en-US"/>
        </w:rPr>
        <w:t>N</w:t>
      </w:r>
      <w:r w:rsidRPr="000E158B">
        <w:rPr>
          <w:rFonts w:eastAsia="Times New Roman" w:cs="Arial"/>
          <w:color w:val="000000"/>
          <w:lang w:val="ru-RU"/>
        </w:rPr>
        <w:t>06</w:t>
      </w:r>
      <w:r w:rsidRPr="000E158B">
        <w:rPr>
          <w:rFonts w:eastAsia="Times New Roman" w:cs="Arial"/>
          <w:color w:val="000000"/>
          <w:lang w:val="en-US"/>
        </w:rPr>
        <w:t>BX</w:t>
      </w:r>
      <w:r w:rsidRPr="000E158B">
        <w:rPr>
          <w:rFonts w:eastAsia="Times New Roman" w:cs="Arial"/>
          <w:color w:val="000000"/>
          <w:lang w:val="ru-RU"/>
        </w:rPr>
        <w:t>03</w:t>
      </w:r>
    </w:p>
    <w:p w14:paraId="5D553566" w14:textId="77777777" w:rsidR="000E158B" w:rsidRPr="000E158B" w:rsidRDefault="000E158B" w:rsidP="000E158B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7916748D" w14:textId="7136C5F5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 xml:space="preserve">Активното вещество пирацетам е пиролидон (2-оксо-1-пиролидин-ацетамид), циклично производно на гама-аминомаслената киселина </w:t>
      </w:r>
      <w:r w:rsidRPr="000E158B">
        <w:rPr>
          <w:rFonts w:eastAsia="Times New Roman" w:cs="Arial"/>
          <w:color w:val="000000"/>
          <w:lang w:val="ru-RU"/>
        </w:rPr>
        <w:t>(</w:t>
      </w:r>
      <w:r w:rsidRPr="000E158B">
        <w:rPr>
          <w:rFonts w:eastAsia="Times New Roman" w:cs="Arial"/>
          <w:color w:val="000000"/>
          <w:lang w:val="en-US"/>
        </w:rPr>
        <w:t>GABA</w:t>
      </w:r>
      <w:r w:rsidRPr="000E158B">
        <w:rPr>
          <w:rFonts w:eastAsia="Times New Roman" w:cs="Arial"/>
          <w:color w:val="000000"/>
          <w:lang w:val="ru-RU"/>
        </w:rPr>
        <w:t>).</w:t>
      </w:r>
    </w:p>
    <w:p w14:paraId="6D822C19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>Пирацетам е ноотропно средство, което стимулира когнитивните процеси като способността за заучаване, паметта, вниманието и умствената работоспособност, без да оказва седативен и психостимулиращ ефект. Наличните данни предполагат, че основния механизъм на действие на пирацетам не е нито клетъчен, нито органоспецифичен. Пирацетам се свързва физически, в зависимост от дозата, с полярната глава на фосфолипидната мембрана, като предизвиква възстановяване на ламеларната структура на мембраната, характеризиращо се с образуване на подвижен лекарство-фосфолипиден комплекс. Това вероятно обяснява подобряването на мембранната устойчивост, възможността на мембраните и трансмембранни протеини да поддържат и възстановяват триизмерната структура, или да проявяват техния ефект.</w:t>
      </w:r>
    </w:p>
    <w:p w14:paraId="3C6E6B5A" w14:textId="77777777" w:rsidR="000E158B" w:rsidRPr="000E158B" w:rsidRDefault="000E158B" w:rsidP="000E158B">
      <w:pPr>
        <w:spacing w:line="240" w:lineRule="auto"/>
        <w:rPr>
          <w:rFonts w:eastAsia="Times New Roman" w:cs="Arial"/>
          <w:color w:val="000000"/>
          <w:lang w:eastAsia="bg-BG"/>
        </w:rPr>
      </w:pPr>
    </w:p>
    <w:p w14:paraId="35E2A40F" w14:textId="0D1D69BF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>Пирацетам има невронален и васкуларен ефект.</w:t>
      </w:r>
    </w:p>
    <w:p w14:paraId="5D9A8CEE" w14:textId="77777777" w:rsidR="000E158B" w:rsidRPr="000E158B" w:rsidRDefault="000E158B" w:rsidP="000E158B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52BC995B" w14:textId="28EE6B63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u w:val="single"/>
          <w:lang w:eastAsia="bg-BG"/>
        </w:rPr>
        <w:t>Невронален ефект</w:t>
      </w:r>
    </w:p>
    <w:p w14:paraId="285423F5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>Доказано е, че пирацетам променя скоростта на разпространението на възбудните процеси в мозъка, подобрява неврометаболизма.</w:t>
      </w:r>
    </w:p>
    <w:p w14:paraId="3EF4370F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 xml:space="preserve">На ниво неврони пирацетам подобрява невротрансмисията по различни пътища, предимно чрез постсинаптично моделиране на рецепторната плътност и активност. При животни и хора функциите, включени в познавателните процеси, като обучение, памет, </w:t>
      </w:r>
      <w:r w:rsidRPr="000E158B">
        <w:rPr>
          <w:rFonts w:eastAsia="Times New Roman" w:cs="Arial"/>
          <w:color w:val="000000"/>
          <w:lang w:eastAsia="bg-BG"/>
        </w:rPr>
        <w:lastRenderedPageBreak/>
        <w:t>внимание и съзнание са подобрени, както при нормалните индивиди, така и при състояния на недостатъчност, без проява на седативни и психостимулиращи ефекти. Пирацетам запазва и възстановява познавателните способности при животни и хора след различни увреждания на главния мозък, като хипоксия, интоксикация и електроконвулсивна терапия. При хипоксия той предпазва от увреждане мозъчната функция и дейност, оценено посредством енцефалография (ЕЕГ) и психометрични изследвания.</w:t>
      </w:r>
    </w:p>
    <w:p w14:paraId="39F1181C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>При недостатъчност на крьвоснабдяването или остра церебрална исхемия при болни с деменция пирацетам увеличава мозъчното потребление на кислород и глюкоза. Налява изразения вестибуларен нистагъм.</w:t>
      </w:r>
    </w:p>
    <w:p w14:paraId="3B9F415D" w14:textId="7319208D" w:rsidR="000E158B" w:rsidRPr="000E158B" w:rsidRDefault="000E158B" w:rsidP="000E158B">
      <w:pPr>
        <w:rPr>
          <w:rFonts w:cs="Arial"/>
        </w:rPr>
      </w:pPr>
    </w:p>
    <w:p w14:paraId="04CEB6D4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u w:val="single"/>
          <w:lang w:eastAsia="bg-BG"/>
        </w:rPr>
        <w:t>Васкуларен ефект</w:t>
      </w:r>
    </w:p>
    <w:p w14:paraId="0948A0FC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>Пирацетам въздейства на микроциркулацията в мозъка за сметка на подобряване на реологичните свойства на кръвта, като не оказва съдоразширяващо действие.</w:t>
      </w:r>
    </w:p>
    <w:p w14:paraId="42549F57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>Пирацетам проявява своя хемореологичен ефект върху тромбоцитите, еритроцитите и стената на съдовете чрез увеличаване на пластичността на еритроцитите и чрез намаляване на тромбоцитната агрегация, еритроцитната адхезия към стените на съдовете и капилярния вазоспазъм.</w:t>
      </w:r>
    </w:p>
    <w:p w14:paraId="4371A47F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>Ефекти върху еритроцитите</w:t>
      </w:r>
    </w:p>
    <w:p w14:paraId="79C07872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>При пациенти със сърповидно-клетъчна анемия пирацетам подобрява пластичността на еритроцитната мембрана, намалява вискозитета на кръвта и предпазва от образуване на формации.</w:t>
      </w:r>
    </w:p>
    <w:p w14:paraId="67D9A539" w14:textId="00FAF9D3" w:rsidR="000E158B" w:rsidRPr="000E158B" w:rsidRDefault="000E158B" w:rsidP="000E158B">
      <w:pPr>
        <w:pStyle w:val="ListParagraph"/>
        <w:numPr>
          <w:ilvl w:val="0"/>
          <w:numId w:val="40"/>
        </w:num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>Ефекти върху тромбоцитите</w:t>
      </w:r>
    </w:p>
    <w:p w14:paraId="23A466A2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 xml:space="preserve">Пирацетам потиска агрегацията на активираните тромбоцити. В открито проучване върху здрави доброволци и пациенти с феномена на Рейно, повишаването на дозата на пирацетам до 12 </w:t>
      </w:r>
      <w:r w:rsidRPr="000E158B">
        <w:rPr>
          <w:rFonts w:eastAsia="Times New Roman" w:cs="Arial"/>
          <w:color w:val="000000"/>
          <w:lang w:val="en-US"/>
        </w:rPr>
        <w:t>g</w:t>
      </w:r>
      <w:r w:rsidRPr="000E158B">
        <w:rPr>
          <w:rFonts w:eastAsia="Times New Roman" w:cs="Arial"/>
          <w:color w:val="000000"/>
          <w:lang w:val="ru-RU"/>
        </w:rPr>
        <w:t xml:space="preserve"> </w:t>
      </w:r>
      <w:r w:rsidRPr="000E158B">
        <w:rPr>
          <w:rFonts w:eastAsia="Times New Roman" w:cs="Arial"/>
          <w:color w:val="000000"/>
          <w:lang w:eastAsia="bg-BG"/>
        </w:rPr>
        <w:t xml:space="preserve">се свързва с дозозависимо намаление на функцията на тромбоцитите в сравнение със стойностите преди лечението (тест за агрегацията, индуцирана от аденозиндифосфат </w:t>
      </w:r>
      <w:r w:rsidRPr="000E158B">
        <w:rPr>
          <w:rFonts w:eastAsia="Times New Roman" w:cs="Arial"/>
          <w:color w:val="000000"/>
          <w:lang w:val="ru-RU"/>
        </w:rPr>
        <w:t>(</w:t>
      </w:r>
      <w:r w:rsidRPr="000E158B">
        <w:rPr>
          <w:rFonts w:eastAsia="Times New Roman" w:cs="Arial"/>
          <w:color w:val="000000"/>
          <w:lang w:val="en-US"/>
        </w:rPr>
        <w:t>ADP</w:t>
      </w:r>
      <w:r w:rsidRPr="000E158B">
        <w:rPr>
          <w:rFonts w:eastAsia="Times New Roman" w:cs="Arial"/>
          <w:color w:val="000000"/>
          <w:lang w:val="ru-RU"/>
        </w:rPr>
        <w:t xml:space="preserve">), </w:t>
      </w:r>
      <w:r w:rsidRPr="000E158B">
        <w:rPr>
          <w:rFonts w:eastAsia="Times New Roman" w:cs="Arial"/>
          <w:color w:val="000000"/>
          <w:lang w:eastAsia="bg-BG"/>
        </w:rPr>
        <w:t>колаген, епинефрин и освобождаването на бета-тромбоглобулина (бета</w:t>
      </w:r>
      <w:r w:rsidRPr="000E158B">
        <w:rPr>
          <w:rFonts w:eastAsia="Times New Roman" w:cs="Arial"/>
          <w:color w:val="000000"/>
          <w:lang w:val="ru-RU"/>
        </w:rPr>
        <w:t>-</w:t>
      </w:r>
      <w:r w:rsidRPr="000E158B">
        <w:rPr>
          <w:rFonts w:eastAsia="Times New Roman" w:cs="Arial"/>
          <w:color w:val="000000"/>
          <w:lang w:val="en-US"/>
        </w:rPr>
        <w:t>TG</w:t>
      </w:r>
      <w:r w:rsidRPr="000E158B">
        <w:rPr>
          <w:rFonts w:eastAsia="Times New Roman" w:cs="Arial"/>
          <w:color w:val="000000"/>
          <w:lang w:val="ru-RU"/>
        </w:rPr>
        <w:t xml:space="preserve">)), </w:t>
      </w:r>
      <w:r w:rsidRPr="000E158B">
        <w:rPr>
          <w:rFonts w:eastAsia="Times New Roman" w:cs="Arial"/>
          <w:color w:val="000000"/>
          <w:lang w:eastAsia="bg-BG"/>
        </w:rPr>
        <w:t>без значителна промяна в броя на тромбоцитите. В тези проучвания пирацетам удължава времето на кървене.</w:t>
      </w:r>
    </w:p>
    <w:p w14:paraId="7502100B" w14:textId="6D72DDE3" w:rsidR="000E158B" w:rsidRPr="000E158B" w:rsidRDefault="000E158B" w:rsidP="000E158B">
      <w:pPr>
        <w:pStyle w:val="ListParagraph"/>
        <w:numPr>
          <w:ilvl w:val="0"/>
          <w:numId w:val="40"/>
        </w:num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>Ефекти върху кръвоносните съдове</w:t>
      </w:r>
    </w:p>
    <w:p w14:paraId="6B2E62DD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>В проучвания върху животни пирацетам инхибира вазоспазъма и противодейства на ефекта на множество спазмогенни вещества. Той не притежава вазодилатиращо действие и не предизвиква феномен на „отнемане“, не намалява и не увеличава кръвотока, не притежава хипотензивен ефект. При здрави доброволци пирацетам намалява адхезията на еритроцитите към ендотела и оказва пряк стимулиращ ефект върху синтезата на простациклините в здравия ендотел.</w:t>
      </w:r>
    </w:p>
    <w:p w14:paraId="6D93B5A3" w14:textId="75BCDDC2" w:rsidR="000E158B" w:rsidRPr="000E158B" w:rsidRDefault="000E158B" w:rsidP="000E158B">
      <w:pPr>
        <w:pStyle w:val="ListParagraph"/>
        <w:numPr>
          <w:ilvl w:val="0"/>
          <w:numId w:val="40"/>
        </w:num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>Ефекти върху факторите на съсирването</w:t>
      </w:r>
    </w:p>
    <w:p w14:paraId="56AC2A12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 xml:space="preserve">При здрави доброволци, в сравнение със стойностите преди лечението, пирацетам в дози до 9,6 </w:t>
      </w:r>
      <w:r w:rsidRPr="000E158B">
        <w:rPr>
          <w:rFonts w:eastAsia="Times New Roman" w:cs="Arial"/>
          <w:color w:val="000000"/>
          <w:lang w:val="en-US"/>
        </w:rPr>
        <w:t>g</w:t>
      </w:r>
      <w:r w:rsidRPr="000E158B">
        <w:rPr>
          <w:rFonts w:eastAsia="Times New Roman" w:cs="Arial"/>
          <w:color w:val="000000"/>
          <w:lang w:val="ru-RU"/>
        </w:rPr>
        <w:t xml:space="preserve"> </w:t>
      </w:r>
      <w:r w:rsidRPr="000E158B">
        <w:rPr>
          <w:rFonts w:eastAsia="Times New Roman" w:cs="Arial"/>
          <w:color w:val="000000"/>
          <w:lang w:eastAsia="bg-BG"/>
        </w:rPr>
        <w:t xml:space="preserve">намалява плазмените нива на фибриногена и факторите на </w:t>
      </w:r>
      <w:proofErr w:type="spellStart"/>
      <w:r w:rsidRPr="000E158B">
        <w:rPr>
          <w:rFonts w:eastAsia="Times New Roman" w:cs="Arial"/>
          <w:color w:val="000000"/>
          <w:lang w:val="en-US"/>
        </w:rPr>
        <w:t>Willebrand</w:t>
      </w:r>
      <w:proofErr w:type="spellEnd"/>
      <w:r w:rsidRPr="000E158B">
        <w:rPr>
          <w:rFonts w:eastAsia="Times New Roman" w:cs="Arial"/>
          <w:color w:val="000000"/>
          <w:lang w:val="ru-RU"/>
        </w:rPr>
        <w:t xml:space="preserve"> (</w:t>
      </w:r>
      <w:r w:rsidRPr="000E158B">
        <w:rPr>
          <w:rFonts w:eastAsia="Times New Roman" w:cs="Arial"/>
          <w:color w:val="000000"/>
          <w:lang w:val="en-US"/>
        </w:rPr>
        <w:t>VIII</w:t>
      </w:r>
      <w:r w:rsidRPr="000E158B">
        <w:rPr>
          <w:rFonts w:eastAsia="Times New Roman" w:cs="Arial"/>
          <w:color w:val="000000"/>
          <w:lang w:val="ru-RU"/>
        </w:rPr>
        <w:t>:</w:t>
      </w:r>
      <w:r w:rsidRPr="000E158B">
        <w:rPr>
          <w:rFonts w:eastAsia="Times New Roman" w:cs="Arial"/>
          <w:color w:val="000000"/>
          <w:lang w:val="en-US"/>
        </w:rPr>
        <w:t>C</w:t>
      </w:r>
      <w:r w:rsidRPr="000E158B">
        <w:rPr>
          <w:rFonts w:eastAsia="Times New Roman" w:cs="Arial"/>
          <w:color w:val="000000"/>
          <w:lang w:val="ru-RU"/>
        </w:rPr>
        <w:t xml:space="preserve">; </w:t>
      </w:r>
      <w:r w:rsidRPr="000E158B">
        <w:rPr>
          <w:rFonts w:eastAsia="Times New Roman" w:cs="Arial"/>
          <w:color w:val="000000"/>
          <w:lang w:val="en-US"/>
        </w:rPr>
        <w:t>VIII</w:t>
      </w:r>
      <w:r w:rsidRPr="000E158B">
        <w:rPr>
          <w:rFonts w:eastAsia="Times New Roman" w:cs="Arial"/>
          <w:color w:val="000000"/>
          <w:lang w:val="ru-RU"/>
        </w:rPr>
        <w:t xml:space="preserve"> </w:t>
      </w:r>
      <w:r w:rsidRPr="000E158B">
        <w:rPr>
          <w:rFonts w:eastAsia="Times New Roman" w:cs="Arial"/>
          <w:color w:val="000000"/>
          <w:lang w:val="en-US"/>
        </w:rPr>
        <w:t>R</w:t>
      </w:r>
      <w:r w:rsidRPr="000E158B">
        <w:rPr>
          <w:rFonts w:eastAsia="Times New Roman" w:cs="Arial"/>
          <w:color w:val="000000"/>
          <w:lang w:val="ru-RU"/>
        </w:rPr>
        <w:t>:</w:t>
      </w:r>
      <w:r w:rsidRPr="000E158B">
        <w:rPr>
          <w:rFonts w:eastAsia="Times New Roman" w:cs="Arial"/>
          <w:color w:val="000000"/>
          <w:lang w:val="en-US"/>
        </w:rPr>
        <w:t>AG</w:t>
      </w:r>
      <w:r w:rsidRPr="000E158B">
        <w:rPr>
          <w:rFonts w:eastAsia="Times New Roman" w:cs="Arial"/>
          <w:color w:val="000000"/>
          <w:lang w:val="ru-RU"/>
        </w:rPr>
        <w:t xml:space="preserve">; </w:t>
      </w:r>
      <w:r w:rsidRPr="000E158B">
        <w:rPr>
          <w:rFonts w:eastAsia="Times New Roman" w:cs="Arial"/>
          <w:color w:val="000000"/>
          <w:lang w:val="en-US"/>
        </w:rPr>
        <w:t>VIIIR</w:t>
      </w:r>
      <w:r w:rsidRPr="000E158B">
        <w:rPr>
          <w:rFonts w:eastAsia="Times New Roman" w:cs="Arial"/>
          <w:color w:val="000000"/>
          <w:lang w:val="ru-RU"/>
        </w:rPr>
        <w:t>:</w:t>
      </w:r>
      <w:proofErr w:type="spellStart"/>
      <w:r w:rsidRPr="000E158B">
        <w:rPr>
          <w:rFonts w:eastAsia="Times New Roman" w:cs="Arial"/>
          <w:color w:val="000000"/>
          <w:lang w:val="en-US"/>
        </w:rPr>
        <w:t>vW</w:t>
      </w:r>
      <w:proofErr w:type="spellEnd"/>
      <w:r w:rsidRPr="000E158B">
        <w:rPr>
          <w:rFonts w:eastAsia="Times New Roman" w:cs="Arial"/>
          <w:color w:val="000000"/>
          <w:lang w:val="ru-RU"/>
        </w:rPr>
        <w:t xml:space="preserve"> (</w:t>
      </w:r>
      <w:r w:rsidRPr="000E158B">
        <w:rPr>
          <w:rFonts w:eastAsia="Times New Roman" w:cs="Arial"/>
          <w:color w:val="000000"/>
          <w:lang w:val="en-US"/>
        </w:rPr>
        <w:t>RCF</w:t>
      </w:r>
      <w:r w:rsidRPr="000E158B">
        <w:rPr>
          <w:rFonts w:eastAsia="Times New Roman" w:cs="Arial"/>
          <w:color w:val="000000"/>
          <w:lang w:val="ru-RU"/>
        </w:rPr>
        <w:t xml:space="preserve">)) </w:t>
      </w:r>
      <w:r w:rsidRPr="000E158B">
        <w:rPr>
          <w:rFonts w:eastAsia="Times New Roman" w:cs="Arial"/>
          <w:color w:val="000000"/>
          <w:lang w:val="en-US"/>
        </w:rPr>
        <w:t>c</w:t>
      </w:r>
      <w:r w:rsidRPr="000E158B">
        <w:rPr>
          <w:rFonts w:eastAsia="Times New Roman" w:cs="Arial"/>
          <w:color w:val="000000"/>
          <w:lang w:val="ru-RU"/>
        </w:rPr>
        <w:t xml:space="preserve"> 30 </w:t>
      </w:r>
      <w:r w:rsidRPr="000E158B">
        <w:rPr>
          <w:rFonts w:eastAsia="Times New Roman" w:cs="Arial"/>
          <w:color w:val="000000"/>
          <w:lang w:eastAsia="bg-BG"/>
        </w:rPr>
        <w:t xml:space="preserve">до </w:t>
      </w:r>
      <w:r w:rsidRPr="000E158B">
        <w:rPr>
          <w:rFonts w:eastAsia="Times New Roman" w:cs="Arial"/>
          <w:color w:val="000000"/>
          <w:lang w:val="ru-RU"/>
        </w:rPr>
        <w:t xml:space="preserve">40%, </w:t>
      </w:r>
      <w:r w:rsidRPr="000E158B">
        <w:rPr>
          <w:rFonts w:eastAsia="Times New Roman" w:cs="Arial"/>
          <w:color w:val="000000"/>
          <w:lang w:eastAsia="bg-BG"/>
        </w:rPr>
        <w:t xml:space="preserve">намалява плазмения вискозитет </w:t>
      </w:r>
      <w:r w:rsidRPr="000E158B">
        <w:rPr>
          <w:rFonts w:eastAsia="Times New Roman" w:cs="Arial"/>
          <w:i/>
          <w:iCs/>
          <w:color w:val="000000"/>
          <w:lang w:eastAsia="bg-BG"/>
        </w:rPr>
        <w:t>и</w:t>
      </w:r>
      <w:r w:rsidRPr="000E158B">
        <w:rPr>
          <w:rFonts w:eastAsia="Times New Roman" w:cs="Arial"/>
          <w:color w:val="000000"/>
          <w:lang w:eastAsia="bg-BG"/>
        </w:rPr>
        <w:t xml:space="preserve"> удължава времето на кървене. Друго проучване при здрави доброволци не показва статистически значима разлика между пирацетам и плацебо по отношение на ефектите му върху параметрите на хемостазата и времето на кървене.</w:t>
      </w:r>
    </w:p>
    <w:p w14:paraId="2602BEA8" w14:textId="77777777" w:rsidR="000E158B" w:rsidRPr="000E158B" w:rsidRDefault="000E158B" w:rsidP="000E158B"/>
    <w:p w14:paraId="346B622B" w14:textId="0DC8ECE0" w:rsidR="00875EEC" w:rsidRDefault="002C50EE" w:rsidP="005726E3">
      <w:pPr>
        <w:pStyle w:val="Heading2"/>
      </w:pPr>
      <w:r>
        <w:t>5.2. Фармакокинетични свойства</w:t>
      </w:r>
    </w:p>
    <w:p w14:paraId="703410BC" w14:textId="1872E174" w:rsidR="000E158B" w:rsidRDefault="000E158B" w:rsidP="000E158B"/>
    <w:p w14:paraId="3B641675" w14:textId="77777777" w:rsidR="000E158B" w:rsidRPr="000E158B" w:rsidRDefault="000E158B" w:rsidP="000E158B">
      <w:pPr>
        <w:pStyle w:val="Heading3"/>
        <w:rPr>
          <w:rFonts w:eastAsia="Times New Roman"/>
          <w:u w:val="single"/>
        </w:rPr>
      </w:pPr>
      <w:r w:rsidRPr="000E158B">
        <w:rPr>
          <w:rFonts w:eastAsia="Times New Roman"/>
          <w:u w:val="single"/>
          <w:lang w:eastAsia="bg-BG"/>
        </w:rPr>
        <w:t>Абсорбция</w:t>
      </w:r>
    </w:p>
    <w:p w14:paraId="09BE6810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 xml:space="preserve">Пирацетам се абсорбира бързо и пълно след перорален прием. Бионаличностга му е около 100%. Максималните плазмени концентрации се достигат средно 1 час след прием </w:t>
      </w:r>
      <w:r w:rsidRPr="000E158B">
        <w:rPr>
          <w:rFonts w:eastAsia="Times New Roman" w:cs="Arial"/>
          <w:color w:val="000000"/>
          <w:lang w:eastAsia="bg-BG"/>
        </w:rPr>
        <w:lastRenderedPageBreak/>
        <w:t xml:space="preserve">на перорална доза от 2 </w:t>
      </w:r>
      <w:r w:rsidRPr="000E158B">
        <w:rPr>
          <w:rFonts w:eastAsia="Times New Roman" w:cs="Arial"/>
          <w:color w:val="000000"/>
          <w:lang w:val="en-US"/>
        </w:rPr>
        <w:t>g</w:t>
      </w:r>
      <w:r w:rsidRPr="000E158B">
        <w:rPr>
          <w:rFonts w:eastAsia="Times New Roman" w:cs="Arial"/>
          <w:color w:val="000000"/>
          <w:lang w:val="ru-RU"/>
        </w:rPr>
        <w:t xml:space="preserve"> </w:t>
      </w:r>
      <w:r w:rsidRPr="000E158B">
        <w:rPr>
          <w:rFonts w:eastAsia="Times New Roman" w:cs="Arial"/>
          <w:color w:val="000000"/>
          <w:lang w:eastAsia="bg-BG"/>
        </w:rPr>
        <w:t>и са със стойности от порядъка на 40-60 μ</w:t>
      </w:r>
      <w:r w:rsidRPr="000E158B">
        <w:rPr>
          <w:rFonts w:eastAsia="Times New Roman" w:cs="Arial"/>
          <w:color w:val="000000"/>
          <w:lang w:val="en-US"/>
        </w:rPr>
        <w:t>g</w:t>
      </w:r>
      <w:r w:rsidRPr="000E158B">
        <w:rPr>
          <w:rFonts w:eastAsia="Times New Roman" w:cs="Arial"/>
          <w:color w:val="000000"/>
          <w:lang w:val="ru-RU"/>
        </w:rPr>
        <w:t>/</w:t>
      </w:r>
      <w:r w:rsidRPr="000E158B">
        <w:rPr>
          <w:rFonts w:eastAsia="Times New Roman" w:cs="Arial"/>
          <w:color w:val="000000"/>
          <w:lang w:val="en-US"/>
        </w:rPr>
        <w:t>ml</w:t>
      </w:r>
      <w:r w:rsidRPr="000E158B">
        <w:rPr>
          <w:rFonts w:eastAsia="Times New Roman" w:cs="Arial"/>
          <w:color w:val="000000"/>
          <w:lang w:val="ru-RU"/>
        </w:rPr>
        <w:t xml:space="preserve">. </w:t>
      </w:r>
      <w:r w:rsidRPr="000E158B">
        <w:rPr>
          <w:rFonts w:eastAsia="Times New Roman" w:cs="Arial"/>
          <w:color w:val="000000"/>
          <w:lang w:eastAsia="bg-BG"/>
        </w:rPr>
        <w:t xml:space="preserve">След единична доза от 3,2 </w:t>
      </w:r>
      <w:r w:rsidRPr="000E158B">
        <w:rPr>
          <w:rFonts w:eastAsia="Times New Roman" w:cs="Arial"/>
          <w:color w:val="000000"/>
          <w:lang w:val="en-US"/>
        </w:rPr>
        <w:t>g</w:t>
      </w:r>
      <w:r w:rsidRPr="000E158B">
        <w:rPr>
          <w:rFonts w:eastAsia="Times New Roman" w:cs="Arial"/>
          <w:color w:val="000000"/>
          <w:lang w:val="ru-RU"/>
        </w:rPr>
        <w:t xml:space="preserve"> </w:t>
      </w:r>
      <w:r w:rsidRPr="000E158B">
        <w:rPr>
          <w:rFonts w:eastAsia="Times New Roman" w:cs="Arial"/>
          <w:color w:val="000000"/>
          <w:lang w:eastAsia="bg-BG"/>
        </w:rPr>
        <w:t xml:space="preserve">и многократно приложение три пъти дневно на доза от 3,2 </w:t>
      </w:r>
      <w:r w:rsidRPr="000E158B">
        <w:rPr>
          <w:rFonts w:eastAsia="Times New Roman" w:cs="Arial"/>
          <w:color w:val="000000"/>
          <w:lang w:val="en-US"/>
        </w:rPr>
        <w:t>g</w:t>
      </w:r>
      <w:r w:rsidRPr="000E158B">
        <w:rPr>
          <w:rFonts w:eastAsia="Times New Roman" w:cs="Arial"/>
          <w:color w:val="000000"/>
          <w:lang w:val="ru-RU"/>
        </w:rPr>
        <w:t xml:space="preserve"> </w:t>
      </w:r>
      <w:r w:rsidRPr="000E158B">
        <w:rPr>
          <w:rFonts w:eastAsia="Times New Roman" w:cs="Arial"/>
          <w:color w:val="000000"/>
          <w:lang w:eastAsia="bg-BG"/>
        </w:rPr>
        <w:t>плазмените концентрации са съответно 84 μ</w:t>
      </w:r>
      <w:r w:rsidRPr="000E158B">
        <w:rPr>
          <w:rFonts w:eastAsia="Times New Roman" w:cs="Arial"/>
          <w:color w:val="000000"/>
          <w:lang w:val="en-US"/>
        </w:rPr>
        <w:t>g</w:t>
      </w:r>
      <w:r w:rsidRPr="000E158B">
        <w:rPr>
          <w:rFonts w:eastAsia="Times New Roman" w:cs="Arial"/>
          <w:color w:val="000000"/>
          <w:lang w:val="ru-RU"/>
        </w:rPr>
        <w:t>/</w:t>
      </w:r>
      <w:r w:rsidRPr="000E158B">
        <w:rPr>
          <w:rFonts w:eastAsia="Times New Roman" w:cs="Arial"/>
          <w:color w:val="000000"/>
          <w:lang w:val="en-US"/>
        </w:rPr>
        <w:t>ml</w:t>
      </w:r>
      <w:r w:rsidRPr="000E158B">
        <w:rPr>
          <w:rFonts w:eastAsia="Times New Roman" w:cs="Arial"/>
          <w:color w:val="000000"/>
          <w:lang w:val="ru-RU"/>
        </w:rPr>
        <w:t xml:space="preserve"> </w:t>
      </w:r>
      <w:r w:rsidRPr="000E158B">
        <w:rPr>
          <w:rFonts w:eastAsia="Times New Roman" w:cs="Arial"/>
          <w:color w:val="000000"/>
          <w:lang w:eastAsia="bg-BG"/>
        </w:rPr>
        <w:t>и 115 μ</w:t>
      </w:r>
      <w:r w:rsidRPr="000E158B">
        <w:rPr>
          <w:rFonts w:eastAsia="Times New Roman" w:cs="Arial"/>
          <w:color w:val="000000"/>
          <w:lang w:val="en-US"/>
        </w:rPr>
        <w:t>g</w:t>
      </w:r>
      <w:r w:rsidRPr="000E158B">
        <w:rPr>
          <w:rFonts w:eastAsia="Times New Roman" w:cs="Arial"/>
          <w:color w:val="000000"/>
          <w:lang w:val="ru-RU"/>
        </w:rPr>
        <w:t>/</w:t>
      </w:r>
      <w:r w:rsidRPr="000E158B">
        <w:rPr>
          <w:rFonts w:eastAsia="Times New Roman" w:cs="Arial"/>
          <w:color w:val="000000"/>
          <w:lang w:val="en-US"/>
        </w:rPr>
        <w:t>ml</w:t>
      </w:r>
      <w:r w:rsidRPr="000E158B">
        <w:rPr>
          <w:rFonts w:eastAsia="Times New Roman" w:cs="Arial"/>
          <w:color w:val="000000"/>
          <w:lang w:val="ru-RU"/>
        </w:rPr>
        <w:t xml:space="preserve">. </w:t>
      </w:r>
      <w:r w:rsidRPr="000E158B">
        <w:rPr>
          <w:rFonts w:eastAsia="Times New Roman" w:cs="Arial"/>
          <w:color w:val="000000"/>
          <w:lang w:eastAsia="bg-BG"/>
        </w:rPr>
        <w:t>Постоянни плазмени концентрации се достигат в рамките на 3 дни след приема.</w:t>
      </w:r>
    </w:p>
    <w:p w14:paraId="68AAF451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 xml:space="preserve">Храната не оказва ефект върху степента на резорбция, но намалява плазмените концентрации със 17% и увеличава времето за тяхното достигане </w:t>
      </w:r>
      <w:r w:rsidRPr="000E158B">
        <w:rPr>
          <w:rFonts w:eastAsia="Times New Roman" w:cs="Arial"/>
          <w:color w:val="000000"/>
          <w:lang w:val="ru-RU"/>
        </w:rPr>
        <w:t>(</w:t>
      </w:r>
      <w:proofErr w:type="spellStart"/>
      <w:r w:rsidRPr="000E158B">
        <w:rPr>
          <w:rFonts w:eastAsia="Times New Roman" w:cs="Arial"/>
          <w:color w:val="000000"/>
          <w:lang w:val="en-US"/>
        </w:rPr>
        <w:t>t</w:t>
      </w:r>
      <w:r w:rsidRPr="000E158B">
        <w:rPr>
          <w:rFonts w:eastAsia="Times New Roman" w:cs="Arial"/>
          <w:color w:val="000000"/>
          <w:vertAlign w:val="subscript"/>
          <w:lang w:val="en-US"/>
        </w:rPr>
        <w:t>max</w:t>
      </w:r>
      <w:proofErr w:type="spellEnd"/>
      <w:r w:rsidRPr="000E158B">
        <w:rPr>
          <w:rFonts w:eastAsia="Times New Roman" w:cs="Arial"/>
          <w:color w:val="000000"/>
          <w:lang w:val="ru-RU"/>
        </w:rPr>
        <w:t xml:space="preserve">) </w:t>
      </w:r>
      <w:r w:rsidRPr="000E158B">
        <w:rPr>
          <w:rFonts w:eastAsia="Times New Roman" w:cs="Arial"/>
          <w:color w:val="000000"/>
          <w:lang w:eastAsia="bg-BG"/>
        </w:rPr>
        <w:t>до 1,5 часа след приема.</w:t>
      </w:r>
    </w:p>
    <w:p w14:paraId="7CD1BDDA" w14:textId="77777777" w:rsidR="000E158B" w:rsidRPr="000E158B" w:rsidRDefault="000E158B" w:rsidP="000E158B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016BC4B6" w14:textId="027C7CF0" w:rsidR="000E158B" w:rsidRPr="000E158B" w:rsidRDefault="000E158B" w:rsidP="000E158B">
      <w:pPr>
        <w:pStyle w:val="Heading3"/>
        <w:rPr>
          <w:rFonts w:eastAsia="Times New Roman"/>
          <w:u w:val="single"/>
        </w:rPr>
      </w:pPr>
      <w:r w:rsidRPr="000E158B">
        <w:rPr>
          <w:rFonts w:eastAsia="Times New Roman"/>
          <w:u w:val="single"/>
          <w:lang w:eastAsia="bg-BG"/>
        </w:rPr>
        <w:t>Разпределение</w:t>
      </w:r>
    </w:p>
    <w:p w14:paraId="1E662235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>Пирацетам не се свързва с плазмените протеини. Обемът на разпределение е приблизително 0,6</w:t>
      </w:r>
      <w:r w:rsidRPr="000E158B">
        <w:rPr>
          <w:rFonts w:eastAsia="Times New Roman" w:cs="Arial"/>
          <w:color w:val="000000"/>
          <w:lang w:val="ru-RU"/>
        </w:rPr>
        <w:t>1/</w:t>
      </w:r>
      <w:r w:rsidRPr="000E158B">
        <w:rPr>
          <w:rFonts w:eastAsia="Times New Roman" w:cs="Arial"/>
          <w:color w:val="000000"/>
          <w:lang w:val="en-US"/>
        </w:rPr>
        <w:t>kg</w:t>
      </w:r>
      <w:r w:rsidRPr="000E158B">
        <w:rPr>
          <w:rFonts w:eastAsia="Times New Roman" w:cs="Arial"/>
          <w:color w:val="000000"/>
          <w:lang w:val="ru-RU"/>
        </w:rPr>
        <w:t xml:space="preserve">. </w:t>
      </w:r>
      <w:r w:rsidRPr="000E158B">
        <w:rPr>
          <w:rFonts w:eastAsia="Times New Roman" w:cs="Arial"/>
          <w:color w:val="000000"/>
          <w:lang w:eastAsia="bg-BG"/>
        </w:rPr>
        <w:t xml:space="preserve">Разпределя се във всички тъкани и органи, с изключение на мастната тъкан, прониква през хематоенцефалната и плацентарна бариери, и през мембраните на отделни еритроцити. Избирателно се натрупва в кората на главния мозък, предимно в челния, теменния и тиловия дял, в малкия мозък и базалните ганглии. В цереброспиналната течност </w:t>
      </w:r>
      <w:proofErr w:type="spellStart"/>
      <w:r w:rsidRPr="000E158B">
        <w:rPr>
          <w:rFonts w:eastAsia="Times New Roman" w:cs="Arial"/>
          <w:color w:val="000000"/>
          <w:lang w:val="en-US"/>
        </w:rPr>
        <w:t>t</w:t>
      </w:r>
      <w:r w:rsidRPr="000E158B">
        <w:rPr>
          <w:rFonts w:eastAsia="Times New Roman" w:cs="Arial"/>
          <w:color w:val="000000"/>
          <w:vertAlign w:val="subscript"/>
          <w:lang w:val="en-US"/>
        </w:rPr>
        <w:t>max</w:t>
      </w:r>
      <w:proofErr w:type="spellEnd"/>
      <w:r w:rsidRPr="000E158B">
        <w:rPr>
          <w:rFonts w:eastAsia="Times New Roman" w:cs="Arial"/>
          <w:color w:val="000000"/>
          <w:lang w:val="ru-RU"/>
        </w:rPr>
        <w:t xml:space="preserve"> </w:t>
      </w:r>
      <w:r w:rsidRPr="000E158B">
        <w:rPr>
          <w:rFonts w:eastAsia="Times New Roman" w:cs="Arial"/>
          <w:color w:val="000000"/>
          <w:lang w:eastAsia="bg-BG"/>
        </w:rPr>
        <w:t>се достига около 5 часа след приема, а времето на полуживот е около 8,5 часа..</w:t>
      </w:r>
    </w:p>
    <w:p w14:paraId="1F9646EF" w14:textId="77777777" w:rsidR="000E158B" w:rsidRPr="000E158B" w:rsidRDefault="000E158B" w:rsidP="000E158B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4F3B058C" w14:textId="156D5D05" w:rsidR="000E158B" w:rsidRPr="000E158B" w:rsidRDefault="000E158B" w:rsidP="000E158B">
      <w:pPr>
        <w:pStyle w:val="Heading3"/>
        <w:rPr>
          <w:rFonts w:eastAsia="Times New Roman"/>
          <w:u w:val="single"/>
        </w:rPr>
      </w:pPr>
      <w:r w:rsidRPr="000E158B">
        <w:rPr>
          <w:rFonts w:eastAsia="Times New Roman"/>
          <w:u w:val="single"/>
          <w:lang w:eastAsia="bg-BG"/>
        </w:rPr>
        <w:t>Биотрансформация</w:t>
      </w:r>
    </w:p>
    <w:p w14:paraId="0A3FDB03" w14:textId="2B50FF3C" w:rsidR="000E158B" w:rsidRPr="000E158B" w:rsidRDefault="000E158B" w:rsidP="000E158B">
      <w:pPr>
        <w:rPr>
          <w:rFonts w:eastAsia="Times New Roman" w:cs="Arial"/>
          <w:color w:val="000000"/>
          <w:lang w:eastAsia="bg-BG"/>
        </w:rPr>
      </w:pPr>
      <w:r w:rsidRPr="000E158B">
        <w:rPr>
          <w:rFonts w:eastAsia="Times New Roman" w:cs="Arial"/>
          <w:color w:val="000000"/>
          <w:lang w:eastAsia="bg-BG"/>
        </w:rPr>
        <w:t>Пирацетам не се метаболизира в организма. Липсата на метаболизъм обяснява удълженото плазмено време на полуживот при пациенти с анурия и високото му съдържание в урината.</w:t>
      </w:r>
    </w:p>
    <w:p w14:paraId="5D5C7DDB" w14:textId="40552B53" w:rsidR="000E158B" w:rsidRPr="000E158B" w:rsidRDefault="000E158B" w:rsidP="000E158B">
      <w:pPr>
        <w:rPr>
          <w:rFonts w:eastAsia="Times New Roman" w:cs="Arial"/>
          <w:color w:val="000000"/>
          <w:lang w:eastAsia="bg-BG"/>
        </w:rPr>
      </w:pPr>
    </w:p>
    <w:p w14:paraId="6E340F4B" w14:textId="77777777" w:rsidR="000E158B" w:rsidRPr="000E158B" w:rsidRDefault="000E158B" w:rsidP="000E158B">
      <w:pPr>
        <w:pStyle w:val="Heading3"/>
        <w:rPr>
          <w:rFonts w:eastAsia="Times New Roman"/>
          <w:u w:val="single"/>
        </w:rPr>
      </w:pPr>
      <w:r w:rsidRPr="000E158B">
        <w:rPr>
          <w:rFonts w:eastAsia="Times New Roman"/>
          <w:u w:val="single"/>
          <w:lang w:eastAsia="bg-BG"/>
        </w:rPr>
        <w:t>Елиминиране</w:t>
      </w:r>
    </w:p>
    <w:p w14:paraId="5E3B9A45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 xml:space="preserve">Екскретира се в непроменен вид с урината. Плазменият полуживот на пирацетам е около 5 часа, както след интравенозно, така и след перорално приложение. Общият телесен клирънс е 80- 90 </w:t>
      </w:r>
      <w:r w:rsidRPr="000E158B">
        <w:rPr>
          <w:rFonts w:eastAsia="Times New Roman" w:cs="Arial"/>
          <w:color w:val="000000"/>
          <w:lang w:val="en-US"/>
        </w:rPr>
        <w:t>ml</w:t>
      </w:r>
      <w:r w:rsidRPr="000E158B">
        <w:rPr>
          <w:rFonts w:eastAsia="Times New Roman" w:cs="Arial"/>
          <w:color w:val="000000"/>
          <w:lang w:val="ru-RU"/>
        </w:rPr>
        <w:t>/</w:t>
      </w:r>
      <w:r w:rsidRPr="000E158B">
        <w:rPr>
          <w:rFonts w:eastAsia="Times New Roman" w:cs="Arial"/>
          <w:color w:val="000000"/>
          <w:lang w:val="en-US"/>
        </w:rPr>
        <w:t>min</w:t>
      </w:r>
      <w:r w:rsidRPr="000E158B">
        <w:rPr>
          <w:rFonts w:eastAsia="Times New Roman" w:cs="Arial"/>
          <w:color w:val="000000"/>
          <w:lang w:val="ru-RU"/>
        </w:rPr>
        <w:t xml:space="preserve">. </w:t>
      </w:r>
      <w:r w:rsidRPr="000E158B">
        <w:rPr>
          <w:rFonts w:eastAsia="Times New Roman" w:cs="Arial"/>
          <w:color w:val="000000"/>
          <w:lang w:eastAsia="bg-BG"/>
        </w:rPr>
        <w:t>Тридесет часа след приема се излъчва през бъбреците в около 80-100% от приложената доза. При бъбречна недостатъчност плазменият полуживот се удължава. Отделя се чрез гломерулна филтрация.</w:t>
      </w:r>
    </w:p>
    <w:p w14:paraId="7B38C7FE" w14:textId="77777777" w:rsidR="000E158B" w:rsidRPr="000E158B" w:rsidRDefault="000E158B" w:rsidP="000E158B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2F9A23CE" w14:textId="19BCCE08" w:rsidR="000E158B" w:rsidRPr="000E158B" w:rsidRDefault="000E158B" w:rsidP="000E158B">
      <w:pPr>
        <w:pStyle w:val="Heading3"/>
        <w:rPr>
          <w:rFonts w:eastAsia="Times New Roman"/>
          <w:u w:val="single"/>
        </w:rPr>
      </w:pPr>
      <w:r w:rsidRPr="000E158B">
        <w:rPr>
          <w:rFonts w:eastAsia="Times New Roman"/>
          <w:u w:val="single"/>
          <w:lang w:eastAsia="bg-BG"/>
        </w:rPr>
        <w:t>Линейност/нелинейност</w:t>
      </w:r>
    </w:p>
    <w:p w14:paraId="475C6E67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 xml:space="preserve">Фармакокинетиката на пирацетам има линеен характер в дозовия диапазон 0,8-12 </w:t>
      </w:r>
      <w:r w:rsidRPr="000E158B">
        <w:rPr>
          <w:rFonts w:eastAsia="Times New Roman" w:cs="Arial"/>
          <w:color w:val="000000"/>
          <w:lang w:val="en-US"/>
        </w:rPr>
        <w:t>g</w:t>
      </w:r>
      <w:r w:rsidRPr="000E158B">
        <w:rPr>
          <w:rFonts w:eastAsia="Times New Roman" w:cs="Arial"/>
          <w:color w:val="000000"/>
          <w:lang w:val="ru-RU"/>
        </w:rPr>
        <w:t xml:space="preserve">, </w:t>
      </w:r>
      <w:r w:rsidRPr="000E158B">
        <w:rPr>
          <w:rFonts w:eastAsia="Times New Roman" w:cs="Arial"/>
          <w:color w:val="000000"/>
          <w:lang w:eastAsia="bg-BG"/>
        </w:rPr>
        <w:t xml:space="preserve">която не зависи от времето и е с ниска интраиндивидуална вариабилност за широкия диапазон. Това е в съответствие с високия премеабилитет, високата разтворимост </w:t>
      </w:r>
      <w:r w:rsidRPr="000E158B">
        <w:rPr>
          <w:rFonts w:eastAsia="Times New Roman" w:cs="Arial"/>
          <w:i/>
          <w:iCs/>
          <w:color w:val="000000"/>
          <w:lang w:eastAsia="bg-BG"/>
        </w:rPr>
        <w:t>и</w:t>
      </w:r>
      <w:r w:rsidRPr="000E158B">
        <w:rPr>
          <w:rFonts w:eastAsia="Times New Roman" w:cs="Arial"/>
          <w:color w:val="000000"/>
          <w:lang w:eastAsia="bg-BG"/>
        </w:rPr>
        <w:t xml:space="preserve"> минималния метаболизъм на пирацетам.</w:t>
      </w:r>
    </w:p>
    <w:p w14:paraId="3434ECF3" w14:textId="77777777" w:rsidR="000E158B" w:rsidRPr="000E158B" w:rsidRDefault="000E158B" w:rsidP="000E158B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400433B8" w14:textId="4C5D593A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u w:val="single"/>
          <w:lang w:eastAsia="bg-BG"/>
        </w:rPr>
        <w:t>Пол</w:t>
      </w:r>
    </w:p>
    <w:p w14:paraId="7C40EC90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 xml:space="preserve">В проучване за биоеквивалентност при доза от 2,4 </w:t>
      </w:r>
      <w:r w:rsidRPr="000E158B">
        <w:rPr>
          <w:rFonts w:eastAsia="Times New Roman" w:cs="Arial"/>
          <w:color w:val="000000"/>
          <w:lang w:val="en-US"/>
        </w:rPr>
        <w:t>g</w:t>
      </w:r>
      <w:r w:rsidRPr="000E158B">
        <w:rPr>
          <w:rFonts w:eastAsia="Times New Roman" w:cs="Arial"/>
          <w:color w:val="000000"/>
          <w:lang w:val="ru-RU"/>
        </w:rPr>
        <w:t xml:space="preserve"> </w:t>
      </w:r>
      <w:proofErr w:type="spellStart"/>
      <w:r w:rsidRPr="000E158B">
        <w:rPr>
          <w:rFonts w:eastAsia="Times New Roman" w:cs="Arial"/>
          <w:color w:val="000000"/>
          <w:lang w:val="en-US"/>
        </w:rPr>
        <w:t>C</w:t>
      </w:r>
      <w:r w:rsidRPr="000E158B">
        <w:rPr>
          <w:rFonts w:eastAsia="Times New Roman" w:cs="Arial"/>
          <w:color w:val="000000"/>
          <w:vertAlign w:val="subscript"/>
          <w:lang w:val="en-US"/>
        </w:rPr>
        <w:t>max</w:t>
      </w:r>
      <w:proofErr w:type="spellEnd"/>
      <w:r w:rsidRPr="000E158B">
        <w:rPr>
          <w:rFonts w:eastAsia="Times New Roman" w:cs="Arial"/>
          <w:color w:val="000000"/>
          <w:lang w:val="ru-RU"/>
        </w:rPr>
        <w:t xml:space="preserve"> </w:t>
      </w:r>
      <w:r w:rsidRPr="000E158B">
        <w:rPr>
          <w:rFonts w:eastAsia="Times New Roman" w:cs="Arial"/>
          <w:color w:val="000000"/>
          <w:lang w:eastAsia="bg-BG"/>
        </w:rPr>
        <w:t xml:space="preserve">и </w:t>
      </w:r>
      <w:r w:rsidRPr="000E158B">
        <w:rPr>
          <w:rFonts w:eastAsia="Times New Roman" w:cs="Arial"/>
          <w:color w:val="000000"/>
          <w:lang w:val="en-US"/>
        </w:rPr>
        <w:t>AUC</w:t>
      </w:r>
      <w:r w:rsidRPr="000E158B">
        <w:rPr>
          <w:rFonts w:eastAsia="Times New Roman" w:cs="Arial"/>
          <w:color w:val="000000"/>
          <w:lang w:val="ru-RU"/>
        </w:rPr>
        <w:t xml:space="preserve"> </w:t>
      </w:r>
      <w:r w:rsidRPr="000E158B">
        <w:rPr>
          <w:rFonts w:eastAsia="Times New Roman" w:cs="Arial"/>
          <w:color w:val="000000"/>
          <w:lang w:eastAsia="bg-BG"/>
        </w:rPr>
        <w:t>са приблизително 30% по- високи при жени (</w:t>
      </w:r>
      <w:r w:rsidRPr="000E158B">
        <w:rPr>
          <w:rFonts w:eastAsia="Times New Roman" w:cs="Arial"/>
          <w:color w:val="000000"/>
          <w:lang w:val="en-US"/>
        </w:rPr>
        <w:t>n</w:t>
      </w:r>
      <w:r w:rsidRPr="000E158B">
        <w:rPr>
          <w:rFonts w:eastAsia="Times New Roman" w:cs="Arial"/>
          <w:color w:val="000000"/>
          <w:lang w:val="ru-RU"/>
        </w:rPr>
        <w:t>=</w:t>
      </w:r>
      <w:r w:rsidRPr="000E158B">
        <w:rPr>
          <w:rFonts w:eastAsia="Times New Roman" w:cs="Arial"/>
          <w:color w:val="000000"/>
          <w:lang w:eastAsia="bg-BG"/>
        </w:rPr>
        <w:t>6), в сравнение с мъжете (</w:t>
      </w:r>
      <w:r w:rsidRPr="000E158B">
        <w:rPr>
          <w:rFonts w:eastAsia="Times New Roman" w:cs="Arial"/>
          <w:color w:val="000000"/>
          <w:lang w:val="en-US"/>
        </w:rPr>
        <w:t>n</w:t>
      </w:r>
      <w:r w:rsidRPr="000E158B">
        <w:rPr>
          <w:rFonts w:eastAsia="Times New Roman" w:cs="Arial"/>
          <w:color w:val="000000"/>
          <w:lang w:val="ru-RU"/>
        </w:rPr>
        <w:t>=</w:t>
      </w:r>
      <w:r w:rsidRPr="000E158B">
        <w:rPr>
          <w:rFonts w:eastAsia="Times New Roman" w:cs="Arial"/>
          <w:color w:val="000000"/>
          <w:lang w:eastAsia="bg-BG"/>
        </w:rPr>
        <w:t>6). Въпреки това стойностите на клирънса в зависимост от телесното тегло са сравними.</w:t>
      </w:r>
    </w:p>
    <w:p w14:paraId="6C5A58CA" w14:textId="77777777" w:rsidR="000E158B" w:rsidRPr="000E158B" w:rsidRDefault="000E158B" w:rsidP="000E158B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61C03E88" w14:textId="6D72E8D0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u w:val="single"/>
          <w:lang w:eastAsia="bg-BG"/>
        </w:rPr>
        <w:t>Раса</w:t>
      </w:r>
    </w:p>
    <w:p w14:paraId="272BC8BD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>Не са провеждани фармакокинетични проучвания за расови различия. Кръстосано сравняване при проучване, включващо представители на бялата и азиатската раса показва, че фармакокинетиката на пирацетам е сравнима при двете раси. Тъй като елиминирането на пирацетам се извършва предимно чрез бъбреците, а между представителите на отделните раси не съществуват значими различия по отношение на креатининовия клирънс не се очакват фармакокинетични различия, дължащи се на расата.</w:t>
      </w:r>
    </w:p>
    <w:p w14:paraId="508B1D12" w14:textId="77777777" w:rsidR="000E158B" w:rsidRPr="000E158B" w:rsidRDefault="000E158B" w:rsidP="000E158B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55C0D2A0" w14:textId="610D2681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u w:val="single"/>
          <w:lang w:eastAsia="bg-BG"/>
        </w:rPr>
        <w:lastRenderedPageBreak/>
        <w:t>Специални популации пациенти</w:t>
      </w:r>
    </w:p>
    <w:p w14:paraId="54A48AF8" w14:textId="77777777" w:rsidR="000E158B" w:rsidRPr="000E158B" w:rsidRDefault="000E158B" w:rsidP="000E158B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615D2767" w14:textId="03E71F33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u w:val="single"/>
          <w:lang w:eastAsia="bg-BG"/>
        </w:rPr>
        <w:t>Старческа възраст</w:t>
      </w:r>
    </w:p>
    <w:p w14:paraId="4DBD8E1B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>При пациенти в старческа възраст времето на полуживот е удължено, което е свързано с намалената бъбречна функция при тази група пациенти (вж. точка 4.2 Дозировка).</w:t>
      </w:r>
    </w:p>
    <w:p w14:paraId="4D64790E" w14:textId="77777777" w:rsidR="000E158B" w:rsidRPr="000E158B" w:rsidRDefault="000E158B" w:rsidP="000E158B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7C018D07" w14:textId="477422B6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u w:val="single"/>
          <w:lang w:eastAsia="bg-BG"/>
        </w:rPr>
        <w:t>Педиатрична популация</w:t>
      </w:r>
    </w:p>
    <w:p w14:paraId="628C42F9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>Не са провеждани фармакокинетични проучвания при деца.</w:t>
      </w:r>
    </w:p>
    <w:p w14:paraId="6340388C" w14:textId="77777777" w:rsidR="000E158B" w:rsidRPr="000E158B" w:rsidRDefault="000E158B" w:rsidP="000E158B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39F226FF" w14:textId="2284FF3B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u w:val="single"/>
          <w:lang w:eastAsia="bg-BG"/>
        </w:rPr>
        <w:t>Бъбречно увреждане</w:t>
      </w:r>
    </w:p>
    <w:p w14:paraId="19CEC4A1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>Клирънсът на пирацетам корелира с креатининовия клирънс. Ето защо се препоръчва адаптиране на дозата в зависимост от креатининовия клирънс при пациенти с бъбречно увреждане (вж. точка 4.2 Дозировка). При пациенти с анурия с терминален стадий на бъбречна недостатъчност времето на полуживот на пирацетам е удължено до 59 часа. По време на обичайната 4-часова диализна процедура фракционно се отделят 50 до 60% от пирацетам.</w:t>
      </w:r>
    </w:p>
    <w:p w14:paraId="1E035A4B" w14:textId="77777777" w:rsidR="000E158B" w:rsidRPr="000E158B" w:rsidRDefault="000E158B" w:rsidP="000E158B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2C5A0C9C" w14:textId="31C642F4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u w:val="single"/>
          <w:lang w:eastAsia="bg-BG"/>
        </w:rPr>
        <w:t>Чернодробно уврежане</w:t>
      </w:r>
    </w:p>
    <w:p w14:paraId="1E6BF728" w14:textId="01ABA5F3" w:rsidR="000E158B" w:rsidRPr="000E158B" w:rsidRDefault="000E158B" w:rsidP="000E158B">
      <w:pPr>
        <w:rPr>
          <w:rFonts w:eastAsia="Times New Roman" w:cs="Arial"/>
          <w:color w:val="000000"/>
          <w:lang w:eastAsia="bg-BG"/>
        </w:rPr>
      </w:pPr>
      <w:r w:rsidRPr="000E158B">
        <w:rPr>
          <w:rFonts w:eastAsia="Times New Roman" w:cs="Arial"/>
          <w:color w:val="000000"/>
          <w:lang w:eastAsia="bg-BG"/>
        </w:rPr>
        <w:t>Не е проучено влиянието на чернодробното увреждане върху фармакокинетиката на пирацетам. Тъй като 80 до 100% от приетата доза се отделя чрез урината в непроменен вид, не се очаква значителен ефект върху екскрецията на пирацетам при чернодробно увреждане.</w:t>
      </w:r>
    </w:p>
    <w:p w14:paraId="3109FF52" w14:textId="77777777" w:rsidR="000E158B" w:rsidRPr="000E158B" w:rsidRDefault="000E158B" w:rsidP="000E158B"/>
    <w:p w14:paraId="4F31844C" w14:textId="60E9B134" w:rsidR="00875EEC" w:rsidRDefault="002C50EE" w:rsidP="005726E3">
      <w:pPr>
        <w:pStyle w:val="Heading2"/>
      </w:pPr>
      <w:r>
        <w:t>5.3. Предклинични данни за безопасност</w:t>
      </w:r>
    </w:p>
    <w:p w14:paraId="003FEFA3" w14:textId="2FD8E83A" w:rsidR="000E158B" w:rsidRDefault="000E158B" w:rsidP="000E158B"/>
    <w:p w14:paraId="01B2E0A9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>Предклиничните данни показват, че пирацетам има нисък токсичен потенциал.</w:t>
      </w:r>
    </w:p>
    <w:p w14:paraId="205AB7EF" w14:textId="77777777" w:rsidR="000E158B" w:rsidRPr="000E158B" w:rsidRDefault="000E158B" w:rsidP="000E158B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466158B5" w14:textId="32A5DEA2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u w:val="single"/>
          <w:lang w:eastAsia="bg-BG"/>
        </w:rPr>
        <w:t>Остра токсичност</w:t>
      </w:r>
    </w:p>
    <w:p w14:paraId="2F51D2C3" w14:textId="534EFF73" w:rsidR="000E158B" w:rsidRPr="000E158B" w:rsidRDefault="000E158B" w:rsidP="000E158B">
      <w:pPr>
        <w:rPr>
          <w:rFonts w:eastAsia="Times New Roman" w:cs="Arial"/>
          <w:color w:val="000000"/>
          <w:lang w:eastAsia="bg-BG"/>
        </w:rPr>
      </w:pPr>
      <w:r w:rsidRPr="000E158B">
        <w:rPr>
          <w:rFonts w:eastAsia="Times New Roman" w:cs="Arial"/>
          <w:color w:val="000000"/>
          <w:lang w:eastAsia="bg-BG"/>
        </w:rPr>
        <w:t xml:space="preserve">Дози до 5 000 </w:t>
      </w:r>
      <w:r w:rsidRPr="000E158B">
        <w:rPr>
          <w:rFonts w:eastAsia="Times New Roman" w:cs="Arial"/>
          <w:color w:val="000000"/>
          <w:lang w:val="en-US"/>
        </w:rPr>
        <w:t>mg</w:t>
      </w:r>
      <w:r w:rsidRPr="000E158B">
        <w:rPr>
          <w:rFonts w:eastAsia="Times New Roman" w:cs="Arial"/>
          <w:color w:val="000000"/>
          <w:lang w:val="ru-RU"/>
        </w:rPr>
        <w:t>/</w:t>
      </w:r>
      <w:r w:rsidRPr="000E158B">
        <w:rPr>
          <w:rFonts w:eastAsia="Times New Roman" w:cs="Arial"/>
          <w:color w:val="000000"/>
          <w:lang w:val="en-US"/>
        </w:rPr>
        <w:t>kg</w:t>
      </w:r>
      <w:r w:rsidRPr="000E158B">
        <w:rPr>
          <w:rFonts w:eastAsia="Times New Roman" w:cs="Arial"/>
          <w:color w:val="000000"/>
          <w:lang w:val="ru-RU"/>
        </w:rPr>
        <w:t xml:space="preserve">, </w:t>
      </w:r>
      <w:r w:rsidRPr="000E158B">
        <w:rPr>
          <w:rFonts w:eastAsia="Times New Roman" w:cs="Arial"/>
          <w:color w:val="000000"/>
          <w:lang w:eastAsia="bg-BG"/>
        </w:rPr>
        <w:t xml:space="preserve">приложени при бели мишки и плъхове не водят до токсични ефекти при перорално, интрамускулно и интравенозно приложение. При проучвания с единична перорална доза от 10 </w:t>
      </w:r>
      <w:r w:rsidRPr="000E158B">
        <w:rPr>
          <w:rFonts w:eastAsia="Times New Roman" w:cs="Arial"/>
          <w:color w:val="000000"/>
          <w:lang w:val="en-US"/>
        </w:rPr>
        <w:t>g</w:t>
      </w:r>
      <w:r w:rsidRPr="000E158B">
        <w:rPr>
          <w:rFonts w:eastAsia="Times New Roman" w:cs="Arial"/>
          <w:color w:val="000000"/>
          <w:lang w:val="ru-RU"/>
        </w:rPr>
        <w:t>/</w:t>
      </w:r>
      <w:r w:rsidRPr="000E158B">
        <w:rPr>
          <w:rFonts w:eastAsia="Times New Roman" w:cs="Arial"/>
          <w:color w:val="000000"/>
          <w:lang w:val="en-US"/>
        </w:rPr>
        <w:t>kg</w:t>
      </w:r>
      <w:r w:rsidRPr="000E158B">
        <w:rPr>
          <w:rFonts w:eastAsia="Times New Roman" w:cs="Arial"/>
          <w:color w:val="000000"/>
          <w:lang w:val="ru-RU"/>
        </w:rPr>
        <w:t xml:space="preserve"> </w:t>
      </w:r>
      <w:r w:rsidRPr="000E158B">
        <w:rPr>
          <w:rFonts w:eastAsia="Times New Roman" w:cs="Arial"/>
          <w:color w:val="000000"/>
          <w:lang w:eastAsia="bg-BG"/>
        </w:rPr>
        <w:t>при мишки, плъхове и кучета не се наблюдава необратима токсичност.</w:t>
      </w:r>
    </w:p>
    <w:p w14:paraId="18AABE63" w14:textId="6956AD1C" w:rsidR="000E158B" w:rsidRPr="000E158B" w:rsidRDefault="000E158B" w:rsidP="000E158B">
      <w:pPr>
        <w:rPr>
          <w:rFonts w:eastAsia="Times New Roman" w:cs="Arial"/>
          <w:color w:val="000000"/>
          <w:lang w:eastAsia="bg-BG"/>
        </w:rPr>
      </w:pPr>
    </w:p>
    <w:p w14:paraId="4062F0E7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u w:val="single"/>
          <w:lang w:eastAsia="bg-BG"/>
        </w:rPr>
        <w:t>Токсичност при многократно приложение</w:t>
      </w:r>
    </w:p>
    <w:p w14:paraId="2EC0A85C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 xml:space="preserve">Многократното приложение на пирацетам в дози от 300 до 500 </w:t>
      </w:r>
      <w:r w:rsidRPr="000E158B">
        <w:rPr>
          <w:rFonts w:eastAsia="Times New Roman" w:cs="Arial"/>
          <w:color w:val="000000"/>
          <w:lang w:val="en-US"/>
        </w:rPr>
        <w:t>mg</w:t>
      </w:r>
      <w:r w:rsidRPr="000E158B">
        <w:rPr>
          <w:rFonts w:eastAsia="Times New Roman" w:cs="Arial"/>
          <w:color w:val="000000"/>
          <w:lang w:val="ru-RU"/>
        </w:rPr>
        <w:t>/</w:t>
      </w:r>
      <w:r w:rsidRPr="000E158B">
        <w:rPr>
          <w:rFonts w:eastAsia="Times New Roman" w:cs="Arial"/>
          <w:color w:val="000000"/>
          <w:lang w:val="en-US"/>
        </w:rPr>
        <w:t>kg</w:t>
      </w:r>
      <w:r w:rsidRPr="000E158B">
        <w:rPr>
          <w:rFonts w:eastAsia="Times New Roman" w:cs="Arial"/>
          <w:color w:val="000000"/>
          <w:lang w:val="ru-RU"/>
        </w:rPr>
        <w:t xml:space="preserve"> </w:t>
      </w:r>
      <w:r w:rsidRPr="000E158B">
        <w:rPr>
          <w:rFonts w:eastAsia="Times New Roman" w:cs="Arial"/>
          <w:color w:val="000000"/>
          <w:lang w:eastAsia="bg-BG"/>
        </w:rPr>
        <w:t xml:space="preserve">т.м. на бели плъхове и кучета не води до промяна в поведението, биохимичните показатели и до морфологични изменения в органите на опитните животни. След многократно перорално приложение на дози от 4,8 </w:t>
      </w:r>
      <w:r w:rsidRPr="000E158B">
        <w:rPr>
          <w:rFonts w:eastAsia="Times New Roman" w:cs="Arial"/>
          <w:color w:val="000000"/>
          <w:lang w:val="en-US"/>
        </w:rPr>
        <w:t>g</w:t>
      </w:r>
      <w:r w:rsidRPr="000E158B">
        <w:rPr>
          <w:rFonts w:eastAsia="Times New Roman" w:cs="Arial"/>
          <w:color w:val="000000"/>
          <w:lang w:val="ru-RU"/>
        </w:rPr>
        <w:t>/</w:t>
      </w:r>
      <w:r w:rsidRPr="000E158B">
        <w:rPr>
          <w:rFonts w:eastAsia="Times New Roman" w:cs="Arial"/>
          <w:color w:val="000000"/>
          <w:lang w:val="en-US"/>
        </w:rPr>
        <w:t>kg</w:t>
      </w:r>
      <w:r w:rsidRPr="000E158B">
        <w:rPr>
          <w:rFonts w:eastAsia="Times New Roman" w:cs="Arial"/>
          <w:color w:val="000000"/>
          <w:lang w:eastAsia="bg-BG"/>
        </w:rPr>
        <w:t xml:space="preserve">/ден при мишки и на дози до 2,4 </w:t>
      </w:r>
      <w:r w:rsidRPr="000E158B">
        <w:rPr>
          <w:rFonts w:eastAsia="Times New Roman" w:cs="Arial"/>
          <w:color w:val="000000"/>
          <w:lang w:val="en-US"/>
        </w:rPr>
        <w:t>g</w:t>
      </w:r>
      <w:r w:rsidRPr="000E158B">
        <w:rPr>
          <w:rFonts w:eastAsia="Times New Roman" w:cs="Arial"/>
          <w:color w:val="000000"/>
          <w:lang w:val="ru-RU"/>
        </w:rPr>
        <w:t>/</w:t>
      </w:r>
      <w:r w:rsidRPr="000E158B">
        <w:rPr>
          <w:rFonts w:eastAsia="Times New Roman" w:cs="Arial"/>
          <w:color w:val="000000"/>
          <w:lang w:val="en-US"/>
        </w:rPr>
        <w:t>kg</w:t>
      </w:r>
      <w:r w:rsidRPr="000E158B">
        <w:rPr>
          <w:rFonts w:eastAsia="Times New Roman" w:cs="Arial"/>
          <w:color w:val="000000"/>
          <w:lang w:eastAsia="bg-BG"/>
        </w:rPr>
        <w:t xml:space="preserve">/ден не е установена специфична органна токсичност. Леки стомашно-чревни нарушения (повръщане, промяна в консистенцията на изпражненията, повишена консумация на вода) са наблюдавани при перорално приемане на пирацетам от кучета в продължение на 1 година след повишаване на дозата от 1 до 10 </w:t>
      </w:r>
      <w:r w:rsidRPr="000E158B">
        <w:rPr>
          <w:rFonts w:eastAsia="Times New Roman" w:cs="Arial"/>
          <w:color w:val="000000"/>
          <w:lang w:val="en-US"/>
        </w:rPr>
        <w:t>g</w:t>
      </w:r>
      <w:r w:rsidRPr="000E158B">
        <w:rPr>
          <w:rFonts w:eastAsia="Times New Roman" w:cs="Arial"/>
          <w:color w:val="000000"/>
          <w:lang w:val="ru-RU"/>
        </w:rPr>
        <w:t>/</w:t>
      </w:r>
      <w:r w:rsidRPr="000E158B">
        <w:rPr>
          <w:rFonts w:eastAsia="Times New Roman" w:cs="Arial"/>
          <w:color w:val="000000"/>
          <w:lang w:val="en-US"/>
        </w:rPr>
        <w:t>kg</w:t>
      </w:r>
      <w:r w:rsidRPr="000E158B">
        <w:rPr>
          <w:rFonts w:eastAsia="Times New Roman" w:cs="Arial"/>
          <w:color w:val="000000"/>
          <w:lang w:eastAsia="bg-BG"/>
        </w:rPr>
        <w:t xml:space="preserve">/ден. При интравенозно приложение на дози до 1 </w:t>
      </w:r>
      <w:r w:rsidRPr="000E158B">
        <w:rPr>
          <w:rFonts w:eastAsia="Times New Roman" w:cs="Arial"/>
          <w:color w:val="000000"/>
          <w:lang w:val="en-US"/>
        </w:rPr>
        <w:t>g</w:t>
      </w:r>
      <w:r w:rsidRPr="000E158B">
        <w:rPr>
          <w:rFonts w:eastAsia="Times New Roman" w:cs="Arial"/>
          <w:color w:val="000000"/>
          <w:lang w:val="ru-RU"/>
        </w:rPr>
        <w:t>/</w:t>
      </w:r>
      <w:r w:rsidRPr="000E158B">
        <w:rPr>
          <w:rFonts w:eastAsia="Times New Roman" w:cs="Arial"/>
          <w:color w:val="000000"/>
          <w:lang w:val="en-US"/>
        </w:rPr>
        <w:t>kg</w:t>
      </w:r>
      <w:r w:rsidRPr="000E158B">
        <w:rPr>
          <w:rFonts w:eastAsia="Times New Roman" w:cs="Arial"/>
          <w:color w:val="000000"/>
          <w:lang w:eastAsia="bg-BG"/>
        </w:rPr>
        <w:t>/ден за 4-5 седмици на плъхове и кучета не се наблюдава токсичност.</w:t>
      </w:r>
    </w:p>
    <w:p w14:paraId="5D610B6D" w14:textId="77777777" w:rsidR="000E158B" w:rsidRPr="000E158B" w:rsidRDefault="000E158B" w:rsidP="000E158B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30078E1D" w14:textId="2BF7D2DC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u w:val="single"/>
          <w:lang w:eastAsia="bg-BG"/>
        </w:rPr>
        <w:t>Ембриотоксичност и тератогенност</w:t>
      </w:r>
    </w:p>
    <w:p w14:paraId="2CE3CD52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>Няма данни за ембриотоксично и тератогенно действие.</w:t>
      </w:r>
    </w:p>
    <w:p w14:paraId="761923D0" w14:textId="77777777" w:rsidR="000E158B" w:rsidRPr="000E158B" w:rsidRDefault="000E158B" w:rsidP="000E158B">
      <w:pPr>
        <w:spacing w:line="240" w:lineRule="auto"/>
        <w:rPr>
          <w:rFonts w:eastAsia="Times New Roman" w:cs="Arial"/>
          <w:color w:val="000000"/>
          <w:u w:val="single"/>
          <w:lang w:eastAsia="bg-BG"/>
        </w:rPr>
      </w:pPr>
    </w:p>
    <w:p w14:paraId="3A489403" w14:textId="6F0035B4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u w:val="single"/>
          <w:lang w:eastAsia="bg-BG"/>
        </w:rPr>
        <w:t>Мутагенен потенциал</w:t>
      </w:r>
    </w:p>
    <w:p w14:paraId="0D630D09" w14:textId="77777777" w:rsidR="000E158B" w:rsidRPr="000E158B" w:rsidRDefault="000E158B" w:rsidP="000E158B">
      <w:pPr>
        <w:spacing w:line="240" w:lineRule="auto"/>
        <w:rPr>
          <w:rFonts w:eastAsia="Times New Roman" w:cs="Arial"/>
          <w:sz w:val="24"/>
          <w:szCs w:val="24"/>
        </w:rPr>
      </w:pPr>
      <w:r w:rsidRPr="000E158B">
        <w:rPr>
          <w:rFonts w:eastAsia="Times New Roman" w:cs="Arial"/>
          <w:color w:val="000000"/>
          <w:lang w:eastAsia="bg-BG"/>
        </w:rPr>
        <w:t>Няма данни за мутагенно и карциногенно действие.</w:t>
      </w:r>
    </w:p>
    <w:p w14:paraId="3D3C0083" w14:textId="77777777" w:rsidR="000E158B" w:rsidRPr="000E158B" w:rsidRDefault="000E158B" w:rsidP="000E158B"/>
    <w:p w14:paraId="1BA6531D" w14:textId="00F878E8" w:rsidR="00B6672E" w:rsidRDefault="002C50EE" w:rsidP="00936AD0">
      <w:pPr>
        <w:pStyle w:val="Heading1"/>
      </w:pPr>
      <w:r>
        <w:lastRenderedPageBreak/>
        <w:t>7. ПРИТЕЖАТЕЛ НА РАЗРЕШЕНИЕТО ЗА УПОТРЕБА</w:t>
      </w:r>
    </w:p>
    <w:p w14:paraId="57431BE5" w14:textId="44920233" w:rsidR="000E158B" w:rsidRDefault="000E158B" w:rsidP="000E158B"/>
    <w:p w14:paraId="54890523" w14:textId="77777777" w:rsidR="000E158B" w:rsidRPr="000E158B" w:rsidRDefault="000E158B" w:rsidP="000E158B">
      <w:pPr>
        <w:rPr>
          <w:sz w:val="24"/>
          <w:szCs w:val="24"/>
        </w:rPr>
      </w:pPr>
      <w:r w:rsidRPr="000E158B">
        <w:rPr>
          <w:lang w:eastAsia="bg-BG"/>
        </w:rPr>
        <w:t>Тева Фарма ЕАД</w:t>
      </w:r>
    </w:p>
    <w:p w14:paraId="2796E49C" w14:textId="77777777" w:rsidR="000E158B" w:rsidRPr="000E158B" w:rsidRDefault="000E158B" w:rsidP="000E158B">
      <w:pPr>
        <w:rPr>
          <w:sz w:val="24"/>
          <w:szCs w:val="24"/>
        </w:rPr>
      </w:pPr>
      <w:r w:rsidRPr="000E158B">
        <w:rPr>
          <w:lang w:eastAsia="bg-BG"/>
        </w:rPr>
        <w:t>ул. „Люба Величкова“ № 9, 1407 София</w:t>
      </w:r>
    </w:p>
    <w:p w14:paraId="306B33F2" w14:textId="62CD06CB" w:rsidR="000E158B" w:rsidRPr="000E158B" w:rsidRDefault="000E158B" w:rsidP="000E158B">
      <w:r w:rsidRPr="000E158B">
        <w:rPr>
          <w:lang w:eastAsia="bg-BG"/>
        </w:rPr>
        <w:t>България</w:t>
      </w:r>
    </w:p>
    <w:p w14:paraId="508F3A54" w14:textId="6E8A7694" w:rsidR="00B6672E" w:rsidRDefault="00936AD0" w:rsidP="00936AD0">
      <w:pPr>
        <w:pStyle w:val="Heading1"/>
      </w:pPr>
      <w:r>
        <w:t>8.</w:t>
      </w:r>
      <w:r w:rsidR="002C50EE">
        <w:t>НОМЕР НА РАЗРЕШЕНИЕТО ЗА УПОТРЕБА</w:t>
      </w:r>
    </w:p>
    <w:p w14:paraId="50F40DFE" w14:textId="3DC9976D" w:rsidR="000E158B" w:rsidRDefault="000E158B" w:rsidP="000E158B"/>
    <w:p w14:paraId="79C2F561" w14:textId="0F242645" w:rsidR="000E158B" w:rsidRPr="000E158B" w:rsidRDefault="000E158B" w:rsidP="000E158B">
      <w:r>
        <w:rPr>
          <w:lang w:val="en-US"/>
        </w:rPr>
        <w:t>Per</w:t>
      </w:r>
      <w:r w:rsidRPr="000E158B">
        <w:rPr>
          <w:lang w:val="ru-RU"/>
        </w:rPr>
        <w:t xml:space="preserve">. </w:t>
      </w:r>
      <w:r>
        <w:t>№20010101</w:t>
      </w:r>
    </w:p>
    <w:p w14:paraId="3BC5EC53" w14:textId="78DCCECC" w:rsidR="00875EEC" w:rsidRDefault="002C50EE" w:rsidP="005726E3">
      <w:pPr>
        <w:pStyle w:val="Heading1"/>
      </w:pPr>
      <w:r>
        <w:t>9. ДАТА НА ПЪРВО РАЗРЕШАВАНЕ/ПОДНОВЯВАНЕ НА РАЗРЕШЕНИЕТО ЗА УПОТРЕБА</w:t>
      </w:r>
    </w:p>
    <w:p w14:paraId="49F66EFB" w14:textId="0E0C6B3A" w:rsidR="000E158B" w:rsidRDefault="000E158B" w:rsidP="000E158B"/>
    <w:p w14:paraId="239A0469" w14:textId="77777777" w:rsidR="000E158B" w:rsidRPr="000E158B" w:rsidRDefault="000E158B" w:rsidP="000E158B">
      <w:pPr>
        <w:rPr>
          <w:sz w:val="24"/>
          <w:szCs w:val="24"/>
        </w:rPr>
      </w:pPr>
      <w:r w:rsidRPr="000E158B">
        <w:rPr>
          <w:lang w:eastAsia="bg-BG"/>
        </w:rPr>
        <w:t>Дата на първо разрешаване: 09.01.1978 г.</w:t>
      </w:r>
    </w:p>
    <w:p w14:paraId="66A7F2AE" w14:textId="77777777" w:rsidR="000E158B" w:rsidRPr="000E158B" w:rsidRDefault="000E158B" w:rsidP="000E158B">
      <w:pPr>
        <w:rPr>
          <w:sz w:val="24"/>
          <w:szCs w:val="24"/>
        </w:rPr>
      </w:pPr>
      <w:r w:rsidRPr="000E158B">
        <w:rPr>
          <w:lang w:eastAsia="bg-BG"/>
        </w:rPr>
        <w:t>Дата на последно подновяване: 28.07.2011 г.</w:t>
      </w:r>
    </w:p>
    <w:p w14:paraId="0D7A53F5" w14:textId="77777777" w:rsidR="000E158B" w:rsidRPr="000E158B" w:rsidRDefault="000E158B" w:rsidP="000E158B"/>
    <w:p w14:paraId="43FB38A2" w14:textId="5415E270" w:rsidR="007C605B" w:rsidRDefault="002C50EE" w:rsidP="005726E3">
      <w:pPr>
        <w:pStyle w:val="Heading1"/>
      </w:pPr>
      <w:r>
        <w:t>10. ДАТА НА АКТУАЛИЗИРАНЕ НА ТЕКСТА</w:t>
      </w:r>
      <w:bookmarkEnd w:id="0"/>
    </w:p>
    <w:p w14:paraId="669CCBBC" w14:textId="77777777" w:rsidR="000E158B" w:rsidRPr="000E158B" w:rsidRDefault="000E158B" w:rsidP="000E158B">
      <w:bookmarkStart w:id="2" w:name="_GoBack"/>
      <w:bookmarkEnd w:id="2"/>
    </w:p>
    <w:sectPr w:rsidR="000E158B" w:rsidRPr="000E15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03"/>
    <w:multiLevelType w:val="multilevel"/>
    <w:tmpl w:val="293C6334"/>
    <w:lvl w:ilvl="0">
      <w:start w:val="1"/>
      <w:numFmt w:val="decimal"/>
      <w:lvlText w:val="%1."/>
      <w:lvlJc w:val="left"/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00894126"/>
    <w:multiLevelType w:val="multilevel"/>
    <w:tmpl w:val="588ED0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00AE4925"/>
    <w:multiLevelType w:val="multilevel"/>
    <w:tmpl w:val="4CC8ED5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4834C69"/>
    <w:multiLevelType w:val="multilevel"/>
    <w:tmpl w:val="DC0A14F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099A0F47"/>
    <w:multiLevelType w:val="hybridMultilevel"/>
    <w:tmpl w:val="5F3E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3A2C2D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7" w15:restartNumberingAfterBreak="0">
    <w:nsid w:val="174D0D9E"/>
    <w:multiLevelType w:val="hybridMultilevel"/>
    <w:tmpl w:val="4E6C1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016EEE"/>
    <w:multiLevelType w:val="hybridMultilevel"/>
    <w:tmpl w:val="52F6376E"/>
    <w:lvl w:ilvl="0" w:tplc="4F7A938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6343B0"/>
    <w:multiLevelType w:val="hybridMultilevel"/>
    <w:tmpl w:val="DD4E8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EC16F5"/>
    <w:multiLevelType w:val="hybridMultilevel"/>
    <w:tmpl w:val="E5EAD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1258ED"/>
    <w:multiLevelType w:val="hybridMultilevel"/>
    <w:tmpl w:val="AA423BD4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2" w15:restartNumberingAfterBreak="0">
    <w:nsid w:val="26177103"/>
    <w:multiLevelType w:val="multilevel"/>
    <w:tmpl w:val="E82C6D4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2C0F0359"/>
    <w:multiLevelType w:val="hybridMultilevel"/>
    <w:tmpl w:val="44CA7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A60FB9"/>
    <w:multiLevelType w:val="hybridMultilevel"/>
    <w:tmpl w:val="BA3E8EEE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2D24A5"/>
    <w:multiLevelType w:val="hybridMultilevel"/>
    <w:tmpl w:val="F2EC1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4E6408"/>
    <w:multiLevelType w:val="hybridMultilevel"/>
    <w:tmpl w:val="3C6C876A"/>
    <w:lvl w:ilvl="0" w:tplc="FB929D8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A002FE"/>
    <w:multiLevelType w:val="hybridMultilevel"/>
    <w:tmpl w:val="60D40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687B8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9" w15:restartNumberingAfterBreak="0">
    <w:nsid w:val="403D3417"/>
    <w:multiLevelType w:val="multilevel"/>
    <w:tmpl w:val="B57254D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0" w15:restartNumberingAfterBreak="0">
    <w:nsid w:val="41D01652"/>
    <w:multiLevelType w:val="hybridMultilevel"/>
    <w:tmpl w:val="104A4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823E3C"/>
    <w:multiLevelType w:val="hybridMultilevel"/>
    <w:tmpl w:val="80B07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0E33D8"/>
    <w:multiLevelType w:val="hybridMultilevel"/>
    <w:tmpl w:val="71309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ED0C31"/>
    <w:multiLevelType w:val="hybridMultilevel"/>
    <w:tmpl w:val="2946DD8C"/>
    <w:lvl w:ilvl="0" w:tplc="83C2330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817B77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5" w15:restartNumberingAfterBreak="0">
    <w:nsid w:val="4B960DEC"/>
    <w:multiLevelType w:val="hybridMultilevel"/>
    <w:tmpl w:val="DE7AABEA"/>
    <w:lvl w:ilvl="0" w:tplc="7E0614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31061F"/>
    <w:multiLevelType w:val="hybridMultilevel"/>
    <w:tmpl w:val="7BE09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FE48DA"/>
    <w:multiLevelType w:val="hybridMultilevel"/>
    <w:tmpl w:val="8D98A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088CA4">
      <w:numFmt w:val="bullet"/>
      <w:lvlText w:val="•"/>
      <w:lvlJc w:val="left"/>
      <w:pPr>
        <w:ind w:left="1800" w:hanging="720"/>
      </w:pPr>
      <w:rPr>
        <w:rFonts w:ascii="Arial" w:eastAsiaTheme="minorHAnsi" w:hAnsi="Arial" w:cs="Arial" w:hint="default"/>
        <w:sz w:val="2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AB1ABA"/>
    <w:multiLevelType w:val="hybridMultilevel"/>
    <w:tmpl w:val="EEEC7F7E"/>
    <w:lvl w:ilvl="0" w:tplc="E38E44D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A8116B"/>
    <w:multiLevelType w:val="hybridMultilevel"/>
    <w:tmpl w:val="F18C2434"/>
    <w:lvl w:ilvl="0" w:tplc="04B87F8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C2302E"/>
    <w:multiLevelType w:val="hybridMultilevel"/>
    <w:tmpl w:val="FF02B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1F677A"/>
    <w:multiLevelType w:val="hybridMultilevel"/>
    <w:tmpl w:val="96EC7004"/>
    <w:lvl w:ilvl="0" w:tplc="D63C337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122928"/>
    <w:multiLevelType w:val="hybridMultilevel"/>
    <w:tmpl w:val="A8F06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B539E2"/>
    <w:multiLevelType w:val="hybridMultilevel"/>
    <w:tmpl w:val="E3BC6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BC7DEC"/>
    <w:multiLevelType w:val="hybridMultilevel"/>
    <w:tmpl w:val="EE04B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AD1413"/>
    <w:multiLevelType w:val="hybridMultilevel"/>
    <w:tmpl w:val="9B941132"/>
    <w:lvl w:ilvl="0" w:tplc="7E0614A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646080"/>
    <w:multiLevelType w:val="hybridMultilevel"/>
    <w:tmpl w:val="AF3E9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9E39A0"/>
    <w:multiLevelType w:val="hybridMultilevel"/>
    <w:tmpl w:val="E28A72A8"/>
    <w:lvl w:ilvl="0" w:tplc="61A8CAF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8E01BC"/>
    <w:multiLevelType w:val="hybridMultilevel"/>
    <w:tmpl w:val="679AE3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FB2D78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31"/>
  </w:num>
  <w:num w:numId="2">
    <w:abstractNumId w:val="0"/>
  </w:num>
  <w:num w:numId="3">
    <w:abstractNumId w:val="14"/>
  </w:num>
  <w:num w:numId="4">
    <w:abstractNumId w:val="3"/>
  </w:num>
  <w:num w:numId="5">
    <w:abstractNumId w:val="1"/>
  </w:num>
  <w:num w:numId="6">
    <w:abstractNumId w:val="19"/>
  </w:num>
  <w:num w:numId="7">
    <w:abstractNumId w:val="12"/>
  </w:num>
  <w:num w:numId="8">
    <w:abstractNumId w:val="18"/>
  </w:num>
  <w:num w:numId="9">
    <w:abstractNumId w:val="2"/>
  </w:num>
  <w:num w:numId="10">
    <w:abstractNumId w:val="4"/>
  </w:num>
  <w:num w:numId="11">
    <w:abstractNumId w:val="34"/>
  </w:num>
  <w:num w:numId="12">
    <w:abstractNumId w:val="17"/>
  </w:num>
  <w:num w:numId="13">
    <w:abstractNumId w:val="23"/>
  </w:num>
  <w:num w:numId="14">
    <w:abstractNumId w:val="13"/>
  </w:num>
  <w:num w:numId="15">
    <w:abstractNumId w:val="33"/>
  </w:num>
  <w:num w:numId="16">
    <w:abstractNumId w:val="11"/>
  </w:num>
  <w:num w:numId="17">
    <w:abstractNumId w:val="28"/>
  </w:num>
  <w:num w:numId="18">
    <w:abstractNumId w:val="8"/>
  </w:num>
  <w:num w:numId="19">
    <w:abstractNumId w:val="30"/>
  </w:num>
  <w:num w:numId="20">
    <w:abstractNumId w:val="27"/>
  </w:num>
  <w:num w:numId="21">
    <w:abstractNumId w:val="21"/>
  </w:num>
  <w:num w:numId="22">
    <w:abstractNumId w:val="29"/>
  </w:num>
  <w:num w:numId="23">
    <w:abstractNumId w:val="22"/>
  </w:num>
  <w:num w:numId="24">
    <w:abstractNumId w:val="9"/>
  </w:num>
  <w:num w:numId="25">
    <w:abstractNumId w:val="26"/>
  </w:num>
  <w:num w:numId="26">
    <w:abstractNumId w:val="25"/>
  </w:num>
  <w:num w:numId="27">
    <w:abstractNumId w:val="35"/>
  </w:num>
  <w:num w:numId="28">
    <w:abstractNumId w:val="6"/>
  </w:num>
  <w:num w:numId="29">
    <w:abstractNumId w:val="24"/>
  </w:num>
  <w:num w:numId="30">
    <w:abstractNumId w:val="39"/>
  </w:num>
  <w:num w:numId="31">
    <w:abstractNumId w:val="5"/>
  </w:num>
  <w:num w:numId="32">
    <w:abstractNumId w:val="37"/>
  </w:num>
  <w:num w:numId="33">
    <w:abstractNumId w:val="32"/>
  </w:num>
  <w:num w:numId="34">
    <w:abstractNumId w:val="36"/>
  </w:num>
  <w:num w:numId="35">
    <w:abstractNumId w:val="7"/>
  </w:num>
  <w:num w:numId="36">
    <w:abstractNumId w:val="10"/>
  </w:num>
  <w:num w:numId="37">
    <w:abstractNumId w:val="20"/>
  </w:num>
  <w:num w:numId="38">
    <w:abstractNumId w:val="38"/>
  </w:num>
  <w:num w:numId="39">
    <w:abstractNumId w:val="15"/>
  </w:num>
  <w:num w:numId="4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A00"/>
    <w:rsid w:val="000E158B"/>
    <w:rsid w:val="00185A46"/>
    <w:rsid w:val="001915B6"/>
    <w:rsid w:val="001D1B23"/>
    <w:rsid w:val="002B3C38"/>
    <w:rsid w:val="002B4DBB"/>
    <w:rsid w:val="002C50EE"/>
    <w:rsid w:val="00340A0A"/>
    <w:rsid w:val="003765DC"/>
    <w:rsid w:val="00395555"/>
    <w:rsid w:val="003E3126"/>
    <w:rsid w:val="00426E5F"/>
    <w:rsid w:val="004A448E"/>
    <w:rsid w:val="004D4D6B"/>
    <w:rsid w:val="004F1CE7"/>
    <w:rsid w:val="004F498A"/>
    <w:rsid w:val="00517A5B"/>
    <w:rsid w:val="005726E3"/>
    <w:rsid w:val="00593A00"/>
    <w:rsid w:val="005A66D9"/>
    <w:rsid w:val="00605BCA"/>
    <w:rsid w:val="006158A1"/>
    <w:rsid w:val="00617B1F"/>
    <w:rsid w:val="00672487"/>
    <w:rsid w:val="00672600"/>
    <w:rsid w:val="00681D4A"/>
    <w:rsid w:val="00685882"/>
    <w:rsid w:val="007122AD"/>
    <w:rsid w:val="0075649D"/>
    <w:rsid w:val="007C605B"/>
    <w:rsid w:val="008134C8"/>
    <w:rsid w:val="00814073"/>
    <w:rsid w:val="00826F0D"/>
    <w:rsid w:val="00875EEC"/>
    <w:rsid w:val="00893B92"/>
    <w:rsid w:val="008A6AF2"/>
    <w:rsid w:val="008C70A2"/>
    <w:rsid w:val="00936AD0"/>
    <w:rsid w:val="009773E4"/>
    <w:rsid w:val="009B171C"/>
    <w:rsid w:val="009F1313"/>
    <w:rsid w:val="00A20351"/>
    <w:rsid w:val="00A65A81"/>
    <w:rsid w:val="00AA23EC"/>
    <w:rsid w:val="00AC63CE"/>
    <w:rsid w:val="00AE2107"/>
    <w:rsid w:val="00B275A8"/>
    <w:rsid w:val="00B6672E"/>
    <w:rsid w:val="00BF2600"/>
    <w:rsid w:val="00C0049F"/>
    <w:rsid w:val="00C07B84"/>
    <w:rsid w:val="00C33464"/>
    <w:rsid w:val="00C40420"/>
    <w:rsid w:val="00C809A7"/>
    <w:rsid w:val="00C83063"/>
    <w:rsid w:val="00C87E90"/>
    <w:rsid w:val="00CA1B57"/>
    <w:rsid w:val="00CF77F7"/>
    <w:rsid w:val="00D86297"/>
    <w:rsid w:val="00DB32D3"/>
    <w:rsid w:val="00DD466D"/>
    <w:rsid w:val="00EB6364"/>
    <w:rsid w:val="00F37B64"/>
    <w:rsid w:val="00FD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4BA7"/>
  <w15:docId w15:val="{3DA60348-CCDC-4D6D-877F-EA9575E07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364"/>
    <w:pPr>
      <w:spacing w:after="0" w:line="256" w:lineRule="auto"/>
    </w:pPr>
    <w:rPr>
      <w:rFonts w:ascii="Arial" w:hAnsi="Arial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1D4A"/>
    <w:pPr>
      <w:keepNext/>
      <w:keepLines/>
      <w:spacing w:before="240" w:line="259" w:lineRule="auto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1D4A"/>
    <w:pPr>
      <w:keepNext/>
      <w:keepLines/>
      <w:spacing w:before="40" w:line="259" w:lineRule="auto"/>
      <w:outlineLvl w:val="1"/>
    </w:pPr>
    <w:rPr>
      <w:rFonts w:eastAsiaTheme="majorEastAsia" w:cstheme="majorBidi"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1D4A"/>
    <w:pPr>
      <w:keepNext/>
      <w:keepLines/>
      <w:spacing w:before="40" w:line="259" w:lineRule="auto"/>
      <w:outlineLvl w:val="2"/>
    </w:pPr>
    <w:rPr>
      <w:rFonts w:eastAsiaTheme="majorEastAsia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81D4A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Стил1"/>
    <w:basedOn w:val="Heading3"/>
    <w:next w:val="Normal"/>
    <w:link w:val="10"/>
    <w:qFormat/>
    <w:rsid w:val="00C87E90"/>
    <w:pPr>
      <w:widowControl w:val="0"/>
      <w:spacing w:after="1080" w:line="240" w:lineRule="auto"/>
      <w:ind w:left="4400"/>
      <w:jc w:val="center"/>
    </w:pPr>
    <w:rPr>
      <w:b/>
      <w:sz w:val="22"/>
      <w:szCs w:val="22"/>
    </w:rPr>
  </w:style>
  <w:style w:type="character" w:customStyle="1" w:styleId="10">
    <w:name w:val="Стил1 Знак"/>
    <w:basedOn w:val="Heading3Char"/>
    <w:link w:val="1"/>
    <w:rsid w:val="00C87E90"/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681D4A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882"/>
    <w:pPr>
      <w:spacing w:line="259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81D4A"/>
    <w:rPr>
      <w:rFonts w:ascii="Arial" w:eastAsiaTheme="majorEastAsia" w:hAnsi="Arial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81D4A"/>
    <w:rPr>
      <w:rFonts w:ascii="Arial" w:eastAsiaTheme="majorEastAsia" w:hAnsi="Arial" w:cstheme="majorBidi"/>
      <w:color w:val="000000" w:themeColor="tex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681D4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">
    <w:name w:val="Table Grid"/>
    <w:basedOn w:val="TableNormal"/>
    <w:uiPriority w:val="39"/>
    <w:rsid w:val="007564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E158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64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3403</Words>
  <Characters>19403</Characters>
  <Application>Microsoft Office Word</Application>
  <DocSecurity>0</DocSecurity>
  <Lines>161</Lines>
  <Paragraphs>45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 vasilev</dc:creator>
  <cp:keywords/>
  <dc:description/>
  <cp:lastModifiedBy>petar vasilev</cp:lastModifiedBy>
  <cp:revision>2</cp:revision>
  <dcterms:created xsi:type="dcterms:W3CDTF">2022-10-29T23:02:00Z</dcterms:created>
  <dcterms:modified xsi:type="dcterms:W3CDTF">2022-10-29T23:02:00Z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8080e56-8894-418a-9b19-f357e77b996f_Enabled">
    <vt:lpwstr>true</vt:lpwstr>
  </property>
  <property fmtid="{D5CDD505-2E9C-101B-9397-08002B2CF9AE}" pid="3" name="MSIP_Label_78080e56-8894-418a-9b19-f357e77b996f_SetDate">
    <vt:lpwstr>2021-02-06T20:50:59Z</vt:lpwstr>
  </property>
  <property fmtid="{D5CDD505-2E9C-101B-9397-08002B2CF9AE}" pid="4" name="MSIP_Label_78080e56-8894-418a-9b19-f357e77b996f_Method">
    <vt:lpwstr>Standard</vt:lpwstr>
  </property>
  <property fmtid="{D5CDD505-2E9C-101B-9397-08002B2CF9AE}" pid="5" name="MSIP_Label_78080e56-8894-418a-9b19-f357e77b996f_Name">
    <vt:lpwstr>Internal Use Unencrypted</vt:lpwstr>
  </property>
  <property fmtid="{D5CDD505-2E9C-101B-9397-08002B2CF9AE}" pid="6" name="MSIP_Label_78080e56-8894-418a-9b19-f357e77b996f_SiteId">
    <vt:lpwstr>6c7fadf5-6b9d-485a-85cb-f8112e9720ec</vt:lpwstr>
  </property>
  <property fmtid="{D5CDD505-2E9C-101B-9397-08002B2CF9AE}" pid="7" name="MSIP_Label_78080e56-8894-418a-9b19-f357e77b996f_ActionId">
    <vt:lpwstr>0a32757c-47c4-4949-90c3-637a5e65fde2</vt:lpwstr>
  </property>
  <property fmtid="{D5CDD505-2E9C-101B-9397-08002B2CF9AE}" pid="8" name="MSIP_Label_78080e56-8894-418a-9b19-f357e77b996f_ContentBits">
    <vt:lpwstr>2</vt:lpwstr>
  </property>
</Properties>
</file>