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79516554" w14:textId="681BE870" w:rsidR="00DB32D3" w:rsidRDefault="00DD466D" w:rsidP="005726E3">
      <w:pPr>
        <w:pStyle w:val="Heading1"/>
      </w:pPr>
      <w:r>
        <w:t>1.ИМЕ НА ЛЕКАРСТВЕНИЯ ПРОДУКТ</w:t>
      </w:r>
    </w:p>
    <w:p w14:paraId="11B10C8C" w14:textId="503B1400" w:rsidR="00D331F8" w:rsidRDefault="00D331F8" w:rsidP="00D331F8"/>
    <w:p w14:paraId="4CF464C0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 xml:space="preserve">Пираминол 2400 </w:t>
      </w:r>
      <w:r w:rsidRPr="00D331F8">
        <w:rPr>
          <w:lang w:val="en-US"/>
        </w:rPr>
        <w:t>mg</w:t>
      </w:r>
      <w:r w:rsidRPr="00D331F8">
        <w:rPr>
          <w:lang w:val="ru-RU"/>
        </w:rPr>
        <w:t xml:space="preserve"> </w:t>
      </w:r>
      <w:r w:rsidRPr="00D331F8">
        <w:rPr>
          <w:lang w:eastAsia="bg-BG"/>
        </w:rPr>
        <w:t>гранули за перорален разтвор</w:t>
      </w:r>
    </w:p>
    <w:p w14:paraId="56C9FA08" w14:textId="77777777" w:rsidR="00D331F8" w:rsidRPr="00D331F8" w:rsidRDefault="00D331F8" w:rsidP="00D331F8">
      <w:pPr>
        <w:rPr>
          <w:sz w:val="24"/>
          <w:szCs w:val="24"/>
        </w:rPr>
      </w:pPr>
      <w:proofErr w:type="spellStart"/>
      <w:r w:rsidRPr="00D331F8">
        <w:rPr>
          <w:lang w:val="en-US"/>
        </w:rPr>
        <w:t>Pyraminol</w:t>
      </w:r>
      <w:proofErr w:type="spellEnd"/>
      <w:r w:rsidRPr="00D331F8">
        <w:rPr>
          <w:lang w:val="en-US"/>
        </w:rPr>
        <w:t xml:space="preserve"> </w:t>
      </w:r>
      <w:r w:rsidRPr="00D331F8">
        <w:rPr>
          <w:lang w:eastAsia="bg-BG"/>
        </w:rPr>
        <w:t xml:space="preserve">2400 </w:t>
      </w:r>
      <w:r w:rsidRPr="00D331F8">
        <w:rPr>
          <w:lang w:val="en-US"/>
        </w:rPr>
        <w:t>mg granules for oral solution</w:t>
      </w:r>
    </w:p>
    <w:p w14:paraId="057B263C" w14:textId="77777777" w:rsidR="00D331F8" w:rsidRPr="00D331F8" w:rsidRDefault="00D331F8" w:rsidP="00D331F8"/>
    <w:p w14:paraId="48E6CABE" w14:textId="1D89EE68" w:rsidR="00DB32D3" w:rsidRDefault="00DD466D" w:rsidP="005726E3">
      <w:pPr>
        <w:pStyle w:val="Heading1"/>
      </w:pPr>
      <w:r>
        <w:t>2. КАЧЕСТВЕН И КОЛИЧЕСТВЕН СЪСТАВ</w:t>
      </w:r>
    </w:p>
    <w:p w14:paraId="4F8BDC07" w14:textId="4384E6FD" w:rsidR="00D331F8" w:rsidRDefault="00D331F8" w:rsidP="00D331F8"/>
    <w:p w14:paraId="389B49A7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 xml:space="preserve">Всяко саше от 5 </w:t>
      </w:r>
      <w:r w:rsidRPr="00D331F8">
        <w:rPr>
          <w:lang w:val="en-US"/>
        </w:rPr>
        <w:t>g</w:t>
      </w:r>
      <w:r w:rsidRPr="00D331F8">
        <w:rPr>
          <w:lang w:val="ru-RU"/>
        </w:rPr>
        <w:t xml:space="preserve"> </w:t>
      </w:r>
      <w:r w:rsidRPr="00D331F8">
        <w:rPr>
          <w:lang w:eastAsia="bg-BG"/>
        </w:rPr>
        <w:t xml:space="preserve">гранули за перорален разтвор съдържа 2400 </w:t>
      </w:r>
      <w:r w:rsidRPr="00D331F8">
        <w:rPr>
          <w:lang w:val="en-US"/>
        </w:rPr>
        <w:t>mg</w:t>
      </w:r>
      <w:r w:rsidRPr="00D331F8">
        <w:rPr>
          <w:lang w:val="ru-RU"/>
        </w:rPr>
        <w:t xml:space="preserve"> </w:t>
      </w:r>
      <w:r w:rsidRPr="00D331F8">
        <w:rPr>
          <w:lang w:eastAsia="bg-BG"/>
        </w:rPr>
        <w:t xml:space="preserve">пирацетам </w:t>
      </w:r>
      <w:r w:rsidRPr="00D331F8">
        <w:rPr>
          <w:i/>
          <w:iCs/>
          <w:lang w:val="ru-RU"/>
        </w:rPr>
        <w:t>(</w:t>
      </w:r>
      <w:proofErr w:type="spellStart"/>
      <w:r w:rsidRPr="00D331F8">
        <w:rPr>
          <w:i/>
          <w:iCs/>
          <w:lang w:val="en-US"/>
        </w:rPr>
        <w:t>piracetam</w:t>
      </w:r>
      <w:proofErr w:type="spellEnd"/>
      <w:r w:rsidRPr="00D331F8">
        <w:rPr>
          <w:i/>
          <w:iCs/>
          <w:lang w:val="ru-RU"/>
        </w:rPr>
        <w:t>).</w:t>
      </w:r>
    </w:p>
    <w:p w14:paraId="7D025846" w14:textId="77777777" w:rsidR="00D331F8" w:rsidRDefault="00D331F8" w:rsidP="00D331F8">
      <w:pPr>
        <w:rPr>
          <w:lang w:eastAsia="bg-BG"/>
        </w:rPr>
      </w:pPr>
    </w:p>
    <w:p w14:paraId="38654DFB" w14:textId="216D6682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>Помощни вещества с известно действие: манитол и аспартам.</w:t>
      </w:r>
    </w:p>
    <w:p w14:paraId="5C9E47B5" w14:textId="77777777" w:rsidR="00D331F8" w:rsidRPr="00D331F8" w:rsidRDefault="00D331F8" w:rsidP="00D331F8"/>
    <w:p w14:paraId="614984C4" w14:textId="5E016778" w:rsidR="008A6AF2" w:rsidRDefault="00DD466D" w:rsidP="002C50EE">
      <w:pPr>
        <w:pStyle w:val="Heading1"/>
      </w:pPr>
      <w:r>
        <w:t>3. ЛЕКАРСТВЕНА ФОРМА</w:t>
      </w:r>
    </w:p>
    <w:p w14:paraId="76EB521D" w14:textId="3CBA157A" w:rsidR="00D331F8" w:rsidRDefault="00D331F8" w:rsidP="00D331F8"/>
    <w:p w14:paraId="338B0B1C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>Гранули за перорален разтвор.</w:t>
      </w:r>
    </w:p>
    <w:p w14:paraId="49D6B55F" w14:textId="7835FF05" w:rsidR="00D331F8" w:rsidRPr="00D331F8" w:rsidRDefault="00D331F8" w:rsidP="00D331F8">
      <w:r w:rsidRPr="00D331F8">
        <w:rPr>
          <w:lang w:eastAsia="bg-BG"/>
        </w:rPr>
        <w:t>Бели до почти жълтеникави гранули с мирис на портокал.</w:t>
      </w:r>
    </w:p>
    <w:p w14:paraId="490FC2C4" w14:textId="6899DE43" w:rsidR="002C50EE" w:rsidRDefault="002C50EE" w:rsidP="002C50EE">
      <w:pPr>
        <w:pStyle w:val="Heading1"/>
      </w:pPr>
      <w:r>
        <w:t>4. КЛИНИЧНИ ДАННИ</w:t>
      </w:r>
    </w:p>
    <w:p w14:paraId="0771830A" w14:textId="4A855874" w:rsidR="00DB32D3" w:rsidRDefault="002C50EE" w:rsidP="005726E3">
      <w:pPr>
        <w:pStyle w:val="Heading2"/>
      </w:pPr>
      <w:r>
        <w:t>4.1. Терапевтични показания</w:t>
      </w:r>
    </w:p>
    <w:p w14:paraId="789F3ADF" w14:textId="0FA269F6" w:rsidR="00D331F8" w:rsidRDefault="00D331F8" w:rsidP="00D331F8"/>
    <w:p w14:paraId="1A562400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Възрастни:</w:t>
      </w:r>
    </w:p>
    <w:p w14:paraId="65FD783E" w14:textId="77777777" w:rsidR="00D331F8" w:rsidRPr="00D331F8" w:rsidRDefault="00D331F8" w:rsidP="00D331F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331F8">
        <w:rPr>
          <w:rFonts w:eastAsia="Times New Roman" w:cs="Arial"/>
          <w:color w:val="000000"/>
          <w:lang w:eastAsia="bg-BG"/>
        </w:rPr>
        <w:t>Симптоматично лечение на психо-органичен синдром със следните прояви: нарушение на паметта, нарушения на вниманието и липса на мотивация.</w:t>
      </w:r>
    </w:p>
    <w:p w14:paraId="5501AF59" w14:textId="77777777" w:rsidR="00D331F8" w:rsidRPr="00D331F8" w:rsidRDefault="00D331F8" w:rsidP="00D331F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331F8">
        <w:rPr>
          <w:rFonts w:eastAsia="Times New Roman" w:cs="Arial"/>
          <w:color w:val="000000"/>
          <w:lang w:eastAsia="bg-BG"/>
        </w:rPr>
        <w:t>Лечение на кортикален миоклонус, самостоятелно или в комбинация.</w:t>
      </w:r>
    </w:p>
    <w:p w14:paraId="17170E21" w14:textId="77777777" w:rsidR="00D331F8" w:rsidRPr="00D331F8" w:rsidRDefault="00D331F8" w:rsidP="00D331F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331F8">
        <w:rPr>
          <w:rFonts w:eastAsia="Times New Roman" w:cs="Arial"/>
          <w:color w:val="000000"/>
          <w:lang w:eastAsia="bg-BG"/>
        </w:rPr>
        <w:t>Лечение на вертиго и свързаните с него нарушения на равновесието, с изключение на замаяност от вазомоторен или психичен произход.</w:t>
      </w:r>
    </w:p>
    <w:p w14:paraId="02FCDFC5" w14:textId="3D76F162" w:rsidR="00D331F8" w:rsidRPr="00D331F8" w:rsidRDefault="00D331F8" w:rsidP="00D331F8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331F8">
        <w:rPr>
          <w:rFonts w:eastAsia="Times New Roman" w:cs="Arial"/>
          <w:color w:val="000000"/>
          <w:lang w:eastAsia="bg-BG"/>
        </w:rPr>
        <w:t>За профилактика и ремисия на сърповидно-клетъчна вазо-оклузивна криза.</w:t>
      </w:r>
    </w:p>
    <w:p w14:paraId="5FD580C8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A2147F5" w14:textId="00A5485B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Деца:</w:t>
      </w:r>
    </w:p>
    <w:p w14:paraId="4224C348" w14:textId="77777777" w:rsidR="00D331F8" w:rsidRPr="00D331F8" w:rsidRDefault="00D331F8" w:rsidP="00D331F8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331F8">
        <w:rPr>
          <w:rFonts w:eastAsia="Times New Roman" w:cs="Arial"/>
          <w:color w:val="000000"/>
          <w:lang w:eastAsia="bg-BG"/>
        </w:rPr>
        <w:t>Лечение на дислексия в комбинация с подходящи мерки, като говорна терапия.</w:t>
      </w:r>
    </w:p>
    <w:p w14:paraId="0431AC22" w14:textId="5D73E4FE" w:rsidR="00D331F8" w:rsidRPr="00D331F8" w:rsidRDefault="00D331F8" w:rsidP="00D331F8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D331F8">
        <w:rPr>
          <w:rFonts w:eastAsia="Times New Roman" w:cs="Arial"/>
          <w:color w:val="000000"/>
          <w:lang w:eastAsia="bg-BG"/>
        </w:rPr>
        <w:t>За профилактика и ремисия на сърповидно-клетъчна вазо-оклузивна криза.</w:t>
      </w:r>
    </w:p>
    <w:p w14:paraId="64C7BA09" w14:textId="77777777" w:rsidR="00D331F8" w:rsidRPr="00D331F8" w:rsidRDefault="00D331F8" w:rsidP="00D331F8"/>
    <w:p w14:paraId="7647A102" w14:textId="2D434A66" w:rsidR="00DB32D3" w:rsidRDefault="002C50EE" w:rsidP="005726E3">
      <w:pPr>
        <w:pStyle w:val="Heading2"/>
      </w:pPr>
      <w:r>
        <w:t>4.2. Дозировка и начин на приложение</w:t>
      </w:r>
    </w:p>
    <w:p w14:paraId="0989F3BD" w14:textId="0C58547B" w:rsidR="00D331F8" w:rsidRDefault="00D331F8" w:rsidP="00D331F8"/>
    <w:p w14:paraId="3234F79C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u w:val="single"/>
          <w:lang w:eastAsia="bg-BG"/>
        </w:rPr>
        <w:t>Дозировка</w:t>
      </w:r>
    </w:p>
    <w:p w14:paraId="1176B622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350BF0B8" w14:textId="0C757784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В зависимост от показанията са определени следните дневни дози:</w:t>
      </w:r>
    </w:p>
    <w:p w14:paraId="5FE22306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lang w:eastAsia="bg-BG"/>
        </w:rPr>
      </w:pPr>
    </w:p>
    <w:p w14:paraId="261E938B" w14:textId="637D7AF0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Възрастни:</w:t>
      </w:r>
    </w:p>
    <w:p w14:paraId="39B157AE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bookmarkStart w:id="1" w:name="bookmark0"/>
    </w:p>
    <w:p w14:paraId="7E0F0705" w14:textId="1235EC2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Симптоматично лечение на психо-органичен синдром</w:t>
      </w:r>
      <w:bookmarkEnd w:id="1"/>
    </w:p>
    <w:p w14:paraId="218D4E9E" w14:textId="01669538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Препоръчваната дневна доза варира от 2,4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до 4,8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разделени на два или три приема</w:t>
      </w:r>
    </w:p>
    <w:p w14:paraId="5777385E" w14:textId="13BA62BE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5A2D2FEF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Лечение на миоклонус с кортикален произход</w:t>
      </w:r>
    </w:p>
    <w:p w14:paraId="1294D173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Дневната доза трябва да започне с 7,2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и да се увеличава с 4,8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на всеки три или четири дни до максимума от 24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разпредена на два или три приема. Леченито с другите противомиоклонични лекарствени продукти трябва да се запази в същата доза. В зависимост от постигнатия клиничен резултат, ако е възможно, дозировката на другите подобни лекарства трябва да се намали.</w:t>
      </w:r>
    </w:p>
    <w:p w14:paraId="7233D249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Веднъж започнало, лечението с пирацетам трябва да продължи докато продължава и първоначалното церебрално заболяване.</w:t>
      </w:r>
    </w:p>
    <w:p w14:paraId="49172C7C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При пациенти с остър епизод, може да се получи спонтанна еволюция след време, затова на всеки 6 месеца трябва да се опитва намаляване на дозата или прекъсване на лечението. Това трябва да става чрез намаляване дозата на пирацетам с 1,2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на всеки два дни (на всеки 3 или 4 дни при синдром на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Lance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и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Adams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за да се предотврати възможността за внезапно влошаване или възобновяване на пристъпите).</w:t>
      </w:r>
    </w:p>
    <w:p w14:paraId="495CFECB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bookmarkStart w:id="2" w:name="bookmark2"/>
    </w:p>
    <w:p w14:paraId="19127587" w14:textId="71A45BA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Лечение на вертиго</w:t>
      </w:r>
      <w:bookmarkEnd w:id="2"/>
    </w:p>
    <w:p w14:paraId="743385C5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Препоръчваната дневна доза варира от 2,4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до 4,8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разделена на два или три приема.</w:t>
      </w:r>
    </w:p>
    <w:p w14:paraId="28BCD583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bookmarkStart w:id="3" w:name="bookmark4"/>
    </w:p>
    <w:p w14:paraId="779FCC93" w14:textId="0FA78598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За профилактика и ремисия на сърповидно-клетъчна вазо-оклузивна криза</w:t>
      </w:r>
      <w:bookmarkEnd w:id="3"/>
    </w:p>
    <w:p w14:paraId="487826E7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Препоръчваната дневна доза за профилактика е 160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kg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(0,8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ml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kg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),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перорално, разделена на четири приема.</w:t>
      </w:r>
    </w:p>
    <w:p w14:paraId="44793D5D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Препоръчваната дневна доза за ремисия е 300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kg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интравенозно, разделена на четири приема (използват се формите за инжекционно и инфузионно приложение).</w:t>
      </w:r>
    </w:p>
    <w:p w14:paraId="7A3403A1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Доза по-ниска от 160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kg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или нередовен прием е възможно да доведе до подновяване на кризата.</w:t>
      </w:r>
    </w:p>
    <w:p w14:paraId="3BF96E5B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lang w:eastAsia="bg-BG"/>
        </w:rPr>
      </w:pPr>
    </w:p>
    <w:p w14:paraId="387C3871" w14:textId="0CC350A4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Педиатрична популация</w:t>
      </w:r>
    </w:p>
    <w:p w14:paraId="16491550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bookmarkStart w:id="4" w:name="bookmark6"/>
    </w:p>
    <w:p w14:paraId="108E11C2" w14:textId="6F57CC64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За профилактика и ремисия на сърповидно-клетъчна вазо-оклузивна криза</w:t>
      </w:r>
      <w:bookmarkEnd w:id="4"/>
    </w:p>
    <w:p w14:paraId="354BF6A0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Препоръчваната дневна доза за профилактика е 160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kg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3E4125FA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Препоръчваната дневна доза за ремисия е 300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kg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интравенозно.</w:t>
      </w:r>
    </w:p>
    <w:p w14:paraId="645AB718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Доза по-ниска от 160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kg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или нередовен прием е възможно да доведе до подновяване на кризата.</w:t>
      </w:r>
    </w:p>
    <w:p w14:paraId="072EF44E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Пирацетам може да се прилага при деца над 3 години страдащи от сърповидно-клетъчна анемия в режима на препоръчваните дневни дози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kg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.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Пирацетам е прилаган при ограничен брой деца от 1 до 3 години.</w:t>
      </w:r>
    </w:p>
    <w:p w14:paraId="32DBE0DD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bookmarkStart w:id="5" w:name="bookmark8"/>
    </w:p>
    <w:p w14:paraId="2F5F0CFC" w14:textId="6B0B7D89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Лечение на дислексия в комбинация с говорна терапия</w:t>
      </w:r>
      <w:bookmarkEnd w:id="5"/>
    </w:p>
    <w:p w14:paraId="6C81DF4F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При деца над 8 години и юноши препоръчваната дневна доза е около 3,2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разделени на два приема.</w:t>
      </w:r>
    </w:p>
    <w:p w14:paraId="2F10A6E3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lang w:eastAsia="bg-BG"/>
        </w:rPr>
      </w:pPr>
    </w:p>
    <w:p w14:paraId="4D60C9A4" w14:textId="384E4DEF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Старческа възраст</w:t>
      </w:r>
    </w:p>
    <w:p w14:paraId="152480CE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Адаптиране на дозата се препоръчва при пациенти в старческа възраст с нарушена бъбречна функция (виж по-долу " </w:t>
      </w:r>
      <w:r w:rsidRPr="00D331F8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Пациенти с бъбречно увреждане").</w:t>
      </w:r>
    </w:p>
    <w:p w14:paraId="346E2BB7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Продължителното лечение при пациенти в старческа възраст изисква редовен контрол на креатининовия клирънс с цел адаптиране на дозата при необходимост.</w:t>
      </w:r>
    </w:p>
    <w:p w14:paraId="066358A7" w14:textId="77777777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lang w:eastAsia="bg-BG"/>
        </w:rPr>
      </w:pPr>
    </w:p>
    <w:p w14:paraId="018FCCE6" w14:textId="2CDF1CDF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Пациенти с бъбречно увреждане</w:t>
      </w:r>
    </w:p>
    <w:p w14:paraId="6B24D126" w14:textId="77777777" w:rsidR="00D331F8" w:rsidRP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Дневната доза трябва да се индивидуализира в зависимост от бъбречната функция. Използвайте приложената таблица за адаптиране на дозата. За прилагането на тази таблица е необходимо да се определи креатининовия клирънс на пациента 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(</w:t>
      </w:r>
      <w:proofErr w:type="spellStart"/>
      <w:r w:rsidRPr="00D331F8">
        <w:rPr>
          <w:rFonts w:ascii="Times New Roman" w:eastAsia="Times New Roman" w:hAnsi="Times New Roman" w:cs="Times New Roman"/>
          <w:color w:val="000000"/>
          <w:lang w:val="en-US"/>
        </w:rPr>
        <w:t>CLcr</w:t>
      </w:r>
      <w:proofErr w:type="spellEnd"/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),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изразен в 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ml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min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. </w:t>
      </w:r>
      <w:proofErr w:type="spellStart"/>
      <w:r w:rsidRPr="00D331F8">
        <w:rPr>
          <w:rFonts w:ascii="Times New Roman" w:eastAsia="Times New Roman" w:hAnsi="Times New Roman" w:cs="Times New Roman"/>
          <w:color w:val="000000"/>
          <w:lang w:val="en-US"/>
        </w:rPr>
        <w:t>CLcr</w:t>
      </w:r>
      <w:proofErr w:type="spellEnd"/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ml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min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 xml:space="preserve">може да се определи от серумния креатинин 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(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mg</w:t>
      </w:r>
      <w:r w:rsidRPr="00D331F8">
        <w:rPr>
          <w:rFonts w:ascii="Times New Roman" w:eastAsia="Times New Roman" w:hAnsi="Times New Roman" w:cs="Times New Roman"/>
          <w:color w:val="000000"/>
          <w:lang w:val="ru-RU"/>
        </w:rPr>
        <w:t>/</w:t>
      </w:r>
      <w:r w:rsidRPr="00D331F8">
        <w:rPr>
          <w:rFonts w:ascii="Times New Roman" w:eastAsia="Times New Roman" w:hAnsi="Times New Roman" w:cs="Times New Roman"/>
          <w:color w:val="000000"/>
          <w:lang w:val="en-US"/>
        </w:rPr>
        <w:t>dl</w:t>
      </w:r>
      <w:r w:rsidRPr="00D331F8">
        <w:rPr>
          <w:rFonts w:ascii="Times New Roman" w:eastAsia="Times New Roman" w:hAnsi="Times New Roman" w:cs="Times New Roman"/>
          <w:color w:val="000000"/>
          <w:lang w:eastAsia="bg-BG"/>
        </w:rPr>
        <w:t>) с помощта на следната формула:</w:t>
      </w:r>
    </w:p>
    <w:p w14:paraId="706AC3E0" w14:textId="7E789051" w:rsidR="00D331F8" w:rsidRDefault="00D331F8" w:rsidP="00D331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457AD2" w14:textId="348C32BC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CLcr=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 xml:space="preserve">[140 - възрастта (години)] х теглото </m:t>
              </m:r>
              <m:r>
                <w:rPr>
                  <w:rFonts w:ascii="Cambria Math" w:hAnsi="Cambria Math" w:cs="Arial"/>
                  <w:lang w:val="en-US"/>
                </w:rPr>
                <m:t>(kg)</m:t>
              </m:r>
            </m:num>
            <m:den>
              <m:r>
                <w:rPr>
                  <w:rFonts w:ascii="Cambria Math" w:hAnsi="Cambria Math" w:cs="Arial"/>
                </w:rPr>
                <m:t xml:space="preserve">72 </m:t>
              </m:r>
              <m:r>
                <w:rPr>
                  <w:rFonts w:ascii="Cambria Math" w:hAnsi="Cambria Math" w:cs="Arial"/>
                  <w:lang w:val="en-US"/>
                </w:rPr>
                <m:t xml:space="preserve">x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 xml:space="preserve">серумен креатинин </m:t>
              </m:r>
              <m:r>
                <w:rPr>
                  <w:rFonts w:ascii="Cambria Math" w:hAnsi="Cambria Math" w:cs="Arial"/>
                  <w:lang w:val="en-US"/>
                </w:rPr>
                <m:t>(mg/dl)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 xml:space="preserve"> (х 0,85 при жени)</m:t>
          </m:r>
        </m:oMath>
      </m:oMathPara>
    </w:p>
    <w:p w14:paraId="33ADBCB7" w14:textId="44205690" w:rsidR="00D331F8" w:rsidRDefault="00D331F8" w:rsidP="00D331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8"/>
        <w:gridCol w:w="3124"/>
        <w:gridCol w:w="3128"/>
      </w:tblGrid>
      <w:tr w:rsidR="00D331F8" w14:paraId="691485BD" w14:textId="77777777" w:rsidTr="00D331F8">
        <w:tc>
          <w:tcPr>
            <w:tcW w:w="3192" w:type="dxa"/>
          </w:tcPr>
          <w:p w14:paraId="67134A02" w14:textId="3C5D58E0" w:rsidR="00D331F8" w:rsidRDefault="00D331F8" w:rsidP="00D331F8">
            <w:r>
              <w:rPr>
                <w:b/>
                <w:bCs/>
              </w:rPr>
              <w:t>Група</w:t>
            </w:r>
          </w:p>
        </w:tc>
        <w:tc>
          <w:tcPr>
            <w:tcW w:w="3192" w:type="dxa"/>
          </w:tcPr>
          <w:p w14:paraId="6A0B0E08" w14:textId="64275593" w:rsidR="00D331F8" w:rsidRDefault="00D331F8" w:rsidP="00D331F8">
            <w:r>
              <w:rPr>
                <w:b/>
                <w:bCs/>
              </w:rPr>
              <w:t>Креатининовия клирънс</w:t>
            </w:r>
          </w:p>
        </w:tc>
        <w:tc>
          <w:tcPr>
            <w:tcW w:w="3192" w:type="dxa"/>
          </w:tcPr>
          <w:p w14:paraId="45264AE8" w14:textId="540ADE30" w:rsidR="00D331F8" w:rsidRDefault="00D331F8" w:rsidP="00D331F8">
            <w:r>
              <w:rPr>
                <w:b/>
                <w:bCs/>
              </w:rPr>
              <w:t>Доза и честота на прилагане</w:t>
            </w:r>
          </w:p>
        </w:tc>
      </w:tr>
      <w:tr w:rsidR="00D331F8" w14:paraId="161C79C2" w14:textId="77777777" w:rsidTr="00D331F8">
        <w:tc>
          <w:tcPr>
            <w:tcW w:w="3192" w:type="dxa"/>
          </w:tcPr>
          <w:p w14:paraId="535B8D3C" w14:textId="3FFAC5F5" w:rsidR="00D331F8" w:rsidRDefault="00D331F8" w:rsidP="00D331F8">
            <w:r>
              <w:rPr>
                <w:i/>
                <w:iCs/>
              </w:rPr>
              <w:t>Нормална</w:t>
            </w:r>
          </w:p>
        </w:tc>
        <w:tc>
          <w:tcPr>
            <w:tcW w:w="3192" w:type="dxa"/>
          </w:tcPr>
          <w:p w14:paraId="7A460E03" w14:textId="12891EC6" w:rsidR="00D331F8" w:rsidRDefault="00D331F8" w:rsidP="00D331F8">
            <w:r>
              <w:t>≥80</w:t>
            </w:r>
          </w:p>
        </w:tc>
        <w:tc>
          <w:tcPr>
            <w:tcW w:w="3192" w:type="dxa"/>
          </w:tcPr>
          <w:p w14:paraId="6C947369" w14:textId="316E5272" w:rsidR="00D331F8" w:rsidRDefault="00D331F8" w:rsidP="00D331F8">
            <w:r>
              <w:rPr>
                <w:i/>
                <w:iCs/>
              </w:rPr>
              <w:t>Обичайна дневна доза 2-4 приема</w:t>
            </w:r>
          </w:p>
        </w:tc>
      </w:tr>
      <w:tr w:rsidR="00D331F8" w14:paraId="48F4FA54" w14:textId="77777777" w:rsidTr="00D331F8">
        <w:tc>
          <w:tcPr>
            <w:tcW w:w="3192" w:type="dxa"/>
          </w:tcPr>
          <w:p w14:paraId="5D77CFA2" w14:textId="705DA1F3" w:rsidR="00D331F8" w:rsidRDefault="00D331F8" w:rsidP="00D331F8">
            <w:r>
              <w:rPr>
                <w:i/>
                <w:iCs/>
              </w:rPr>
              <w:t>Лека</w:t>
            </w:r>
          </w:p>
        </w:tc>
        <w:tc>
          <w:tcPr>
            <w:tcW w:w="3192" w:type="dxa"/>
          </w:tcPr>
          <w:p w14:paraId="5865509E" w14:textId="531ACC81" w:rsidR="00D331F8" w:rsidRDefault="00D331F8" w:rsidP="00D331F8">
            <w:r>
              <w:t>50-79</w:t>
            </w:r>
          </w:p>
        </w:tc>
        <w:tc>
          <w:tcPr>
            <w:tcW w:w="3192" w:type="dxa"/>
          </w:tcPr>
          <w:p w14:paraId="41D2A446" w14:textId="462459FD" w:rsidR="00D331F8" w:rsidRDefault="00D331F8" w:rsidP="00D331F8">
            <w:r>
              <w:rPr>
                <w:i/>
                <w:iCs/>
              </w:rPr>
              <w:t>2/3 от обичайна дневна доза 2- 3 приема</w:t>
            </w:r>
          </w:p>
        </w:tc>
      </w:tr>
      <w:tr w:rsidR="00D331F8" w14:paraId="725FFDF0" w14:textId="77777777" w:rsidTr="00D331F8">
        <w:tc>
          <w:tcPr>
            <w:tcW w:w="3192" w:type="dxa"/>
          </w:tcPr>
          <w:p w14:paraId="79344DBE" w14:textId="7B9D12AD" w:rsidR="00D331F8" w:rsidRDefault="00D331F8" w:rsidP="00D331F8">
            <w:r>
              <w:rPr>
                <w:i/>
                <w:iCs/>
              </w:rPr>
              <w:t>Умерена</w:t>
            </w:r>
          </w:p>
        </w:tc>
        <w:tc>
          <w:tcPr>
            <w:tcW w:w="3192" w:type="dxa"/>
          </w:tcPr>
          <w:p w14:paraId="66975B12" w14:textId="53E279E5" w:rsidR="00D331F8" w:rsidRDefault="00D331F8" w:rsidP="00D331F8">
            <w:r>
              <w:t>30-49</w:t>
            </w:r>
          </w:p>
        </w:tc>
        <w:tc>
          <w:tcPr>
            <w:tcW w:w="3192" w:type="dxa"/>
          </w:tcPr>
          <w:p w14:paraId="578DB4DA" w14:textId="326B3A8E" w:rsidR="00D331F8" w:rsidRDefault="00D331F8" w:rsidP="00D331F8">
            <w:r>
              <w:rPr>
                <w:i/>
                <w:iCs/>
              </w:rPr>
              <w:t>1/3 от обичайна дневна доза 2 приема</w:t>
            </w:r>
          </w:p>
        </w:tc>
      </w:tr>
      <w:tr w:rsidR="00D331F8" w14:paraId="3C954FE3" w14:textId="77777777" w:rsidTr="00D331F8">
        <w:tc>
          <w:tcPr>
            <w:tcW w:w="3192" w:type="dxa"/>
          </w:tcPr>
          <w:p w14:paraId="679DCBDB" w14:textId="56B236CC" w:rsidR="00D331F8" w:rsidRDefault="00D331F8" w:rsidP="00D331F8">
            <w:r>
              <w:rPr>
                <w:i/>
                <w:iCs/>
              </w:rPr>
              <w:t>Тежка</w:t>
            </w:r>
          </w:p>
        </w:tc>
        <w:tc>
          <w:tcPr>
            <w:tcW w:w="3192" w:type="dxa"/>
          </w:tcPr>
          <w:p w14:paraId="2BA29183" w14:textId="0DED0874" w:rsidR="00D331F8" w:rsidRDefault="00D331F8" w:rsidP="00D331F8">
            <w:r>
              <w:t>&lt;30</w:t>
            </w:r>
          </w:p>
        </w:tc>
        <w:tc>
          <w:tcPr>
            <w:tcW w:w="3192" w:type="dxa"/>
          </w:tcPr>
          <w:p w14:paraId="16B51939" w14:textId="596A0389" w:rsidR="00D331F8" w:rsidRDefault="00D331F8" w:rsidP="00D331F8">
            <w:r>
              <w:rPr>
                <w:i/>
                <w:iCs/>
              </w:rPr>
              <w:t>1/6 от обичайна дневна доза еднократно</w:t>
            </w:r>
          </w:p>
        </w:tc>
      </w:tr>
      <w:tr w:rsidR="00D331F8" w14:paraId="6C701CD5" w14:textId="77777777" w:rsidTr="00D331F8">
        <w:tc>
          <w:tcPr>
            <w:tcW w:w="3192" w:type="dxa"/>
          </w:tcPr>
          <w:p w14:paraId="47268970" w14:textId="53167DDA" w:rsidR="00D331F8" w:rsidRDefault="00D331F8" w:rsidP="00D331F8">
            <w:r>
              <w:rPr>
                <w:i/>
                <w:iCs/>
              </w:rPr>
              <w:t>Краен стадий на бъбречна недостатъ чност</w:t>
            </w:r>
          </w:p>
        </w:tc>
        <w:tc>
          <w:tcPr>
            <w:tcW w:w="3192" w:type="dxa"/>
          </w:tcPr>
          <w:p w14:paraId="2C735C97" w14:textId="20E7014B" w:rsidR="00D331F8" w:rsidRDefault="00D331F8" w:rsidP="00D331F8">
            <w:r>
              <w:t>—</w:t>
            </w:r>
          </w:p>
        </w:tc>
        <w:tc>
          <w:tcPr>
            <w:tcW w:w="3192" w:type="dxa"/>
          </w:tcPr>
          <w:p w14:paraId="60B3CA98" w14:textId="59295FB4" w:rsidR="00D331F8" w:rsidRDefault="00D331F8" w:rsidP="00D331F8">
            <w:r>
              <w:rPr>
                <w:i/>
                <w:iCs/>
              </w:rPr>
              <w:t>Противопоказно</w:t>
            </w:r>
          </w:p>
        </w:tc>
      </w:tr>
    </w:tbl>
    <w:p w14:paraId="27A59C45" w14:textId="234964D8" w:rsidR="00D331F8" w:rsidRDefault="00D331F8" w:rsidP="00D331F8"/>
    <w:p w14:paraId="744278C9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Пациенти с чернодробно увреждане</w:t>
      </w:r>
    </w:p>
    <w:p w14:paraId="3520BE1E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При пациенти само с чернодробно увреждане не се налага адаптиране на дозата. Адаптиране на дозата се препоръчва при пациенти с чернодробно и бъбречно увреждане (виж по-горе </w:t>
      </w:r>
      <w:r w:rsidRPr="00D331F8">
        <w:rPr>
          <w:rFonts w:eastAsia="Times New Roman" w:cs="Arial"/>
          <w:i/>
          <w:iCs/>
          <w:color w:val="000000"/>
          <w:lang w:eastAsia="bg-BG"/>
        </w:rPr>
        <w:t>Пациенти с бъбречно увреждане).</w:t>
      </w:r>
    </w:p>
    <w:p w14:paraId="115B8DEE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42A4B8E" w14:textId="2052538A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Начин на приложение</w:t>
      </w:r>
    </w:p>
    <w:p w14:paraId="25A16B71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Пирацетам се прилага перорално и може да се приема със или без храна.</w:t>
      </w:r>
    </w:p>
    <w:p w14:paraId="3CA39442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Еднократната доза от гранулите за перорален разтвор се разтваря във вода преди употреба и се изпива веднага.</w:t>
      </w:r>
    </w:p>
    <w:p w14:paraId="6A7B8962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Препоръчва се дневната доза да се раздели на два до четири приема.</w:t>
      </w:r>
    </w:p>
    <w:p w14:paraId="51AE6DE3" w14:textId="77777777" w:rsidR="00D331F8" w:rsidRPr="00D331F8" w:rsidRDefault="00D331F8" w:rsidP="00D331F8"/>
    <w:p w14:paraId="74903285" w14:textId="12863E4A" w:rsidR="00DB32D3" w:rsidRDefault="002C50EE" w:rsidP="005726E3">
      <w:pPr>
        <w:pStyle w:val="Heading2"/>
      </w:pPr>
      <w:r>
        <w:t>4.3. Противопоказания</w:t>
      </w:r>
    </w:p>
    <w:p w14:paraId="43105FDE" w14:textId="663AB052" w:rsidR="00D331F8" w:rsidRDefault="00D331F8" w:rsidP="00D331F8"/>
    <w:p w14:paraId="2FD769C0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>Свръхчувствителност към пирацетам или към други пиролидонови производни, какго и към някое от помощните вещества изброени в точка 6.1.</w:t>
      </w:r>
    </w:p>
    <w:p w14:paraId="7600A770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>Пирацетам е противопоказан при пациенти с церебрална хеморагия.</w:t>
      </w:r>
    </w:p>
    <w:p w14:paraId="122478D7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>Пирацетам е противопоказан при пациенти в краен стадий на бъбречно увреждане.</w:t>
      </w:r>
    </w:p>
    <w:p w14:paraId="1C3C7B0B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>Пирацетам не трябва да се използва при пациенти с хорея на Хънтингтон.</w:t>
      </w:r>
    </w:p>
    <w:p w14:paraId="748B3079" w14:textId="77777777" w:rsidR="00D331F8" w:rsidRPr="00D331F8" w:rsidRDefault="00D331F8" w:rsidP="00D331F8"/>
    <w:p w14:paraId="76DC8E58" w14:textId="57490B8B" w:rsidR="00DB32D3" w:rsidRDefault="002C50EE" w:rsidP="005726E3">
      <w:pPr>
        <w:pStyle w:val="Heading2"/>
      </w:pPr>
      <w:r>
        <w:t>4.4. Специални предупреждения и предпазни мерки при употреба</w:t>
      </w:r>
    </w:p>
    <w:p w14:paraId="284CB654" w14:textId="21FB7E66" w:rsidR="00D331F8" w:rsidRDefault="00D331F8" w:rsidP="00D331F8"/>
    <w:p w14:paraId="096FE689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Ефекти върху тромбоцитната антиагрегация</w:t>
      </w:r>
    </w:p>
    <w:p w14:paraId="24EBC580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Поради ефекта на пирацетам върху тромбоцитната антиагрегация (виж точка 5.1), се препоръчва повишено внимание при пациенти с тежък кръвоизлив, пациенти с риск от кървене, като например стомашно-чревна язва, пациенти с нарушения на хемостазата, пациенти с анамнеза за хеморагичен инсулт, пациенти след големи хирургични интервенции, включително дентална хирургия, както и</w:t>
      </w:r>
    </w:p>
    <w:p w14:paraId="4825A198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пациенти, приемащи лекарства, като антикоагуланти или тромбоцитни антиагреганти, включително ниска доза ацетилсалицилова киселина.</w:t>
      </w:r>
    </w:p>
    <w:p w14:paraId="118858AD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6B51776" w14:textId="70914EC9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Бъбречна недостатъчност</w:t>
      </w:r>
    </w:p>
    <w:p w14:paraId="4C520280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lastRenderedPageBreak/>
        <w:t>Пирацетам се елиминира през бъбреците, поради това е необходимо специално внимание в случаи на бъбречна недостатъчност (виж точка 4.2).</w:t>
      </w:r>
    </w:p>
    <w:p w14:paraId="4C44D307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136D347" w14:textId="36BEAECE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Старческа възраст</w:t>
      </w:r>
    </w:p>
    <w:p w14:paraId="2F53F80D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Продължителното лечение при пациенти в старческа възраст изисква редовен контрол на креатининовия клирънс с цел адаптиране на дозата при необходимост (виж. точка 4.2).</w:t>
      </w:r>
    </w:p>
    <w:p w14:paraId="1CBE0A0E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35FD979" w14:textId="0760843F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Прекъсване</w:t>
      </w:r>
    </w:p>
    <w:p w14:paraId="4F26D8A0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Трябва да се избягва рязкото прекъсване на лечението при пациенти с миоклонус, тъй като това може да доведе до внезапно влошаване или възобновяване на пристъпите.</w:t>
      </w:r>
    </w:p>
    <w:p w14:paraId="76EC55C6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051563B" w14:textId="41947229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Сърповидни клетки</w:t>
      </w:r>
    </w:p>
    <w:p w14:paraId="6B65E2AF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При сърповидно-клетъчното показание, доза по-ниска от 160 </w:t>
      </w:r>
      <w:r w:rsidRPr="00D331F8">
        <w:rPr>
          <w:rFonts w:eastAsia="Times New Roman" w:cs="Arial"/>
          <w:color w:val="000000"/>
          <w:lang w:val="en-US"/>
        </w:rPr>
        <w:t>mg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kg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или нередовен прием е възможно да доведе до подновяване на кризата.</w:t>
      </w:r>
    </w:p>
    <w:p w14:paraId="1372EE39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EB637D4" w14:textId="63A386B0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Пираминол 2400 </w:t>
      </w:r>
      <w:r w:rsidRPr="00D331F8">
        <w:rPr>
          <w:rFonts w:eastAsia="Times New Roman" w:cs="Arial"/>
          <w:color w:val="000000"/>
          <w:lang w:val="en-US"/>
        </w:rPr>
        <w:t>mg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гранули за перорален разтвор съдържа помощните вещества манитол (Е421) и аспартам (Е951).</w:t>
      </w:r>
    </w:p>
    <w:p w14:paraId="6F889B5A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Манитолът може да има слаб лаксативен (разхлабващ) ефект при доза 6,5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или повече пирацетам дневно.</w:t>
      </w:r>
    </w:p>
    <w:p w14:paraId="66BCB5A4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Аспартамът съдържа източник на фенилаланин. Това може да навреди на пациенти с фенилкетонурия.</w:t>
      </w:r>
    </w:p>
    <w:p w14:paraId="51E8A376" w14:textId="64D3CCD2" w:rsidR="00D331F8" w:rsidRPr="00D331F8" w:rsidRDefault="00D331F8" w:rsidP="00D331F8"/>
    <w:p w14:paraId="42354169" w14:textId="77777777" w:rsidR="00D331F8" w:rsidRDefault="002C50EE" w:rsidP="005726E3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</w:p>
    <w:p w14:paraId="7FE14F4F" w14:textId="2C6574CC" w:rsidR="00D331F8" w:rsidRDefault="00D331F8" w:rsidP="005726E3">
      <w:pPr>
        <w:pStyle w:val="Heading2"/>
      </w:pPr>
    </w:p>
    <w:p w14:paraId="7AFA9A4B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Хормони на щитовидната жлеза</w:t>
      </w:r>
    </w:p>
    <w:p w14:paraId="7AFE24CE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При едновременно лечение с тироиден екстракт (ТЗ + Т4) е съобщено за поява на обърканост, раздразнителност и смущения в съня.</w:t>
      </w:r>
    </w:p>
    <w:p w14:paraId="19643F86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2D6F2E4" w14:textId="7E04CE1E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Аценокумарол</w:t>
      </w:r>
    </w:p>
    <w:p w14:paraId="0B30D8A4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Публикуваните резултати от единично сляпо проучване при пациенти с тежка хронична венозна тромбоза показват, че пирацетам 9,6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d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не променя необходимата доза аценокумарол за достигане на </w:t>
      </w:r>
      <w:r w:rsidRPr="00D331F8">
        <w:rPr>
          <w:rFonts w:eastAsia="Times New Roman" w:cs="Arial"/>
          <w:color w:val="000000"/>
          <w:lang w:val="en-US"/>
        </w:rPr>
        <w:t>INR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2,5 до 3,5, но сравнено със самостоятелния ефект на аценокумарол, прибавянето на пирацетам 9,6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d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значително намалява тромбоцитната агрегация, освобождаването на Р - тромбоглобулин, нивата на фибриногена и факторите на </w:t>
      </w:r>
      <w:proofErr w:type="spellStart"/>
      <w:r w:rsidRPr="00D331F8">
        <w:rPr>
          <w:rFonts w:eastAsia="Times New Roman" w:cs="Arial"/>
          <w:color w:val="000000"/>
          <w:lang w:val="en-US"/>
        </w:rPr>
        <w:t>Willenbrand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(VIII: С ; VIII: </w:t>
      </w:r>
      <w:proofErr w:type="spellStart"/>
      <w:r w:rsidRPr="00D331F8">
        <w:rPr>
          <w:rFonts w:eastAsia="Times New Roman" w:cs="Arial"/>
          <w:color w:val="000000"/>
          <w:lang w:val="en-US"/>
        </w:rPr>
        <w:t>vW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: </w:t>
      </w:r>
      <w:r w:rsidRPr="00D331F8">
        <w:rPr>
          <w:rFonts w:eastAsia="Times New Roman" w:cs="Arial"/>
          <w:color w:val="000000"/>
          <w:lang w:val="en-US"/>
        </w:rPr>
        <w:t>Ag</w:t>
      </w:r>
      <w:r w:rsidRPr="00D331F8">
        <w:rPr>
          <w:rFonts w:eastAsia="Times New Roman" w:cs="Arial"/>
          <w:color w:val="000000"/>
          <w:lang w:val="ru-RU"/>
        </w:rPr>
        <w:t xml:space="preserve">; </w:t>
      </w:r>
      <w:r w:rsidRPr="00D331F8">
        <w:rPr>
          <w:rFonts w:eastAsia="Times New Roman" w:cs="Arial"/>
          <w:color w:val="000000"/>
          <w:lang w:eastAsia="bg-BG"/>
        </w:rPr>
        <w:t xml:space="preserve">VIII : </w:t>
      </w:r>
      <w:proofErr w:type="spellStart"/>
      <w:r w:rsidRPr="00D331F8">
        <w:rPr>
          <w:rFonts w:eastAsia="Times New Roman" w:cs="Arial"/>
          <w:color w:val="000000"/>
          <w:lang w:val="en-US"/>
        </w:rPr>
        <w:t>vW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: </w:t>
      </w:r>
      <w:proofErr w:type="spellStart"/>
      <w:r w:rsidRPr="00D331F8">
        <w:rPr>
          <w:rFonts w:eastAsia="Times New Roman" w:cs="Arial"/>
          <w:color w:val="000000"/>
          <w:lang w:val="en-US"/>
        </w:rPr>
        <w:t>RCo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), </w:t>
      </w:r>
      <w:r w:rsidRPr="00D331F8">
        <w:rPr>
          <w:rFonts w:eastAsia="Times New Roman" w:cs="Arial"/>
          <w:color w:val="000000"/>
          <w:lang w:eastAsia="bg-BG"/>
        </w:rPr>
        <w:t>както и намалява вискозитета на кръвта и плазмата.</w:t>
      </w:r>
    </w:p>
    <w:p w14:paraId="49A14FA6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BF3CDD1" w14:textId="35E5BD70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Фармакокинетични взаимодействия</w:t>
      </w:r>
    </w:p>
    <w:p w14:paraId="032BAB47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Възможността за лекарствени взаимодействия в резултат на промени във фармакокинетиката е малка, тъй като приблизително 90% от дозата на пирацетам се отделя с урината в непроменен вид.</w:t>
      </w:r>
    </w:p>
    <w:p w14:paraId="681544DB" w14:textId="77777777" w:rsidR="00D331F8" w:rsidRPr="00D331F8" w:rsidRDefault="00D331F8" w:rsidP="00D331F8">
      <w:pPr>
        <w:spacing w:line="240" w:lineRule="auto"/>
        <w:rPr>
          <w:rFonts w:eastAsia="Times New Roman" w:cs="Arial"/>
          <w:i/>
          <w:iCs/>
          <w:color w:val="000000"/>
          <w:lang w:val="en-US"/>
        </w:rPr>
      </w:pPr>
    </w:p>
    <w:p w14:paraId="3D567DC3" w14:textId="4C79649A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i/>
          <w:iCs/>
          <w:color w:val="000000"/>
          <w:lang w:val="en-US"/>
        </w:rPr>
        <w:t>In</w:t>
      </w:r>
      <w:r w:rsidRPr="00D331F8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D331F8">
        <w:rPr>
          <w:rFonts w:eastAsia="Times New Roman" w:cs="Arial"/>
          <w:i/>
          <w:iCs/>
          <w:color w:val="000000"/>
          <w:lang w:val="en-US"/>
        </w:rPr>
        <w:t>vitro</w:t>
      </w:r>
      <w:r w:rsidRPr="00D331F8">
        <w:rPr>
          <w:rFonts w:eastAsia="Times New Roman" w:cs="Arial"/>
          <w:i/>
          <w:iCs/>
          <w:color w:val="000000"/>
          <w:lang w:val="ru-RU"/>
        </w:rPr>
        <w:t>,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пирацетам не инхибира изоформите на главния човешки чернодробен комплекс цитохром Р450 </w:t>
      </w:r>
      <w:r w:rsidRPr="00D331F8">
        <w:rPr>
          <w:rFonts w:eastAsia="Times New Roman" w:cs="Arial"/>
          <w:color w:val="000000"/>
          <w:lang w:val="ru-RU"/>
        </w:rPr>
        <w:t>(</w:t>
      </w:r>
      <w:r w:rsidRPr="00D331F8">
        <w:rPr>
          <w:rFonts w:eastAsia="Times New Roman" w:cs="Arial"/>
          <w:color w:val="000000"/>
          <w:lang w:val="en-US"/>
        </w:rPr>
        <w:t>CYPIA</w:t>
      </w:r>
      <w:r w:rsidRPr="00D331F8">
        <w:rPr>
          <w:rFonts w:eastAsia="Times New Roman" w:cs="Arial"/>
          <w:color w:val="000000"/>
          <w:lang w:val="ru-RU"/>
        </w:rPr>
        <w:t>2,</w:t>
      </w:r>
      <w:r w:rsidRPr="00D331F8">
        <w:rPr>
          <w:rFonts w:eastAsia="Times New Roman" w:cs="Arial"/>
          <w:color w:val="000000"/>
          <w:lang w:eastAsia="bg-BG"/>
        </w:rPr>
        <w:t xml:space="preserve"> 2В6,2С8,2С9,2С19, 206,</w:t>
      </w:r>
      <w:r w:rsidRPr="00D331F8">
        <w:rPr>
          <w:rFonts w:eastAsia="Times New Roman" w:cs="Arial"/>
          <w:color w:val="000000"/>
          <w:lang w:val="ru-RU"/>
        </w:rPr>
        <w:t>2</w:t>
      </w:r>
      <w:r w:rsidRPr="00D331F8">
        <w:rPr>
          <w:rFonts w:eastAsia="Times New Roman" w:cs="Arial"/>
          <w:color w:val="000000"/>
          <w:lang w:val="en-US"/>
        </w:rPr>
        <w:t>EI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и 4А9/11) при концентрации 142, 426 и 1422 μ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proofErr w:type="spellStart"/>
      <w:r w:rsidRPr="00D331F8">
        <w:rPr>
          <w:rFonts w:eastAsia="Times New Roman" w:cs="Arial"/>
          <w:color w:val="000000"/>
          <w:lang w:val="en-US"/>
        </w:rPr>
        <w:t>nl</w:t>
      </w:r>
      <w:proofErr w:type="spellEnd"/>
      <w:r w:rsidRPr="00D331F8">
        <w:rPr>
          <w:rFonts w:eastAsia="Times New Roman" w:cs="Arial"/>
          <w:color w:val="000000"/>
          <w:lang w:eastAsia="bg-BG"/>
        </w:rPr>
        <w:t xml:space="preserve"> При концентрация 1422 μ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ml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е набюдаван малък инхибиторен ефект на </w:t>
      </w:r>
      <w:r w:rsidRPr="00D331F8">
        <w:rPr>
          <w:rFonts w:eastAsia="Times New Roman" w:cs="Arial"/>
          <w:color w:val="000000"/>
          <w:lang w:val="en-US"/>
        </w:rPr>
        <w:t>CYP</w:t>
      </w:r>
      <w:r w:rsidRPr="00D331F8">
        <w:rPr>
          <w:rFonts w:eastAsia="Times New Roman" w:cs="Arial"/>
          <w:color w:val="000000"/>
          <w:lang w:val="ru-RU"/>
        </w:rPr>
        <w:t>2</w:t>
      </w:r>
      <w:r w:rsidRPr="00D331F8">
        <w:rPr>
          <w:rFonts w:eastAsia="Times New Roman" w:cs="Arial"/>
          <w:color w:val="000000"/>
          <w:lang w:val="en-US"/>
        </w:rPr>
        <w:t>A</w:t>
      </w:r>
      <w:r w:rsidRPr="00D331F8">
        <w:rPr>
          <w:rFonts w:eastAsia="Times New Roman" w:cs="Arial"/>
          <w:color w:val="000000"/>
          <w:lang w:val="ru-RU"/>
        </w:rPr>
        <w:t xml:space="preserve">6 (21%) </w:t>
      </w:r>
      <w:r w:rsidRPr="00D331F8">
        <w:rPr>
          <w:rFonts w:eastAsia="Times New Roman" w:cs="Arial"/>
          <w:color w:val="000000"/>
          <w:lang w:eastAsia="bg-BG"/>
        </w:rPr>
        <w:t>и на</w:t>
      </w:r>
    </w:p>
    <w:p w14:paraId="431F490F" w14:textId="77777777" w:rsidR="00D331F8" w:rsidRPr="00D331F8" w:rsidRDefault="00D331F8" w:rsidP="00D331F8">
      <w:pPr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lastRenderedPageBreak/>
        <w:t xml:space="preserve">3А4/5 (11 %). Въпреки това </w:t>
      </w:r>
      <w:r w:rsidRPr="00D331F8">
        <w:rPr>
          <w:rFonts w:eastAsia="Times New Roman" w:cs="Arial"/>
          <w:color w:val="000000"/>
          <w:lang w:val="en-US"/>
        </w:rPr>
        <w:t>Ki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стойностите за инхибиране на тези две </w:t>
      </w:r>
      <w:r w:rsidRPr="00D331F8">
        <w:rPr>
          <w:rFonts w:eastAsia="Times New Roman" w:cs="Arial"/>
          <w:color w:val="000000"/>
          <w:lang w:val="en-US"/>
        </w:rPr>
        <w:t>CYP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изоформи трябва</w:t>
      </w:r>
      <w:r w:rsidRPr="00D331F8">
        <w:rPr>
          <w:rFonts w:eastAsia="Times New Roman" w:cs="Arial"/>
          <w:color w:val="000000"/>
          <w:lang w:val="ru-RU" w:eastAsia="bg-BG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значително да надвишават 1422 μ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ml</w:t>
      </w:r>
      <w:r w:rsidRPr="00D331F8">
        <w:rPr>
          <w:rFonts w:eastAsia="Times New Roman" w:cs="Arial"/>
          <w:color w:val="000000"/>
          <w:lang w:val="ru-RU"/>
        </w:rPr>
        <w:t xml:space="preserve">. </w:t>
      </w:r>
      <w:r w:rsidRPr="00D331F8">
        <w:rPr>
          <w:rFonts w:eastAsia="Times New Roman" w:cs="Arial"/>
          <w:color w:val="000000"/>
          <w:lang w:eastAsia="bg-BG"/>
        </w:rPr>
        <w:t>Ето защо не се очакват метаболитни взаимодействия на пирацетам с други лекарства.</w:t>
      </w:r>
    </w:p>
    <w:p w14:paraId="3C69C358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24298D2" w14:textId="60C9E52C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Антиепилептични лекарства</w:t>
      </w:r>
    </w:p>
    <w:p w14:paraId="6FED77FE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Дневна доза от 20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пирацетам повече от 4 седмици не променя пика и серумните нива на антиепилептичните лекарства (карбамазепин, фенитоин, фенобарбитал и валпроат) при пациенти с епилепсия, приемащи постоянни дози.</w:t>
      </w:r>
    </w:p>
    <w:p w14:paraId="4FC7B017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42144F6" w14:textId="4077D232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Алкохол</w:t>
      </w:r>
    </w:p>
    <w:p w14:paraId="0B5F443F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Едновременния прием на алкохол не променя серумните нива на пирацетам, както и нивата на алкохола не се променят при 1,6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перорална доза пирацетам.</w:t>
      </w:r>
    </w:p>
    <w:p w14:paraId="62F27C9B" w14:textId="1BA3F825" w:rsidR="00DB32D3" w:rsidRPr="00DB32D3" w:rsidRDefault="00DB32D3" w:rsidP="00D331F8"/>
    <w:p w14:paraId="006BE4EC" w14:textId="7C73611B" w:rsidR="00DB32D3" w:rsidRDefault="002C50EE" w:rsidP="005726E3">
      <w:pPr>
        <w:pStyle w:val="Heading2"/>
      </w:pPr>
      <w:r>
        <w:t>4.6. Фертилитет, бременност и кърмене</w:t>
      </w:r>
    </w:p>
    <w:p w14:paraId="71613574" w14:textId="394C8BAB" w:rsidR="00D331F8" w:rsidRDefault="00D331F8" w:rsidP="00D331F8"/>
    <w:p w14:paraId="04323009" w14:textId="77777777" w:rsidR="00D331F8" w:rsidRPr="00D331F8" w:rsidRDefault="00D331F8" w:rsidP="00D331F8">
      <w:pPr>
        <w:pStyle w:val="Heading3"/>
        <w:rPr>
          <w:rFonts w:eastAsia="Times New Roman"/>
          <w:u w:val="single"/>
        </w:rPr>
      </w:pPr>
      <w:r w:rsidRPr="00D331F8">
        <w:rPr>
          <w:rFonts w:eastAsia="Times New Roman"/>
          <w:u w:val="single"/>
          <w:lang w:eastAsia="bg-BG"/>
        </w:rPr>
        <w:t>Бременност</w:t>
      </w:r>
    </w:p>
    <w:p w14:paraId="14697900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Няма достатъчно данни за употребата на пирацетам при бременни жени. Проучвания при животни не показват пряко или непряко вредно въздействие върху бременността, ембрионалното/фетално развитие, раждането или постнаталното развитие (виж точка 5.3). Пирацетам преминава плацентарната бариера. Нивата у новородени са приблизително 70% до 90% от тези на майката. Пирацетам не трябва да се използва при бременност освен в случай на категорична необходимост, когато ползата надвишава риска и клиничното състояние на бременната майка изисква лечение с пирацетам.</w:t>
      </w:r>
    </w:p>
    <w:p w14:paraId="4F99EF2F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D53C387" w14:textId="46373931" w:rsidR="00D331F8" w:rsidRPr="00D331F8" w:rsidRDefault="00D331F8" w:rsidP="00D331F8">
      <w:pPr>
        <w:pStyle w:val="Heading3"/>
        <w:rPr>
          <w:rFonts w:eastAsia="Times New Roman"/>
          <w:u w:val="single"/>
        </w:rPr>
      </w:pPr>
      <w:r w:rsidRPr="00D331F8">
        <w:rPr>
          <w:rFonts w:eastAsia="Times New Roman"/>
          <w:u w:val="single"/>
          <w:lang w:eastAsia="bg-BG"/>
        </w:rPr>
        <w:t>Кърмене</w:t>
      </w:r>
    </w:p>
    <w:p w14:paraId="0180D34F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Пирацетам се отделя в кърмата. Затова пирацетам не трябва да се прилага по време на кърмене или кърменето трябва да се преустанови, докато се провежда лечение с пирацетам. Трябва да се вземе решение дали да се спре лечението с пирацетам, като се вземе предвид ползата от кърменето за детето и ползата от лечението на майката.</w:t>
      </w:r>
    </w:p>
    <w:p w14:paraId="4896E195" w14:textId="77777777" w:rsidR="00D331F8" w:rsidRPr="00D331F8" w:rsidRDefault="00D331F8" w:rsidP="00D331F8"/>
    <w:p w14:paraId="128BA3A8" w14:textId="2F596DA0" w:rsidR="00DB32D3" w:rsidRDefault="002C50EE" w:rsidP="005726E3">
      <w:pPr>
        <w:pStyle w:val="Heading2"/>
      </w:pPr>
      <w:r>
        <w:t>4.7. Ефекти върху способността за шофиране и работа с машини</w:t>
      </w:r>
    </w:p>
    <w:p w14:paraId="14CF5CA2" w14:textId="72216D98" w:rsidR="00D331F8" w:rsidRDefault="00D331F8" w:rsidP="00D331F8"/>
    <w:p w14:paraId="077649A6" w14:textId="65122ACC" w:rsidR="00D331F8" w:rsidRDefault="00D331F8" w:rsidP="00D331F8">
      <w:pPr>
        <w:rPr>
          <w:lang w:eastAsia="bg-BG"/>
        </w:rPr>
      </w:pPr>
      <w:r w:rsidRPr="00D331F8">
        <w:rPr>
          <w:lang w:eastAsia="bg-BG"/>
        </w:rPr>
        <w:t>Наблюдаваните нежелани лекарствени реакции могат да окажат влияние върху способността за шофиране и работа с машини, което трябва да се има предвид.</w:t>
      </w:r>
    </w:p>
    <w:p w14:paraId="0500BC30" w14:textId="77777777" w:rsidR="00D331F8" w:rsidRPr="00D331F8" w:rsidRDefault="00D331F8" w:rsidP="00D331F8">
      <w:pPr>
        <w:rPr>
          <w:sz w:val="24"/>
          <w:szCs w:val="24"/>
        </w:rPr>
      </w:pPr>
    </w:p>
    <w:p w14:paraId="44CE30A3" w14:textId="08403C62" w:rsidR="007122AD" w:rsidRDefault="002C50EE" w:rsidP="00936AD0">
      <w:pPr>
        <w:pStyle w:val="Heading2"/>
      </w:pPr>
      <w:r>
        <w:t>4.8. Нежелани лекарствени реакции</w:t>
      </w:r>
    </w:p>
    <w:p w14:paraId="23591EE5" w14:textId="2D02FFE0" w:rsidR="00D331F8" w:rsidRDefault="00D331F8" w:rsidP="00D331F8"/>
    <w:p w14:paraId="29591F50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Обобщение на профила на безопасност:</w:t>
      </w:r>
    </w:p>
    <w:p w14:paraId="5B12F7CF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color w:val="000000"/>
          <w:lang w:eastAsia="bg-BG"/>
        </w:rPr>
        <w:t xml:space="preserve">Наличните данни за безопасност от двойно-слепи плацебо-контролирани клинични или фармако- клинични проучвания (взети от </w:t>
      </w:r>
      <w:r w:rsidRPr="00D331F8">
        <w:rPr>
          <w:rFonts w:eastAsia="Times New Roman" w:cs="Arial"/>
          <w:color w:val="000000"/>
          <w:lang w:val="en-US"/>
        </w:rPr>
        <w:t>UCB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val="en-US"/>
        </w:rPr>
        <w:t>Documentation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val="en-US"/>
        </w:rPr>
        <w:t>Data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val="en-US"/>
        </w:rPr>
        <w:t>Bank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val="en-US"/>
        </w:rPr>
        <w:t>June</w:t>
      </w:r>
      <w:r w:rsidRPr="00D331F8">
        <w:rPr>
          <w:rFonts w:eastAsia="Times New Roman" w:cs="Arial"/>
          <w:color w:val="000000"/>
          <w:lang w:val="ru-RU"/>
        </w:rPr>
        <w:t xml:space="preserve"> 1997), </w:t>
      </w:r>
      <w:r w:rsidRPr="00D331F8">
        <w:rPr>
          <w:rFonts w:eastAsia="Times New Roman" w:cs="Arial"/>
          <w:color w:val="000000"/>
          <w:lang w:eastAsia="bg-BG"/>
        </w:rPr>
        <w:t>включващи повече от 3000 пациенти приемали пирацетам, независимо от показанията, лекарствената форма, дневната доза или популационните характеристики.</w:t>
      </w:r>
    </w:p>
    <w:p w14:paraId="3AD9B366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1B99F70" w14:textId="5A8BA8DB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Списък на нежеланите лекарствени реакции:</w:t>
      </w:r>
    </w:p>
    <w:p w14:paraId="00EAC980" w14:textId="77777777" w:rsidR="00D331F8" w:rsidRPr="00D331F8" w:rsidRDefault="00D331F8" w:rsidP="00D331F8">
      <w:pPr>
        <w:rPr>
          <w:rFonts w:eastAsia="Times New Roman" w:cs="Arial"/>
        </w:rPr>
      </w:pPr>
      <w:r w:rsidRPr="00D331F8">
        <w:rPr>
          <w:rFonts w:eastAsia="Times New Roman" w:cs="Arial"/>
          <w:color w:val="000000"/>
          <w:lang w:eastAsia="bg-BG"/>
        </w:rPr>
        <w:t>Нежеланите лекарствени реакции съобщени в клиничните изпитвания и от пост-маркетинговия</w:t>
      </w:r>
      <w:r w:rsidRPr="00D331F8">
        <w:rPr>
          <w:rFonts w:eastAsia="Times New Roman" w:cs="Arial"/>
          <w:smallCaps/>
          <w:color w:val="000000"/>
          <w:lang w:eastAsia="bg-BG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опит са изброени по-долу и са класифицирани според засегнатата система и по честота според наличната информация. В зависимост от честотата, нежеланите реакции могат да бъдат много чести (≥1/10), чести (≥1/100 до &lt;1/10), нечести (≥1/1000 до </w:t>
      </w:r>
      <w:r w:rsidRPr="00D331F8">
        <w:rPr>
          <w:rFonts w:eastAsia="Times New Roman" w:cs="Arial"/>
          <w:color w:val="000000"/>
          <w:lang w:eastAsia="bg-BG"/>
        </w:rPr>
        <w:lastRenderedPageBreak/>
        <w:t>&lt;1/100), редки (≥1/10 000 до &lt;1/1 000),</w:t>
      </w:r>
      <w:r w:rsidRPr="00D331F8">
        <w:rPr>
          <w:rFonts w:eastAsia="Times New Roman" w:cs="Arial"/>
          <w:color w:val="000000"/>
          <w:lang w:val="ru-RU" w:eastAsia="bg-BG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много редки (&lt;1/10 000), с неизвестна честота (от наличните данни не може да бъде направена оценка).</w:t>
      </w:r>
    </w:p>
    <w:p w14:paraId="4A40ECAC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color w:val="000000"/>
          <w:lang w:eastAsia="bg-BG"/>
        </w:rPr>
        <w:t>Данните от пост-маркетинговия опит са недостатъчни, за да подкрепят оценката за честота им в третираната популация.</w:t>
      </w:r>
    </w:p>
    <w:p w14:paraId="06C22D24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37C44CAA" w14:textId="3EBD7F1C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Нарушения на кръвта н лимфната система</w:t>
      </w:r>
    </w:p>
    <w:p w14:paraId="00BDF452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С неизвестна честота:</w:t>
      </w:r>
      <w:r w:rsidRPr="00D331F8">
        <w:rPr>
          <w:rFonts w:eastAsia="Times New Roman" w:cs="Arial"/>
          <w:color w:val="000000"/>
          <w:lang w:eastAsia="bg-BG"/>
        </w:rPr>
        <w:t xml:space="preserve"> хеморагични нарушения.</w:t>
      </w:r>
    </w:p>
    <w:p w14:paraId="5E5D55F6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1252AA1C" w14:textId="624A7AFE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Нарушения на имунната система</w:t>
      </w:r>
    </w:p>
    <w:p w14:paraId="0854B01F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С неизвестна честота:</w:t>
      </w:r>
      <w:r w:rsidRPr="00D331F8">
        <w:rPr>
          <w:rFonts w:eastAsia="Times New Roman" w:cs="Arial"/>
          <w:color w:val="000000"/>
          <w:lang w:eastAsia="bg-BG"/>
        </w:rPr>
        <w:t xml:space="preserve"> анафилакгоидна реакция, свръхчувствителност.</w:t>
      </w:r>
    </w:p>
    <w:p w14:paraId="49F1DCEC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33F539DE" w14:textId="3DB7A99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Психични нарушения</w:t>
      </w:r>
    </w:p>
    <w:p w14:paraId="61B9B600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Чести:</w:t>
      </w:r>
      <w:r w:rsidRPr="00D331F8">
        <w:rPr>
          <w:rFonts w:eastAsia="Times New Roman" w:cs="Arial"/>
          <w:color w:val="000000"/>
          <w:lang w:eastAsia="bg-BG"/>
        </w:rPr>
        <w:t xml:space="preserve"> нервност.</w:t>
      </w:r>
    </w:p>
    <w:p w14:paraId="2C8816F9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Нечести:</w:t>
      </w:r>
      <w:r w:rsidRPr="00D331F8">
        <w:rPr>
          <w:rFonts w:eastAsia="Times New Roman" w:cs="Arial"/>
          <w:color w:val="000000"/>
          <w:lang w:eastAsia="bg-BG"/>
        </w:rPr>
        <w:t xml:space="preserve"> депресия.</w:t>
      </w:r>
    </w:p>
    <w:p w14:paraId="7BE61F14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С неизвестна честота:</w:t>
      </w:r>
      <w:r w:rsidRPr="00D331F8">
        <w:rPr>
          <w:rFonts w:eastAsia="Times New Roman" w:cs="Arial"/>
          <w:color w:val="000000"/>
          <w:lang w:eastAsia="bg-BG"/>
        </w:rPr>
        <w:t xml:space="preserve"> възбуда, тревожност, обърканост, халюцинации.</w:t>
      </w:r>
    </w:p>
    <w:p w14:paraId="2FB27AA8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46432D30" w14:textId="38C31968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Нарушения на нервната система</w:t>
      </w:r>
    </w:p>
    <w:p w14:paraId="1A296C12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Чести:</w:t>
      </w:r>
      <w:r w:rsidRPr="00D331F8">
        <w:rPr>
          <w:rFonts w:eastAsia="Times New Roman" w:cs="Arial"/>
          <w:color w:val="000000"/>
          <w:lang w:eastAsia="bg-BG"/>
        </w:rPr>
        <w:t xml:space="preserve"> хиперкинезия.</w:t>
      </w:r>
    </w:p>
    <w:p w14:paraId="4223BC04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Нечести:</w:t>
      </w:r>
      <w:r w:rsidRPr="00D331F8">
        <w:rPr>
          <w:rFonts w:eastAsia="Times New Roman" w:cs="Arial"/>
          <w:color w:val="000000"/>
          <w:lang w:eastAsia="bg-BG"/>
        </w:rPr>
        <w:t xml:space="preserve"> сомнолентност.</w:t>
      </w:r>
    </w:p>
    <w:p w14:paraId="6FF0B83F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С неизвестна честота:</w:t>
      </w:r>
      <w:r w:rsidRPr="00D331F8">
        <w:rPr>
          <w:rFonts w:eastAsia="Times New Roman" w:cs="Arial"/>
          <w:color w:val="000000"/>
          <w:lang w:eastAsia="bg-BG"/>
        </w:rPr>
        <w:t xml:space="preserve"> атаксия, нарушения в равновесието, влошаване на епилепсията, главоболие, безсъние.</w:t>
      </w:r>
    </w:p>
    <w:p w14:paraId="57F40D41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00D93E14" w14:textId="6D184AA2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Нарушения на ухото и лабиринта</w:t>
      </w:r>
    </w:p>
    <w:p w14:paraId="292F3C0A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С неизвестна честота:</w:t>
      </w:r>
      <w:r w:rsidRPr="00D331F8">
        <w:rPr>
          <w:rFonts w:eastAsia="Times New Roman" w:cs="Arial"/>
          <w:color w:val="000000"/>
          <w:lang w:eastAsia="bg-BG"/>
        </w:rPr>
        <w:t xml:space="preserve"> вертиго.</w:t>
      </w:r>
    </w:p>
    <w:p w14:paraId="3E3EA96E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6" w:name="bookmark10"/>
    </w:p>
    <w:p w14:paraId="141F1D02" w14:textId="48AD5FBD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Стомашно-чревни нарушения</w:t>
      </w:r>
      <w:bookmarkEnd w:id="6"/>
    </w:p>
    <w:p w14:paraId="08A89EBF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С неизвестна честота</w:t>
      </w:r>
      <w:r w:rsidRPr="00D331F8">
        <w:rPr>
          <w:rFonts w:eastAsia="Times New Roman" w:cs="Arial"/>
          <w:color w:val="000000"/>
          <w:lang w:eastAsia="bg-BG"/>
        </w:rPr>
        <w:t>: болка в корема, болка в горната част на корема, диария, гадене, повръщане.</w:t>
      </w:r>
    </w:p>
    <w:p w14:paraId="08D6573C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7" w:name="bookmark12"/>
    </w:p>
    <w:p w14:paraId="47DECC62" w14:textId="04F6BDA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Нарушения на кожата и подкожната тъкан</w:t>
      </w:r>
      <w:bookmarkEnd w:id="7"/>
    </w:p>
    <w:p w14:paraId="49539644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С неизвестна честот :</w:t>
      </w:r>
      <w:r w:rsidRPr="00D331F8">
        <w:rPr>
          <w:rFonts w:eastAsia="Times New Roman" w:cs="Arial"/>
          <w:color w:val="000000"/>
          <w:lang w:eastAsia="bg-BG"/>
        </w:rPr>
        <w:t xml:space="preserve"> ангионевротичен едем, дерматит, пруритус, уртикария.</w:t>
      </w:r>
    </w:p>
    <w:p w14:paraId="4139F14F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8" w:name="bookmark14"/>
    </w:p>
    <w:p w14:paraId="26B89BF3" w14:textId="21DD48AE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Общи нарушения и ефекти на мястото на приложение</w:t>
      </w:r>
      <w:bookmarkEnd w:id="8"/>
    </w:p>
    <w:p w14:paraId="13438CAD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Нечести:</w:t>
      </w:r>
      <w:r w:rsidRPr="00D331F8">
        <w:rPr>
          <w:rFonts w:eastAsia="Times New Roman" w:cs="Arial"/>
          <w:color w:val="000000"/>
          <w:lang w:eastAsia="bg-BG"/>
        </w:rPr>
        <w:t xml:space="preserve"> астения.</w:t>
      </w:r>
    </w:p>
    <w:p w14:paraId="6A795F3B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9" w:name="bookmark16"/>
    </w:p>
    <w:p w14:paraId="217882B2" w14:textId="66EB4315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Изследвания</w:t>
      </w:r>
      <w:bookmarkEnd w:id="9"/>
    </w:p>
    <w:p w14:paraId="273AA2D5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i/>
          <w:iCs/>
          <w:color w:val="000000"/>
          <w:lang w:eastAsia="bg-BG"/>
        </w:rPr>
        <w:t>Чести:</w:t>
      </w:r>
      <w:r w:rsidRPr="00D331F8">
        <w:rPr>
          <w:rFonts w:eastAsia="Times New Roman" w:cs="Arial"/>
          <w:color w:val="000000"/>
          <w:lang w:eastAsia="bg-BG"/>
        </w:rPr>
        <w:t xml:space="preserve"> повишаване на теглото.</w:t>
      </w:r>
    </w:p>
    <w:p w14:paraId="45A66E4D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F8599C0" w14:textId="4D475C22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13682276" w14:textId="77777777" w:rsidR="00D331F8" w:rsidRPr="00D331F8" w:rsidRDefault="00D331F8" w:rsidP="00D331F8">
      <w:pPr>
        <w:spacing w:line="240" w:lineRule="auto"/>
        <w:rPr>
          <w:rFonts w:eastAsia="Times New Roman" w:cs="Arial"/>
        </w:rPr>
      </w:pPr>
      <w:r w:rsidRPr="00D331F8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ул.,Дамян Груев” № 8; 1303 София; тел.: +35 928903417; уебсайт: </w:t>
      </w:r>
      <w:r w:rsidRPr="00D331F8">
        <w:rPr>
          <w:rFonts w:eastAsia="Times New Roman" w:cs="Arial"/>
        </w:rPr>
        <w:fldChar w:fldCharType="begin"/>
      </w:r>
      <w:r w:rsidRPr="00D331F8">
        <w:rPr>
          <w:rFonts w:eastAsia="Times New Roman" w:cs="Arial"/>
        </w:rPr>
        <w:instrText xml:space="preserve"> HYPERLINK "http://www.bda.bg" </w:instrText>
      </w:r>
      <w:r w:rsidRPr="00D331F8">
        <w:rPr>
          <w:rFonts w:eastAsia="Times New Roman" w:cs="Arial"/>
        </w:rPr>
      </w:r>
      <w:r w:rsidRPr="00D331F8">
        <w:rPr>
          <w:rFonts w:eastAsia="Times New Roman" w:cs="Arial"/>
        </w:rPr>
        <w:fldChar w:fldCharType="separate"/>
      </w:r>
      <w:r w:rsidRPr="00D331F8">
        <w:rPr>
          <w:rFonts w:eastAsia="Times New Roman" w:cs="Arial"/>
          <w:color w:val="000000"/>
          <w:u w:val="single"/>
          <w:lang w:val="en-US"/>
        </w:rPr>
        <w:t>www</w:t>
      </w:r>
      <w:r w:rsidRPr="00D331F8">
        <w:rPr>
          <w:rFonts w:eastAsia="Times New Roman" w:cs="Arial"/>
          <w:color w:val="000000"/>
          <w:u w:val="single"/>
          <w:lang w:val="ru-RU"/>
        </w:rPr>
        <w:t>.</w:t>
      </w:r>
      <w:proofErr w:type="spellStart"/>
      <w:r w:rsidRPr="00D331F8">
        <w:rPr>
          <w:rFonts w:eastAsia="Times New Roman" w:cs="Arial"/>
          <w:color w:val="000000"/>
          <w:u w:val="single"/>
          <w:lang w:val="en-US"/>
        </w:rPr>
        <w:t>bda</w:t>
      </w:r>
      <w:proofErr w:type="spellEnd"/>
      <w:r w:rsidRPr="00D331F8">
        <w:rPr>
          <w:rFonts w:eastAsia="Times New Roman" w:cs="Arial"/>
          <w:color w:val="000000"/>
          <w:u w:val="single"/>
          <w:lang w:val="ru-RU"/>
        </w:rPr>
        <w:t>.</w:t>
      </w:r>
      <w:proofErr w:type="spellStart"/>
      <w:r w:rsidRPr="00D331F8">
        <w:rPr>
          <w:rFonts w:eastAsia="Times New Roman" w:cs="Arial"/>
          <w:color w:val="000000"/>
          <w:u w:val="single"/>
          <w:lang w:val="en-US"/>
        </w:rPr>
        <w:t>bg</w:t>
      </w:r>
      <w:proofErr w:type="spellEnd"/>
      <w:r w:rsidRPr="00D331F8">
        <w:rPr>
          <w:rFonts w:eastAsia="Times New Roman" w:cs="Arial"/>
        </w:rPr>
        <w:fldChar w:fldCharType="end"/>
      </w:r>
    </w:p>
    <w:p w14:paraId="671EEF31" w14:textId="15F2CE34" w:rsidR="00D331F8" w:rsidRPr="00D331F8" w:rsidRDefault="00D331F8" w:rsidP="00D331F8"/>
    <w:p w14:paraId="5A87DBA3" w14:textId="1A4A2F07" w:rsidR="007122AD" w:rsidRDefault="002C50EE" w:rsidP="00936AD0">
      <w:pPr>
        <w:pStyle w:val="Heading2"/>
      </w:pPr>
      <w:r>
        <w:t>4.9. Предозиране</w:t>
      </w:r>
    </w:p>
    <w:p w14:paraId="2AFAEEE5" w14:textId="77AB8860" w:rsidR="00D331F8" w:rsidRDefault="00D331F8" w:rsidP="00D331F8"/>
    <w:p w14:paraId="0A9BCC21" w14:textId="5CF0F0FF" w:rsidR="00D331F8" w:rsidRPr="00D331F8" w:rsidRDefault="00D331F8" w:rsidP="00D331F8">
      <w:pPr>
        <w:pStyle w:val="Heading3"/>
        <w:rPr>
          <w:u w:val="single"/>
        </w:rPr>
      </w:pPr>
      <w:r w:rsidRPr="00D331F8">
        <w:rPr>
          <w:u w:val="single"/>
        </w:rPr>
        <w:lastRenderedPageBreak/>
        <w:t>Симптоми</w:t>
      </w:r>
    </w:p>
    <w:p w14:paraId="6B21C7CA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Няма допълнителни нежелани лекарствени реакции, конкретно свързани с предозиране с пирацетам.</w:t>
      </w:r>
    </w:p>
    <w:p w14:paraId="09FA85A6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Най-голямото съобщено предозиране с пирацетам е след перорално приемане на 75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. </w:t>
      </w:r>
      <w:r w:rsidRPr="00D331F8">
        <w:rPr>
          <w:rFonts w:eastAsia="Times New Roman" w:cs="Arial"/>
          <w:color w:val="000000"/>
          <w:lang w:eastAsia="bg-BG"/>
        </w:rPr>
        <w:t>Съобщено е за кървава диария с коремни болки, най-вероятно свързани с прекомерно висока доза на сорбитол, съдържаща се в приетата форма.</w:t>
      </w:r>
    </w:p>
    <w:p w14:paraId="34C4A6E7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AE5EF1E" w14:textId="3F622F7D" w:rsidR="00D331F8" w:rsidRPr="00D331F8" w:rsidRDefault="00D331F8" w:rsidP="00D331F8">
      <w:pPr>
        <w:pStyle w:val="Heading3"/>
        <w:rPr>
          <w:rFonts w:eastAsia="Times New Roman"/>
          <w:u w:val="single"/>
        </w:rPr>
      </w:pPr>
      <w:r w:rsidRPr="00D331F8">
        <w:rPr>
          <w:rFonts w:eastAsia="Times New Roman"/>
          <w:u w:val="single"/>
          <w:lang w:eastAsia="bg-BG"/>
        </w:rPr>
        <w:t>Мерки при предозиране</w:t>
      </w:r>
    </w:p>
    <w:p w14:paraId="12134C7C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След остро, значително предозиране е необходимо изпразване на стомаха чрез стомашна промивка или предизвикване на повръщане. Няма специфичен антидот на пирацетам.</w:t>
      </w:r>
    </w:p>
    <w:p w14:paraId="0969EAD2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Лечението при предозиране е симптоматично и може да включва хемодиализа. Ефективността на отделяне на пирацетама при диализа е от 50 до 60%.</w:t>
      </w:r>
    </w:p>
    <w:p w14:paraId="225A4D71" w14:textId="77777777" w:rsidR="00D331F8" w:rsidRPr="00D331F8" w:rsidRDefault="00D331F8" w:rsidP="00D331F8"/>
    <w:p w14:paraId="02081B24" w14:textId="36FE76F4" w:rsidR="00395555" w:rsidRPr="00395555" w:rsidRDefault="002C50EE" w:rsidP="008A6AF2">
      <w:pPr>
        <w:pStyle w:val="Heading1"/>
      </w:pPr>
      <w:r>
        <w:t>5. ФАРМАКОЛОГИЧНИ СВОЙСТВА</w:t>
      </w:r>
    </w:p>
    <w:p w14:paraId="6339E404" w14:textId="79A90067" w:rsidR="00875EEC" w:rsidRDefault="002C50EE" w:rsidP="005726E3">
      <w:pPr>
        <w:pStyle w:val="Heading2"/>
      </w:pPr>
      <w:r>
        <w:t>5.1. Фармакодинамични свойства</w:t>
      </w:r>
    </w:p>
    <w:p w14:paraId="63817A09" w14:textId="7933869B" w:rsidR="00D331F8" w:rsidRDefault="00D331F8" w:rsidP="00D331F8"/>
    <w:p w14:paraId="21046731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 xml:space="preserve">Фармакотерапевтична група: </w:t>
      </w:r>
      <w:r w:rsidRPr="00D331F8">
        <w:rPr>
          <w:rFonts w:eastAsia="Times New Roman" w:cs="Arial"/>
          <w:color w:val="000000"/>
          <w:lang w:eastAsia="bg-BG"/>
        </w:rPr>
        <w:t xml:space="preserve">Други психостимуланти и ноотропни средства, АТС код: </w:t>
      </w:r>
      <w:r w:rsidRPr="00D331F8">
        <w:rPr>
          <w:rFonts w:eastAsia="Times New Roman" w:cs="Arial"/>
          <w:color w:val="000000"/>
          <w:lang w:val="en-US"/>
        </w:rPr>
        <w:t>N</w:t>
      </w:r>
      <w:r w:rsidRPr="00D331F8">
        <w:rPr>
          <w:rFonts w:eastAsia="Times New Roman" w:cs="Arial"/>
          <w:color w:val="000000"/>
          <w:lang w:val="ru-RU"/>
        </w:rPr>
        <w:t>06</w:t>
      </w:r>
      <w:r w:rsidRPr="00D331F8">
        <w:rPr>
          <w:rFonts w:eastAsia="Times New Roman" w:cs="Arial"/>
          <w:color w:val="000000"/>
          <w:lang w:val="en-US"/>
        </w:rPr>
        <w:t>BX</w:t>
      </w:r>
      <w:r w:rsidRPr="00D331F8">
        <w:rPr>
          <w:rFonts w:eastAsia="Times New Roman" w:cs="Arial"/>
          <w:color w:val="000000"/>
          <w:lang w:val="ru-RU"/>
        </w:rPr>
        <w:t>03.</w:t>
      </w:r>
    </w:p>
    <w:p w14:paraId="40F78D0E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Активното вещество пирацетам е пиролидон </w:t>
      </w:r>
      <w:r w:rsidRPr="00D331F8">
        <w:rPr>
          <w:rFonts w:eastAsia="Times New Roman" w:cs="Arial"/>
          <w:color w:val="000000"/>
          <w:lang w:val="ru-RU"/>
        </w:rPr>
        <w:t>(2-</w:t>
      </w:r>
      <w:proofErr w:type="spellStart"/>
      <w:r w:rsidRPr="00D331F8">
        <w:rPr>
          <w:rFonts w:eastAsia="Times New Roman" w:cs="Arial"/>
          <w:color w:val="000000"/>
          <w:lang w:val="en-US"/>
        </w:rPr>
        <w:t>oxo</w:t>
      </w:r>
      <w:proofErr w:type="spellEnd"/>
      <w:r w:rsidRPr="00D331F8">
        <w:rPr>
          <w:rFonts w:eastAsia="Times New Roman" w:cs="Arial"/>
          <w:color w:val="000000"/>
          <w:lang w:val="ru-RU"/>
        </w:rPr>
        <w:t>-</w:t>
      </w:r>
      <w:r w:rsidRPr="00D331F8">
        <w:rPr>
          <w:rFonts w:eastAsia="Times New Roman" w:cs="Arial"/>
          <w:color w:val="000000"/>
          <w:lang w:val="en-US"/>
        </w:rPr>
        <w:t>l</w:t>
      </w:r>
      <w:r w:rsidRPr="00D331F8">
        <w:rPr>
          <w:rFonts w:eastAsia="Times New Roman" w:cs="Arial"/>
          <w:color w:val="000000"/>
          <w:lang w:val="ru-RU"/>
        </w:rPr>
        <w:t>-</w:t>
      </w:r>
      <w:proofErr w:type="spellStart"/>
      <w:r w:rsidRPr="00D331F8">
        <w:rPr>
          <w:rFonts w:eastAsia="Times New Roman" w:cs="Arial"/>
          <w:color w:val="000000"/>
          <w:lang w:val="en-US"/>
        </w:rPr>
        <w:t>pyrrolidine</w:t>
      </w:r>
      <w:proofErr w:type="spellEnd"/>
      <w:r w:rsidRPr="00D331F8">
        <w:rPr>
          <w:rFonts w:eastAsia="Times New Roman" w:cs="Arial"/>
          <w:color w:val="000000"/>
          <w:lang w:val="ru-RU"/>
        </w:rPr>
        <w:t>-</w:t>
      </w:r>
      <w:proofErr w:type="spellStart"/>
      <w:r w:rsidRPr="00D331F8">
        <w:rPr>
          <w:rFonts w:eastAsia="Times New Roman" w:cs="Arial"/>
          <w:color w:val="000000"/>
          <w:lang w:val="en-US"/>
        </w:rPr>
        <w:t>acetamide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), </w:t>
      </w:r>
      <w:r w:rsidRPr="00D331F8">
        <w:rPr>
          <w:rFonts w:eastAsia="Times New Roman" w:cs="Arial"/>
          <w:color w:val="000000"/>
          <w:lang w:eastAsia="bg-BG"/>
        </w:rPr>
        <w:t xml:space="preserve">циклично производно на гама-аминомаслената киселина </w:t>
      </w:r>
      <w:r w:rsidRPr="00D331F8">
        <w:rPr>
          <w:rFonts w:eastAsia="Times New Roman" w:cs="Arial"/>
          <w:color w:val="000000"/>
          <w:lang w:val="ru-RU"/>
        </w:rPr>
        <w:t>(</w:t>
      </w:r>
      <w:r w:rsidRPr="00D331F8">
        <w:rPr>
          <w:rFonts w:eastAsia="Times New Roman" w:cs="Arial"/>
          <w:color w:val="000000"/>
          <w:lang w:val="en-US"/>
        </w:rPr>
        <w:t>GABA</w:t>
      </w:r>
      <w:r w:rsidRPr="00D331F8">
        <w:rPr>
          <w:rFonts w:eastAsia="Times New Roman" w:cs="Arial"/>
          <w:color w:val="000000"/>
          <w:lang w:val="ru-RU"/>
        </w:rPr>
        <w:t>).</w:t>
      </w:r>
    </w:p>
    <w:p w14:paraId="03DE3487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3EB2C26" w14:textId="377AFA39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Механизъм на действие</w:t>
      </w:r>
    </w:p>
    <w:p w14:paraId="20099462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Наличните данни предполагат, че основния механизъм на действие на пирацетам не е нито клетъчен, нито органоспецифичен. Пирацетам се свързва физически в зависимост от дозата с полярната глава на фосфолипидната мембрана, като предизвиква възстановяване на ламеларната структура на мембраната, характеризиращо се с образуване на подвижен лекарство-фосфолипиден комплекс. Това вероятно обяснява подобряването на мембранната устойчивост, възможността на мембранните и трансмембранни протеини да поддържат и възстановяват три-измерната структура или да проявяват техния ефект.</w:t>
      </w:r>
    </w:p>
    <w:p w14:paraId="2A8E40B4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Пирацетам има невронален и васкуларен ефект.</w:t>
      </w:r>
    </w:p>
    <w:p w14:paraId="3A9991C0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2E550FB6" w14:textId="7E91CE05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Невронален ефект</w:t>
      </w:r>
    </w:p>
    <w:p w14:paraId="10487630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На ниво неврони пирацетам проявява своята мембранна активност по различни пътища. При животните, пирацетам подобрява много видове невротрансмисия, предимно чрез постсинаптично моделиране на рецепторната плътност и активност. При животни и хора функциите, включени в познавателните процеси като обучение, памет, внимание и съзнание са подобрени, както при нормалните индивиди, така и при състояния на недостатъчност, без проява на седативни и психостимулиращи ефекти. Пирацетам запазва и възстановява познавателните способности при животни и хора след различни увреждания на главния мозък като хипоксия, интоксикации и електроконвулсивна терапия. Той предпазва от предизвиканите от хипоксията промени в мозъчната функция и дейност, оценени посредством енцефалография (ЕЕГ) и психометрични изследвания.</w:t>
      </w:r>
    </w:p>
    <w:p w14:paraId="354033C6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46EAC456" w14:textId="30793703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Васкуларен ефект</w:t>
      </w:r>
    </w:p>
    <w:p w14:paraId="3E48B030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Пирацетам проявява своя хемореологичен ефект върху тромбоцитите, еритроцитите и стената на съдовете чрез увеличаване на пластичността на еритроцитите и чрез </w:t>
      </w:r>
      <w:r w:rsidRPr="00D331F8">
        <w:rPr>
          <w:rFonts w:eastAsia="Times New Roman" w:cs="Arial"/>
          <w:color w:val="000000"/>
          <w:lang w:eastAsia="bg-BG"/>
        </w:rPr>
        <w:lastRenderedPageBreak/>
        <w:t>намаляване на тромбоцитната агрегация, еритроцитната адхезия към стените на съдовете и капилярния вазоспазъм.</w:t>
      </w:r>
    </w:p>
    <w:p w14:paraId="3C8F0FD8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59BEFE4" w14:textId="0EB122C1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Ефекти върху еритроцитите</w:t>
      </w:r>
    </w:p>
    <w:p w14:paraId="4A4EB81F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При пациенти със сърповидно-клетъчна анемия, пирацетам подобрява пластичността на еритроцитната мембрана, намалява вискозитета на кръвта и предпазва от образуване на формации.</w:t>
      </w:r>
    </w:p>
    <w:p w14:paraId="0AB4D8F7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8FA633D" w14:textId="575FA11E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Ефекти върху тромбоцитите</w:t>
      </w:r>
    </w:p>
    <w:p w14:paraId="48BDFD2B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В отворено проучване при здрави доброволци и пациенти с феномена на </w:t>
      </w:r>
      <w:r w:rsidRPr="00D331F8">
        <w:rPr>
          <w:rFonts w:eastAsia="Times New Roman" w:cs="Arial"/>
          <w:color w:val="000000"/>
          <w:lang w:val="en-US"/>
        </w:rPr>
        <w:t>Raynaud</w:t>
      </w:r>
      <w:r w:rsidRPr="00D331F8">
        <w:rPr>
          <w:rFonts w:eastAsia="Times New Roman" w:cs="Arial"/>
          <w:color w:val="000000"/>
          <w:lang w:val="ru-RU"/>
        </w:rPr>
        <w:t xml:space="preserve">, </w:t>
      </w:r>
      <w:r w:rsidRPr="00D331F8">
        <w:rPr>
          <w:rFonts w:eastAsia="Times New Roman" w:cs="Arial"/>
          <w:color w:val="000000"/>
          <w:lang w:eastAsia="bg-BG"/>
        </w:rPr>
        <w:t xml:space="preserve">увеличаването на дозата на пирацетам до 12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е било свързано с дозо-зависимо намаление на функциите на тромбоцитите в сравнение със стойностите преди лечението (тест за агрегацията индуцирана от </w:t>
      </w:r>
      <w:r w:rsidRPr="00D331F8">
        <w:rPr>
          <w:rFonts w:eastAsia="Times New Roman" w:cs="Arial"/>
          <w:color w:val="000000"/>
          <w:lang w:val="en-US"/>
        </w:rPr>
        <w:t>ADP</w:t>
      </w:r>
      <w:r w:rsidRPr="00D331F8">
        <w:rPr>
          <w:rFonts w:eastAsia="Times New Roman" w:cs="Arial"/>
          <w:color w:val="000000"/>
          <w:lang w:val="ru-RU"/>
        </w:rPr>
        <w:t xml:space="preserve">, </w:t>
      </w:r>
      <w:r w:rsidRPr="00D331F8">
        <w:rPr>
          <w:rFonts w:eastAsia="Times New Roman" w:cs="Arial"/>
          <w:color w:val="000000"/>
          <w:lang w:eastAsia="bg-BG"/>
        </w:rPr>
        <w:t xml:space="preserve">колаген, епинефрин и освобождаване на </w:t>
      </w:r>
      <w:r w:rsidRPr="00D331F8">
        <w:rPr>
          <w:rFonts w:eastAsia="Times New Roman" w:cs="Arial"/>
          <w:color w:val="000000"/>
          <w:lang w:val="en-US"/>
        </w:rPr>
        <w:t>BTG</w:t>
      </w:r>
      <w:r w:rsidRPr="00D331F8">
        <w:rPr>
          <w:rFonts w:eastAsia="Times New Roman" w:cs="Arial"/>
          <w:color w:val="000000"/>
          <w:lang w:val="ru-RU"/>
        </w:rPr>
        <w:t xml:space="preserve">), </w:t>
      </w:r>
      <w:r w:rsidRPr="00D331F8">
        <w:rPr>
          <w:rFonts w:eastAsia="Times New Roman" w:cs="Arial"/>
          <w:color w:val="000000"/>
          <w:lang w:eastAsia="bg-BG"/>
        </w:rPr>
        <w:t>без значителна промяна в броя на тромбоцитите. В тези проучвания пирацетам удължава времето на кървене.</w:t>
      </w:r>
    </w:p>
    <w:p w14:paraId="6E73B090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BA62493" w14:textId="56F41FC5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u w:val="single"/>
          <w:lang w:eastAsia="bg-BG"/>
        </w:rPr>
        <w:t>Ефекти върху кръвоносните съдове</w:t>
      </w:r>
    </w:p>
    <w:p w14:paraId="6FD5FFF4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В проучвания при животни, пирацетам инхибира вазоспазъма и противодейства на ефекта на множество спазмогенни вещества. Той няма вазодилатиращо действие и не предизвиква феномена на „отнемане”, нито намалява, нито увеличава кръвотока, нито има хипотензивен ефект. При здрави доброволци, пирацетам намалява адхезията на еритроцитите към ендотела, както и притежава пряк стимулиращ ефект върху синтезата на простациклините в здравия ендотел.</w:t>
      </w:r>
    </w:p>
    <w:p w14:paraId="0B1A05F2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FC92AB3" w14:textId="67498902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При здрави доброволци, сравнени със стойностите преди лечението, пирацетам до 9,6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намалява плазмените нива на фибриногена и факторите на </w:t>
      </w:r>
      <w:proofErr w:type="spellStart"/>
      <w:r w:rsidRPr="00D331F8">
        <w:rPr>
          <w:rFonts w:eastAsia="Times New Roman" w:cs="Arial"/>
          <w:color w:val="000000"/>
          <w:lang w:val="en-US"/>
        </w:rPr>
        <w:t>Willebrand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(VIII: С ; VIII </w:t>
      </w:r>
      <w:r w:rsidRPr="00D331F8">
        <w:rPr>
          <w:rFonts w:eastAsia="Times New Roman" w:cs="Arial"/>
          <w:color w:val="000000"/>
          <w:lang w:val="en-US"/>
        </w:rPr>
        <w:t>R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val="en-US"/>
        </w:rPr>
        <w:t>AG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; VIII </w:t>
      </w:r>
      <w:r w:rsidRPr="00D331F8">
        <w:rPr>
          <w:rFonts w:eastAsia="Times New Roman" w:cs="Arial"/>
          <w:color w:val="000000"/>
          <w:lang w:val="en-US"/>
        </w:rPr>
        <w:t>R</w:t>
      </w:r>
      <w:r w:rsidRPr="00D331F8">
        <w:rPr>
          <w:rFonts w:eastAsia="Times New Roman" w:cs="Arial"/>
          <w:color w:val="000000"/>
          <w:lang w:eastAsia="bg-BG"/>
        </w:rPr>
        <w:t xml:space="preserve">: </w:t>
      </w:r>
      <w:proofErr w:type="spellStart"/>
      <w:r w:rsidRPr="00D331F8">
        <w:rPr>
          <w:rFonts w:eastAsia="Times New Roman" w:cs="Arial"/>
          <w:color w:val="000000"/>
          <w:lang w:val="en-US"/>
        </w:rPr>
        <w:t>vW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) с 30 до 40% и увеличава времето на кървене. При пациенти с първичен или вторичен феномен на </w:t>
      </w:r>
      <w:r w:rsidRPr="00D331F8">
        <w:rPr>
          <w:rFonts w:eastAsia="Times New Roman" w:cs="Arial"/>
          <w:color w:val="000000"/>
          <w:lang w:val="en-US"/>
        </w:rPr>
        <w:t>Reynaud</w:t>
      </w:r>
      <w:r w:rsidRPr="00D331F8">
        <w:rPr>
          <w:rFonts w:eastAsia="Times New Roman" w:cs="Arial"/>
          <w:color w:val="000000"/>
          <w:lang w:val="ru-RU"/>
        </w:rPr>
        <w:t xml:space="preserve">, </w:t>
      </w:r>
      <w:r w:rsidRPr="00D331F8">
        <w:rPr>
          <w:rFonts w:eastAsia="Times New Roman" w:cs="Arial"/>
          <w:color w:val="000000"/>
          <w:lang w:eastAsia="bg-BG"/>
        </w:rPr>
        <w:t xml:space="preserve">сравнени със стойностите преди лечението, пирацетам 8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d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в продължение на 6 месеца намалява плазмените нива на фибриногена и факторите на </w:t>
      </w:r>
      <w:proofErr w:type="spellStart"/>
      <w:r w:rsidRPr="00D331F8">
        <w:rPr>
          <w:rFonts w:eastAsia="Times New Roman" w:cs="Arial"/>
          <w:color w:val="000000"/>
          <w:lang w:val="en-US"/>
        </w:rPr>
        <w:t>Willebrand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(VIII: С ; VIII </w:t>
      </w:r>
      <w:r w:rsidRPr="00D331F8">
        <w:rPr>
          <w:rFonts w:eastAsia="Times New Roman" w:cs="Arial"/>
          <w:color w:val="000000"/>
          <w:lang w:val="en-US"/>
        </w:rPr>
        <w:t>R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val="en-US"/>
        </w:rPr>
        <w:t>AG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; VIII </w:t>
      </w:r>
      <w:r w:rsidRPr="00D331F8">
        <w:rPr>
          <w:rFonts w:eastAsia="Times New Roman" w:cs="Arial"/>
          <w:color w:val="000000"/>
          <w:lang w:val="en-US"/>
        </w:rPr>
        <w:t>R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: </w:t>
      </w:r>
      <w:proofErr w:type="spellStart"/>
      <w:r w:rsidRPr="00D331F8">
        <w:rPr>
          <w:rFonts w:eastAsia="Times New Roman" w:cs="Arial"/>
          <w:color w:val="000000"/>
          <w:lang w:val="en-US"/>
        </w:rPr>
        <w:t>vW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(</w:t>
      </w:r>
      <w:r w:rsidRPr="00D331F8">
        <w:rPr>
          <w:rFonts w:eastAsia="Times New Roman" w:cs="Arial"/>
          <w:color w:val="000000"/>
          <w:lang w:val="en-US"/>
        </w:rPr>
        <w:t>RCF</w:t>
      </w:r>
      <w:r w:rsidRPr="00D331F8">
        <w:rPr>
          <w:rFonts w:eastAsia="Times New Roman" w:cs="Arial"/>
          <w:color w:val="000000"/>
          <w:lang w:val="ru-RU"/>
        </w:rPr>
        <w:t xml:space="preserve">)) </w:t>
      </w:r>
      <w:r w:rsidRPr="00D331F8">
        <w:rPr>
          <w:rFonts w:eastAsia="Times New Roman" w:cs="Arial"/>
          <w:color w:val="000000"/>
          <w:lang w:eastAsia="bg-BG"/>
        </w:rPr>
        <w:t>с 30 до 40%, намалява плазмения вискозитет и увеличава времето на кървене.</w:t>
      </w:r>
    </w:p>
    <w:p w14:paraId="637806FE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Друго проучване при здрави доброволци не показва статистически значима разлика между пирацетам (до </w:t>
      </w:r>
      <w:r w:rsidRPr="00D331F8">
        <w:rPr>
          <w:rFonts w:eastAsia="Times New Roman" w:cs="Arial"/>
          <w:color w:val="000000"/>
          <w:lang w:val="ru-RU"/>
        </w:rPr>
        <w:t xml:space="preserve">12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два пъти дневно) и плацебо по отношение на ефектите му върху х</w:t>
      </w:r>
      <w:r w:rsidRPr="00D331F8">
        <w:rPr>
          <w:rFonts w:eastAsia="Times New Roman" w:cs="Arial"/>
          <w:color w:val="000000"/>
          <w:lang w:val="en-US"/>
        </w:rPr>
        <w:t>e</w:t>
      </w:r>
      <w:r w:rsidRPr="00D331F8">
        <w:rPr>
          <w:rFonts w:eastAsia="Times New Roman" w:cs="Arial"/>
          <w:color w:val="000000"/>
          <w:lang w:eastAsia="bg-BG"/>
        </w:rPr>
        <w:t>мостазните параметри и времето на кървене.</w:t>
      </w:r>
    </w:p>
    <w:p w14:paraId="48BFD242" w14:textId="77777777" w:rsidR="00D331F8" w:rsidRPr="00D331F8" w:rsidRDefault="00D331F8" w:rsidP="00D331F8"/>
    <w:p w14:paraId="346B622B" w14:textId="2D8AC7EF" w:rsidR="00875EEC" w:rsidRDefault="002C50EE" w:rsidP="005726E3">
      <w:pPr>
        <w:pStyle w:val="Heading2"/>
      </w:pPr>
      <w:r>
        <w:t>5.2. Фармакокинетични свойства</w:t>
      </w:r>
    </w:p>
    <w:p w14:paraId="4024EBFF" w14:textId="637E7D1C" w:rsidR="00D331F8" w:rsidRDefault="00D331F8" w:rsidP="00D331F8"/>
    <w:p w14:paraId="71F410D4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Фармакокинетичният профил на пирацетам е линеен, независещ от времето и с ниска вътреиндивидуална вариабилност за широк дозов диапазон. Това е в съответствие с високия пермеабилитет, висока разтворимост и минималния матаболизъм на пирацетам. Плазменото време на полуживот на пирацетам е 5 часа. То е подобно при възрастни доброволци и пациенти. То е удължено при хора в старческа възраст (главно поради нарушен бъбречен клирънс) и такива с бъбречно увреждане. Постоянни плазмени концентрации се достигат в рамките на 3 дни от приемането.</w:t>
      </w:r>
    </w:p>
    <w:p w14:paraId="235D7F10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B368748" w14:textId="48CE09DF" w:rsidR="00D331F8" w:rsidRPr="00D331F8" w:rsidRDefault="00D331F8" w:rsidP="00D331F8">
      <w:pPr>
        <w:pStyle w:val="Heading3"/>
        <w:rPr>
          <w:rFonts w:eastAsia="Times New Roman"/>
          <w:u w:val="single"/>
        </w:rPr>
      </w:pPr>
      <w:r w:rsidRPr="00D331F8">
        <w:rPr>
          <w:rFonts w:eastAsia="Times New Roman"/>
          <w:u w:val="single"/>
          <w:lang w:eastAsia="bg-BG"/>
        </w:rPr>
        <w:t>Абсорбция</w:t>
      </w:r>
    </w:p>
    <w:p w14:paraId="35F0AF25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Пирацетам се абсорбира бързо и в голяма степен след перорално приложение. При здрави лица пикови плазмени концентрации се достигат 1 час след приема. Абсолютната бионаличност на пирацетам при пероралната форма е близка до 100%. Храната не оказва ефект върху степента на</w:t>
      </w:r>
    </w:p>
    <w:p w14:paraId="7E9E282F" w14:textId="77777777" w:rsidR="00D331F8" w:rsidRPr="00D331F8" w:rsidRDefault="00D331F8" w:rsidP="00D331F8">
      <w:pPr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lastRenderedPageBreak/>
        <w:t>абсорбция на пирацетам, но намалява С</w:t>
      </w:r>
      <w:r w:rsidRPr="00D331F8">
        <w:rPr>
          <w:rFonts w:eastAsia="Times New Roman" w:cs="Arial"/>
          <w:color w:val="000000"/>
          <w:vertAlign w:val="subscript"/>
          <w:lang w:val="en-US"/>
        </w:rPr>
        <w:t>max</w:t>
      </w:r>
      <w:r w:rsidRPr="00D331F8">
        <w:rPr>
          <w:rFonts w:eastAsia="Times New Roman" w:cs="Arial"/>
          <w:color w:val="000000"/>
          <w:lang w:eastAsia="bg-BG"/>
        </w:rPr>
        <w:t xml:space="preserve"> с 17% и увеличава </w:t>
      </w:r>
      <w:proofErr w:type="spellStart"/>
      <w:r w:rsidRPr="00D331F8">
        <w:rPr>
          <w:rFonts w:eastAsia="Times New Roman" w:cs="Arial"/>
          <w:color w:val="000000"/>
          <w:lang w:val="en-US"/>
        </w:rPr>
        <w:t>t</w:t>
      </w:r>
      <w:r w:rsidRPr="00D331F8">
        <w:rPr>
          <w:rFonts w:eastAsia="Times New Roman" w:cs="Arial"/>
          <w:color w:val="000000"/>
          <w:vertAlign w:val="subscript"/>
          <w:lang w:val="en-US"/>
        </w:rPr>
        <w:t>max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от 1 до 1,5 часа</w:t>
      </w:r>
      <w:r w:rsidRPr="00D331F8">
        <w:rPr>
          <w:rFonts w:eastAsia="Times New Roman" w:cs="Arial"/>
          <w:color w:val="000000"/>
          <w:lang w:val="ru-RU" w:eastAsia="bg-BG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Пиковите концентрации са съответно 84 </w:t>
      </w:r>
      <w:r w:rsidRPr="00D331F8">
        <w:rPr>
          <w:rFonts w:eastAsia="Times New Roman" w:cs="Arial"/>
          <w:i/>
          <w:iCs/>
          <w:color w:val="000000"/>
          <w:lang w:eastAsia="bg-BG"/>
        </w:rPr>
        <w:t>μ</w:t>
      </w:r>
      <w:r w:rsidRPr="00D331F8">
        <w:rPr>
          <w:rFonts w:eastAsia="Times New Roman" w:cs="Arial"/>
          <w:i/>
          <w:iCs/>
          <w:color w:val="000000"/>
          <w:lang w:val="en-US"/>
        </w:rPr>
        <w:t>g</w:t>
      </w:r>
      <w:r w:rsidRPr="00D331F8">
        <w:rPr>
          <w:rFonts w:eastAsia="Times New Roman" w:cs="Arial"/>
          <w:i/>
          <w:iCs/>
          <w:color w:val="000000"/>
          <w:lang w:val="ru-RU"/>
        </w:rPr>
        <w:t>/</w:t>
      </w:r>
      <w:r w:rsidRPr="00D331F8">
        <w:rPr>
          <w:rFonts w:eastAsia="Times New Roman" w:cs="Arial"/>
          <w:i/>
          <w:iCs/>
          <w:color w:val="000000"/>
          <w:lang w:val="en-US"/>
        </w:rPr>
        <w:t>ml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и 115 </w:t>
      </w:r>
      <w:r w:rsidRPr="00D331F8">
        <w:rPr>
          <w:rFonts w:eastAsia="Times New Roman" w:cs="Arial"/>
          <w:i/>
          <w:iCs/>
          <w:color w:val="000000"/>
          <w:lang w:eastAsia="bg-BG"/>
        </w:rPr>
        <w:t>μ</w:t>
      </w:r>
      <w:r w:rsidRPr="00D331F8">
        <w:rPr>
          <w:rFonts w:eastAsia="Times New Roman" w:cs="Arial"/>
          <w:i/>
          <w:iCs/>
          <w:color w:val="000000"/>
          <w:lang w:val="en-US"/>
        </w:rPr>
        <w:t>g</w:t>
      </w:r>
      <w:r w:rsidRPr="00D331F8">
        <w:rPr>
          <w:rFonts w:eastAsia="Times New Roman" w:cs="Arial"/>
          <w:i/>
          <w:iCs/>
          <w:color w:val="000000"/>
          <w:lang w:val="ru-RU"/>
        </w:rPr>
        <w:t>/</w:t>
      </w:r>
      <w:r w:rsidRPr="00D331F8">
        <w:rPr>
          <w:rFonts w:eastAsia="Times New Roman" w:cs="Arial"/>
          <w:i/>
          <w:iCs/>
          <w:color w:val="000000"/>
          <w:lang w:val="en-US"/>
        </w:rPr>
        <w:t>ml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след прилагане на единична перорална доза от 3,2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и многократно, три пъти дневно приложение, на доза от 3,2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.</w:t>
      </w:r>
    </w:p>
    <w:p w14:paraId="1729B4C2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4789441" w14:textId="7EAB92BF" w:rsidR="00D331F8" w:rsidRPr="00D331F8" w:rsidRDefault="00D331F8" w:rsidP="00D331F8">
      <w:pPr>
        <w:pStyle w:val="Heading3"/>
        <w:rPr>
          <w:rFonts w:eastAsia="Times New Roman"/>
          <w:u w:val="single"/>
        </w:rPr>
      </w:pPr>
      <w:r w:rsidRPr="00D331F8">
        <w:rPr>
          <w:rFonts w:eastAsia="Times New Roman"/>
          <w:u w:val="single"/>
          <w:lang w:eastAsia="bg-BG"/>
        </w:rPr>
        <w:t>Разпределение</w:t>
      </w:r>
    </w:p>
    <w:p w14:paraId="70DC3AC8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Пирацетам не се свързва с плазмените протеини и обема му на разпределение е приблизително 0,6 </w:t>
      </w:r>
      <w:r w:rsidRPr="00D331F8">
        <w:rPr>
          <w:rFonts w:eastAsia="Times New Roman" w:cs="Arial"/>
          <w:color w:val="000000"/>
          <w:lang w:val="en-US"/>
        </w:rPr>
        <w:t>l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kg</w:t>
      </w:r>
      <w:r w:rsidRPr="00D331F8">
        <w:rPr>
          <w:rFonts w:eastAsia="Times New Roman" w:cs="Arial"/>
          <w:color w:val="000000"/>
          <w:lang w:val="ru-RU"/>
        </w:rPr>
        <w:t xml:space="preserve">. </w:t>
      </w:r>
      <w:r w:rsidRPr="00D331F8">
        <w:rPr>
          <w:rFonts w:eastAsia="Times New Roman" w:cs="Arial"/>
          <w:color w:val="000000"/>
          <w:lang w:eastAsia="bg-BG"/>
        </w:rPr>
        <w:t xml:space="preserve">Пирацетам преминава кръвно-мозъчната бариера и е измерен в цереброспиналната течност след интравенозно приложение. В цереброспиналната течност </w:t>
      </w:r>
      <w:proofErr w:type="spellStart"/>
      <w:r w:rsidRPr="00D331F8">
        <w:rPr>
          <w:rFonts w:eastAsia="Times New Roman" w:cs="Arial"/>
          <w:color w:val="000000"/>
          <w:lang w:val="en-US"/>
        </w:rPr>
        <w:t>t</w:t>
      </w:r>
      <w:r w:rsidRPr="00D331F8">
        <w:rPr>
          <w:rFonts w:eastAsia="Times New Roman" w:cs="Arial"/>
          <w:color w:val="000000"/>
          <w:vertAlign w:val="subscript"/>
          <w:lang w:val="en-US"/>
        </w:rPr>
        <w:t>max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</w:t>
      </w:r>
      <w:proofErr w:type="spellStart"/>
      <w:r w:rsidRPr="00D331F8">
        <w:rPr>
          <w:rFonts w:eastAsia="Times New Roman" w:cs="Arial"/>
          <w:color w:val="000000"/>
          <w:lang w:val="en-US"/>
        </w:rPr>
        <w:t>ce</w:t>
      </w:r>
      <w:proofErr w:type="spellEnd"/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достига около 5 часа след приема, а времето на полуживот е около 8,5 часа. При животни най-високите концентрации на пирацетам в мозъка са установени в церебралния кортекс (фронтален, париетален и окципитален дял), в кортекса на церебелума и базалните ганглии. Пирацетам дифузира във всички тъкани с изключение на мастната тъкан, преминава плацентарната бариера и преминава през мембраните на отделни еритроцити.</w:t>
      </w:r>
    </w:p>
    <w:p w14:paraId="7163D123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BC7FB33" w14:textId="36082442" w:rsidR="00D331F8" w:rsidRPr="00D331F8" w:rsidRDefault="00D331F8" w:rsidP="00D331F8">
      <w:pPr>
        <w:pStyle w:val="Heading3"/>
        <w:rPr>
          <w:rFonts w:eastAsia="Times New Roman"/>
          <w:u w:val="single"/>
        </w:rPr>
      </w:pPr>
      <w:r w:rsidRPr="00D331F8">
        <w:rPr>
          <w:rFonts w:eastAsia="Times New Roman"/>
          <w:u w:val="single"/>
          <w:lang w:eastAsia="bg-BG"/>
        </w:rPr>
        <w:t>Биотрансформация</w:t>
      </w:r>
    </w:p>
    <w:p w14:paraId="51FCA6C6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Пирацетам не се метаболизира в човешкото тяло. Тази липса на метаболизъм обяснява удълженото плазмено време на полуживот при анурични пациенти и високото му съдържание в урината.</w:t>
      </w:r>
    </w:p>
    <w:p w14:paraId="4E90DE08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496CC33" w14:textId="1D5B31C4" w:rsidR="00D331F8" w:rsidRPr="00D331F8" w:rsidRDefault="00D331F8" w:rsidP="00D331F8">
      <w:pPr>
        <w:pStyle w:val="Heading3"/>
        <w:rPr>
          <w:rFonts w:eastAsia="Times New Roman"/>
          <w:u w:val="single"/>
        </w:rPr>
      </w:pPr>
      <w:r w:rsidRPr="00D331F8">
        <w:rPr>
          <w:rFonts w:eastAsia="Times New Roman"/>
          <w:u w:val="single"/>
          <w:lang w:eastAsia="bg-BG"/>
        </w:rPr>
        <w:t>Елиминиране</w:t>
      </w:r>
    </w:p>
    <w:p w14:paraId="0824AB4E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Плазменият полуживот на пирацетам е около 5 часа, както след интравенозно, така и след перорално приложение. Общия телесен клирънс е 80-90 </w:t>
      </w:r>
      <w:r w:rsidRPr="00D331F8">
        <w:rPr>
          <w:rFonts w:eastAsia="Times New Roman" w:cs="Arial"/>
          <w:color w:val="000000"/>
          <w:lang w:val="en-US"/>
        </w:rPr>
        <w:t>ml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min</w:t>
      </w:r>
      <w:r w:rsidRPr="00D331F8">
        <w:rPr>
          <w:rFonts w:eastAsia="Times New Roman" w:cs="Arial"/>
          <w:color w:val="000000"/>
          <w:lang w:val="ru-RU"/>
        </w:rPr>
        <w:t xml:space="preserve">. </w:t>
      </w:r>
      <w:r w:rsidRPr="00D331F8">
        <w:rPr>
          <w:rFonts w:eastAsia="Times New Roman" w:cs="Arial"/>
          <w:color w:val="000000"/>
          <w:lang w:eastAsia="bg-BG"/>
        </w:rPr>
        <w:t>Главния път на екскреция е чрез урината и е около 80 до 100% от приетата доза. Пирацетам се отделя чрез гломерулна филтрация.</w:t>
      </w:r>
    </w:p>
    <w:p w14:paraId="497C88E5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1CC7C99" w14:textId="26A2AABB" w:rsidR="00D331F8" w:rsidRPr="00D331F8" w:rsidRDefault="00D331F8" w:rsidP="00D331F8">
      <w:pPr>
        <w:pStyle w:val="Heading3"/>
        <w:rPr>
          <w:rFonts w:eastAsia="Times New Roman"/>
          <w:u w:val="single"/>
        </w:rPr>
      </w:pPr>
      <w:r w:rsidRPr="00D331F8">
        <w:rPr>
          <w:rFonts w:eastAsia="Times New Roman"/>
          <w:u w:val="single"/>
          <w:lang w:eastAsia="bg-BG"/>
        </w:rPr>
        <w:t>Линейност</w:t>
      </w:r>
    </w:p>
    <w:p w14:paraId="1CD4A1F9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Фармакокинетиката на пирацетам е линейна при дози от 0,8 до 12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. </w:t>
      </w:r>
      <w:r w:rsidRPr="00D331F8">
        <w:rPr>
          <w:rFonts w:eastAsia="Times New Roman" w:cs="Arial"/>
          <w:color w:val="000000"/>
          <w:lang w:eastAsia="bg-BG"/>
        </w:rPr>
        <w:t>Времето на полуживот и клирънса не се променят в зависимост от дозата и продължителността на лечението.</w:t>
      </w:r>
    </w:p>
    <w:p w14:paraId="19876BA3" w14:textId="77777777" w:rsidR="00D331F8" w:rsidRPr="00D331F8" w:rsidRDefault="00D331F8" w:rsidP="00D331F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4567D44" w14:textId="499CA58A" w:rsidR="00D331F8" w:rsidRPr="00D331F8" w:rsidRDefault="00D331F8" w:rsidP="00D331F8">
      <w:pPr>
        <w:pStyle w:val="Heading3"/>
        <w:rPr>
          <w:rFonts w:eastAsia="Times New Roman"/>
          <w:u w:val="single"/>
        </w:rPr>
      </w:pPr>
      <w:r w:rsidRPr="00D331F8">
        <w:rPr>
          <w:rFonts w:eastAsia="Times New Roman"/>
          <w:u w:val="single"/>
          <w:lang w:eastAsia="bg-BG"/>
        </w:rPr>
        <w:t>Характеристики на пациента</w:t>
      </w:r>
    </w:p>
    <w:p w14:paraId="5753BCD7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25105FD7" w14:textId="7B391125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Пол</w:t>
      </w:r>
    </w:p>
    <w:p w14:paraId="00396F2F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В проучване за биоеквивалентност при доза 2,4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 xml:space="preserve">, </w:t>
      </w:r>
      <w:r w:rsidRPr="00D331F8">
        <w:rPr>
          <w:rFonts w:eastAsia="Times New Roman" w:cs="Arial"/>
          <w:color w:val="000000"/>
          <w:lang w:eastAsia="bg-BG"/>
        </w:rPr>
        <w:t>С</w:t>
      </w:r>
      <w:r w:rsidRPr="00D331F8">
        <w:rPr>
          <w:rFonts w:eastAsia="Times New Roman" w:cs="Arial"/>
          <w:color w:val="000000"/>
          <w:vertAlign w:val="subscript"/>
          <w:lang w:val="en-US"/>
        </w:rPr>
        <w:t>m</w:t>
      </w:r>
      <w:r w:rsidRPr="00D331F8">
        <w:rPr>
          <w:rFonts w:eastAsia="Times New Roman" w:cs="Arial"/>
          <w:color w:val="000000"/>
          <w:vertAlign w:val="subscript"/>
          <w:lang w:eastAsia="bg-BG"/>
        </w:rPr>
        <w:t>ах</w:t>
      </w:r>
      <w:r w:rsidRPr="00D331F8">
        <w:rPr>
          <w:rFonts w:eastAsia="Times New Roman" w:cs="Arial"/>
          <w:color w:val="000000"/>
          <w:lang w:eastAsia="bg-BG"/>
        </w:rPr>
        <w:t xml:space="preserve"> и </w:t>
      </w:r>
      <w:r w:rsidRPr="00D331F8">
        <w:rPr>
          <w:rFonts w:eastAsia="Times New Roman" w:cs="Arial"/>
          <w:color w:val="000000"/>
          <w:lang w:val="en-US"/>
        </w:rPr>
        <w:t>AUC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са приблизително 30% по-високи при жените </w:t>
      </w:r>
      <w:r w:rsidRPr="00D331F8">
        <w:rPr>
          <w:rFonts w:eastAsia="Times New Roman" w:cs="Arial"/>
          <w:color w:val="000000"/>
          <w:lang w:val="ru-RU"/>
        </w:rPr>
        <w:t>(</w:t>
      </w:r>
      <w:r w:rsidRPr="00D331F8">
        <w:rPr>
          <w:rFonts w:eastAsia="Times New Roman" w:cs="Arial"/>
          <w:color w:val="000000"/>
          <w:lang w:val="en-US"/>
        </w:rPr>
        <w:t>N</w:t>
      </w:r>
      <w:r w:rsidRPr="00D331F8">
        <w:rPr>
          <w:rFonts w:eastAsia="Times New Roman" w:cs="Arial"/>
          <w:color w:val="000000"/>
          <w:lang w:val="ru-RU"/>
        </w:rPr>
        <w:t xml:space="preserve">=6), </w:t>
      </w:r>
      <w:r w:rsidRPr="00D331F8">
        <w:rPr>
          <w:rFonts w:eastAsia="Times New Roman" w:cs="Arial"/>
          <w:color w:val="000000"/>
          <w:lang w:eastAsia="bg-BG"/>
        </w:rPr>
        <w:t xml:space="preserve">в сравнение с мъжете </w:t>
      </w:r>
      <w:r w:rsidRPr="00D331F8">
        <w:rPr>
          <w:rFonts w:eastAsia="Times New Roman" w:cs="Arial"/>
          <w:color w:val="000000"/>
          <w:lang w:val="ru-RU"/>
        </w:rPr>
        <w:t>(</w:t>
      </w:r>
      <w:r w:rsidRPr="00D331F8">
        <w:rPr>
          <w:rFonts w:eastAsia="Times New Roman" w:cs="Arial"/>
          <w:color w:val="000000"/>
          <w:lang w:val="en-US"/>
        </w:rPr>
        <w:t>N</w:t>
      </w:r>
      <w:r w:rsidRPr="00D331F8">
        <w:rPr>
          <w:rFonts w:eastAsia="Times New Roman" w:cs="Arial"/>
          <w:color w:val="000000"/>
          <w:lang w:val="ru-RU"/>
        </w:rPr>
        <w:t xml:space="preserve">=6). </w:t>
      </w:r>
      <w:r w:rsidRPr="00D331F8">
        <w:rPr>
          <w:rFonts w:eastAsia="Times New Roman" w:cs="Arial"/>
          <w:color w:val="000000"/>
          <w:lang w:eastAsia="bg-BG"/>
        </w:rPr>
        <w:t>Въпреки това стойностите на клирънса, в зависимост от телесното тегло са сравними.</w:t>
      </w:r>
    </w:p>
    <w:p w14:paraId="5167612C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366B1AC4" w14:textId="42805C72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Раса</w:t>
      </w:r>
    </w:p>
    <w:p w14:paraId="45EEAFFD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Не са провеждани фармакокинетични проучвания за влиянието на расата. Кръстосано сравняване при проучване, включващо представители на бялата и азиатската раса показват, че фармакокинетиката на пирацетам е сравнима при двете раси. Тъй като отделянето на пирацетам става главно през бъбреците, а между представителите на отделните раси не съществуват значими различия по отношение на креатининовия клирънс, фармакокинетични различия дължащи се на расата не се очакват.</w:t>
      </w:r>
    </w:p>
    <w:p w14:paraId="7093DD45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70E25C84" w14:textId="0607B412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Пациенти в старческа възраст</w:t>
      </w:r>
    </w:p>
    <w:p w14:paraId="37042B77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При пациенти в старческа възраст времето на полуживот на пирацетам е увеличено и това е свързано с намалената бъбречна функция при тази група пациенти (виж точка 4.2).</w:t>
      </w:r>
    </w:p>
    <w:p w14:paraId="57AF6BFD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36044348" w14:textId="739C8BE3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Деца</w:t>
      </w:r>
    </w:p>
    <w:p w14:paraId="5C95ECD5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Не са провеждани фармакокинетични проучвания при деца.</w:t>
      </w:r>
    </w:p>
    <w:p w14:paraId="6D7BFE0C" w14:textId="7FCEB1BB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</w:p>
    <w:p w14:paraId="6BCF7489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Бъбречно увреждане</w:t>
      </w:r>
    </w:p>
    <w:p w14:paraId="10B6992B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Клирънсът на пирацетам корелира с креатининовия клирънс. Ето защо се препоръчва промяна на дозата в зависимост от креатининовия клирънс при </w:t>
      </w:r>
      <w:r w:rsidRPr="00D331F8">
        <w:rPr>
          <w:rFonts w:eastAsia="Times New Roman" w:cs="Arial"/>
          <w:i/>
          <w:iCs/>
          <w:color w:val="000000"/>
          <w:lang w:eastAsia="bg-BG"/>
        </w:rPr>
        <w:t>пациенти с бъбречно</w:t>
      </w:r>
      <w:r w:rsidRPr="00D331F8">
        <w:rPr>
          <w:rFonts w:eastAsia="Times New Roman" w:cs="Arial"/>
          <w:color w:val="000000"/>
          <w:lang w:eastAsia="bg-BG"/>
        </w:rPr>
        <w:t xml:space="preserve"> увреждане (вж. точка 4.2 Дозировка и начин на приложение). При анурични пациенти в краен стадий на бъбречна недостатъчност, времето на полуживот на пирацетам е удължено до 59 часа. По време на обичайната 4-ри часова диализна процедура фракционно се отделят 50 до 60% от пирацетама.</w:t>
      </w:r>
    </w:p>
    <w:p w14:paraId="1894BA5E" w14:textId="77777777" w:rsidR="00D331F8" w:rsidRPr="00D331F8" w:rsidRDefault="00D331F8" w:rsidP="00D331F8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481EC197" w14:textId="0E817C93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b/>
          <w:bCs/>
          <w:color w:val="000000"/>
          <w:lang w:eastAsia="bg-BG"/>
        </w:rPr>
        <w:t>Чернодробно увреждане</w:t>
      </w:r>
    </w:p>
    <w:p w14:paraId="3785578F" w14:textId="0B220081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>Не е проучено влиянието на чернодробното увреждане върху фармакокинетиката на пирацетам. Тъй като 80 до 100% от приетата доза се отделя чрез урината в непроменен вид, не се очаква значителен ефект върху отделянето на пирацетам в случай на чернодробно увреждане.</w:t>
      </w:r>
    </w:p>
    <w:p w14:paraId="06929575" w14:textId="77777777" w:rsidR="00D331F8" w:rsidRPr="00D331F8" w:rsidRDefault="00D331F8" w:rsidP="00D331F8"/>
    <w:p w14:paraId="4F31844C" w14:textId="327A17A0" w:rsidR="00875EEC" w:rsidRDefault="002C50EE" w:rsidP="005726E3">
      <w:pPr>
        <w:pStyle w:val="Heading2"/>
      </w:pPr>
      <w:r>
        <w:t>5.3. Предклинични данни за безопасност</w:t>
      </w:r>
    </w:p>
    <w:p w14:paraId="10E928E6" w14:textId="5BD2B5E0" w:rsidR="00D331F8" w:rsidRDefault="00D331F8" w:rsidP="00D331F8"/>
    <w:p w14:paraId="3E2E965D" w14:textId="77777777" w:rsidR="00D331F8" w:rsidRPr="00D331F8" w:rsidRDefault="00D331F8" w:rsidP="00D331F8">
      <w:pPr>
        <w:spacing w:line="240" w:lineRule="auto"/>
        <w:rPr>
          <w:rFonts w:eastAsia="Times New Roman" w:cs="Arial"/>
          <w:sz w:val="24"/>
          <w:szCs w:val="24"/>
        </w:rPr>
      </w:pPr>
      <w:r w:rsidRPr="00D331F8">
        <w:rPr>
          <w:rFonts w:eastAsia="Times New Roman" w:cs="Arial"/>
          <w:color w:val="000000"/>
          <w:lang w:eastAsia="bg-BG"/>
        </w:rPr>
        <w:t xml:space="preserve">Предклиничните данни показват, че пирацетам има нисък токсичен потенциал. Проучвания с единична перорална доза от 10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kg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при мишки, плъхове и кучета не показват необратима токсичност. При изследване за хронична токсичност, след повтарящи се дози при мишки (до 4,8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kg</w:t>
      </w:r>
      <w:r w:rsidRPr="00D331F8">
        <w:rPr>
          <w:rFonts w:eastAsia="Times New Roman" w:cs="Arial"/>
          <w:color w:val="000000"/>
          <w:lang w:eastAsia="bg-BG"/>
        </w:rPr>
        <w:t xml:space="preserve">/ден) и плъхове (до 2,4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kg</w:t>
      </w:r>
      <w:r w:rsidRPr="00D331F8">
        <w:rPr>
          <w:rFonts w:eastAsia="Times New Roman" w:cs="Arial"/>
          <w:color w:val="000000"/>
          <w:lang w:eastAsia="bg-BG"/>
        </w:rPr>
        <w:t xml:space="preserve">/ден) не е установена специфична органна токсичност. Леки стомашно-чревни нарушения (повръщане, промяна в консистенцията на изпражненията, повишена консумация на вода) са наблюдавани при перорално приемане на пирацетам от кучета в продължение на 1 година при увеличаване на дозата от 1 до 10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kg</w:t>
      </w:r>
      <w:r w:rsidRPr="00D331F8">
        <w:rPr>
          <w:rFonts w:eastAsia="Times New Roman" w:cs="Arial"/>
          <w:color w:val="000000"/>
          <w:lang w:eastAsia="bg-BG"/>
        </w:rPr>
        <w:t xml:space="preserve">/ден. Подобно на интравенозното прилагане до 1 </w:t>
      </w:r>
      <w:r w:rsidRPr="00D331F8">
        <w:rPr>
          <w:rFonts w:eastAsia="Times New Roman" w:cs="Arial"/>
          <w:color w:val="000000"/>
          <w:lang w:val="en-US"/>
        </w:rPr>
        <w:t>g</w:t>
      </w:r>
      <w:r w:rsidRPr="00D331F8">
        <w:rPr>
          <w:rFonts w:eastAsia="Times New Roman" w:cs="Arial"/>
          <w:color w:val="000000"/>
          <w:lang w:val="ru-RU"/>
        </w:rPr>
        <w:t>/</w:t>
      </w:r>
      <w:r w:rsidRPr="00D331F8">
        <w:rPr>
          <w:rFonts w:eastAsia="Times New Roman" w:cs="Arial"/>
          <w:color w:val="000000"/>
          <w:lang w:val="en-US"/>
        </w:rPr>
        <w:t>kg</w:t>
      </w:r>
      <w:r w:rsidRPr="00D331F8">
        <w:rPr>
          <w:rFonts w:eastAsia="Times New Roman" w:cs="Arial"/>
          <w:color w:val="000000"/>
          <w:lang w:eastAsia="bg-BG"/>
        </w:rPr>
        <w:t>/ден за 4-5 седмици на плъхове и кучета не довежда до токсичност.</w:t>
      </w:r>
    </w:p>
    <w:p w14:paraId="3D9846AA" w14:textId="1C4B3CE9" w:rsidR="00D331F8" w:rsidRPr="00D331F8" w:rsidRDefault="00D331F8" w:rsidP="00D331F8">
      <w:pPr>
        <w:rPr>
          <w:rFonts w:cs="Arial"/>
        </w:rPr>
      </w:pPr>
      <w:r w:rsidRPr="00D331F8">
        <w:rPr>
          <w:rFonts w:eastAsia="Times New Roman" w:cs="Arial"/>
          <w:i/>
          <w:iCs/>
          <w:color w:val="000000"/>
          <w:lang w:val="en-US"/>
        </w:rPr>
        <w:t>In</w:t>
      </w:r>
      <w:r w:rsidRPr="00D331F8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D331F8">
        <w:rPr>
          <w:rFonts w:eastAsia="Times New Roman" w:cs="Arial"/>
          <w:i/>
          <w:iCs/>
          <w:color w:val="000000"/>
          <w:lang w:val="en-US"/>
        </w:rPr>
        <w:t>vitro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 xml:space="preserve">и </w:t>
      </w:r>
      <w:r w:rsidRPr="00D331F8">
        <w:rPr>
          <w:rFonts w:eastAsia="Times New Roman" w:cs="Arial"/>
          <w:i/>
          <w:iCs/>
          <w:color w:val="000000"/>
          <w:lang w:val="en-US"/>
        </w:rPr>
        <w:t>in</w:t>
      </w:r>
      <w:r w:rsidRPr="00D331F8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D331F8">
        <w:rPr>
          <w:rFonts w:eastAsia="Times New Roman" w:cs="Arial"/>
          <w:i/>
          <w:iCs/>
          <w:color w:val="000000"/>
          <w:lang w:val="en-US"/>
        </w:rPr>
        <w:t>vivo</w:t>
      </w:r>
      <w:r w:rsidRPr="00D331F8">
        <w:rPr>
          <w:rFonts w:eastAsia="Times New Roman" w:cs="Arial"/>
          <w:color w:val="000000"/>
          <w:lang w:val="ru-RU"/>
        </w:rPr>
        <w:t xml:space="preserve"> </w:t>
      </w:r>
      <w:r w:rsidRPr="00D331F8">
        <w:rPr>
          <w:rFonts w:eastAsia="Times New Roman" w:cs="Arial"/>
          <w:color w:val="000000"/>
          <w:lang w:eastAsia="bg-BG"/>
        </w:rPr>
        <w:t>проучванията не установяват генотоксичен или карциногенен потенциал.</w:t>
      </w:r>
    </w:p>
    <w:p w14:paraId="1BA6531D" w14:textId="35476482" w:rsidR="00B6672E" w:rsidRDefault="002C50EE" w:rsidP="00936AD0">
      <w:pPr>
        <w:pStyle w:val="Heading1"/>
      </w:pPr>
      <w:r>
        <w:t>7. ПРИТЕЖАТЕЛ НА РАЗРЕШЕНИЕТО ЗА УПОТРЕБА</w:t>
      </w:r>
    </w:p>
    <w:p w14:paraId="0EE7B0C9" w14:textId="6975D586" w:rsidR="00D331F8" w:rsidRDefault="00D331F8" w:rsidP="00D331F8"/>
    <w:p w14:paraId="703102B7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>СОФАРМА АД</w:t>
      </w:r>
    </w:p>
    <w:p w14:paraId="23420E7C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>ул. Илиенско шосе 16, 1220 София, България</w:t>
      </w:r>
    </w:p>
    <w:p w14:paraId="688D72F5" w14:textId="77777777" w:rsidR="00D331F8" w:rsidRPr="00D331F8" w:rsidRDefault="00D331F8" w:rsidP="00D331F8"/>
    <w:p w14:paraId="508F3A54" w14:textId="38326305" w:rsidR="00B6672E" w:rsidRDefault="00936AD0" w:rsidP="00936AD0">
      <w:pPr>
        <w:pStyle w:val="Heading1"/>
      </w:pPr>
      <w:r>
        <w:t>8.</w:t>
      </w:r>
      <w:r w:rsidR="002C50EE">
        <w:t>НОМЕР НА РАЗРЕШЕНИЕТО ЗА УПОТРЕБА</w:t>
      </w:r>
    </w:p>
    <w:p w14:paraId="000D8499" w14:textId="21A48387" w:rsidR="00D331F8" w:rsidRDefault="00D331F8" w:rsidP="00D331F8"/>
    <w:p w14:paraId="3F569063" w14:textId="078B1A88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 xml:space="preserve">Пираминол 2400 </w:t>
      </w:r>
      <w:r w:rsidRPr="00D331F8">
        <w:rPr>
          <w:lang w:val="en-US"/>
        </w:rPr>
        <w:t>mg</w:t>
      </w:r>
      <w:r w:rsidRPr="00D331F8">
        <w:rPr>
          <w:lang w:val="ru-RU"/>
        </w:rPr>
        <w:t xml:space="preserve"> </w:t>
      </w:r>
      <w:r w:rsidRPr="00D331F8">
        <w:rPr>
          <w:lang w:eastAsia="bg-BG"/>
        </w:rPr>
        <w:t xml:space="preserve">гранули за перорален разтвор: </w:t>
      </w:r>
      <w:r w:rsidRPr="00D331F8">
        <w:rPr>
          <w:lang w:val="en-US"/>
        </w:rPr>
        <w:t>Per</w:t>
      </w:r>
      <w:r w:rsidRPr="00D331F8">
        <w:rPr>
          <w:lang w:val="ru-RU"/>
        </w:rPr>
        <w:t xml:space="preserve">. </w:t>
      </w:r>
      <w:r w:rsidRPr="00D331F8">
        <w:rPr>
          <w:lang w:eastAsia="bg-BG"/>
        </w:rPr>
        <w:t>№ 20160251</w:t>
      </w:r>
    </w:p>
    <w:p w14:paraId="3BC5EC53" w14:textId="7E857C9D" w:rsidR="00875EEC" w:rsidRDefault="002C50EE" w:rsidP="005726E3">
      <w:pPr>
        <w:pStyle w:val="Heading1"/>
      </w:pPr>
      <w:r>
        <w:t>9. ДАТА НА ПЪРВО РАЗРЕШАВАНЕ/ПОДНОВЯВАНЕ НА РАЗРЕШЕНИЕТО ЗА УПОТРЕБА</w:t>
      </w:r>
    </w:p>
    <w:p w14:paraId="620A8F7D" w14:textId="4A2FA35F" w:rsidR="00D331F8" w:rsidRDefault="00D331F8" w:rsidP="00D331F8"/>
    <w:p w14:paraId="65A7BBAA" w14:textId="77777777" w:rsidR="00D331F8" w:rsidRPr="00D331F8" w:rsidRDefault="00D331F8" w:rsidP="00D331F8">
      <w:pPr>
        <w:rPr>
          <w:sz w:val="24"/>
          <w:szCs w:val="24"/>
        </w:rPr>
      </w:pPr>
      <w:r w:rsidRPr="00D331F8">
        <w:rPr>
          <w:lang w:eastAsia="bg-BG"/>
        </w:rPr>
        <w:t>Дата на първо разрешаване: 05.08.2016</w:t>
      </w:r>
    </w:p>
    <w:p w14:paraId="209B621C" w14:textId="6ED753E7" w:rsidR="00D331F8" w:rsidRPr="00D331F8" w:rsidRDefault="00D331F8" w:rsidP="00D331F8">
      <w:r w:rsidRPr="00D331F8">
        <w:rPr>
          <w:lang w:eastAsia="bg-BG"/>
        </w:rPr>
        <w:t>Дата на последно подновяване:</w:t>
      </w:r>
    </w:p>
    <w:p w14:paraId="43FB38A2" w14:textId="55BABB61" w:rsidR="007C605B" w:rsidRDefault="002C50EE" w:rsidP="005726E3">
      <w:pPr>
        <w:pStyle w:val="Heading1"/>
      </w:pPr>
      <w:r>
        <w:lastRenderedPageBreak/>
        <w:t>10. ДАТА НА АКТУАЛИЗИРАНЕ НА ТЕКСТА</w:t>
      </w:r>
      <w:bookmarkEnd w:id="0"/>
    </w:p>
    <w:p w14:paraId="1AE5FCBD" w14:textId="27CF60FF" w:rsidR="00D331F8" w:rsidRPr="00D331F8" w:rsidRDefault="00D331F8" w:rsidP="00D331F8">
      <w:r>
        <w:t>Май 2021 г.</w:t>
      </w:r>
      <w:bookmarkStart w:id="10" w:name="_GoBack"/>
      <w:bookmarkEnd w:id="10"/>
    </w:p>
    <w:sectPr w:rsidR="00D331F8" w:rsidRPr="00D331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74D0D9E"/>
    <w:multiLevelType w:val="hybridMultilevel"/>
    <w:tmpl w:val="4E6C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A3457"/>
    <w:multiLevelType w:val="hybridMultilevel"/>
    <w:tmpl w:val="378EC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C16F5"/>
    <w:multiLevelType w:val="hybridMultilevel"/>
    <w:tmpl w:val="E5EA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3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8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3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8428BF"/>
    <w:multiLevelType w:val="hybridMultilevel"/>
    <w:tmpl w:val="DD4A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9"/>
  </w:num>
  <w:num w:numId="2">
    <w:abstractNumId w:val="0"/>
  </w:num>
  <w:num w:numId="3">
    <w:abstractNumId w:val="15"/>
  </w:num>
  <w:num w:numId="4">
    <w:abstractNumId w:val="3"/>
  </w:num>
  <w:num w:numId="5">
    <w:abstractNumId w:val="1"/>
  </w:num>
  <w:num w:numId="6">
    <w:abstractNumId w:val="18"/>
  </w:num>
  <w:num w:numId="7">
    <w:abstractNumId w:val="13"/>
  </w:num>
  <w:num w:numId="8">
    <w:abstractNumId w:val="17"/>
  </w:num>
  <w:num w:numId="9">
    <w:abstractNumId w:val="2"/>
  </w:num>
  <w:num w:numId="10">
    <w:abstractNumId w:val="4"/>
  </w:num>
  <w:num w:numId="11">
    <w:abstractNumId w:val="32"/>
  </w:num>
  <w:num w:numId="12">
    <w:abstractNumId w:val="16"/>
  </w:num>
  <w:num w:numId="13">
    <w:abstractNumId w:val="21"/>
  </w:num>
  <w:num w:numId="14">
    <w:abstractNumId w:val="14"/>
  </w:num>
  <w:num w:numId="15">
    <w:abstractNumId w:val="31"/>
  </w:num>
  <w:num w:numId="16">
    <w:abstractNumId w:val="12"/>
  </w:num>
  <w:num w:numId="17">
    <w:abstractNumId w:val="26"/>
  </w:num>
  <w:num w:numId="18">
    <w:abstractNumId w:val="8"/>
  </w:num>
  <w:num w:numId="19">
    <w:abstractNumId w:val="28"/>
  </w:num>
  <w:num w:numId="20">
    <w:abstractNumId w:val="25"/>
  </w:num>
  <w:num w:numId="21">
    <w:abstractNumId w:val="19"/>
  </w:num>
  <w:num w:numId="22">
    <w:abstractNumId w:val="27"/>
  </w:num>
  <w:num w:numId="23">
    <w:abstractNumId w:val="20"/>
  </w:num>
  <w:num w:numId="24">
    <w:abstractNumId w:val="9"/>
  </w:num>
  <w:num w:numId="25">
    <w:abstractNumId w:val="24"/>
  </w:num>
  <w:num w:numId="26">
    <w:abstractNumId w:val="23"/>
  </w:num>
  <w:num w:numId="27">
    <w:abstractNumId w:val="34"/>
  </w:num>
  <w:num w:numId="28">
    <w:abstractNumId w:val="6"/>
  </w:num>
  <w:num w:numId="29">
    <w:abstractNumId w:val="22"/>
  </w:num>
  <w:num w:numId="30">
    <w:abstractNumId w:val="37"/>
  </w:num>
  <w:num w:numId="31">
    <w:abstractNumId w:val="5"/>
  </w:num>
  <w:num w:numId="32">
    <w:abstractNumId w:val="36"/>
  </w:num>
  <w:num w:numId="33">
    <w:abstractNumId w:val="30"/>
  </w:num>
  <w:num w:numId="34">
    <w:abstractNumId w:val="35"/>
  </w:num>
  <w:num w:numId="35">
    <w:abstractNumId w:val="7"/>
  </w:num>
  <w:num w:numId="36">
    <w:abstractNumId w:val="11"/>
  </w:num>
  <w:num w:numId="37">
    <w:abstractNumId w:val="10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726E3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122AD"/>
    <w:rsid w:val="0075649D"/>
    <w:rsid w:val="007C605B"/>
    <w:rsid w:val="008134C8"/>
    <w:rsid w:val="00814073"/>
    <w:rsid w:val="00826F0D"/>
    <w:rsid w:val="00875EEC"/>
    <w:rsid w:val="00893B92"/>
    <w:rsid w:val="008A6AF2"/>
    <w:rsid w:val="008C70A2"/>
    <w:rsid w:val="00936AD0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6672E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331F8"/>
    <w:rsid w:val="00D86297"/>
    <w:rsid w:val="00DB32D3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331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3345</Words>
  <Characters>19069</Characters>
  <Application>Microsoft Office Word</Application>
  <DocSecurity>0</DocSecurity>
  <Lines>158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2022-10-30T09:25:00Z</dcterms:created>
  <dcterms:modified xsi:type="dcterms:W3CDTF">2022-10-30T09:25:00Z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