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6672D904" w:rsidR="00C07B84" w:rsidRDefault="00DD466D" w:rsidP="00DD466D">
      <w:pPr>
        <w:pStyle w:val="Heading1"/>
      </w:pPr>
      <w:r>
        <w:t>1.ИМЕ НА ЛЕКАРСТВЕНИЯ ПРОДУКТ</w:t>
      </w:r>
    </w:p>
    <w:p w14:paraId="2FDDA936" w14:textId="77777777" w:rsidR="000971BD" w:rsidRDefault="000971BD" w:rsidP="000971BD">
      <w:pPr>
        <w:rPr>
          <w:lang w:eastAsia="bg-BG"/>
        </w:rPr>
      </w:pPr>
      <w:r w:rsidRPr="000971BD">
        <w:rPr>
          <w:lang w:eastAsia="bg-BG"/>
        </w:rPr>
        <w:t xml:space="preserve">КВАМАТЕЛ 20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филмирани таблетки </w:t>
      </w:r>
    </w:p>
    <w:p w14:paraId="72E1320B" w14:textId="3E2BC2D1" w:rsidR="000971BD" w:rsidRPr="000971BD" w:rsidRDefault="000971BD" w:rsidP="000971BD">
      <w:pPr>
        <w:rPr>
          <w:sz w:val="24"/>
          <w:szCs w:val="24"/>
        </w:rPr>
      </w:pPr>
      <w:r w:rsidRPr="000971BD">
        <w:rPr>
          <w:lang w:eastAsia="bg-BG"/>
        </w:rPr>
        <w:t xml:space="preserve">КВАМАТЕЛ 40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>филмирани таблетки</w:t>
      </w:r>
    </w:p>
    <w:p w14:paraId="60206EBC" w14:textId="77777777" w:rsidR="000971BD" w:rsidRDefault="000971BD" w:rsidP="000971BD"/>
    <w:p w14:paraId="4449B6DF" w14:textId="65B15BED" w:rsidR="000971BD" w:rsidRPr="000971BD" w:rsidRDefault="000971BD" w:rsidP="000971BD">
      <w:pPr>
        <w:rPr>
          <w:sz w:val="24"/>
          <w:szCs w:val="24"/>
        </w:rPr>
      </w:pPr>
      <w:r w:rsidRPr="000971BD">
        <w:t xml:space="preserve">QUAMATEL </w:t>
      </w:r>
      <w:r w:rsidRPr="000971BD">
        <w:rPr>
          <w:lang w:eastAsia="bg-BG"/>
        </w:rPr>
        <w:t xml:space="preserve">20 </w:t>
      </w:r>
      <w:proofErr w:type="spellStart"/>
      <w:r w:rsidRPr="000971BD">
        <w:t>mg</w:t>
      </w:r>
      <w:proofErr w:type="spellEnd"/>
      <w:r w:rsidRPr="000971BD">
        <w:t xml:space="preserve"> </w:t>
      </w:r>
      <w:proofErr w:type="spellStart"/>
      <w:r w:rsidRPr="000971BD">
        <w:t>film-coated</w:t>
      </w:r>
      <w:proofErr w:type="spellEnd"/>
      <w:r w:rsidRPr="000971BD">
        <w:t xml:space="preserve"> </w:t>
      </w:r>
      <w:proofErr w:type="spellStart"/>
      <w:r w:rsidRPr="000971BD">
        <w:t>tablets</w:t>
      </w:r>
      <w:proofErr w:type="spellEnd"/>
    </w:p>
    <w:p w14:paraId="5AF971FC" w14:textId="77777777" w:rsidR="000971BD" w:rsidRPr="000971BD" w:rsidRDefault="000971BD" w:rsidP="000971BD">
      <w:pPr>
        <w:rPr>
          <w:sz w:val="24"/>
          <w:szCs w:val="24"/>
        </w:rPr>
      </w:pPr>
      <w:r w:rsidRPr="000971BD">
        <w:t xml:space="preserve">QUAMATEL 40 </w:t>
      </w:r>
      <w:proofErr w:type="spellStart"/>
      <w:r w:rsidRPr="000971BD">
        <w:t>mg</w:t>
      </w:r>
      <w:proofErr w:type="spellEnd"/>
      <w:r w:rsidRPr="000971BD">
        <w:t xml:space="preserve"> </w:t>
      </w:r>
      <w:proofErr w:type="spellStart"/>
      <w:r w:rsidRPr="000971BD">
        <w:t>film-coated</w:t>
      </w:r>
      <w:proofErr w:type="spellEnd"/>
      <w:r w:rsidRPr="000971BD">
        <w:t xml:space="preserve"> </w:t>
      </w:r>
      <w:proofErr w:type="spellStart"/>
      <w:r w:rsidRPr="000971BD">
        <w:t>tablets</w:t>
      </w:r>
      <w:proofErr w:type="spellEnd"/>
    </w:p>
    <w:p w14:paraId="5EFC6A28" w14:textId="77777777" w:rsidR="000971BD" w:rsidRPr="000971BD" w:rsidRDefault="000971BD" w:rsidP="000971BD"/>
    <w:p w14:paraId="3A916BC0" w14:textId="574501C1" w:rsidR="00DD466D" w:rsidRDefault="00DD466D" w:rsidP="00DD466D">
      <w:pPr>
        <w:pStyle w:val="Heading1"/>
      </w:pPr>
      <w:r>
        <w:t>2. КАЧЕСТВЕН И КОЛИЧЕСТВЕН СЪСТАВ</w:t>
      </w:r>
    </w:p>
    <w:p w14:paraId="7D2EFC05" w14:textId="77777777" w:rsidR="000971BD" w:rsidRPr="000971BD" w:rsidRDefault="000971BD" w:rsidP="000971BD">
      <w:pPr>
        <w:rPr>
          <w:sz w:val="24"/>
          <w:szCs w:val="24"/>
        </w:rPr>
      </w:pPr>
      <w:proofErr w:type="spellStart"/>
      <w:r w:rsidRPr="000971BD">
        <w:rPr>
          <w:lang w:eastAsia="bg-BG"/>
        </w:rPr>
        <w:t>Фамотидин</w:t>
      </w:r>
      <w:proofErr w:type="spellEnd"/>
      <w:r w:rsidRPr="000971BD">
        <w:rPr>
          <w:lang w:eastAsia="bg-BG"/>
        </w:rPr>
        <w:t xml:space="preserve"> </w:t>
      </w:r>
      <w:r w:rsidRPr="000971BD">
        <w:t>(</w:t>
      </w:r>
      <w:proofErr w:type="spellStart"/>
      <w:r w:rsidRPr="000971BD">
        <w:t>famotidine</w:t>
      </w:r>
      <w:proofErr w:type="spellEnd"/>
      <w:r w:rsidRPr="000971BD">
        <w:t xml:space="preserve">) </w:t>
      </w:r>
      <w:r w:rsidRPr="000971BD">
        <w:rPr>
          <w:lang w:eastAsia="bg-BG"/>
        </w:rPr>
        <w:t xml:space="preserve">20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или 40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>във всяка филмирана таблетка.</w:t>
      </w:r>
    </w:p>
    <w:p w14:paraId="410A408D" w14:textId="77777777" w:rsidR="000971BD" w:rsidRDefault="000971BD" w:rsidP="000971BD">
      <w:pPr>
        <w:rPr>
          <w:u w:val="single"/>
          <w:lang w:eastAsia="bg-BG"/>
        </w:rPr>
      </w:pPr>
    </w:p>
    <w:p w14:paraId="0E875889" w14:textId="39A9C57E" w:rsidR="000971BD" w:rsidRPr="000971BD" w:rsidRDefault="000971BD" w:rsidP="000971BD">
      <w:pPr>
        <w:rPr>
          <w:sz w:val="24"/>
          <w:szCs w:val="24"/>
        </w:rPr>
      </w:pPr>
      <w:r w:rsidRPr="000971BD">
        <w:rPr>
          <w:u w:val="single"/>
          <w:lang w:eastAsia="bg-BG"/>
        </w:rPr>
        <w:t>Помощни вещества с известно действие:</w:t>
      </w:r>
    </w:p>
    <w:p w14:paraId="795C380A" w14:textId="77777777" w:rsidR="000971BD" w:rsidRPr="000971BD" w:rsidRDefault="000971BD" w:rsidP="000971BD">
      <w:pPr>
        <w:rPr>
          <w:sz w:val="24"/>
          <w:szCs w:val="24"/>
        </w:rPr>
      </w:pPr>
      <w:r w:rsidRPr="000971BD">
        <w:rPr>
          <w:lang w:eastAsia="bg-BG"/>
        </w:rPr>
        <w:t xml:space="preserve">Всяка филмирана таблетка </w:t>
      </w:r>
      <w:proofErr w:type="spellStart"/>
      <w:r w:rsidRPr="000971BD">
        <w:rPr>
          <w:lang w:eastAsia="bg-BG"/>
        </w:rPr>
        <w:t>Кваметел</w:t>
      </w:r>
      <w:proofErr w:type="spellEnd"/>
      <w:r w:rsidRPr="000971BD">
        <w:rPr>
          <w:lang w:eastAsia="bg-BG"/>
        </w:rPr>
        <w:t xml:space="preserve"> 20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съдържа 105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лактоза </w:t>
      </w:r>
      <w:proofErr w:type="spellStart"/>
      <w:r w:rsidRPr="000971BD">
        <w:rPr>
          <w:lang w:eastAsia="bg-BG"/>
        </w:rPr>
        <w:t>монохидрат</w:t>
      </w:r>
      <w:proofErr w:type="spellEnd"/>
      <w:r w:rsidRPr="000971BD">
        <w:rPr>
          <w:lang w:eastAsia="bg-BG"/>
        </w:rPr>
        <w:t>.</w:t>
      </w:r>
    </w:p>
    <w:p w14:paraId="0D6132B1" w14:textId="61DEC148" w:rsidR="000971BD" w:rsidRPr="000971BD" w:rsidRDefault="000971BD" w:rsidP="000971BD">
      <w:r w:rsidRPr="000971BD">
        <w:rPr>
          <w:lang w:eastAsia="bg-BG"/>
        </w:rPr>
        <w:t xml:space="preserve">Всяка филмирана таблетка </w:t>
      </w:r>
      <w:proofErr w:type="spellStart"/>
      <w:r w:rsidRPr="000971BD">
        <w:rPr>
          <w:lang w:eastAsia="bg-BG"/>
        </w:rPr>
        <w:t>Кваметел</w:t>
      </w:r>
      <w:proofErr w:type="spellEnd"/>
      <w:r w:rsidRPr="000971BD">
        <w:rPr>
          <w:lang w:eastAsia="bg-BG"/>
        </w:rPr>
        <w:t xml:space="preserve"> 40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съдържа 90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лактоза </w:t>
      </w:r>
      <w:proofErr w:type="spellStart"/>
      <w:r w:rsidRPr="000971BD">
        <w:rPr>
          <w:lang w:eastAsia="bg-BG"/>
        </w:rPr>
        <w:t>монохидрат</w:t>
      </w:r>
      <w:proofErr w:type="spellEnd"/>
      <w:r w:rsidRPr="000971BD">
        <w:rPr>
          <w:lang w:eastAsia="bg-BG"/>
        </w:rPr>
        <w:t>.</w:t>
      </w:r>
    </w:p>
    <w:p w14:paraId="74A1D0A0" w14:textId="415B2987" w:rsidR="002B4DBB" w:rsidRDefault="00DD466D" w:rsidP="00C07B84">
      <w:pPr>
        <w:pStyle w:val="Heading1"/>
      </w:pPr>
      <w:r>
        <w:t>3. ЛЕКАРСТВЕНА ФОРМА</w:t>
      </w:r>
    </w:p>
    <w:p w14:paraId="469F880D" w14:textId="77777777" w:rsidR="000971BD" w:rsidRDefault="000971BD" w:rsidP="000971BD">
      <w:pPr>
        <w:rPr>
          <w:lang w:eastAsia="bg-BG"/>
        </w:rPr>
      </w:pPr>
    </w:p>
    <w:p w14:paraId="7D90F0C1" w14:textId="1397EE59" w:rsidR="000971BD" w:rsidRPr="000971BD" w:rsidRDefault="000971BD" w:rsidP="000971BD">
      <w:pPr>
        <w:rPr>
          <w:sz w:val="24"/>
          <w:szCs w:val="24"/>
        </w:rPr>
      </w:pPr>
      <w:r w:rsidRPr="000971BD">
        <w:rPr>
          <w:lang w:eastAsia="bg-BG"/>
        </w:rPr>
        <w:t>Филмирани таблетки.</w:t>
      </w:r>
    </w:p>
    <w:p w14:paraId="3C71211D" w14:textId="77777777" w:rsidR="000971BD" w:rsidRPr="000971BD" w:rsidRDefault="000971BD" w:rsidP="000971BD">
      <w:pPr>
        <w:rPr>
          <w:sz w:val="24"/>
          <w:szCs w:val="24"/>
        </w:rPr>
      </w:pPr>
      <w:r w:rsidRPr="000971BD">
        <w:rPr>
          <w:lang w:eastAsia="bg-BG"/>
        </w:rPr>
        <w:t xml:space="preserve">20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филмирани таблетки: розово оцветени, овални, изпъкнали, филмирани таблетки, с надпис </w:t>
      </w:r>
      <w:r w:rsidRPr="000971BD">
        <w:t xml:space="preserve">“F20” </w:t>
      </w:r>
      <w:r w:rsidRPr="000971BD">
        <w:rPr>
          <w:lang w:eastAsia="bg-BG"/>
        </w:rPr>
        <w:t>от едната страна. Делимата им повърхност е бяла.</w:t>
      </w:r>
    </w:p>
    <w:p w14:paraId="615504BF" w14:textId="5B1018E5" w:rsidR="000971BD" w:rsidRPr="000971BD" w:rsidRDefault="000971BD" w:rsidP="000971BD">
      <w:r w:rsidRPr="000971BD">
        <w:rPr>
          <w:lang w:eastAsia="bg-BG"/>
        </w:rPr>
        <w:t xml:space="preserve">40 </w:t>
      </w:r>
      <w:proofErr w:type="spellStart"/>
      <w:r w:rsidRPr="000971BD">
        <w:t>mg</w:t>
      </w:r>
      <w:proofErr w:type="spellEnd"/>
      <w:r w:rsidRPr="000971BD">
        <w:t xml:space="preserve"> </w:t>
      </w:r>
      <w:r w:rsidRPr="000971BD">
        <w:rPr>
          <w:lang w:eastAsia="bg-BG"/>
        </w:rPr>
        <w:t xml:space="preserve">филмирани таблетки: тъмно-розово </w:t>
      </w:r>
      <w:proofErr w:type="spellStart"/>
      <w:r w:rsidRPr="000971BD">
        <w:rPr>
          <w:lang w:eastAsia="bg-BG"/>
        </w:rPr>
        <w:t>оцвенени</w:t>
      </w:r>
      <w:proofErr w:type="spellEnd"/>
      <w:r w:rsidRPr="000971BD">
        <w:rPr>
          <w:lang w:eastAsia="bg-BG"/>
        </w:rPr>
        <w:t xml:space="preserve">, овални, изпъкнали, филмирани таблетки, с надпис </w:t>
      </w:r>
      <w:r w:rsidRPr="000971BD">
        <w:t xml:space="preserve">“F40” </w:t>
      </w:r>
      <w:r w:rsidRPr="000971BD">
        <w:rPr>
          <w:lang w:eastAsia="bg-BG"/>
        </w:rPr>
        <w:t>от едната страна. Делимата им повърхност е бяла.</w:t>
      </w:r>
    </w:p>
    <w:p w14:paraId="5BB5FF7D" w14:textId="77777777" w:rsidR="000971BD" w:rsidRPr="000971BD" w:rsidRDefault="000971BD" w:rsidP="000971BD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71332BA4" w:rsidR="002B4DBB" w:rsidRDefault="002C50EE" w:rsidP="00C07B84">
      <w:pPr>
        <w:pStyle w:val="Heading2"/>
      </w:pPr>
      <w:r>
        <w:t>4.1. Терапевтични показания</w:t>
      </w:r>
    </w:p>
    <w:p w14:paraId="22BC66F8" w14:textId="77777777" w:rsidR="000971BD" w:rsidRDefault="000971BD" w:rsidP="000971BD"/>
    <w:p w14:paraId="531E3960" w14:textId="64AF8A2D" w:rsidR="000971BD" w:rsidRDefault="000971BD" w:rsidP="000971BD">
      <w:r>
        <w:t xml:space="preserve">Язва на дванадесетопръстника и доброкачествена язва на стомаха, </w:t>
      </w:r>
      <w:proofErr w:type="spellStart"/>
      <w:r>
        <w:t>гастро-езофагеална</w:t>
      </w:r>
      <w:proofErr w:type="spellEnd"/>
      <w:r>
        <w:t xml:space="preserve"> </w:t>
      </w:r>
      <w:proofErr w:type="spellStart"/>
      <w:r>
        <w:t>рефлуксна</w:t>
      </w:r>
      <w:proofErr w:type="spellEnd"/>
      <w:r>
        <w:t xml:space="preserve"> болест и други състояния на свръхсекреция (напр. синдром на </w:t>
      </w:r>
      <w:proofErr w:type="spellStart"/>
      <w:r>
        <w:t>Zollinger-Ellison</w:t>
      </w:r>
      <w:proofErr w:type="spellEnd"/>
      <w:r>
        <w:t xml:space="preserve">), профилактика на рецидив на язвата, профилактика на аспирация на кисело стомашно съдържимо при обща анестезия (синдром на </w:t>
      </w:r>
      <w:proofErr w:type="spellStart"/>
      <w:r>
        <w:t>Mendelson</w:t>
      </w:r>
      <w:proofErr w:type="spellEnd"/>
      <w:r>
        <w:t>).</w:t>
      </w:r>
    </w:p>
    <w:p w14:paraId="3D54D60F" w14:textId="77777777" w:rsidR="000971BD" w:rsidRPr="000971BD" w:rsidRDefault="000971BD" w:rsidP="000971BD"/>
    <w:p w14:paraId="71891A7D" w14:textId="30C6EBCC" w:rsidR="001915B6" w:rsidRDefault="002C50EE" w:rsidP="00C07B84">
      <w:pPr>
        <w:pStyle w:val="Heading2"/>
      </w:pPr>
      <w:r>
        <w:t>4.2. Дозировка и начин на приложение</w:t>
      </w:r>
    </w:p>
    <w:p w14:paraId="14D43D1B" w14:textId="77777777" w:rsidR="000971BD" w:rsidRDefault="000971BD" w:rsidP="000971BD">
      <w:pPr>
        <w:spacing w:line="240" w:lineRule="auto"/>
        <w:rPr>
          <w:rFonts w:ascii="Times New Roman" w:eastAsia="Times New Roman" w:hAnsi="Times New Roman" w:cs="Times New Roman"/>
          <w:color w:val="000000"/>
          <w:u w:val="single"/>
          <w:lang w:eastAsia="bg-BG"/>
        </w:rPr>
      </w:pPr>
    </w:p>
    <w:p w14:paraId="4E40CF42" w14:textId="4BCD0F64" w:rsidR="000971BD" w:rsidRPr="007F0279" w:rsidRDefault="000971BD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Дозировка</w:t>
      </w:r>
    </w:p>
    <w:p w14:paraId="39960866" w14:textId="77777777" w:rsidR="000971BD" w:rsidRDefault="000971BD" w:rsidP="007F0279">
      <w:pPr>
        <w:rPr>
          <w:lang w:eastAsia="bg-BG"/>
        </w:rPr>
      </w:pPr>
    </w:p>
    <w:p w14:paraId="275C0725" w14:textId="25DA0F9F" w:rsidR="000971BD" w:rsidRPr="000971BD" w:rsidRDefault="000971BD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>Язва на дванадесетопръстника:</w:t>
      </w:r>
      <w:r w:rsidRPr="000971BD">
        <w:rPr>
          <w:lang w:eastAsia="bg-BG"/>
        </w:rPr>
        <w:t xml:space="preserve"> 40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 xml:space="preserve">веднъж дневно преди лягане или </w:t>
      </w:r>
      <w:r w:rsidRPr="000971BD">
        <w:rPr>
          <w:lang w:val="en-US"/>
        </w:rPr>
        <w:t xml:space="preserve">20mg </w:t>
      </w:r>
      <w:r w:rsidRPr="000971BD">
        <w:rPr>
          <w:lang w:eastAsia="bg-BG"/>
        </w:rPr>
        <w:t>два пъти дневно (сутрин и вечер). Продължителността на лечението е 4-8 седмици.</w:t>
      </w:r>
    </w:p>
    <w:p w14:paraId="358AB8A3" w14:textId="77777777" w:rsidR="000971BD" w:rsidRDefault="000971BD" w:rsidP="007F0279">
      <w:pPr>
        <w:rPr>
          <w:lang w:eastAsia="bg-BG"/>
        </w:rPr>
      </w:pPr>
    </w:p>
    <w:p w14:paraId="108AED10" w14:textId="26340AB0" w:rsidR="000971BD" w:rsidRPr="000971BD" w:rsidRDefault="000971BD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>Доброкачествена язва на стомаха:</w:t>
      </w:r>
      <w:r w:rsidRPr="000971BD">
        <w:rPr>
          <w:lang w:eastAsia="bg-BG"/>
        </w:rPr>
        <w:t xml:space="preserve"> 40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>веднъж дневно преди лягане в продължение на 4- 8 седмици*</w:t>
      </w:r>
    </w:p>
    <w:p w14:paraId="3CB53164" w14:textId="77777777" w:rsidR="000971BD" w:rsidRPr="000971BD" w:rsidRDefault="000971BD" w:rsidP="007F0279">
      <w:pPr>
        <w:rPr>
          <w:sz w:val="24"/>
          <w:szCs w:val="24"/>
        </w:rPr>
      </w:pPr>
      <w:proofErr w:type="spellStart"/>
      <w:r w:rsidRPr="007F0279">
        <w:rPr>
          <w:u w:val="single"/>
          <w:lang w:eastAsia="bg-BG"/>
        </w:rPr>
        <w:lastRenderedPageBreak/>
        <w:t>Гастро-езофагеален</w:t>
      </w:r>
      <w:proofErr w:type="spellEnd"/>
      <w:r w:rsidRPr="007F0279">
        <w:rPr>
          <w:u w:val="single"/>
          <w:lang w:eastAsia="bg-BG"/>
        </w:rPr>
        <w:t xml:space="preserve"> </w:t>
      </w:r>
      <w:proofErr w:type="spellStart"/>
      <w:r w:rsidRPr="007F0279">
        <w:rPr>
          <w:u w:val="single"/>
          <w:lang w:eastAsia="bg-BG"/>
        </w:rPr>
        <w:t>рефлукс</w:t>
      </w:r>
      <w:proofErr w:type="spellEnd"/>
      <w:r w:rsidRPr="007F0279">
        <w:rPr>
          <w:u w:val="single"/>
          <w:lang w:eastAsia="bg-BG"/>
        </w:rPr>
        <w:t>:</w:t>
      </w:r>
      <w:r w:rsidRPr="000971BD">
        <w:rPr>
          <w:lang w:eastAsia="bg-BG"/>
        </w:rPr>
        <w:t xml:space="preserve"> 20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 xml:space="preserve">два пъти дневно (сутрин и вечер) в продължение на 6- 12 седмици. Когато </w:t>
      </w:r>
      <w:proofErr w:type="spellStart"/>
      <w:r w:rsidRPr="000971BD">
        <w:rPr>
          <w:lang w:eastAsia="bg-BG"/>
        </w:rPr>
        <w:t>гастро-езофагеалната</w:t>
      </w:r>
      <w:proofErr w:type="spellEnd"/>
      <w:r w:rsidRPr="000971BD">
        <w:rPr>
          <w:lang w:eastAsia="bg-BG"/>
        </w:rPr>
        <w:t xml:space="preserve"> </w:t>
      </w:r>
      <w:proofErr w:type="spellStart"/>
      <w:r w:rsidRPr="000971BD">
        <w:rPr>
          <w:lang w:eastAsia="bg-BG"/>
        </w:rPr>
        <w:t>рефлуксна</w:t>
      </w:r>
      <w:proofErr w:type="spellEnd"/>
      <w:r w:rsidRPr="000971BD">
        <w:rPr>
          <w:lang w:eastAsia="bg-BG"/>
        </w:rPr>
        <w:t xml:space="preserve"> болест е свързана с </w:t>
      </w:r>
      <w:proofErr w:type="spellStart"/>
      <w:r w:rsidRPr="000971BD">
        <w:rPr>
          <w:lang w:eastAsia="bg-BG"/>
        </w:rPr>
        <w:t>езофагит</w:t>
      </w:r>
      <w:proofErr w:type="spellEnd"/>
      <w:r w:rsidRPr="000971BD">
        <w:rPr>
          <w:lang w:eastAsia="bg-BG"/>
        </w:rPr>
        <w:t xml:space="preserve"> препоръчваната доза е 20-40 </w:t>
      </w:r>
      <w:r w:rsidRPr="000971BD">
        <w:rPr>
          <w:lang w:val="en-US"/>
        </w:rPr>
        <w:t xml:space="preserve">mg </w:t>
      </w:r>
      <w:proofErr w:type="spellStart"/>
      <w:r w:rsidRPr="000971BD">
        <w:rPr>
          <w:lang w:eastAsia="bg-BG"/>
        </w:rPr>
        <w:t>Квамател</w:t>
      </w:r>
      <w:proofErr w:type="spellEnd"/>
      <w:r w:rsidRPr="000971BD">
        <w:rPr>
          <w:lang w:eastAsia="bg-BG"/>
        </w:rPr>
        <w:t xml:space="preserve"> за период от 12 седмици.</w:t>
      </w:r>
    </w:p>
    <w:p w14:paraId="586B449C" w14:textId="77777777" w:rsidR="000971BD" w:rsidRDefault="000971BD" w:rsidP="007F0279">
      <w:pPr>
        <w:rPr>
          <w:lang w:eastAsia="bg-BG"/>
        </w:rPr>
      </w:pPr>
    </w:p>
    <w:p w14:paraId="5876512E" w14:textId="77777777" w:rsidR="000971BD" w:rsidRPr="000971BD" w:rsidRDefault="000971BD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 xml:space="preserve">Синдром на </w:t>
      </w:r>
      <w:r w:rsidRPr="007F0279">
        <w:rPr>
          <w:u w:val="single"/>
          <w:lang w:val="en-US"/>
        </w:rPr>
        <w:t>Zollinger-Ellison:</w:t>
      </w:r>
      <w:r w:rsidRPr="000971BD">
        <w:rPr>
          <w:lang w:val="en-US"/>
        </w:rPr>
        <w:t xml:space="preserve"> </w:t>
      </w:r>
      <w:r w:rsidRPr="000971BD">
        <w:rPr>
          <w:lang w:eastAsia="bg-BG"/>
        </w:rPr>
        <w:t xml:space="preserve">Началната доза обикновено е 20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 xml:space="preserve">на всеки 6 часа при пациенти без предшестваща </w:t>
      </w:r>
      <w:proofErr w:type="spellStart"/>
      <w:r w:rsidRPr="000971BD">
        <w:rPr>
          <w:lang w:eastAsia="bg-BG"/>
        </w:rPr>
        <w:t>антисекреторна</w:t>
      </w:r>
      <w:proofErr w:type="spellEnd"/>
      <w:r w:rsidRPr="000971BD">
        <w:rPr>
          <w:lang w:eastAsia="bg-BG"/>
        </w:rPr>
        <w:t xml:space="preserve"> терапия, след което дозата трябва да бъде</w:t>
      </w:r>
      <w:r>
        <w:rPr>
          <w:lang w:val="en-US" w:eastAsia="bg-BG"/>
        </w:rPr>
        <w:t xml:space="preserve"> </w:t>
      </w:r>
      <w:r w:rsidRPr="000971BD">
        <w:rPr>
          <w:lang w:eastAsia="bg-BG"/>
        </w:rPr>
        <w:t>индивидуализирана в зависимост от състоянието на пациента. Пациенти, които приемат друг Н</w:t>
      </w:r>
      <w:r w:rsidRPr="000971BD">
        <w:rPr>
          <w:vertAlign w:val="subscript"/>
          <w:lang w:eastAsia="bg-BG"/>
        </w:rPr>
        <w:t xml:space="preserve">2 </w:t>
      </w:r>
      <w:r w:rsidRPr="000971BD">
        <w:rPr>
          <w:lang w:eastAsia="bg-BG"/>
        </w:rPr>
        <w:t xml:space="preserve">антагонист, могат направо да преминат към лечение с </w:t>
      </w:r>
      <w:proofErr w:type="spellStart"/>
      <w:r w:rsidRPr="000971BD">
        <w:rPr>
          <w:lang w:eastAsia="bg-BG"/>
        </w:rPr>
        <w:t>Квамател</w:t>
      </w:r>
      <w:proofErr w:type="spellEnd"/>
      <w:r w:rsidRPr="000971BD">
        <w:rPr>
          <w:lang w:eastAsia="bg-BG"/>
        </w:rPr>
        <w:t xml:space="preserve"> в доза по-висока от началната препоръчвана от 20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>на всеки 6 часа.</w:t>
      </w:r>
    </w:p>
    <w:p w14:paraId="4E15366A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>Приложението трябва да продължи докато е необходимо, в зависимост от клиничната картина.</w:t>
      </w:r>
    </w:p>
    <w:p w14:paraId="22C6905C" w14:textId="77777777" w:rsidR="000971BD" w:rsidRDefault="000971BD" w:rsidP="007F0279">
      <w:pPr>
        <w:rPr>
          <w:lang w:eastAsia="bg-BG"/>
        </w:rPr>
      </w:pPr>
    </w:p>
    <w:p w14:paraId="1ED55F25" w14:textId="04CF60F0" w:rsidR="000971BD" w:rsidRPr="000971BD" w:rsidRDefault="000971BD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>Профилактика на рецидив на язвата:</w:t>
      </w:r>
      <w:r w:rsidRPr="000971BD">
        <w:rPr>
          <w:lang w:eastAsia="bg-BG"/>
        </w:rPr>
        <w:t xml:space="preserve"> 20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>веднъж дневно преди лягане.</w:t>
      </w:r>
    </w:p>
    <w:p w14:paraId="1EE12F4F" w14:textId="77777777" w:rsidR="007F0279" w:rsidRDefault="007F0279" w:rsidP="007F0279">
      <w:pPr>
        <w:rPr>
          <w:lang w:eastAsia="bg-BG"/>
        </w:rPr>
      </w:pPr>
    </w:p>
    <w:p w14:paraId="7AAFD1B9" w14:textId="51A0BF8C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 xml:space="preserve">За профилактика на аспирация на кисело стомашно съдържимо при обща анестезия: 40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>вечерта преди операцията или сутринта в деня на операцията.</w:t>
      </w:r>
    </w:p>
    <w:p w14:paraId="460DAAC1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>Дозировка и употреба при специални групи пациенти</w:t>
      </w:r>
    </w:p>
    <w:p w14:paraId="155C9465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i/>
          <w:iCs/>
          <w:lang w:eastAsia="bg-BG"/>
        </w:rPr>
        <w:t>Педиатрична популация</w:t>
      </w:r>
    </w:p>
    <w:p w14:paraId="1BB597D9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>Безопасността и ефективността на това лекарство при деца не са установени.</w:t>
      </w:r>
    </w:p>
    <w:p w14:paraId="3BD45E0B" w14:textId="77777777" w:rsidR="000971BD" w:rsidRDefault="000971BD" w:rsidP="007F0279">
      <w:pPr>
        <w:rPr>
          <w:i/>
          <w:iCs/>
          <w:lang w:eastAsia="bg-BG"/>
        </w:rPr>
      </w:pPr>
    </w:p>
    <w:p w14:paraId="208F194E" w14:textId="369CE39A" w:rsidR="000971BD" w:rsidRPr="000971BD" w:rsidRDefault="000971BD" w:rsidP="007F0279">
      <w:pPr>
        <w:rPr>
          <w:sz w:val="24"/>
          <w:szCs w:val="24"/>
        </w:rPr>
      </w:pPr>
      <w:r w:rsidRPr="000971BD">
        <w:rPr>
          <w:i/>
          <w:iCs/>
          <w:lang w:eastAsia="bg-BG"/>
        </w:rPr>
        <w:t>Старческа възраст</w:t>
      </w:r>
    </w:p>
    <w:p w14:paraId="2CCA8507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>Не се изисква корекция на дозата предвид възрастта.</w:t>
      </w:r>
    </w:p>
    <w:p w14:paraId="7835D987" w14:textId="77777777" w:rsidR="000971BD" w:rsidRDefault="000971BD" w:rsidP="007F0279">
      <w:pPr>
        <w:rPr>
          <w:i/>
          <w:iCs/>
          <w:lang w:eastAsia="bg-BG"/>
        </w:rPr>
      </w:pPr>
    </w:p>
    <w:p w14:paraId="705E2027" w14:textId="5D289054" w:rsidR="000971BD" w:rsidRPr="000971BD" w:rsidRDefault="000971BD" w:rsidP="007F0279">
      <w:pPr>
        <w:rPr>
          <w:sz w:val="24"/>
          <w:szCs w:val="24"/>
        </w:rPr>
      </w:pPr>
      <w:r w:rsidRPr="000971BD">
        <w:rPr>
          <w:i/>
          <w:iCs/>
          <w:lang w:eastAsia="bg-BG"/>
        </w:rPr>
        <w:t>Бъбречно увреждане</w:t>
      </w:r>
    </w:p>
    <w:p w14:paraId="6604645D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 xml:space="preserve">Тъй като </w:t>
      </w:r>
      <w:proofErr w:type="spellStart"/>
      <w:r w:rsidRPr="000971BD">
        <w:rPr>
          <w:lang w:eastAsia="bg-BG"/>
        </w:rPr>
        <w:t>Квамател</w:t>
      </w:r>
      <w:proofErr w:type="spellEnd"/>
      <w:r w:rsidRPr="000971BD">
        <w:rPr>
          <w:lang w:eastAsia="bg-BG"/>
        </w:rPr>
        <w:t xml:space="preserve"> се </w:t>
      </w:r>
      <w:proofErr w:type="spellStart"/>
      <w:r w:rsidRPr="000971BD">
        <w:rPr>
          <w:lang w:eastAsia="bg-BG"/>
        </w:rPr>
        <w:t>екскретира</w:t>
      </w:r>
      <w:proofErr w:type="spellEnd"/>
      <w:r w:rsidRPr="000971BD">
        <w:rPr>
          <w:lang w:eastAsia="bg-BG"/>
        </w:rPr>
        <w:t xml:space="preserve"> основно през бъбреците, необходимо е да се вземат предпазни мерки при пациенти с тежко бъбречно увреждане.</w:t>
      </w:r>
    </w:p>
    <w:p w14:paraId="518B28B6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 xml:space="preserve">При </w:t>
      </w:r>
      <w:proofErr w:type="spellStart"/>
      <w:r w:rsidRPr="000971BD">
        <w:rPr>
          <w:lang w:eastAsia="bg-BG"/>
        </w:rPr>
        <w:t>креатининов</w:t>
      </w:r>
      <w:proofErr w:type="spellEnd"/>
      <w:r w:rsidRPr="000971BD">
        <w:rPr>
          <w:lang w:eastAsia="bg-BG"/>
        </w:rPr>
        <w:t xml:space="preserve"> клирънс &lt;30 </w:t>
      </w:r>
      <w:r w:rsidRPr="000971BD">
        <w:rPr>
          <w:lang w:val="en-US"/>
        </w:rPr>
        <w:t>ml</w:t>
      </w:r>
      <w:r w:rsidRPr="000971BD">
        <w:rPr>
          <w:lang w:eastAsia="bg-BG"/>
        </w:rPr>
        <w:t xml:space="preserve">/мин и серумен </w:t>
      </w:r>
      <w:proofErr w:type="spellStart"/>
      <w:r w:rsidRPr="000971BD">
        <w:rPr>
          <w:lang w:eastAsia="bg-BG"/>
        </w:rPr>
        <w:t>креатинин</w:t>
      </w:r>
      <w:proofErr w:type="spellEnd"/>
      <w:r w:rsidRPr="000971BD">
        <w:rPr>
          <w:lang w:eastAsia="bg-BG"/>
        </w:rPr>
        <w:t xml:space="preserve"> &gt;3 </w:t>
      </w:r>
      <w:r w:rsidRPr="000971BD">
        <w:rPr>
          <w:lang w:val="en-US"/>
        </w:rPr>
        <w:t>mg/1</w:t>
      </w:r>
      <w:r w:rsidRPr="000971BD">
        <w:rPr>
          <w:lang w:eastAsia="bg-BG"/>
        </w:rPr>
        <w:t xml:space="preserve">00 </w:t>
      </w:r>
      <w:r w:rsidRPr="000971BD">
        <w:rPr>
          <w:lang w:val="en-US"/>
        </w:rPr>
        <w:t xml:space="preserve">ml, </w:t>
      </w:r>
      <w:r w:rsidRPr="000971BD">
        <w:rPr>
          <w:lang w:eastAsia="bg-BG"/>
        </w:rPr>
        <w:t xml:space="preserve">дневната доза трябва да бъде намалена на 20 </w:t>
      </w:r>
      <w:r w:rsidRPr="000971BD">
        <w:rPr>
          <w:lang w:val="en-US"/>
        </w:rPr>
        <w:t xml:space="preserve">mg </w:t>
      </w:r>
      <w:r w:rsidRPr="000971BD">
        <w:rPr>
          <w:lang w:eastAsia="bg-BG"/>
        </w:rPr>
        <w:t>или интервалът между дозите да бъде удължен на 36-48 часа.</w:t>
      </w:r>
    </w:p>
    <w:p w14:paraId="6E5BBEBC" w14:textId="77777777" w:rsidR="000971BD" w:rsidRDefault="000971BD" w:rsidP="007F0279">
      <w:pPr>
        <w:rPr>
          <w:lang w:eastAsia="bg-BG"/>
        </w:rPr>
      </w:pPr>
    </w:p>
    <w:p w14:paraId="62A5C1A8" w14:textId="44E70947" w:rsidR="000971BD" w:rsidRPr="007F0279" w:rsidRDefault="000971BD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Начин на приложение</w:t>
      </w:r>
    </w:p>
    <w:p w14:paraId="0C032752" w14:textId="77777777" w:rsidR="000971BD" w:rsidRPr="000971BD" w:rsidRDefault="000971BD" w:rsidP="007F0279">
      <w:pPr>
        <w:rPr>
          <w:sz w:val="24"/>
          <w:szCs w:val="24"/>
        </w:rPr>
      </w:pPr>
      <w:r w:rsidRPr="000971BD">
        <w:rPr>
          <w:lang w:eastAsia="bg-BG"/>
        </w:rPr>
        <w:t>Перорално приложение.</w:t>
      </w:r>
    </w:p>
    <w:p w14:paraId="7E53263C" w14:textId="77777777" w:rsidR="000971BD" w:rsidRPr="000971BD" w:rsidRDefault="000971BD" w:rsidP="000971BD"/>
    <w:p w14:paraId="3194B1C9" w14:textId="3FE0AE2F" w:rsidR="001915B6" w:rsidRDefault="002C50EE" w:rsidP="00C07B84">
      <w:pPr>
        <w:pStyle w:val="Heading2"/>
      </w:pPr>
      <w:r>
        <w:t>4.3. Противопоказания</w:t>
      </w:r>
    </w:p>
    <w:p w14:paraId="0758BFD4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72C3DC63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>Бременност и кърмене (вж. точка 4.6).</w:t>
      </w:r>
    </w:p>
    <w:p w14:paraId="5EEAC0E4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>Деца и подрастващи.</w:t>
      </w:r>
    </w:p>
    <w:p w14:paraId="29871BAA" w14:textId="77777777" w:rsidR="007F0279" w:rsidRPr="007F0279" w:rsidRDefault="007F0279" w:rsidP="007F0279"/>
    <w:p w14:paraId="4B2B2AB1" w14:textId="6EF6DFA4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5447C07D" w14:textId="77777777" w:rsidR="007F0279" w:rsidRDefault="007F0279" w:rsidP="007F0279">
      <w:pPr>
        <w:rPr>
          <w:lang w:eastAsia="bg-BG"/>
        </w:rPr>
      </w:pPr>
    </w:p>
    <w:p w14:paraId="0A99EACE" w14:textId="2AD1F8EF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Преди започване на лечение с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трябва да бъде изключено злокачествено заболяване на стомаха.</w:t>
      </w:r>
    </w:p>
    <w:p w14:paraId="4DD18AB8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При чернодробно увреждане,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трябва да се прилага с повишено внимание и в намалена дозировка.</w:t>
      </w:r>
    </w:p>
    <w:p w14:paraId="7AC3A349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lastRenderedPageBreak/>
        <w:t>Тъй като има данни за кръстосана чувствителност към Н</w:t>
      </w:r>
      <w:r w:rsidRPr="007F0279">
        <w:rPr>
          <w:vertAlign w:val="subscript"/>
          <w:lang w:eastAsia="bg-BG"/>
        </w:rPr>
        <w:t>2</w:t>
      </w:r>
      <w:r w:rsidRPr="007F0279">
        <w:rPr>
          <w:lang w:eastAsia="bg-BG"/>
        </w:rPr>
        <w:t xml:space="preserve">-рецепторни антагонисти, се изисква внимание при приложение на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при пациенти с анамнеза за свръхчувствителност към други Н</w:t>
      </w:r>
      <w:r w:rsidRPr="007F0279">
        <w:rPr>
          <w:vertAlign w:val="subscript"/>
          <w:lang w:eastAsia="bg-BG"/>
        </w:rPr>
        <w:t>2</w:t>
      </w:r>
      <w:r w:rsidRPr="007F0279">
        <w:rPr>
          <w:lang w:eastAsia="bg-BG"/>
        </w:rPr>
        <w:t>- рецепторни антагонисти.</w:t>
      </w:r>
    </w:p>
    <w:p w14:paraId="3E5C1DAF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съдържа лактоза.</w:t>
      </w:r>
    </w:p>
    <w:p w14:paraId="6EEB8748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В случай на </w:t>
      </w:r>
      <w:proofErr w:type="spellStart"/>
      <w:r w:rsidRPr="007F0279">
        <w:rPr>
          <w:lang w:eastAsia="bg-BG"/>
        </w:rPr>
        <w:t>лактозна</w:t>
      </w:r>
      <w:proofErr w:type="spellEnd"/>
      <w:r w:rsidRPr="007F0279">
        <w:rPr>
          <w:lang w:eastAsia="bg-BG"/>
        </w:rPr>
        <w:t xml:space="preserve"> непоносимост трябва да се вземе </w:t>
      </w:r>
      <w:proofErr w:type="spellStart"/>
      <w:r w:rsidRPr="007F0279">
        <w:rPr>
          <w:lang w:eastAsia="bg-BG"/>
        </w:rPr>
        <w:t>впредвид</w:t>
      </w:r>
      <w:proofErr w:type="spellEnd"/>
      <w:r w:rsidRPr="007F0279">
        <w:rPr>
          <w:lang w:eastAsia="bg-BG"/>
        </w:rPr>
        <w:t xml:space="preserve">, че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20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 xml:space="preserve">филмирани таблетки съдържа 105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 xml:space="preserve">лактоза и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40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 xml:space="preserve">филмирани таблетки съдържа 90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>лактоза.</w:t>
      </w:r>
    </w:p>
    <w:p w14:paraId="0FEE773D" w14:textId="5FB0692E" w:rsidR="007F0279" w:rsidRDefault="007F0279" w:rsidP="007F0279">
      <w:pPr>
        <w:rPr>
          <w:lang w:eastAsia="bg-BG"/>
        </w:rPr>
      </w:pPr>
      <w:r w:rsidRPr="007F0279">
        <w:rPr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7F0279">
        <w:rPr>
          <w:lang w:eastAsia="bg-BG"/>
        </w:rPr>
        <w:t>галактоза</w:t>
      </w:r>
      <w:proofErr w:type="spellEnd"/>
      <w:r w:rsidRPr="007F0279">
        <w:rPr>
          <w:lang w:eastAsia="bg-BG"/>
        </w:rPr>
        <w:t xml:space="preserve">, пълен </w:t>
      </w:r>
      <w:proofErr w:type="spellStart"/>
      <w:r w:rsidRPr="007F0279">
        <w:rPr>
          <w:lang w:eastAsia="bg-BG"/>
        </w:rPr>
        <w:t>лактазен</w:t>
      </w:r>
      <w:proofErr w:type="spellEnd"/>
      <w:r w:rsidRPr="007F0279">
        <w:rPr>
          <w:lang w:eastAsia="bg-BG"/>
        </w:rPr>
        <w:t xml:space="preserve"> дефицит или </w:t>
      </w:r>
      <w:proofErr w:type="spellStart"/>
      <w:r w:rsidRPr="007F0279">
        <w:rPr>
          <w:lang w:eastAsia="bg-BG"/>
        </w:rPr>
        <w:t>глюкозо-галактозна</w:t>
      </w:r>
      <w:proofErr w:type="spellEnd"/>
      <w:r w:rsidRPr="007F0279">
        <w:rPr>
          <w:lang w:eastAsia="bg-BG"/>
        </w:rPr>
        <w:t xml:space="preserve"> малабсорбция не трябва да приемат това лекарство.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филмирани таблетки съдържа 6,00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 xml:space="preserve">натриев нишестен </w:t>
      </w:r>
      <w:proofErr w:type="spellStart"/>
      <w:r w:rsidRPr="007F0279">
        <w:rPr>
          <w:lang w:eastAsia="bg-BG"/>
        </w:rPr>
        <w:t>гликолат</w:t>
      </w:r>
      <w:proofErr w:type="spellEnd"/>
      <w:r w:rsidRPr="007F0279">
        <w:rPr>
          <w:lang w:eastAsia="bg-BG"/>
        </w:rPr>
        <w:t xml:space="preserve">. Това лекарство съдържа по-малко от 1 </w:t>
      </w:r>
      <w:r w:rsidRPr="007F0279">
        <w:rPr>
          <w:lang w:val="en-US"/>
        </w:rPr>
        <w:t xml:space="preserve">mmol </w:t>
      </w:r>
      <w:r w:rsidRPr="007F0279">
        <w:rPr>
          <w:lang w:eastAsia="bg-BG"/>
        </w:rPr>
        <w:t xml:space="preserve">натрий (23 </w:t>
      </w:r>
      <w:r w:rsidRPr="007F0279">
        <w:rPr>
          <w:lang w:val="en-US"/>
        </w:rPr>
        <w:t xml:space="preserve">mg) </w:t>
      </w:r>
      <w:r w:rsidRPr="007F0279">
        <w:rPr>
          <w:lang w:eastAsia="bg-BG"/>
        </w:rPr>
        <w:t xml:space="preserve">на филмирана таблетка, </w:t>
      </w:r>
      <w:proofErr w:type="spellStart"/>
      <w:r w:rsidRPr="007F0279">
        <w:rPr>
          <w:lang w:eastAsia="bg-BG"/>
        </w:rPr>
        <w:t>т.е</w:t>
      </w:r>
      <w:proofErr w:type="spellEnd"/>
      <w:r w:rsidRPr="007F0279">
        <w:rPr>
          <w:lang w:eastAsia="bg-BG"/>
        </w:rPr>
        <w:t xml:space="preserve"> може да се каже, че практически не съдържа натрий.</w:t>
      </w:r>
    </w:p>
    <w:p w14:paraId="0DBFE786" w14:textId="77777777" w:rsidR="007F0279" w:rsidRPr="007F0279" w:rsidRDefault="007F0279" w:rsidP="007F0279"/>
    <w:p w14:paraId="78BEBB3D" w14:textId="1621C30B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044601A" w14:textId="77777777" w:rsidR="007F0279" w:rsidRDefault="007F0279" w:rsidP="007F0279">
      <w:pPr>
        <w:rPr>
          <w:lang w:eastAsia="bg-BG"/>
        </w:rPr>
      </w:pPr>
    </w:p>
    <w:p w14:paraId="2ED65A0D" w14:textId="5C728425" w:rsidR="007F0279" w:rsidRDefault="007F0279" w:rsidP="007F0279">
      <w:pPr>
        <w:rPr>
          <w:lang w:eastAsia="bg-BG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не повлиява чернодробната </w:t>
      </w:r>
      <w:proofErr w:type="spellStart"/>
      <w:r w:rsidRPr="007F0279">
        <w:rPr>
          <w:lang w:eastAsia="bg-BG"/>
        </w:rPr>
        <w:t>цитохром</w:t>
      </w:r>
      <w:proofErr w:type="spellEnd"/>
      <w:r w:rsidRPr="007F0279">
        <w:rPr>
          <w:lang w:eastAsia="bg-BG"/>
        </w:rPr>
        <w:t xml:space="preserve"> Р-450 ензимна система. В резултат на покачване на стомашното </w:t>
      </w:r>
      <w:r w:rsidRPr="007F0279">
        <w:rPr>
          <w:lang w:val="en-US"/>
        </w:rPr>
        <w:t xml:space="preserve">pH,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може да намали абсорбцията на едновременно прилагания </w:t>
      </w:r>
    </w:p>
    <w:p w14:paraId="77A97F3F" w14:textId="1D93169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кетоконазол</w:t>
      </w:r>
      <w:proofErr w:type="spellEnd"/>
      <w:r w:rsidRPr="007F0279">
        <w:rPr>
          <w:lang w:eastAsia="bg-BG"/>
        </w:rPr>
        <w:t>.</w:t>
      </w:r>
    </w:p>
    <w:p w14:paraId="4BA38D5A" w14:textId="77777777" w:rsidR="007F0279" w:rsidRDefault="007F0279" w:rsidP="007F0279">
      <w:pPr>
        <w:rPr>
          <w:lang w:eastAsia="bg-BG"/>
        </w:rPr>
      </w:pPr>
    </w:p>
    <w:p w14:paraId="28443BCA" w14:textId="4A27850F" w:rsidR="007F0279" w:rsidRDefault="007F0279" w:rsidP="007F0279">
      <w:pPr>
        <w:rPr>
          <w:lang w:eastAsia="bg-BG"/>
        </w:rPr>
      </w:pPr>
      <w:r w:rsidRPr="007F0279">
        <w:rPr>
          <w:lang w:eastAsia="bg-BG"/>
        </w:rPr>
        <w:t xml:space="preserve">Риск от загуба на ефикасност на калциевия карбонат при едновременното му прилагане като фосфат-свързващо вещество с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при пациенти на </w:t>
      </w:r>
      <w:proofErr w:type="spellStart"/>
      <w:r w:rsidRPr="007F0279">
        <w:rPr>
          <w:lang w:eastAsia="bg-BG"/>
        </w:rPr>
        <w:t>хемодиализно</w:t>
      </w:r>
      <w:proofErr w:type="spellEnd"/>
      <w:r w:rsidRPr="007F0279">
        <w:rPr>
          <w:lang w:eastAsia="bg-BG"/>
        </w:rPr>
        <w:t xml:space="preserve"> лечение.</w:t>
      </w:r>
    </w:p>
    <w:p w14:paraId="69287274" w14:textId="77777777" w:rsidR="007F0279" w:rsidRPr="007F0279" w:rsidRDefault="007F0279" w:rsidP="007F0279"/>
    <w:p w14:paraId="48221AB5" w14:textId="4FBBBC75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7028E5B3" w14:textId="77777777" w:rsidR="007F0279" w:rsidRDefault="007F0279" w:rsidP="007F0279">
      <w:pPr>
        <w:rPr>
          <w:lang w:eastAsia="bg-BG"/>
        </w:rPr>
      </w:pPr>
    </w:p>
    <w:p w14:paraId="6B3176B7" w14:textId="4F7FAD51" w:rsidR="007F0279" w:rsidRPr="007F0279" w:rsidRDefault="007F0279" w:rsidP="007F0279">
      <w:pPr>
        <w:rPr>
          <w:sz w:val="24"/>
          <w:szCs w:val="24"/>
          <w:u w:val="single"/>
        </w:rPr>
      </w:pPr>
      <w:r w:rsidRPr="007F0279">
        <w:rPr>
          <w:u w:val="single"/>
          <w:lang w:eastAsia="bg-BG"/>
        </w:rPr>
        <w:t>Бременност</w:t>
      </w:r>
    </w:p>
    <w:p w14:paraId="63A43ADF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преминава плацентата. Не съществуват, обаче, задоволителни или добре контролирани проучвания при бременни жени.</w:t>
      </w:r>
    </w:p>
    <w:p w14:paraId="2E736889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Проучвания при животни не показват директен или косвен вреден ефект върху бременността, развитието на ембриона и </w:t>
      </w:r>
      <w:proofErr w:type="spellStart"/>
      <w:r w:rsidRPr="007F0279">
        <w:rPr>
          <w:lang w:eastAsia="bg-BG"/>
        </w:rPr>
        <w:t>фетуса</w:t>
      </w:r>
      <w:proofErr w:type="spellEnd"/>
      <w:r w:rsidRPr="007F0279">
        <w:rPr>
          <w:lang w:eastAsia="bg-BG"/>
        </w:rPr>
        <w:t xml:space="preserve">, раждането или </w:t>
      </w:r>
      <w:proofErr w:type="spellStart"/>
      <w:r w:rsidRPr="007F0279">
        <w:rPr>
          <w:lang w:eastAsia="bg-BG"/>
        </w:rPr>
        <w:t>постнаталното</w:t>
      </w:r>
      <w:proofErr w:type="spellEnd"/>
      <w:r w:rsidRPr="007F0279">
        <w:rPr>
          <w:lang w:eastAsia="bg-BG"/>
        </w:rPr>
        <w:t xml:space="preserve"> развитие (вж. точка 5.3), но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 xml:space="preserve"> по време на бременност е противопоказан.</w:t>
      </w:r>
    </w:p>
    <w:p w14:paraId="034A2BD1" w14:textId="77777777" w:rsidR="007F0279" w:rsidRDefault="007F0279" w:rsidP="007F0279">
      <w:pPr>
        <w:rPr>
          <w:lang w:eastAsia="bg-BG"/>
        </w:rPr>
      </w:pPr>
    </w:p>
    <w:p w14:paraId="1C7E1C59" w14:textId="4AA6FD24" w:rsidR="007F0279" w:rsidRPr="007F0279" w:rsidRDefault="007F0279" w:rsidP="007F0279">
      <w:pPr>
        <w:rPr>
          <w:sz w:val="24"/>
          <w:szCs w:val="24"/>
          <w:u w:val="single"/>
        </w:rPr>
      </w:pPr>
      <w:r w:rsidRPr="007F0279">
        <w:rPr>
          <w:u w:val="single"/>
          <w:lang w:eastAsia="bg-BG"/>
        </w:rPr>
        <w:t>Кърмене</w:t>
      </w:r>
    </w:p>
    <w:p w14:paraId="2D124E3C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се секретира в кърмата при хора и по тази причина кърменето трябва да бъде преустановено по време на употреба на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>.</w:t>
      </w:r>
    </w:p>
    <w:p w14:paraId="3A0AC7FD" w14:textId="77777777" w:rsidR="007F0279" w:rsidRDefault="007F0279" w:rsidP="007F0279">
      <w:pPr>
        <w:rPr>
          <w:lang w:eastAsia="bg-BG"/>
        </w:rPr>
      </w:pPr>
    </w:p>
    <w:p w14:paraId="32502DB6" w14:textId="325D22BF" w:rsidR="007F0279" w:rsidRPr="007F0279" w:rsidRDefault="007F0279" w:rsidP="007F0279">
      <w:pPr>
        <w:rPr>
          <w:sz w:val="24"/>
          <w:szCs w:val="24"/>
          <w:u w:val="single"/>
        </w:rPr>
      </w:pPr>
      <w:proofErr w:type="spellStart"/>
      <w:r w:rsidRPr="007F0279">
        <w:rPr>
          <w:u w:val="single"/>
          <w:lang w:eastAsia="bg-BG"/>
        </w:rPr>
        <w:t>Фертилитет</w:t>
      </w:r>
      <w:proofErr w:type="spellEnd"/>
    </w:p>
    <w:p w14:paraId="48F677C2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Проучвания при плъхове и зайци с орални дози, съответно до 2000 и 500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телесно тегло дневно, не са показали увреждащ ефект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върху </w:t>
      </w:r>
      <w:proofErr w:type="spellStart"/>
      <w:r w:rsidRPr="007F0279">
        <w:rPr>
          <w:lang w:eastAsia="bg-BG"/>
        </w:rPr>
        <w:t>фертилитета</w:t>
      </w:r>
      <w:proofErr w:type="spellEnd"/>
      <w:r w:rsidRPr="007F0279">
        <w:rPr>
          <w:lang w:eastAsia="bg-BG"/>
        </w:rPr>
        <w:t>. Няма обаче адекватни или добре контролирани проучвания при бременни жени.</w:t>
      </w:r>
    </w:p>
    <w:p w14:paraId="7039B90E" w14:textId="77777777" w:rsidR="007F0279" w:rsidRPr="007F0279" w:rsidRDefault="007F0279" w:rsidP="007F0279"/>
    <w:p w14:paraId="5F675BDB" w14:textId="6C00FCBC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4930FD4C" w14:textId="77777777" w:rsidR="007F0279" w:rsidRDefault="007F0279" w:rsidP="007F0279">
      <w:pPr>
        <w:rPr>
          <w:lang w:eastAsia="bg-BG"/>
        </w:rPr>
      </w:pPr>
    </w:p>
    <w:p w14:paraId="6776FBA0" w14:textId="5AA00D74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Няма налични данни за някакъв ефект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върху способността за шофиране и работа с машини.</w:t>
      </w:r>
    </w:p>
    <w:p w14:paraId="7CECAA1C" w14:textId="77777777" w:rsidR="007F0279" w:rsidRPr="007F0279" w:rsidRDefault="007F0279" w:rsidP="007F0279"/>
    <w:p w14:paraId="1B3BD30D" w14:textId="7772247F" w:rsidR="002C50EE" w:rsidRDefault="002C50EE" w:rsidP="002C50EE">
      <w:pPr>
        <w:pStyle w:val="Heading2"/>
      </w:pPr>
      <w:r>
        <w:t>4.8. Нежелани лекарствени реакции</w:t>
      </w:r>
    </w:p>
    <w:p w14:paraId="104C55BC" w14:textId="77777777" w:rsidR="007F0279" w:rsidRDefault="007F0279" w:rsidP="007F0279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2487BDC" w14:textId="734745C4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Въз основа на опита с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трябва да се споменат следните нежелани лекарствени реакции.</w:t>
      </w:r>
    </w:p>
    <w:p w14:paraId="70EF1ECF" w14:textId="7C96BC71" w:rsidR="007F0279" w:rsidRDefault="007F0279" w:rsidP="007F0279">
      <w:pPr>
        <w:rPr>
          <w:lang w:eastAsia="bg-BG"/>
        </w:rPr>
      </w:pPr>
      <w:r w:rsidRPr="007F0279">
        <w:rPr>
          <w:lang w:eastAsia="bg-BG"/>
        </w:rPr>
        <w:t>Следните нежелани реакции са дефинирани както следва: много чести (&gt;1/10), чести (&gt;1/100;&lt;1/10), нечести (&gt;1/1000; &lt;1/100), редки (&gt;1/10000; &lt;1/1000), много редки (&lt;1/10000).</w:t>
      </w:r>
    </w:p>
    <w:p w14:paraId="3DC831F6" w14:textId="44318E66" w:rsidR="007F0279" w:rsidRDefault="007F0279" w:rsidP="007F0279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318"/>
        <w:gridCol w:w="1811"/>
        <w:gridCol w:w="1618"/>
        <w:gridCol w:w="2361"/>
      </w:tblGrid>
      <w:tr w:rsidR="007F0279" w14:paraId="087CC8C9" w14:textId="77777777" w:rsidTr="007F0279">
        <w:tc>
          <w:tcPr>
            <w:tcW w:w="2468" w:type="dxa"/>
          </w:tcPr>
          <w:p w14:paraId="4810CCFD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bottom"/>
          </w:tcPr>
          <w:p w14:paraId="4794E1D9" w14:textId="6BFD80AD" w:rsidR="007F0279" w:rsidRDefault="007F0279" w:rsidP="007F0279">
            <w:pPr>
              <w:rPr>
                <w:sz w:val="24"/>
                <w:szCs w:val="24"/>
              </w:rPr>
            </w:pPr>
            <w:r>
              <w:t>Чести &gt;1/100, &lt;1/10</w:t>
            </w:r>
          </w:p>
        </w:tc>
        <w:tc>
          <w:tcPr>
            <w:tcW w:w="1811" w:type="dxa"/>
            <w:vAlign w:val="bottom"/>
          </w:tcPr>
          <w:p w14:paraId="35A916CD" w14:textId="773E6960" w:rsidR="007F0279" w:rsidRDefault="007F0279" w:rsidP="007F0279">
            <w:pPr>
              <w:rPr>
                <w:sz w:val="24"/>
                <w:szCs w:val="24"/>
              </w:rPr>
            </w:pPr>
            <w:r>
              <w:t>Нечести &gt;1/1000, &lt;1/100</w:t>
            </w:r>
          </w:p>
        </w:tc>
        <w:tc>
          <w:tcPr>
            <w:tcW w:w="1618" w:type="dxa"/>
            <w:vAlign w:val="bottom"/>
          </w:tcPr>
          <w:p w14:paraId="32DC8F90" w14:textId="305D83E2" w:rsidR="007F0279" w:rsidRDefault="007F0279" w:rsidP="007F0279">
            <w:pPr>
              <w:rPr>
                <w:sz w:val="24"/>
                <w:szCs w:val="24"/>
              </w:rPr>
            </w:pPr>
            <w:r>
              <w:t>Редки &gt;1/10000, &lt;1/1000</w:t>
            </w:r>
          </w:p>
        </w:tc>
        <w:tc>
          <w:tcPr>
            <w:tcW w:w="2361" w:type="dxa"/>
            <w:vAlign w:val="bottom"/>
          </w:tcPr>
          <w:p w14:paraId="527C6007" w14:textId="0E994042" w:rsidR="007F0279" w:rsidRDefault="007F0279" w:rsidP="007F0279">
            <w:pPr>
              <w:rPr>
                <w:sz w:val="24"/>
                <w:szCs w:val="24"/>
              </w:rPr>
            </w:pPr>
            <w:r>
              <w:t>Много редки/ изолирани съобщения &lt;1/10000</w:t>
            </w:r>
          </w:p>
        </w:tc>
      </w:tr>
      <w:tr w:rsidR="007F0279" w14:paraId="6CB6ECA0" w14:textId="77777777" w:rsidTr="007F0279">
        <w:tc>
          <w:tcPr>
            <w:tcW w:w="2468" w:type="dxa"/>
          </w:tcPr>
          <w:p w14:paraId="362F6B23" w14:textId="2842DE92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кръвта и лимфната система</w:t>
            </w:r>
          </w:p>
        </w:tc>
        <w:tc>
          <w:tcPr>
            <w:tcW w:w="1318" w:type="dxa"/>
          </w:tcPr>
          <w:p w14:paraId="542DE652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7FE9B200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35E9E83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Align w:val="bottom"/>
          </w:tcPr>
          <w:p w14:paraId="1FF3F2D1" w14:textId="28616287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Агранулоцитоза</w:t>
            </w:r>
            <w:proofErr w:type="spellEnd"/>
            <w:r>
              <w:t xml:space="preserve"> </w:t>
            </w:r>
            <w:proofErr w:type="spellStart"/>
            <w:r>
              <w:t>Панцитопения</w:t>
            </w:r>
            <w:proofErr w:type="spellEnd"/>
            <w:r>
              <w:t xml:space="preserve"> </w:t>
            </w:r>
            <w:proofErr w:type="spellStart"/>
            <w:r>
              <w:t>Левкопения</w:t>
            </w:r>
            <w:proofErr w:type="spellEnd"/>
            <w:r>
              <w:t xml:space="preserve"> </w:t>
            </w:r>
            <w:proofErr w:type="spellStart"/>
            <w:r>
              <w:t>Тромбоцитопения</w:t>
            </w:r>
            <w:proofErr w:type="spellEnd"/>
          </w:p>
        </w:tc>
      </w:tr>
      <w:tr w:rsidR="007F0279" w14:paraId="1D582AF6" w14:textId="77777777" w:rsidTr="007F0279">
        <w:tc>
          <w:tcPr>
            <w:tcW w:w="2468" w:type="dxa"/>
          </w:tcPr>
          <w:p w14:paraId="40A0B8E0" w14:textId="3B0DA691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имунната система</w:t>
            </w:r>
          </w:p>
        </w:tc>
        <w:tc>
          <w:tcPr>
            <w:tcW w:w="1318" w:type="dxa"/>
          </w:tcPr>
          <w:p w14:paraId="70E141DD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CA8A8FC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D677C07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60DE006" w14:textId="15BBD422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Анафилактична</w:t>
            </w:r>
            <w:proofErr w:type="spellEnd"/>
            <w:r>
              <w:t xml:space="preserve"> реакция Ангиоедем Уртикария</w:t>
            </w:r>
          </w:p>
        </w:tc>
      </w:tr>
      <w:tr w:rsidR="007F0279" w14:paraId="73E0CF48" w14:textId="77777777" w:rsidTr="007F0279">
        <w:tc>
          <w:tcPr>
            <w:tcW w:w="2468" w:type="dxa"/>
            <w:vAlign w:val="bottom"/>
          </w:tcPr>
          <w:p w14:paraId="5A74DE9B" w14:textId="61C5CC74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ендокринната система</w:t>
            </w:r>
          </w:p>
        </w:tc>
        <w:tc>
          <w:tcPr>
            <w:tcW w:w="1318" w:type="dxa"/>
          </w:tcPr>
          <w:p w14:paraId="508CC5D6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438E814D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D0349A7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122D6DFA" w14:textId="7C416F81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Гинекомастия</w:t>
            </w:r>
            <w:proofErr w:type="spellEnd"/>
            <w:r>
              <w:t>*</w:t>
            </w:r>
          </w:p>
        </w:tc>
      </w:tr>
      <w:tr w:rsidR="007F0279" w14:paraId="1C29A21F" w14:textId="77777777" w:rsidTr="007F0279">
        <w:tc>
          <w:tcPr>
            <w:tcW w:w="2468" w:type="dxa"/>
          </w:tcPr>
          <w:p w14:paraId="127CF798" w14:textId="755FA13F" w:rsidR="007F0279" w:rsidRDefault="007F0279" w:rsidP="007F0279">
            <w:pPr>
              <w:rPr>
                <w:sz w:val="24"/>
                <w:szCs w:val="24"/>
              </w:rPr>
            </w:pPr>
            <w:r>
              <w:t>Психични нарушения</w:t>
            </w:r>
          </w:p>
        </w:tc>
        <w:tc>
          <w:tcPr>
            <w:tcW w:w="1318" w:type="dxa"/>
          </w:tcPr>
          <w:p w14:paraId="5F332E33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49804C45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59FAC290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0B9D19D" w14:textId="77777777" w:rsidR="007F0279" w:rsidRDefault="007F0279" w:rsidP="007F0279">
            <w:r>
              <w:t xml:space="preserve">Халюцинации, </w:t>
            </w:r>
            <w:r>
              <w:rPr>
                <w:i/>
                <w:iCs/>
              </w:rPr>
              <w:t>Объркване,</w:t>
            </w:r>
            <w:r>
              <w:t xml:space="preserve"> Възбуда, Депресии,</w:t>
            </w:r>
          </w:p>
          <w:p w14:paraId="040703CE" w14:textId="23AB6B40" w:rsidR="007F0279" w:rsidRDefault="007F0279" w:rsidP="007F0279">
            <w:pPr>
              <w:rPr>
                <w:sz w:val="24"/>
                <w:szCs w:val="24"/>
              </w:rPr>
            </w:pPr>
            <w:r>
              <w:t>Безпокойство</w:t>
            </w:r>
          </w:p>
        </w:tc>
      </w:tr>
      <w:tr w:rsidR="007F0279" w14:paraId="5440621A" w14:textId="77777777" w:rsidTr="007F0279">
        <w:tc>
          <w:tcPr>
            <w:tcW w:w="2468" w:type="dxa"/>
          </w:tcPr>
          <w:p w14:paraId="043D4027" w14:textId="1240700F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нервната система</w:t>
            </w:r>
          </w:p>
        </w:tc>
        <w:tc>
          <w:tcPr>
            <w:tcW w:w="1318" w:type="dxa"/>
          </w:tcPr>
          <w:p w14:paraId="3CD2D72F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7F95F6B2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725F596" w14:textId="4D17AD31" w:rsidR="007F0279" w:rsidRDefault="007F0279" w:rsidP="007F0279">
            <w:pPr>
              <w:rPr>
                <w:sz w:val="24"/>
                <w:szCs w:val="24"/>
              </w:rPr>
            </w:pPr>
            <w:r>
              <w:t>Замайване Главоболие</w:t>
            </w:r>
          </w:p>
        </w:tc>
        <w:tc>
          <w:tcPr>
            <w:tcW w:w="2361" w:type="dxa"/>
          </w:tcPr>
          <w:p w14:paraId="464B5D20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</w:tr>
      <w:tr w:rsidR="007F0279" w14:paraId="2351A862" w14:textId="77777777" w:rsidTr="007F0279">
        <w:tc>
          <w:tcPr>
            <w:tcW w:w="2468" w:type="dxa"/>
          </w:tcPr>
          <w:p w14:paraId="4500523E" w14:textId="205BFE0E" w:rsidR="007F0279" w:rsidRDefault="007F0279" w:rsidP="007F0279">
            <w:pPr>
              <w:rPr>
                <w:sz w:val="24"/>
                <w:szCs w:val="24"/>
              </w:rPr>
            </w:pPr>
            <w:r>
              <w:t>Сърдечни нарушения</w:t>
            </w:r>
          </w:p>
        </w:tc>
        <w:tc>
          <w:tcPr>
            <w:tcW w:w="1318" w:type="dxa"/>
          </w:tcPr>
          <w:p w14:paraId="385FE359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1A1AA78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2158EF7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01A7D9C" w14:textId="042E1CFB" w:rsidR="007F0279" w:rsidRDefault="007F0279" w:rsidP="007F0279">
            <w:pPr>
              <w:rPr>
                <w:sz w:val="24"/>
                <w:szCs w:val="24"/>
              </w:rPr>
            </w:pPr>
            <w:r>
              <w:t xml:space="preserve">Брадикардия Аритмия </w:t>
            </w:r>
            <w:proofErr w:type="spellStart"/>
            <w:r>
              <w:t>Атриовентрикуларен</w:t>
            </w:r>
            <w:proofErr w:type="spellEnd"/>
            <w:r>
              <w:t xml:space="preserve"> блок</w:t>
            </w:r>
          </w:p>
        </w:tc>
      </w:tr>
      <w:tr w:rsidR="007F0279" w14:paraId="0AFA3A28" w14:textId="77777777" w:rsidTr="007F0279">
        <w:tc>
          <w:tcPr>
            <w:tcW w:w="2468" w:type="dxa"/>
          </w:tcPr>
          <w:p w14:paraId="0EB581DC" w14:textId="781A7E01" w:rsidR="007F0279" w:rsidRDefault="007F0279" w:rsidP="007F0279">
            <w:pPr>
              <w:rPr>
                <w:sz w:val="24"/>
                <w:szCs w:val="24"/>
              </w:rPr>
            </w:pPr>
            <w:r>
              <w:t xml:space="preserve">Респираторни, гръдни и </w:t>
            </w:r>
            <w:proofErr w:type="spellStart"/>
            <w:r>
              <w:t>медиастинални</w:t>
            </w:r>
            <w:proofErr w:type="spellEnd"/>
            <w:r>
              <w:t xml:space="preserve"> нарушения</w:t>
            </w:r>
          </w:p>
        </w:tc>
        <w:tc>
          <w:tcPr>
            <w:tcW w:w="1318" w:type="dxa"/>
          </w:tcPr>
          <w:p w14:paraId="6443889F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DDD2258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77B30A1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C058633" w14:textId="2B60EEBD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Бронхоспазъм</w:t>
            </w:r>
            <w:proofErr w:type="spellEnd"/>
          </w:p>
        </w:tc>
      </w:tr>
      <w:tr w:rsidR="007F0279" w14:paraId="6E0DD9D8" w14:textId="77777777" w:rsidTr="007F0279">
        <w:tc>
          <w:tcPr>
            <w:tcW w:w="2468" w:type="dxa"/>
          </w:tcPr>
          <w:p w14:paraId="3C95CC06" w14:textId="40B3A499" w:rsidR="007F0279" w:rsidRDefault="007F0279" w:rsidP="007F0279">
            <w:pPr>
              <w:rPr>
                <w:sz w:val="24"/>
                <w:szCs w:val="24"/>
              </w:rPr>
            </w:pPr>
            <w:r>
              <w:t>Стомашно-чревни нарушения</w:t>
            </w:r>
          </w:p>
        </w:tc>
        <w:tc>
          <w:tcPr>
            <w:tcW w:w="1318" w:type="dxa"/>
          </w:tcPr>
          <w:p w14:paraId="59C0E48F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80D2EBE" w14:textId="46BE568D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Флатулентност</w:t>
            </w:r>
            <w:proofErr w:type="spellEnd"/>
          </w:p>
        </w:tc>
        <w:tc>
          <w:tcPr>
            <w:tcW w:w="1618" w:type="dxa"/>
          </w:tcPr>
          <w:p w14:paraId="0CC72557" w14:textId="0F0B3851" w:rsidR="007F0279" w:rsidRDefault="007F0279" w:rsidP="007F0279">
            <w:pPr>
              <w:rPr>
                <w:sz w:val="24"/>
                <w:szCs w:val="24"/>
              </w:rPr>
            </w:pPr>
            <w:r>
              <w:t>Диария Запек</w:t>
            </w:r>
          </w:p>
        </w:tc>
        <w:tc>
          <w:tcPr>
            <w:tcW w:w="2361" w:type="dxa"/>
          </w:tcPr>
          <w:p w14:paraId="3C7C2DC7" w14:textId="77777777" w:rsidR="007F0279" w:rsidRDefault="007F0279" w:rsidP="007F0279">
            <w:proofErr w:type="spellStart"/>
            <w:r>
              <w:t>Холестатична</w:t>
            </w:r>
            <w:proofErr w:type="spellEnd"/>
            <w:r>
              <w:t xml:space="preserve"> жълтеница Повръщане Гадене</w:t>
            </w:r>
          </w:p>
          <w:p w14:paraId="4EF026D0" w14:textId="02F50789" w:rsidR="007F0279" w:rsidRDefault="007F0279" w:rsidP="007F0279">
            <w:pPr>
              <w:rPr>
                <w:sz w:val="24"/>
                <w:szCs w:val="24"/>
              </w:rPr>
            </w:pPr>
            <w:r>
              <w:t>Дискомфорт в стомаха Сухота в устата</w:t>
            </w:r>
          </w:p>
        </w:tc>
      </w:tr>
      <w:tr w:rsidR="007F0279" w14:paraId="686ECA75" w14:textId="77777777" w:rsidTr="007F0279">
        <w:tc>
          <w:tcPr>
            <w:tcW w:w="2468" w:type="dxa"/>
          </w:tcPr>
          <w:p w14:paraId="246B1CF8" w14:textId="0D2EB6E3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кожата и подкожната тъкан</w:t>
            </w:r>
          </w:p>
        </w:tc>
        <w:tc>
          <w:tcPr>
            <w:tcW w:w="1318" w:type="dxa"/>
          </w:tcPr>
          <w:p w14:paraId="3C432658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7722C60C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C14B086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42AEB12" w14:textId="77777777" w:rsidR="007F0279" w:rsidRDefault="007F0279" w:rsidP="007F0279">
            <w:r>
              <w:t xml:space="preserve">Токсична епидермална </w:t>
            </w:r>
            <w:proofErr w:type="spellStart"/>
            <w:r>
              <w:t>некролиза</w:t>
            </w:r>
            <w:proofErr w:type="spellEnd"/>
          </w:p>
          <w:p w14:paraId="0D8902C0" w14:textId="77777777" w:rsidR="007F0279" w:rsidRDefault="007F0279" w:rsidP="007F0279">
            <w:r>
              <w:t>Алопеция</w:t>
            </w:r>
          </w:p>
          <w:p w14:paraId="5C3B358C" w14:textId="77777777" w:rsidR="007F0279" w:rsidRDefault="007F0279" w:rsidP="007F0279">
            <w:r>
              <w:lastRenderedPageBreak/>
              <w:t>Акне</w:t>
            </w:r>
          </w:p>
          <w:p w14:paraId="668225BB" w14:textId="77777777" w:rsidR="007F0279" w:rsidRDefault="007F0279" w:rsidP="007F0279">
            <w:proofErr w:type="spellStart"/>
            <w:r>
              <w:t>Пруритус</w:t>
            </w:r>
            <w:proofErr w:type="spellEnd"/>
          </w:p>
          <w:p w14:paraId="10C4C964" w14:textId="29EE6A06" w:rsidR="007F0279" w:rsidRDefault="007F0279" w:rsidP="007F0279">
            <w:pPr>
              <w:rPr>
                <w:sz w:val="24"/>
                <w:szCs w:val="24"/>
              </w:rPr>
            </w:pPr>
            <w:r>
              <w:t>Суха кожа</w:t>
            </w:r>
          </w:p>
        </w:tc>
      </w:tr>
      <w:tr w:rsidR="007F0279" w14:paraId="4FDC074C" w14:textId="77777777" w:rsidTr="007F0279">
        <w:tc>
          <w:tcPr>
            <w:tcW w:w="2468" w:type="dxa"/>
          </w:tcPr>
          <w:p w14:paraId="7D59CF21" w14:textId="3A664205" w:rsidR="007F0279" w:rsidRDefault="007F0279" w:rsidP="007F0279">
            <w:pPr>
              <w:rPr>
                <w:sz w:val="24"/>
                <w:szCs w:val="24"/>
              </w:rPr>
            </w:pPr>
            <w:r>
              <w:lastRenderedPageBreak/>
              <w:t>Общи нарушения и ефекти на мястото на приложение</w:t>
            </w:r>
          </w:p>
        </w:tc>
        <w:tc>
          <w:tcPr>
            <w:tcW w:w="1318" w:type="dxa"/>
          </w:tcPr>
          <w:p w14:paraId="796C2304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44883E5F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9CDAE56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FFF8B7C" w14:textId="77777777" w:rsidR="007F0279" w:rsidRDefault="007F0279" w:rsidP="007F0279">
            <w:r>
              <w:t>Слабо повишаване на температурата Анорексия</w:t>
            </w:r>
          </w:p>
          <w:p w14:paraId="22A5DB55" w14:textId="099713CE" w:rsidR="007F0279" w:rsidRDefault="007F0279" w:rsidP="007F0279">
            <w:pPr>
              <w:rPr>
                <w:sz w:val="24"/>
                <w:szCs w:val="24"/>
              </w:rPr>
            </w:pPr>
            <w:r>
              <w:t>Умора</w:t>
            </w:r>
          </w:p>
        </w:tc>
      </w:tr>
      <w:tr w:rsidR="007F0279" w14:paraId="5CA77881" w14:textId="77777777" w:rsidTr="007F0279">
        <w:tc>
          <w:tcPr>
            <w:tcW w:w="2468" w:type="dxa"/>
          </w:tcPr>
          <w:p w14:paraId="4710CA06" w14:textId="03DF6DC7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мускулно-скелетната система и съединителната тъкан</w:t>
            </w:r>
          </w:p>
        </w:tc>
        <w:tc>
          <w:tcPr>
            <w:tcW w:w="1318" w:type="dxa"/>
          </w:tcPr>
          <w:p w14:paraId="6A2312BB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5E9285DF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626921B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0BFE456" w14:textId="2D8317A7" w:rsidR="007F0279" w:rsidRDefault="007F0279" w:rsidP="007F0279">
            <w:pPr>
              <w:rPr>
                <w:sz w:val="24"/>
                <w:szCs w:val="24"/>
              </w:rPr>
            </w:pPr>
            <w:r>
              <w:t xml:space="preserve">Мускулни </w:t>
            </w:r>
            <w:proofErr w:type="spellStart"/>
            <w:r>
              <w:t>крампи</w:t>
            </w:r>
            <w:proofErr w:type="spellEnd"/>
            <w:r>
              <w:t xml:space="preserve"> </w:t>
            </w:r>
            <w:proofErr w:type="spellStart"/>
            <w:r>
              <w:t>Артралгия</w:t>
            </w:r>
            <w:proofErr w:type="spellEnd"/>
          </w:p>
        </w:tc>
      </w:tr>
      <w:tr w:rsidR="007F0279" w14:paraId="3D84C817" w14:textId="77777777" w:rsidTr="007F0279">
        <w:tc>
          <w:tcPr>
            <w:tcW w:w="2468" w:type="dxa"/>
          </w:tcPr>
          <w:p w14:paraId="1FC6CEB9" w14:textId="192F2987" w:rsidR="007F0279" w:rsidRDefault="007F0279" w:rsidP="007F0279">
            <w:pPr>
              <w:rPr>
                <w:sz w:val="24"/>
                <w:szCs w:val="24"/>
              </w:rPr>
            </w:pPr>
            <w:r>
              <w:t>Нарушения на възпроизводителната система и гърдата</w:t>
            </w:r>
          </w:p>
        </w:tc>
        <w:tc>
          <w:tcPr>
            <w:tcW w:w="1318" w:type="dxa"/>
          </w:tcPr>
          <w:p w14:paraId="28F556B1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670B82B7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3FA28C15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9E4E728" w14:textId="4158DAF0" w:rsidR="007F0279" w:rsidRDefault="007F0279" w:rsidP="007F0279">
            <w:pPr>
              <w:rPr>
                <w:sz w:val="24"/>
                <w:szCs w:val="24"/>
              </w:rPr>
            </w:pPr>
            <w:r>
              <w:t>Импотентност</w:t>
            </w:r>
          </w:p>
        </w:tc>
      </w:tr>
      <w:tr w:rsidR="007F0279" w14:paraId="0AFD9642" w14:textId="77777777" w:rsidTr="007F0279">
        <w:tc>
          <w:tcPr>
            <w:tcW w:w="2468" w:type="dxa"/>
          </w:tcPr>
          <w:p w14:paraId="29FCFD0A" w14:textId="08D3FA30" w:rsidR="007F0279" w:rsidRDefault="007F0279" w:rsidP="007F0279">
            <w:pPr>
              <w:rPr>
                <w:sz w:val="24"/>
                <w:szCs w:val="24"/>
              </w:rPr>
            </w:pPr>
            <w:r>
              <w:t>Изследвания</w:t>
            </w:r>
          </w:p>
        </w:tc>
        <w:tc>
          <w:tcPr>
            <w:tcW w:w="1318" w:type="dxa"/>
          </w:tcPr>
          <w:p w14:paraId="69842493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0D7C013C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69480880" w14:textId="77777777" w:rsidR="007F0279" w:rsidRDefault="007F0279" w:rsidP="007F027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B7B0F10" w14:textId="4731C47A" w:rsidR="007F0279" w:rsidRDefault="007F0279" w:rsidP="007F0279">
            <w:pPr>
              <w:rPr>
                <w:sz w:val="24"/>
                <w:szCs w:val="24"/>
              </w:rPr>
            </w:pPr>
            <w:proofErr w:type="spellStart"/>
            <w:r>
              <w:t>Абнормни</w:t>
            </w:r>
            <w:proofErr w:type="spellEnd"/>
            <w:r>
              <w:t xml:space="preserve"> чернодробни ензими</w:t>
            </w:r>
          </w:p>
        </w:tc>
      </w:tr>
    </w:tbl>
    <w:p w14:paraId="3C30A557" w14:textId="4B0D5592" w:rsidR="007F0279" w:rsidRPr="007F0279" w:rsidRDefault="007F0279" w:rsidP="007F0279">
      <w:pPr>
        <w:rPr>
          <w:sz w:val="24"/>
          <w:szCs w:val="24"/>
        </w:rPr>
      </w:pPr>
      <w:r>
        <w:rPr>
          <w:lang w:val="en-US"/>
        </w:rPr>
        <w:t xml:space="preserve">*: </w:t>
      </w:r>
      <w:r>
        <w:t>обратима след прекъсване на лечението.</w:t>
      </w:r>
    </w:p>
    <w:p w14:paraId="1C853554" w14:textId="77777777" w:rsidR="007F0279" w:rsidRPr="007F0279" w:rsidRDefault="007F0279" w:rsidP="007F0279"/>
    <w:p w14:paraId="611C622D" w14:textId="5998AE16" w:rsidR="002C50EE" w:rsidRDefault="002C50EE" w:rsidP="002C50EE">
      <w:pPr>
        <w:pStyle w:val="Heading2"/>
      </w:pPr>
      <w:r>
        <w:t>4.9. Предозиране</w:t>
      </w:r>
    </w:p>
    <w:p w14:paraId="6F807BE5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Пациенти с патологични състояния на свръхсекреция са показали поносимост на дози от 800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>дневно за период по-голям от една година без развитие на сериозни нежелани ефекти. Лечение при предозиране: стомашна промивка, симптоматична и поддържаща терапия, и клинично проследяване на пациента.</w:t>
      </w:r>
    </w:p>
    <w:p w14:paraId="515B58FC" w14:textId="77777777" w:rsidR="007F0279" w:rsidRPr="007F0279" w:rsidRDefault="007F0279" w:rsidP="007F0279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2F1DF2D5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04AFC59" w14:textId="77777777" w:rsidR="007F0279" w:rsidRDefault="007F0279" w:rsidP="007F0279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7C94163" w14:textId="520F4EB3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Фармакотерапевтична</w:t>
      </w:r>
      <w:proofErr w:type="spellEnd"/>
      <w:r w:rsidRPr="007F0279">
        <w:rPr>
          <w:lang w:eastAsia="bg-BG"/>
        </w:rPr>
        <w:t xml:space="preserve"> група: Лекарства за нарушения свързани със секрецията на киселина, </w:t>
      </w:r>
      <w:r w:rsidRPr="007F0279">
        <w:rPr>
          <w:lang w:val="en-US"/>
        </w:rPr>
        <w:t>H</w:t>
      </w:r>
      <w:r w:rsidRPr="007F0279">
        <w:rPr>
          <w:vertAlign w:val="subscript"/>
          <w:lang w:val="en-US"/>
        </w:rPr>
        <w:t>2</w:t>
      </w:r>
      <w:r w:rsidRPr="007F0279">
        <w:rPr>
          <w:lang w:eastAsia="bg-BG"/>
        </w:rPr>
        <w:t xml:space="preserve"> рецепторни антагонисти, АТС код: А02ВА03</w:t>
      </w:r>
    </w:p>
    <w:p w14:paraId="2AF9ABEC" w14:textId="6EDE4D8D" w:rsidR="007F0279" w:rsidRDefault="007F0279" w:rsidP="007F0279"/>
    <w:p w14:paraId="3AD92F69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е мощен, конкурентен инхибитор на </w:t>
      </w:r>
      <w:proofErr w:type="spellStart"/>
      <w:r w:rsidRPr="007F0279">
        <w:rPr>
          <w:lang w:eastAsia="bg-BG"/>
        </w:rPr>
        <w:t>хистаминовите</w:t>
      </w:r>
      <w:proofErr w:type="spellEnd"/>
      <w:r w:rsidRPr="007F0279">
        <w:rPr>
          <w:lang w:eastAsia="bg-BG"/>
        </w:rPr>
        <w:t xml:space="preserve"> Н</w:t>
      </w:r>
      <w:r w:rsidRPr="007F0279">
        <w:rPr>
          <w:vertAlign w:val="subscript"/>
          <w:lang w:eastAsia="bg-BG"/>
        </w:rPr>
        <w:t>2</w:t>
      </w:r>
      <w:r w:rsidRPr="007F0279">
        <w:rPr>
          <w:lang w:eastAsia="bg-BG"/>
        </w:rPr>
        <w:t xml:space="preserve">-рецептори. Основното клинично значимо фармакологично действие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е </w:t>
      </w:r>
      <w:proofErr w:type="spellStart"/>
      <w:r w:rsidRPr="007F0279">
        <w:rPr>
          <w:lang w:eastAsia="bg-BG"/>
        </w:rPr>
        <w:t>подтискане</w:t>
      </w:r>
      <w:proofErr w:type="spellEnd"/>
      <w:r w:rsidRPr="007F0279">
        <w:rPr>
          <w:lang w:eastAsia="bg-BG"/>
        </w:rPr>
        <w:t xml:space="preserve"> на стомашната секреция.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</w:t>
      </w:r>
      <w:proofErr w:type="spellStart"/>
      <w:r w:rsidRPr="007F0279">
        <w:rPr>
          <w:lang w:eastAsia="bg-BG"/>
        </w:rPr>
        <w:t>подтиска</w:t>
      </w:r>
      <w:proofErr w:type="spellEnd"/>
      <w:r w:rsidRPr="007F0279">
        <w:rPr>
          <w:lang w:eastAsia="bg-BG"/>
        </w:rPr>
        <w:t xml:space="preserve"> както киселинната концентрация, така и обема на стомашната секреция, а промените в секрецията на пепсина са пропорционални на произведения обем. При здрави доброволци и </w:t>
      </w:r>
      <w:proofErr w:type="spellStart"/>
      <w:r w:rsidRPr="007F0279">
        <w:rPr>
          <w:lang w:eastAsia="bg-BG"/>
        </w:rPr>
        <w:t>хиперсекретори</w:t>
      </w:r>
      <w:proofErr w:type="spellEnd"/>
      <w:r w:rsidRPr="007F0279">
        <w:rPr>
          <w:lang w:eastAsia="bg-BG"/>
        </w:rPr>
        <w:t xml:space="preserve">,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</w:t>
      </w:r>
      <w:proofErr w:type="spellStart"/>
      <w:r w:rsidRPr="007F0279">
        <w:rPr>
          <w:lang w:eastAsia="bg-BG"/>
        </w:rPr>
        <w:t>подтиска</w:t>
      </w:r>
      <w:proofErr w:type="spellEnd"/>
      <w:r w:rsidRPr="007F0279">
        <w:rPr>
          <w:lang w:eastAsia="bg-BG"/>
        </w:rPr>
        <w:t xml:space="preserve"> </w:t>
      </w:r>
      <w:proofErr w:type="spellStart"/>
      <w:r w:rsidRPr="007F0279">
        <w:rPr>
          <w:lang w:eastAsia="bg-BG"/>
        </w:rPr>
        <w:t>базалната</w:t>
      </w:r>
      <w:proofErr w:type="spellEnd"/>
      <w:r w:rsidRPr="007F0279">
        <w:rPr>
          <w:lang w:eastAsia="bg-BG"/>
        </w:rPr>
        <w:t xml:space="preserve"> и нощната секреция, а също така и секрецията стимулирана от </w:t>
      </w:r>
      <w:proofErr w:type="spellStart"/>
      <w:r w:rsidRPr="007F0279">
        <w:rPr>
          <w:lang w:eastAsia="bg-BG"/>
        </w:rPr>
        <w:t>пентагастрин</w:t>
      </w:r>
      <w:proofErr w:type="spellEnd"/>
      <w:r w:rsidRPr="007F0279">
        <w:rPr>
          <w:lang w:eastAsia="bg-BG"/>
        </w:rPr>
        <w:t xml:space="preserve">, </w:t>
      </w:r>
      <w:proofErr w:type="spellStart"/>
      <w:r w:rsidRPr="007F0279">
        <w:rPr>
          <w:lang w:eastAsia="bg-BG"/>
        </w:rPr>
        <w:t>бетазол</w:t>
      </w:r>
      <w:proofErr w:type="spellEnd"/>
      <w:r w:rsidRPr="007F0279">
        <w:rPr>
          <w:lang w:eastAsia="bg-BG"/>
        </w:rPr>
        <w:t xml:space="preserve">, кофеин, инсулин и физиологичния </w:t>
      </w:r>
      <w:proofErr w:type="spellStart"/>
      <w:r w:rsidRPr="007F0279">
        <w:rPr>
          <w:lang w:eastAsia="bg-BG"/>
        </w:rPr>
        <w:t>вагален</w:t>
      </w:r>
      <w:proofErr w:type="spellEnd"/>
      <w:r w:rsidRPr="007F0279">
        <w:rPr>
          <w:lang w:eastAsia="bg-BG"/>
        </w:rPr>
        <w:t xml:space="preserve"> рефлекс. Продължителността на </w:t>
      </w:r>
      <w:proofErr w:type="spellStart"/>
      <w:r w:rsidRPr="007F0279">
        <w:rPr>
          <w:lang w:eastAsia="bg-BG"/>
        </w:rPr>
        <w:t>подтискане</w:t>
      </w:r>
      <w:proofErr w:type="spellEnd"/>
      <w:r w:rsidRPr="007F0279">
        <w:rPr>
          <w:lang w:eastAsia="bg-BG"/>
        </w:rPr>
        <w:t xml:space="preserve"> на секрецията от дози 20 и 40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>е 10 до 12 часа.</w:t>
      </w:r>
    </w:p>
    <w:p w14:paraId="38FCA28A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Еднократни вечерни дози от 20 и 40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 xml:space="preserve">инхибират </w:t>
      </w:r>
      <w:proofErr w:type="spellStart"/>
      <w:r w:rsidRPr="007F0279">
        <w:rPr>
          <w:lang w:eastAsia="bg-BG"/>
        </w:rPr>
        <w:t>базалната</w:t>
      </w:r>
      <w:proofErr w:type="spellEnd"/>
      <w:r w:rsidRPr="007F0279">
        <w:rPr>
          <w:lang w:eastAsia="bg-BG"/>
        </w:rPr>
        <w:t xml:space="preserve"> и нощна киселинна секреция. Нощната секреция на стомашна киселина се </w:t>
      </w:r>
      <w:proofErr w:type="spellStart"/>
      <w:r w:rsidRPr="007F0279">
        <w:rPr>
          <w:lang w:eastAsia="bg-BG"/>
        </w:rPr>
        <w:t>подтиска</w:t>
      </w:r>
      <w:proofErr w:type="spellEnd"/>
      <w:r w:rsidRPr="007F0279">
        <w:rPr>
          <w:lang w:eastAsia="bg-BG"/>
        </w:rPr>
        <w:t xml:space="preserve"> с 86-94% за период от поне 10 часа. Същите дози приемани сутрин потискат стимулираната от храна секреция на киселина; това </w:t>
      </w:r>
      <w:proofErr w:type="spellStart"/>
      <w:r w:rsidRPr="007F0279">
        <w:rPr>
          <w:lang w:eastAsia="bg-BG"/>
        </w:rPr>
        <w:t>подтискане</w:t>
      </w:r>
      <w:proofErr w:type="spellEnd"/>
      <w:r w:rsidRPr="007F0279">
        <w:rPr>
          <w:lang w:eastAsia="bg-BG"/>
        </w:rPr>
        <w:t xml:space="preserve"> е 76-84%, съответно 3 до 5 часа след приложението, и 25% и 30%, съответно 8 до 10 часа след приложението.</w:t>
      </w:r>
    </w:p>
    <w:p w14:paraId="4EF46857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lastRenderedPageBreak/>
        <w:t>Фамотидин</w:t>
      </w:r>
      <w:proofErr w:type="spellEnd"/>
      <w:r w:rsidRPr="007F0279">
        <w:rPr>
          <w:lang w:eastAsia="bg-BG"/>
        </w:rPr>
        <w:t xml:space="preserve"> няма ефект върху серумните нива на </w:t>
      </w:r>
      <w:proofErr w:type="spellStart"/>
      <w:r w:rsidRPr="007F0279">
        <w:rPr>
          <w:lang w:eastAsia="bg-BG"/>
        </w:rPr>
        <w:t>гастрин</w:t>
      </w:r>
      <w:proofErr w:type="spellEnd"/>
      <w:r w:rsidRPr="007F0279">
        <w:rPr>
          <w:lang w:eastAsia="bg-BG"/>
        </w:rPr>
        <w:t xml:space="preserve"> на гладно и след нахранване.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не повлиява стомашното изпразване, </w:t>
      </w:r>
      <w:proofErr w:type="spellStart"/>
      <w:r w:rsidRPr="007F0279">
        <w:rPr>
          <w:lang w:eastAsia="bg-BG"/>
        </w:rPr>
        <w:t>екзокринната</w:t>
      </w:r>
      <w:proofErr w:type="spellEnd"/>
      <w:r w:rsidRPr="007F0279">
        <w:rPr>
          <w:lang w:eastAsia="bg-BG"/>
        </w:rPr>
        <w:t xml:space="preserve"> </w:t>
      </w:r>
      <w:proofErr w:type="spellStart"/>
      <w:r w:rsidRPr="007F0279">
        <w:rPr>
          <w:lang w:eastAsia="bg-BG"/>
        </w:rPr>
        <w:t>панкреасна</w:t>
      </w:r>
      <w:proofErr w:type="spellEnd"/>
      <w:r w:rsidRPr="007F0279">
        <w:rPr>
          <w:lang w:eastAsia="bg-BG"/>
        </w:rPr>
        <w:t xml:space="preserve"> функция, чернодробния и портален кръвоток.</w:t>
      </w:r>
    </w:p>
    <w:p w14:paraId="1153B424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не повлиява чернодробната </w:t>
      </w:r>
      <w:proofErr w:type="spellStart"/>
      <w:r w:rsidRPr="007F0279">
        <w:rPr>
          <w:lang w:eastAsia="bg-BG"/>
        </w:rPr>
        <w:t>цитохром</w:t>
      </w:r>
      <w:proofErr w:type="spellEnd"/>
      <w:r w:rsidRPr="007F0279">
        <w:rPr>
          <w:lang w:eastAsia="bg-BG"/>
        </w:rPr>
        <w:t xml:space="preserve"> Р-450 ензимна система.</w:t>
      </w:r>
    </w:p>
    <w:p w14:paraId="53327715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Не се наблюдава </w:t>
      </w:r>
      <w:proofErr w:type="spellStart"/>
      <w:r w:rsidRPr="007F0279">
        <w:rPr>
          <w:lang w:eastAsia="bg-BG"/>
        </w:rPr>
        <w:t>антиандрогенен</w:t>
      </w:r>
      <w:proofErr w:type="spellEnd"/>
      <w:r w:rsidRPr="007F0279">
        <w:rPr>
          <w:lang w:eastAsia="bg-BG"/>
        </w:rPr>
        <w:t xml:space="preserve"> ефект в клиничните фармакологични проучвания. Серумните хормонални нива не се повлияват след лечение с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>.</w:t>
      </w:r>
    </w:p>
    <w:p w14:paraId="61520B36" w14:textId="77777777" w:rsidR="007F0279" w:rsidRPr="007F0279" w:rsidRDefault="007F0279" w:rsidP="007F0279"/>
    <w:p w14:paraId="788B4E5E" w14:textId="47BFBB92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23AEBC2" w14:textId="77777777" w:rsidR="007F0279" w:rsidRDefault="007F0279" w:rsidP="007F0279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45110DD" w14:textId="5F224EEE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има линейна кинетика.</w:t>
      </w:r>
    </w:p>
    <w:p w14:paraId="720F4EB0" w14:textId="77777777" w:rsidR="007F0279" w:rsidRDefault="007F0279" w:rsidP="007F0279">
      <w:pPr>
        <w:rPr>
          <w:u w:val="single"/>
          <w:lang w:eastAsia="bg-BG"/>
        </w:rPr>
      </w:pPr>
    </w:p>
    <w:p w14:paraId="1500DE4E" w14:textId="4D2726FB" w:rsidR="007F0279" w:rsidRPr="007F0279" w:rsidRDefault="007F0279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Абсорбция</w:t>
      </w:r>
    </w:p>
    <w:p w14:paraId="5D5D1F04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се резорбира бързо и непълно. Бионаличността на оралните дози е 40-45%. Бионаличността не се повлиява от наличието на храна в стомаха, но леко се намалява от </w:t>
      </w:r>
      <w:proofErr w:type="spellStart"/>
      <w:r w:rsidRPr="007F0279">
        <w:rPr>
          <w:lang w:eastAsia="bg-BG"/>
        </w:rPr>
        <w:t>антиациди</w:t>
      </w:r>
      <w:proofErr w:type="spellEnd"/>
      <w:r w:rsidRPr="007F0279">
        <w:rPr>
          <w:lang w:eastAsia="bg-BG"/>
        </w:rPr>
        <w:t>; този ефект, обаче, няма клинична значимост.</w:t>
      </w:r>
    </w:p>
    <w:p w14:paraId="587BBDA2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При пациенти в напреднала възраст, няма клинично значими, свързани с възрастта промени в </w:t>
      </w:r>
      <w:proofErr w:type="spellStart"/>
      <w:r w:rsidRPr="007F0279">
        <w:rPr>
          <w:lang w:eastAsia="bg-BG"/>
        </w:rPr>
        <w:t>бионаличностга</w:t>
      </w:r>
      <w:proofErr w:type="spellEnd"/>
      <w:r w:rsidRPr="007F0279">
        <w:rPr>
          <w:lang w:eastAsia="bg-BG"/>
        </w:rPr>
        <w:t xml:space="preserve"> на </w:t>
      </w:r>
      <w:proofErr w:type="spellStart"/>
      <w:r w:rsidRPr="007F0279">
        <w:rPr>
          <w:lang w:eastAsia="bg-BG"/>
        </w:rPr>
        <w:t>Квамател</w:t>
      </w:r>
      <w:proofErr w:type="spellEnd"/>
      <w:r w:rsidRPr="007F0279">
        <w:rPr>
          <w:lang w:eastAsia="bg-BG"/>
        </w:rPr>
        <w:t>.</w:t>
      </w:r>
    </w:p>
    <w:p w14:paraId="1E26E03F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val="en-US"/>
        </w:rPr>
        <w:t xml:space="preserve">First-pass </w:t>
      </w:r>
      <w:r w:rsidRPr="007F0279">
        <w:rPr>
          <w:lang w:eastAsia="bg-BG"/>
        </w:rPr>
        <w:t xml:space="preserve">метаболизма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има слабо влияние върху </w:t>
      </w:r>
      <w:proofErr w:type="spellStart"/>
      <w:r w:rsidRPr="007F0279">
        <w:rPr>
          <w:lang w:eastAsia="bg-BG"/>
        </w:rPr>
        <w:t>бионаличностга</w:t>
      </w:r>
      <w:proofErr w:type="spellEnd"/>
      <w:r w:rsidRPr="007F0279">
        <w:rPr>
          <w:lang w:eastAsia="bg-BG"/>
        </w:rPr>
        <w:t xml:space="preserve"> му.</w:t>
      </w:r>
    </w:p>
    <w:p w14:paraId="58BC888E" w14:textId="77777777" w:rsidR="007F0279" w:rsidRDefault="007F0279" w:rsidP="007F0279">
      <w:pPr>
        <w:rPr>
          <w:u w:val="single"/>
          <w:lang w:eastAsia="bg-BG"/>
        </w:rPr>
      </w:pPr>
    </w:p>
    <w:p w14:paraId="5475960B" w14:textId="504A982B" w:rsidR="007F0279" w:rsidRPr="007F0279" w:rsidRDefault="007F0279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Разпределение</w:t>
      </w:r>
    </w:p>
    <w:p w14:paraId="3E0A16F0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След перорален прием, пиковите плазмени нива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настъпват в рамките на един до три часа. Няма акумулиращ ефект при повтарящи се дози.</w:t>
      </w:r>
    </w:p>
    <w:p w14:paraId="241EC118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>Свързването с плазмените протеини е сравнително слабо: 15% до 20%.</w:t>
      </w:r>
    </w:p>
    <w:p w14:paraId="4AE26945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Плазмен полуживот: 2,3-3,5 часа. При пациенти с тежка бъбречна </w:t>
      </w:r>
      <w:proofErr w:type="spellStart"/>
      <w:r w:rsidRPr="007F0279">
        <w:rPr>
          <w:lang w:eastAsia="bg-BG"/>
        </w:rPr>
        <w:t>недосттатъчност</w:t>
      </w:r>
      <w:proofErr w:type="spellEnd"/>
      <w:r w:rsidRPr="007F0279">
        <w:rPr>
          <w:lang w:eastAsia="bg-BG"/>
        </w:rPr>
        <w:t xml:space="preserve">, елиминационният полуживот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може да надхвърли 20 часа (виж раздел 4.2.)</w:t>
      </w:r>
    </w:p>
    <w:p w14:paraId="5CA40316" w14:textId="77777777" w:rsidR="007F0279" w:rsidRDefault="007F0279" w:rsidP="007F0279">
      <w:pPr>
        <w:rPr>
          <w:u w:val="single"/>
          <w:lang w:eastAsia="bg-BG"/>
        </w:rPr>
      </w:pPr>
    </w:p>
    <w:p w14:paraId="6AED54B4" w14:textId="53CF8EBE" w:rsidR="007F0279" w:rsidRPr="007F0279" w:rsidRDefault="007F0279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Биотрансформация</w:t>
      </w:r>
    </w:p>
    <w:p w14:paraId="2DD77906" w14:textId="77777777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се </w:t>
      </w:r>
      <w:proofErr w:type="spellStart"/>
      <w:r w:rsidRPr="007F0279">
        <w:rPr>
          <w:lang w:eastAsia="bg-BG"/>
        </w:rPr>
        <w:t>метаболизира</w:t>
      </w:r>
      <w:proofErr w:type="spellEnd"/>
      <w:r w:rsidRPr="007F0279">
        <w:rPr>
          <w:lang w:eastAsia="bg-BG"/>
        </w:rPr>
        <w:t xml:space="preserve"> в черния дроб. Единственият метаболит идентифициран при хора е </w:t>
      </w:r>
      <w:proofErr w:type="spellStart"/>
      <w:r w:rsidRPr="007F0279">
        <w:rPr>
          <w:lang w:eastAsia="bg-BG"/>
        </w:rPr>
        <w:t>сулфоксид</w:t>
      </w:r>
      <w:proofErr w:type="spellEnd"/>
      <w:r w:rsidRPr="007F0279">
        <w:rPr>
          <w:lang w:eastAsia="bg-BG"/>
        </w:rPr>
        <w:t>.</w:t>
      </w:r>
    </w:p>
    <w:p w14:paraId="06DCC947" w14:textId="77777777" w:rsidR="007F0279" w:rsidRDefault="007F0279" w:rsidP="007F0279">
      <w:pPr>
        <w:rPr>
          <w:u w:val="single"/>
          <w:lang w:eastAsia="bg-BG"/>
        </w:rPr>
      </w:pPr>
    </w:p>
    <w:p w14:paraId="3E4AA9EE" w14:textId="7FCA16E2" w:rsidR="007F0279" w:rsidRPr="007F0279" w:rsidRDefault="007F0279" w:rsidP="007F0279">
      <w:pPr>
        <w:pStyle w:val="Heading3"/>
        <w:rPr>
          <w:rFonts w:eastAsia="Times New Roman"/>
          <w:u w:val="single"/>
        </w:rPr>
      </w:pPr>
      <w:r w:rsidRPr="007F0279">
        <w:rPr>
          <w:rFonts w:eastAsia="Times New Roman"/>
          <w:u w:val="single"/>
          <w:lang w:eastAsia="bg-BG"/>
        </w:rPr>
        <w:t>Елиминиране</w:t>
      </w:r>
    </w:p>
    <w:p w14:paraId="5165E5A1" w14:textId="1B174AB2" w:rsidR="007F0279" w:rsidRPr="007F0279" w:rsidRDefault="007F0279" w:rsidP="007F0279">
      <w:pPr>
        <w:rPr>
          <w:sz w:val="24"/>
          <w:szCs w:val="24"/>
        </w:rPr>
      </w:pP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се елиминира чрез бъбречни (65-70%) и метаболитни (30-35%) пътища. Бъбречният клирънс е 250-450 </w:t>
      </w:r>
      <w:r w:rsidRPr="007F0279">
        <w:rPr>
          <w:lang w:val="en-US"/>
        </w:rPr>
        <w:t>ml</w:t>
      </w:r>
      <w:r w:rsidRPr="007F0279">
        <w:rPr>
          <w:lang w:eastAsia="bg-BG"/>
        </w:rPr>
        <w:t xml:space="preserve">/мин, показващ известна </w:t>
      </w:r>
      <w:proofErr w:type="spellStart"/>
      <w:r w:rsidRPr="007F0279">
        <w:rPr>
          <w:lang w:eastAsia="bg-BG"/>
        </w:rPr>
        <w:t>тубулна</w:t>
      </w:r>
      <w:proofErr w:type="spellEnd"/>
      <w:r w:rsidRPr="007F0279">
        <w:rPr>
          <w:lang w:eastAsia="bg-BG"/>
        </w:rPr>
        <w:t xml:space="preserve"> екскреция. 25-30% от пероралната доза и 65-70% от интравенозната доза се установяват в урината като непроменени съставки. Малко количество може да се </w:t>
      </w:r>
      <w:proofErr w:type="spellStart"/>
      <w:r w:rsidRPr="007F0279">
        <w:rPr>
          <w:lang w:eastAsia="bg-BG"/>
        </w:rPr>
        <w:t>екскретира</w:t>
      </w:r>
      <w:proofErr w:type="spellEnd"/>
      <w:r w:rsidRPr="007F0279">
        <w:rPr>
          <w:lang w:eastAsia="bg-BG"/>
        </w:rPr>
        <w:t xml:space="preserve"> като </w:t>
      </w:r>
      <w:proofErr w:type="spellStart"/>
      <w:r w:rsidRPr="007F0279">
        <w:rPr>
          <w:lang w:eastAsia="bg-BG"/>
        </w:rPr>
        <w:t>сулфоксид</w:t>
      </w:r>
      <w:proofErr w:type="spellEnd"/>
      <w:r w:rsidRPr="007F0279">
        <w:rPr>
          <w:lang w:eastAsia="bg-BG"/>
        </w:rPr>
        <w:t>.</w:t>
      </w:r>
    </w:p>
    <w:p w14:paraId="218BB6B1" w14:textId="77777777" w:rsidR="007F0279" w:rsidRPr="007F0279" w:rsidRDefault="007F0279" w:rsidP="007F0279"/>
    <w:p w14:paraId="134A69A8" w14:textId="69734F82" w:rsidR="002C50EE" w:rsidRDefault="002C50EE" w:rsidP="002C50EE">
      <w:pPr>
        <w:pStyle w:val="Heading2"/>
      </w:pPr>
      <w:r>
        <w:t>5.3. Предклинични данни за безопасност</w:t>
      </w:r>
    </w:p>
    <w:p w14:paraId="3B3E73C9" w14:textId="77777777" w:rsidR="007F0279" w:rsidRDefault="007F0279" w:rsidP="007F0279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F40123D" w14:textId="5CD6E5E5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>Изследване за остра токсичност:</w:t>
      </w:r>
    </w:p>
    <w:p w14:paraId="5808A8AB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>При плъхове:</w:t>
      </w:r>
      <w:r w:rsidRPr="007F0279">
        <w:rPr>
          <w:lang w:eastAsia="bg-BG"/>
        </w:rPr>
        <w:t xml:space="preserve"> Оралната </w:t>
      </w:r>
      <w:r w:rsidRPr="007F0279">
        <w:rPr>
          <w:lang w:val="en-US"/>
        </w:rPr>
        <w:t>LD</w:t>
      </w:r>
      <w:r w:rsidRPr="007F0279">
        <w:rPr>
          <w:vertAlign w:val="subscript"/>
          <w:lang w:val="en-US"/>
        </w:rPr>
        <w:t>50</w:t>
      </w:r>
      <w:r w:rsidRPr="007F0279">
        <w:rPr>
          <w:lang w:val="en-US"/>
        </w:rPr>
        <w:t xml:space="preserve"> </w:t>
      </w:r>
      <w:r w:rsidRPr="007F0279">
        <w:rPr>
          <w:lang w:eastAsia="bg-BG"/>
        </w:rPr>
        <w:t xml:space="preserve">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при плъхове е по-висока от 8000 </w:t>
      </w:r>
      <w:r w:rsidRPr="007F0279">
        <w:rPr>
          <w:lang w:val="en-US"/>
        </w:rPr>
        <w:t>mg/kg.</w:t>
      </w:r>
      <w:r w:rsidRPr="007F0279">
        <w:rPr>
          <w:lang w:eastAsia="bg-BG"/>
        </w:rPr>
        <w:t xml:space="preserve"> </w:t>
      </w:r>
      <w:r w:rsidRPr="007F0279">
        <w:rPr>
          <w:smallCaps/>
          <w:u w:val="single"/>
          <w:lang w:eastAsia="bg-BG"/>
        </w:rPr>
        <w:t>При</w:t>
      </w:r>
      <w:r w:rsidRPr="007F0279">
        <w:rPr>
          <w:u w:val="single"/>
          <w:lang w:eastAsia="bg-BG"/>
        </w:rPr>
        <w:t xml:space="preserve"> мишки:</w:t>
      </w:r>
      <w:r w:rsidRPr="007F0279">
        <w:rPr>
          <w:lang w:eastAsia="bg-BG"/>
        </w:rPr>
        <w:t xml:space="preserve"> </w:t>
      </w:r>
      <w:proofErr w:type="spellStart"/>
      <w:r w:rsidRPr="007F0279">
        <w:rPr>
          <w:lang w:eastAsia="bg-BG"/>
        </w:rPr>
        <w:t>Интраперитонеалната</w:t>
      </w:r>
      <w:proofErr w:type="spellEnd"/>
      <w:r w:rsidRPr="007F0279">
        <w:rPr>
          <w:lang w:eastAsia="bg-BG"/>
        </w:rPr>
        <w:t xml:space="preserve"> </w:t>
      </w:r>
      <w:r w:rsidRPr="007F0279">
        <w:rPr>
          <w:lang w:val="en-US"/>
        </w:rPr>
        <w:t>LD</w:t>
      </w:r>
      <w:r w:rsidRPr="007F0279">
        <w:rPr>
          <w:vertAlign w:val="subscript"/>
          <w:lang w:val="en-US"/>
        </w:rPr>
        <w:t>50</w:t>
      </w:r>
      <w:r w:rsidRPr="007F0279">
        <w:rPr>
          <w:lang w:val="en-US"/>
        </w:rPr>
        <w:t xml:space="preserve"> </w:t>
      </w:r>
      <w:r w:rsidRPr="007F0279">
        <w:rPr>
          <w:lang w:eastAsia="bg-BG"/>
        </w:rPr>
        <w:t xml:space="preserve">при мишки е приблизително 800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или по-висока (723-921 </w:t>
      </w:r>
      <w:r w:rsidRPr="007F0279">
        <w:rPr>
          <w:lang w:val="en-US"/>
        </w:rPr>
        <w:t>mg/kg).</w:t>
      </w:r>
    </w:p>
    <w:p w14:paraId="5F3B815C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u w:val="single"/>
          <w:lang w:eastAsia="bg-BG"/>
        </w:rPr>
        <w:t>При кучета:</w:t>
      </w:r>
      <w:r w:rsidRPr="007F0279">
        <w:rPr>
          <w:lang w:eastAsia="bg-BG"/>
        </w:rPr>
        <w:t xml:space="preserve"> Установено е, че след еднократно перорално приложение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в доза</w:t>
      </w:r>
    </w:p>
    <w:p w14:paraId="6818F311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2000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>не са наблюдавани патологични изменения и промяна в масата на органите, които</w:t>
      </w:r>
      <w:r>
        <w:rPr>
          <w:lang w:eastAsia="bg-BG"/>
        </w:rPr>
        <w:t xml:space="preserve"> </w:t>
      </w:r>
      <w:r w:rsidRPr="007F0279">
        <w:rPr>
          <w:lang w:eastAsia="bg-BG"/>
        </w:rPr>
        <w:t xml:space="preserve">да бъдат отдадени на третирането. Не е настъпила смърт при нито едно от 12-те </w:t>
      </w:r>
      <w:r w:rsidRPr="007F0279">
        <w:rPr>
          <w:lang w:eastAsia="bg-BG"/>
        </w:rPr>
        <w:lastRenderedPageBreak/>
        <w:t>кучета в курса на изследването за остра токсичност. Не са наблюдавани токсични изменения при никое от 12-те животни по време на изследването за остра токсичност или в последващия 7-дневен период на проследяване.</w:t>
      </w:r>
    </w:p>
    <w:p w14:paraId="2031CDD6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Изследване за </w:t>
      </w:r>
      <w:proofErr w:type="spellStart"/>
      <w:r w:rsidRPr="007F0279">
        <w:rPr>
          <w:lang w:eastAsia="bg-BG"/>
        </w:rPr>
        <w:t>подостра</w:t>
      </w:r>
      <w:proofErr w:type="spellEnd"/>
      <w:r w:rsidRPr="007F0279">
        <w:rPr>
          <w:lang w:eastAsia="bg-BG"/>
        </w:rPr>
        <w:t xml:space="preserve"> и хронична токсичност:</w:t>
      </w:r>
    </w:p>
    <w:p w14:paraId="31B24B7B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Прилагани са перорални дози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по 50, 150, 500 или 1000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дневно при кучета в продължение на 13 седмици. Наблюдавани са само минимални промени (лека загуба на тегло, леко повишен серумен албумин, намалена стойност на бета-глобулин и леко увеличение на белтъка в урината) в групата, получавала доза 1000 </w:t>
      </w:r>
      <w:r w:rsidRPr="007F0279">
        <w:rPr>
          <w:lang w:val="en-US"/>
        </w:rPr>
        <w:t xml:space="preserve">mg/kg </w:t>
      </w:r>
      <w:proofErr w:type="spellStart"/>
      <w:r w:rsidRPr="007F0279">
        <w:rPr>
          <w:lang w:eastAsia="bg-BG"/>
        </w:rPr>
        <w:t>девно</w:t>
      </w:r>
      <w:proofErr w:type="spellEnd"/>
      <w:r w:rsidRPr="007F0279">
        <w:rPr>
          <w:lang w:eastAsia="bg-BG"/>
        </w:rPr>
        <w:t xml:space="preserve">. В групите, получавали по- ниски дози,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е понесен добре.</w:t>
      </w:r>
    </w:p>
    <w:p w14:paraId="20068521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Прилагани са перорални дози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по 2000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дневно или 2000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>през 12 часа при кучета в продължение на 1 месец. Не са наблюдавани промени в нито една от групите.</w:t>
      </w:r>
    </w:p>
    <w:p w14:paraId="352DF57E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В 106 седмично проучване при плъхове и 92 седмично проучване при мишки, са прилагани перорални дози от 2000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дневно (приблизително 2500 пъти над препоръчваната при хора доза за лечение на активна </w:t>
      </w:r>
      <w:proofErr w:type="spellStart"/>
      <w:r w:rsidRPr="007F0279">
        <w:rPr>
          <w:lang w:eastAsia="bg-BG"/>
        </w:rPr>
        <w:t>дуоденална</w:t>
      </w:r>
      <w:proofErr w:type="spellEnd"/>
      <w:r w:rsidRPr="007F0279">
        <w:rPr>
          <w:lang w:eastAsia="bg-BG"/>
        </w:rPr>
        <w:t xml:space="preserve"> язва). Няма доказателства за карциногенен потенциал на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. </w:t>
      </w:r>
      <w:proofErr w:type="spellStart"/>
      <w:r w:rsidRPr="007F0279">
        <w:rPr>
          <w:lang w:eastAsia="bg-BG"/>
        </w:rPr>
        <w:t>Фамотидин</w:t>
      </w:r>
      <w:proofErr w:type="spellEnd"/>
      <w:r w:rsidRPr="007F0279">
        <w:rPr>
          <w:lang w:eastAsia="bg-BG"/>
        </w:rPr>
        <w:t xml:space="preserve"> е отрицателен при </w:t>
      </w:r>
      <w:proofErr w:type="spellStart"/>
      <w:r w:rsidRPr="007F0279">
        <w:rPr>
          <w:lang w:eastAsia="bg-BG"/>
        </w:rPr>
        <w:t>микробиален</w:t>
      </w:r>
      <w:proofErr w:type="spellEnd"/>
      <w:r w:rsidRPr="007F0279">
        <w:rPr>
          <w:lang w:eastAsia="bg-BG"/>
        </w:rPr>
        <w:t xml:space="preserve"> мутагенен тест (тест на </w:t>
      </w:r>
      <w:r w:rsidRPr="007F0279">
        <w:rPr>
          <w:lang w:val="en-US"/>
        </w:rPr>
        <w:t xml:space="preserve">Ames) </w:t>
      </w:r>
      <w:r w:rsidRPr="007F0279">
        <w:rPr>
          <w:lang w:eastAsia="bg-BG"/>
        </w:rPr>
        <w:t xml:space="preserve">използващ </w:t>
      </w:r>
      <w:r w:rsidRPr="007F0279">
        <w:rPr>
          <w:lang w:val="en-US"/>
        </w:rPr>
        <w:t xml:space="preserve">Salmonella typhimurium </w:t>
      </w:r>
      <w:r w:rsidRPr="007F0279">
        <w:rPr>
          <w:lang w:eastAsia="bg-BG"/>
        </w:rPr>
        <w:t xml:space="preserve">и </w:t>
      </w:r>
      <w:r w:rsidRPr="007F0279">
        <w:rPr>
          <w:lang w:val="en-US"/>
        </w:rPr>
        <w:t xml:space="preserve">Escherichia coli </w:t>
      </w:r>
      <w:r w:rsidRPr="007F0279">
        <w:rPr>
          <w:lang w:eastAsia="bg-BG"/>
        </w:rPr>
        <w:t xml:space="preserve">с или без ензимна </w:t>
      </w:r>
      <w:proofErr w:type="spellStart"/>
      <w:r w:rsidRPr="007F0279">
        <w:rPr>
          <w:lang w:eastAsia="bg-BG"/>
        </w:rPr>
        <w:t>активащия</w:t>
      </w:r>
      <w:proofErr w:type="spellEnd"/>
      <w:r w:rsidRPr="007F0279">
        <w:rPr>
          <w:lang w:eastAsia="bg-BG"/>
        </w:rPr>
        <w:t xml:space="preserve"> на черен дроб на плъх в концентрации до 10,000 </w:t>
      </w:r>
      <w:r w:rsidRPr="007F0279">
        <w:rPr>
          <w:lang w:val="en-US"/>
        </w:rPr>
        <w:t>mcg/plate.</w:t>
      </w:r>
    </w:p>
    <w:p w14:paraId="3F2FA695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В </w:t>
      </w:r>
      <w:r w:rsidRPr="007F0279">
        <w:rPr>
          <w:i/>
          <w:iCs/>
          <w:lang w:val="en-US"/>
        </w:rPr>
        <w:t>in vivo</w:t>
      </w:r>
      <w:r w:rsidRPr="007F0279">
        <w:rPr>
          <w:lang w:val="en-US"/>
        </w:rPr>
        <w:t xml:space="preserve"> </w:t>
      </w:r>
      <w:r w:rsidRPr="007F0279">
        <w:rPr>
          <w:lang w:eastAsia="bg-BG"/>
        </w:rPr>
        <w:t>проучвания при мишки, с микронуклеарен тест и тест за хромозомни аберации не се наблюдават доказателства за мутагенен ефект.</w:t>
      </w:r>
    </w:p>
    <w:p w14:paraId="68991F63" w14:textId="77777777" w:rsidR="007F0279" w:rsidRDefault="007F0279" w:rsidP="007F0279">
      <w:pPr>
        <w:rPr>
          <w:lang w:eastAsia="bg-BG"/>
        </w:rPr>
      </w:pPr>
    </w:p>
    <w:p w14:paraId="22168ABB" w14:textId="6539770D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В проучвания с плъхове, перорални дози до 2000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дневно или интравенозни дози до 200 </w:t>
      </w:r>
      <w:r w:rsidRPr="007F0279">
        <w:rPr>
          <w:lang w:val="en-US"/>
        </w:rPr>
        <w:t xml:space="preserve">mg/kg </w:t>
      </w:r>
      <w:r w:rsidRPr="007F0279">
        <w:rPr>
          <w:lang w:eastAsia="bg-BG"/>
        </w:rPr>
        <w:t xml:space="preserve">дневно не повлияват </w:t>
      </w:r>
      <w:proofErr w:type="spellStart"/>
      <w:r w:rsidRPr="007F0279">
        <w:rPr>
          <w:lang w:eastAsia="bg-BG"/>
        </w:rPr>
        <w:t>фертилитета</w:t>
      </w:r>
      <w:proofErr w:type="spellEnd"/>
      <w:r w:rsidRPr="007F0279">
        <w:rPr>
          <w:lang w:eastAsia="bg-BG"/>
        </w:rPr>
        <w:t xml:space="preserve"> и репродуктивните способности.</w:t>
      </w:r>
    </w:p>
    <w:p w14:paraId="07BE2CDC" w14:textId="55D4F14A" w:rsidR="007F0279" w:rsidRPr="007F0279" w:rsidRDefault="007F0279" w:rsidP="007F0279"/>
    <w:p w14:paraId="28C40F19" w14:textId="0D19F29B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91459E4" w14:textId="77777777" w:rsidR="007F0279" w:rsidRPr="007F0279" w:rsidRDefault="007F0279" w:rsidP="007F0279">
      <w:pPr>
        <w:rPr>
          <w:sz w:val="24"/>
          <w:szCs w:val="24"/>
          <w:lang w:val="en-US"/>
        </w:rPr>
      </w:pPr>
      <w:r w:rsidRPr="007F0279">
        <w:rPr>
          <w:lang w:val="en-US"/>
        </w:rPr>
        <w:t>Gedeon Richter Plc.</w:t>
      </w:r>
    </w:p>
    <w:p w14:paraId="5CC96488" w14:textId="77777777" w:rsidR="007F0279" w:rsidRPr="007F0279" w:rsidRDefault="007F0279" w:rsidP="007F0279">
      <w:pPr>
        <w:rPr>
          <w:sz w:val="24"/>
          <w:szCs w:val="24"/>
          <w:lang w:val="en-US"/>
        </w:rPr>
      </w:pPr>
      <w:proofErr w:type="spellStart"/>
      <w:r w:rsidRPr="007F0279">
        <w:rPr>
          <w:lang w:val="en-US"/>
        </w:rPr>
        <w:t>Gytimroi</w:t>
      </w:r>
      <w:proofErr w:type="spellEnd"/>
      <w:r w:rsidRPr="007F0279">
        <w:rPr>
          <w:lang w:val="en-US"/>
        </w:rPr>
        <w:t xml:space="preserve"> </w:t>
      </w:r>
      <w:proofErr w:type="spellStart"/>
      <w:r w:rsidRPr="007F0279">
        <w:rPr>
          <w:lang w:val="en-US"/>
        </w:rPr>
        <w:t>ut</w:t>
      </w:r>
      <w:proofErr w:type="spellEnd"/>
      <w:r w:rsidRPr="007F0279">
        <w:rPr>
          <w:lang w:val="en-US"/>
        </w:rPr>
        <w:t xml:space="preserve"> 19-21.</w:t>
      </w:r>
    </w:p>
    <w:p w14:paraId="3522940B" w14:textId="77777777" w:rsidR="007F0279" w:rsidRPr="007F0279" w:rsidRDefault="007F0279" w:rsidP="007F0279">
      <w:pPr>
        <w:rPr>
          <w:sz w:val="24"/>
          <w:szCs w:val="24"/>
          <w:lang w:val="en-US"/>
        </w:rPr>
      </w:pPr>
      <w:r w:rsidRPr="007F0279">
        <w:rPr>
          <w:lang w:val="en-US"/>
        </w:rPr>
        <w:t>1103 Budapest X.</w:t>
      </w:r>
      <w:r w:rsidRPr="007F0279">
        <w:rPr>
          <w:vertAlign w:val="subscript"/>
          <w:lang w:val="en-US"/>
        </w:rPr>
        <w:t>s</w:t>
      </w:r>
    </w:p>
    <w:p w14:paraId="377CD191" w14:textId="0A962D49" w:rsidR="007F0279" w:rsidRPr="007F0279" w:rsidRDefault="007F0279" w:rsidP="007F0279">
      <w:r w:rsidRPr="007F0279">
        <w:rPr>
          <w:lang w:eastAsia="bg-BG"/>
        </w:rPr>
        <w:t>Унгария</w:t>
      </w:r>
    </w:p>
    <w:p w14:paraId="04840D59" w14:textId="3E540157" w:rsidR="002C50EE" w:rsidRDefault="002C50EE" w:rsidP="002C50EE">
      <w:pPr>
        <w:pStyle w:val="Heading1"/>
      </w:pPr>
      <w:r>
        <w:t>8. НОМЕР НА РАЗРЕШЕНИЕТО ЗА УПОТРЕБА</w:t>
      </w:r>
    </w:p>
    <w:p w14:paraId="6139B7A2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20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>филмирани таблетки: 20010934</w:t>
      </w:r>
    </w:p>
    <w:p w14:paraId="7E46B9A9" w14:textId="77777777" w:rsidR="007F0279" w:rsidRPr="007F0279" w:rsidRDefault="007F0279" w:rsidP="007F0279">
      <w:pPr>
        <w:rPr>
          <w:sz w:val="24"/>
          <w:szCs w:val="24"/>
        </w:rPr>
      </w:pPr>
      <w:r w:rsidRPr="007F0279">
        <w:rPr>
          <w:lang w:eastAsia="bg-BG"/>
        </w:rPr>
        <w:t xml:space="preserve">40 </w:t>
      </w:r>
      <w:r w:rsidRPr="007F0279">
        <w:rPr>
          <w:lang w:val="en-US"/>
        </w:rPr>
        <w:t xml:space="preserve">mg </w:t>
      </w:r>
      <w:r w:rsidRPr="007F0279">
        <w:rPr>
          <w:lang w:eastAsia="bg-BG"/>
        </w:rPr>
        <w:t>филмирани таблетки: 20010935</w:t>
      </w:r>
    </w:p>
    <w:p w14:paraId="37C44CCF" w14:textId="77777777" w:rsidR="007F0279" w:rsidRPr="007F0279" w:rsidRDefault="007F0279" w:rsidP="007F0279"/>
    <w:p w14:paraId="5900CBF3" w14:textId="7A4D733D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84AEC44" w14:textId="29367F0E" w:rsidR="007F0279" w:rsidRPr="007F0279" w:rsidRDefault="007F0279" w:rsidP="007F0279">
      <w:r>
        <w:t>12.08.2011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971BD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7F0279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2021-07-07T13:20:00Z</dcterms:created>
  <dcterms:modified xsi:type="dcterms:W3CDTF">2021-07-07T13:20:00Z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