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0A98EAD1" w:rsidR="00AA23EC" w:rsidRDefault="00DD466D" w:rsidP="00DD466D">
      <w:pPr>
        <w:pStyle w:val="Heading1"/>
      </w:pPr>
      <w:r>
        <w:t>1.ИМЕ НА ЛЕКАРСТВЕНИЯ ПРОДУКТ</w:t>
      </w:r>
    </w:p>
    <w:p w14:paraId="27751B4C" w14:textId="52A4F9C1" w:rsidR="00F36424" w:rsidRDefault="00F36424" w:rsidP="00F36424"/>
    <w:p w14:paraId="059C68A1" w14:textId="77777777" w:rsidR="00F36424" w:rsidRPr="00F36424" w:rsidRDefault="00F36424" w:rsidP="00F36424">
      <w:pPr>
        <w:rPr>
          <w:sz w:val="24"/>
          <w:szCs w:val="24"/>
        </w:rPr>
      </w:pPr>
      <w:r w:rsidRPr="00F36424">
        <w:rPr>
          <w:lang w:eastAsia="bg-BG"/>
        </w:rPr>
        <w:t xml:space="preserve">КВЕТИАПИН АКОРД 200 </w:t>
      </w:r>
      <w:r w:rsidRPr="00F36424">
        <w:rPr>
          <w:lang w:val="en-US"/>
        </w:rPr>
        <w:t>mg</w:t>
      </w:r>
      <w:r w:rsidRPr="00F36424">
        <w:t xml:space="preserve"> </w:t>
      </w:r>
      <w:r w:rsidRPr="00F36424">
        <w:rPr>
          <w:lang w:eastAsia="bg-BG"/>
        </w:rPr>
        <w:t>филмирани таблетки</w:t>
      </w:r>
    </w:p>
    <w:p w14:paraId="1E0E39B8" w14:textId="5C66A6E7" w:rsidR="00F36424" w:rsidRPr="00F36424" w:rsidRDefault="00F36424" w:rsidP="00F36424">
      <w:r w:rsidRPr="00F36424">
        <w:rPr>
          <w:lang w:val="en-US"/>
        </w:rPr>
        <w:t>QUETIAPINE</w:t>
      </w:r>
      <w:r w:rsidRPr="00F36424">
        <w:t xml:space="preserve"> </w:t>
      </w:r>
      <w:r w:rsidRPr="00F36424">
        <w:rPr>
          <w:lang w:val="en-US"/>
        </w:rPr>
        <w:t>ACCORD</w:t>
      </w:r>
      <w:r w:rsidRPr="00F36424">
        <w:t xml:space="preserve"> </w:t>
      </w:r>
      <w:r w:rsidRPr="00F36424">
        <w:rPr>
          <w:lang w:eastAsia="bg-BG"/>
        </w:rPr>
        <w:t xml:space="preserve">200 </w:t>
      </w:r>
      <w:r w:rsidRPr="00F36424">
        <w:rPr>
          <w:lang w:val="en-US"/>
        </w:rPr>
        <w:t>mg</w:t>
      </w:r>
      <w:r w:rsidRPr="00F36424">
        <w:t xml:space="preserve"> </w:t>
      </w:r>
      <w:r w:rsidRPr="00F36424">
        <w:rPr>
          <w:lang w:val="en-US"/>
        </w:rPr>
        <w:t>film</w:t>
      </w:r>
      <w:r w:rsidRPr="00F36424">
        <w:t>-</w:t>
      </w:r>
      <w:r w:rsidRPr="00F36424">
        <w:rPr>
          <w:lang w:val="en-US"/>
        </w:rPr>
        <w:t>coated</w:t>
      </w:r>
      <w:r w:rsidRPr="00F36424">
        <w:t xml:space="preserve"> </w:t>
      </w:r>
      <w:r w:rsidRPr="00F36424">
        <w:rPr>
          <w:lang w:val="en-US"/>
        </w:rPr>
        <w:t>tablets</w:t>
      </w:r>
    </w:p>
    <w:p w14:paraId="0A368469" w14:textId="691DD185" w:rsidR="00C0049F" w:rsidRDefault="00DD466D" w:rsidP="009F1313">
      <w:pPr>
        <w:pStyle w:val="Heading1"/>
      </w:pPr>
      <w:r>
        <w:t>2. КАЧЕСТВЕН И КОЛИЧЕСТВЕН СЪСТАВ</w:t>
      </w:r>
    </w:p>
    <w:p w14:paraId="37FBC0D8" w14:textId="5021FD07" w:rsidR="00F36424" w:rsidRDefault="00F36424" w:rsidP="00F36424"/>
    <w:p w14:paraId="4C6B403A" w14:textId="77777777" w:rsidR="00F36424" w:rsidRPr="00F36424" w:rsidRDefault="00F36424" w:rsidP="00F36424">
      <w:pPr>
        <w:rPr>
          <w:sz w:val="24"/>
          <w:szCs w:val="24"/>
        </w:rPr>
      </w:pPr>
      <w:r w:rsidRPr="00F36424">
        <w:rPr>
          <w:lang w:eastAsia="bg-BG"/>
        </w:rPr>
        <w:t xml:space="preserve">Всяка филмирана таблетка съдържа 200 </w:t>
      </w:r>
      <w:r w:rsidRPr="00F36424">
        <w:rPr>
          <w:lang w:val="en-US"/>
        </w:rPr>
        <w:t>mg</w:t>
      </w:r>
      <w:r w:rsidRPr="00F36424">
        <w:t xml:space="preserve"> </w:t>
      </w:r>
      <w:r w:rsidRPr="00F36424">
        <w:rPr>
          <w:lang w:eastAsia="bg-BG"/>
        </w:rPr>
        <w:t xml:space="preserve">кветиапин </w:t>
      </w:r>
      <w:r w:rsidRPr="00F36424">
        <w:rPr>
          <w:i/>
          <w:iCs/>
        </w:rPr>
        <w:t>(</w:t>
      </w:r>
      <w:r w:rsidRPr="00F36424">
        <w:rPr>
          <w:i/>
          <w:iCs/>
          <w:lang w:val="en-US"/>
        </w:rPr>
        <w:t>quetiapine</w:t>
      </w:r>
      <w:r w:rsidRPr="00F36424">
        <w:rPr>
          <w:i/>
          <w:iCs/>
        </w:rPr>
        <w:t>),</w:t>
      </w:r>
      <w:r w:rsidRPr="00F36424">
        <w:t xml:space="preserve"> </w:t>
      </w:r>
      <w:r w:rsidRPr="00F36424">
        <w:rPr>
          <w:lang w:eastAsia="bg-BG"/>
        </w:rPr>
        <w:t xml:space="preserve">като кветиапин хемифумарат </w:t>
      </w:r>
      <w:r w:rsidRPr="00F36424">
        <w:rPr>
          <w:i/>
          <w:iCs/>
        </w:rPr>
        <w:t>(</w:t>
      </w:r>
      <w:r w:rsidRPr="00F36424">
        <w:rPr>
          <w:i/>
          <w:iCs/>
          <w:lang w:val="en-US"/>
        </w:rPr>
        <w:t>quetiapine</w:t>
      </w:r>
      <w:r w:rsidRPr="00F36424">
        <w:rPr>
          <w:i/>
          <w:iCs/>
        </w:rPr>
        <w:t xml:space="preserve"> </w:t>
      </w:r>
      <w:proofErr w:type="spellStart"/>
      <w:r w:rsidRPr="00F36424">
        <w:rPr>
          <w:i/>
          <w:iCs/>
          <w:lang w:val="en-US"/>
        </w:rPr>
        <w:t>hemifumarate</w:t>
      </w:r>
      <w:proofErr w:type="spellEnd"/>
      <w:r w:rsidRPr="00F36424">
        <w:rPr>
          <w:i/>
          <w:iCs/>
        </w:rPr>
        <w:t>).</w:t>
      </w:r>
    </w:p>
    <w:p w14:paraId="3CEF33AA" w14:textId="77777777" w:rsidR="00F36424" w:rsidRDefault="00F36424" w:rsidP="00F36424">
      <w:pPr>
        <w:rPr>
          <w:lang w:eastAsia="bg-BG"/>
        </w:rPr>
      </w:pPr>
    </w:p>
    <w:p w14:paraId="498BC883" w14:textId="716EA650" w:rsidR="00F36424" w:rsidRPr="00F36424" w:rsidRDefault="00F36424" w:rsidP="00F36424">
      <w:pPr>
        <w:rPr>
          <w:sz w:val="24"/>
          <w:szCs w:val="24"/>
        </w:rPr>
      </w:pPr>
      <w:r w:rsidRPr="00F36424">
        <w:rPr>
          <w:lang w:eastAsia="bg-BG"/>
        </w:rPr>
        <w:t>Помощни вещества:</w:t>
      </w:r>
    </w:p>
    <w:p w14:paraId="42F4D839" w14:textId="12982275" w:rsidR="00F36424" w:rsidRPr="00F36424" w:rsidRDefault="00F36424" w:rsidP="00F36424">
      <w:r w:rsidRPr="00F36424">
        <w:rPr>
          <w:lang w:eastAsia="bg-BG"/>
        </w:rPr>
        <w:t xml:space="preserve">Всяка филмирана таблетка от 200 </w:t>
      </w:r>
      <w:r w:rsidRPr="00F36424">
        <w:rPr>
          <w:lang w:val="en-US"/>
        </w:rPr>
        <w:t>mg</w:t>
      </w:r>
      <w:r w:rsidRPr="00F36424">
        <w:rPr>
          <w:lang w:val="ru-RU"/>
        </w:rPr>
        <w:t xml:space="preserve"> </w:t>
      </w:r>
      <w:r w:rsidRPr="00F36424">
        <w:rPr>
          <w:lang w:eastAsia="bg-BG"/>
        </w:rPr>
        <w:t xml:space="preserve">съдържа 106,400 </w:t>
      </w:r>
      <w:r w:rsidRPr="00F36424">
        <w:rPr>
          <w:lang w:val="en-US"/>
        </w:rPr>
        <w:t>mg</w:t>
      </w:r>
      <w:r w:rsidRPr="00F36424">
        <w:rPr>
          <w:lang w:val="ru-RU"/>
        </w:rPr>
        <w:t xml:space="preserve"> </w:t>
      </w:r>
      <w:r w:rsidRPr="00F36424">
        <w:rPr>
          <w:lang w:eastAsia="bg-BG"/>
        </w:rPr>
        <w:t>лактоза монохидрат.</w:t>
      </w:r>
    </w:p>
    <w:p w14:paraId="614984C4" w14:textId="3F9DCA1D" w:rsidR="008A6AF2" w:rsidRDefault="00DD466D" w:rsidP="002C50EE">
      <w:pPr>
        <w:pStyle w:val="Heading1"/>
      </w:pPr>
      <w:r>
        <w:t>3. ЛЕКАРСТВЕНА ФОРМА</w:t>
      </w:r>
    </w:p>
    <w:p w14:paraId="235F8DB5" w14:textId="23CC240F" w:rsidR="00F36424" w:rsidRDefault="00F36424" w:rsidP="00F36424"/>
    <w:p w14:paraId="14163B47" w14:textId="77777777" w:rsidR="00F36424" w:rsidRPr="00F36424" w:rsidRDefault="00F36424" w:rsidP="00F36424">
      <w:pPr>
        <w:rPr>
          <w:sz w:val="24"/>
          <w:szCs w:val="24"/>
        </w:rPr>
      </w:pPr>
      <w:r w:rsidRPr="00F36424">
        <w:rPr>
          <w:lang w:eastAsia="bg-BG"/>
        </w:rPr>
        <w:t>Филмирана таблетка</w:t>
      </w:r>
    </w:p>
    <w:p w14:paraId="33ECE1EB" w14:textId="77777777" w:rsidR="00F36424" w:rsidRPr="00F36424" w:rsidRDefault="00F36424" w:rsidP="00F36424">
      <w:pPr>
        <w:rPr>
          <w:sz w:val="24"/>
          <w:szCs w:val="24"/>
        </w:rPr>
      </w:pPr>
      <w:r w:rsidRPr="00F36424">
        <w:rPr>
          <w:lang w:eastAsia="bg-BG"/>
        </w:rPr>
        <w:t xml:space="preserve">Таблетките от 200 </w:t>
      </w:r>
      <w:r w:rsidRPr="00F36424">
        <w:rPr>
          <w:lang w:val="en-US"/>
        </w:rPr>
        <w:t>mg</w:t>
      </w:r>
      <w:r w:rsidRPr="00F36424">
        <w:rPr>
          <w:lang w:val="ru-RU"/>
        </w:rPr>
        <w:t xml:space="preserve"> </w:t>
      </w:r>
      <w:r w:rsidRPr="00F36424">
        <w:rPr>
          <w:lang w:eastAsia="bg-BG"/>
        </w:rPr>
        <w:t>са бели до почти бели, кръгли, двойноизпъкнали, филмирани, гладки от двете страни.</w:t>
      </w:r>
    </w:p>
    <w:p w14:paraId="69901BFA" w14:textId="77777777" w:rsidR="00F36424" w:rsidRPr="00F36424" w:rsidRDefault="00F36424" w:rsidP="00F36424"/>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21A3C705" w:rsidR="00395555" w:rsidRDefault="00395555" w:rsidP="00395555"/>
    <w:p w14:paraId="0724C8A7" w14:textId="77777777" w:rsidR="00F36424" w:rsidRPr="00F36424" w:rsidRDefault="00F36424" w:rsidP="00F36424">
      <w:pPr>
        <w:rPr>
          <w:sz w:val="24"/>
          <w:szCs w:val="24"/>
        </w:rPr>
      </w:pPr>
      <w:r w:rsidRPr="00F36424">
        <w:rPr>
          <w:lang w:eastAsia="bg-BG"/>
        </w:rPr>
        <w:t>Кветиапин филмирани таблетки е показан за:</w:t>
      </w:r>
    </w:p>
    <w:p w14:paraId="3BCAD5C9" w14:textId="77777777" w:rsidR="00F36424" w:rsidRPr="00F36424" w:rsidRDefault="00F36424" w:rsidP="00F36424">
      <w:pPr>
        <w:pStyle w:val="ListParagraph"/>
        <w:numPr>
          <w:ilvl w:val="0"/>
          <w:numId w:val="32"/>
        </w:numPr>
        <w:rPr>
          <w:sz w:val="24"/>
          <w:szCs w:val="24"/>
        </w:rPr>
      </w:pPr>
      <w:r w:rsidRPr="00F36424">
        <w:rPr>
          <w:lang w:eastAsia="bg-BG"/>
        </w:rPr>
        <w:t>Лечение на шизофрения.</w:t>
      </w:r>
    </w:p>
    <w:p w14:paraId="0D11556F" w14:textId="4EA5701D" w:rsidR="00F36424" w:rsidRPr="00F36424" w:rsidRDefault="00F36424" w:rsidP="00F36424">
      <w:pPr>
        <w:pStyle w:val="ListParagraph"/>
        <w:numPr>
          <w:ilvl w:val="0"/>
          <w:numId w:val="32"/>
        </w:numPr>
        <w:rPr>
          <w:sz w:val="24"/>
          <w:szCs w:val="24"/>
        </w:rPr>
      </w:pPr>
      <w:r w:rsidRPr="00F36424">
        <w:rPr>
          <w:lang w:eastAsia="bg-BG"/>
        </w:rPr>
        <w:t>Лечение на биполярно разстройство:</w:t>
      </w:r>
    </w:p>
    <w:p w14:paraId="6D074D80" w14:textId="77777777" w:rsidR="00F36424" w:rsidRPr="00F36424" w:rsidRDefault="00F36424" w:rsidP="00F36424">
      <w:pPr>
        <w:pStyle w:val="ListParagraph"/>
        <w:numPr>
          <w:ilvl w:val="0"/>
          <w:numId w:val="33"/>
        </w:numPr>
        <w:rPr>
          <w:lang w:eastAsia="bg-BG"/>
        </w:rPr>
      </w:pPr>
      <w:r w:rsidRPr="00F36424">
        <w:rPr>
          <w:lang w:eastAsia="bg-BG"/>
        </w:rPr>
        <w:t>За лечение на умерени до тежки манийни епизоди при биполярно разстройство;</w:t>
      </w:r>
    </w:p>
    <w:p w14:paraId="4C3520F5" w14:textId="77777777" w:rsidR="00F36424" w:rsidRPr="00F36424" w:rsidRDefault="00F36424" w:rsidP="00F36424">
      <w:pPr>
        <w:pStyle w:val="ListParagraph"/>
        <w:numPr>
          <w:ilvl w:val="0"/>
          <w:numId w:val="33"/>
        </w:numPr>
        <w:rPr>
          <w:lang w:eastAsia="bg-BG"/>
        </w:rPr>
      </w:pPr>
      <w:r w:rsidRPr="00F36424">
        <w:rPr>
          <w:lang w:eastAsia="bg-BG"/>
        </w:rPr>
        <w:t>За лечение на големи депресивни епизоди при биполярно разстройство;</w:t>
      </w:r>
    </w:p>
    <w:p w14:paraId="2D3E41C7" w14:textId="77777777" w:rsidR="00F36424" w:rsidRPr="00F36424" w:rsidRDefault="00F36424" w:rsidP="00F36424">
      <w:pPr>
        <w:pStyle w:val="ListParagraph"/>
        <w:numPr>
          <w:ilvl w:val="0"/>
          <w:numId w:val="33"/>
        </w:numPr>
        <w:rPr>
          <w:lang w:eastAsia="bg-BG"/>
        </w:rPr>
      </w:pPr>
      <w:r w:rsidRPr="00F36424">
        <w:rPr>
          <w:lang w:eastAsia="bg-BG"/>
        </w:rPr>
        <w:t>За предотвратяване на рецидив на манийни или депресивни епизоди при пациенти с биполярно разстройство, които преди това са се повлияли добре от лечение с кветиапин.</w:t>
      </w:r>
    </w:p>
    <w:p w14:paraId="2316CBB5" w14:textId="77777777" w:rsidR="00F36424" w:rsidRPr="00395555" w:rsidRDefault="00F36424" w:rsidP="00395555"/>
    <w:p w14:paraId="7C0CA5EB" w14:textId="0DE3A217" w:rsidR="00C0049F" w:rsidRDefault="002C50EE" w:rsidP="009F1313">
      <w:pPr>
        <w:pStyle w:val="Heading2"/>
      </w:pPr>
      <w:r>
        <w:t>4.2. Дозировка и начин на приложение</w:t>
      </w:r>
    </w:p>
    <w:p w14:paraId="70CE0333" w14:textId="2A5DBA3C" w:rsidR="00F36424" w:rsidRDefault="00F36424" w:rsidP="00F36424"/>
    <w:p w14:paraId="7428CBFD"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За всяко показание съществуват различни схеми на дозиране. Поради това трябва да се гарантира, че пациентите ще получат ясна информация относно подходящата за тяхното състояние дозировка.</w:t>
      </w:r>
    </w:p>
    <w:p w14:paraId="5C26A344"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Кветиапин може да се приема със или без храна.</w:t>
      </w:r>
    </w:p>
    <w:p w14:paraId="6C533CC9" w14:textId="77777777" w:rsidR="00F36424" w:rsidRPr="00F36424" w:rsidRDefault="00F36424" w:rsidP="00F36424">
      <w:pPr>
        <w:spacing w:line="240" w:lineRule="auto"/>
        <w:rPr>
          <w:rFonts w:eastAsia="Times New Roman" w:cs="Arial"/>
          <w:b/>
          <w:bCs/>
          <w:i/>
          <w:iCs/>
          <w:color w:val="000000"/>
          <w:lang w:eastAsia="bg-BG"/>
        </w:rPr>
      </w:pPr>
    </w:p>
    <w:p w14:paraId="5152595E" w14:textId="2A8C883C"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Вьзрастни</w:t>
      </w:r>
    </w:p>
    <w:p w14:paraId="5525E9F0" w14:textId="77777777" w:rsidR="00F36424" w:rsidRPr="00F36424" w:rsidRDefault="00F36424" w:rsidP="00F36424">
      <w:pPr>
        <w:spacing w:line="240" w:lineRule="auto"/>
        <w:rPr>
          <w:rFonts w:eastAsia="Times New Roman" w:cs="Arial"/>
          <w:b/>
          <w:bCs/>
          <w:color w:val="000000"/>
          <w:lang w:eastAsia="bg-BG"/>
        </w:rPr>
      </w:pPr>
    </w:p>
    <w:p w14:paraId="5F3B5A0A" w14:textId="57864585"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За лечение на шизофрения</w:t>
      </w:r>
    </w:p>
    <w:p w14:paraId="02FA2B3F"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lastRenderedPageBreak/>
        <w:t xml:space="preserve">За лечение на шизофрения, кветиапин таблетки трябва да се приемат два пъти на </w:t>
      </w:r>
      <w:r w:rsidRPr="00F36424">
        <w:rPr>
          <w:rFonts w:eastAsia="Times New Roman" w:cs="Arial"/>
          <w:b/>
          <w:bCs/>
          <w:color w:val="000000"/>
          <w:lang w:eastAsia="bg-BG"/>
        </w:rPr>
        <w:t xml:space="preserve">ден. </w:t>
      </w:r>
      <w:r w:rsidRPr="00F36424">
        <w:rPr>
          <w:rFonts w:eastAsia="Times New Roman" w:cs="Arial"/>
          <w:color w:val="000000"/>
          <w:lang w:eastAsia="bg-BG"/>
        </w:rPr>
        <w:t xml:space="preserve">Общата дневна доза за първите четири дни от лечението е 50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1), 100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2), 200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3) и 300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(ден 4).</w:t>
      </w:r>
    </w:p>
    <w:p w14:paraId="24562303" w14:textId="77777777" w:rsidR="00F36424" w:rsidRPr="00F36424" w:rsidRDefault="00F36424" w:rsidP="00F36424">
      <w:pPr>
        <w:spacing w:line="240" w:lineRule="auto"/>
        <w:rPr>
          <w:rFonts w:eastAsia="Times New Roman" w:cs="Arial"/>
          <w:color w:val="000000"/>
          <w:lang w:eastAsia="bg-BG"/>
        </w:rPr>
      </w:pPr>
    </w:p>
    <w:p w14:paraId="5259BBCB" w14:textId="504FE6CD"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След четвъртия ден нататък дозата трябва да бъде титрирана до обичайната ефективна доза от 300 до 450 </w:t>
      </w:r>
      <w:r w:rsidRPr="00F36424">
        <w:rPr>
          <w:rFonts w:eastAsia="Times New Roman" w:cs="Arial"/>
          <w:color w:val="000000"/>
          <w:lang w:val="en-US"/>
        </w:rPr>
        <w:t>mg</w:t>
      </w:r>
      <w:r w:rsidRPr="00F36424">
        <w:rPr>
          <w:rFonts w:eastAsia="Times New Roman" w:cs="Arial"/>
          <w:color w:val="000000"/>
          <w:lang w:eastAsia="bg-BG"/>
        </w:rPr>
        <w:t xml:space="preserve">/ден. В зависимост от клиничния отговор и поносимостта на отделния пациент, дозата може да се коригира в границите от 150 до 750 </w:t>
      </w:r>
      <w:r w:rsidRPr="00F36424">
        <w:rPr>
          <w:rFonts w:eastAsia="Times New Roman" w:cs="Arial"/>
          <w:color w:val="000000"/>
          <w:lang w:val="en-US"/>
        </w:rPr>
        <w:t>mg</w:t>
      </w:r>
      <w:r w:rsidRPr="00F36424">
        <w:rPr>
          <w:rFonts w:eastAsia="Times New Roman" w:cs="Arial"/>
          <w:color w:val="000000"/>
          <w:lang w:eastAsia="bg-BG"/>
        </w:rPr>
        <w:t>/ден.</w:t>
      </w:r>
    </w:p>
    <w:p w14:paraId="68BE4944" w14:textId="1789EA15" w:rsidR="00F36424" w:rsidRPr="00F36424" w:rsidRDefault="00F36424" w:rsidP="00F36424">
      <w:pPr>
        <w:rPr>
          <w:rFonts w:cs="Arial"/>
        </w:rPr>
      </w:pPr>
    </w:p>
    <w:p w14:paraId="0593FBDF" w14:textId="77777777"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За лечение на умерени до тежки манийни епизоди при биполярно разстройство</w:t>
      </w:r>
    </w:p>
    <w:p w14:paraId="19324420"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За лечение на манийни епизоди, свързани с биполярно разстройство, кветиапин таблетки трябва да се приемат два пъти дневно. Общата дневна доза за първите четири дни от лечението е 100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1), 200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2), 300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3) и 400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4). Последващо коригиране на дозата до 800 </w:t>
      </w:r>
      <w:r w:rsidRPr="00F36424">
        <w:rPr>
          <w:rFonts w:eastAsia="Times New Roman" w:cs="Arial"/>
          <w:color w:val="000000"/>
          <w:lang w:val="en-US"/>
        </w:rPr>
        <w:t>mg</w:t>
      </w:r>
      <w:r w:rsidRPr="00F36424">
        <w:rPr>
          <w:rFonts w:eastAsia="Times New Roman" w:cs="Arial"/>
          <w:color w:val="000000"/>
          <w:lang w:eastAsia="bg-BG"/>
        </w:rPr>
        <w:t xml:space="preserve">/ден до ден 6 трябва да става чрез увеличение на дозата с не повече от 200 </w:t>
      </w:r>
      <w:r w:rsidRPr="00F36424">
        <w:rPr>
          <w:rFonts w:eastAsia="Times New Roman" w:cs="Arial"/>
          <w:color w:val="000000"/>
          <w:lang w:val="en-US"/>
        </w:rPr>
        <w:t>mg</w:t>
      </w:r>
      <w:r w:rsidRPr="00F36424">
        <w:rPr>
          <w:rFonts w:eastAsia="Times New Roman" w:cs="Arial"/>
          <w:color w:val="000000"/>
          <w:lang w:eastAsia="bg-BG"/>
        </w:rPr>
        <w:t>/ден.</w:t>
      </w:r>
    </w:p>
    <w:p w14:paraId="247A016F" w14:textId="77777777" w:rsidR="00F36424" w:rsidRPr="00F36424" w:rsidRDefault="00F36424" w:rsidP="00F36424">
      <w:pPr>
        <w:spacing w:line="240" w:lineRule="auto"/>
        <w:rPr>
          <w:rFonts w:eastAsia="Times New Roman" w:cs="Arial"/>
          <w:color w:val="000000"/>
          <w:lang w:eastAsia="bg-BG"/>
        </w:rPr>
      </w:pPr>
    </w:p>
    <w:p w14:paraId="386C3640" w14:textId="24567959"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Дозата може да се коригира в зависимост от клиничния отговор и поносимостта на отделния пациент в рамките на 200 до 800 </w:t>
      </w:r>
      <w:r w:rsidRPr="00F36424">
        <w:rPr>
          <w:rFonts w:eastAsia="Times New Roman" w:cs="Arial"/>
          <w:color w:val="000000"/>
          <w:lang w:val="en-US"/>
        </w:rPr>
        <w:t>mg</w:t>
      </w:r>
      <w:r w:rsidRPr="00F36424">
        <w:rPr>
          <w:rFonts w:eastAsia="Times New Roman" w:cs="Arial"/>
          <w:color w:val="000000"/>
          <w:lang w:eastAsia="bg-BG"/>
        </w:rPr>
        <w:t xml:space="preserve">/ден. Обичайната ефективна доза е в границите от 400 до 800 </w:t>
      </w:r>
      <w:r w:rsidRPr="00F36424">
        <w:rPr>
          <w:rFonts w:eastAsia="Times New Roman" w:cs="Arial"/>
          <w:color w:val="000000"/>
          <w:lang w:val="en-US"/>
        </w:rPr>
        <w:t>mg</w:t>
      </w:r>
      <w:r w:rsidRPr="00F36424">
        <w:rPr>
          <w:rFonts w:eastAsia="Times New Roman" w:cs="Arial"/>
          <w:color w:val="000000"/>
          <w:lang w:eastAsia="bg-BG"/>
        </w:rPr>
        <w:t>/ден.</w:t>
      </w:r>
    </w:p>
    <w:p w14:paraId="3D2089E2" w14:textId="77777777" w:rsidR="00F36424" w:rsidRPr="00F36424" w:rsidRDefault="00F36424" w:rsidP="00F36424">
      <w:pPr>
        <w:spacing w:line="240" w:lineRule="auto"/>
        <w:rPr>
          <w:rFonts w:eastAsia="Times New Roman" w:cs="Arial"/>
          <w:b/>
          <w:bCs/>
          <w:color w:val="000000"/>
          <w:lang w:eastAsia="bg-BG"/>
        </w:rPr>
      </w:pPr>
    </w:p>
    <w:p w14:paraId="2A69F8B0" w14:textId="477A6279"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За лечение на големи депресивни епизоди при биполярно разстройство</w:t>
      </w:r>
    </w:p>
    <w:p w14:paraId="3E763DB2"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Кветиапин таблетки трябва да се приемат веднъж дневно преди лягане. Общата дневна доза за първите четири дни от лечението е 50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1), 100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2), 200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3) и 300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(ден 4). Препоръчителната дневна доза е 300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В клинични изпитвания не е наблюдавана допълнителна полза в групата с 600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в сравнение с групата с 300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(вж. точка 5.1). Отделни пациенти може да имат полза от 600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доза. Лечението с дози, по-високи от 300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трябва да се провежда от лекар с опит в лечението на биполярно разстройство. Клиничните изпитвания са показали, че при отделни пациенти, в случай на проблеми с поносимостта, може да се </w:t>
      </w:r>
      <w:r w:rsidRPr="00F36424">
        <w:rPr>
          <w:rFonts w:eastAsia="Times New Roman" w:cs="Arial"/>
          <w:b/>
          <w:bCs/>
          <w:i/>
          <w:iCs/>
          <w:color w:val="000000"/>
          <w:lang w:eastAsia="bg-BG"/>
        </w:rPr>
        <w:t>обмисли намаляване</w:t>
      </w:r>
      <w:r w:rsidRPr="00F36424">
        <w:rPr>
          <w:rFonts w:eastAsia="Times New Roman" w:cs="Arial"/>
          <w:color w:val="000000"/>
          <w:lang w:eastAsia="bg-BG"/>
        </w:rPr>
        <w:t xml:space="preserve"> на дозата до минимум 200 </w:t>
      </w:r>
      <w:r w:rsidRPr="00F36424">
        <w:rPr>
          <w:rFonts w:eastAsia="Times New Roman" w:cs="Arial"/>
          <w:color w:val="000000"/>
          <w:lang w:val="en-US"/>
        </w:rPr>
        <w:t>mg</w:t>
      </w:r>
      <w:r w:rsidRPr="00F36424">
        <w:rPr>
          <w:rFonts w:eastAsia="Times New Roman" w:cs="Arial"/>
          <w:color w:val="000000"/>
          <w:lang w:val="ru-RU"/>
        </w:rPr>
        <w:t>.</w:t>
      </w:r>
    </w:p>
    <w:p w14:paraId="45CDEA93" w14:textId="77777777" w:rsidR="00F36424" w:rsidRPr="00F36424" w:rsidRDefault="00F36424" w:rsidP="00F36424">
      <w:pPr>
        <w:spacing w:line="240" w:lineRule="auto"/>
        <w:rPr>
          <w:rFonts w:eastAsia="Times New Roman" w:cs="Arial"/>
          <w:b/>
          <w:bCs/>
          <w:color w:val="000000"/>
          <w:lang w:eastAsia="bg-BG"/>
        </w:rPr>
      </w:pPr>
    </w:p>
    <w:p w14:paraId="5929B39F" w14:textId="7795B857"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За предотвратяване на рецидиви при биполярно разстройство</w:t>
      </w:r>
    </w:p>
    <w:p w14:paraId="2FDCD26C"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За предотвратяване на манийни, смесени или депресивни епизоди при биполярно разстройство, пациентите, които са отговорили на лечението с кветиапин за остро биполярно разстройство, трябва да продължат лечението със същата доза. Дозата може да се коригира в зависимост от клиничния отговор и поносимост на всеки пациент в рамките на 300 до 800 </w:t>
      </w:r>
      <w:r w:rsidRPr="00F36424">
        <w:rPr>
          <w:rFonts w:eastAsia="Times New Roman" w:cs="Arial"/>
          <w:color w:val="000000"/>
          <w:lang w:val="en-US"/>
        </w:rPr>
        <w:t>mg</w:t>
      </w:r>
      <w:r w:rsidRPr="00F36424">
        <w:rPr>
          <w:rFonts w:eastAsia="Times New Roman" w:cs="Arial"/>
          <w:color w:val="000000"/>
          <w:lang w:eastAsia="bg-BG"/>
        </w:rPr>
        <w:t>/ден, разпределена два пъти дневно. Важно е най-ниската ефективна доза да се използва за поддържаща терапия.</w:t>
      </w:r>
    </w:p>
    <w:p w14:paraId="0ED0109D" w14:textId="77777777" w:rsidR="00F36424" w:rsidRPr="00F36424" w:rsidRDefault="00F36424" w:rsidP="00F36424">
      <w:pPr>
        <w:spacing w:line="240" w:lineRule="auto"/>
        <w:rPr>
          <w:rFonts w:eastAsia="Times New Roman" w:cs="Arial"/>
          <w:b/>
          <w:bCs/>
          <w:i/>
          <w:iCs/>
          <w:color w:val="000000"/>
          <w:lang w:eastAsia="bg-BG"/>
        </w:rPr>
      </w:pPr>
      <w:bookmarkStart w:id="1" w:name="bookmark0"/>
    </w:p>
    <w:p w14:paraId="45815625" w14:textId="07ACE4BE"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Пациенти е старческа възраст</w:t>
      </w:r>
      <w:bookmarkEnd w:id="1"/>
    </w:p>
    <w:p w14:paraId="04265FDF" w14:textId="77777777" w:rsidR="00F36424" w:rsidRPr="00F36424" w:rsidRDefault="00F36424" w:rsidP="00F36424">
      <w:pPr>
        <w:spacing w:line="240" w:lineRule="auto"/>
        <w:rPr>
          <w:rFonts w:eastAsia="Times New Roman" w:cs="Arial"/>
          <w:color w:val="000000"/>
          <w:lang w:eastAsia="bg-BG"/>
        </w:rPr>
      </w:pPr>
    </w:p>
    <w:p w14:paraId="0DD2AC46" w14:textId="5F1A045D" w:rsidR="00F36424" w:rsidRPr="00F36424" w:rsidRDefault="00F36424" w:rsidP="00F36424">
      <w:pPr>
        <w:spacing w:line="240" w:lineRule="auto"/>
        <w:rPr>
          <w:rFonts w:eastAsia="Times New Roman" w:cs="Arial"/>
        </w:rPr>
      </w:pPr>
      <w:r w:rsidRPr="00F36424">
        <w:rPr>
          <w:rFonts w:eastAsia="Times New Roman" w:cs="Arial"/>
          <w:color w:val="000000"/>
          <w:lang w:eastAsia="bg-BG"/>
        </w:rPr>
        <w:t>Като при другите антипсихотици, кветиапин таблетки трябва да се прилагат с внимание при пациенти в старческа възраст, особено в началния период на дозиране. Може да е необходимо дозата да се титрира по-бавно, а дневната терапевтична доза да е по-ниска, отколкото при по-млади пациенти, в зависимост от клиничния отговор и поносимост на индивидуалния пациент. Средният плазмен клирънс на кветиапин е редуциран с 30- 50% при лица в старческа възраст в сравнение с по-млади пациенти.</w:t>
      </w:r>
    </w:p>
    <w:p w14:paraId="496D1788" w14:textId="77777777" w:rsidR="00F36424" w:rsidRPr="00F36424" w:rsidRDefault="00F36424" w:rsidP="00F36424">
      <w:pPr>
        <w:spacing w:line="240" w:lineRule="auto"/>
        <w:rPr>
          <w:rFonts w:eastAsia="Times New Roman" w:cs="Arial"/>
          <w:color w:val="000000"/>
          <w:lang w:eastAsia="bg-BG"/>
        </w:rPr>
      </w:pPr>
    </w:p>
    <w:p w14:paraId="6627C34F" w14:textId="4F3899B2" w:rsidR="00F36424" w:rsidRPr="00F36424" w:rsidRDefault="00F36424" w:rsidP="00F36424">
      <w:pPr>
        <w:spacing w:line="240" w:lineRule="auto"/>
        <w:rPr>
          <w:rFonts w:eastAsia="Times New Roman" w:cs="Arial"/>
        </w:rPr>
      </w:pPr>
      <w:r w:rsidRPr="00F36424">
        <w:rPr>
          <w:rFonts w:eastAsia="Times New Roman" w:cs="Arial"/>
          <w:color w:val="000000"/>
          <w:lang w:eastAsia="bg-BG"/>
        </w:rPr>
        <w:t>Ефикасността и безопасността не са проучени при пациенти над 65 години с депресивни епизоди, свързани с биполярното разстройство</w:t>
      </w:r>
    </w:p>
    <w:p w14:paraId="3F7875F4" w14:textId="77777777" w:rsidR="00F36424" w:rsidRPr="00F36424" w:rsidRDefault="00F36424" w:rsidP="00F36424">
      <w:pPr>
        <w:spacing w:line="240" w:lineRule="auto"/>
        <w:rPr>
          <w:rFonts w:eastAsia="Times New Roman" w:cs="Arial"/>
          <w:b/>
          <w:bCs/>
          <w:i/>
          <w:iCs/>
          <w:color w:val="000000"/>
          <w:lang w:eastAsia="bg-BG"/>
        </w:rPr>
      </w:pPr>
      <w:bookmarkStart w:id="2" w:name="bookmark2"/>
    </w:p>
    <w:p w14:paraId="1E7C8B49" w14:textId="792C9C63"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Педиатрична популация</w:t>
      </w:r>
      <w:bookmarkEnd w:id="2"/>
    </w:p>
    <w:p w14:paraId="61CC1375" w14:textId="77777777" w:rsidR="00F36424" w:rsidRPr="00F36424" w:rsidRDefault="00F36424" w:rsidP="00F36424">
      <w:pPr>
        <w:spacing w:line="240" w:lineRule="auto"/>
        <w:rPr>
          <w:rFonts w:eastAsia="Times New Roman" w:cs="Arial"/>
          <w:color w:val="000000"/>
          <w:lang w:eastAsia="bg-BG"/>
        </w:rPr>
      </w:pPr>
    </w:p>
    <w:p w14:paraId="2AF84457" w14:textId="0B51F260" w:rsidR="00F36424" w:rsidRPr="00F36424" w:rsidRDefault="00F36424" w:rsidP="00F36424">
      <w:pPr>
        <w:spacing w:line="240" w:lineRule="auto"/>
        <w:rPr>
          <w:rFonts w:eastAsia="Times New Roman" w:cs="Arial"/>
        </w:rPr>
      </w:pPr>
      <w:r w:rsidRPr="00F36424">
        <w:rPr>
          <w:rFonts w:eastAsia="Times New Roman" w:cs="Arial"/>
          <w:color w:val="000000"/>
          <w:lang w:eastAsia="bg-BG"/>
        </w:rPr>
        <w:t>Кветиапин таблетки не се препоръчват за употреба при деца и юноши под 18 години, поради липсата на данни в подкрепа на използването в тази възрастова група. Наличните данни от контролирани с плацебо клинични изпитвания са представени в точки 4,4, 4.8, 5.1 и 5.2.</w:t>
      </w:r>
    </w:p>
    <w:p w14:paraId="6C830577" w14:textId="77777777" w:rsidR="00F36424" w:rsidRPr="00F36424" w:rsidRDefault="00F36424" w:rsidP="00F36424">
      <w:pPr>
        <w:spacing w:line="240" w:lineRule="auto"/>
        <w:rPr>
          <w:rFonts w:eastAsia="Times New Roman" w:cs="Arial"/>
          <w:b/>
          <w:bCs/>
          <w:i/>
          <w:iCs/>
          <w:color w:val="000000"/>
          <w:lang w:eastAsia="bg-BG"/>
        </w:rPr>
      </w:pPr>
      <w:bookmarkStart w:id="3" w:name="bookmark4"/>
    </w:p>
    <w:p w14:paraId="116288C3" w14:textId="4E7B5545"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Бъбречно увреждане</w:t>
      </w:r>
      <w:bookmarkEnd w:id="3"/>
    </w:p>
    <w:p w14:paraId="2F653A2E" w14:textId="77777777" w:rsidR="00F36424" w:rsidRPr="00F36424" w:rsidRDefault="00F36424" w:rsidP="00F36424">
      <w:pPr>
        <w:spacing w:line="240" w:lineRule="auto"/>
        <w:rPr>
          <w:rFonts w:eastAsia="Times New Roman" w:cs="Arial"/>
          <w:color w:val="000000"/>
          <w:lang w:eastAsia="bg-BG"/>
        </w:rPr>
      </w:pPr>
    </w:p>
    <w:p w14:paraId="0C255B70" w14:textId="5975D38C" w:rsidR="00F36424" w:rsidRPr="00F36424" w:rsidRDefault="00F36424" w:rsidP="00F36424">
      <w:pPr>
        <w:spacing w:line="240" w:lineRule="auto"/>
        <w:rPr>
          <w:rFonts w:eastAsia="Times New Roman" w:cs="Arial"/>
          <w:color w:val="000000"/>
          <w:lang w:eastAsia="bg-BG"/>
        </w:rPr>
      </w:pPr>
      <w:r w:rsidRPr="00F36424">
        <w:rPr>
          <w:rFonts w:eastAsia="Times New Roman" w:cs="Arial"/>
          <w:color w:val="000000"/>
          <w:lang w:eastAsia="bg-BG"/>
        </w:rPr>
        <w:t>Не са необходими корекции на дозата при пациенти с бъбречно увреждане.</w:t>
      </w:r>
    </w:p>
    <w:p w14:paraId="18417DB9" w14:textId="2380F036" w:rsidR="00F36424" w:rsidRPr="00F36424" w:rsidRDefault="00F36424" w:rsidP="00F36424">
      <w:pPr>
        <w:spacing w:line="240" w:lineRule="auto"/>
        <w:rPr>
          <w:rFonts w:eastAsia="Times New Roman" w:cs="Arial"/>
          <w:color w:val="000000"/>
          <w:lang w:eastAsia="bg-BG"/>
        </w:rPr>
      </w:pPr>
    </w:p>
    <w:p w14:paraId="146E2037" w14:textId="77777777"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Чернодробно увреждане</w:t>
      </w:r>
    </w:p>
    <w:p w14:paraId="02CA8DC0" w14:textId="77777777" w:rsidR="00F36424" w:rsidRPr="00F36424" w:rsidRDefault="00F36424" w:rsidP="00F36424">
      <w:pPr>
        <w:spacing w:line="240" w:lineRule="auto"/>
        <w:rPr>
          <w:rFonts w:eastAsia="Times New Roman" w:cs="Arial"/>
          <w:color w:val="000000"/>
          <w:lang w:eastAsia="bg-BG"/>
        </w:rPr>
      </w:pPr>
    </w:p>
    <w:p w14:paraId="248BFE77" w14:textId="7EC1E29F"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Кветиапин се метаболизира значително от черния дроб. Поради това кветиапин трябва да се прилага с повишено внимание при пациенти с известно чернодробно увреждане, особено по време на началния период на дозиране. Лечението на пациенти с известно чернодробно увреждане трябва да започне с 25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 xml:space="preserve">дневно. Дозировката трябва да се повишава с 25 до 50 </w:t>
      </w:r>
      <w:r w:rsidRPr="00F36424">
        <w:rPr>
          <w:rFonts w:eastAsia="Times New Roman" w:cs="Arial"/>
          <w:color w:val="000000"/>
          <w:lang w:val="en-US"/>
        </w:rPr>
        <w:t>mg</w:t>
      </w:r>
      <w:r w:rsidRPr="00F36424">
        <w:rPr>
          <w:rFonts w:eastAsia="Times New Roman" w:cs="Arial"/>
          <w:color w:val="000000"/>
          <w:lang w:val="ru-RU"/>
        </w:rPr>
        <w:t xml:space="preserve"> </w:t>
      </w:r>
      <w:r w:rsidRPr="00F36424">
        <w:rPr>
          <w:rFonts w:eastAsia="Times New Roman" w:cs="Arial"/>
          <w:color w:val="000000"/>
          <w:lang w:eastAsia="bg-BG"/>
        </w:rPr>
        <w:t>дневно до постигане на ефективната доза, в зависимост от клиничния отговор и поносимостта при отделния пациент.</w:t>
      </w:r>
    </w:p>
    <w:p w14:paraId="20E5DFC1" w14:textId="77777777" w:rsidR="00F36424" w:rsidRPr="00F36424" w:rsidRDefault="00F36424" w:rsidP="00F36424"/>
    <w:p w14:paraId="62B13D0B" w14:textId="6F1FE4AC" w:rsidR="00395555" w:rsidRDefault="002C50EE" w:rsidP="008A6AF2">
      <w:pPr>
        <w:pStyle w:val="Heading2"/>
      </w:pPr>
      <w:r>
        <w:t>4.3. Противопоказания</w:t>
      </w:r>
    </w:p>
    <w:p w14:paraId="35947E84" w14:textId="1CC65450" w:rsidR="00F36424" w:rsidRDefault="00F36424" w:rsidP="00F36424"/>
    <w:p w14:paraId="2B4F6112" w14:textId="77777777" w:rsidR="00F36424" w:rsidRPr="00F36424" w:rsidRDefault="00F36424" w:rsidP="00F36424">
      <w:pPr>
        <w:rPr>
          <w:sz w:val="24"/>
          <w:szCs w:val="24"/>
        </w:rPr>
      </w:pPr>
      <w:r w:rsidRPr="00F36424">
        <w:rPr>
          <w:lang w:eastAsia="bg-BG"/>
        </w:rPr>
        <w:t>Свръхчувствителност към активното вещество или към някое от помощните вещества на този продукт.</w:t>
      </w:r>
    </w:p>
    <w:p w14:paraId="1F4BB9F2" w14:textId="77777777" w:rsidR="00F36424" w:rsidRPr="00F36424" w:rsidRDefault="00F36424" w:rsidP="00F36424">
      <w:pPr>
        <w:rPr>
          <w:sz w:val="24"/>
          <w:szCs w:val="24"/>
        </w:rPr>
      </w:pPr>
      <w:r w:rsidRPr="00F36424">
        <w:rPr>
          <w:lang w:eastAsia="bg-BG"/>
        </w:rPr>
        <w:t xml:space="preserve">Съпътстващото приложение на инхибитори на цитохром Р450 ЗА4, каквито са </w:t>
      </w:r>
      <w:r w:rsidRPr="00F36424">
        <w:rPr>
          <w:lang w:val="en-US"/>
        </w:rPr>
        <w:t>HIV</w:t>
      </w:r>
      <w:r w:rsidRPr="00F36424">
        <w:rPr>
          <w:lang w:val="ru-RU"/>
        </w:rPr>
        <w:t xml:space="preserve">- </w:t>
      </w:r>
      <w:r w:rsidRPr="00F36424">
        <w:rPr>
          <w:lang w:eastAsia="bg-BG"/>
        </w:rPr>
        <w:t>протеазните инхибитори, азоловите антимикотици, еритромицин, кларитромицин и нефазодон, е противопоказано (вижте точка 4.5).</w:t>
      </w:r>
    </w:p>
    <w:p w14:paraId="7F9D4A0A" w14:textId="77777777" w:rsidR="00F36424" w:rsidRPr="00F36424" w:rsidRDefault="00F36424" w:rsidP="00F36424"/>
    <w:p w14:paraId="5A4AC413" w14:textId="37293A8D" w:rsidR="00395555" w:rsidRDefault="002C50EE" w:rsidP="008A6AF2">
      <w:pPr>
        <w:pStyle w:val="Heading2"/>
      </w:pPr>
      <w:r>
        <w:t>4.4. Специални предупреждения и предпазни мерки при употреба</w:t>
      </w:r>
    </w:p>
    <w:p w14:paraId="43B8118F" w14:textId="078668BB" w:rsidR="00F36424" w:rsidRDefault="00F36424" w:rsidP="00F36424"/>
    <w:p w14:paraId="447E51E7"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Тъй като кветиапин е показан за множество индикации, при профила на безопасност трябва да се вземе предвид индивидуалната диагноза на пациента и дозите, които се прилагат.</w:t>
      </w:r>
    </w:p>
    <w:p w14:paraId="3F273146" w14:textId="77777777" w:rsidR="00F36424" w:rsidRPr="00F36424" w:rsidRDefault="00F36424" w:rsidP="00F36424">
      <w:pPr>
        <w:spacing w:line="240" w:lineRule="auto"/>
        <w:rPr>
          <w:rFonts w:eastAsia="Times New Roman" w:cs="Arial"/>
          <w:b/>
          <w:bCs/>
          <w:i/>
          <w:iCs/>
          <w:color w:val="000000"/>
          <w:lang w:eastAsia="bg-BG"/>
        </w:rPr>
      </w:pPr>
    </w:p>
    <w:p w14:paraId="3D18E6C8" w14:textId="09BD5309"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Педиатрична популация</w:t>
      </w:r>
    </w:p>
    <w:p w14:paraId="7F5A6BA8"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Кветиапин не се препоръчва за употреба от деца и юноши под 18 години, поради липсата на данни в подкрепа на приложението му в тази възрастова група. Клиничните изпитвания с кветиапин са показали, че в допълнение към известния профил за безопасност при възрастни (вж. точка 4.8), определени нежелани реакции се появяват с по-голяма честота при деца и юноши в сравнение с възрастни (повишен апетит, повишаване на серумния пролактин, повръщане, ринит и синкоп) или могат да имат различна застьпеност при деца и при възрастни (екстрапирамидни симптоми и раздразнителност), като е установена и нежелана реакция, която преди това не е наблюдавана в изпитвания при възрастни (повишение на кръвното налягане). При деца и юноши също така са наблюдавани промени в изследванията на функцията на щитовидната жлеза.</w:t>
      </w:r>
    </w:p>
    <w:p w14:paraId="7C3D8A72" w14:textId="77777777" w:rsidR="00F36424" w:rsidRPr="00F36424" w:rsidRDefault="00F36424" w:rsidP="00F36424">
      <w:pPr>
        <w:spacing w:line="240" w:lineRule="auto"/>
        <w:rPr>
          <w:rFonts w:eastAsia="Times New Roman" w:cs="Arial"/>
          <w:color w:val="000000"/>
          <w:lang w:eastAsia="bg-BG"/>
        </w:rPr>
      </w:pPr>
    </w:p>
    <w:p w14:paraId="4AE1068A" w14:textId="5D9A1C53" w:rsidR="00F36424" w:rsidRPr="00F36424" w:rsidRDefault="00F36424" w:rsidP="00F36424">
      <w:pPr>
        <w:spacing w:line="240" w:lineRule="auto"/>
        <w:rPr>
          <w:rFonts w:eastAsia="Times New Roman" w:cs="Arial"/>
        </w:rPr>
      </w:pPr>
      <w:r w:rsidRPr="00F36424">
        <w:rPr>
          <w:rFonts w:eastAsia="Times New Roman" w:cs="Arial"/>
          <w:color w:val="000000"/>
          <w:lang w:eastAsia="bg-BG"/>
        </w:rPr>
        <w:t>Освен това дългосрочните последствия от лечението с кветиапин върху растежа и съзряването не са проучвани за период, надвишаващ 26 седмици. Не са известни дългосрочните последствия върху когнитивното и поведенческото развитие.</w:t>
      </w:r>
    </w:p>
    <w:p w14:paraId="35C4B560"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lastRenderedPageBreak/>
        <w:t>При плацебо-контролирани клинични проучвания на пациенти в детска и юношеска възраст, кветиапин е свързан с повишена поява на екстрапирамидни симптоми (ЕПС) в сравнение с плацебо при пациенти, лекувани за шизофрения, биполярна мания и биполярна депресия (вж. точка 4.8).</w:t>
      </w:r>
    </w:p>
    <w:p w14:paraId="59CBA387" w14:textId="77777777" w:rsidR="00F36424" w:rsidRPr="00F36424" w:rsidRDefault="00F36424" w:rsidP="00F36424">
      <w:pPr>
        <w:spacing w:line="240" w:lineRule="auto"/>
        <w:rPr>
          <w:rFonts w:eastAsia="Times New Roman" w:cs="Arial"/>
          <w:b/>
          <w:bCs/>
          <w:i/>
          <w:iCs/>
          <w:color w:val="000000"/>
          <w:lang w:eastAsia="bg-BG"/>
        </w:rPr>
      </w:pPr>
    </w:p>
    <w:p w14:paraId="566EE42A" w14:textId="5FF51FA3"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Самоубийство/мисли за самоубийство или клинично влошаване</w:t>
      </w:r>
    </w:p>
    <w:p w14:paraId="7733F340"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Депресията при биполярното разстройство е свързана с повишен риск от мисли за самоубийство, самонараняване и самоубийство (случаи свързани със самоубийство). Рискът съществува, докато не се появи значима ремисия. През първите няколко седмици от лечението, а и след това, може да не се появи подобрение и пациентите трябва да бъдат наблюдавани отблизо, докато не се появи такова подобрение. Общият клиничен опит показва, че рискът за самоубийство може да се повиши в ранните етапи на възстановяване.</w:t>
      </w:r>
    </w:p>
    <w:p w14:paraId="5786EAB1" w14:textId="77777777" w:rsidR="00F36424" w:rsidRPr="00F36424" w:rsidRDefault="00F36424" w:rsidP="00F36424">
      <w:pPr>
        <w:rPr>
          <w:rFonts w:eastAsia="Times New Roman" w:cs="Arial"/>
          <w:color w:val="000000"/>
          <w:lang w:eastAsia="bg-BG"/>
        </w:rPr>
      </w:pPr>
    </w:p>
    <w:p w14:paraId="52390661" w14:textId="77777777" w:rsidR="00F36424" w:rsidRPr="00F36424" w:rsidRDefault="00F36424" w:rsidP="00F36424">
      <w:pPr>
        <w:rPr>
          <w:rFonts w:eastAsia="Times New Roman" w:cs="Arial"/>
        </w:rPr>
      </w:pPr>
      <w:r w:rsidRPr="00F36424">
        <w:rPr>
          <w:rFonts w:eastAsia="Times New Roman" w:cs="Arial"/>
          <w:color w:val="000000"/>
          <w:lang w:eastAsia="bg-BG"/>
        </w:rPr>
        <w:t>В допълнение, лекарите трябва да вземат предвид потенциалния риск от</w:t>
      </w:r>
      <w:r w:rsidRPr="00F36424">
        <w:rPr>
          <w:rFonts w:eastAsia="Times New Roman" w:cs="Arial"/>
          <w:color w:val="000000"/>
          <w:lang w:val="ru-RU"/>
        </w:rPr>
        <w:t xml:space="preserve"> </w:t>
      </w:r>
      <w:r w:rsidRPr="00F36424">
        <w:rPr>
          <w:rFonts w:eastAsia="Times New Roman" w:cs="Arial"/>
          <w:color w:val="000000"/>
          <w:lang w:eastAsia="bg-BG"/>
        </w:rPr>
        <w:t>суицидни събития след внезапно спиране на лечението с кветиапин, поради известни рискови</w:t>
      </w:r>
      <w:r w:rsidRPr="00F36424">
        <w:rPr>
          <w:rFonts w:eastAsia="Times New Roman" w:cs="Arial"/>
          <w:color w:val="000000"/>
          <w:lang w:val="ru-RU" w:eastAsia="bg-BG"/>
        </w:rPr>
        <w:t xml:space="preserve"> </w:t>
      </w:r>
      <w:r w:rsidRPr="00F36424">
        <w:rPr>
          <w:rFonts w:eastAsia="Times New Roman" w:cs="Arial"/>
          <w:color w:val="000000"/>
          <w:lang w:eastAsia="bg-BG"/>
        </w:rPr>
        <w:t>фактори на лекуваното заболяване. Други психични заболявания, за които се предписва кветиапин, също могат да са свързани с повишен риск от суицидни събития. Освен това, тези състояния могат да се развият като съпътстващи заболявания при тежки депресивни епизоди. Следователно, при лечение на пациенти с други психични разстройства, трябва да се вземат същите предпазни мерки, както при лечение на пациенти с тежки депресивни епизоди.</w:t>
      </w:r>
    </w:p>
    <w:p w14:paraId="65D8DBA4" w14:textId="77777777" w:rsidR="00F36424" w:rsidRPr="00F36424" w:rsidRDefault="00F36424" w:rsidP="00F36424">
      <w:pPr>
        <w:spacing w:line="240" w:lineRule="auto"/>
        <w:rPr>
          <w:rFonts w:eastAsia="Times New Roman" w:cs="Arial"/>
          <w:color w:val="000000"/>
          <w:lang w:eastAsia="bg-BG"/>
        </w:rPr>
      </w:pPr>
    </w:p>
    <w:p w14:paraId="70B69B1D" w14:textId="4E27BF0B" w:rsidR="00F36424" w:rsidRPr="00F36424" w:rsidRDefault="00F36424" w:rsidP="00F36424">
      <w:pPr>
        <w:spacing w:line="240" w:lineRule="auto"/>
        <w:rPr>
          <w:rFonts w:eastAsia="Times New Roman" w:cs="Arial"/>
        </w:rPr>
      </w:pPr>
      <w:r w:rsidRPr="00F36424">
        <w:rPr>
          <w:rFonts w:eastAsia="Times New Roman" w:cs="Arial"/>
          <w:color w:val="000000"/>
          <w:lang w:eastAsia="bg-BG"/>
        </w:rPr>
        <w:t>Известно е, че пациентите с анамнеза за суицидни събития или тези с чести суицидни мисли преди започването на лечението, са с повишен риск за суицидни мисли или опити за самоубийство, така че по време на лечението трябва да са под внимателно наблюдение. Мета-анализ на плацебо-контролирани клинични проучвания на антидепресанти при възрастни пациенти с психични разстройства показва повишен риск от суицидно поведение при пациенти на антидепресанти в сравнение с пациенти под 25 години, приемащи плацебо.</w:t>
      </w:r>
    </w:p>
    <w:p w14:paraId="7DD8EF64" w14:textId="77777777" w:rsidR="00F36424" w:rsidRPr="00F36424" w:rsidRDefault="00F36424" w:rsidP="00F36424">
      <w:pPr>
        <w:spacing w:line="240" w:lineRule="auto"/>
        <w:rPr>
          <w:rFonts w:eastAsia="Times New Roman" w:cs="Arial"/>
          <w:color w:val="000000"/>
          <w:lang w:eastAsia="bg-BG"/>
        </w:rPr>
      </w:pPr>
    </w:p>
    <w:p w14:paraId="2869AC9C" w14:textId="4B6F09D4" w:rsidR="00F36424" w:rsidRPr="00F36424" w:rsidRDefault="00F36424" w:rsidP="00F36424">
      <w:pPr>
        <w:spacing w:line="240" w:lineRule="auto"/>
        <w:rPr>
          <w:rFonts w:eastAsia="Times New Roman" w:cs="Arial"/>
        </w:rPr>
      </w:pPr>
      <w:r w:rsidRPr="00F36424">
        <w:rPr>
          <w:rFonts w:eastAsia="Times New Roman" w:cs="Arial"/>
          <w:color w:val="000000"/>
          <w:lang w:eastAsia="bg-BG"/>
        </w:rPr>
        <w:t>Медикаментозното лечение, особено в ранния етап на лечение и след промени в дозата, трябва да се провежда в условията на стриктен контрол на пациентите и особено онези, които са с повишен риск. Пациентите (и хората, които се грижат за тях) трябва да бъдат предупреждавани за необходимостта да внимават за клинично влошаване, суицидно поведение или суицидни мисли, както за необичайни промени в поведението - и незабавно да потърсят медицинска помощ при наличие на подобни симптоми.</w:t>
      </w:r>
    </w:p>
    <w:p w14:paraId="6318D5FC" w14:textId="77777777" w:rsidR="00F36424" w:rsidRPr="00F36424" w:rsidRDefault="00F36424" w:rsidP="00F36424">
      <w:pPr>
        <w:spacing w:line="240" w:lineRule="auto"/>
        <w:rPr>
          <w:rFonts w:eastAsia="Times New Roman" w:cs="Arial"/>
          <w:color w:val="000000"/>
          <w:lang w:eastAsia="bg-BG"/>
        </w:rPr>
      </w:pPr>
    </w:p>
    <w:p w14:paraId="790FA6EC" w14:textId="0664C651" w:rsidR="00F36424" w:rsidRPr="00F36424" w:rsidRDefault="00F36424" w:rsidP="00F36424">
      <w:pPr>
        <w:spacing w:line="240" w:lineRule="auto"/>
        <w:rPr>
          <w:rFonts w:eastAsia="Times New Roman" w:cs="Arial"/>
        </w:rPr>
      </w:pPr>
      <w:r w:rsidRPr="00F36424">
        <w:rPr>
          <w:rFonts w:eastAsia="Times New Roman" w:cs="Arial"/>
          <w:color w:val="000000"/>
          <w:lang w:eastAsia="bg-BG"/>
        </w:rPr>
        <w:t>В краткосрочните плацебо-контролирани клинични проучвания при пациенти с тежки депресивни епизоди на биполярно разстройство е наблюдаван повишен риск от събития, свързани със самоубийство при млади пациенти на възраст по-малко от 25 години, които са лекувани с кветиапин, в сравнение с тези, приемали плацебо (съответно 3,0% спрямо 0%). Популационно-базирано, ретроспективно проучване на кветиапин, за лечение на пациенти с тежко депресивно разстройство, показва повишен риск от самонараняване и самоубийство при пациенти на възраст от 25 до 64 години без предистория на самонараняване, при употреба на кветиапин с други антидепресанти.</w:t>
      </w:r>
    </w:p>
    <w:p w14:paraId="0FB50052" w14:textId="77777777" w:rsidR="00F36424" w:rsidRPr="00F36424" w:rsidRDefault="00F36424" w:rsidP="00F36424">
      <w:pPr>
        <w:spacing w:line="240" w:lineRule="auto"/>
        <w:rPr>
          <w:rFonts w:eastAsia="Times New Roman" w:cs="Arial"/>
          <w:b/>
          <w:bCs/>
          <w:i/>
          <w:iCs/>
          <w:color w:val="000000"/>
          <w:lang w:eastAsia="bg-BG"/>
        </w:rPr>
      </w:pPr>
    </w:p>
    <w:p w14:paraId="6883AC29" w14:textId="4AD6061A"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Метаболитен риск</w:t>
      </w:r>
    </w:p>
    <w:p w14:paraId="1E7087A0"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Поради очаквания риск от влошаване на метаболитния профил, включително промени в телесното тегло, кръвната захар (вж. „Хипергликемия”) и липидите, което е било </w:t>
      </w:r>
      <w:r w:rsidRPr="00F36424">
        <w:rPr>
          <w:rFonts w:eastAsia="Times New Roman" w:cs="Arial"/>
          <w:color w:val="000000"/>
          <w:lang w:eastAsia="bg-BG"/>
        </w:rPr>
        <w:lastRenderedPageBreak/>
        <w:t>наблюдавано в клинични проучвания, метаболитните показатели на пациентите трябва да бъдат изследвани при започване на лечението и да бъдат контролирани редовно по време на курса на лечение. Влошаването на тези показатели трябва да се коригира клинично (вж. т. 4.8).</w:t>
      </w:r>
    </w:p>
    <w:p w14:paraId="1E65D06C" w14:textId="77777777" w:rsidR="00F36424" w:rsidRPr="00F36424" w:rsidRDefault="00F36424" w:rsidP="00F36424">
      <w:pPr>
        <w:spacing w:line="240" w:lineRule="auto"/>
        <w:rPr>
          <w:rFonts w:eastAsia="Times New Roman" w:cs="Arial"/>
          <w:b/>
          <w:bCs/>
          <w:i/>
          <w:iCs/>
          <w:color w:val="000000"/>
          <w:lang w:eastAsia="bg-BG"/>
        </w:rPr>
      </w:pPr>
    </w:p>
    <w:p w14:paraId="5E0FB9B9" w14:textId="2DD9FA58"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Екстрапирамидни симптоми</w:t>
      </w:r>
    </w:p>
    <w:p w14:paraId="1C54DBAE"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В плацебо контролирани клинични проучвания на възрастни пациенти, приемът на кветиапин се свързва с повишена честота на ектрапирамидни симптоми (ЕПС) в сравнение с плацебо при пациенти лекувани за големи депресивни епизоди при биполярно разстройство и голямо депресивно разстройство (вж. точки 4.8 и 5.1).</w:t>
      </w:r>
    </w:p>
    <w:p w14:paraId="46CD2B9B" w14:textId="77777777" w:rsidR="00F36424" w:rsidRPr="00F36424" w:rsidRDefault="00F36424" w:rsidP="00F36424">
      <w:pPr>
        <w:spacing w:line="240" w:lineRule="auto"/>
        <w:rPr>
          <w:rFonts w:eastAsia="Times New Roman" w:cs="Arial"/>
          <w:color w:val="000000"/>
          <w:lang w:eastAsia="bg-BG"/>
        </w:rPr>
      </w:pPr>
    </w:p>
    <w:p w14:paraId="7E7C6425" w14:textId="6C319FD2" w:rsidR="00F36424" w:rsidRPr="00F36424" w:rsidRDefault="00F36424" w:rsidP="00F36424">
      <w:pPr>
        <w:spacing w:line="240" w:lineRule="auto"/>
        <w:rPr>
          <w:rFonts w:eastAsia="Times New Roman" w:cs="Arial"/>
        </w:rPr>
      </w:pPr>
      <w:r w:rsidRPr="00F36424">
        <w:rPr>
          <w:rFonts w:eastAsia="Times New Roman" w:cs="Arial"/>
          <w:color w:val="000000"/>
          <w:lang w:eastAsia="bg-BG"/>
        </w:rPr>
        <w:t>Приемът на кветиапин се свързва с развитие на акатизия, характеризираща се със субективно неприятно или измъчващо безпокойство и необходимост от движение, което често се съпровожда с неспособност за седене или стоене на едно място. Това е по-вероятно да се прояви през първите няколко седмици от лечението. При пациенти, които развиват тези симптоми, повишаването на дозата може да бъде опасно.</w:t>
      </w:r>
    </w:p>
    <w:p w14:paraId="77B81604" w14:textId="77777777" w:rsidR="00F36424" w:rsidRPr="00F36424" w:rsidRDefault="00F36424" w:rsidP="00F36424">
      <w:pPr>
        <w:spacing w:line="240" w:lineRule="auto"/>
        <w:rPr>
          <w:rFonts w:eastAsia="Times New Roman" w:cs="Arial"/>
          <w:b/>
          <w:bCs/>
          <w:i/>
          <w:iCs/>
          <w:color w:val="000000"/>
          <w:lang w:eastAsia="bg-BG"/>
        </w:rPr>
      </w:pPr>
    </w:p>
    <w:p w14:paraId="051AD9A7" w14:textId="42F97987"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Тардивна дискинезия</w:t>
      </w:r>
    </w:p>
    <w:p w14:paraId="650F7DE7" w14:textId="77777777" w:rsidR="00F36424" w:rsidRPr="00F36424" w:rsidRDefault="00F36424" w:rsidP="00F36424">
      <w:pPr>
        <w:rPr>
          <w:rFonts w:eastAsia="Times New Roman" w:cs="Arial"/>
        </w:rPr>
      </w:pPr>
      <w:r w:rsidRPr="00F36424">
        <w:rPr>
          <w:rFonts w:eastAsia="Times New Roman" w:cs="Arial"/>
          <w:color w:val="000000"/>
          <w:lang w:eastAsia="bg-BG"/>
        </w:rPr>
        <w:t>Ако се появят признаци или симптоми на тардивна дискинезия, трябва да се обмисли намаляване на дозата или прекратяване на приема на кветиапин. Симптомите на</w:t>
      </w:r>
      <w:r w:rsidRPr="00F36424">
        <w:rPr>
          <w:rFonts w:eastAsia="Times New Roman" w:cs="Arial"/>
          <w:color w:val="000000"/>
          <w:lang w:val="ru-RU" w:eastAsia="bg-BG"/>
        </w:rPr>
        <w:t xml:space="preserve"> </w:t>
      </w:r>
      <w:r w:rsidRPr="00F36424">
        <w:rPr>
          <w:rFonts w:eastAsia="Times New Roman" w:cs="Arial"/>
          <w:color w:val="000000"/>
          <w:lang w:eastAsia="bg-BG"/>
        </w:rPr>
        <w:t>тардивна дискинезия могат да се влошат или дори да се засилят след прекратяване на лечението (вж. точка 4.8).</w:t>
      </w:r>
    </w:p>
    <w:p w14:paraId="7C7DC837" w14:textId="77777777" w:rsidR="00F36424" w:rsidRPr="00F36424" w:rsidRDefault="00F36424" w:rsidP="00F36424">
      <w:pPr>
        <w:spacing w:line="240" w:lineRule="auto"/>
        <w:rPr>
          <w:rFonts w:eastAsia="Times New Roman" w:cs="Arial"/>
          <w:b/>
          <w:bCs/>
          <w:i/>
          <w:iCs/>
          <w:color w:val="000000"/>
          <w:lang w:eastAsia="bg-BG"/>
        </w:rPr>
      </w:pPr>
    </w:p>
    <w:p w14:paraId="1E5DE388" w14:textId="20266858"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Сомнолентност и замаяност</w:t>
      </w:r>
    </w:p>
    <w:p w14:paraId="12EE9F5E"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Лечението с кветиапин е свързано със сомнолентност и свързани симптоми, като седация (вж. точка 4.8). В клинични проучвания за лечение на пациенти с биполярна депресия, те са се появявали обикновено през първите 3 дни от лечението и са били предимно леки до умерено тежки. Пациентите с биполярна депресия, които изпитват тежка сомнолентност може да имат нужда от по-чести прегледи за минимум 2 седмици от появата на сомнолентността, докато симптомите се подобрят, като може да се обмисли прекратяване на лечението.</w:t>
      </w:r>
    </w:p>
    <w:p w14:paraId="67BEDCB8" w14:textId="77777777" w:rsidR="00F36424" w:rsidRPr="00F36424" w:rsidRDefault="00F36424" w:rsidP="00F36424">
      <w:pPr>
        <w:spacing w:line="240" w:lineRule="auto"/>
        <w:rPr>
          <w:rFonts w:eastAsia="Times New Roman" w:cs="Arial"/>
          <w:b/>
          <w:bCs/>
          <w:i/>
          <w:iCs/>
          <w:color w:val="000000"/>
          <w:lang w:eastAsia="bg-BG"/>
        </w:rPr>
      </w:pPr>
    </w:p>
    <w:p w14:paraId="67648D26" w14:textId="3BB34730"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Ортостатична хипотония</w:t>
      </w:r>
    </w:p>
    <w:p w14:paraId="1787C6E5"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Лечението с кветиапин е свързано с ортостатична хипотония и свързана с нея замаяност (вж. точка 4.8), като, подобно на сомнолентността, и те обикновено се развиват през началния период на титриране на дозата. Това може да увеличи честотата на инцидентни травми (падания), особено в популацията на пациентите в старческа възраст. Следователно пациентите трябва да бъдат съветвани да внимават, докато не свикнат с потенциалните ефекти на лекарството.</w:t>
      </w:r>
    </w:p>
    <w:p w14:paraId="69C0298B" w14:textId="77777777" w:rsidR="00F36424" w:rsidRPr="00F36424" w:rsidRDefault="00F36424" w:rsidP="00F36424">
      <w:pPr>
        <w:spacing w:line="240" w:lineRule="auto"/>
        <w:rPr>
          <w:rFonts w:eastAsia="Times New Roman" w:cs="Arial"/>
          <w:color w:val="000000"/>
          <w:lang w:eastAsia="bg-BG"/>
        </w:rPr>
      </w:pPr>
    </w:p>
    <w:p w14:paraId="4EE5FBBC" w14:textId="0076D46E" w:rsidR="00F36424" w:rsidRPr="00F36424" w:rsidRDefault="00F36424" w:rsidP="00F36424">
      <w:pPr>
        <w:spacing w:line="240" w:lineRule="auto"/>
        <w:rPr>
          <w:rFonts w:eastAsia="Times New Roman" w:cs="Arial"/>
        </w:rPr>
      </w:pPr>
      <w:r w:rsidRPr="00F36424">
        <w:rPr>
          <w:rFonts w:eastAsia="Times New Roman" w:cs="Arial"/>
          <w:color w:val="000000"/>
          <w:lang w:eastAsia="bg-BG"/>
        </w:rPr>
        <w:t>Кветиапин таблетки трябва да се прилагат с повишено внимание при пациенти с известно сърдечно-съдово заболяване, мозъчно-съдова болест или други състояния, предразполагащи към хипотония. Трябва да се прецени нуждата от намаляване на дозата или постепенно титриране на дозата, ако се появи ортостатична хипотония, особено при пациенти с подлежащо сърдечно-съдово заболяване.</w:t>
      </w:r>
    </w:p>
    <w:p w14:paraId="77F811B4" w14:textId="77777777" w:rsidR="00F36424" w:rsidRPr="00F36424" w:rsidRDefault="00F36424" w:rsidP="00F36424">
      <w:pPr>
        <w:spacing w:line="240" w:lineRule="auto"/>
        <w:rPr>
          <w:rFonts w:eastAsia="Times New Roman" w:cs="Arial"/>
          <w:b/>
          <w:bCs/>
          <w:i/>
          <w:iCs/>
          <w:color w:val="000000"/>
          <w:lang w:eastAsia="bg-BG"/>
        </w:rPr>
      </w:pPr>
    </w:p>
    <w:p w14:paraId="67F72C24" w14:textId="0C06B26F"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Синдром на сънна апнея</w:t>
      </w:r>
    </w:p>
    <w:p w14:paraId="106560E9"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Докладвани са случаи на синдром на сънна апнея при пациенти, които приемат кветиапин. При пациенти, които получават в същото време депресанти на централната нервна система и които имат анамнеза за или са изложени на риск от сънна апнея, </w:t>
      </w:r>
      <w:r w:rsidRPr="00F36424">
        <w:rPr>
          <w:rFonts w:eastAsia="Times New Roman" w:cs="Arial"/>
          <w:color w:val="000000"/>
          <w:lang w:eastAsia="bg-BG"/>
        </w:rPr>
        <w:lastRenderedPageBreak/>
        <w:t>особено ако са с наднормено тегло/затлъстяване или са от мъжки пол, кветиапин трябва да се използва с повишено внимание.</w:t>
      </w:r>
    </w:p>
    <w:p w14:paraId="6E1699C6" w14:textId="77777777" w:rsidR="00F36424" w:rsidRPr="00F36424" w:rsidRDefault="00F36424" w:rsidP="00F36424">
      <w:pPr>
        <w:spacing w:line="240" w:lineRule="auto"/>
        <w:rPr>
          <w:rFonts w:eastAsia="Times New Roman" w:cs="Arial"/>
          <w:b/>
          <w:bCs/>
          <w:i/>
          <w:iCs/>
          <w:color w:val="000000"/>
          <w:lang w:eastAsia="bg-BG"/>
        </w:rPr>
      </w:pPr>
      <w:bookmarkStart w:id="4" w:name="bookmark6"/>
    </w:p>
    <w:p w14:paraId="1C43797A" w14:textId="02CC2E3D"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Припадъци</w:t>
      </w:r>
      <w:bookmarkEnd w:id="4"/>
    </w:p>
    <w:p w14:paraId="639804F3"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При контролираните клинични проучвания не е имало разлика в честотата на поява на гърчове между пациентите, лекувани с кветиапин или плацебо. Както и при другите антипсихотични средства, препоръчва се повишено внимание при лечение на пациентите с анамнеза за припадъци (вж. точка 4.8).</w:t>
      </w:r>
    </w:p>
    <w:p w14:paraId="10473239" w14:textId="77777777" w:rsidR="00F36424" w:rsidRPr="00F36424" w:rsidRDefault="00F36424" w:rsidP="00F36424">
      <w:pPr>
        <w:spacing w:line="240" w:lineRule="auto"/>
        <w:rPr>
          <w:rFonts w:eastAsia="Times New Roman" w:cs="Arial"/>
          <w:b/>
          <w:bCs/>
          <w:i/>
          <w:iCs/>
          <w:color w:val="000000"/>
          <w:lang w:eastAsia="bg-BG"/>
        </w:rPr>
      </w:pPr>
      <w:bookmarkStart w:id="5" w:name="bookmark8"/>
    </w:p>
    <w:p w14:paraId="5A02D0FE" w14:textId="741622EF"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Невролептичен малигнен синдром</w:t>
      </w:r>
      <w:bookmarkEnd w:id="5"/>
    </w:p>
    <w:p w14:paraId="39187DA3"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Невролептичният малигнен синдром се свързва с лечението с антипсихотични лекарства, включително кветиапин (вж. точка 4.8). Клиничните прояви включват хипертермия, променен психичен статус, мускулна ригидност, вегетативна нестабилност и повишена креатинфосфокиназа. В такъв случай приемът на кветиапин трябва да се преустанови и да се започне подходящо лечение.</w:t>
      </w:r>
    </w:p>
    <w:p w14:paraId="401D15BF" w14:textId="77777777" w:rsidR="00F36424" w:rsidRPr="00F36424" w:rsidRDefault="00F36424" w:rsidP="00F36424">
      <w:pPr>
        <w:spacing w:line="240" w:lineRule="auto"/>
        <w:rPr>
          <w:rFonts w:eastAsia="Times New Roman" w:cs="Arial"/>
          <w:b/>
          <w:bCs/>
          <w:i/>
          <w:iCs/>
          <w:color w:val="000000"/>
          <w:lang w:eastAsia="bg-BG"/>
        </w:rPr>
      </w:pPr>
      <w:bookmarkStart w:id="6" w:name="bookmark10"/>
    </w:p>
    <w:p w14:paraId="7B989620" w14:textId="165E70E1"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Тежка неутропения и агранулоцитоза</w:t>
      </w:r>
      <w:bookmarkEnd w:id="6"/>
    </w:p>
    <w:p w14:paraId="7F5EF59D" w14:textId="77777777" w:rsidR="00F36424" w:rsidRPr="00F36424" w:rsidRDefault="00F36424" w:rsidP="00F36424">
      <w:pPr>
        <w:rPr>
          <w:rFonts w:eastAsia="Times New Roman" w:cs="Arial"/>
        </w:rPr>
      </w:pPr>
      <w:r w:rsidRPr="00F36424">
        <w:rPr>
          <w:rFonts w:eastAsia="Times New Roman" w:cs="Arial"/>
          <w:color w:val="000000"/>
          <w:lang w:eastAsia="bg-BG"/>
        </w:rPr>
        <w:t>При клинични проучвания с кветиапин има съобщения за тежка неутропения (неутрофилен брой &lt;0,5 X 10</w:t>
      </w:r>
      <w:r w:rsidRPr="00F36424">
        <w:rPr>
          <w:rFonts w:eastAsia="Times New Roman" w:cs="Arial"/>
          <w:color w:val="000000"/>
          <w:vertAlign w:val="superscript"/>
          <w:lang w:eastAsia="bg-BG"/>
        </w:rPr>
        <w:t>9</w:t>
      </w:r>
      <w:r w:rsidRPr="00F36424">
        <w:rPr>
          <w:rFonts w:eastAsia="Times New Roman" w:cs="Arial"/>
          <w:color w:val="000000"/>
          <w:lang w:eastAsia="bg-BG"/>
        </w:rPr>
        <w:t>/1). Повечето случаи на тежка неутропения са наблюдавани в рамките на няколко месеца след започване на терапията с кветиапин. Няма явна зависимост от дозата. Постмаркетинговият опит сочи, че някои случаи са били фатални. Възможните рискови фактори за неутропенията включват предшестващ малък брой бели кръвни клетки и анамнеза за лекарствено индуцирана неутропения. Въпреки това, някои случаи са наблюдавани при пациенти без предшестващи рискови: фактори. Приемът на кветиапин трябва да се преустанови при пациенти с брой на неутрофилите &lt;1,0 X 10</w:t>
      </w:r>
      <w:r w:rsidRPr="00F36424">
        <w:rPr>
          <w:rFonts w:eastAsia="Times New Roman" w:cs="Arial"/>
          <w:color w:val="000000"/>
          <w:vertAlign w:val="superscript"/>
          <w:lang w:eastAsia="bg-BG"/>
        </w:rPr>
        <w:t>9</w:t>
      </w:r>
      <w:r w:rsidRPr="00F36424">
        <w:rPr>
          <w:rFonts w:eastAsia="Times New Roman" w:cs="Arial"/>
          <w:color w:val="000000"/>
          <w:lang w:eastAsia="bg-BG"/>
        </w:rPr>
        <w:t>/1. Пациентите трябва да се наблюдават за признаци и</w:t>
      </w:r>
      <w:r w:rsidRPr="00F36424">
        <w:rPr>
          <w:rFonts w:eastAsia="Times New Roman" w:cs="Arial"/>
          <w:color w:val="000000"/>
          <w:lang w:val="ru-RU" w:eastAsia="bg-BG"/>
        </w:rPr>
        <w:t xml:space="preserve"> </w:t>
      </w:r>
      <w:r w:rsidRPr="00F36424">
        <w:rPr>
          <w:rFonts w:eastAsia="Times New Roman" w:cs="Arial"/>
          <w:color w:val="000000"/>
          <w:lang w:eastAsia="bg-BG"/>
        </w:rPr>
        <w:t>симптоми на инфекция, а броят на неутрофилите да се следи (до нарастване над 1,5 X 10</w:t>
      </w:r>
      <w:r w:rsidRPr="00F36424">
        <w:rPr>
          <w:rFonts w:eastAsia="Times New Roman" w:cs="Arial"/>
          <w:color w:val="000000"/>
          <w:vertAlign w:val="superscript"/>
          <w:lang w:eastAsia="bg-BG"/>
        </w:rPr>
        <w:t>9</w:t>
      </w:r>
      <w:r w:rsidRPr="00F36424">
        <w:rPr>
          <w:rFonts w:eastAsia="Times New Roman" w:cs="Arial"/>
          <w:color w:val="000000"/>
          <w:lang w:eastAsia="bg-BG"/>
        </w:rPr>
        <w:t>/1 (вж. точка 5.1).</w:t>
      </w:r>
    </w:p>
    <w:p w14:paraId="7E5DCE8E" w14:textId="77777777" w:rsidR="00F36424" w:rsidRPr="00F36424" w:rsidRDefault="00F36424" w:rsidP="00F36424">
      <w:pPr>
        <w:spacing w:line="240" w:lineRule="auto"/>
        <w:rPr>
          <w:rFonts w:eastAsia="Times New Roman" w:cs="Arial"/>
          <w:color w:val="000000"/>
          <w:lang w:eastAsia="bg-BG"/>
        </w:rPr>
      </w:pPr>
    </w:p>
    <w:p w14:paraId="790195DF" w14:textId="5A4AB064" w:rsidR="00F36424" w:rsidRPr="00F36424" w:rsidRDefault="00F36424" w:rsidP="00F36424">
      <w:pPr>
        <w:spacing w:line="240" w:lineRule="auto"/>
        <w:rPr>
          <w:rFonts w:eastAsia="Times New Roman" w:cs="Arial"/>
        </w:rPr>
      </w:pPr>
      <w:r w:rsidRPr="00F36424">
        <w:rPr>
          <w:rFonts w:eastAsia="Times New Roman" w:cs="Arial"/>
          <w:color w:val="000000"/>
          <w:lang w:eastAsia="bg-BG"/>
        </w:rPr>
        <w:t>При пациенти с инфекция или повишена температура трябва да се има предвид неутропения, особено в отсъствие на очевидни предразполагащи фактори, и трябва да бъде овладяна с клинично подходящи средства.</w:t>
      </w:r>
    </w:p>
    <w:p w14:paraId="38A6378A" w14:textId="77777777" w:rsidR="00F36424" w:rsidRPr="00F36424" w:rsidRDefault="00F36424" w:rsidP="00F36424">
      <w:pPr>
        <w:spacing w:line="240" w:lineRule="auto"/>
        <w:rPr>
          <w:rFonts w:eastAsia="Times New Roman" w:cs="Arial"/>
          <w:color w:val="000000"/>
          <w:lang w:eastAsia="bg-BG"/>
        </w:rPr>
      </w:pPr>
    </w:p>
    <w:p w14:paraId="4CDF865F" w14:textId="6FCA22CE"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Пациентите трябва да бъдат посъветвани да съобщават незабавно при появата на признаци/симптоми типични за агранулоцитоза или инфекция (напр. повишена температура, слабост, летаргия или възпалено гърло) по всяко време на лечение с кветиапин. При такива пациенти трябва да се прави навременно преброяване на белите кръвни клетки и абсолютен брой на неутрофилите </w:t>
      </w:r>
      <w:r w:rsidRPr="00F36424">
        <w:rPr>
          <w:rFonts w:eastAsia="Times New Roman" w:cs="Arial"/>
          <w:color w:val="000000"/>
          <w:lang w:val="ru-RU"/>
        </w:rPr>
        <w:t>(</w:t>
      </w:r>
      <w:r w:rsidRPr="00F36424">
        <w:rPr>
          <w:rFonts w:eastAsia="Times New Roman" w:cs="Arial"/>
          <w:color w:val="000000"/>
          <w:lang w:val="en-US"/>
        </w:rPr>
        <w:t>ACN</w:t>
      </w:r>
      <w:r w:rsidRPr="00F36424">
        <w:rPr>
          <w:rFonts w:eastAsia="Times New Roman" w:cs="Arial"/>
          <w:color w:val="000000"/>
          <w:lang w:val="ru-RU"/>
        </w:rPr>
        <w:t xml:space="preserve">), </w:t>
      </w:r>
      <w:r w:rsidRPr="00F36424">
        <w:rPr>
          <w:rFonts w:eastAsia="Times New Roman" w:cs="Arial"/>
          <w:color w:val="000000"/>
          <w:lang w:eastAsia="bg-BG"/>
        </w:rPr>
        <w:t>особено при отсъствие на преразполагащи фактори.</w:t>
      </w:r>
    </w:p>
    <w:p w14:paraId="2B6C51C9" w14:textId="77777777" w:rsidR="00F36424" w:rsidRPr="00F36424" w:rsidRDefault="00F36424" w:rsidP="00F36424">
      <w:pPr>
        <w:spacing w:line="240" w:lineRule="auto"/>
        <w:rPr>
          <w:rFonts w:eastAsia="Times New Roman" w:cs="Arial"/>
          <w:b/>
          <w:bCs/>
          <w:i/>
          <w:iCs/>
          <w:color w:val="000000"/>
          <w:lang w:eastAsia="bg-BG"/>
        </w:rPr>
      </w:pPr>
    </w:p>
    <w:p w14:paraId="3632B5D1" w14:textId="5BAD88F7"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Антихолинергични (мускаринови) ефекти</w:t>
      </w:r>
    </w:p>
    <w:p w14:paraId="5275DB75"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Норкветиапин, активен метаболит на кветиапин, има умерен до силен афинитет за някои мускаринови рецепторни субтипове. Това допринася за НЛР засягащи антихолинергичните ефекти, когато кветиапин се използва в препоръчителните дози, когато се използва едновременно с други лекарства, притежаващи антихолинергични ефекти, както и при предозиране.Кветиапин трябва да се използва с повишено внимание от пациенти, които приемат терапия с антихолинергични (мускаринови) ефекти. Кветиапин трябва да се използва с повишено внимание при пациенти с настояща диагноза или предишна анамнеза за ретенция на урината, клинично значима хипертрофия на простатата, обструкция на червата или свързани състояния, повишено вътреочно налягане или тясноъгълна глаукома (вж. точки 4.5, 4.8, 5.1 и 4.9).</w:t>
      </w:r>
    </w:p>
    <w:p w14:paraId="55F762AF" w14:textId="77777777" w:rsidR="00F36424" w:rsidRPr="00F36424" w:rsidRDefault="00F36424" w:rsidP="00F36424">
      <w:pPr>
        <w:spacing w:line="240" w:lineRule="auto"/>
        <w:rPr>
          <w:rFonts w:eastAsia="Times New Roman" w:cs="Arial"/>
          <w:b/>
          <w:bCs/>
          <w:i/>
          <w:iCs/>
          <w:color w:val="000000"/>
          <w:lang w:eastAsia="bg-BG"/>
        </w:rPr>
      </w:pPr>
    </w:p>
    <w:p w14:paraId="0E70EAC1" w14:textId="758A4EA1"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Взаимодействия</w:t>
      </w:r>
    </w:p>
    <w:p w14:paraId="1CEA9A06"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Вижте точка 4.5.</w:t>
      </w:r>
    </w:p>
    <w:p w14:paraId="075FFA0B" w14:textId="77777777" w:rsidR="00F36424" w:rsidRPr="00F36424" w:rsidRDefault="00F36424" w:rsidP="00F36424">
      <w:pPr>
        <w:spacing w:line="240" w:lineRule="auto"/>
        <w:rPr>
          <w:rFonts w:eastAsia="Times New Roman" w:cs="Arial"/>
          <w:color w:val="000000"/>
          <w:lang w:eastAsia="bg-BG"/>
        </w:rPr>
      </w:pPr>
    </w:p>
    <w:p w14:paraId="6F239C96" w14:textId="0E91B882" w:rsidR="00F36424" w:rsidRPr="00F36424" w:rsidRDefault="00F36424" w:rsidP="00F36424">
      <w:pPr>
        <w:spacing w:line="240" w:lineRule="auto"/>
        <w:rPr>
          <w:rFonts w:eastAsia="Times New Roman" w:cs="Arial"/>
        </w:rPr>
      </w:pPr>
      <w:r w:rsidRPr="00F36424">
        <w:rPr>
          <w:rFonts w:eastAsia="Times New Roman" w:cs="Arial"/>
          <w:color w:val="000000"/>
          <w:lang w:eastAsia="bg-BG"/>
        </w:rPr>
        <w:t>Съпътстващото приложение на кветиапин с мощни индуктори на чернодробните ензими като карбамазепин или фенитоин значително намалява системната плазмена концентрация на кветиапин, което може да повлияе ефикасността на терапията с кветиапин. При пациенти, получаващи индуктор на чернодробните ензими, започването на терапия с кветиапин трябва да стане само ако лекуващият лекар прецени, че ползата от кветиапин превишава риска от отстраняване на индуктора на чернодробните ензими. Важно е всяка промяна в дозата на индуктора да бъде постепенна и ако е необходимо да се замени с неиндуктор (напр. натриев валпроат).</w:t>
      </w:r>
    </w:p>
    <w:p w14:paraId="3CFCCCAE" w14:textId="77777777" w:rsidR="00F36424" w:rsidRPr="00F36424" w:rsidRDefault="00F36424" w:rsidP="00F36424">
      <w:pPr>
        <w:spacing w:line="240" w:lineRule="auto"/>
        <w:rPr>
          <w:rFonts w:eastAsia="Times New Roman" w:cs="Arial"/>
          <w:b/>
          <w:bCs/>
          <w:i/>
          <w:iCs/>
          <w:color w:val="000000"/>
          <w:lang w:eastAsia="bg-BG"/>
        </w:rPr>
      </w:pPr>
    </w:p>
    <w:p w14:paraId="443B207A" w14:textId="08082EEC"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Тегло</w:t>
      </w:r>
    </w:p>
    <w:p w14:paraId="2B59B712"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При лекувани с кветиапин пациенти има съобщения за повишаване на телесното тегло, което трябва да се следи и контролира в съответствие с клиничните ръководства за антипсихотично лечение (вж. точки 4.8 и 5.1).</w:t>
      </w:r>
    </w:p>
    <w:p w14:paraId="78BE064A" w14:textId="77777777" w:rsidR="00F36424" w:rsidRPr="00F36424" w:rsidRDefault="00F36424" w:rsidP="00F36424">
      <w:pPr>
        <w:spacing w:line="240" w:lineRule="auto"/>
        <w:rPr>
          <w:rFonts w:eastAsia="Times New Roman" w:cs="Arial"/>
          <w:b/>
          <w:bCs/>
          <w:i/>
          <w:iCs/>
          <w:color w:val="000000"/>
          <w:lang w:eastAsia="bg-BG"/>
        </w:rPr>
      </w:pPr>
    </w:p>
    <w:p w14:paraId="2BD103B5" w14:textId="49450AD9"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Хипергликемия</w:t>
      </w:r>
    </w:p>
    <w:p w14:paraId="27C44782" w14:textId="0C880C40" w:rsidR="00F36424" w:rsidRPr="00F36424" w:rsidRDefault="00F36424" w:rsidP="00F36424">
      <w:pPr>
        <w:spacing w:line="240" w:lineRule="auto"/>
        <w:rPr>
          <w:rFonts w:eastAsia="Times New Roman" w:cs="Arial"/>
          <w:lang w:val="en-US"/>
        </w:rPr>
      </w:pPr>
      <w:r w:rsidRPr="00F36424">
        <w:rPr>
          <w:rFonts w:eastAsia="Times New Roman" w:cs="Arial"/>
          <w:color w:val="000000"/>
          <w:lang w:eastAsia="bg-BG"/>
        </w:rPr>
        <w:t>Има редки съобщения за развитие на хипергликемия и/или развитие или екзацербация на съществуващ диабет, понякога придружени с кетоацидоза или кома, включително и случаи с фатален изход (вж. точка 4.8). В някои случаи е съобщавано за предшестващо повишаване на телесното тегло, което може да бъде предразполагащ фактор. Препоръчително е подходящото клинично мониториране в съответствие с утвърдените ръководства за антипсихотично лечение. Пациенти, лекувани с антипсихотични лекарства, трябва да бъдат наблюдавани за признаци и симптоми на хипергликемия (като полидипсия, полиурия, полифагия и слабост), а пациентите със захарен диабет или с рискови фактори за захарен диабет трябва да бъдат проследявани редовно за влошаване на глюкозния контрол. Теглото трябва да се следи редовно.</w:t>
      </w:r>
    </w:p>
    <w:p w14:paraId="4A6C6FE0" w14:textId="2D042E75" w:rsidR="00F36424" w:rsidRPr="00F36424" w:rsidRDefault="00F36424" w:rsidP="00F36424">
      <w:pPr>
        <w:rPr>
          <w:rFonts w:cs="Arial"/>
          <w:lang w:val="en-US"/>
        </w:rPr>
      </w:pPr>
    </w:p>
    <w:p w14:paraId="3172C9A7" w14:textId="77777777"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Липиди</w:t>
      </w:r>
    </w:p>
    <w:p w14:paraId="1BAED9BF"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По време на клинични изпитвания с кветиапин се наблюдава увеличение на триглицеридите, </w:t>
      </w:r>
      <w:r w:rsidRPr="00F36424">
        <w:rPr>
          <w:rFonts w:eastAsia="Times New Roman" w:cs="Arial"/>
          <w:color w:val="000000"/>
          <w:lang w:val="en-US"/>
        </w:rPr>
        <w:t>LDL</w:t>
      </w:r>
      <w:r w:rsidRPr="00F36424">
        <w:rPr>
          <w:rFonts w:eastAsia="Times New Roman" w:cs="Arial"/>
          <w:color w:val="000000"/>
          <w:lang w:val="ru-RU"/>
        </w:rPr>
        <w:t xml:space="preserve"> </w:t>
      </w:r>
      <w:r w:rsidRPr="00F36424">
        <w:rPr>
          <w:rFonts w:eastAsia="Times New Roman" w:cs="Arial"/>
          <w:color w:val="000000"/>
          <w:lang w:eastAsia="bg-BG"/>
        </w:rPr>
        <w:t xml:space="preserve">и общия холестерол и понижаване на </w:t>
      </w:r>
      <w:r w:rsidRPr="00F36424">
        <w:rPr>
          <w:rFonts w:eastAsia="Times New Roman" w:cs="Arial"/>
          <w:color w:val="000000"/>
          <w:lang w:val="en-US"/>
        </w:rPr>
        <w:t>HDL</w:t>
      </w:r>
      <w:r w:rsidRPr="00F36424">
        <w:rPr>
          <w:rFonts w:eastAsia="Times New Roman" w:cs="Arial"/>
          <w:color w:val="000000"/>
          <w:lang w:val="ru-RU"/>
        </w:rPr>
        <w:t xml:space="preserve"> </w:t>
      </w:r>
      <w:r w:rsidRPr="00F36424">
        <w:rPr>
          <w:rFonts w:eastAsia="Times New Roman" w:cs="Arial"/>
          <w:color w:val="000000"/>
          <w:lang w:eastAsia="bg-BG"/>
        </w:rPr>
        <w:t>холестерола (вж. точка 4.8). Промените в липидните нива трябва да се контролират чрез подходящ клиничен подход.</w:t>
      </w:r>
    </w:p>
    <w:p w14:paraId="423F9194" w14:textId="77777777" w:rsidR="00F36424" w:rsidRPr="00F36424" w:rsidRDefault="00F36424" w:rsidP="00F36424">
      <w:pPr>
        <w:spacing w:line="240" w:lineRule="auto"/>
        <w:rPr>
          <w:rFonts w:eastAsia="Times New Roman" w:cs="Arial"/>
          <w:b/>
          <w:bCs/>
          <w:i/>
          <w:iCs/>
          <w:color w:val="000000"/>
          <w:lang w:eastAsia="bg-BG"/>
        </w:rPr>
      </w:pPr>
    </w:p>
    <w:p w14:paraId="1DE43234" w14:textId="063BE151"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 xml:space="preserve">Удължаване на </w:t>
      </w:r>
      <w:r w:rsidRPr="00F36424">
        <w:rPr>
          <w:rFonts w:eastAsia="Times New Roman" w:cs="Arial"/>
          <w:b/>
          <w:bCs/>
          <w:i/>
          <w:iCs/>
          <w:color w:val="000000"/>
          <w:lang w:val="en-US"/>
        </w:rPr>
        <w:t>QT</w:t>
      </w:r>
      <w:r w:rsidRPr="00F36424">
        <w:rPr>
          <w:rFonts w:eastAsia="Times New Roman" w:cs="Arial"/>
          <w:b/>
          <w:bCs/>
          <w:i/>
          <w:iCs/>
          <w:color w:val="000000"/>
          <w:lang w:eastAsia="bg-BG"/>
        </w:rPr>
        <w:t>-интервала</w:t>
      </w:r>
    </w:p>
    <w:p w14:paraId="5666C91C"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 xml:space="preserve">По време на клинични проучвания и при приложение съобразно кратката характеристика на продукта, приложението на кветиапин не е свързано с персистиращо удължаване на абсолютния </w:t>
      </w:r>
      <w:r w:rsidRPr="00F36424">
        <w:rPr>
          <w:rFonts w:eastAsia="Times New Roman" w:cs="Arial"/>
          <w:color w:val="000000"/>
          <w:lang w:val="en-US"/>
        </w:rPr>
        <w:t>QT</w:t>
      </w:r>
      <w:r w:rsidRPr="00F36424">
        <w:rPr>
          <w:rFonts w:eastAsia="Times New Roman" w:cs="Arial"/>
          <w:color w:val="000000"/>
          <w:lang w:eastAsia="bg-BG"/>
        </w:rPr>
        <w:t xml:space="preserve">-интервал. При постмаркетингови съобщения, удължаване на </w:t>
      </w:r>
      <w:r w:rsidRPr="00F36424">
        <w:rPr>
          <w:rFonts w:eastAsia="Times New Roman" w:cs="Arial"/>
          <w:color w:val="000000"/>
          <w:lang w:val="en-US"/>
        </w:rPr>
        <w:t>QT</w:t>
      </w:r>
      <w:r w:rsidRPr="00F36424">
        <w:rPr>
          <w:rFonts w:eastAsia="Times New Roman" w:cs="Arial"/>
          <w:color w:val="000000"/>
          <w:lang w:eastAsia="bg-BG"/>
        </w:rPr>
        <w:t xml:space="preserve">-интервала е било докладвано при кветиапин в терапевтични дози (вж. точка 4.8) и при предозиране (вж. точка 4.9). Както при другите антипсихотици, кветиапин трябва да се прилага с повишено внимание, когато е предписан при пациенти със сърдечно-съдово заболяване или фамилна анамнеза за удължаване на </w:t>
      </w:r>
      <w:r w:rsidRPr="00F36424">
        <w:rPr>
          <w:rFonts w:eastAsia="Times New Roman" w:cs="Arial"/>
          <w:color w:val="000000"/>
          <w:lang w:val="en-US"/>
        </w:rPr>
        <w:t>QT</w:t>
      </w:r>
      <w:r w:rsidRPr="00F36424">
        <w:rPr>
          <w:rFonts w:eastAsia="Times New Roman" w:cs="Arial"/>
          <w:color w:val="000000"/>
          <w:lang w:eastAsia="bg-BG"/>
        </w:rPr>
        <w:t xml:space="preserve">- интервала. Кветиапин трябва да се прилага с повишено внимание и когато е предписан заедно или с лекарства, които увеличават </w:t>
      </w:r>
      <w:proofErr w:type="spellStart"/>
      <w:r w:rsidRPr="00F36424">
        <w:rPr>
          <w:rFonts w:eastAsia="Times New Roman" w:cs="Arial"/>
          <w:color w:val="000000"/>
          <w:lang w:val="en-US"/>
        </w:rPr>
        <w:t>QTc</w:t>
      </w:r>
      <w:proofErr w:type="spellEnd"/>
      <w:r w:rsidRPr="00F36424">
        <w:rPr>
          <w:rFonts w:eastAsia="Times New Roman" w:cs="Arial"/>
          <w:color w:val="000000"/>
          <w:lang w:eastAsia="bg-BG"/>
        </w:rPr>
        <w:t xml:space="preserve">-интервала, или със съпътстващи невролептици, особено при пациенти в старческа възраст или такива със синдром на вродено удължаване на </w:t>
      </w:r>
      <w:r w:rsidRPr="00F36424">
        <w:rPr>
          <w:rFonts w:eastAsia="Times New Roman" w:cs="Arial"/>
          <w:color w:val="000000"/>
          <w:lang w:val="en-US"/>
        </w:rPr>
        <w:t>QT</w:t>
      </w:r>
      <w:r w:rsidRPr="00F36424">
        <w:rPr>
          <w:rFonts w:eastAsia="Times New Roman" w:cs="Arial"/>
          <w:color w:val="000000"/>
          <w:lang w:eastAsia="bg-BG"/>
        </w:rPr>
        <w:t>-интервала, застойна сърдечна недостатъчност, сърдечна хипертрофия, хипокалиемия или хипомагнезиемия (вж. точка 4.5).</w:t>
      </w:r>
    </w:p>
    <w:p w14:paraId="3096049E" w14:textId="77777777" w:rsidR="00F36424" w:rsidRPr="00F36424" w:rsidRDefault="00F36424" w:rsidP="00F36424">
      <w:pPr>
        <w:spacing w:line="240" w:lineRule="auto"/>
        <w:rPr>
          <w:rFonts w:eastAsia="Times New Roman" w:cs="Arial"/>
          <w:b/>
          <w:bCs/>
          <w:i/>
          <w:iCs/>
          <w:color w:val="000000"/>
          <w:lang w:eastAsia="bg-BG"/>
        </w:rPr>
      </w:pPr>
    </w:p>
    <w:p w14:paraId="403E174E" w14:textId="731CBD45"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Кардиомиопатия и миокардит</w:t>
      </w:r>
    </w:p>
    <w:p w14:paraId="2910E6E6"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lastRenderedPageBreak/>
        <w:t xml:space="preserve">В клинични проучвания и в пост-маркетинговия период са докладвани случаи на кардиомиопатия и миокардит, но не е доказана взаимовръзка с кветиапина. Лечението с кветиапин трябва да бъде преоценено при пациенти с подозирана кардиомиопатия </w:t>
      </w:r>
      <w:r w:rsidRPr="00F36424">
        <w:rPr>
          <w:rFonts w:eastAsia="Times New Roman" w:cs="Arial"/>
          <w:b/>
          <w:bCs/>
          <w:color w:val="000000"/>
          <w:lang w:eastAsia="bg-BG"/>
        </w:rPr>
        <w:t xml:space="preserve">и </w:t>
      </w:r>
      <w:r w:rsidRPr="00F36424">
        <w:rPr>
          <w:rFonts w:eastAsia="Times New Roman" w:cs="Arial"/>
          <w:color w:val="000000"/>
          <w:lang w:eastAsia="bg-BG"/>
        </w:rPr>
        <w:t>миокардит.</w:t>
      </w:r>
    </w:p>
    <w:p w14:paraId="5076A820" w14:textId="77777777" w:rsidR="00F36424" w:rsidRPr="00F36424" w:rsidRDefault="00F36424" w:rsidP="00F36424">
      <w:pPr>
        <w:spacing w:line="240" w:lineRule="auto"/>
        <w:rPr>
          <w:rFonts w:eastAsia="Times New Roman" w:cs="Arial"/>
          <w:b/>
          <w:bCs/>
          <w:i/>
          <w:iCs/>
          <w:color w:val="000000"/>
          <w:lang w:eastAsia="bg-BG"/>
        </w:rPr>
      </w:pPr>
    </w:p>
    <w:p w14:paraId="0876DE0C" w14:textId="62ED9B96"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Реакции на отнемане</w:t>
      </w:r>
    </w:p>
    <w:p w14:paraId="533139B1"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Остри симптоми на отнемане като безсъние, гадене, главоболие, диария, повръщане, замаяност и раздразнителност са описани след внезапно спиране на кветиапин. Препоръчва се постепенно спиране на терапията за период от поне една до две седмици (вж. точка 4.8)</w:t>
      </w:r>
    </w:p>
    <w:p w14:paraId="4A92204A" w14:textId="77777777" w:rsidR="00F36424" w:rsidRPr="00F36424" w:rsidRDefault="00F36424" w:rsidP="00F36424">
      <w:pPr>
        <w:spacing w:line="240" w:lineRule="auto"/>
        <w:rPr>
          <w:rFonts w:eastAsia="Times New Roman" w:cs="Arial"/>
          <w:b/>
          <w:bCs/>
          <w:i/>
          <w:iCs/>
          <w:color w:val="000000"/>
          <w:lang w:eastAsia="bg-BG"/>
        </w:rPr>
      </w:pPr>
    </w:p>
    <w:p w14:paraId="227F1225" w14:textId="200DC02C"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Пациенти в старческа възраст с психоза, свързана с деменция</w:t>
      </w:r>
    </w:p>
    <w:p w14:paraId="7FE7DCEB"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Кветиапин не е одобрен за лечение на психоза, свързана с деменция.</w:t>
      </w:r>
    </w:p>
    <w:p w14:paraId="64EE2BA8" w14:textId="77777777" w:rsidR="00F36424" w:rsidRPr="00F36424" w:rsidRDefault="00F36424" w:rsidP="00F36424">
      <w:pPr>
        <w:spacing w:line="240" w:lineRule="auto"/>
        <w:rPr>
          <w:rFonts w:eastAsia="Times New Roman" w:cs="Arial"/>
          <w:color w:val="000000"/>
          <w:lang w:eastAsia="bg-BG"/>
        </w:rPr>
      </w:pPr>
    </w:p>
    <w:p w14:paraId="7D132E82" w14:textId="1352A770" w:rsidR="00F36424" w:rsidRPr="00F36424" w:rsidRDefault="00F36424" w:rsidP="00F36424">
      <w:pPr>
        <w:spacing w:line="240" w:lineRule="auto"/>
        <w:rPr>
          <w:rFonts w:eastAsia="Times New Roman" w:cs="Arial"/>
        </w:rPr>
      </w:pPr>
      <w:r w:rsidRPr="00F36424">
        <w:rPr>
          <w:rFonts w:eastAsia="Times New Roman" w:cs="Arial"/>
          <w:color w:val="000000"/>
          <w:lang w:eastAsia="bg-BG"/>
        </w:rPr>
        <w:t>Приблизително 3-кратно увеличен риск от мозъчно-съдови нежелани събития е установен при рандомизирани, контролирани с плацебо проучвания с някои атипични антипсихотици при популация от дементно болни. Механизмът за този увеличен риск е неизвестен. Увеличеният риск не може да бъде изключен за други антипсихотици или други популации пациенти. Кветиапин трябва да се използва с внимание при пациенти с рискови фактори за мозъчен инсулт.</w:t>
      </w:r>
    </w:p>
    <w:p w14:paraId="6B68174C" w14:textId="77777777" w:rsidR="00F36424" w:rsidRPr="00F36424" w:rsidRDefault="00F36424" w:rsidP="00F36424">
      <w:pPr>
        <w:spacing w:line="240" w:lineRule="auto"/>
        <w:rPr>
          <w:rFonts w:eastAsia="Times New Roman" w:cs="Arial"/>
          <w:color w:val="000000"/>
          <w:lang w:eastAsia="bg-BG"/>
        </w:rPr>
      </w:pPr>
    </w:p>
    <w:p w14:paraId="63EC3D44" w14:textId="0FD4A26E" w:rsidR="00F36424" w:rsidRPr="00F36424" w:rsidRDefault="00F36424" w:rsidP="00F36424">
      <w:pPr>
        <w:spacing w:line="240" w:lineRule="auto"/>
        <w:rPr>
          <w:rFonts w:eastAsia="Times New Roman" w:cs="Arial"/>
        </w:rPr>
      </w:pPr>
      <w:r w:rsidRPr="00F36424">
        <w:rPr>
          <w:rFonts w:eastAsia="Times New Roman" w:cs="Arial"/>
          <w:color w:val="000000"/>
          <w:lang w:eastAsia="bg-BG"/>
        </w:rPr>
        <w:t>При мета-анализ на атипични антипсихотици се съобщава, че пациентите в старческа възраст с психоза, свързана с деменция, са с повишен риск от смърт, в сравнение с плацебо. При две 10-седмични плацебо-контролирани проучвания с кветиапин при същата популация пациенти (</w:t>
      </w:r>
      <w:r w:rsidRPr="00F36424">
        <w:rPr>
          <w:rFonts w:eastAsia="Times New Roman" w:cs="Arial"/>
          <w:color w:val="000000"/>
          <w:lang w:val="en-US"/>
        </w:rPr>
        <w:t>n</w:t>
      </w:r>
      <w:r w:rsidRPr="00F36424">
        <w:rPr>
          <w:rFonts w:eastAsia="Times New Roman" w:cs="Arial"/>
          <w:color w:val="000000"/>
          <w:lang w:eastAsia="bg-BG"/>
        </w:rPr>
        <w:t>=710); средна възраст: 83 години; диапазон: 56-99 години), рискът от смъртност при третираните с кветиапин пациенти е 5,5% срещу 3,2% при плацебо групата Пациентите в тези проучвания са починали от различни причини, съответстващи на очакванията за тази популация.</w:t>
      </w:r>
    </w:p>
    <w:p w14:paraId="0B5D2803" w14:textId="77777777" w:rsidR="00F36424" w:rsidRPr="00F36424" w:rsidRDefault="00F36424" w:rsidP="00F36424">
      <w:pPr>
        <w:spacing w:line="240" w:lineRule="auto"/>
        <w:rPr>
          <w:rFonts w:eastAsia="Times New Roman" w:cs="Arial"/>
          <w:b/>
          <w:bCs/>
          <w:color w:val="000000"/>
          <w:lang w:eastAsia="bg-BG"/>
        </w:rPr>
      </w:pPr>
    </w:p>
    <w:p w14:paraId="78F74645" w14:textId="2D720CAE"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Пациенти в старческа възраст с болест на Паркинсон (БП)/паркинсонизъм</w:t>
      </w:r>
    </w:p>
    <w:p w14:paraId="147715CC" w14:textId="1BC0BA9A" w:rsidR="00F36424" w:rsidRPr="00F36424" w:rsidRDefault="00F36424" w:rsidP="00F36424">
      <w:pPr>
        <w:rPr>
          <w:rFonts w:eastAsia="Times New Roman" w:cs="Arial"/>
          <w:color w:val="000000"/>
          <w:lang w:eastAsia="bg-BG"/>
        </w:rPr>
      </w:pPr>
      <w:r w:rsidRPr="00F36424">
        <w:rPr>
          <w:rFonts w:eastAsia="Times New Roman" w:cs="Arial"/>
          <w:color w:val="000000"/>
          <w:lang w:eastAsia="bg-BG"/>
        </w:rPr>
        <w:t>Популационно-базирано, ретроспективно проучване на кветиапин за лечение на пациенти с ТДР, показва повишен риск от смърт по време на употреба на кветиапин при пациенти на възраст над 65 години. Такава връзка не се установява, ко</w:t>
      </w:r>
      <w:r w:rsidRPr="00F36424">
        <w:rPr>
          <w:rFonts w:eastAsia="Times New Roman" w:cs="Arial"/>
          <w:color w:val="000000"/>
          <w:u w:val="single"/>
          <w:lang w:eastAsia="bg-BG"/>
        </w:rPr>
        <w:t xml:space="preserve">гато </w:t>
      </w:r>
      <w:r w:rsidRPr="00F36424">
        <w:rPr>
          <w:rFonts w:eastAsia="Times New Roman" w:cs="Arial"/>
          <w:color w:val="000000"/>
          <w:lang w:eastAsia="bg-BG"/>
        </w:rPr>
        <w:t>пациентите с БП са изключени от анализа. Необходимо е повишено внимание при предписване на кветиапин на пациенти в старческа възраст с БП.</w:t>
      </w:r>
    </w:p>
    <w:p w14:paraId="4BC365A2" w14:textId="221EE0D4" w:rsidR="00F36424" w:rsidRPr="00F36424" w:rsidRDefault="00F36424" w:rsidP="00F36424">
      <w:pPr>
        <w:rPr>
          <w:rFonts w:eastAsia="Times New Roman" w:cs="Arial"/>
          <w:color w:val="000000"/>
          <w:lang w:eastAsia="bg-BG"/>
        </w:rPr>
      </w:pPr>
    </w:p>
    <w:p w14:paraId="6FF8022B" w14:textId="77777777"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Дисфагия</w:t>
      </w:r>
    </w:p>
    <w:p w14:paraId="1878186B"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Има съобщения за дисфагия (вж. точка 4.8) при лечение с кветиапин. Кветиапин трябва да се използва с внимание при пациенти с риск за аспирационна пневмония.</w:t>
      </w:r>
    </w:p>
    <w:p w14:paraId="00533A09" w14:textId="77777777" w:rsidR="00F36424" w:rsidRPr="00F36424" w:rsidRDefault="00F36424" w:rsidP="00F36424">
      <w:pPr>
        <w:spacing w:line="240" w:lineRule="auto"/>
        <w:rPr>
          <w:rFonts w:eastAsia="Times New Roman" w:cs="Arial"/>
          <w:b/>
          <w:bCs/>
          <w:i/>
          <w:iCs/>
          <w:color w:val="000000"/>
          <w:lang w:eastAsia="bg-BG"/>
        </w:rPr>
      </w:pPr>
    </w:p>
    <w:p w14:paraId="524D90D2" w14:textId="1A03013D"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Запек и чревна обструкция</w:t>
      </w:r>
    </w:p>
    <w:p w14:paraId="04B99ADD"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Запекът представлява рисков фактор за чревна обструкция. При лечение с кветиапин са докладвани случаи на запек и чревни обструкции (вж. точка 4.8). Това включва съобщения за фатален край при пациенти, които са с по-висок риск от интестинална обструкция, включително такива, получаващи едновременно няколко лекарства, които понижават чревния мотилитет и/или не са докладвали симптоми на запек. Пациентите с интестинална обструкция/илеус трябва да се наблюдават внимателно и да се предприемат спешни мерки.</w:t>
      </w:r>
    </w:p>
    <w:p w14:paraId="7D6FFFFB" w14:textId="77777777" w:rsidR="00F36424" w:rsidRPr="00F36424" w:rsidRDefault="00F36424" w:rsidP="00F36424">
      <w:pPr>
        <w:spacing w:line="240" w:lineRule="auto"/>
        <w:rPr>
          <w:rFonts w:eastAsia="Times New Roman" w:cs="Arial"/>
          <w:b/>
          <w:bCs/>
          <w:i/>
          <w:iCs/>
          <w:color w:val="000000"/>
          <w:lang w:eastAsia="bg-BG"/>
        </w:rPr>
      </w:pPr>
    </w:p>
    <w:p w14:paraId="5F76CA34" w14:textId="13E61994"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Венозен тромбоемболизъм (ВТЕ)</w:t>
      </w:r>
    </w:p>
    <w:p w14:paraId="6B381663"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lastRenderedPageBreak/>
        <w:t xml:space="preserve">Съобщено е за случаи на венозен тромбоемболизъм </w:t>
      </w:r>
      <w:r w:rsidRPr="00F36424">
        <w:rPr>
          <w:rFonts w:eastAsia="Times New Roman" w:cs="Arial"/>
          <w:i/>
          <w:iCs/>
          <w:color w:val="000000"/>
          <w:lang w:eastAsia="bg-BG"/>
        </w:rPr>
        <w:t>(ВТЕ)</w:t>
      </w:r>
      <w:r w:rsidRPr="00F36424">
        <w:rPr>
          <w:rFonts w:eastAsia="Times New Roman" w:cs="Arial"/>
          <w:color w:val="000000"/>
          <w:lang w:eastAsia="bg-BG"/>
        </w:rPr>
        <w:t xml:space="preserve"> при лечение с антипсихотични лекарства. Тъй като пациентите, лекувани с антипсихотични лекарства, често имат рискови фактори за </w:t>
      </w:r>
      <w:r w:rsidRPr="00F36424">
        <w:rPr>
          <w:rFonts w:eastAsia="Times New Roman" w:cs="Arial"/>
          <w:i/>
          <w:iCs/>
          <w:color w:val="000000"/>
          <w:lang w:eastAsia="bg-BG"/>
        </w:rPr>
        <w:t>ВТЕ,</w:t>
      </w:r>
      <w:r w:rsidRPr="00F36424">
        <w:rPr>
          <w:rFonts w:eastAsia="Times New Roman" w:cs="Arial"/>
          <w:color w:val="000000"/>
          <w:lang w:eastAsia="bg-BG"/>
        </w:rPr>
        <w:t xml:space="preserve"> всички възможни рискови фактори за венозен тромбоемболизъм трябва да бъдат идентифицирани преди и по време на лечението с кветиапин и трябва да се вземат превантивни мерки.</w:t>
      </w:r>
    </w:p>
    <w:p w14:paraId="6BB39EA2" w14:textId="77777777" w:rsidR="00F36424" w:rsidRPr="00F36424" w:rsidRDefault="00F36424" w:rsidP="00F36424">
      <w:pPr>
        <w:spacing w:line="240" w:lineRule="auto"/>
        <w:rPr>
          <w:rFonts w:eastAsia="Times New Roman" w:cs="Arial"/>
          <w:b/>
          <w:bCs/>
          <w:i/>
          <w:iCs/>
          <w:color w:val="000000"/>
          <w:lang w:eastAsia="bg-BG"/>
        </w:rPr>
      </w:pPr>
    </w:p>
    <w:p w14:paraId="61BFCA93" w14:textId="4CBC37C0"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Панкреатит</w:t>
      </w:r>
    </w:p>
    <w:p w14:paraId="15CB57ED"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Има съобщения за панкреатит при клинични проучвания и в постмаркетинговия период. Въпреки че не всички случаи сред постмаркетинговите съобщения са обвързани с рискови фактори, при много от пациентите е имало наличие на фактори, за които е известно, че са свързани с панкреатит, като повишени триглицериди (вж. точка 4,4), камъни в жлъчката, както и употреба на алкохол.</w:t>
      </w:r>
    </w:p>
    <w:p w14:paraId="38CE3947" w14:textId="77777777" w:rsidR="00F36424" w:rsidRPr="00F36424" w:rsidRDefault="00F36424" w:rsidP="00F36424">
      <w:pPr>
        <w:spacing w:line="240" w:lineRule="auto"/>
        <w:rPr>
          <w:rFonts w:eastAsia="Times New Roman" w:cs="Arial"/>
          <w:b/>
          <w:bCs/>
          <w:i/>
          <w:iCs/>
          <w:color w:val="000000"/>
          <w:lang w:eastAsia="bg-BG"/>
        </w:rPr>
      </w:pPr>
    </w:p>
    <w:p w14:paraId="34F8CF81" w14:textId="275D13D2"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Допълнителна информация</w:t>
      </w:r>
    </w:p>
    <w:p w14:paraId="483D4860"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Данните за приложението на кветиапин в комбинация с дивалпроекс или литий при умерени до тежки манийни епизоди са ограничени; въпреки това комбинираната терапия се понася добре (вж. точки 4.8 и 5,1). Данните показват адитивен ефект на седмица 3.</w:t>
      </w:r>
    </w:p>
    <w:p w14:paraId="7D75B2E6" w14:textId="77777777" w:rsidR="00F36424" w:rsidRPr="00F36424" w:rsidRDefault="00F36424" w:rsidP="00F36424">
      <w:pPr>
        <w:spacing w:line="240" w:lineRule="auto"/>
        <w:rPr>
          <w:rFonts w:eastAsia="Times New Roman" w:cs="Arial"/>
          <w:b/>
          <w:bCs/>
          <w:i/>
          <w:iCs/>
          <w:color w:val="000000"/>
          <w:lang w:eastAsia="bg-BG"/>
        </w:rPr>
      </w:pPr>
    </w:p>
    <w:p w14:paraId="720E73C6" w14:textId="7203237F"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Лактоза</w:t>
      </w:r>
    </w:p>
    <w:p w14:paraId="2F7C5829"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Кветиапин таблетки съдържат лактоза. Пациенти с редки наследствени проблеми на галактозна непоносимост, тотален лактазен дефицит или глюкозо-галактозна малабсорбция, не трябва да използват този лекарствен продукт.</w:t>
      </w:r>
    </w:p>
    <w:p w14:paraId="0B7DBE88" w14:textId="77777777" w:rsidR="00F36424" w:rsidRPr="00F36424" w:rsidRDefault="00F36424" w:rsidP="00F36424">
      <w:pPr>
        <w:spacing w:line="240" w:lineRule="auto"/>
        <w:rPr>
          <w:rFonts w:eastAsia="Times New Roman" w:cs="Arial"/>
          <w:b/>
          <w:bCs/>
          <w:i/>
          <w:iCs/>
          <w:color w:val="000000"/>
          <w:lang w:eastAsia="bg-BG"/>
        </w:rPr>
      </w:pPr>
      <w:bookmarkStart w:id="7" w:name="bookmark12"/>
    </w:p>
    <w:p w14:paraId="504EDFA8" w14:textId="64D99D8B" w:rsidR="00F36424" w:rsidRPr="00F36424" w:rsidRDefault="00F36424" w:rsidP="00F36424">
      <w:pPr>
        <w:spacing w:line="240" w:lineRule="auto"/>
        <w:rPr>
          <w:rFonts w:eastAsia="Times New Roman" w:cs="Arial"/>
        </w:rPr>
      </w:pPr>
      <w:r w:rsidRPr="00F36424">
        <w:rPr>
          <w:rFonts w:eastAsia="Times New Roman" w:cs="Arial"/>
          <w:b/>
          <w:bCs/>
          <w:i/>
          <w:iCs/>
          <w:color w:val="000000"/>
          <w:lang w:eastAsia="bg-BG"/>
        </w:rPr>
        <w:t>Неправилна употреба и злоупотреба</w:t>
      </w:r>
      <w:bookmarkEnd w:id="7"/>
    </w:p>
    <w:p w14:paraId="7CE703CC" w14:textId="77777777" w:rsidR="00F36424" w:rsidRPr="00F36424" w:rsidRDefault="00F36424" w:rsidP="00F36424">
      <w:pPr>
        <w:spacing w:line="240" w:lineRule="auto"/>
        <w:rPr>
          <w:rFonts w:eastAsia="Times New Roman" w:cs="Arial"/>
        </w:rPr>
      </w:pPr>
      <w:r w:rsidRPr="00F36424">
        <w:rPr>
          <w:rFonts w:eastAsia="Times New Roman" w:cs="Arial"/>
          <w:color w:val="000000"/>
          <w:lang w:eastAsia="bg-BG"/>
        </w:rPr>
        <w:t>Съобщени са случаи на неправилна употреба и злоупотреба. Може да е необходимо повишено внимание при предписване на кветиапин на пациенти с анамнеза за злоупотреба с алкохол или наркотици.</w:t>
      </w:r>
    </w:p>
    <w:p w14:paraId="3A71BE62" w14:textId="38A19AC1" w:rsidR="00F36424" w:rsidRPr="00F36424" w:rsidRDefault="00F36424" w:rsidP="00F36424"/>
    <w:p w14:paraId="1244F76A" w14:textId="2C759A5F" w:rsidR="00395555" w:rsidRDefault="002C50EE" w:rsidP="008A6AF2">
      <w:pPr>
        <w:pStyle w:val="Heading2"/>
      </w:pPr>
      <w:r>
        <w:t>4.5. Взаимодействие с други лекарствени продукти и други форми на взаимодействие</w:t>
      </w:r>
    </w:p>
    <w:p w14:paraId="36AFECC7" w14:textId="161B65F6" w:rsidR="00F36424" w:rsidRDefault="00F36424" w:rsidP="00F36424"/>
    <w:p w14:paraId="64EDC2A8" w14:textId="77777777"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С оглед на първичните ефекти върху централната нервна система на кветиапин, той трябва да се прилага с внимание в комбинация с други лекарствени продукти с централно действие и с алкохол.</w:t>
      </w:r>
    </w:p>
    <w:p w14:paraId="7D68A6FE" w14:textId="77777777" w:rsidR="00F36424" w:rsidRPr="00F36424" w:rsidRDefault="00F36424" w:rsidP="00F36424">
      <w:pPr>
        <w:spacing w:line="240" w:lineRule="auto"/>
        <w:rPr>
          <w:rFonts w:eastAsia="Times New Roman" w:cs="Arial"/>
          <w:color w:val="000000"/>
          <w:szCs w:val="20"/>
          <w:lang w:eastAsia="bg-BG"/>
        </w:rPr>
      </w:pPr>
    </w:p>
    <w:p w14:paraId="10519242" w14:textId="43285599"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Необходимо е повишено внимание при пациенти, приемащи други лекарства с антихолинергични (мускаринови) ефекти (вж. точка 4.4).</w:t>
      </w:r>
    </w:p>
    <w:p w14:paraId="26B2A9D3" w14:textId="77777777" w:rsidR="00F36424" w:rsidRPr="00F36424" w:rsidRDefault="00F36424" w:rsidP="00F36424">
      <w:pPr>
        <w:rPr>
          <w:rFonts w:eastAsia="Times New Roman" w:cs="Arial"/>
          <w:color w:val="000000"/>
          <w:szCs w:val="20"/>
          <w:lang w:eastAsia="bg-BG"/>
        </w:rPr>
      </w:pPr>
    </w:p>
    <w:p w14:paraId="2B6B58E4" w14:textId="77777777" w:rsidR="00F36424" w:rsidRPr="00F36424" w:rsidRDefault="00F36424" w:rsidP="00F36424">
      <w:pPr>
        <w:rPr>
          <w:rFonts w:eastAsia="Times New Roman" w:cs="Arial"/>
          <w:sz w:val="28"/>
          <w:szCs w:val="24"/>
        </w:rPr>
      </w:pPr>
      <w:r w:rsidRPr="00F36424">
        <w:rPr>
          <w:rFonts w:eastAsia="Times New Roman" w:cs="Arial"/>
          <w:color w:val="000000"/>
          <w:szCs w:val="20"/>
          <w:lang w:eastAsia="bg-BG"/>
        </w:rPr>
        <w:t xml:space="preserve">Цирохром Р450 </w:t>
      </w:r>
      <w:r w:rsidRPr="00F36424">
        <w:rPr>
          <w:rFonts w:eastAsia="Times New Roman" w:cs="Arial"/>
          <w:color w:val="000000"/>
          <w:szCs w:val="20"/>
          <w:lang w:val="ru-RU"/>
        </w:rPr>
        <w:t>(</w:t>
      </w:r>
      <w:r w:rsidRPr="00F36424">
        <w:rPr>
          <w:rFonts w:eastAsia="Times New Roman" w:cs="Arial"/>
          <w:color w:val="000000"/>
          <w:szCs w:val="20"/>
          <w:lang w:val="en-US"/>
        </w:rPr>
        <w:t>CYP</w:t>
      </w:r>
      <w:r w:rsidRPr="00F36424">
        <w:rPr>
          <w:rFonts w:eastAsia="Times New Roman" w:cs="Arial"/>
          <w:color w:val="000000"/>
          <w:szCs w:val="20"/>
          <w:lang w:val="ru-RU"/>
        </w:rPr>
        <w:t xml:space="preserve">) </w:t>
      </w:r>
      <w:r w:rsidRPr="00F36424">
        <w:rPr>
          <w:rFonts w:eastAsia="Times New Roman" w:cs="Arial"/>
          <w:color w:val="000000"/>
          <w:szCs w:val="20"/>
          <w:lang w:eastAsia="bg-BG"/>
        </w:rPr>
        <w:t>ЗА4 е основният ензим, който е отговорен за цитохром Р450 медиирания метаболизъм на кветиапин. В едно проучване за лекарствени взаимодействия на кветиапин при здрави доброволци, едновременното приложение на</w:t>
      </w:r>
      <w:r w:rsidRPr="00F36424">
        <w:rPr>
          <w:rFonts w:eastAsia="Times New Roman" w:cs="Arial"/>
          <w:color w:val="000000"/>
          <w:szCs w:val="20"/>
          <w:lang w:val="ru-RU" w:eastAsia="bg-BG"/>
        </w:rPr>
        <w:t xml:space="preserve"> </w:t>
      </w:r>
      <w:r w:rsidRPr="00F36424">
        <w:rPr>
          <w:rFonts w:eastAsia="Times New Roman" w:cs="Arial"/>
          <w:color w:val="000000"/>
          <w:szCs w:val="20"/>
          <w:lang w:eastAsia="bg-BG"/>
        </w:rPr>
        <w:t xml:space="preserve">кветиапин (доза от 25 </w:t>
      </w:r>
      <w:r w:rsidRPr="00F36424">
        <w:rPr>
          <w:rFonts w:eastAsia="Times New Roman" w:cs="Arial"/>
          <w:color w:val="000000"/>
          <w:szCs w:val="20"/>
          <w:lang w:val="en-US"/>
        </w:rPr>
        <w:t>mg</w:t>
      </w:r>
      <w:r w:rsidRPr="00F36424">
        <w:rPr>
          <w:rFonts w:eastAsia="Times New Roman" w:cs="Arial"/>
          <w:color w:val="000000"/>
          <w:szCs w:val="20"/>
          <w:lang w:val="ru-RU"/>
        </w:rPr>
        <w:t xml:space="preserve">) </w:t>
      </w:r>
      <w:r w:rsidRPr="00F36424">
        <w:rPr>
          <w:rFonts w:eastAsia="Times New Roman" w:cs="Arial"/>
          <w:color w:val="000000"/>
          <w:szCs w:val="20"/>
          <w:lang w:eastAsia="bg-BG"/>
        </w:rPr>
        <w:t xml:space="preserve">с кетоконазол, </w:t>
      </w:r>
      <w:r w:rsidRPr="00F36424">
        <w:rPr>
          <w:rFonts w:eastAsia="Times New Roman" w:cs="Arial"/>
          <w:color w:val="000000"/>
          <w:szCs w:val="20"/>
          <w:lang w:val="en-US"/>
        </w:rPr>
        <w:t>CYP</w:t>
      </w:r>
      <w:r w:rsidRPr="00F36424">
        <w:rPr>
          <w:rFonts w:eastAsia="Times New Roman" w:cs="Arial"/>
          <w:color w:val="000000"/>
          <w:szCs w:val="20"/>
          <w:lang w:val="ru-RU"/>
        </w:rPr>
        <w:t>3</w:t>
      </w:r>
      <w:r w:rsidRPr="00F36424">
        <w:rPr>
          <w:rFonts w:eastAsia="Times New Roman" w:cs="Arial"/>
          <w:color w:val="000000"/>
          <w:szCs w:val="20"/>
          <w:lang w:val="en-US"/>
        </w:rPr>
        <w:t>A</w:t>
      </w:r>
      <w:r w:rsidRPr="00F36424">
        <w:rPr>
          <w:rFonts w:eastAsia="Times New Roman" w:cs="Arial"/>
          <w:color w:val="000000"/>
          <w:szCs w:val="20"/>
          <w:lang w:val="ru-RU"/>
        </w:rPr>
        <w:t xml:space="preserve">4 </w:t>
      </w:r>
      <w:r w:rsidRPr="00F36424">
        <w:rPr>
          <w:rFonts w:eastAsia="Times New Roman" w:cs="Arial"/>
          <w:color w:val="000000"/>
          <w:szCs w:val="20"/>
          <w:lang w:eastAsia="bg-BG"/>
        </w:rPr>
        <w:t xml:space="preserve">инхибитор, е довело до 5-8 кратно повишение на </w:t>
      </w:r>
      <w:r w:rsidRPr="00F36424">
        <w:rPr>
          <w:rFonts w:eastAsia="Times New Roman" w:cs="Arial"/>
          <w:color w:val="000000"/>
          <w:szCs w:val="20"/>
          <w:lang w:val="en-US"/>
        </w:rPr>
        <w:t>AUC</w:t>
      </w:r>
      <w:r w:rsidRPr="00F36424">
        <w:rPr>
          <w:rFonts w:eastAsia="Times New Roman" w:cs="Arial"/>
          <w:color w:val="000000"/>
          <w:szCs w:val="20"/>
          <w:lang w:val="ru-RU"/>
        </w:rPr>
        <w:t xml:space="preserve"> </w:t>
      </w:r>
      <w:r w:rsidRPr="00F36424">
        <w:rPr>
          <w:rFonts w:eastAsia="Times New Roman" w:cs="Arial"/>
          <w:color w:val="000000"/>
          <w:szCs w:val="20"/>
          <w:lang w:eastAsia="bg-BG"/>
        </w:rPr>
        <w:t xml:space="preserve">на </w:t>
      </w:r>
      <w:r w:rsidRPr="00F36424">
        <w:rPr>
          <w:rFonts w:eastAsia="Times New Roman" w:cs="Arial"/>
          <w:color w:val="000000"/>
          <w:szCs w:val="20"/>
          <w:lang w:val="en-US"/>
        </w:rPr>
        <w:t>CYP</w:t>
      </w:r>
      <w:r w:rsidRPr="00F36424">
        <w:rPr>
          <w:rFonts w:eastAsia="Times New Roman" w:cs="Arial"/>
          <w:color w:val="000000"/>
          <w:szCs w:val="20"/>
          <w:lang w:val="ru-RU"/>
        </w:rPr>
        <w:t>3</w:t>
      </w:r>
      <w:r w:rsidRPr="00F36424">
        <w:rPr>
          <w:rFonts w:eastAsia="Times New Roman" w:cs="Arial"/>
          <w:color w:val="000000"/>
          <w:szCs w:val="20"/>
          <w:lang w:val="en-US"/>
        </w:rPr>
        <w:t>A</w:t>
      </w:r>
      <w:r w:rsidRPr="00F36424">
        <w:rPr>
          <w:rFonts w:eastAsia="Times New Roman" w:cs="Arial"/>
          <w:color w:val="000000"/>
          <w:szCs w:val="20"/>
          <w:lang w:val="ru-RU"/>
        </w:rPr>
        <w:t xml:space="preserve">4 </w:t>
      </w:r>
      <w:r w:rsidRPr="00F36424">
        <w:rPr>
          <w:rFonts w:eastAsia="Times New Roman" w:cs="Arial"/>
          <w:color w:val="000000"/>
          <w:szCs w:val="20"/>
          <w:lang w:eastAsia="bg-BG"/>
        </w:rPr>
        <w:t xml:space="preserve">кветиапин. Въз основа на това, едновременната употреба на кветиапин с </w:t>
      </w:r>
      <w:r w:rsidRPr="00F36424">
        <w:rPr>
          <w:rFonts w:eastAsia="Times New Roman" w:cs="Arial"/>
          <w:color w:val="000000"/>
          <w:szCs w:val="20"/>
          <w:lang w:val="en-US"/>
        </w:rPr>
        <w:t>CYP</w:t>
      </w:r>
      <w:r w:rsidRPr="00F36424">
        <w:rPr>
          <w:rFonts w:eastAsia="Times New Roman" w:cs="Arial"/>
          <w:color w:val="000000"/>
          <w:szCs w:val="20"/>
          <w:lang w:val="ru-RU"/>
        </w:rPr>
        <w:t>3</w:t>
      </w:r>
      <w:r w:rsidRPr="00F36424">
        <w:rPr>
          <w:rFonts w:eastAsia="Times New Roman" w:cs="Arial"/>
          <w:color w:val="000000"/>
          <w:szCs w:val="20"/>
          <w:lang w:val="en-US"/>
        </w:rPr>
        <w:t>A</w:t>
      </w:r>
      <w:r w:rsidRPr="00F36424">
        <w:rPr>
          <w:rFonts w:eastAsia="Times New Roman" w:cs="Arial"/>
          <w:color w:val="000000"/>
          <w:szCs w:val="20"/>
          <w:lang w:val="ru-RU"/>
        </w:rPr>
        <w:t xml:space="preserve">4 </w:t>
      </w:r>
      <w:r w:rsidRPr="00F36424">
        <w:rPr>
          <w:rFonts w:eastAsia="Times New Roman" w:cs="Arial"/>
          <w:color w:val="000000"/>
          <w:szCs w:val="20"/>
          <w:lang w:eastAsia="bg-BG"/>
        </w:rPr>
        <w:t>инхибитори е противопоказана. Също така не се препоръчва по време на лечението с кветиапин да се консумира сок от грейпфрут.</w:t>
      </w:r>
    </w:p>
    <w:p w14:paraId="239FD1A0" w14:textId="77777777" w:rsidR="00F36424" w:rsidRPr="00F36424" w:rsidRDefault="00F36424" w:rsidP="00F36424">
      <w:pPr>
        <w:spacing w:line="240" w:lineRule="auto"/>
        <w:rPr>
          <w:rFonts w:eastAsia="Times New Roman" w:cs="Arial"/>
          <w:color w:val="000000"/>
          <w:szCs w:val="20"/>
          <w:lang w:eastAsia="bg-BG"/>
        </w:rPr>
      </w:pPr>
    </w:p>
    <w:p w14:paraId="503DFE9D" w14:textId="24C7E4C3"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 xml:space="preserve">При проучване с многократно дозиране при пациенти за оценка на фармакокинетиката на кветиапин, прилаган преди и по време на лечение с карбамазепин (известен редуктор на чернодробни ензими), едновременното приложение на карбамазепин значително е </w:t>
      </w:r>
      <w:r w:rsidRPr="00F36424">
        <w:rPr>
          <w:rFonts w:eastAsia="Times New Roman" w:cs="Arial"/>
          <w:color w:val="000000"/>
          <w:szCs w:val="20"/>
          <w:lang w:eastAsia="bg-BG"/>
        </w:rPr>
        <w:lastRenderedPageBreak/>
        <w:t xml:space="preserve">увеличило клирънса на кветиапин. Това увеличение на клирънса е намалило системната експозиция на кветиапин (измерена чрез </w:t>
      </w:r>
      <w:r w:rsidRPr="00F36424">
        <w:rPr>
          <w:rFonts w:eastAsia="Times New Roman" w:cs="Arial"/>
          <w:color w:val="000000"/>
          <w:szCs w:val="20"/>
          <w:lang w:val="en-US"/>
        </w:rPr>
        <w:t>AUC</w:t>
      </w:r>
      <w:r w:rsidRPr="00F36424">
        <w:rPr>
          <w:rFonts w:eastAsia="Times New Roman" w:cs="Arial"/>
          <w:color w:val="000000"/>
          <w:szCs w:val="20"/>
          <w:lang w:val="ru-RU"/>
        </w:rPr>
        <w:t xml:space="preserve">) </w:t>
      </w:r>
      <w:r w:rsidRPr="00F36424">
        <w:rPr>
          <w:rFonts w:eastAsia="Times New Roman" w:cs="Arial"/>
          <w:color w:val="000000"/>
          <w:szCs w:val="20"/>
          <w:lang w:eastAsia="bg-BG"/>
        </w:rPr>
        <w:t>до средно 13% от експозицията при самостоятелно прилагане на кветиапин, въпреки че при някои пациенти е наблюдаван по-голям ефект. В резултат от това взаимодействие, могат да се наблюдават по-ниски плазмени концентрации, което може да засегне ефикасността на терапията с кветиапин. Едновременното приложение на кветиапин с фенитоин (друг индуктор на микрозомалките ензими) предизвиква значително повишение на клирънса на кветиапин с приблизително 450%. При пациенти, получаващи индуктор на чернодробните ензими, започването на терапия с кветиапин трябва да стане само, ако лекуващият лекар прецени, че ползата от кветиапин превишава риска от отстраняване на индуктора на чернодробните ензими. Важно е всяка промяна в дозата на индуктора да бъде постепенна и ако е необходимо да се замени с неиндуктор (напр. натриев валпроат) (вж. точка 4.4).</w:t>
      </w:r>
    </w:p>
    <w:p w14:paraId="5236E637" w14:textId="77777777" w:rsidR="00F36424" w:rsidRPr="00F36424" w:rsidRDefault="00F36424" w:rsidP="00F36424">
      <w:pPr>
        <w:spacing w:line="240" w:lineRule="auto"/>
        <w:rPr>
          <w:rFonts w:eastAsia="Times New Roman" w:cs="Arial"/>
          <w:color w:val="000000"/>
          <w:szCs w:val="20"/>
          <w:lang w:eastAsia="bg-BG"/>
        </w:rPr>
      </w:pPr>
    </w:p>
    <w:p w14:paraId="755DBA6D" w14:textId="4539B739"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 xml:space="preserve">Фармакокинетиката на кветиапин не се променя значимо от едновременното приложение на антидепресанта имипрамин (известен </w:t>
      </w:r>
      <w:r w:rsidRPr="00F36424">
        <w:rPr>
          <w:rFonts w:eastAsia="Times New Roman" w:cs="Arial"/>
          <w:color w:val="000000"/>
          <w:szCs w:val="20"/>
          <w:lang w:val="en-US"/>
        </w:rPr>
        <w:t>CYP</w:t>
      </w:r>
      <w:r w:rsidRPr="00F36424">
        <w:rPr>
          <w:rFonts w:eastAsia="Times New Roman" w:cs="Arial"/>
          <w:color w:val="000000"/>
          <w:szCs w:val="20"/>
          <w:lang w:val="ru-RU"/>
        </w:rPr>
        <w:t>2</w:t>
      </w:r>
      <w:r w:rsidRPr="00F36424">
        <w:rPr>
          <w:rFonts w:eastAsia="Times New Roman" w:cs="Arial"/>
          <w:color w:val="000000"/>
          <w:szCs w:val="20"/>
          <w:lang w:val="en-US"/>
        </w:rPr>
        <w:t>D</w:t>
      </w:r>
      <w:r w:rsidRPr="00F36424">
        <w:rPr>
          <w:rFonts w:eastAsia="Times New Roman" w:cs="Arial"/>
          <w:color w:val="000000"/>
          <w:szCs w:val="20"/>
          <w:lang w:val="ru-RU"/>
        </w:rPr>
        <w:t xml:space="preserve">6 </w:t>
      </w:r>
      <w:r w:rsidRPr="00F36424">
        <w:rPr>
          <w:rFonts w:eastAsia="Times New Roman" w:cs="Arial"/>
          <w:color w:val="000000"/>
          <w:szCs w:val="20"/>
          <w:lang w:eastAsia="bg-BG"/>
        </w:rPr>
        <w:t xml:space="preserve">инхибитор) или флуоксетин (известен </w:t>
      </w:r>
      <w:r w:rsidRPr="00F36424">
        <w:rPr>
          <w:rFonts w:eastAsia="Times New Roman" w:cs="Arial"/>
          <w:color w:val="000000"/>
          <w:szCs w:val="20"/>
          <w:lang w:val="en-US"/>
        </w:rPr>
        <w:t>CYP</w:t>
      </w:r>
      <w:r w:rsidRPr="00F36424">
        <w:rPr>
          <w:rFonts w:eastAsia="Times New Roman" w:cs="Arial"/>
          <w:color w:val="000000"/>
          <w:szCs w:val="20"/>
          <w:lang w:val="ru-RU"/>
        </w:rPr>
        <w:t>3</w:t>
      </w:r>
      <w:r w:rsidRPr="00F36424">
        <w:rPr>
          <w:rFonts w:eastAsia="Times New Roman" w:cs="Arial"/>
          <w:color w:val="000000"/>
          <w:szCs w:val="20"/>
          <w:lang w:val="en-US"/>
        </w:rPr>
        <w:t>A</w:t>
      </w:r>
      <w:r w:rsidRPr="00F36424">
        <w:rPr>
          <w:rFonts w:eastAsia="Times New Roman" w:cs="Arial"/>
          <w:color w:val="000000"/>
          <w:szCs w:val="20"/>
          <w:lang w:val="ru-RU"/>
        </w:rPr>
        <w:t xml:space="preserve">4 </w:t>
      </w:r>
      <w:r w:rsidRPr="00F36424">
        <w:rPr>
          <w:rFonts w:eastAsia="Times New Roman" w:cs="Arial"/>
          <w:color w:val="000000"/>
          <w:szCs w:val="20"/>
          <w:lang w:eastAsia="bg-BG"/>
        </w:rPr>
        <w:t xml:space="preserve">и </w:t>
      </w:r>
      <w:r w:rsidRPr="00F36424">
        <w:rPr>
          <w:rFonts w:eastAsia="Times New Roman" w:cs="Arial"/>
          <w:color w:val="000000"/>
          <w:szCs w:val="20"/>
          <w:lang w:val="en-US"/>
        </w:rPr>
        <w:t>CYP</w:t>
      </w:r>
      <w:r w:rsidRPr="00F36424">
        <w:rPr>
          <w:rFonts w:eastAsia="Times New Roman" w:cs="Arial"/>
          <w:color w:val="000000"/>
          <w:szCs w:val="20"/>
          <w:lang w:val="ru-RU"/>
        </w:rPr>
        <w:t>2</w:t>
      </w:r>
      <w:r w:rsidRPr="00F36424">
        <w:rPr>
          <w:rFonts w:eastAsia="Times New Roman" w:cs="Arial"/>
          <w:color w:val="000000"/>
          <w:szCs w:val="20"/>
          <w:lang w:val="en-US"/>
        </w:rPr>
        <w:t>D</w:t>
      </w:r>
      <w:r w:rsidRPr="00F36424">
        <w:rPr>
          <w:rFonts w:eastAsia="Times New Roman" w:cs="Arial"/>
          <w:color w:val="000000"/>
          <w:szCs w:val="20"/>
          <w:lang w:val="ru-RU"/>
        </w:rPr>
        <w:t xml:space="preserve">6 </w:t>
      </w:r>
      <w:r w:rsidRPr="00F36424">
        <w:rPr>
          <w:rFonts w:eastAsia="Times New Roman" w:cs="Arial"/>
          <w:color w:val="000000"/>
          <w:szCs w:val="20"/>
          <w:lang w:eastAsia="bg-BG"/>
        </w:rPr>
        <w:t>инхибитор).</w:t>
      </w:r>
    </w:p>
    <w:p w14:paraId="41E33E11" w14:textId="77777777" w:rsidR="00F36424" w:rsidRPr="00F36424" w:rsidRDefault="00F36424" w:rsidP="00F36424">
      <w:pPr>
        <w:spacing w:line="240" w:lineRule="auto"/>
        <w:rPr>
          <w:rFonts w:eastAsia="Times New Roman" w:cs="Arial"/>
          <w:color w:val="000000"/>
          <w:szCs w:val="20"/>
          <w:lang w:eastAsia="bg-BG"/>
        </w:rPr>
      </w:pPr>
    </w:p>
    <w:p w14:paraId="27C5EF4B" w14:textId="46C36ABD" w:rsidR="00F36424" w:rsidRPr="00F36424" w:rsidRDefault="00F36424" w:rsidP="00F36424">
      <w:pPr>
        <w:spacing w:line="240" w:lineRule="auto"/>
        <w:rPr>
          <w:rFonts w:eastAsia="Times New Roman" w:cs="Arial"/>
          <w:color w:val="000000"/>
          <w:szCs w:val="20"/>
          <w:lang w:eastAsia="bg-BG"/>
        </w:rPr>
      </w:pPr>
      <w:r w:rsidRPr="00F36424">
        <w:rPr>
          <w:rFonts w:eastAsia="Times New Roman" w:cs="Arial"/>
          <w:color w:val="000000"/>
          <w:szCs w:val="20"/>
          <w:lang w:eastAsia="bg-BG"/>
        </w:rPr>
        <w:t>Фармакокинетиката на кветиапин не се променя значимо от едновременно приемане с антипсихотиците рисперидон или халоперидол. Едновременното приложение на кветиапин и тиоридазин е предизвиквало увеличение на клирънса на кветиапин с приблизително 70%.</w:t>
      </w:r>
    </w:p>
    <w:p w14:paraId="016CA93E" w14:textId="77777777" w:rsidR="00F36424" w:rsidRPr="00F36424" w:rsidRDefault="00F36424" w:rsidP="00F36424">
      <w:pPr>
        <w:spacing w:line="240" w:lineRule="auto"/>
        <w:rPr>
          <w:rFonts w:eastAsia="Times New Roman" w:cs="Arial"/>
          <w:color w:val="000000"/>
          <w:szCs w:val="20"/>
          <w:lang w:eastAsia="bg-BG"/>
        </w:rPr>
      </w:pPr>
    </w:p>
    <w:p w14:paraId="6F79E849" w14:textId="51E2B5FE"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Фармакокинетиката на кветиапин не се променя значимо след едновременно приложение с циметидин.</w:t>
      </w:r>
    </w:p>
    <w:p w14:paraId="253DF861" w14:textId="77777777" w:rsidR="00F36424" w:rsidRPr="00F36424" w:rsidRDefault="00F36424" w:rsidP="00F36424">
      <w:pPr>
        <w:spacing w:line="240" w:lineRule="auto"/>
        <w:rPr>
          <w:rFonts w:eastAsia="Times New Roman" w:cs="Arial"/>
          <w:color w:val="000000"/>
          <w:szCs w:val="20"/>
          <w:lang w:eastAsia="bg-BG"/>
        </w:rPr>
      </w:pPr>
    </w:p>
    <w:p w14:paraId="32D122C5" w14:textId="40A56C71"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Фармакокинетиката на лития не се променя при едновременно прилагане с кветиапин.</w:t>
      </w:r>
    </w:p>
    <w:p w14:paraId="0907705E" w14:textId="77777777" w:rsidR="00F36424" w:rsidRPr="00F36424" w:rsidRDefault="00F36424" w:rsidP="00F36424">
      <w:pPr>
        <w:spacing w:line="240" w:lineRule="auto"/>
        <w:rPr>
          <w:rFonts w:eastAsia="Times New Roman" w:cs="Arial"/>
          <w:color w:val="000000"/>
          <w:szCs w:val="20"/>
          <w:lang w:eastAsia="bg-BG"/>
        </w:rPr>
      </w:pPr>
    </w:p>
    <w:p w14:paraId="1C2FA8EC" w14:textId="556E718F"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При едно 6-седмично, рандоминизирано проучване на литий и кветиапин спрямо плацебо и кветиапин при възрастни пациенти с остра мания, с по-голяма честота са наблюдавани случаи на екстрапирамидни прояви (специално тремор), сънливост и увеличаване на теглото в групата с литий-кветиапин в сравнение с плацебо-кветиапин групата(вж. точка5.1).</w:t>
      </w:r>
    </w:p>
    <w:p w14:paraId="101D793E" w14:textId="77777777" w:rsidR="00F36424" w:rsidRPr="00F36424" w:rsidRDefault="00F36424" w:rsidP="00F36424">
      <w:pPr>
        <w:spacing w:line="240" w:lineRule="auto"/>
        <w:rPr>
          <w:rFonts w:eastAsia="Times New Roman" w:cs="Arial"/>
          <w:color w:val="000000"/>
          <w:szCs w:val="20"/>
          <w:lang w:eastAsia="bg-BG"/>
        </w:rPr>
      </w:pPr>
    </w:p>
    <w:p w14:paraId="6B7038E7" w14:textId="7D6E6B76"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Фармакокинетиките на натриев валпроат и кветиапин не се променят в клиничнозначима степен, когато се прилагат едновременно. Ретроспективно проучване на деца и юноши, които са получавали валпроат, кветиапин, или и двете, показва по- висока честота на левкопения и неутропения в комбинираната група спрямо групите на монотерапия.</w:t>
      </w:r>
    </w:p>
    <w:p w14:paraId="67E64545" w14:textId="77777777" w:rsidR="00F36424" w:rsidRPr="00F36424" w:rsidRDefault="00F36424" w:rsidP="00F36424">
      <w:pPr>
        <w:spacing w:line="240" w:lineRule="auto"/>
        <w:rPr>
          <w:rFonts w:eastAsia="Times New Roman" w:cs="Arial"/>
          <w:color w:val="000000"/>
          <w:szCs w:val="20"/>
          <w:lang w:eastAsia="bg-BG"/>
        </w:rPr>
      </w:pPr>
    </w:p>
    <w:p w14:paraId="4B43E795" w14:textId="55C0FE3D"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Формални проучвания за взаимодействие с най-често прилаганите сърдечно-съдови лекарства не са провеждани.</w:t>
      </w:r>
    </w:p>
    <w:p w14:paraId="7880F903" w14:textId="77777777" w:rsidR="00F36424" w:rsidRPr="00F36424" w:rsidRDefault="00F36424" w:rsidP="00F36424">
      <w:pPr>
        <w:spacing w:line="240" w:lineRule="auto"/>
        <w:rPr>
          <w:rFonts w:eastAsia="Times New Roman" w:cs="Arial"/>
          <w:color w:val="000000"/>
          <w:szCs w:val="20"/>
          <w:lang w:eastAsia="bg-BG"/>
        </w:rPr>
      </w:pPr>
    </w:p>
    <w:p w14:paraId="07182E1A" w14:textId="07FC637A"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 xml:space="preserve">Трябва да се внимава, когато кветиапин се употребява едновременно с лекарствени продукти, които предизвикват електролитен дисбаланс или увеличават </w:t>
      </w:r>
      <w:proofErr w:type="spellStart"/>
      <w:r w:rsidRPr="00F36424">
        <w:rPr>
          <w:rFonts w:eastAsia="Times New Roman" w:cs="Arial"/>
          <w:color w:val="000000"/>
          <w:szCs w:val="20"/>
          <w:lang w:val="en-US"/>
        </w:rPr>
        <w:t>QTc</w:t>
      </w:r>
      <w:proofErr w:type="spellEnd"/>
      <w:r w:rsidRPr="00F36424">
        <w:rPr>
          <w:rFonts w:eastAsia="Times New Roman" w:cs="Arial"/>
          <w:color w:val="000000"/>
          <w:szCs w:val="20"/>
          <w:lang w:eastAsia="bg-BG"/>
        </w:rPr>
        <w:t>-интервала.</w:t>
      </w:r>
    </w:p>
    <w:p w14:paraId="095C200D" w14:textId="77777777" w:rsidR="00F36424" w:rsidRPr="00F36424" w:rsidRDefault="00F36424" w:rsidP="00F36424">
      <w:pPr>
        <w:rPr>
          <w:rFonts w:eastAsia="Times New Roman" w:cs="Arial"/>
          <w:color w:val="000000"/>
          <w:szCs w:val="20"/>
          <w:lang w:eastAsia="bg-BG"/>
        </w:rPr>
      </w:pPr>
    </w:p>
    <w:p w14:paraId="596C0F16" w14:textId="343EF4E0" w:rsidR="00F36424" w:rsidRDefault="00F36424" w:rsidP="00F36424">
      <w:pPr>
        <w:rPr>
          <w:rFonts w:cs="Arial"/>
          <w:szCs w:val="20"/>
        </w:rPr>
      </w:pPr>
      <w:r w:rsidRPr="00F36424">
        <w:rPr>
          <w:rFonts w:eastAsia="Times New Roman" w:cs="Arial"/>
          <w:color w:val="000000"/>
          <w:szCs w:val="20"/>
          <w:lang w:eastAsia="bg-BG"/>
        </w:rPr>
        <w:t>Има съобщения за фалшиво положителни резултати при извършване на имунологично ензимни изследвания за метадон и трициклични антидепресанти при пациенти, които</w:t>
      </w:r>
      <w:r w:rsidRPr="00F36424">
        <w:rPr>
          <w:rFonts w:eastAsia="Times New Roman" w:cs="Arial"/>
          <w:color w:val="000000"/>
          <w:szCs w:val="20"/>
          <w:lang w:val="ru-RU" w:eastAsia="bg-BG"/>
        </w:rPr>
        <w:t xml:space="preserve"> </w:t>
      </w:r>
      <w:r w:rsidRPr="00F36424">
        <w:rPr>
          <w:rFonts w:cs="Arial"/>
          <w:szCs w:val="20"/>
        </w:rPr>
        <w:t>са приемали кветиапин. В тези случаи за потвърждаване на съмнителния резултат се препоръчва имунологичен скрининг чрез подходящи хроматографски методи.</w:t>
      </w:r>
    </w:p>
    <w:p w14:paraId="6E4505D8" w14:textId="77777777" w:rsidR="00F36424" w:rsidRPr="00F36424" w:rsidRDefault="00F36424" w:rsidP="00F36424">
      <w:pPr>
        <w:rPr>
          <w:rFonts w:cs="Arial"/>
          <w:sz w:val="24"/>
          <w:lang w:val="ru-RU"/>
        </w:rPr>
      </w:pPr>
    </w:p>
    <w:p w14:paraId="166B0CC6" w14:textId="599495AD" w:rsidR="00F36424" w:rsidRPr="00F36424" w:rsidRDefault="002C50EE" w:rsidP="00F36424">
      <w:pPr>
        <w:pStyle w:val="Heading2"/>
      </w:pPr>
      <w:r>
        <w:lastRenderedPageBreak/>
        <w:t>4.6. Фертилитет, бременност и кърмене</w:t>
      </w:r>
    </w:p>
    <w:p w14:paraId="7CEA5DA3" w14:textId="68FE32D1" w:rsidR="00F36424" w:rsidRPr="00F36424" w:rsidRDefault="00F36424" w:rsidP="00F36424">
      <w:pPr>
        <w:pStyle w:val="Heading3"/>
        <w:rPr>
          <w:u w:val="single"/>
        </w:rPr>
      </w:pPr>
    </w:p>
    <w:p w14:paraId="6248D909" w14:textId="77777777" w:rsidR="00F36424" w:rsidRPr="00F36424" w:rsidRDefault="00F36424" w:rsidP="00F36424">
      <w:pPr>
        <w:pStyle w:val="Heading3"/>
        <w:rPr>
          <w:rFonts w:eastAsia="Times New Roman" w:cs="Arial"/>
          <w:sz w:val="28"/>
          <w:u w:val="single"/>
        </w:rPr>
      </w:pPr>
      <w:r w:rsidRPr="00F36424">
        <w:rPr>
          <w:rFonts w:eastAsia="Times New Roman" w:cs="Arial"/>
          <w:color w:val="000000"/>
          <w:sz w:val="22"/>
          <w:szCs w:val="20"/>
          <w:u w:val="single"/>
          <w:lang w:eastAsia="bg-BG"/>
        </w:rPr>
        <w:t>Бременност</w:t>
      </w:r>
    </w:p>
    <w:p w14:paraId="1FBB1A05" w14:textId="62A5C847" w:rsidR="00F36424" w:rsidRPr="00F36424" w:rsidRDefault="00F36424" w:rsidP="00F36424">
      <w:pPr>
        <w:spacing w:line="240" w:lineRule="auto"/>
        <w:rPr>
          <w:rFonts w:eastAsia="Times New Roman" w:cs="Arial"/>
          <w:sz w:val="28"/>
          <w:szCs w:val="24"/>
        </w:rPr>
      </w:pPr>
      <w:r w:rsidRPr="00F36424">
        <w:rPr>
          <w:rFonts w:eastAsia="Times New Roman" w:cs="Arial"/>
          <w:i/>
          <w:iCs/>
          <w:color w:val="000000"/>
          <w:szCs w:val="20"/>
          <w:lang w:eastAsia="bg-BG"/>
        </w:rPr>
        <w:t>Първи триместър</w:t>
      </w:r>
    </w:p>
    <w:p w14:paraId="67E1ECEF" w14:textId="77777777"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Ограниченото количество публикувани данни за експозиция по време на бременност (300-1000 бременности), включително индивидуални съобщения и няколко обзервационни проучвания не дават основание да се предполага повишен риск от малформацин вследствие на лечението. Предвид това, на базата на наличните данни не може да бъде направено категорично заключение. Проучванията при животни показават репродуктивна токсичност (вж. точка 5.3). Поради това кветиапин трябва да се използва по време на бременност само ако ползите оправдават потенциалните рискове.</w:t>
      </w:r>
    </w:p>
    <w:p w14:paraId="77210C00" w14:textId="77777777" w:rsidR="00F36424" w:rsidRPr="00F36424" w:rsidRDefault="00F36424" w:rsidP="00F36424">
      <w:pPr>
        <w:spacing w:line="240" w:lineRule="auto"/>
        <w:rPr>
          <w:rFonts w:eastAsia="Times New Roman" w:cs="Arial"/>
          <w:i/>
          <w:iCs/>
          <w:color w:val="000000"/>
          <w:szCs w:val="20"/>
          <w:lang w:eastAsia="bg-BG"/>
        </w:rPr>
      </w:pPr>
    </w:p>
    <w:p w14:paraId="614B72BA" w14:textId="793EBE8C" w:rsidR="00F36424" w:rsidRPr="00F36424" w:rsidRDefault="00F36424" w:rsidP="00F36424">
      <w:pPr>
        <w:spacing w:line="240" w:lineRule="auto"/>
        <w:rPr>
          <w:rFonts w:eastAsia="Times New Roman" w:cs="Arial"/>
          <w:sz w:val="28"/>
          <w:szCs w:val="24"/>
        </w:rPr>
      </w:pPr>
      <w:r w:rsidRPr="00F36424">
        <w:rPr>
          <w:rFonts w:eastAsia="Times New Roman" w:cs="Arial"/>
          <w:i/>
          <w:iCs/>
          <w:color w:val="000000"/>
          <w:szCs w:val="20"/>
          <w:lang w:eastAsia="bg-BG"/>
        </w:rPr>
        <w:t>Трети триместър</w:t>
      </w:r>
    </w:p>
    <w:p w14:paraId="267D249C" w14:textId="77777777"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При новородени, изложени на антипсихотици (включително и кветиапин) по време на третото тримесечие на бременността, има риск от нежелани реакции, включително екстрапирамидни симптоми и/или симптоми на отнемане, които могат да варират по тежест и продължителност след раждане. Има съобщения за възбуда, хипертония, хипотония, тремор, сънливост, проблеми с дишането и проблеми с храненето. Затова новородените трябва да се наблюдават внимателно.</w:t>
      </w:r>
    </w:p>
    <w:p w14:paraId="44EDFE3A" w14:textId="77777777" w:rsidR="00F36424" w:rsidRPr="00F36424" w:rsidRDefault="00F36424" w:rsidP="00F36424">
      <w:pPr>
        <w:spacing w:line="240" w:lineRule="auto"/>
        <w:rPr>
          <w:rFonts w:eastAsia="Times New Roman" w:cs="Arial"/>
          <w:color w:val="000000"/>
          <w:szCs w:val="20"/>
          <w:u w:val="single"/>
          <w:lang w:eastAsia="bg-BG"/>
        </w:rPr>
      </w:pPr>
    </w:p>
    <w:p w14:paraId="29F242C0" w14:textId="569C4ACA" w:rsidR="00F36424" w:rsidRPr="00F36424" w:rsidRDefault="00F36424" w:rsidP="00F36424">
      <w:pPr>
        <w:pStyle w:val="Heading3"/>
        <w:rPr>
          <w:rFonts w:eastAsia="Times New Roman"/>
          <w:sz w:val="28"/>
          <w:u w:val="single"/>
        </w:rPr>
      </w:pPr>
      <w:r w:rsidRPr="00F36424">
        <w:rPr>
          <w:rFonts w:eastAsia="Times New Roman"/>
          <w:u w:val="single"/>
          <w:lang w:eastAsia="bg-BG"/>
        </w:rPr>
        <w:t>Кърмене</w:t>
      </w:r>
    </w:p>
    <w:p w14:paraId="4DF77D91" w14:textId="77777777"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Въз основа на ограничените данни от публикувани съобщения за екскрецията на кветиапин в кърмата, екскретираното количество кветиапин при приложение в терапевтични дози е променливо. Поради липсата на категорични данни, трябва да се вземе решение дали да се преустанови кърменето или да се спре лечението с кветиапин, въз основа на ползата от кърменето за бебето или ползата от лечението за майката.</w:t>
      </w:r>
    </w:p>
    <w:p w14:paraId="5DA9CFF8" w14:textId="77777777" w:rsidR="00F36424" w:rsidRPr="00F36424" w:rsidRDefault="00F36424" w:rsidP="00F36424">
      <w:pPr>
        <w:spacing w:line="240" w:lineRule="auto"/>
        <w:rPr>
          <w:rFonts w:eastAsia="Times New Roman" w:cs="Arial"/>
          <w:color w:val="000000"/>
          <w:szCs w:val="20"/>
          <w:u w:val="single"/>
          <w:lang w:eastAsia="bg-BG"/>
        </w:rPr>
      </w:pPr>
    </w:p>
    <w:p w14:paraId="2A98F7E6" w14:textId="25F907B7" w:rsidR="00F36424" w:rsidRPr="00F36424" w:rsidRDefault="00F36424" w:rsidP="00F36424">
      <w:pPr>
        <w:pStyle w:val="Heading3"/>
        <w:rPr>
          <w:rFonts w:eastAsia="Times New Roman"/>
          <w:sz w:val="28"/>
          <w:u w:val="single"/>
        </w:rPr>
      </w:pPr>
      <w:r w:rsidRPr="00F36424">
        <w:rPr>
          <w:rFonts w:eastAsia="Times New Roman"/>
          <w:u w:val="single"/>
          <w:lang w:eastAsia="bg-BG"/>
        </w:rPr>
        <w:t>Фертилитет</w:t>
      </w:r>
    </w:p>
    <w:p w14:paraId="7AF065CC" w14:textId="320F35C7" w:rsidR="00F36424" w:rsidRPr="00F36424" w:rsidRDefault="00F36424" w:rsidP="00F36424">
      <w:pPr>
        <w:spacing w:line="240" w:lineRule="auto"/>
        <w:rPr>
          <w:rFonts w:eastAsia="Times New Roman" w:cs="Arial"/>
          <w:sz w:val="28"/>
          <w:szCs w:val="24"/>
        </w:rPr>
      </w:pPr>
      <w:r w:rsidRPr="00F36424">
        <w:rPr>
          <w:rFonts w:eastAsia="Times New Roman" w:cs="Arial"/>
          <w:color w:val="000000"/>
          <w:szCs w:val="20"/>
          <w:lang w:eastAsia="bg-BG"/>
        </w:rPr>
        <w:t>Ефектът на кветаипин върху човешкия фертилитет не е бил оценяван. При плъхове са наблюдавани ефекти, свързани с повишените нива на пролактин, въпреки че не са директно релевантни при хора (вж. точка 5.3).</w:t>
      </w:r>
    </w:p>
    <w:p w14:paraId="0383F924" w14:textId="77777777" w:rsidR="00F36424" w:rsidRPr="00F36424" w:rsidRDefault="00F36424" w:rsidP="00F36424"/>
    <w:p w14:paraId="5766770B" w14:textId="6D15D3A2" w:rsidR="00395555" w:rsidRDefault="002C50EE" w:rsidP="008A6AF2">
      <w:pPr>
        <w:pStyle w:val="Heading2"/>
      </w:pPr>
      <w:r>
        <w:t>4.7. Ефекти върху способността за шофиране и работа с машини</w:t>
      </w:r>
    </w:p>
    <w:p w14:paraId="7964D58D" w14:textId="0C8EF29B" w:rsidR="00F36424" w:rsidRDefault="00F36424" w:rsidP="00F36424"/>
    <w:p w14:paraId="62FDD995" w14:textId="73F272C4" w:rsidR="00F36424" w:rsidRDefault="00F36424" w:rsidP="00F36424">
      <w:r>
        <w:t>Като се имат предвид първичните му ефекти върху централната нервна система, кветиапин може да повлияе дейностите, изискващи психична концентрация и да причини сънливост. Поради това пациентите трябва да бъдат съветвани да не шофират или да не работят с машини до изясняване на индивидуалната им чувствителност.</w:t>
      </w:r>
    </w:p>
    <w:p w14:paraId="3729CAE8" w14:textId="77777777" w:rsidR="00F36424" w:rsidRPr="00F36424" w:rsidRDefault="00F36424" w:rsidP="00F36424"/>
    <w:p w14:paraId="1EA1B080" w14:textId="70E74943" w:rsidR="00F36424" w:rsidRPr="00F36424" w:rsidRDefault="002C50EE" w:rsidP="00F36424">
      <w:pPr>
        <w:pStyle w:val="Heading2"/>
      </w:pPr>
      <w:r>
        <w:t>4.8. Нежелани лекарствени реакции</w:t>
      </w:r>
    </w:p>
    <w:p w14:paraId="34604EAC" w14:textId="5959E9F1" w:rsidR="00F36424" w:rsidRDefault="00F36424" w:rsidP="00F36424"/>
    <w:p w14:paraId="77A55458" w14:textId="06EB1274" w:rsidR="00F36424" w:rsidRPr="00F36424" w:rsidRDefault="00F36424" w:rsidP="00F36424">
      <w:pPr>
        <w:spacing w:line="240" w:lineRule="auto"/>
        <w:rPr>
          <w:rFonts w:eastAsia="Times New Roman" w:cs="Arial"/>
          <w:color w:val="000000"/>
          <w:lang w:eastAsia="bg-BG"/>
        </w:rPr>
      </w:pPr>
      <w:r w:rsidRPr="00F36424">
        <w:rPr>
          <w:rFonts w:eastAsia="Times New Roman" w:cs="Arial"/>
          <w:color w:val="000000"/>
          <w:lang w:eastAsia="bg-BG"/>
        </w:rPr>
        <w:t xml:space="preserve">Най-често съобщаваните (≥10%) нежелани реакции при кветиапин са сомнолентност, замаяност, главоболие, сухота в устата, симптоми на отнемане (прекратяване на лечението), повишение на серумните триглицериди, повишение на общия холестерол (предимно </w:t>
      </w:r>
      <w:r w:rsidRPr="00F36424">
        <w:rPr>
          <w:rFonts w:eastAsia="Times New Roman" w:cs="Arial"/>
          <w:color w:val="000000"/>
          <w:lang w:val="en-US"/>
        </w:rPr>
        <w:t>LDL</w:t>
      </w:r>
      <w:r w:rsidRPr="00F36424">
        <w:rPr>
          <w:rFonts w:eastAsia="Times New Roman" w:cs="Arial"/>
          <w:color w:val="000000"/>
          <w:lang w:val="ru-RU"/>
        </w:rPr>
        <w:t xml:space="preserve"> </w:t>
      </w:r>
      <w:r w:rsidRPr="00F36424">
        <w:rPr>
          <w:rFonts w:eastAsia="Times New Roman" w:cs="Arial"/>
          <w:color w:val="000000"/>
          <w:lang w:eastAsia="bg-BG"/>
        </w:rPr>
        <w:t xml:space="preserve">холестерола), понижение на </w:t>
      </w:r>
      <w:r w:rsidRPr="00F36424">
        <w:rPr>
          <w:rFonts w:eastAsia="Times New Roman" w:cs="Arial"/>
          <w:color w:val="000000"/>
          <w:lang w:val="en-US"/>
        </w:rPr>
        <w:t>HDL</w:t>
      </w:r>
      <w:r w:rsidRPr="00F36424">
        <w:rPr>
          <w:rFonts w:eastAsia="Times New Roman" w:cs="Arial"/>
          <w:color w:val="000000"/>
          <w:lang w:val="ru-RU"/>
        </w:rPr>
        <w:t xml:space="preserve"> </w:t>
      </w:r>
      <w:r w:rsidRPr="00F36424">
        <w:rPr>
          <w:rFonts w:eastAsia="Times New Roman" w:cs="Arial"/>
          <w:color w:val="000000"/>
          <w:lang w:eastAsia="bg-BG"/>
        </w:rPr>
        <w:t>холестерола, повишение на теглото, понижен хемоглобин и екстрапирамидни симптоми.</w:t>
      </w:r>
    </w:p>
    <w:p w14:paraId="20CF7872" w14:textId="77777777" w:rsidR="00F36424" w:rsidRPr="00F36424" w:rsidRDefault="00F36424" w:rsidP="00F36424">
      <w:pPr>
        <w:rPr>
          <w:rFonts w:eastAsia="Times New Roman" w:cs="Arial"/>
          <w:color w:val="000000"/>
          <w:lang w:eastAsia="bg-BG"/>
        </w:rPr>
      </w:pPr>
    </w:p>
    <w:p w14:paraId="69709D36" w14:textId="032F8FE3" w:rsidR="00F36424" w:rsidRPr="00F36424" w:rsidRDefault="00F36424" w:rsidP="00F36424">
      <w:pPr>
        <w:rPr>
          <w:rFonts w:eastAsia="Times New Roman" w:cs="Arial"/>
          <w:color w:val="000000"/>
          <w:lang w:eastAsia="bg-BG"/>
        </w:rPr>
      </w:pPr>
      <w:r w:rsidRPr="00F36424">
        <w:rPr>
          <w:rFonts w:eastAsia="Times New Roman" w:cs="Arial"/>
          <w:color w:val="000000"/>
          <w:lang w:eastAsia="bg-BG"/>
        </w:rPr>
        <w:lastRenderedPageBreak/>
        <w:t xml:space="preserve">Честотите на нежеланите лекарствени реакции, свързани с приема на кветиапин, са поместени в табличен вид (Таблица 1), във формат, препоръчван от </w:t>
      </w:r>
      <w:r w:rsidRPr="00F36424">
        <w:rPr>
          <w:rFonts w:eastAsia="Times New Roman" w:cs="Arial"/>
          <w:color w:val="000000"/>
          <w:lang w:val="en-US"/>
        </w:rPr>
        <w:t>Council</w:t>
      </w:r>
      <w:r w:rsidRPr="00F36424">
        <w:rPr>
          <w:rFonts w:eastAsia="Times New Roman" w:cs="Arial"/>
          <w:color w:val="000000"/>
        </w:rPr>
        <w:t xml:space="preserve"> </w:t>
      </w:r>
      <w:r w:rsidRPr="00F36424">
        <w:rPr>
          <w:rFonts w:eastAsia="Times New Roman" w:cs="Arial"/>
          <w:color w:val="000000"/>
          <w:lang w:val="en-US"/>
        </w:rPr>
        <w:t>for</w:t>
      </w:r>
      <w:r w:rsidRPr="00F36424">
        <w:rPr>
          <w:rFonts w:eastAsia="Times New Roman" w:cs="Arial"/>
          <w:color w:val="000000"/>
        </w:rPr>
        <w:t xml:space="preserve"> </w:t>
      </w:r>
      <w:r w:rsidRPr="00F36424">
        <w:rPr>
          <w:rFonts w:eastAsia="Times New Roman" w:cs="Arial"/>
          <w:color w:val="000000"/>
          <w:lang w:val="en-US"/>
        </w:rPr>
        <w:t>International</w:t>
      </w:r>
      <w:r w:rsidRPr="00F36424">
        <w:rPr>
          <w:rFonts w:eastAsia="Times New Roman" w:cs="Arial"/>
          <w:color w:val="000000"/>
        </w:rPr>
        <w:t xml:space="preserve"> </w:t>
      </w:r>
      <w:r w:rsidRPr="00F36424">
        <w:rPr>
          <w:rFonts w:eastAsia="Times New Roman" w:cs="Arial"/>
          <w:color w:val="000000"/>
          <w:lang w:val="en-US"/>
        </w:rPr>
        <w:t>Organizations</w:t>
      </w:r>
      <w:r w:rsidRPr="00F36424">
        <w:rPr>
          <w:rFonts w:eastAsia="Times New Roman" w:cs="Arial"/>
          <w:color w:val="000000"/>
        </w:rPr>
        <w:t xml:space="preserve"> </w:t>
      </w:r>
      <w:r w:rsidRPr="00F36424">
        <w:rPr>
          <w:rFonts w:eastAsia="Times New Roman" w:cs="Arial"/>
          <w:color w:val="000000"/>
          <w:lang w:val="en-US"/>
        </w:rPr>
        <w:t>of</w:t>
      </w:r>
      <w:r w:rsidRPr="00F36424">
        <w:rPr>
          <w:rFonts w:eastAsia="Times New Roman" w:cs="Arial"/>
          <w:color w:val="000000"/>
        </w:rPr>
        <w:t xml:space="preserve"> </w:t>
      </w:r>
      <w:r w:rsidRPr="00F36424">
        <w:rPr>
          <w:rFonts w:eastAsia="Times New Roman" w:cs="Arial"/>
          <w:color w:val="000000"/>
          <w:lang w:val="en-US"/>
        </w:rPr>
        <w:t>Medical</w:t>
      </w:r>
      <w:r w:rsidRPr="00F36424">
        <w:rPr>
          <w:rFonts w:eastAsia="Times New Roman" w:cs="Arial"/>
          <w:color w:val="000000"/>
        </w:rPr>
        <w:t xml:space="preserve"> </w:t>
      </w:r>
      <w:r w:rsidRPr="00F36424">
        <w:rPr>
          <w:rFonts w:eastAsia="Times New Roman" w:cs="Arial"/>
          <w:color w:val="000000"/>
          <w:lang w:val="en-US"/>
        </w:rPr>
        <w:t>Sciences</w:t>
      </w:r>
      <w:r w:rsidRPr="00F36424">
        <w:rPr>
          <w:rFonts w:eastAsia="Times New Roman" w:cs="Arial"/>
          <w:color w:val="000000"/>
        </w:rPr>
        <w:t xml:space="preserve"> - </w:t>
      </w:r>
      <w:r w:rsidRPr="00F36424">
        <w:rPr>
          <w:rFonts w:eastAsia="Times New Roman" w:cs="Arial"/>
          <w:color w:val="000000"/>
          <w:lang w:eastAsia="bg-BG"/>
        </w:rPr>
        <w:t>Съвета на</w:t>
      </w:r>
      <w:r w:rsidRPr="00F36424">
        <w:rPr>
          <w:rFonts w:eastAsia="Times New Roman" w:cs="Arial"/>
          <w:color w:val="000000"/>
        </w:rPr>
        <w:t xml:space="preserve"> </w:t>
      </w:r>
      <w:r w:rsidRPr="00F36424">
        <w:rPr>
          <w:rFonts w:eastAsia="Times New Roman" w:cs="Arial"/>
          <w:color w:val="000000"/>
          <w:lang w:eastAsia="bg-BG"/>
        </w:rPr>
        <w:t xml:space="preserve">Международните Организации за Медицински Науки </w:t>
      </w:r>
      <w:r w:rsidRPr="00F36424">
        <w:rPr>
          <w:rFonts w:eastAsia="Times New Roman" w:cs="Arial"/>
          <w:color w:val="000000"/>
        </w:rPr>
        <w:t>(</w:t>
      </w:r>
      <w:r w:rsidRPr="00F36424">
        <w:rPr>
          <w:rFonts w:eastAsia="Times New Roman" w:cs="Arial"/>
          <w:color w:val="000000"/>
          <w:lang w:val="en-US"/>
        </w:rPr>
        <w:t>CIOMS</w:t>
      </w:r>
      <w:r w:rsidRPr="00F36424">
        <w:rPr>
          <w:rFonts w:eastAsia="Times New Roman" w:cs="Arial"/>
          <w:color w:val="000000"/>
        </w:rPr>
        <w:t xml:space="preserve"> </w:t>
      </w:r>
      <w:r w:rsidRPr="00F36424">
        <w:rPr>
          <w:rFonts w:eastAsia="Times New Roman" w:cs="Arial"/>
          <w:color w:val="000000"/>
          <w:lang w:val="en-US"/>
        </w:rPr>
        <w:t>III</w:t>
      </w:r>
      <w:r w:rsidRPr="00F36424">
        <w:rPr>
          <w:rFonts w:eastAsia="Times New Roman" w:cs="Arial"/>
          <w:color w:val="000000"/>
        </w:rPr>
        <w:t xml:space="preserve"> </w:t>
      </w:r>
      <w:r w:rsidRPr="00F36424">
        <w:rPr>
          <w:rFonts w:eastAsia="Times New Roman" w:cs="Arial"/>
          <w:color w:val="000000"/>
          <w:lang w:val="en-US"/>
        </w:rPr>
        <w:t>Working</w:t>
      </w:r>
      <w:r w:rsidRPr="00F36424">
        <w:rPr>
          <w:rFonts w:eastAsia="Times New Roman" w:cs="Arial"/>
          <w:color w:val="000000"/>
        </w:rPr>
        <w:t xml:space="preserve"> </w:t>
      </w:r>
      <w:r w:rsidRPr="00F36424">
        <w:rPr>
          <w:rFonts w:eastAsia="Times New Roman" w:cs="Arial"/>
          <w:color w:val="000000"/>
          <w:lang w:val="en-US"/>
        </w:rPr>
        <w:t>Group</w:t>
      </w:r>
      <w:r w:rsidRPr="00F36424">
        <w:rPr>
          <w:rFonts w:eastAsia="Times New Roman" w:cs="Arial"/>
          <w:color w:val="000000"/>
        </w:rPr>
        <w:t xml:space="preserve">; </w:t>
      </w:r>
      <w:r w:rsidRPr="00F36424">
        <w:rPr>
          <w:rFonts w:eastAsia="Times New Roman" w:cs="Arial"/>
          <w:color w:val="000000"/>
          <w:lang w:eastAsia="bg-BG"/>
        </w:rPr>
        <w:t>1995).</w:t>
      </w:r>
    </w:p>
    <w:p w14:paraId="52AF9D3A" w14:textId="362FA8E4" w:rsidR="00F36424" w:rsidRPr="00F36424" w:rsidRDefault="00F36424" w:rsidP="00F36424">
      <w:pPr>
        <w:rPr>
          <w:rFonts w:eastAsia="Times New Roman" w:cs="Arial"/>
          <w:color w:val="000000"/>
          <w:lang w:eastAsia="bg-BG"/>
        </w:rPr>
      </w:pPr>
    </w:p>
    <w:p w14:paraId="6AFE0BD4" w14:textId="77777777"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Таблица 1 Нежелани ракции, свързани е терапия с кветиапин</w:t>
      </w:r>
    </w:p>
    <w:p w14:paraId="3672DCD8" w14:textId="77777777" w:rsidR="00F36424" w:rsidRPr="00F36424" w:rsidRDefault="00F36424" w:rsidP="00F36424">
      <w:pPr>
        <w:spacing w:line="240" w:lineRule="auto"/>
        <w:rPr>
          <w:rFonts w:eastAsia="Times New Roman" w:cs="Arial"/>
          <w:b/>
          <w:bCs/>
          <w:color w:val="000000"/>
          <w:lang w:eastAsia="bg-BG"/>
        </w:rPr>
      </w:pPr>
    </w:p>
    <w:p w14:paraId="2F18C2CC" w14:textId="67B218EB"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Честотите на нежеланите реакции са степенувани, както следва:</w:t>
      </w:r>
    </w:p>
    <w:p w14:paraId="63F5CC79" w14:textId="77777777" w:rsidR="00F36424" w:rsidRPr="00F36424" w:rsidRDefault="00F36424" w:rsidP="00F36424">
      <w:pPr>
        <w:spacing w:line="240" w:lineRule="auto"/>
        <w:rPr>
          <w:rFonts w:eastAsia="Times New Roman" w:cs="Arial"/>
        </w:rPr>
      </w:pPr>
      <w:r w:rsidRPr="00F36424">
        <w:rPr>
          <w:rFonts w:eastAsia="Times New Roman" w:cs="Arial"/>
          <w:b/>
          <w:bCs/>
          <w:color w:val="000000"/>
          <w:lang w:eastAsia="bg-BG"/>
        </w:rPr>
        <w:t>Много чести (≥1/10), чести (≥1/100, &lt;1/10), нечести (≥1/1000, &lt;1/100), редки (≥1/10 000, &lt;1/1000), много редки (&lt;1/10 000),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1267"/>
        <w:gridCol w:w="1387"/>
        <w:gridCol w:w="1408"/>
        <w:gridCol w:w="1328"/>
        <w:gridCol w:w="1526"/>
        <w:gridCol w:w="1211"/>
        <w:gridCol w:w="1223"/>
      </w:tblGrid>
      <w:tr w:rsidR="00F36424" w14:paraId="787B4C15" w14:textId="77777777" w:rsidTr="00F36424">
        <w:tc>
          <w:tcPr>
            <w:tcW w:w="1311" w:type="dxa"/>
            <w:vAlign w:val="bottom"/>
          </w:tcPr>
          <w:p w14:paraId="42D42DC5" w14:textId="489F839D" w:rsidR="00F36424" w:rsidRPr="00F36424" w:rsidRDefault="00F36424" w:rsidP="00F36424">
            <w:pPr>
              <w:rPr>
                <w:rFonts w:cs="Arial"/>
              </w:rPr>
            </w:pPr>
            <w:r w:rsidRPr="00F36424">
              <w:rPr>
                <w:rFonts w:cs="Arial"/>
                <w:b/>
                <w:bCs/>
              </w:rPr>
              <w:t>Системо- органен клас</w:t>
            </w:r>
          </w:p>
        </w:tc>
        <w:tc>
          <w:tcPr>
            <w:tcW w:w="1437" w:type="dxa"/>
          </w:tcPr>
          <w:p w14:paraId="60ECB15C" w14:textId="2A88F807" w:rsidR="00F36424" w:rsidRPr="00F36424" w:rsidRDefault="00F36424" w:rsidP="00F36424">
            <w:pPr>
              <w:rPr>
                <w:rFonts w:cs="Arial"/>
              </w:rPr>
            </w:pPr>
            <w:r w:rsidRPr="00F36424">
              <w:rPr>
                <w:rFonts w:cs="Arial"/>
                <w:b/>
                <w:bCs/>
              </w:rPr>
              <w:t>Много чести</w:t>
            </w:r>
          </w:p>
        </w:tc>
        <w:tc>
          <w:tcPr>
            <w:tcW w:w="1459" w:type="dxa"/>
          </w:tcPr>
          <w:p w14:paraId="735D0B9B" w14:textId="639FDDC9" w:rsidR="00F36424" w:rsidRPr="00F36424" w:rsidRDefault="00F36424" w:rsidP="00F36424">
            <w:pPr>
              <w:rPr>
                <w:rFonts w:cs="Arial"/>
              </w:rPr>
            </w:pPr>
            <w:r w:rsidRPr="00F36424">
              <w:rPr>
                <w:rFonts w:cs="Arial"/>
                <w:b/>
                <w:bCs/>
              </w:rPr>
              <w:t>Чести</w:t>
            </w:r>
          </w:p>
        </w:tc>
        <w:tc>
          <w:tcPr>
            <w:tcW w:w="1376" w:type="dxa"/>
          </w:tcPr>
          <w:p w14:paraId="53933CCF" w14:textId="070C5F89" w:rsidR="00F36424" w:rsidRPr="00F36424" w:rsidRDefault="00F36424" w:rsidP="00F36424">
            <w:pPr>
              <w:rPr>
                <w:rFonts w:cs="Arial"/>
              </w:rPr>
            </w:pPr>
            <w:r w:rsidRPr="00F36424">
              <w:rPr>
                <w:rFonts w:cs="Arial"/>
                <w:b/>
                <w:bCs/>
              </w:rPr>
              <w:t>Нечести</w:t>
            </w:r>
          </w:p>
        </w:tc>
        <w:tc>
          <w:tcPr>
            <w:tcW w:w="1582" w:type="dxa"/>
          </w:tcPr>
          <w:p w14:paraId="5290A2A5" w14:textId="00B9B363" w:rsidR="00F36424" w:rsidRPr="00F36424" w:rsidRDefault="00F36424" w:rsidP="00F36424">
            <w:pPr>
              <w:rPr>
                <w:rFonts w:cs="Arial"/>
              </w:rPr>
            </w:pPr>
            <w:r w:rsidRPr="00F36424">
              <w:rPr>
                <w:rFonts w:cs="Arial"/>
                <w:b/>
                <w:bCs/>
              </w:rPr>
              <w:t>Редки</w:t>
            </w:r>
          </w:p>
        </w:tc>
        <w:tc>
          <w:tcPr>
            <w:tcW w:w="1254" w:type="dxa"/>
          </w:tcPr>
          <w:p w14:paraId="11BC7ECB" w14:textId="6F237B4F" w:rsidR="00F36424" w:rsidRPr="00F36424" w:rsidRDefault="00F36424" w:rsidP="00F36424">
            <w:pPr>
              <w:rPr>
                <w:rFonts w:cs="Arial"/>
              </w:rPr>
            </w:pPr>
            <w:r w:rsidRPr="00F36424">
              <w:rPr>
                <w:rFonts w:cs="Arial"/>
                <w:b/>
                <w:bCs/>
              </w:rPr>
              <w:t>Много редки</w:t>
            </w:r>
          </w:p>
        </w:tc>
        <w:tc>
          <w:tcPr>
            <w:tcW w:w="1157" w:type="dxa"/>
            <w:vAlign w:val="bottom"/>
          </w:tcPr>
          <w:p w14:paraId="0758E5FA" w14:textId="3F3E7532" w:rsidR="00F36424" w:rsidRPr="00F36424" w:rsidRDefault="00F36424" w:rsidP="00F36424">
            <w:pPr>
              <w:rPr>
                <w:rFonts w:cs="Arial"/>
              </w:rPr>
            </w:pPr>
            <w:r w:rsidRPr="00F36424">
              <w:rPr>
                <w:rFonts w:cs="Arial"/>
                <w:b/>
                <w:bCs/>
              </w:rPr>
              <w:t>С неизвестна честота</w:t>
            </w:r>
          </w:p>
        </w:tc>
      </w:tr>
      <w:tr w:rsidR="00F36424" w14:paraId="6380B649" w14:textId="77777777" w:rsidTr="00F36424">
        <w:tc>
          <w:tcPr>
            <w:tcW w:w="1311" w:type="dxa"/>
          </w:tcPr>
          <w:p w14:paraId="2D22BE89" w14:textId="5A22C8F8" w:rsidR="00F36424" w:rsidRPr="00F36424" w:rsidRDefault="00F36424" w:rsidP="00F36424">
            <w:pPr>
              <w:rPr>
                <w:rFonts w:cs="Arial"/>
              </w:rPr>
            </w:pPr>
            <w:r w:rsidRPr="00F36424">
              <w:rPr>
                <w:rFonts w:cs="Arial"/>
                <w:i/>
                <w:iCs/>
              </w:rPr>
              <w:t>Нарушения на кръвта и лимфната системи</w:t>
            </w:r>
          </w:p>
        </w:tc>
        <w:tc>
          <w:tcPr>
            <w:tcW w:w="1437" w:type="dxa"/>
          </w:tcPr>
          <w:p w14:paraId="28F45FD1" w14:textId="0384A8B7" w:rsidR="00F36424" w:rsidRPr="00F36424" w:rsidRDefault="00F36424" w:rsidP="00F36424">
            <w:pPr>
              <w:rPr>
                <w:rFonts w:cs="Arial"/>
              </w:rPr>
            </w:pPr>
            <w:r w:rsidRPr="00F36424">
              <w:rPr>
                <w:rFonts w:cs="Arial"/>
              </w:rPr>
              <w:t>Понижен хемоглобин</w:t>
            </w:r>
          </w:p>
        </w:tc>
        <w:tc>
          <w:tcPr>
            <w:tcW w:w="1459" w:type="dxa"/>
          </w:tcPr>
          <w:p w14:paraId="420CAACB" w14:textId="1349270F" w:rsidR="00F36424" w:rsidRPr="00F36424" w:rsidRDefault="00F36424" w:rsidP="00F36424">
            <w:pPr>
              <w:rPr>
                <w:rFonts w:cs="Arial"/>
              </w:rPr>
            </w:pPr>
            <w:r w:rsidRPr="00F36424">
              <w:rPr>
                <w:rFonts w:cs="Arial"/>
              </w:rPr>
              <w:t>Левкопения</w:t>
            </w:r>
            <w:r w:rsidRPr="00F36424">
              <w:rPr>
                <w:rFonts w:cs="Arial"/>
                <w:vertAlign w:val="superscript"/>
              </w:rPr>
              <w:t>1,28</w:t>
            </w:r>
            <w:r w:rsidRPr="00F36424">
              <w:rPr>
                <w:rFonts w:cs="Arial"/>
              </w:rPr>
              <w:t>, намален брой на неутрофилите, еозинофилия</w:t>
            </w:r>
            <w:r w:rsidRPr="00F36424">
              <w:rPr>
                <w:rFonts w:cs="Arial"/>
                <w:vertAlign w:val="superscript"/>
              </w:rPr>
              <w:t>27</w:t>
            </w:r>
          </w:p>
        </w:tc>
        <w:tc>
          <w:tcPr>
            <w:tcW w:w="1376" w:type="dxa"/>
          </w:tcPr>
          <w:p w14:paraId="7B010DBA" w14:textId="786C3539" w:rsidR="00F36424" w:rsidRPr="00F36424" w:rsidRDefault="00F36424" w:rsidP="00F36424">
            <w:pPr>
              <w:rPr>
                <w:rFonts w:cs="Arial"/>
              </w:rPr>
            </w:pPr>
            <w:r w:rsidRPr="00F36424">
              <w:rPr>
                <w:rFonts w:cs="Arial"/>
              </w:rPr>
              <w:t>Неутропения</w:t>
            </w:r>
            <w:r w:rsidRPr="00F36424">
              <w:rPr>
                <w:rFonts w:cs="Arial"/>
                <w:vertAlign w:val="superscript"/>
              </w:rPr>
              <w:t>1</w:t>
            </w:r>
            <w:r w:rsidRPr="00F36424">
              <w:rPr>
                <w:rFonts w:cs="Arial"/>
              </w:rPr>
              <w:t>, тромбоцитопе- ния, анемия, намален брой на тромбоци- тите</w:t>
            </w:r>
            <w:r w:rsidRPr="00F36424">
              <w:rPr>
                <w:rFonts w:cs="Arial"/>
                <w:vertAlign w:val="superscript"/>
              </w:rPr>
              <w:t>13</w:t>
            </w:r>
          </w:p>
        </w:tc>
        <w:tc>
          <w:tcPr>
            <w:tcW w:w="1582" w:type="dxa"/>
          </w:tcPr>
          <w:p w14:paraId="72788C8E" w14:textId="6A42D68C" w:rsidR="00F36424" w:rsidRPr="00F36424" w:rsidRDefault="00F36424" w:rsidP="00F36424">
            <w:pPr>
              <w:rPr>
                <w:rFonts w:cs="Arial"/>
              </w:rPr>
            </w:pPr>
            <w:r w:rsidRPr="00F36424">
              <w:rPr>
                <w:rFonts w:cs="Arial"/>
              </w:rPr>
              <w:t>Агранулоцитоза</w:t>
            </w:r>
            <w:r w:rsidRPr="00F36424">
              <w:rPr>
                <w:rFonts w:cs="Arial"/>
                <w:vertAlign w:val="superscript"/>
              </w:rPr>
              <w:t>26</w:t>
            </w:r>
          </w:p>
        </w:tc>
        <w:tc>
          <w:tcPr>
            <w:tcW w:w="1254" w:type="dxa"/>
          </w:tcPr>
          <w:p w14:paraId="15B52AAF" w14:textId="77777777" w:rsidR="00F36424" w:rsidRPr="00F36424" w:rsidRDefault="00F36424" w:rsidP="00F36424">
            <w:pPr>
              <w:rPr>
                <w:rFonts w:cs="Arial"/>
              </w:rPr>
            </w:pPr>
          </w:p>
        </w:tc>
        <w:tc>
          <w:tcPr>
            <w:tcW w:w="1157" w:type="dxa"/>
          </w:tcPr>
          <w:p w14:paraId="6233423B" w14:textId="77777777" w:rsidR="00F36424" w:rsidRPr="00F36424" w:rsidRDefault="00F36424" w:rsidP="00F36424">
            <w:pPr>
              <w:rPr>
                <w:rFonts w:cs="Arial"/>
              </w:rPr>
            </w:pPr>
          </w:p>
        </w:tc>
      </w:tr>
      <w:tr w:rsidR="00F36424" w14:paraId="1BC8571A" w14:textId="77777777" w:rsidTr="00F36424">
        <w:tc>
          <w:tcPr>
            <w:tcW w:w="1311" w:type="dxa"/>
          </w:tcPr>
          <w:p w14:paraId="5BDDFB17" w14:textId="212DA907" w:rsidR="00F36424" w:rsidRPr="00F36424" w:rsidRDefault="00F36424" w:rsidP="00F36424">
            <w:pPr>
              <w:rPr>
                <w:rFonts w:cs="Arial"/>
              </w:rPr>
            </w:pPr>
            <w:r w:rsidRPr="00F36424">
              <w:rPr>
                <w:rFonts w:cs="Arial"/>
                <w:i/>
                <w:iCs/>
              </w:rPr>
              <w:t>Нарушения на имунната система</w:t>
            </w:r>
          </w:p>
        </w:tc>
        <w:tc>
          <w:tcPr>
            <w:tcW w:w="1437" w:type="dxa"/>
          </w:tcPr>
          <w:p w14:paraId="6DF682C3" w14:textId="77777777" w:rsidR="00F36424" w:rsidRPr="00F36424" w:rsidRDefault="00F36424" w:rsidP="00F36424">
            <w:pPr>
              <w:rPr>
                <w:rFonts w:cs="Arial"/>
              </w:rPr>
            </w:pPr>
          </w:p>
        </w:tc>
        <w:tc>
          <w:tcPr>
            <w:tcW w:w="1459" w:type="dxa"/>
          </w:tcPr>
          <w:p w14:paraId="250351C7" w14:textId="77777777" w:rsidR="00F36424" w:rsidRPr="00F36424" w:rsidRDefault="00F36424" w:rsidP="00F36424">
            <w:pPr>
              <w:rPr>
                <w:rFonts w:cs="Arial"/>
              </w:rPr>
            </w:pPr>
          </w:p>
        </w:tc>
        <w:tc>
          <w:tcPr>
            <w:tcW w:w="1376" w:type="dxa"/>
            <w:vAlign w:val="bottom"/>
          </w:tcPr>
          <w:p w14:paraId="0B64F82B" w14:textId="6FBA4828" w:rsidR="00F36424" w:rsidRPr="00F36424" w:rsidRDefault="00F36424" w:rsidP="00F36424">
            <w:pPr>
              <w:rPr>
                <w:rFonts w:cs="Arial"/>
              </w:rPr>
            </w:pPr>
            <w:r w:rsidRPr="00F36424">
              <w:rPr>
                <w:rFonts w:cs="Arial"/>
              </w:rPr>
              <w:t>Свръхчувстви</w:t>
            </w:r>
            <w:r w:rsidRPr="00F36424">
              <w:rPr>
                <w:rFonts w:cs="Arial"/>
              </w:rPr>
              <w:softHyphen/>
              <w:t>телност (включително алергични кожни реакции)</w:t>
            </w:r>
          </w:p>
        </w:tc>
        <w:tc>
          <w:tcPr>
            <w:tcW w:w="1582" w:type="dxa"/>
          </w:tcPr>
          <w:p w14:paraId="3B9137ED" w14:textId="77777777" w:rsidR="00F36424" w:rsidRPr="00F36424" w:rsidRDefault="00F36424" w:rsidP="00F36424">
            <w:pPr>
              <w:rPr>
                <w:rFonts w:cs="Arial"/>
              </w:rPr>
            </w:pPr>
          </w:p>
        </w:tc>
        <w:tc>
          <w:tcPr>
            <w:tcW w:w="1254" w:type="dxa"/>
          </w:tcPr>
          <w:p w14:paraId="4D1B62AD" w14:textId="586F25D5" w:rsidR="00F36424" w:rsidRPr="00F36424" w:rsidRDefault="00F36424" w:rsidP="00F36424">
            <w:pPr>
              <w:rPr>
                <w:rFonts w:cs="Arial"/>
              </w:rPr>
            </w:pPr>
            <w:r w:rsidRPr="00F36424">
              <w:rPr>
                <w:rFonts w:cs="Arial"/>
              </w:rPr>
              <w:t>Анафилак- тична реакция</w:t>
            </w:r>
            <w:r w:rsidRPr="00F36424">
              <w:rPr>
                <w:rFonts w:cs="Arial"/>
                <w:vertAlign w:val="superscript"/>
              </w:rPr>
              <w:t>5</w:t>
            </w:r>
          </w:p>
        </w:tc>
        <w:tc>
          <w:tcPr>
            <w:tcW w:w="1157" w:type="dxa"/>
          </w:tcPr>
          <w:p w14:paraId="2EA5700C" w14:textId="77777777" w:rsidR="00F36424" w:rsidRPr="00F36424" w:rsidRDefault="00F36424" w:rsidP="00F36424">
            <w:pPr>
              <w:rPr>
                <w:rFonts w:cs="Arial"/>
              </w:rPr>
            </w:pPr>
          </w:p>
        </w:tc>
      </w:tr>
      <w:tr w:rsidR="00F36424" w14:paraId="01400AFC" w14:textId="77777777" w:rsidTr="00F36424">
        <w:tc>
          <w:tcPr>
            <w:tcW w:w="1311" w:type="dxa"/>
          </w:tcPr>
          <w:p w14:paraId="6FC232A5" w14:textId="3B0B4D99" w:rsidR="00F36424" w:rsidRPr="00F36424" w:rsidRDefault="00F36424" w:rsidP="00F36424">
            <w:pPr>
              <w:rPr>
                <w:rFonts w:cs="Arial"/>
              </w:rPr>
            </w:pPr>
            <w:r w:rsidRPr="00F36424">
              <w:rPr>
                <w:rFonts w:cs="Arial"/>
                <w:i/>
                <w:iCs/>
              </w:rPr>
              <w:t>Нарушения на ендокринна</w:t>
            </w:r>
            <w:r w:rsidRPr="00F36424">
              <w:rPr>
                <w:rFonts w:cs="Arial"/>
                <w:i/>
                <w:iCs/>
              </w:rPr>
              <w:softHyphen/>
              <w:t>та система</w:t>
            </w:r>
          </w:p>
        </w:tc>
        <w:tc>
          <w:tcPr>
            <w:tcW w:w="1437" w:type="dxa"/>
          </w:tcPr>
          <w:p w14:paraId="081DD89C" w14:textId="77777777" w:rsidR="00F36424" w:rsidRPr="00F36424" w:rsidRDefault="00F36424" w:rsidP="00F36424">
            <w:pPr>
              <w:rPr>
                <w:rFonts w:cs="Arial"/>
              </w:rPr>
            </w:pPr>
          </w:p>
        </w:tc>
        <w:tc>
          <w:tcPr>
            <w:tcW w:w="1459" w:type="dxa"/>
            <w:vAlign w:val="bottom"/>
          </w:tcPr>
          <w:p w14:paraId="7C0B851A" w14:textId="3BACABAB" w:rsidR="00F36424" w:rsidRPr="00F36424" w:rsidRDefault="00F36424" w:rsidP="00F36424">
            <w:pPr>
              <w:rPr>
                <w:rFonts w:cs="Arial"/>
              </w:rPr>
            </w:pPr>
            <w:r w:rsidRPr="00F36424">
              <w:rPr>
                <w:rFonts w:cs="Arial"/>
              </w:rPr>
              <w:t>Хиперпролакти- немия</w:t>
            </w:r>
            <w:r w:rsidRPr="00F36424">
              <w:rPr>
                <w:rFonts w:cs="Arial"/>
                <w:vertAlign w:val="superscript"/>
              </w:rPr>
              <w:t>15</w:t>
            </w:r>
            <w:r w:rsidRPr="00F36424">
              <w:rPr>
                <w:rFonts w:cs="Arial"/>
              </w:rPr>
              <w:t>, намаляване на общия Т</w:t>
            </w:r>
            <w:r w:rsidRPr="00F36424">
              <w:rPr>
                <w:rFonts w:cs="Arial"/>
                <w:vertAlign w:val="subscript"/>
              </w:rPr>
              <w:t>4</w:t>
            </w:r>
            <w:r w:rsidRPr="00F36424">
              <w:rPr>
                <w:rFonts w:cs="Arial"/>
                <w:vertAlign w:val="superscript"/>
              </w:rPr>
              <w:t>24</w:t>
            </w:r>
            <w:r w:rsidRPr="00F36424">
              <w:rPr>
                <w:rFonts w:cs="Arial"/>
              </w:rPr>
              <w:t>, Намаляване на свободния Т</w:t>
            </w:r>
            <w:r w:rsidRPr="00F36424">
              <w:rPr>
                <w:rFonts w:cs="Arial"/>
                <w:vertAlign w:val="subscript"/>
              </w:rPr>
              <w:t>4</w:t>
            </w:r>
            <w:r w:rsidRPr="00F36424">
              <w:rPr>
                <w:rFonts w:cs="Arial"/>
                <w:vertAlign w:val="superscript"/>
              </w:rPr>
              <w:t>24</w:t>
            </w:r>
            <w:r w:rsidRPr="00F36424">
              <w:rPr>
                <w:rFonts w:cs="Arial"/>
              </w:rPr>
              <w:t>, понижаване на общия Т</w:t>
            </w:r>
            <w:r w:rsidRPr="00F36424">
              <w:rPr>
                <w:rFonts w:cs="Arial"/>
                <w:vertAlign w:val="subscript"/>
              </w:rPr>
              <w:t>3</w:t>
            </w:r>
            <w:r w:rsidRPr="00F36424">
              <w:rPr>
                <w:rFonts w:cs="Arial"/>
                <w:vertAlign w:val="superscript"/>
              </w:rPr>
              <w:t>24</w:t>
            </w:r>
            <w:r w:rsidRPr="00F36424">
              <w:rPr>
                <w:rFonts w:cs="Arial"/>
              </w:rPr>
              <w:t xml:space="preserve">, повишение на </w:t>
            </w:r>
            <w:r w:rsidRPr="00F36424">
              <w:rPr>
                <w:rFonts w:cs="Arial"/>
                <w:lang w:val="en-US"/>
              </w:rPr>
              <w:t>TSH</w:t>
            </w:r>
            <w:r w:rsidRPr="00F36424">
              <w:rPr>
                <w:rFonts w:cs="Arial"/>
                <w:lang w:val="ru-RU"/>
              </w:rPr>
              <w:t xml:space="preserve"> </w:t>
            </w:r>
            <w:r w:rsidRPr="00F36424">
              <w:rPr>
                <w:rFonts w:cs="Arial"/>
                <w:vertAlign w:val="superscript"/>
              </w:rPr>
              <w:t>24</w:t>
            </w:r>
          </w:p>
        </w:tc>
        <w:tc>
          <w:tcPr>
            <w:tcW w:w="1376" w:type="dxa"/>
          </w:tcPr>
          <w:p w14:paraId="60FE2BA2" w14:textId="6A4284BA" w:rsidR="00F36424" w:rsidRPr="00F36424" w:rsidRDefault="00F36424" w:rsidP="00F36424">
            <w:pPr>
              <w:rPr>
                <w:rFonts w:cs="Arial"/>
              </w:rPr>
            </w:pPr>
            <w:r w:rsidRPr="00F36424">
              <w:rPr>
                <w:rFonts w:cs="Arial"/>
              </w:rPr>
              <w:t>Намаляване на свободния Т</w:t>
            </w:r>
            <w:r w:rsidRPr="00F36424">
              <w:rPr>
                <w:rFonts w:cs="Arial"/>
                <w:vertAlign w:val="subscript"/>
              </w:rPr>
              <w:t>3</w:t>
            </w:r>
            <w:r w:rsidRPr="00F36424">
              <w:rPr>
                <w:rFonts w:cs="Arial"/>
                <w:vertAlign w:val="superscript"/>
              </w:rPr>
              <w:t>24</w:t>
            </w:r>
            <w:r w:rsidRPr="00F36424">
              <w:rPr>
                <w:rFonts w:cs="Arial"/>
              </w:rPr>
              <w:t>, хипотиреоиди- зъм</w:t>
            </w:r>
          </w:p>
        </w:tc>
        <w:tc>
          <w:tcPr>
            <w:tcW w:w="1582" w:type="dxa"/>
          </w:tcPr>
          <w:p w14:paraId="11DCC2FE" w14:textId="77777777" w:rsidR="00F36424" w:rsidRPr="00F36424" w:rsidRDefault="00F36424" w:rsidP="00F36424">
            <w:pPr>
              <w:rPr>
                <w:rFonts w:cs="Arial"/>
              </w:rPr>
            </w:pPr>
          </w:p>
        </w:tc>
        <w:tc>
          <w:tcPr>
            <w:tcW w:w="1254" w:type="dxa"/>
          </w:tcPr>
          <w:p w14:paraId="5D313548" w14:textId="14EAC9F6" w:rsidR="00F36424" w:rsidRPr="00F36424" w:rsidRDefault="00F36424" w:rsidP="00F36424">
            <w:pPr>
              <w:rPr>
                <w:rFonts w:cs="Arial"/>
              </w:rPr>
            </w:pPr>
            <w:r w:rsidRPr="00F36424">
              <w:rPr>
                <w:rFonts w:cs="Arial"/>
              </w:rPr>
              <w:t>Неадекватна секреция на антидиурети- чен хормон</w:t>
            </w:r>
          </w:p>
        </w:tc>
        <w:tc>
          <w:tcPr>
            <w:tcW w:w="1157" w:type="dxa"/>
          </w:tcPr>
          <w:p w14:paraId="43D5EF09" w14:textId="77777777" w:rsidR="00F36424" w:rsidRPr="00F36424" w:rsidRDefault="00F36424" w:rsidP="00F36424">
            <w:pPr>
              <w:rPr>
                <w:rFonts w:cs="Arial"/>
              </w:rPr>
            </w:pPr>
          </w:p>
        </w:tc>
      </w:tr>
      <w:tr w:rsidR="00F36424" w14:paraId="59184318" w14:textId="77777777" w:rsidTr="00F36424">
        <w:tc>
          <w:tcPr>
            <w:tcW w:w="1311" w:type="dxa"/>
          </w:tcPr>
          <w:p w14:paraId="10F20971" w14:textId="0E52958C" w:rsidR="00F36424" w:rsidRPr="00F36424" w:rsidRDefault="00F36424" w:rsidP="00F36424">
            <w:pPr>
              <w:rPr>
                <w:rFonts w:cs="Arial"/>
              </w:rPr>
            </w:pPr>
            <w:r w:rsidRPr="00F36424">
              <w:rPr>
                <w:rFonts w:cs="Arial"/>
                <w:i/>
                <w:iCs/>
              </w:rPr>
              <w:lastRenderedPageBreak/>
              <w:t>Нарушения на метаболизма и храненето</w:t>
            </w:r>
          </w:p>
        </w:tc>
        <w:tc>
          <w:tcPr>
            <w:tcW w:w="1437" w:type="dxa"/>
            <w:vAlign w:val="bottom"/>
          </w:tcPr>
          <w:p w14:paraId="113FD1A9" w14:textId="77777777" w:rsidR="00F36424" w:rsidRPr="00F36424" w:rsidRDefault="00F36424" w:rsidP="00F36424">
            <w:pPr>
              <w:rPr>
                <w:rFonts w:cs="Arial"/>
              </w:rPr>
            </w:pPr>
            <w:r w:rsidRPr="00F36424">
              <w:rPr>
                <w:rFonts w:cs="Arial"/>
              </w:rPr>
              <w:t>Повишение на серумните нива на триглицериди-</w:t>
            </w:r>
          </w:p>
          <w:p w14:paraId="585B03E7" w14:textId="77777777" w:rsidR="00F36424" w:rsidRPr="00F36424" w:rsidRDefault="00F36424" w:rsidP="00F36424">
            <w:pPr>
              <w:rPr>
                <w:rFonts w:cs="Arial"/>
              </w:rPr>
            </w:pPr>
            <w:r w:rsidRPr="00F36424">
              <w:rPr>
                <w:rFonts w:cs="Arial"/>
              </w:rPr>
              <w:t>те</w:t>
            </w:r>
            <w:r w:rsidRPr="00F36424">
              <w:rPr>
                <w:rFonts w:cs="Arial"/>
                <w:vertAlign w:val="superscript"/>
              </w:rPr>
              <w:t>10,30</w:t>
            </w:r>
          </w:p>
          <w:p w14:paraId="36B1A802" w14:textId="77777777" w:rsidR="00F36424" w:rsidRPr="00F36424" w:rsidRDefault="00F36424" w:rsidP="00F36424">
            <w:pPr>
              <w:rPr>
                <w:rFonts w:cs="Arial"/>
              </w:rPr>
            </w:pPr>
            <w:r w:rsidRPr="00F36424">
              <w:rPr>
                <w:rFonts w:cs="Arial"/>
              </w:rPr>
              <w:t xml:space="preserve">Повишаване на общия холестерол (предимно </w:t>
            </w:r>
            <w:r w:rsidRPr="00F36424">
              <w:rPr>
                <w:rFonts w:cs="Arial"/>
                <w:lang w:val="en-US"/>
              </w:rPr>
              <w:t>LDL</w:t>
            </w:r>
            <w:r w:rsidRPr="00F36424">
              <w:rPr>
                <w:rFonts w:cs="Arial"/>
                <w:lang w:val="ru-RU"/>
              </w:rPr>
              <w:t xml:space="preserve"> </w:t>
            </w:r>
            <w:r w:rsidRPr="00F36424">
              <w:rPr>
                <w:rFonts w:cs="Arial"/>
              </w:rPr>
              <w:t>холестерол)</w:t>
            </w:r>
            <w:r w:rsidRPr="00F36424">
              <w:rPr>
                <w:rFonts w:cs="Arial"/>
                <w:vertAlign w:val="superscript"/>
              </w:rPr>
              <w:t>11,30</w:t>
            </w:r>
          </w:p>
          <w:p w14:paraId="3060E7C1" w14:textId="2FC2A6FF" w:rsidR="00F36424" w:rsidRPr="00F36424" w:rsidRDefault="00F36424" w:rsidP="00F36424">
            <w:pPr>
              <w:rPr>
                <w:rFonts w:cs="Arial"/>
              </w:rPr>
            </w:pPr>
            <w:r w:rsidRPr="00F36424">
              <w:rPr>
                <w:rFonts w:cs="Arial"/>
              </w:rPr>
              <w:t xml:space="preserve">Понижаване на </w:t>
            </w:r>
            <w:r w:rsidRPr="00F36424">
              <w:rPr>
                <w:rFonts w:cs="Arial"/>
                <w:lang w:val="en-US"/>
              </w:rPr>
              <w:t>HDL</w:t>
            </w:r>
            <w:r w:rsidRPr="00F36424">
              <w:rPr>
                <w:rFonts w:cs="Arial"/>
                <w:lang w:val="ru-RU"/>
              </w:rPr>
              <w:t xml:space="preserve"> </w:t>
            </w:r>
            <w:r w:rsidRPr="00F36424">
              <w:rPr>
                <w:rFonts w:cs="Arial"/>
              </w:rPr>
              <w:t>холестерол</w:t>
            </w:r>
            <w:r w:rsidRPr="00F36424">
              <w:rPr>
                <w:rFonts w:cs="Arial"/>
                <w:vertAlign w:val="superscript"/>
              </w:rPr>
              <w:t>17,30</w:t>
            </w:r>
            <w:r w:rsidRPr="00F36424">
              <w:rPr>
                <w:rFonts w:cs="Arial"/>
              </w:rPr>
              <w:t>, наддаване на тегло</w:t>
            </w:r>
            <w:r w:rsidRPr="00F36424">
              <w:rPr>
                <w:rFonts w:cs="Arial"/>
                <w:vertAlign w:val="superscript"/>
              </w:rPr>
              <w:t>8,30</w:t>
            </w:r>
          </w:p>
        </w:tc>
        <w:tc>
          <w:tcPr>
            <w:tcW w:w="1459" w:type="dxa"/>
          </w:tcPr>
          <w:p w14:paraId="388829B9" w14:textId="77777777" w:rsidR="00F36424" w:rsidRPr="00F36424" w:rsidRDefault="00F36424" w:rsidP="00F36424">
            <w:pPr>
              <w:rPr>
                <w:rFonts w:cs="Arial"/>
              </w:rPr>
            </w:pPr>
            <w:r w:rsidRPr="00F36424">
              <w:rPr>
                <w:rFonts w:cs="Arial"/>
              </w:rPr>
              <w:t>Повишен апетит, глюкозата в кръвта се увеличава до хиперглике-</w:t>
            </w:r>
          </w:p>
          <w:p w14:paraId="10A7A2D5" w14:textId="5AB56C6E" w:rsidR="00F36424" w:rsidRPr="00F36424" w:rsidRDefault="00F36424" w:rsidP="00F36424">
            <w:pPr>
              <w:rPr>
                <w:rFonts w:cs="Arial"/>
              </w:rPr>
            </w:pPr>
            <w:r w:rsidRPr="00F36424">
              <w:rPr>
                <w:rFonts w:cs="Arial"/>
              </w:rPr>
              <w:t>мия</w:t>
            </w:r>
            <w:r w:rsidRPr="00F36424">
              <w:rPr>
                <w:rFonts w:cs="Arial"/>
                <w:vertAlign w:val="superscript"/>
              </w:rPr>
              <w:t>6,30</w:t>
            </w:r>
          </w:p>
        </w:tc>
        <w:tc>
          <w:tcPr>
            <w:tcW w:w="1376" w:type="dxa"/>
          </w:tcPr>
          <w:p w14:paraId="0A1E7AB2" w14:textId="7D0DAA13" w:rsidR="00F36424" w:rsidRPr="00F36424" w:rsidRDefault="00F36424" w:rsidP="00F36424">
            <w:pPr>
              <w:rPr>
                <w:rFonts w:cs="Arial"/>
              </w:rPr>
            </w:pPr>
            <w:r w:rsidRPr="00F36424">
              <w:rPr>
                <w:rFonts w:cs="Arial"/>
              </w:rPr>
              <w:t>Хипонатрие- мия</w:t>
            </w:r>
            <w:r w:rsidRPr="00F36424">
              <w:rPr>
                <w:rFonts w:cs="Arial"/>
                <w:vertAlign w:val="superscript"/>
              </w:rPr>
              <w:t>19</w:t>
            </w:r>
            <w:r w:rsidRPr="00F36424">
              <w:rPr>
                <w:rFonts w:cs="Arial"/>
              </w:rPr>
              <w:t>, захарен диабет</w:t>
            </w:r>
            <w:r w:rsidRPr="00F36424">
              <w:rPr>
                <w:rFonts w:cs="Arial"/>
                <w:vertAlign w:val="superscript"/>
              </w:rPr>
              <w:t>1,5</w:t>
            </w:r>
            <w:r w:rsidRPr="00F36424">
              <w:rPr>
                <w:rFonts w:cs="Arial"/>
              </w:rPr>
              <w:t>, обостряне на съществуващ диабет</w:t>
            </w:r>
          </w:p>
        </w:tc>
        <w:tc>
          <w:tcPr>
            <w:tcW w:w="1582" w:type="dxa"/>
          </w:tcPr>
          <w:p w14:paraId="10428D3F" w14:textId="77777777" w:rsidR="00F36424" w:rsidRPr="00F36424" w:rsidRDefault="00F36424" w:rsidP="00F36424">
            <w:pPr>
              <w:rPr>
                <w:rFonts w:cs="Arial"/>
              </w:rPr>
            </w:pPr>
            <w:r w:rsidRPr="00F36424">
              <w:rPr>
                <w:rFonts w:cs="Arial"/>
              </w:rPr>
              <w:t>Метаболитен</w:t>
            </w:r>
          </w:p>
          <w:p w14:paraId="4E55A810" w14:textId="6431648E" w:rsidR="00F36424" w:rsidRPr="00F36424" w:rsidRDefault="00F36424" w:rsidP="00F36424">
            <w:pPr>
              <w:rPr>
                <w:rFonts w:cs="Arial"/>
              </w:rPr>
            </w:pPr>
            <w:r w:rsidRPr="00F36424">
              <w:rPr>
                <w:rFonts w:cs="Arial"/>
              </w:rPr>
              <w:t>29 синдром</w:t>
            </w:r>
          </w:p>
        </w:tc>
        <w:tc>
          <w:tcPr>
            <w:tcW w:w="1254" w:type="dxa"/>
          </w:tcPr>
          <w:p w14:paraId="471D4225" w14:textId="77777777" w:rsidR="00F36424" w:rsidRPr="00F36424" w:rsidRDefault="00F36424" w:rsidP="00F36424">
            <w:pPr>
              <w:rPr>
                <w:rFonts w:cs="Arial"/>
              </w:rPr>
            </w:pPr>
          </w:p>
        </w:tc>
        <w:tc>
          <w:tcPr>
            <w:tcW w:w="1157" w:type="dxa"/>
          </w:tcPr>
          <w:p w14:paraId="487F5CCF" w14:textId="77777777" w:rsidR="00F36424" w:rsidRPr="00F36424" w:rsidRDefault="00F36424" w:rsidP="00F36424">
            <w:pPr>
              <w:rPr>
                <w:rFonts w:cs="Arial"/>
              </w:rPr>
            </w:pPr>
          </w:p>
        </w:tc>
      </w:tr>
      <w:tr w:rsidR="00F36424" w14:paraId="6A163B93" w14:textId="77777777" w:rsidTr="00F36424">
        <w:tc>
          <w:tcPr>
            <w:tcW w:w="1311" w:type="dxa"/>
          </w:tcPr>
          <w:p w14:paraId="12D2DE04" w14:textId="55EB7E0A" w:rsidR="00F36424" w:rsidRPr="00F36424" w:rsidRDefault="00F36424" w:rsidP="00F36424">
            <w:pPr>
              <w:rPr>
                <w:rFonts w:cs="Arial"/>
              </w:rPr>
            </w:pPr>
            <w:r w:rsidRPr="00F36424">
              <w:rPr>
                <w:rFonts w:cs="Arial"/>
                <w:i/>
                <w:iCs/>
              </w:rPr>
              <w:t>Психични нарушения</w:t>
            </w:r>
          </w:p>
        </w:tc>
        <w:tc>
          <w:tcPr>
            <w:tcW w:w="1437" w:type="dxa"/>
          </w:tcPr>
          <w:p w14:paraId="3E9C0151" w14:textId="77777777" w:rsidR="00F36424" w:rsidRPr="00F36424" w:rsidRDefault="00F36424" w:rsidP="00F36424">
            <w:pPr>
              <w:rPr>
                <w:rFonts w:cs="Arial"/>
              </w:rPr>
            </w:pPr>
          </w:p>
        </w:tc>
        <w:tc>
          <w:tcPr>
            <w:tcW w:w="1459" w:type="dxa"/>
            <w:vAlign w:val="bottom"/>
          </w:tcPr>
          <w:p w14:paraId="01EB4D4E" w14:textId="464F3966" w:rsidR="00F36424" w:rsidRPr="00F36424" w:rsidRDefault="00F36424" w:rsidP="00F36424">
            <w:pPr>
              <w:rPr>
                <w:rFonts w:cs="Arial"/>
              </w:rPr>
            </w:pPr>
            <w:r w:rsidRPr="00F36424">
              <w:rPr>
                <w:rFonts w:cs="Arial"/>
              </w:rPr>
              <w:t>Абнормни сънища и кошмари, Суицидни мисли и суицидно поведение</w:t>
            </w:r>
            <w:r w:rsidRPr="00F36424">
              <w:rPr>
                <w:rFonts w:cs="Arial"/>
                <w:vertAlign w:val="superscript"/>
              </w:rPr>
              <w:t>20</w:t>
            </w:r>
          </w:p>
        </w:tc>
        <w:tc>
          <w:tcPr>
            <w:tcW w:w="1376" w:type="dxa"/>
          </w:tcPr>
          <w:p w14:paraId="3B016AC0" w14:textId="77777777" w:rsidR="00F36424" w:rsidRPr="00F36424" w:rsidRDefault="00F36424" w:rsidP="00F36424">
            <w:pPr>
              <w:rPr>
                <w:rFonts w:cs="Arial"/>
              </w:rPr>
            </w:pPr>
          </w:p>
        </w:tc>
        <w:tc>
          <w:tcPr>
            <w:tcW w:w="1582" w:type="dxa"/>
          </w:tcPr>
          <w:p w14:paraId="4069112F" w14:textId="6859C9E1" w:rsidR="00F36424" w:rsidRPr="00F36424" w:rsidRDefault="00F36424" w:rsidP="00F36424">
            <w:pPr>
              <w:rPr>
                <w:rFonts w:cs="Arial"/>
              </w:rPr>
            </w:pPr>
            <w:r w:rsidRPr="00F36424">
              <w:rPr>
                <w:rFonts w:cs="Arial"/>
              </w:rPr>
              <w:t>Сомнамбулизъм и реакции, свързани с говорене и ядене насън</w:t>
            </w:r>
          </w:p>
        </w:tc>
        <w:tc>
          <w:tcPr>
            <w:tcW w:w="1254" w:type="dxa"/>
          </w:tcPr>
          <w:p w14:paraId="19C502DB" w14:textId="77777777" w:rsidR="00F36424" w:rsidRPr="00F36424" w:rsidRDefault="00F36424" w:rsidP="00F36424">
            <w:pPr>
              <w:rPr>
                <w:rFonts w:cs="Arial"/>
              </w:rPr>
            </w:pPr>
          </w:p>
        </w:tc>
        <w:tc>
          <w:tcPr>
            <w:tcW w:w="1157" w:type="dxa"/>
          </w:tcPr>
          <w:p w14:paraId="360B49AD" w14:textId="77777777" w:rsidR="00F36424" w:rsidRPr="00F36424" w:rsidRDefault="00F36424" w:rsidP="00F36424">
            <w:pPr>
              <w:rPr>
                <w:rFonts w:cs="Arial"/>
              </w:rPr>
            </w:pPr>
          </w:p>
        </w:tc>
      </w:tr>
      <w:tr w:rsidR="00F36424" w14:paraId="1F2ACF49" w14:textId="77777777" w:rsidTr="00F36424">
        <w:tc>
          <w:tcPr>
            <w:tcW w:w="1311" w:type="dxa"/>
          </w:tcPr>
          <w:p w14:paraId="71F86C69" w14:textId="57A2B60C" w:rsidR="00F36424" w:rsidRPr="00F36424" w:rsidRDefault="00F36424" w:rsidP="00F36424">
            <w:pPr>
              <w:rPr>
                <w:rFonts w:cs="Arial"/>
              </w:rPr>
            </w:pPr>
            <w:r w:rsidRPr="00F36424">
              <w:rPr>
                <w:rFonts w:cs="Arial"/>
                <w:i/>
                <w:iCs/>
              </w:rPr>
              <w:t>Нарушения на нервната система</w:t>
            </w:r>
          </w:p>
        </w:tc>
        <w:tc>
          <w:tcPr>
            <w:tcW w:w="1437" w:type="dxa"/>
            <w:vAlign w:val="bottom"/>
          </w:tcPr>
          <w:p w14:paraId="6263FB91" w14:textId="182EC720" w:rsidR="00F36424" w:rsidRPr="00F36424" w:rsidRDefault="00F36424" w:rsidP="00F36424">
            <w:pPr>
              <w:rPr>
                <w:rFonts w:cs="Arial"/>
              </w:rPr>
            </w:pPr>
            <w:r w:rsidRPr="00F36424">
              <w:rPr>
                <w:rFonts w:cs="Arial"/>
              </w:rPr>
              <w:t>Замаяност</w:t>
            </w:r>
            <w:r w:rsidRPr="00F36424">
              <w:rPr>
                <w:rFonts w:cs="Arial"/>
                <w:vertAlign w:val="superscript"/>
              </w:rPr>
              <w:t>4, 16</w:t>
            </w:r>
            <w:r w:rsidRPr="00F36424">
              <w:rPr>
                <w:rFonts w:cs="Arial"/>
              </w:rPr>
              <w:t>, сомнолен- тност</w:t>
            </w:r>
            <w:r w:rsidRPr="00F36424">
              <w:rPr>
                <w:rFonts w:cs="Arial"/>
                <w:vertAlign w:val="superscript"/>
              </w:rPr>
              <w:t>2, 16</w:t>
            </w:r>
            <w:r w:rsidRPr="00F36424">
              <w:rPr>
                <w:rFonts w:cs="Arial"/>
              </w:rPr>
              <w:t>, главоболие, ектрапира- мидни симптоми</w:t>
            </w:r>
            <w:r w:rsidRPr="00F36424">
              <w:rPr>
                <w:rFonts w:cs="Arial"/>
                <w:vertAlign w:val="superscript"/>
              </w:rPr>
              <w:t>1,21</w:t>
            </w:r>
          </w:p>
        </w:tc>
        <w:tc>
          <w:tcPr>
            <w:tcW w:w="1459" w:type="dxa"/>
          </w:tcPr>
          <w:p w14:paraId="30B6DA98" w14:textId="5599C528" w:rsidR="00F36424" w:rsidRPr="00F36424" w:rsidRDefault="00F36424" w:rsidP="00F36424">
            <w:pPr>
              <w:rPr>
                <w:rFonts w:cs="Arial"/>
              </w:rPr>
            </w:pPr>
            <w:r w:rsidRPr="00F36424">
              <w:rPr>
                <w:rFonts w:cs="Arial"/>
              </w:rPr>
              <w:t>Дизартрия</w:t>
            </w:r>
          </w:p>
        </w:tc>
        <w:tc>
          <w:tcPr>
            <w:tcW w:w="1376" w:type="dxa"/>
            <w:vAlign w:val="bottom"/>
          </w:tcPr>
          <w:p w14:paraId="072D61A8" w14:textId="77777777" w:rsidR="00F36424" w:rsidRPr="00F36424" w:rsidRDefault="00F36424" w:rsidP="00F36424">
            <w:pPr>
              <w:rPr>
                <w:rFonts w:cs="Arial"/>
              </w:rPr>
            </w:pPr>
            <w:r w:rsidRPr="00F36424">
              <w:rPr>
                <w:rFonts w:cs="Arial"/>
              </w:rPr>
              <w:t>Гърчове</w:t>
            </w:r>
            <w:r w:rsidRPr="00F36424">
              <w:rPr>
                <w:rFonts w:cs="Arial"/>
                <w:vertAlign w:val="superscript"/>
              </w:rPr>
              <w:t>1</w:t>
            </w:r>
            <w:r w:rsidRPr="00F36424">
              <w:rPr>
                <w:rFonts w:cs="Arial"/>
              </w:rPr>
              <w:t>, синдром на неспокойните крака, тардивна дискинезия</w:t>
            </w:r>
            <w:r w:rsidRPr="00F36424">
              <w:rPr>
                <w:rFonts w:cs="Arial"/>
                <w:vertAlign w:val="superscript"/>
              </w:rPr>
              <w:t>1,5</w:t>
            </w:r>
            <w:r w:rsidRPr="00F36424">
              <w:rPr>
                <w:rFonts w:cs="Arial"/>
              </w:rPr>
              <w:t>,</w:t>
            </w:r>
          </w:p>
          <w:p w14:paraId="71ECC8CA" w14:textId="65287EBC" w:rsidR="00F36424" w:rsidRPr="00F36424" w:rsidRDefault="00F36424" w:rsidP="00F36424">
            <w:pPr>
              <w:rPr>
                <w:rFonts w:cs="Arial"/>
              </w:rPr>
            </w:pPr>
            <w:r>
              <w:t>синкоп</w:t>
            </w:r>
            <w:r w:rsidRPr="00F36424">
              <w:rPr>
                <w:rFonts w:cs="Arial"/>
                <w:b/>
                <w:bCs/>
                <w:vertAlign w:val="superscript"/>
              </w:rPr>
              <w:t>4,16</w:t>
            </w:r>
          </w:p>
        </w:tc>
        <w:tc>
          <w:tcPr>
            <w:tcW w:w="1582" w:type="dxa"/>
          </w:tcPr>
          <w:p w14:paraId="23DFE9D7" w14:textId="77777777" w:rsidR="00F36424" w:rsidRPr="00F36424" w:rsidRDefault="00F36424" w:rsidP="00F36424">
            <w:pPr>
              <w:rPr>
                <w:rFonts w:cs="Arial"/>
              </w:rPr>
            </w:pPr>
          </w:p>
        </w:tc>
        <w:tc>
          <w:tcPr>
            <w:tcW w:w="1254" w:type="dxa"/>
          </w:tcPr>
          <w:p w14:paraId="601AABB4" w14:textId="77777777" w:rsidR="00F36424" w:rsidRPr="00F36424" w:rsidRDefault="00F36424" w:rsidP="00F36424">
            <w:pPr>
              <w:rPr>
                <w:rFonts w:cs="Arial"/>
              </w:rPr>
            </w:pPr>
          </w:p>
        </w:tc>
        <w:tc>
          <w:tcPr>
            <w:tcW w:w="1157" w:type="dxa"/>
          </w:tcPr>
          <w:p w14:paraId="7A3A06FB" w14:textId="77777777" w:rsidR="00F36424" w:rsidRPr="00F36424" w:rsidRDefault="00F36424" w:rsidP="00F36424">
            <w:pPr>
              <w:rPr>
                <w:rFonts w:cs="Arial"/>
              </w:rPr>
            </w:pPr>
          </w:p>
        </w:tc>
      </w:tr>
      <w:tr w:rsidR="00F36424" w14:paraId="1A8A6778" w14:textId="77777777" w:rsidTr="00F36424">
        <w:tc>
          <w:tcPr>
            <w:tcW w:w="1311" w:type="dxa"/>
          </w:tcPr>
          <w:p w14:paraId="485EDFFD" w14:textId="19D3D0BA" w:rsidR="00F36424" w:rsidRPr="00F36424" w:rsidRDefault="00F36424" w:rsidP="00F36424">
            <w:pPr>
              <w:rPr>
                <w:rFonts w:cs="Arial"/>
              </w:rPr>
            </w:pPr>
            <w:r w:rsidRPr="00F36424">
              <w:rPr>
                <w:rFonts w:cs="Arial"/>
                <w:i/>
                <w:iCs/>
              </w:rPr>
              <w:t>Сърдечни нарушения</w:t>
            </w:r>
          </w:p>
        </w:tc>
        <w:tc>
          <w:tcPr>
            <w:tcW w:w="1437" w:type="dxa"/>
          </w:tcPr>
          <w:p w14:paraId="7AC3B6C9" w14:textId="77777777" w:rsidR="00F36424" w:rsidRPr="00F36424" w:rsidRDefault="00F36424" w:rsidP="00F36424">
            <w:pPr>
              <w:rPr>
                <w:rFonts w:cs="Arial"/>
              </w:rPr>
            </w:pPr>
          </w:p>
        </w:tc>
        <w:tc>
          <w:tcPr>
            <w:tcW w:w="1459" w:type="dxa"/>
          </w:tcPr>
          <w:p w14:paraId="414840F8" w14:textId="6DFB3DB8" w:rsidR="00F36424" w:rsidRPr="00F36424" w:rsidRDefault="00F36424" w:rsidP="00F36424">
            <w:pPr>
              <w:rPr>
                <w:rFonts w:cs="Arial"/>
              </w:rPr>
            </w:pPr>
            <w:r w:rsidRPr="00F36424">
              <w:rPr>
                <w:rFonts w:cs="Arial"/>
              </w:rPr>
              <w:t>Тахикардия</w:t>
            </w:r>
            <w:r w:rsidRPr="00F36424">
              <w:rPr>
                <w:rFonts w:cs="Arial"/>
                <w:vertAlign w:val="superscript"/>
              </w:rPr>
              <w:t>4</w:t>
            </w:r>
            <w:r w:rsidRPr="00F36424">
              <w:rPr>
                <w:rFonts w:cs="Arial"/>
              </w:rPr>
              <w:t>, палпитации</w:t>
            </w:r>
            <w:r w:rsidRPr="00F36424">
              <w:rPr>
                <w:rFonts w:cs="Arial"/>
                <w:vertAlign w:val="superscript"/>
              </w:rPr>
              <w:t>23</w:t>
            </w:r>
          </w:p>
        </w:tc>
        <w:tc>
          <w:tcPr>
            <w:tcW w:w="1376" w:type="dxa"/>
            <w:vAlign w:val="bottom"/>
          </w:tcPr>
          <w:p w14:paraId="5A7BA6FD" w14:textId="77777777" w:rsidR="00F36424" w:rsidRPr="00F36424" w:rsidRDefault="00F36424" w:rsidP="00F36424">
            <w:pPr>
              <w:rPr>
                <w:rFonts w:cs="Arial"/>
              </w:rPr>
            </w:pPr>
            <w:r w:rsidRPr="00F36424">
              <w:rPr>
                <w:rFonts w:cs="Arial"/>
              </w:rPr>
              <w:t xml:space="preserve">Удължден </w:t>
            </w:r>
            <w:r w:rsidRPr="00F36424">
              <w:rPr>
                <w:rFonts w:cs="Arial"/>
                <w:lang w:val="en-US"/>
              </w:rPr>
              <w:t>QT-</w:t>
            </w:r>
          </w:p>
          <w:p w14:paraId="54C22E85" w14:textId="77777777" w:rsidR="00F36424" w:rsidRPr="00F36424" w:rsidRDefault="00F36424" w:rsidP="00F36424">
            <w:pPr>
              <w:rPr>
                <w:rFonts w:cs="Arial"/>
              </w:rPr>
            </w:pPr>
          </w:p>
          <w:p w14:paraId="387F92C3" w14:textId="77777777" w:rsidR="00F36424" w:rsidRPr="00F36424" w:rsidRDefault="00F36424" w:rsidP="00F36424">
            <w:pPr>
              <w:rPr>
                <w:rFonts w:cs="Arial"/>
              </w:rPr>
            </w:pPr>
            <w:r w:rsidRPr="00F36424">
              <w:rPr>
                <w:rFonts w:cs="Arial"/>
              </w:rPr>
              <w:t>интервал</w:t>
            </w:r>
            <w:r w:rsidRPr="00F36424">
              <w:rPr>
                <w:rFonts w:cs="Arial"/>
                <w:vertAlign w:val="superscript"/>
              </w:rPr>
              <w:t>1,12,18</w:t>
            </w:r>
            <w:r w:rsidRPr="00F36424">
              <w:rPr>
                <w:rFonts w:cs="Arial"/>
              </w:rPr>
              <w:t>,</w:t>
            </w:r>
          </w:p>
          <w:p w14:paraId="0BF13EFE" w14:textId="112E12A4" w:rsidR="00F36424" w:rsidRPr="00F36424" w:rsidRDefault="00F36424" w:rsidP="00F36424">
            <w:pPr>
              <w:rPr>
                <w:rFonts w:cs="Arial"/>
              </w:rPr>
            </w:pPr>
            <w:r w:rsidRPr="00F36424">
              <w:rPr>
                <w:rFonts w:cs="Arial"/>
              </w:rPr>
              <w:t>брадикардия</w:t>
            </w:r>
            <w:r w:rsidRPr="00F36424">
              <w:rPr>
                <w:rFonts w:cs="Arial"/>
                <w:vertAlign w:val="superscript"/>
              </w:rPr>
              <w:t>31</w:t>
            </w:r>
          </w:p>
        </w:tc>
        <w:tc>
          <w:tcPr>
            <w:tcW w:w="1582" w:type="dxa"/>
          </w:tcPr>
          <w:p w14:paraId="410A4208" w14:textId="77777777" w:rsidR="00F36424" w:rsidRPr="00F36424" w:rsidRDefault="00F36424" w:rsidP="00F36424">
            <w:pPr>
              <w:rPr>
                <w:rFonts w:cs="Arial"/>
              </w:rPr>
            </w:pPr>
          </w:p>
        </w:tc>
        <w:tc>
          <w:tcPr>
            <w:tcW w:w="1254" w:type="dxa"/>
          </w:tcPr>
          <w:p w14:paraId="419409BE" w14:textId="77777777" w:rsidR="00F36424" w:rsidRPr="00F36424" w:rsidRDefault="00F36424" w:rsidP="00F36424">
            <w:pPr>
              <w:rPr>
                <w:rFonts w:cs="Arial"/>
              </w:rPr>
            </w:pPr>
          </w:p>
        </w:tc>
        <w:tc>
          <w:tcPr>
            <w:tcW w:w="1157" w:type="dxa"/>
          </w:tcPr>
          <w:p w14:paraId="674699E2" w14:textId="77777777" w:rsidR="00F36424" w:rsidRPr="00F36424" w:rsidRDefault="00F36424" w:rsidP="00F36424">
            <w:pPr>
              <w:rPr>
                <w:rFonts w:cs="Arial"/>
              </w:rPr>
            </w:pPr>
          </w:p>
        </w:tc>
      </w:tr>
      <w:tr w:rsidR="00F36424" w14:paraId="6F2F446B" w14:textId="77777777" w:rsidTr="00F36424">
        <w:tc>
          <w:tcPr>
            <w:tcW w:w="1311" w:type="dxa"/>
          </w:tcPr>
          <w:p w14:paraId="4AB01D71" w14:textId="40282331" w:rsidR="00F36424" w:rsidRPr="00F36424" w:rsidRDefault="00F36424" w:rsidP="00F36424">
            <w:pPr>
              <w:rPr>
                <w:rFonts w:cs="Arial"/>
              </w:rPr>
            </w:pPr>
            <w:r w:rsidRPr="00F36424">
              <w:rPr>
                <w:rFonts w:cs="Arial"/>
                <w:i/>
                <w:iCs/>
              </w:rPr>
              <w:lastRenderedPageBreak/>
              <w:t>Нарушения на окото</w:t>
            </w:r>
          </w:p>
        </w:tc>
        <w:tc>
          <w:tcPr>
            <w:tcW w:w="1437" w:type="dxa"/>
          </w:tcPr>
          <w:p w14:paraId="61665064" w14:textId="77777777" w:rsidR="00F36424" w:rsidRPr="00F36424" w:rsidRDefault="00F36424" w:rsidP="00F36424">
            <w:pPr>
              <w:rPr>
                <w:rFonts w:cs="Arial"/>
              </w:rPr>
            </w:pPr>
          </w:p>
        </w:tc>
        <w:tc>
          <w:tcPr>
            <w:tcW w:w="1459" w:type="dxa"/>
          </w:tcPr>
          <w:p w14:paraId="2D26EC17" w14:textId="5EDAD3E2" w:rsidR="00F36424" w:rsidRPr="00F36424" w:rsidRDefault="00F36424" w:rsidP="00F36424">
            <w:pPr>
              <w:rPr>
                <w:rFonts w:cs="Arial"/>
              </w:rPr>
            </w:pPr>
            <w:r w:rsidRPr="00F36424">
              <w:rPr>
                <w:rFonts w:cs="Arial"/>
              </w:rPr>
              <w:t>Замъглено виждане</w:t>
            </w:r>
          </w:p>
        </w:tc>
        <w:tc>
          <w:tcPr>
            <w:tcW w:w="1376" w:type="dxa"/>
          </w:tcPr>
          <w:p w14:paraId="493BE713" w14:textId="77777777" w:rsidR="00F36424" w:rsidRPr="00F36424" w:rsidRDefault="00F36424" w:rsidP="00F36424">
            <w:pPr>
              <w:rPr>
                <w:rFonts w:cs="Arial"/>
              </w:rPr>
            </w:pPr>
          </w:p>
        </w:tc>
        <w:tc>
          <w:tcPr>
            <w:tcW w:w="1582" w:type="dxa"/>
          </w:tcPr>
          <w:p w14:paraId="1A1CB100" w14:textId="77777777" w:rsidR="00F36424" w:rsidRPr="00F36424" w:rsidRDefault="00F36424" w:rsidP="00F36424">
            <w:pPr>
              <w:rPr>
                <w:rFonts w:cs="Arial"/>
              </w:rPr>
            </w:pPr>
          </w:p>
        </w:tc>
        <w:tc>
          <w:tcPr>
            <w:tcW w:w="1254" w:type="dxa"/>
          </w:tcPr>
          <w:p w14:paraId="59BF1275" w14:textId="77777777" w:rsidR="00F36424" w:rsidRPr="00F36424" w:rsidRDefault="00F36424" w:rsidP="00F36424">
            <w:pPr>
              <w:rPr>
                <w:rFonts w:cs="Arial"/>
              </w:rPr>
            </w:pPr>
          </w:p>
        </w:tc>
        <w:tc>
          <w:tcPr>
            <w:tcW w:w="1157" w:type="dxa"/>
          </w:tcPr>
          <w:p w14:paraId="1233FAF5" w14:textId="77777777" w:rsidR="00F36424" w:rsidRPr="00F36424" w:rsidRDefault="00F36424" w:rsidP="00F36424">
            <w:pPr>
              <w:rPr>
                <w:rFonts w:cs="Arial"/>
              </w:rPr>
            </w:pPr>
          </w:p>
        </w:tc>
      </w:tr>
      <w:tr w:rsidR="00F36424" w14:paraId="3801BC5A" w14:textId="77777777" w:rsidTr="00F36424">
        <w:tc>
          <w:tcPr>
            <w:tcW w:w="1311" w:type="dxa"/>
          </w:tcPr>
          <w:p w14:paraId="0360BEA7" w14:textId="0BFF7114" w:rsidR="00F36424" w:rsidRPr="00F36424" w:rsidRDefault="00F36424" w:rsidP="00F36424">
            <w:pPr>
              <w:rPr>
                <w:rFonts w:cs="Arial"/>
              </w:rPr>
            </w:pPr>
            <w:r w:rsidRPr="00F36424">
              <w:rPr>
                <w:rFonts w:cs="Arial"/>
              </w:rPr>
              <w:t xml:space="preserve">Съдови </w:t>
            </w:r>
            <w:r w:rsidRPr="00F36424">
              <w:rPr>
                <w:rFonts w:cs="Arial"/>
                <w:i/>
                <w:iCs/>
              </w:rPr>
              <w:t>нарушения</w:t>
            </w:r>
          </w:p>
        </w:tc>
        <w:tc>
          <w:tcPr>
            <w:tcW w:w="1437" w:type="dxa"/>
          </w:tcPr>
          <w:p w14:paraId="317EB0DC" w14:textId="77777777" w:rsidR="00F36424" w:rsidRPr="00F36424" w:rsidRDefault="00F36424" w:rsidP="00F36424">
            <w:pPr>
              <w:rPr>
                <w:rFonts w:cs="Arial"/>
              </w:rPr>
            </w:pPr>
          </w:p>
        </w:tc>
        <w:tc>
          <w:tcPr>
            <w:tcW w:w="1459" w:type="dxa"/>
          </w:tcPr>
          <w:p w14:paraId="6453B77E" w14:textId="19EC641B" w:rsidR="00F36424" w:rsidRPr="00F36424" w:rsidRDefault="00F36424" w:rsidP="00F36424">
            <w:pPr>
              <w:rPr>
                <w:rFonts w:cs="Arial"/>
              </w:rPr>
            </w:pPr>
            <w:r w:rsidRPr="00F36424">
              <w:rPr>
                <w:rFonts w:cs="Arial"/>
              </w:rPr>
              <w:t xml:space="preserve">Ортостатична </w:t>
            </w:r>
            <w:r w:rsidRPr="00F36424">
              <w:rPr>
                <w:rFonts w:cs="Arial"/>
                <w:b/>
                <w:bCs/>
              </w:rPr>
              <w:t xml:space="preserve"> </w:t>
            </w:r>
            <w:r>
              <w:t>хипотония</w:t>
            </w:r>
            <w:r w:rsidRPr="00F36424">
              <w:rPr>
                <w:rFonts w:cs="Arial"/>
                <w:b/>
                <w:bCs/>
                <w:vertAlign w:val="superscript"/>
              </w:rPr>
              <w:t>4,16</w:t>
            </w:r>
          </w:p>
        </w:tc>
        <w:tc>
          <w:tcPr>
            <w:tcW w:w="1376" w:type="dxa"/>
          </w:tcPr>
          <w:p w14:paraId="7AB3593A" w14:textId="77777777" w:rsidR="00F36424" w:rsidRPr="00F36424" w:rsidRDefault="00F36424" w:rsidP="00F36424">
            <w:pPr>
              <w:rPr>
                <w:rFonts w:cs="Arial"/>
              </w:rPr>
            </w:pPr>
          </w:p>
        </w:tc>
        <w:tc>
          <w:tcPr>
            <w:tcW w:w="1582" w:type="dxa"/>
          </w:tcPr>
          <w:p w14:paraId="4D72FAF5" w14:textId="13CD1EA4" w:rsidR="00F36424" w:rsidRPr="00F36424" w:rsidRDefault="00F36424" w:rsidP="00F36424">
            <w:pPr>
              <w:rPr>
                <w:rFonts w:cs="Arial"/>
              </w:rPr>
            </w:pPr>
            <w:r w:rsidRPr="00F36424">
              <w:rPr>
                <w:rFonts w:cs="Arial"/>
              </w:rPr>
              <w:t>Венозна тромбоемболия</w:t>
            </w:r>
            <w:r w:rsidRPr="00F36424">
              <w:rPr>
                <w:rFonts w:cs="Arial"/>
                <w:vertAlign w:val="superscript"/>
              </w:rPr>
              <w:t>1 2</w:t>
            </w:r>
          </w:p>
        </w:tc>
        <w:tc>
          <w:tcPr>
            <w:tcW w:w="1254" w:type="dxa"/>
          </w:tcPr>
          <w:p w14:paraId="4F1270A1" w14:textId="77777777" w:rsidR="00F36424" w:rsidRPr="00F36424" w:rsidRDefault="00F36424" w:rsidP="00F36424">
            <w:pPr>
              <w:rPr>
                <w:rFonts w:cs="Arial"/>
              </w:rPr>
            </w:pPr>
          </w:p>
        </w:tc>
        <w:tc>
          <w:tcPr>
            <w:tcW w:w="1157" w:type="dxa"/>
          </w:tcPr>
          <w:p w14:paraId="1177B259" w14:textId="3F1D2F61" w:rsidR="00F36424" w:rsidRPr="00F36424" w:rsidRDefault="00F36424" w:rsidP="00F36424">
            <w:pPr>
              <w:rPr>
                <w:rFonts w:cs="Arial"/>
              </w:rPr>
            </w:pPr>
            <w:r w:rsidRPr="00F36424">
              <w:rPr>
                <w:rFonts w:cs="Arial"/>
              </w:rPr>
              <w:t>Инсулт</w:t>
            </w:r>
            <w:r w:rsidRPr="00F36424">
              <w:rPr>
                <w:rFonts w:cs="Arial"/>
                <w:vertAlign w:val="superscript"/>
              </w:rPr>
              <w:t>33</w:t>
            </w:r>
          </w:p>
        </w:tc>
      </w:tr>
      <w:tr w:rsidR="00F36424" w14:paraId="042BB66F" w14:textId="77777777" w:rsidTr="00F36424">
        <w:tc>
          <w:tcPr>
            <w:tcW w:w="1311" w:type="dxa"/>
          </w:tcPr>
          <w:p w14:paraId="35A38F21" w14:textId="5DAF5FBF" w:rsidR="00F36424" w:rsidRPr="00F36424" w:rsidRDefault="00F36424" w:rsidP="00F36424">
            <w:pPr>
              <w:rPr>
                <w:rFonts w:cs="Arial"/>
              </w:rPr>
            </w:pPr>
            <w:r w:rsidRPr="00F36424">
              <w:rPr>
                <w:rFonts w:cs="Arial"/>
                <w:i/>
                <w:iCs/>
              </w:rPr>
              <w:t>Респиратор</w:t>
            </w:r>
            <w:r w:rsidRPr="00F36424">
              <w:rPr>
                <w:rFonts w:cs="Arial"/>
                <w:i/>
                <w:iCs/>
              </w:rPr>
              <w:softHyphen/>
              <w:t xml:space="preserve">ни, гръдни и </w:t>
            </w:r>
            <w:r w:rsidRPr="00F36424">
              <w:rPr>
                <w:rFonts w:cs="Arial"/>
              </w:rPr>
              <w:t xml:space="preserve">медиастинал </w:t>
            </w:r>
            <w:r w:rsidRPr="00F36424">
              <w:rPr>
                <w:rFonts w:cs="Arial"/>
                <w:i/>
                <w:iCs/>
              </w:rPr>
              <w:t>ни нарушения</w:t>
            </w:r>
          </w:p>
        </w:tc>
        <w:tc>
          <w:tcPr>
            <w:tcW w:w="1437" w:type="dxa"/>
          </w:tcPr>
          <w:p w14:paraId="5EB6B4EF" w14:textId="77777777" w:rsidR="00F36424" w:rsidRPr="00F36424" w:rsidRDefault="00F36424" w:rsidP="00F36424">
            <w:pPr>
              <w:rPr>
                <w:rFonts w:cs="Arial"/>
              </w:rPr>
            </w:pPr>
          </w:p>
        </w:tc>
        <w:tc>
          <w:tcPr>
            <w:tcW w:w="1459" w:type="dxa"/>
          </w:tcPr>
          <w:p w14:paraId="22482DC3" w14:textId="2BF9157A" w:rsidR="00F36424" w:rsidRPr="00F36424" w:rsidRDefault="00F36424" w:rsidP="00F36424">
            <w:pPr>
              <w:rPr>
                <w:rFonts w:cs="Arial"/>
              </w:rPr>
            </w:pPr>
            <w:r w:rsidRPr="00F36424">
              <w:rPr>
                <w:rFonts w:cs="Arial"/>
              </w:rPr>
              <w:t>Диспнея</w:t>
            </w:r>
            <w:r w:rsidRPr="00F36424">
              <w:rPr>
                <w:rFonts w:cs="Arial"/>
                <w:vertAlign w:val="superscript"/>
              </w:rPr>
              <w:t>23</w:t>
            </w:r>
          </w:p>
        </w:tc>
        <w:tc>
          <w:tcPr>
            <w:tcW w:w="1376" w:type="dxa"/>
          </w:tcPr>
          <w:p w14:paraId="46104BC2" w14:textId="0DB9C32A" w:rsidR="00F36424" w:rsidRPr="00F36424" w:rsidRDefault="00F36424" w:rsidP="00F36424">
            <w:pPr>
              <w:rPr>
                <w:rFonts w:cs="Arial"/>
              </w:rPr>
            </w:pPr>
            <w:r w:rsidRPr="00F36424">
              <w:rPr>
                <w:rFonts w:cs="Arial"/>
              </w:rPr>
              <w:t>Ринит</w:t>
            </w:r>
          </w:p>
        </w:tc>
        <w:tc>
          <w:tcPr>
            <w:tcW w:w="1582" w:type="dxa"/>
          </w:tcPr>
          <w:p w14:paraId="7A373AF9" w14:textId="77777777" w:rsidR="00F36424" w:rsidRPr="00F36424" w:rsidRDefault="00F36424" w:rsidP="00F36424">
            <w:pPr>
              <w:rPr>
                <w:rFonts w:cs="Arial"/>
              </w:rPr>
            </w:pPr>
          </w:p>
        </w:tc>
        <w:tc>
          <w:tcPr>
            <w:tcW w:w="1254" w:type="dxa"/>
          </w:tcPr>
          <w:p w14:paraId="33DE5912" w14:textId="77777777" w:rsidR="00F36424" w:rsidRPr="00F36424" w:rsidRDefault="00F36424" w:rsidP="00F36424">
            <w:pPr>
              <w:rPr>
                <w:rFonts w:cs="Arial"/>
              </w:rPr>
            </w:pPr>
          </w:p>
        </w:tc>
        <w:tc>
          <w:tcPr>
            <w:tcW w:w="1157" w:type="dxa"/>
          </w:tcPr>
          <w:p w14:paraId="740BCFB1" w14:textId="77777777" w:rsidR="00F36424" w:rsidRPr="00F36424" w:rsidRDefault="00F36424" w:rsidP="00F36424">
            <w:pPr>
              <w:rPr>
                <w:rFonts w:cs="Arial"/>
              </w:rPr>
            </w:pPr>
          </w:p>
        </w:tc>
      </w:tr>
      <w:tr w:rsidR="00F36424" w14:paraId="3E26D2B0" w14:textId="77777777" w:rsidTr="00F36424">
        <w:tc>
          <w:tcPr>
            <w:tcW w:w="1311" w:type="dxa"/>
          </w:tcPr>
          <w:p w14:paraId="1C0280FD" w14:textId="2A80CD91" w:rsidR="00F36424" w:rsidRPr="00F36424" w:rsidRDefault="00F36424" w:rsidP="00F36424">
            <w:pPr>
              <w:rPr>
                <w:rFonts w:cs="Arial"/>
              </w:rPr>
            </w:pPr>
            <w:r w:rsidRPr="00F36424">
              <w:rPr>
                <w:rFonts w:cs="Arial"/>
                <w:i/>
                <w:iCs/>
              </w:rPr>
              <w:t>Стомашно- чревни нарушения</w:t>
            </w:r>
          </w:p>
        </w:tc>
        <w:tc>
          <w:tcPr>
            <w:tcW w:w="1437" w:type="dxa"/>
          </w:tcPr>
          <w:p w14:paraId="271B3A63" w14:textId="2A5B0D11" w:rsidR="00F36424" w:rsidRPr="00F36424" w:rsidRDefault="00F36424" w:rsidP="00F36424">
            <w:pPr>
              <w:rPr>
                <w:rFonts w:cs="Arial"/>
              </w:rPr>
            </w:pPr>
            <w:r w:rsidRPr="00F36424">
              <w:rPr>
                <w:rFonts w:cs="Arial"/>
              </w:rPr>
              <w:t>Сухота в устата</w:t>
            </w:r>
          </w:p>
        </w:tc>
        <w:tc>
          <w:tcPr>
            <w:tcW w:w="1459" w:type="dxa"/>
          </w:tcPr>
          <w:p w14:paraId="5A9B9E96" w14:textId="02111368" w:rsidR="00F36424" w:rsidRPr="00F36424" w:rsidRDefault="00F36424" w:rsidP="00F36424">
            <w:pPr>
              <w:rPr>
                <w:rFonts w:cs="Arial"/>
              </w:rPr>
            </w:pPr>
            <w:r w:rsidRPr="00F36424">
              <w:rPr>
                <w:rFonts w:cs="Arial"/>
              </w:rPr>
              <w:t>Констипация, диспепсия, повръщане</w:t>
            </w:r>
            <w:r w:rsidRPr="00F36424">
              <w:rPr>
                <w:rFonts w:cs="Arial"/>
                <w:vertAlign w:val="superscript"/>
              </w:rPr>
              <w:t>25</w:t>
            </w:r>
          </w:p>
        </w:tc>
        <w:tc>
          <w:tcPr>
            <w:tcW w:w="1376" w:type="dxa"/>
          </w:tcPr>
          <w:p w14:paraId="1F1FCA4B" w14:textId="6422222B" w:rsidR="00F36424" w:rsidRPr="00F36424" w:rsidRDefault="00F36424" w:rsidP="00F36424">
            <w:pPr>
              <w:rPr>
                <w:rFonts w:cs="Arial"/>
              </w:rPr>
            </w:pPr>
            <w:r w:rsidRPr="00F36424">
              <w:rPr>
                <w:rFonts w:cs="Arial"/>
              </w:rPr>
              <w:t>Дисфагия</w:t>
            </w:r>
            <w:r w:rsidRPr="00F36424">
              <w:rPr>
                <w:rFonts w:cs="Arial"/>
                <w:vertAlign w:val="superscript"/>
              </w:rPr>
              <w:t>7</w:t>
            </w:r>
          </w:p>
        </w:tc>
        <w:tc>
          <w:tcPr>
            <w:tcW w:w="1582" w:type="dxa"/>
          </w:tcPr>
          <w:p w14:paraId="21A06502" w14:textId="0C85BDF8" w:rsidR="00F36424" w:rsidRPr="00F36424" w:rsidRDefault="00F36424" w:rsidP="00F36424">
            <w:pPr>
              <w:rPr>
                <w:rFonts w:cs="Arial"/>
              </w:rPr>
            </w:pPr>
            <w:r w:rsidRPr="00F36424">
              <w:rPr>
                <w:rFonts w:cs="Arial"/>
              </w:rPr>
              <w:t>Панкреатит</w:t>
            </w:r>
            <w:r w:rsidRPr="00F36424">
              <w:rPr>
                <w:rFonts w:cs="Arial"/>
                <w:vertAlign w:val="superscript"/>
              </w:rPr>
              <w:t>1</w:t>
            </w:r>
            <w:r w:rsidRPr="00F36424">
              <w:rPr>
                <w:rFonts w:cs="Arial"/>
              </w:rPr>
              <w:t>, чревна обструкция/ илеус</w:t>
            </w:r>
          </w:p>
        </w:tc>
        <w:tc>
          <w:tcPr>
            <w:tcW w:w="1254" w:type="dxa"/>
          </w:tcPr>
          <w:p w14:paraId="214FB553" w14:textId="77777777" w:rsidR="00F36424" w:rsidRPr="00F36424" w:rsidRDefault="00F36424" w:rsidP="00F36424">
            <w:pPr>
              <w:rPr>
                <w:rFonts w:cs="Arial"/>
              </w:rPr>
            </w:pPr>
          </w:p>
        </w:tc>
        <w:tc>
          <w:tcPr>
            <w:tcW w:w="1157" w:type="dxa"/>
          </w:tcPr>
          <w:p w14:paraId="09EC0274" w14:textId="77777777" w:rsidR="00F36424" w:rsidRPr="00F36424" w:rsidRDefault="00F36424" w:rsidP="00F36424">
            <w:pPr>
              <w:rPr>
                <w:rFonts w:cs="Arial"/>
              </w:rPr>
            </w:pPr>
          </w:p>
        </w:tc>
      </w:tr>
      <w:tr w:rsidR="00F36424" w14:paraId="152921E4" w14:textId="77777777" w:rsidTr="00F36424">
        <w:tc>
          <w:tcPr>
            <w:tcW w:w="1311" w:type="dxa"/>
          </w:tcPr>
          <w:p w14:paraId="726D8CC4" w14:textId="01D57E42" w:rsidR="00F36424" w:rsidRPr="00F36424" w:rsidRDefault="00F36424" w:rsidP="00F36424">
            <w:pPr>
              <w:rPr>
                <w:rFonts w:cs="Arial"/>
              </w:rPr>
            </w:pPr>
            <w:r w:rsidRPr="00F36424">
              <w:rPr>
                <w:rFonts w:cs="Arial"/>
                <w:i/>
                <w:iCs/>
              </w:rPr>
              <w:t>Хепато- билиарни нарушения</w:t>
            </w:r>
          </w:p>
        </w:tc>
        <w:tc>
          <w:tcPr>
            <w:tcW w:w="1437" w:type="dxa"/>
          </w:tcPr>
          <w:p w14:paraId="6FBE2B71" w14:textId="77777777" w:rsidR="00F36424" w:rsidRPr="00F36424" w:rsidRDefault="00F36424" w:rsidP="00F36424">
            <w:pPr>
              <w:rPr>
                <w:rFonts w:cs="Arial"/>
              </w:rPr>
            </w:pPr>
          </w:p>
        </w:tc>
        <w:tc>
          <w:tcPr>
            <w:tcW w:w="1459" w:type="dxa"/>
          </w:tcPr>
          <w:p w14:paraId="6D959226" w14:textId="76594F10" w:rsidR="00F36424" w:rsidRPr="00F36424" w:rsidRDefault="00F36424" w:rsidP="00F36424">
            <w:pPr>
              <w:rPr>
                <w:rFonts w:cs="Arial"/>
              </w:rPr>
            </w:pPr>
            <w:r w:rsidRPr="00F36424">
              <w:rPr>
                <w:rFonts w:cs="Arial"/>
              </w:rPr>
              <w:t xml:space="preserve">Повишаване на серумната аланинамино- трансфераза </w:t>
            </w:r>
            <w:r w:rsidRPr="00F36424">
              <w:rPr>
                <w:rFonts w:cs="Arial"/>
                <w:lang w:val="ru-RU"/>
              </w:rPr>
              <w:t>(</w:t>
            </w:r>
            <w:r w:rsidRPr="00F36424">
              <w:rPr>
                <w:rFonts w:cs="Arial"/>
                <w:lang w:val="en-US"/>
              </w:rPr>
              <w:t>ALT</w:t>
            </w:r>
            <w:r w:rsidRPr="00F36424">
              <w:rPr>
                <w:rFonts w:cs="Arial"/>
                <w:lang w:val="ru-RU"/>
              </w:rPr>
              <w:t>)</w:t>
            </w:r>
            <w:r w:rsidRPr="00F36424">
              <w:rPr>
                <w:rFonts w:cs="Arial"/>
                <w:vertAlign w:val="superscript"/>
                <w:lang w:val="ru-RU"/>
              </w:rPr>
              <w:t>3</w:t>
            </w:r>
            <w:r w:rsidRPr="00F36424">
              <w:rPr>
                <w:rFonts w:cs="Arial"/>
                <w:lang w:val="ru-RU"/>
              </w:rPr>
              <w:t xml:space="preserve">, </w:t>
            </w:r>
            <w:r w:rsidRPr="00F36424">
              <w:rPr>
                <w:rFonts w:cs="Arial"/>
              </w:rPr>
              <w:t>покачване на гама</w:t>
            </w:r>
            <w:r w:rsidRPr="00F36424">
              <w:rPr>
                <w:rFonts w:cs="Arial"/>
                <w:lang w:val="ru-RU"/>
              </w:rPr>
              <w:t>-</w:t>
            </w:r>
            <w:r w:rsidRPr="00F36424">
              <w:rPr>
                <w:rFonts w:cs="Arial"/>
                <w:lang w:val="en-US"/>
              </w:rPr>
              <w:t>GT</w:t>
            </w:r>
            <w:r w:rsidRPr="00F36424">
              <w:rPr>
                <w:rFonts w:cs="Arial"/>
                <w:lang w:val="ru-RU"/>
              </w:rPr>
              <w:t xml:space="preserve"> </w:t>
            </w:r>
            <w:r w:rsidRPr="00F36424">
              <w:rPr>
                <w:rFonts w:cs="Arial"/>
              </w:rPr>
              <w:t xml:space="preserve">нива </w:t>
            </w:r>
            <w:r w:rsidRPr="00F36424">
              <w:rPr>
                <w:rFonts w:cs="Arial"/>
                <w:vertAlign w:val="superscript"/>
              </w:rPr>
              <w:t>3 *</w:t>
            </w:r>
          </w:p>
        </w:tc>
        <w:tc>
          <w:tcPr>
            <w:tcW w:w="1376" w:type="dxa"/>
          </w:tcPr>
          <w:p w14:paraId="1E149EA3" w14:textId="5B3B15A5" w:rsidR="00F36424" w:rsidRPr="00F36424" w:rsidRDefault="00F36424" w:rsidP="00F36424">
            <w:pPr>
              <w:rPr>
                <w:rFonts w:cs="Arial"/>
              </w:rPr>
            </w:pPr>
            <w:r w:rsidRPr="00F36424">
              <w:rPr>
                <w:rFonts w:cs="Arial"/>
              </w:rPr>
              <w:t xml:space="preserve">Повишаване на серумните аспартат трансаминази </w:t>
            </w:r>
            <w:r w:rsidRPr="00F36424">
              <w:rPr>
                <w:rFonts w:cs="Arial"/>
                <w:lang w:val="ru-RU"/>
              </w:rPr>
              <w:t>(</w:t>
            </w:r>
            <w:r w:rsidRPr="00F36424">
              <w:rPr>
                <w:rFonts w:cs="Arial"/>
                <w:lang w:val="en-US"/>
              </w:rPr>
              <w:t>AST</w:t>
            </w:r>
            <w:r w:rsidRPr="00F36424">
              <w:rPr>
                <w:rFonts w:cs="Arial"/>
                <w:lang w:val="ru-RU"/>
              </w:rPr>
              <w:t>)</w:t>
            </w:r>
            <w:r w:rsidRPr="00F36424">
              <w:rPr>
                <w:rFonts w:cs="Arial"/>
                <w:vertAlign w:val="superscript"/>
                <w:lang w:val="ru-RU"/>
              </w:rPr>
              <w:t>3</w:t>
            </w:r>
          </w:p>
        </w:tc>
        <w:tc>
          <w:tcPr>
            <w:tcW w:w="1582" w:type="dxa"/>
          </w:tcPr>
          <w:p w14:paraId="18169D2C" w14:textId="04BA3D07" w:rsidR="00F36424" w:rsidRPr="00F36424" w:rsidRDefault="00F36424" w:rsidP="00F36424">
            <w:pPr>
              <w:rPr>
                <w:rFonts w:cs="Arial"/>
              </w:rPr>
            </w:pPr>
            <w:r w:rsidRPr="00F36424">
              <w:rPr>
                <w:rFonts w:cs="Arial"/>
              </w:rPr>
              <w:t>Жълтеница</w:t>
            </w:r>
            <w:r w:rsidRPr="00F36424">
              <w:rPr>
                <w:rFonts w:cs="Arial"/>
                <w:vertAlign w:val="superscript"/>
              </w:rPr>
              <w:t>5</w:t>
            </w:r>
            <w:r w:rsidRPr="00F36424">
              <w:rPr>
                <w:rFonts w:cs="Arial"/>
              </w:rPr>
              <w:t>, хепатит</w:t>
            </w:r>
          </w:p>
        </w:tc>
        <w:tc>
          <w:tcPr>
            <w:tcW w:w="1254" w:type="dxa"/>
          </w:tcPr>
          <w:p w14:paraId="36985F2D" w14:textId="77777777" w:rsidR="00F36424" w:rsidRPr="00F36424" w:rsidRDefault="00F36424" w:rsidP="00F36424">
            <w:pPr>
              <w:rPr>
                <w:rFonts w:cs="Arial"/>
              </w:rPr>
            </w:pPr>
          </w:p>
        </w:tc>
        <w:tc>
          <w:tcPr>
            <w:tcW w:w="1157" w:type="dxa"/>
          </w:tcPr>
          <w:p w14:paraId="0E88120C" w14:textId="77777777" w:rsidR="00F36424" w:rsidRPr="00F36424" w:rsidRDefault="00F36424" w:rsidP="00F36424">
            <w:pPr>
              <w:rPr>
                <w:rFonts w:cs="Arial"/>
              </w:rPr>
            </w:pPr>
          </w:p>
        </w:tc>
      </w:tr>
      <w:tr w:rsidR="00F36424" w14:paraId="2D4F1301" w14:textId="77777777" w:rsidTr="00F36424">
        <w:tc>
          <w:tcPr>
            <w:tcW w:w="1311" w:type="dxa"/>
          </w:tcPr>
          <w:p w14:paraId="6605DEE6" w14:textId="77C3E019" w:rsidR="00F36424" w:rsidRPr="00F36424" w:rsidRDefault="00F36424" w:rsidP="00F36424">
            <w:pPr>
              <w:rPr>
                <w:rFonts w:cs="Arial"/>
              </w:rPr>
            </w:pPr>
            <w:r w:rsidRPr="00F36424">
              <w:rPr>
                <w:rFonts w:cs="Arial"/>
                <w:i/>
                <w:iCs/>
              </w:rPr>
              <w:t>Нарушения на кожата и подкожната тъкан</w:t>
            </w:r>
          </w:p>
        </w:tc>
        <w:tc>
          <w:tcPr>
            <w:tcW w:w="1437" w:type="dxa"/>
          </w:tcPr>
          <w:p w14:paraId="0A450ACE" w14:textId="77777777" w:rsidR="00F36424" w:rsidRPr="00F36424" w:rsidRDefault="00F36424" w:rsidP="00F36424">
            <w:pPr>
              <w:rPr>
                <w:rFonts w:cs="Arial"/>
              </w:rPr>
            </w:pPr>
          </w:p>
        </w:tc>
        <w:tc>
          <w:tcPr>
            <w:tcW w:w="1459" w:type="dxa"/>
          </w:tcPr>
          <w:p w14:paraId="15BC2DDF" w14:textId="77777777" w:rsidR="00F36424" w:rsidRPr="00F36424" w:rsidRDefault="00F36424" w:rsidP="00F36424">
            <w:pPr>
              <w:rPr>
                <w:rFonts w:cs="Arial"/>
              </w:rPr>
            </w:pPr>
          </w:p>
        </w:tc>
        <w:tc>
          <w:tcPr>
            <w:tcW w:w="1376" w:type="dxa"/>
          </w:tcPr>
          <w:p w14:paraId="6F387DDB" w14:textId="77777777" w:rsidR="00F36424" w:rsidRPr="00F36424" w:rsidRDefault="00F36424" w:rsidP="00F36424">
            <w:pPr>
              <w:rPr>
                <w:rFonts w:cs="Arial"/>
              </w:rPr>
            </w:pPr>
          </w:p>
        </w:tc>
        <w:tc>
          <w:tcPr>
            <w:tcW w:w="1582" w:type="dxa"/>
          </w:tcPr>
          <w:p w14:paraId="65411D16" w14:textId="77777777" w:rsidR="00F36424" w:rsidRPr="00F36424" w:rsidRDefault="00F36424" w:rsidP="00F36424">
            <w:pPr>
              <w:rPr>
                <w:rFonts w:cs="Arial"/>
              </w:rPr>
            </w:pPr>
          </w:p>
        </w:tc>
        <w:tc>
          <w:tcPr>
            <w:tcW w:w="1254" w:type="dxa"/>
          </w:tcPr>
          <w:p w14:paraId="0E05CFCE" w14:textId="307925E1" w:rsidR="00F36424" w:rsidRPr="00F36424" w:rsidRDefault="00F36424" w:rsidP="00F36424">
            <w:pPr>
              <w:rPr>
                <w:rFonts w:cs="Arial"/>
              </w:rPr>
            </w:pPr>
            <w:r w:rsidRPr="00F36424">
              <w:rPr>
                <w:rFonts w:cs="Arial"/>
              </w:rPr>
              <w:t>Ангиоедем</w:t>
            </w:r>
            <w:r w:rsidRPr="00F36424">
              <w:rPr>
                <w:rFonts w:cs="Arial"/>
                <w:vertAlign w:val="superscript"/>
              </w:rPr>
              <w:t>5</w:t>
            </w:r>
            <w:r w:rsidRPr="00F36424">
              <w:rPr>
                <w:rFonts w:cs="Arial"/>
              </w:rPr>
              <w:t xml:space="preserve">, синдром на </w:t>
            </w:r>
            <w:r w:rsidRPr="00F36424">
              <w:rPr>
                <w:rFonts w:cs="Arial"/>
                <w:lang w:val="en-US"/>
              </w:rPr>
              <w:t>Stevens</w:t>
            </w:r>
            <w:r w:rsidRPr="00F36424">
              <w:rPr>
                <w:rFonts w:cs="Arial"/>
                <w:lang w:val="ru-RU"/>
              </w:rPr>
              <w:t xml:space="preserve">- </w:t>
            </w:r>
            <w:r w:rsidRPr="00F36424">
              <w:rPr>
                <w:rFonts w:cs="Arial"/>
                <w:lang w:val="en-US"/>
              </w:rPr>
              <w:t>Johnson</w:t>
            </w:r>
            <w:r w:rsidRPr="00F36424">
              <w:rPr>
                <w:rFonts w:cs="Arial"/>
                <w:vertAlign w:val="superscript"/>
                <w:lang w:val="ru-RU"/>
              </w:rPr>
              <w:t>5</w:t>
            </w:r>
          </w:p>
        </w:tc>
        <w:tc>
          <w:tcPr>
            <w:tcW w:w="1157" w:type="dxa"/>
          </w:tcPr>
          <w:p w14:paraId="32AEF9E3" w14:textId="77777777" w:rsidR="00F36424" w:rsidRPr="00F36424" w:rsidRDefault="00F36424" w:rsidP="00F36424">
            <w:pPr>
              <w:rPr>
                <w:rFonts w:cs="Arial"/>
              </w:rPr>
            </w:pPr>
            <w:r w:rsidRPr="00F36424">
              <w:rPr>
                <w:rFonts w:cs="Arial"/>
              </w:rPr>
              <w:t>Токсична епидермал-на некролиза, еритема мулти-форме Лекарствен обрив</w:t>
            </w:r>
            <w:r w:rsidRPr="00F36424">
              <w:rPr>
                <w:rFonts w:cs="Arial"/>
              </w:rPr>
              <w:tab/>
              <w:t>с</w:t>
            </w:r>
          </w:p>
          <w:p w14:paraId="1001BA27" w14:textId="7DB54870" w:rsidR="00F36424" w:rsidRPr="00F36424" w:rsidRDefault="00F36424" w:rsidP="00F36424">
            <w:pPr>
              <w:rPr>
                <w:rFonts w:cs="Arial"/>
              </w:rPr>
            </w:pPr>
            <w:r w:rsidRPr="00F36424">
              <w:rPr>
                <w:rFonts w:cs="Arial"/>
              </w:rPr>
              <w:t xml:space="preserve">еозинофилия и системни симптоми </w:t>
            </w:r>
            <w:r w:rsidRPr="00F36424">
              <w:rPr>
                <w:rFonts w:cs="Arial"/>
                <w:lang w:val="ru-RU"/>
              </w:rPr>
              <w:t>(</w:t>
            </w:r>
            <w:r w:rsidRPr="00F36424">
              <w:rPr>
                <w:rFonts w:cs="Arial"/>
                <w:lang w:val="en-US"/>
              </w:rPr>
              <w:t>DRESS</w:t>
            </w:r>
            <w:r w:rsidRPr="00F36424">
              <w:rPr>
                <w:rFonts w:cs="Arial"/>
                <w:lang w:val="ru-RU"/>
              </w:rPr>
              <w:t>)</w:t>
            </w:r>
          </w:p>
        </w:tc>
      </w:tr>
      <w:tr w:rsidR="00F36424" w14:paraId="00E6D8A5" w14:textId="77777777" w:rsidTr="00F36424">
        <w:tc>
          <w:tcPr>
            <w:tcW w:w="1311" w:type="dxa"/>
          </w:tcPr>
          <w:p w14:paraId="4D98E6FA" w14:textId="2EA8DBC3" w:rsidR="00F36424" w:rsidRPr="00F36424" w:rsidRDefault="00F36424" w:rsidP="00F36424">
            <w:pPr>
              <w:rPr>
                <w:rFonts w:cs="Arial"/>
              </w:rPr>
            </w:pPr>
            <w:r w:rsidRPr="00F36424">
              <w:rPr>
                <w:rFonts w:cs="Arial"/>
                <w:i/>
                <w:iCs/>
              </w:rPr>
              <w:t xml:space="preserve">Нарушения на </w:t>
            </w:r>
            <w:r w:rsidRPr="00F36424">
              <w:rPr>
                <w:rFonts w:cs="Arial"/>
                <w:i/>
                <w:iCs/>
              </w:rPr>
              <w:lastRenderedPageBreak/>
              <w:t>мускулно- скелетната система и съединители ата тъкан</w:t>
            </w:r>
          </w:p>
        </w:tc>
        <w:tc>
          <w:tcPr>
            <w:tcW w:w="1437" w:type="dxa"/>
          </w:tcPr>
          <w:p w14:paraId="7DE1E7F2" w14:textId="77777777" w:rsidR="00F36424" w:rsidRPr="00F36424" w:rsidRDefault="00F36424" w:rsidP="00F36424">
            <w:pPr>
              <w:rPr>
                <w:rFonts w:cs="Arial"/>
              </w:rPr>
            </w:pPr>
          </w:p>
        </w:tc>
        <w:tc>
          <w:tcPr>
            <w:tcW w:w="1459" w:type="dxa"/>
          </w:tcPr>
          <w:p w14:paraId="5E8C3B07" w14:textId="77777777" w:rsidR="00F36424" w:rsidRPr="00F36424" w:rsidRDefault="00F36424" w:rsidP="00F36424">
            <w:pPr>
              <w:rPr>
                <w:rFonts w:cs="Arial"/>
              </w:rPr>
            </w:pPr>
          </w:p>
        </w:tc>
        <w:tc>
          <w:tcPr>
            <w:tcW w:w="1376" w:type="dxa"/>
          </w:tcPr>
          <w:p w14:paraId="44C16F28" w14:textId="77777777" w:rsidR="00F36424" w:rsidRPr="00F36424" w:rsidRDefault="00F36424" w:rsidP="00F36424">
            <w:pPr>
              <w:rPr>
                <w:rFonts w:cs="Arial"/>
              </w:rPr>
            </w:pPr>
          </w:p>
        </w:tc>
        <w:tc>
          <w:tcPr>
            <w:tcW w:w="1582" w:type="dxa"/>
          </w:tcPr>
          <w:p w14:paraId="4BD235C9" w14:textId="77777777" w:rsidR="00F36424" w:rsidRPr="00F36424" w:rsidRDefault="00F36424" w:rsidP="00F36424">
            <w:pPr>
              <w:rPr>
                <w:rFonts w:cs="Arial"/>
              </w:rPr>
            </w:pPr>
          </w:p>
        </w:tc>
        <w:tc>
          <w:tcPr>
            <w:tcW w:w="1254" w:type="dxa"/>
          </w:tcPr>
          <w:p w14:paraId="5A663B35" w14:textId="1F03910C" w:rsidR="00F36424" w:rsidRPr="00F36424" w:rsidRDefault="00F36424" w:rsidP="00F36424">
            <w:pPr>
              <w:rPr>
                <w:rFonts w:cs="Arial"/>
              </w:rPr>
            </w:pPr>
            <w:r w:rsidRPr="00F36424">
              <w:rPr>
                <w:rFonts w:cs="Arial"/>
              </w:rPr>
              <w:t>Рабдомиоли- за</w:t>
            </w:r>
          </w:p>
        </w:tc>
        <w:tc>
          <w:tcPr>
            <w:tcW w:w="1157" w:type="dxa"/>
          </w:tcPr>
          <w:p w14:paraId="1EFA3C45" w14:textId="77777777" w:rsidR="00F36424" w:rsidRPr="00F36424" w:rsidRDefault="00F36424" w:rsidP="00F36424">
            <w:pPr>
              <w:rPr>
                <w:rFonts w:cs="Arial"/>
              </w:rPr>
            </w:pPr>
          </w:p>
        </w:tc>
      </w:tr>
      <w:tr w:rsidR="00F36424" w14:paraId="3FB9CEA3" w14:textId="77777777" w:rsidTr="00F36424">
        <w:tc>
          <w:tcPr>
            <w:tcW w:w="1311" w:type="dxa"/>
          </w:tcPr>
          <w:p w14:paraId="3311E08C" w14:textId="66E03E97" w:rsidR="00F36424" w:rsidRPr="00F36424" w:rsidRDefault="00F36424" w:rsidP="00F36424">
            <w:pPr>
              <w:rPr>
                <w:rFonts w:cs="Arial"/>
              </w:rPr>
            </w:pPr>
            <w:r w:rsidRPr="00F36424">
              <w:rPr>
                <w:rFonts w:cs="Arial"/>
                <w:i/>
                <w:iCs/>
              </w:rPr>
              <w:t>Нарушения на бъбреците и пикочните пътища</w:t>
            </w:r>
          </w:p>
        </w:tc>
        <w:tc>
          <w:tcPr>
            <w:tcW w:w="1437" w:type="dxa"/>
          </w:tcPr>
          <w:p w14:paraId="4FE033F3" w14:textId="77777777" w:rsidR="00F36424" w:rsidRPr="00F36424" w:rsidRDefault="00F36424" w:rsidP="00F36424">
            <w:pPr>
              <w:rPr>
                <w:rFonts w:cs="Arial"/>
              </w:rPr>
            </w:pPr>
          </w:p>
        </w:tc>
        <w:tc>
          <w:tcPr>
            <w:tcW w:w="1459" w:type="dxa"/>
          </w:tcPr>
          <w:p w14:paraId="6735D57E" w14:textId="77777777" w:rsidR="00F36424" w:rsidRPr="00F36424" w:rsidRDefault="00F36424" w:rsidP="00F36424">
            <w:pPr>
              <w:rPr>
                <w:rFonts w:cs="Arial"/>
              </w:rPr>
            </w:pPr>
          </w:p>
        </w:tc>
        <w:tc>
          <w:tcPr>
            <w:tcW w:w="1376" w:type="dxa"/>
          </w:tcPr>
          <w:p w14:paraId="174C2DA0" w14:textId="43CE20C4" w:rsidR="00F36424" w:rsidRPr="00F36424" w:rsidRDefault="00F36424" w:rsidP="00F36424">
            <w:pPr>
              <w:rPr>
                <w:rFonts w:cs="Arial"/>
              </w:rPr>
            </w:pPr>
            <w:r w:rsidRPr="00F36424">
              <w:rPr>
                <w:rFonts w:cs="Arial"/>
              </w:rPr>
              <w:t>Задръжка на урина</w:t>
            </w:r>
          </w:p>
        </w:tc>
        <w:tc>
          <w:tcPr>
            <w:tcW w:w="1582" w:type="dxa"/>
          </w:tcPr>
          <w:p w14:paraId="607F0759" w14:textId="77777777" w:rsidR="00F36424" w:rsidRPr="00F36424" w:rsidRDefault="00F36424" w:rsidP="00F36424">
            <w:pPr>
              <w:rPr>
                <w:rFonts w:cs="Arial"/>
              </w:rPr>
            </w:pPr>
          </w:p>
        </w:tc>
        <w:tc>
          <w:tcPr>
            <w:tcW w:w="1254" w:type="dxa"/>
          </w:tcPr>
          <w:p w14:paraId="0449D254" w14:textId="77777777" w:rsidR="00F36424" w:rsidRPr="00F36424" w:rsidRDefault="00F36424" w:rsidP="00F36424">
            <w:pPr>
              <w:rPr>
                <w:rFonts w:cs="Arial"/>
              </w:rPr>
            </w:pPr>
          </w:p>
        </w:tc>
        <w:tc>
          <w:tcPr>
            <w:tcW w:w="1157" w:type="dxa"/>
          </w:tcPr>
          <w:p w14:paraId="1F1690B2" w14:textId="77777777" w:rsidR="00F36424" w:rsidRPr="00F36424" w:rsidRDefault="00F36424" w:rsidP="00F36424">
            <w:pPr>
              <w:rPr>
                <w:rFonts w:cs="Arial"/>
              </w:rPr>
            </w:pPr>
          </w:p>
        </w:tc>
      </w:tr>
      <w:tr w:rsidR="00F36424" w14:paraId="02A642C9" w14:textId="77777777" w:rsidTr="00F36424">
        <w:tc>
          <w:tcPr>
            <w:tcW w:w="1311" w:type="dxa"/>
          </w:tcPr>
          <w:p w14:paraId="5639121D" w14:textId="55CBC6FC" w:rsidR="00F36424" w:rsidRPr="00F36424" w:rsidRDefault="00F36424" w:rsidP="00F36424">
            <w:pPr>
              <w:rPr>
                <w:rFonts w:cs="Arial"/>
              </w:rPr>
            </w:pPr>
            <w:r w:rsidRPr="00F36424">
              <w:rPr>
                <w:rFonts w:cs="Arial"/>
                <w:i/>
                <w:iCs/>
              </w:rPr>
              <w:t>Състояния, свързани с бременност та, родовия и послеродовия период</w:t>
            </w:r>
          </w:p>
        </w:tc>
        <w:tc>
          <w:tcPr>
            <w:tcW w:w="1437" w:type="dxa"/>
          </w:tcPr>
          <w:p w14:paraId="6678C6A3" w14:textId="77777777" w:rsidR="00F36424" w:rsidRPr="00F36424" w:rsidRDefault="00F36424" w:rsidP="00F36424">
            <w:pPr>
              <w:rPr>
                <w:rFonts w:cs="Arial"/>
              </w:rPr>
            </w:pPr>
          </w:p>
        </w:tc>
        <w:tc>
          <w:tcPr>
            <w:tcW w:w="1459" w:type="dxa"/>
          </w:tcPr>
          <w:p w14:paraId="42694ED4" w14:textId="77777777" w:rsidR="00F36424" w:rsidRPr="00F36424" w:rsidRDefault="00F36424" w:rsidP="00F36424">
            <w:pPr>
              <w:rPr>
                <w:rFonts w:cs="Arial"/>
              </w:rPr>
            </w:pPr>
          </w:p>
        </w:tc>
        <w:tc>
          <w:tcPr>
            <w:tcW w:w="1376" w:type="dxa"/>
          </w:tcPr>
          <w:p w14:paraId="5D01FF45" w14:textId="77777777" w:rsidR="00F36424" w:rsidRPr="00F36424" w:rsidRDefault="00F36424" w:rsidP="00F36424">
            <w:pPr>
              <w:rPr>
                <w:rFonts w:cs="Arial"/>
              </w:rPr>
            </w:pPr>
          </w:p>
        </w:tc>
        <w:tc>
          <w:tcPr>
            <w:tcW w:w="1582" w:type="dxa"/>
          </w:tcPr>
          <w:p w14:paraId="30AAD541" w14:textId="77777777" w:rsidR="00F36424" w:rsidRPr="00F36424" w:rsidRDefault="00F36424" w:rsidP="00F36424">
            <w:pPr>
              <w:rPr>
                <w:rFonts w:cs="Arial"/>
              </w:rPr>
            </w:pPr>
          </w:p>
        </w:tc>
        <w:tc>
          <w:tcPr>
            <w:tcW w:w="1254" w:type="dxa"/>
          </w:tcPr>
          <w:p w14:paraId="24C3FAA1" w14:textId="77777777" w:rsidR="00F36424" w:rsidRPr="00F36424" w:rsidRDefault="00F36424" w:rsidP="00F36424">
            <w:pPr>
              <w:rPr>
                <w:rFonts w:cs="Arial"/>
              </w:rPr>
            </w:pPr>
          </w:p>
        </w:tc>
        <w:tc>
          <w:tcPr>
            <w:tcW w:w="1157" w:type="dxa"/>
          </w:tcPr>
          <w:p w14:paraId="0D72A811" w14:textId="059D8BD7" w:rsidR="00F36424" w:rsidRPr="00F36424" w:rsidRDefault="00F36424" w:rsidP="00F36424">
            <w:pPr>
              <w:rPr>
                <w:rFonts w:cs="Arial"/>
              </w:rPr>
            </w:pPr>
            <w:r w:rsidRPr="00F36424">
              <w:rPr>
                <w:rFonts w:cs="Arial"/>
              </w:rPr>
              <w:t xml:space="preserve">Синдром на отнемане при новородено- </w:t>
            </w:r>
            <w:r w:rsidRPr="00F36424">
              <w:rPr>
                <w:rFonts w:cs="Arial"/>
              </w:rPr>
              <w:tab/>
              <w:t>31 то</w:t>
            </w:r>
          </w:p>
        </w:tc>
      </w:tr>
      <w:tr w:rsidR="00F36424" w14:paraId="2A2D9FDF" w14:textId="77777777" w:rsidTr="00F36424">
        <w:tc>
          <w:tcPr>
            <w:tcW w:w="1311" w:type="dxa"/>
          </w:tcPr>
          <w:p w14:paraId="3F5CCBBF" w14:textId="080A65DD" w:rsidR="00F36424" w:rsidRPr="00F36424" w:rsidRDefault="00F36424" w:rsidP="00F36424">
            <w:pPr>
              <w:rPr>
                <w:rFonts w:cs="Arial"/>
              </w:rPr>
            </w:pPr>
            <w:r w:rsidRPr="00F36424">
              <w:rPr>
                <w:rFonts w:cs="Arial"/>
                <w:i/>
                <w:iCs/>
              </w:rPr>
              <w:t>Нарушения на репродуктив</w:t>
            </w:r>
            <w:r w:rsidRPr="00F36424">
              <w:rPr>
                <w:rFonts w:cs="Arial"/>
                <w:i/>
                <w:iCs/>
              </w:rPr>
              <w:softHyphen/>
              <w:t>ната система и гърдата</w:t>
            </w:r>
          </w:p>
        </w:tc>
        <w:tc>
          <w:tcPr>
            <w:tcW w:w="1437" w:type="dxa"/>
          </w:tcPr>
          <w:p w14:paraId="6601371A" w14:textId="77777777" w:rsidR="00F36424" w:rsidRPr="00F36424" w:rsidRDefault="00F36424" w:rsidP="00F36424">
            <w:pPr>
              <w:rPr>
                <w:rFonts w:cs="Arial"/>
              </w:rPr>
            </w:pPr>
          </w:p>
        </w:tc>
        <w:tc>
          <w:tcPr>
            <w:tcW w:w="1459" w:type="dxa"/>
          </w:tcPr>
          <w:p w14:paraId="57ABD3AF" w14:textId="77777777" w:rsidR="00F36424" w:rsidRPr="00F36424" w:rsidRDefault="00F36424" w:rsidP="00F36424">
            <w:pPr>
              <w:rPr>
                <w:rFonts w:cs="Arial"/>
              </w:rPr>
            </w:pPr>
          </w:p>
        </w:tc>
        <w:tc>
          <w:tcPr>
            <w:tcW w:w="1376" w:type="dxa"/>
          </w:tcPr>
          <w:p w14:paraId="75E4C859" w14:textId="11F28FF4" w:rsidR="00F36424" w:rsidRPr="00F36424" w:rsidRDefault="00F36424" w:rsidP="00F36424">
            <w:pPr>
              <w:rPr>
                <w:rFonts w:cs="Arial"/>
              </w:rPr>
            </w:pPr>
            <w:r w:rsidRPr="00F36424">
              <w:rPr>
                <w:rFonts w:cs="Arial"/>
              </w:rPr>
              <w:t>Сексуална дисфункция</w:t>
            </w:r>
          </w:p>
        </w:tc>
        <w:tc>
          <w:tcPr>
            <w:tcW w:w="1582" w:type="dxa"/>
          </w:tcPr>
          <w:p w14:paraId="64E6EE20" w14:textId="21892DC1" w:rsidR="00F36424" w:rsidRPr="00F36424" w:rsidRDefault="00F36424" w:rsidP="00F36424">
            <w:pPr>
              <w:rPr>
                <w:rFonts w:cs="Arial"/>
              </w:rPr>
            </w:pPr>
            <w:r w:rsidRPr="00F36424">
              <w:rPr>
                <w:rFonts w:cs="Arial"/>
              </w:rPr>
              <w:t>Приапизъм, галакторея, подуване на гърдата, нарушения в менструацията</w:t>
            </w:r>
          </w:p>
        </w:tc>
        <w:tc>
          <w:tcPr>
            <w:tcW w:w="1254" w:type="dxa"/>
          </w:tcPr>
          <w:p w14:paraId="0A4A1BC4" w14:textId="77777777" w:rsidR="00F36424" w:rsidRPr="00F36424" w:rsidRDefault="00F36424" w:rsidP="00F36424">
            <w:pPr>
              <w:rPr>
                <w:rFonts w:cs="Arial"/>
              </w:rPr>
            </w:pPr>
          </w:p>
        </w:tc>
        <w:tc>
          <w:tcPr>
            <w:tcW w:w="1157" w:type="dxa"/>
          </w:tcPr>
          <w:p w14:paraId="5817F562" w14:textId="77777777" w:rsidR="00F36424" w:rsidRPr="00F36424" w:rsidRDefault="00F36424" w:rsidP="00F36424">
            <w:pPr>
              <w:rPr>
                <w:rFonts w:cs="Arial"/>
              </w:rPr>
            </w:pPr>
          </w:p>
        </w:tc>
      </w:tr>
      <w:tr w:rsidR="00F36424" w14:paraId="698FE7AB" w14:textId="77777777" w:rsidTr="00F36424">
        <w:tc>
          <w:tcPr>
            <w:tcW w:w="1311" w:type="dxa"/>
          </w:tcPr>
          <w:p w14:paraId="335AFDBD" w14:textId="26ACFBBD" w:rsidR="00F36424" w:rsidRPr="00F36424" w:rsidRDefault="00F36424" w:rsidP="00F36424">
            <w:pPr>
              <w:rPr>
                <w:rFonts w:cs="Arial"/>
              </w:rPr>
            </w:pPr>
            <w:r w:rsidRPr="00F36424">
              <w:rPr>
                <w:rFonts w:cs="Arial"/>
                <w:i/>
                <w:iCs/>
              </w:rPr>
              <w:t>Общи нарушения и ефекти на мястото на приложение</w:t>
            </w:r>
          </w:p>
        </w:tc>
        <w:tc>
          <w:tcPr>
            <w:tcW w:w="1437" w:type="dxa"/>
          </w:tcPr>
          <w:p w14:paraId="44C4F954" w14:textId="55424518" w:rsidR="00F36424" w:rsidRPr="00F36424" w:rsidRDefault="00F36424" w:rsidP="00F36424">
            <w:pPr>
              <w:rPr>
                <w:rFonts w:cs="Arial"/>
              </w:rPr>
            </w:pPr>
            <w:r w:rsidRPr="00F36424">
              <w:rPr>
                <w:rFonts w:cs="Arial"/>
              </w:rPr>
              <w:t>Симптоми на отнемане (спиране)</w:t>
            </w:r>
            <w:r w:rsidRPr="00F36424">
              <w:rPr>
                <w:rFonts w:cs="Arial"/>
                <w:vertAlign w:val="superscript"/>
              </w:rPr>
              <w:t>1,9</w:t>
            </w:r>
          </w:p>
        </w:tc>
        <w:tc>
          <w:tcPr>
            <w:tcW w:w="1459" w:type="dxa"/>
          </w:tcPr>
          <w:p w14:paraId="539DD1CC" w14:textId="6A6195D7" w:rsidR="00F36424" w:rsidRPr="00F36424" w:rsidRDefault="00F36424" w:rsidP="00F36424">
            <w:pPr>
              <w:rPr>
                <w:rFonts w:cs="Arial"/>
              </w:rPr>
            </w:pPr>
            <w:r w:rsidRPr="00F36424">
              <w:rPr>
                <w:rFonts w:cs="Arial"/>
              </w:rPr>
              <w:t>Лека астения, периферни отоци, раздразнител</w:t>
            </w:r>
            <w:r w:rsidRPr="00F36424">
              <w:rPr>
                <w:rFonts w:cs="Arial"/>
              </w:rPr>
              <w:softHyphen/>
              <w:t>ност, пирексия</w:t>
            </w:r>
          </w:p>
        </w:tc>
        <w:tc>
          <w:tcPr>
            <w:tcW w:w="1376" w:type="dxa"/>
          </w:tcPr>
          <w:p w14:paraId="6886677B" w14:textId="77777777" w:rsidR="00F36424" w:rsidRPr="00F36424" w:rsidRDefault="00F36424" w:rsidP="00F36424">
            <w:pPr>
              <w:rPr>
                <w:rFonts w:cs="Arial"/>
              </w:rPr>
            </w:pPr>
          </w:p>
        </w:tc>
        <w:tc>
          <w:tcPr>
            <w:tcW w:w="1582" w:type="dxa"/>
          </w:tcPr>
          <w:p w14:paraId="073CDADD" w14:textId="3CBE3711" w:rsidR="00F36424" w:rsidRPr="00F36424" w:rsidRDefault="00F36424" w:rsidP="00F36424">
            <w:pPr>
              <w:rPr>
                <w:rFonts w:cs="Arial"/>
              </w:rPr>
            </w:pPr>
            <w:r w:rsidRPr="00F36424">
              <w:rPr>
                <w:rFonts w:cs="Arial"/>
              </w:rPr>
              <w:t>Невролептичен малигнен синдром</w:t>
            </w:r>
            <w:r w:rsidRPr="00F36424">
              <w:rPr>
                <w:rFonts w:cs="Arial"/>
                <w:vertAlign w:val="superscript"/>
              </w:rPr>
              <w:t>1</w:t>
            </w:r>
            <w:r w:rsidRPr="00F36424">
              <w:rPr>
                <w:rFonts w:cs="Arial"/>
              </w:rPr>
              <w:t>, хипотермия</w:t>
            </w:r>
          </w:p>
        </w:tc>
        <w:tc>
          <w:tcPr>
            <w:tcW w:w="1254" w:type="dxa"/>
          </w:tcPr>
          <w:p w14:paraId="44A50975" w14:textId="77777777" w:rsidR="00F36424" w:rsidRPr="00F36424" w:rsidRDefault="00F36424" w:rsidP="00F36424">
            <w:pPr>
              <w:rPr>
                <w:rFonts w:cs="Arial"/>
              </w:rPr>
            </w:pPr>
          </w:p>
        </w:tc>
        <w:tc>
          <w:tcPr>
            <w:tcW w:w="1157" w:type="dxa"/>
          </w:tcPr>
          <w:p w14:paraId="0A6897B0" w14:textId="77777777" w:rsidR="00F36424" w:rsidRPr="00F36424" w:rsidRDefault="00F36424" w:rsidP="00F36424">
            <w:pPr>
              <w:rPr>
                <w:rFonts w:cs="Arial"/>
              </w:rPr>
            </w:pPr>
          </w:p>
        </w:tc>
      </w:tr>
      <w:tr w:rsidR="00F36424" w14:paraId="6AEA5B6E" w14:textId="77777777" w:rsidTr="00F36424">
        <w:tc>
          <w:tcPr>
            <w:tcW w:w="1311" w:type="dxa"/>
          </w:tcPr>
          <w:p w14:paraId="50B775D1" w14:textId="68535879" w:rsidR="00F36424" w:rsidRPr="00F36424" w:rsidRDefault="00F36424" w:rsidP="00F36424">
            <w:pPr>
              <w:rPr>
                <w:rFonts w:cs="Arial"/>
              </w:rPr>
            </w:pPr>
            <w:r w:rsidRPr="00F36424">
              <w:rPr>
                <w:rFonts w:cs="Arial"/>
                <w:i/>
                <w:iCs/>
              </w:rPr>
              <w:t>Изследвания</w:t>
            </w:r>
          </w:p>
        </w:tc>
        <w:tc>
          <w:tcPr>
            <w:tcW w:w="1437" w:type="dxa"/>
          </w:tcPr>
          <w:p w14:paraId="292FC5F1" w14:textId="77777777" w:rsidR="00F36424" w:rsidRPr="00F36424" w:rsidRDefault="00F36424" w:rsidP="00F36424">
            <w:pPr>
              <w:rPr>
                <w:rFonts w:cs="Arial"/>
              </w:rPr>
            </w:pPr>
          </w:p>
        </w:tc>
        <w:tc>
          <w:tcPr>
            <w:tcW w:w="1459" w:type="dxa"/>
          </w:tcPr>
          <w:p w14:paraId="28C9816C" w14:textId="77777777" w:rsidR="00F36424" w:rsidRPr="00F36424" w:rsidRDefault="00F36424" w:rsidP="00F36424">
            <w:pPr>
              <w:rPr>
                <w:rFonts w:cs="Arial"/>
              </w:rPr>
            </w:pPr>
          </w:p>
        </w:tc>
        <w:tc>
          <w:tcPr>
            <w:tcW w:w="1376" w:type="dxa"/>
          </w:tcPr>
          <w:p w14:paraId="5576E207" w14:textId="77777777" w:rsidR="00F36424" w:rsidRPr="00F36424" w:rsidRDefault="00F36424" w:rsidP="00F36424">
            <w:pPr>
              <w:rPr>
                <w:rFonts w:cs="Arial"/>
              </w:rPr>
            </w:pPr>
          </w:p>
        </w:tc>
        <w:tc>
          <w:tcPr>
            <w:tcW w:w="1582" w:type="dxa"/>
          </w:tcPr>
          <w:p w14:paraId="4CC9FF8F" w14:textId="6075F6DE" w:rsidR="00F36424" w:rsidRPr="00F36424" w:rsidRDefault="00F36424" w:rsidP="00F36424">
            <w:pPr>
              <w:rPr>
                <w:rFonts w:cs="Arial"/>
              </w:rPr>
            </w:pPr>
            <w:r w:rsidRPr="00F36424">
              <w:rPr>
                <w:rFonts w:cs="Arial"/>
              </w:rPr>
              <w:t>Повишаване на креатин фосфокиназата</w:t>
            </w:r>
            <w:r w:rsidRPr="00F36424">
              <w:rPr>
                <w:rFonts w:cs="Arial"/>
                <w:vertAlign w:val="superscript"/>
              </w:rPr>
              <w:t>14</w:t>
            </w:r>
          </w:p>
        </w:tc>
        <w:tc>
          <w:tcPr>
            <w:tcW w:w="1254" w:type="dxa"/>
          </w:tcPr>
          <w:p w14:paraId="7C5DE2B1" w14:textId="77777777" w:rsidR="00F36424" w:rsidRPr="00F36424" w:rsidRDefault="00F36424" w:rsidP="00F36424">
            <w:pPr>
              <w:rPr>
                <w:rFonts w:cs="Arial"/>
              </w:rPr>
            </w:pPr>
          </w:p>
        </w:tc>
        <w:tc>
          <w:tcPr>
            <w:tcW w:w="1157" w:type="dxa"/>
          </w:tcPr>
          <w:p w14:paraId="38CEA706" w14:textId="77777777" w:rsidR="00F36424" w:rsidRPr="00F36424" w:rsidRDefault="00F36424" w:rsidP="00F36424">
            <w:pPr>
              <w:rPr>
                <w:rFonts w:cs="Arial"/>
              </w:rPr>
            </w:pPr>
          </w:p>
        </w:tc>
      </w:tr>
    </w:tbl>
    <w:p w14:paraId="5D6F161B" w14:textId="1CC91F0D" w:rsidR="00F36424" w:rsidRDefault="00F36424" w:rsidP="00F36424"/>
    <w:p w14:paraId="7F52114E" w14:textId="758C089C" w:rsidR="00F36424" w:rsidRPr="00235C11" w:rsidRDefault="00F36424" w:rsidP="00F36424">
      <w:pPr>
        <w:spacing w:line="240" w:lineRule="auto"/>
        <w:rPr>
          <w:rFonts w:eastAsia="Times New Roman" w:cs="Arial"/>
        </w:rPr>
      </w:pPr>
      <w:r w:rsidRPr="00235C11">
        <w:rPr>
          <w:rFonts w:eastAsia="Times New Roman" w:cs="Arial"/>
          <w:color w:val="000000"/>
          <w:lang w:eastAsia="bg-BG"/>
        </w:rPr>
        <w:lastRenderedPageBreak/>
        <w:t>(1)</w:t>
      </w:r>
      <w:r w:rsidR="00235C11" w:rsidRPr="00235C11">
        <w:rPr>
          <w:rFonts w:eastAsia="Times New Roman" w:cs="Arial"/>
          <w:color w:val="000000"/>
          <w:lang w:eastAsia="bg-BG"/>
        </w:rPr>
        <w:t xml:space="preserve"> </w:t>
      </w:r>
      <w:r w:rsidRPr="00235C11">
        <w:rPr>
          <w:rFonts w:eastAsia="Times New Roman" w:cs="Arial"/>
          <w:color w:val="000000"/>
          <w:lang w:eastAsia="bg-BG"/>
        </w:rPr>
        <w:t>Вижте точка 4.4</w:t>
      </w:r>
    </w:p>
    <w:p w14:paraId="0A6EC929" w14:textId="2B72FE21" w:rsidR="00F36424" w:rsidRPr="00235C11" w:rsidRDefault="00F36424" w:rsidP="00F36424">
      <w:pPr>
        <w:spacing w:line="240" w:lineRule="auto"/>
        <w:rPr>
          <w:rFonts w:eastAsia="Times New Roman" w:cs="Arial"/>
        </w:rPr>
      </w:pPr>
      <w:r w:rsidRPr="00235C11">
        <w:rPr>
          <w:rFonts w:eastAsia="Times New Roman" w:cs="Arial"/>
          <w:color w:val="000000"/>
          <w:lang w:eastAsia="bg-BG"/>
        </w:rPr>
        <w:t>(2)</w:t>
      </w:r>
      <w:r w:rsidR="00235C11" w:rsidRPr="00235C11">
        <w:rPr>
          <w:rFonts w:eastAsia="Times New Roman" w:cs="Arial"/>
          <w:color w:val="000000"/>
          <w:lang w:eastAsia="bg-BG"/>
        </w:rPr>
        <w:t xml:space="preserve"> </w:t>
      </w:r>
      <w:r w:rsidRPr="00235C11">
        <w:rPr>
          <w:rFonts w:eastAsia="Times New Roman" w:cs="Arial"/>
          <w:color w:val="000000"/>
          <w:lang w:eastAsia="bg-BG"/>
        </w:rPr>
        <w:t>Сомнолентност може да се появи по време на първите две седмици на лечение и обикновено изчезва с продължаване на лечението с кветиапин.</w:t>
      </w:r>
    </w:p>
    <w:p w14:paraId="5727EC0E" w14:textId="55D36FC0" w:rsidR="00F36424" w:rsidRPr="00235C11" w:rsidRDefault="00F36424" w:rsidP="00F36424">
      <w:pPr>
        <w:spacing w:line="240" w:lineRule="auto"/>
        <w:rPr>
          <w:rFonts w:eastAsia="Times New Roman" w:cs="Arial"/>
        </w:rPr>
      </w:pPr>
      <w:r w:rsidRPr="00235C11">
        <w:rPr>
          <w:rFonts w:eastAsia="Times New Roman" w:cs="Arial"/>
          <w:color w:val="000000"/>
          <w:lang w:eastAsia="bg-BG"/>
        </w:rPr>
        <w:t>(3)</w:t>
      </w:r>
      <w:r w:rsidR="00235C11" w:rsidRPr="00235C11">
        <w:rPr>
          <w:rFonts w:eastAsia="Times New Roman" w:cs="Arial"/>
          <w:color w:val="000000"/>
          <w:lang w:eastAsia="bg-BG"/>
        </w:rPr>
        <w:t xml:space="preserve"> </w:t>
      </w:r>
      <w:r w:rsidRPr="00235C11">
        <w:rPr>
          <w:rFonts w:eastAsia="Times New Roman" w:cs="Arial"/>
          <w:color w:val="000000"/>
          <w:lang w:eastAsia="bg-BG"/>
        </w:rPr>
        <w:t>При някои пациенти, приемащи кветиапин, са наблюдавани асимптоматични</w:t>
      </w:r>
    </w:p>
    <w:p w14:paraId="3197BDD6" w14:textId="77777777" w:rsidR="00F36424" w:rsidRPr="00235C11" w:rsidRDefault="00F36424" w:rsidP="00F36424">
      <w:pPr>
        <w:spacing w:line="240" w:lineRule="auto"/>
        <w:rPr>
          <w:rFonts w:eastAsia="Times New Roman" w:cs="Arial"/>
        </w:rPr>
      </w:pPr>
      <w:r w:rsidRPr="00235C11">
        <w:rPr>
          <w:rFonts w:eastAsia="Times New Roman" w:cs="Arial"/>
          <w:color w:val="000000"/>
          <w:lang w:eastAsia="bg-BG"/>
        </w:rPr>
        <w:t xml:space="preserve">повишения (промяна от нормални стойности до &gt; Зх </w:t>
      </w:r>
      <w:r w:rsidRPr="00235C11">
        <w:rPr>
          <w:rFonts w:eastAsia="Times New Roman" w:cs="Arial"/>
          <w:color w:val="000000"/>
          <w:lang w:val="en-US"/>
        </w:rPr>
        <w:t>ULN</w:t>
      </w:r>
      <w:r w:rsidRPr="00235C11">
        <w:rPr>
          <w:rFonts w:eastAsia="Times New Roman" w:cs="Arial"/>
          <w:color w:val="000000"/>
          <w:lang w:val="ru-RU"/>
        </w:rPr>
        <w:t xml:space="preserve"> </w:t>
      </w:r>
      <w:r w:rsidRPr="00235C11">
        <w:rPr>
          <w:rFonts w:eastAsia="Times New Roman" w:cs="Arial"/>
          <w:color w:val="000000"/>
          <w:lang w:eastAsia="bg-BG"/>
        </w:rPr>
        <w:t>по всяко време) на</w:t>
      </w:r>
    </w:p>
    <w:p w14:paraId="17740F60" w14:textId="77777777" w:rsidR="00F36424" w:rsidRPr="00235C11" w:rsidRDefault="00F36424" w:rsidP="00F36424">
      <w:pPr>
        <w:rPr>
          <w:rFonts w:eastAsia="Times New Roman" w:cs="Arial"/>
        </w:rPr>
      </w:pPr>
      <w:r w:rsidRPr="00235C11">
        <w:rPr>
          <w:rFonts w:eastAsia="Times New Roman" w:cs="Arial"/>
          <w:color w:val="000000"/>
          <w:lang w:eastAsia="bg-BG"/>
        </w:rPr>
        <w:t>стойностите на трансаминазите (АЛАТ, АСАТ) или стойностите на гама-</w:t>
      </w:r>
      <w:r w:rsidRPr="00235C11">
        <w:rPr>
          <w:rFonts w:eastAsia="Times New Roman" w:cs="Arial"/>
          <w:color w:val="000000"/>
          <w:lang w:val="en-US"/>
        </w:rPr>
        <w:t>GT</w:t>
      </w:r>
      <w:r w:rsidRPr="00235C11">
        <w:rPr>
          <w:rFonts w:eastAsia="Times New Roman" w:cs="Arial"/>
          <w:color w:val="000000"/>
          <w:lang w:val="ru-RU"/>
        </w:rPr>
        <w:t xml:space="preserve"> </w:t>
      </w:r>
      <w:r w:rsidRPr="00235C11">
        <w:rPr>
          <w:rFonts w:eastAsia="Times New Roman" w:cs="Arial"/>
          <w:color w:val="000000"/>
          <w:lang w:eastAsia="bg-BG"/>
        </w:rPr>
        <w:t>в серума. Тези повишения обикновено са обратими с продължаване на лечението с кветиапин.</w:t>
      </w:r>
    </w:p>
    <w:p w14:paraId="3F9D6366" w14:textId="1C572281" w:rsidR="00F36424" w:rsidRPr="00235C11" w:rsidRDefault="00F36424" w:rsidP="00F36424">
      <w:pPr>
        <w:rPr>
          <w:rFonts w:eastAsia="Times New Roman" w:cs="Arial"/>
        </w:rPr>
      </w:pPr>
      <w:r w:rsidRPr="00235C11">
        <w:rPr>
          <w:rFonts w:eastAsia="Times New Roman" w:cs="Arial"/>
        </w:rPr>
        <w:t>(4)</w:t>
      </w:r>
      <w:r w:rsidR="00235C11" w:rsidRPr="00235C11">
        <w:rPr>
          <w:rFonts w:eastAsia="Times New Roman" w:cs="Arial"/>
        </w:rPr>
        <w:t xml:space="preserve"> </w:t>
      </w:r>
      <w:r w:rsidRPr="00235C11">
        <w:rPr>
          <w:rFonts w:eastAsia="Times New Roman" w:cs="Arial"/>
          <w:color w:val="000000"/>
          <w:lang w:eastAsia="bg-BG"/>
        </w:rPr>
        <w:t>Както при други антипсихотици с алфа-1 адренергична блокираща активност, кветиапин може често да предизвика ортостатична хипотония, свързана със замайване, тахикардия и при някои пациенти със синкоп, особено по време на първоначалното титриране на дозата (вж. точка 4.4).</w:t>
      </w:r>
    </w:p>
    <w:p w14:paraId="13FB1B52" w14:textId="13897B98"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(5)</w:t>
      </w:r>
      <w:r w:rsidR="00235C11" w:rsidRPr="00235C11">
        <w:rPr>
          <w:rFonts w:eastAsia="Times New Roman" w:cs="Arial"/>
          <w:color w:val="000000"/>
          <w:lang w:eastAsia="bg-BG"/>
        </w:rPr>
        <w:t xml:space="preserve"> </w:t>
      </w:r>
      <w:r w:rsidRPr="00235C11">
        <w:rPr>
          <w:rFonts w:eastAsia="Times New Roman" w:cs="Arial"/>
          <w:color w:val="000000"/>
          <w:lang w:eastAsia="bg-BG"/>
        </w:rPr>
        <w:t>Изчисленията на честотата за тези нежелани реакции са въз основа само на постмаркетингови данни.</w:t>
      </w:r>
    </w:p>
    <w:p w14:paraId="03D7DBF1" w14:textId="76A0D7F3"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(6)</w:t>
      </w:r>
      <w:r w:rsidR="00235C11" w:rsidRPr="00235C11">
        <w:rPr>
          <w:rFonts w:eastAsia="Times New Roman" w:cs="Arial"/>
          <w:color w:val="000000"/>
          <w:lang w:eastAsia="bg-BG"/>
        </w:rPr>
        <w:t xml:space="preserve"> </w:t>
      </w:r>
      <w:r w:rsidRPr="00235C11">
        <w:rPr>
          <w:rFonts w:eastAsia="Times New Roman" w:cs="Arial"/>
          <w:color w:val="000000"/>
          <w:lang w:eastAsia="bg-BG"/>
        </w:rPr>
        <w:t xml:space="preserve">Стойности на кръвната захар на гладно ≥7,0 </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 xml:space="preserve">/1 </w:t>
      </w:r>
      <w:r w:rsidRPr="00235C11">
        <w:rPr>
          <w:rFonts w:eastAsia="Times New Roman" w:cs="Arial"/>
          <w:color w:val="000000"/>
          <w:lang w:eastAsia="bg-BG"/>
        </w:rPr>
        <w:t xml:space="preserve">или след хранене ≥11,1 </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 xml:space="preserve">/1, </w:t>
      </w:r>
      <w:r w:rsidRPr="00235C11">
        <w:rPr>
          <w:rFonts w:eastAsia="Times New Roman" w:cs="Arial"/>
          <w:color w:val="000000"/>
          <w:lang w:eastAsia="bg-BG"/>
        </w:rPr>
        <w:t>отчетени поне веднъж.</w:t>
      </w:r>
    </w:p>
    <w:p w14:paraId="622ECE98" w14:textId="7CB99548"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(7)</w:t>
      </w:r>
      <w:r w:rsidR="00235C11" w:rsidRPr="00235C11">
        <w:rPr>
          <w:rFonts w:eastAsia="Times New Roman" w:cs="Arial"/>
          <w:color w:val="000000"/>
          <w:lang w:eastAsia="bg-BG"/>
        </w:rPr>
        <w:t xml:space="preserve"> </w:t>
      </w:r>
      <w:r w:rsidRPr="00235C11">
        <w:rPr>
          <w:rFonts w:eastAsia="Times New Roman" w:cs="Arial"/>
          <w:color w:val="000000"/>
          <w:lang w:eastAsia="bg-BG"/>
        </w:rPr>
        <w:t>Повишаване на честотата на развитие на дисфагия при прием на кветиапин в сравнение с плацебо е наблюдавано само в клиничните проучвания за биполярна депресия,</w:t>
      </w:r>
    </w:p>
    <w:p w14:paraId="38B898ED" w14:textId="32BFA214"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(8)</w:t>
      </w:r>
      <w:r w:rsidR="00235C11" w:rsidRPr="00235C11">
        <w:rPr>
          <w:rFonts w:eastAsia="Times New Roman" w:cs="Arial"/>
          <w:color w:val="000000"/>
          <w:lang w:eastAsia="bg-BG"/>
        </w:rPr>
        <w:t xml:space="preserve"> </w:t>
      </w:r>
      <w:r w:rsidRPr="00235C11">
        <w:rPr>
          <w:rFonts w:eastAsia="Times New Roman" w:cs="Arial"/>
          <w:color w:val="000000"/>
          <w:lang w:eastAsia="bg-BG"/>
        </w:rPr>
        <w:t>Въз основа на &gt;7% увеличаване на телесното тегло спрямо изходното положение. Появява се предимно по време на първите седмици от лечението при възрастни.</w:t>
      </w:r>
    </w:p>
    <w:p w14:paraId="1CCF91AB" w14:textId="173A4D99"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(9)</w:t>
      </w:r>
      <w:r w:rsidR="00235C11" w:rsidRPr="00235C11">
        <w:rPr>
          <w:rFonts w:eastAsia="Times New Roman" w:cs="Arial"/>
          <w:color w:val="000000"/>
          <w:lang w:eastAsia="bg-BG"/>
        </w:rPr>
        <w:t xml:space="preserve"> </w:t>
      </w:r>
      <w:r w:rsidRPr="00235C11">
        <w:rPr>
          <w:rFonts w:eastAsia="Times New Roman" w:cs="Arial"/>
          <w:color w:val="000000"/>
          <w:lang w:eastAsia="bg-BG"/>
        </w:rPr>
        <w:t>Следните симптоми на отнемане са били наблюдавани най-често при клинични изпитвания с плацебо-контролирана монотерапия в острата фаза, които оценяват симптомите на внезапно прекъсване на терапията: инсомния, замаяност, главоболие, диария, повръщане, световъртеж и раздразнителност. Честотата на тези реакции е намаляла значимо една седмица след спиране на терапията.</w:t>
      </w:r>
    </w:p>
    <w:p w14:paraId="6214113B" w14:textId="0F71AE59"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(10)</w:t>
      </w:r>
      <w:r w:rsidR="00235C11" w:rsidRPr="00235C11">
        <w:rPr>
          <w:rFonts w:eastAsia="Times New Roman" w:cs="Arial"/>
          <w:color w:val="000000"/>
          <w:lang w:eastAsia="bg-BG"/>
        </w:rPr>
        <w:t xml:space="preserve"> </w:t>
      </w:r>
      <w:r w:rsidRPr="00235C11">
        <w:rPr>
          <w:rFonts w:eastAsia="Times New Roman" w:cs="Arial"/>
          <w:color w:val="000000"/>
          <w:lang w:eastAsia="bg-BG"/>
        </w:rPr>
        <w:t xml:space="preserve">Триглицериди ≥200 </w:t>
      </w:r>
      <w:r w:rsidRPr="00235C11">
        <w:rPr>
          <w:rFonts w:eastAsia="Times New Roman" w:cs="Arial"/>
          <w:color w:val="000000"/>
          <w:lang w:val="en-US"/>
        </w:rPr>
        <w:t>mg</w:t>
      </w:r>
      <w:r w:rsidRPr="00235C11">
        <w:rPr>
          <w:rFonts w:eastAsia="Times New Roman" w:cs="Arial"/>
          <w:color w:val="000000"/>
        </w:rPr>
        <w:t>/</w:t>
      </w:r>
      <w:r w:rsidRPr="00235C11">
        <w:rPr>
          <w:rFonts w:eastAsia="Times New Roman" w:cs="Arial"/>
          <w:color w:val="000000"/>
          <w:lang w:val="en-US"/>
        </w:rPr>
        <w:t>dl</w:t>
      </w:r>
      <w:r w:rsidRPr="00235C11">
        <w:rPr>
          <w:rFonts w:eastAsia="Times New Roman" w:cs="Arial"/>
          <w:color w:val="000000"/>
        </w:rPr>
        <w:t xml:space="preserve"> (</w:t>
      </w:r>
      <w:r w:rsidRPr="00235C11">
        <w:rPr>
          <w:rFonts w:eastAsia="Times New Roman" w:cs="Arial"/>
          <w:color w:val="000000"/>
          <w:lang w:eastAsia="bg-BG"/>
        </w:rPr>
        <w:t>≥</w:t>
      </w:r>
      <w:r w:rsidRPr="00235C11">
        <w:rPr>
          <w:rFonts w:eastAsia="Times New Roman" w:cs="Arial"/>
          <w:color w:val="000000"/>
        </w:rPr>
        <w:t>2,258</w:t>
      </w:r>
      <w:proofErr w:type="spellStart"/>
      <w:r w:rsidRPr="00235C11">
        <w:rPr>
          <w:rFonts w:eastAsia="Times New Roman" w:cs="Arial"/>
          <w:color w:val="000000"/>
          <w:lang w:val="en-US"/>
        </w:rPr>
        <w:t>mmol</w:t>
      </w:r>
      <w:proofErr w:type="spellEnd"/>
      <w:r w:rsidRPr="00235C11">
        <w:rPr>
          <w:rFonts w:eastAsia="Times New Roman" w:cs="Arial"/>
          <w:color w:val="000000"/>
        </w:rPr>
        <w:t>/</w:t>
      </w:r>
      <w:r w:rsidRPr="00235C11">
        <w:rPr>
          <w:rFonts w:eastAsia="Times New Roman" w:cs="Arial"/>
          <w:color w:val="000000"/>
          <w:lang w:val="en-US"/>
        </w:rPr>
        <w:t>L</w:t>
      </w:r>
      <w:r w:rsidRPr="00235C11">
        <w:rPr>
          <w:rFonts w:eastAsia="Times New Roman" w:cs="Arial"/>
          <w:color w:val="000000"/>
        </w:rPr>
        <w:t xml:space="preserve">) </w:t>
      </w:r>
      <w:r w:rsidRPr="00235C11">
        <w:rPr>
          <w:rFonts w:eastAsia="Times New Roman" w:cs="Arial"/>
          <w:color w:val="000000"/>
          <w:lang w:eastAsia="bg-BG"/>
        </w:rPr>
        <w:t xml:space="preserve">(пациенти ≥18 години) или ≥150 </w:t>
      </w:r>
      <w:r w:rsidRPr="00235C11">
        <w:rPr>
          <w:rFonts w:eastAsia="Times New Roman" w:cs="Arial"/>
          <w:color w:val="000000"/>
          <w:lang w:val="en-US"/>
        </w:rPr>
        <w:t>mg</w:t>
      </w:r>
      <w:r w:rsidRPr="00235C11">
        <w:rPr>
          <w:rFonts w:eastAsia="Times New Roman" w:cs="Arial"/>
          <w:color w:val="000000"/>
        </w:rPr>
        <w:t>/</w:t>
      </w:r>
      <w:r w:rsidRPr="00235C11">
        <w:rPr>
          <w:rFonts w:eastAsia="Times New Roman" w:cs="Arial"/>
          <w:color w:val="000000"/>
          <w:lang w:val="en-US"/>
        </w:rPr>
        <w:t>dl</w:t>
      </w:r>
      <w:r w:rsidRPr="00235C11">
        <w:rPr>
          <w:rFonts w:eastAsia="Times New Roman" w:cs="Arial"/>
          <w:color w:val="000000"/>
        </w:rPr>
        <w:t xml:space="preserve"> </w:t>
      </w:r>
      <w:r w:rsidRPr="00235C11">
        <w:rPr>
          <w:rFonts w:eastAsia="Times New Roman" w:cs="Arial"/>
          <w:color w:val="000000"/>
          <w:lang w:eastAsia="bg-BG"/>
        </w:rPr>
        <w:t xml:space="preserve">(≥1,694 </w:t>
      </w:r>
      <w:proofErr w:type="spellStart"/>
      <w:r w:rsidRPr="00235C11">
        <w:rPr>
          <w:rFonts w:eastAsia="Times New Roman" w:cs="Arial"/>
          <w:color w:val="000000"/>
          <w:lang w:val="en-US"/>
        </w:rPr>
        <w:t>mmol</w:t>
      </w:r>
      <w:proofErr w:type="spellEnd"/>
      <w:r w:rsidRPr="00235C11">
        <w:rPr>
          <w:rFonts w:eastAsia="Times New Roman" w:cs="Arial"/>
          <w:color w:val="000000"/>
        </w:rPr>
        <w:t>/</w:t>
      </w:r>
      <w:r w:rsidRPr="00235C11">
        <w:rPr>
          <w:rFonts w:eastAsia="Times New Roman" w:cs="Arial"/>
          <w:color w:val="000000"/>
          <w:lang w:val="en-US"/>
        </w:rPr>
        <w:t>l</w:t>
      </w:r>
      <w:r w:rsidRPr="00235C11">
        <w:rPr>
          <w:rFonts w:eastAsia="Times New Roman" w:cs="Arial"/>
          <w:color w:val="000000"/>
        </w:rPr>
        <w:t xml:space="preserve">) </w:t>
      </w:r>
      <w:r w:rsidRPr="00235C11">
        <w:rPr>
          <w:rFonts w:eastAsia="Times New Roman" w:cs="Arial"/>
          <w:color w:val="000000"/>
          <w:lang w:eastAsia="bg-BG"/>
        </w:rPr>
        <w:t>(пациенти &lt;18 години) отчетени поне веднъж.</w:t>
      </w:r>
    </w:p>
    <w:p w14:paraId="36E5E28B" w14:textId="47547DFA"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(11)</w:t>
      </w:r>
      <w:r w:rsidR="00235C11" w:rsidRPr="00235C11">
        <w:rPr>
          <w:rFonts w:eastAsia="Times New Roman" w:cs="Arial"/>
          <w:color w:val="000000"/>
          <w:lang w:eastAsia="bg-BG"/>
        </w:rPr>
        <w:t xml:space="preserve"> </w:t>
      </w:r>
      <w:r w:rsidRPr="00235C11">
        <w:rPr>
          <w:rFonts w:eastAsia="Times New Roman" w:cs="Arial"/>
          <w:color w:val="000000"/>
          <w:lang w:eastAsia="bg-BG"/>
        </w:rPr>
        <w:t>Холестерол ≥</w:t>
      </w:r>
      <w:r w:rsidRPr="00235C11">
        <w:rPr>
          <w:rFonts w:eastAsia="Times New Roman" w:cs="Arial"/>
          <w:color w:val="000000"/>
        </w:rPr>
        <w:t>240</w:t>
      </w:r>
      <w:r w:rsidRPr="00235C11">
        <w:rPr>
          <w:rFonts w:eastAsia="Times New Roman" w:cs="Arial"/>
          <w:color w:val="000000"/>
          <w:lang w:val="en-US"/>
        </w:rPr>
        <w:t>mg</w:t>
      </w:r>
      <w:r w:rsidRPr="00235C11">
        <w:rPr>
          <w:rFonts w:eastAsia="Times New Roman" w:cs="Arial"/>
          <w:color w:val="000000"/>
        </w:rPr>
        <w:t>/</w:t>
      </w:r>
      <w:r w:rsidRPr="00235C11">
        <w:rPr>
          <w:rFonts w:eastAsia="Times New Roman" w:cs="Arial"/>
          <w:color w:val="000000"/>
          <w:lang w:val="en-US"/>
        </w:rPr>
        <w:t>dl</w:t>
      </w:r>
      <w:r w:rsidRPr="00235C11">
        <w:rPr>
          <w:rFonts w:eastAsia="Times New Roman" w:cs="Arial"/>
          <w:color w:val="000000"/>
        </w:rPr>
        <w:t xml:space="preserve"> (</w:t>
      </w:r>
      <w:r w:rsidRPr="00235C11">
        <w:rPr>
          <w:rFonts w:eastAsia="Times New Roman" w:cs="Arial"/>
          <w:color w:val="000000"/>
          <w:lang w:eastAsia="bg-BG"/>
        </w:rPr>
        <w:t>≥</w:t>
      </w:r>
      <w:r w:rsidRPr="00235C11">
        <w:rPr>
          <w:rFonts w:eastAsia="Times New Roman" w:cs="Arial"/>
          <w:color w:val="000000"/>
        </w:rPr>
        <w:t>6,2064</w:t>
      </w:r>
      <w:proofErr w:type="spellStart"/>
      <w:r w:rsidRPr="00235C11">
        <w:rPr>
          <w:rFonts w:eastAsia="Times New Roman" w:cs="Arial"/>
          <w:color w:val="000000"/>
          <w:lang w:val="en-US"/>
        </w:rPr>
        <w:t>mmol</w:t>
      </w:r>
      <w:proofErr w:type="spellEnd"/>
      <w:r w:rsidRPr="00235C11">
        <w:rPr>
          <w:rFonts w:eastAsia="Times New Roman" w:cs="Arial"/>
          <w:color w:val="000000"/>
        </w:rPr>
        <w:t>/</w:t>
      </w:r>
      <w:r w:rsidRPr="00235C11">
        <w:rPr>
          <w:rFonts w:eastAsia="Times New Roman" w:cs="Arial"/>
          <w:color w:val="000000"/>
          <w:lang w:val="en-US"/>
        </w:rPr>
        <w:t>l</w:t>
      </w:r>
      <w:r w:rsidRPr="00235C11">
        <w:rPr>
          <w:rFonts w:eastAsia="Times New Roman" w:cs="Arial"/>
          <w:color w:val="000000"/>
        </w:rPr>
        <w:t xml:space="preserve">) </w:t>
      </w:r>
      <w:r w:rsidRPr="00235C11">
        <w:rPr>
          <w:rFonts w:eastAsia="Times New Roman" w:cs="Arial"/>
          <w:color w:val="000000"/>
          <w:lang w:eastAsia="bg-BG"/>
        </w:rPr>
        <w:t xml:space="preserve">(пациенти ≥18 години) отчетени поне веднъж или ≥200 </w:t>
      </w:r>
      <w:r w:rsidRPr="00235C11">
        <w:rPr>
          <w:rFonts w:eastAsia="Times New Roman" w:cs="Arial"/>
          <w:color w:val="000000"/>
          <w:lang w:val="en-US"/>
        </w:rPr>
        <w:t>mg</w:t>
      </w:r>
      <w:r w:rsidRPr="00235C11">
        <w:rPr>
          <w:rFonts w:eastAsia="Times New Roman" w:cs="Arial"/>
          <w:color w:val="000000"/>
        </w:rPr>
        <w:t>/</w:t>
      </w:r>
      <w:r w:rsidRPr="00235C11">
        <w:rPr>
          <w:rFonts w:eastAsia="Times New Roman" w:cs="Arial"/>
          <w:color w:val="000000"/>
          <w:lang w:val="en-US"/>
        </w:rPr>
        <w:t>dl</w:t>
      </w:r>
      <w:r w:rsidRPr="00235C11">
        <w:rPr>
          <w:rFonts w:eastAsia="Times New Roman" w:cs="Arial"/>
          <w:color w:val="000000"/>
        </w:rPr>
        <w:t xml:space="preserve"> </w:t>
      </w:r>
      <w:r w:rsidRPr="00235C11">
        <w:rPr>
          <w:rFonts w:eastAsia="Times New Roman" w:cs="Arial"/>
          <w:color w:val="000000"/>
          <w:lang w:eastAsia="bg-BG"/>
        </w:rPr>
        <w:t xml:space="preserve">(≥5,172 </w:t>
      </w:r>
      <w:proofErr w:type="spellStart"/>
      <w:r w:rsidRPr="00235C11">
        <w:rPr>
          <w:rFonts w:eastAsia="Times New Roman" w:cs="Arial"/>
          <w:color w:val="000000"/>
          <w:lang w:val="en-US"/>
        </w:rPr>
        <w:t>mmol</w:t>
      </w:r>
      <w:proofErr w:type="spellEnd"/>
      <w:r w:rsidRPr="00235C11">
        <w:rPr>
          <w:rFonts w:eastAsia="Times New Roman" w:cs="Arial"/>
          <w:color w:val="000000"/>
        </w:rPr>
        <w:t>/</w:t>
      </w:r>
      <w:r w:rsidRPr="00235C11">
        <w:rPr>
          <w:rFonts w:eastAsia="Times New Roman" w:cs="Arial"/>
          <w:color w:val="000000"/>
          <w:lang w:val="en-US"/>
        </w:rPr>
        <w:t>I</w:t>
      </w:r>
      <w:r w:rsidRPr="00235C11">
        <w:rPr>
          <w:rFonts w:eastAsia="Times New Roman" w:cs="Arial"/>
          <w:color w:val="000000"/>
        </w:rPr>
        <w:t xml:space="preserve">) </w:t>
      </w:r>
      <w:r w:rsidRPr="00235C11">
        <w:rPr>
          <w:rFonts w:eastAsia="Times New Roman" w:cs="Arial"/>
          <w:color w:val="000000"/>
          <w:lang w:eastAsia="bg-BG"/>
        </w:rPr>
        <w:t xml:space="preserve">(пациенти &lt;18 години) отчетени поне веднъж. Повишение на </w:t>
      </w:r>
      <w:r w:rsidRPr="00235C11">
        <w:rPr>
          <w:rFonts w:eastAsia="Times New Roman" w:cs="Arial"/>
          <w:color w:val="000000"/>
          <w:lang w:val="en-US"/>
        </w:rPr>
        <w:t>LDL</w:t>
      </w:r>
      <w:r w:rsidRPr="00235C11">
        <w:rPr>
          <w:rFonts w:eastAsia="Times New Roman" w:cs="Arial"/>
          <w:color w:val="000000"/>
          <w:lang w:val="ru-RU"/>
        </w:rPr>
        <w:t xml:space="preserve"> </w:t>
      </w:r>
      <w:r w:rsidRPr="00235C11">
        <w:rPr>
          <w:rFonts w:eastAsia="Times New Roman" w:cs="Arial"/>
          <w:color w:val="000000"/>
          <w:lang w:eastAsia="bg-BG"/>
        </w:rPr>
        <w:t xml:space="preserve">холестерола &gt;30 </w:t>
      </w:r>
      <w:r w:rsidRPr="00235C11">
        <w:rPr>
          <w:rFonts w:eastAsia="Times New Roman" w:cs="Arial"/>
          <w:color w:val="000000"/>
          <w:lang w:val="en-US"/>
        </w:rPr>
        <w:t>mg</w:t>
      </w:r>
      <w:r w:rsidRPr="00235C11">
        <w:rPr>
          <w:rFonts w:eastAsia="Times New Roman" w:cs="Arial"/>
          <w:color w:val="000000"/>
          <w:lang w:val="ru-RU"/>
        </w:rPr>
        <w:t>/</w:t>
      </w:r>
      <w:r w:rsidRPr="00235C11">
        <w:rPr>
          <w:rFonts w:eastAsia="Times New Roman" w:cs="Arial"/>
          <w:color w:val="000000"/>
          <w:lang w:val="en-US"/>
        </w:rPr>
        <w:t>dl</w:t>
      </w:r>
      <w:r w:rsidRPr="00235C11">
        <w:rPr>
          <w:rFonts w:eastAsia="Times New Roman" w:cs="Arial"/>
          <w:color w:val="000000"/>
          <w:lang w:val="ru-RU"/>
        </w:rPr>
        <w:t xml:space="preserve"> </w:t>
      </w:r>
      <w:r w:rsidRPr="00235C11">
        <w:rPr>
          <w:rFonts w:eastAsia="Times New Roman" w:cs="Arial"/>
          <w:color w:val="000000"/>
          <w:lang w:eastAsia="bg-BG"/>
        </w:rPr>
        <w:t xml:space="preserve">(≥0,769 </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 xml:space="preserve">/1) </w:t>
      </w:r>
      <w:r w:rsidRPr="00235C11">
        <w:rPr>
          <w:rFonts w:eastAsia="Times New Roman" w:cs="Arial"/>
          <w:color w:val="000000"/>
          <w:lang w:eastAsia="bg-BG"/>
        </w:rPr>
        <w:t xml:space="preserve">е наблюдавано много често. Средната промяна сред пациентите, които са имали такова повишение, е 41,7 </w:t>
      </w:r>
      <w:r w:rsidRPr="00235C11">
        <w:rPr>
          <w:rFonts w:eastAsia="Times New Roman" w:cs="Arial"/>
          <w:color w:val="000000"/>
          <w:lang w:val="en-US"/>
        </w:rPr>
        <w:t>mg</w:t>
      </w:r>
      <w:r w:rsidRPr="00235C11">
        <w:rPr>
          <w:rFonts w:eastAsia="Times New Roman" w:cs="Arial"/>
          <w:color w:val="000000"/>
          <w:lang w:val="ru-RU"/>
        </w:rPr>
        <w:t>/</w:t>
      </w:r>
      <w:r w:rsidRPr="00235C11">
        <w:rPr>
          <w:rFonts w:eastAsia="Times New Roman" w:cs="Arial"/>
          <w:color w:val="000000"/>
          <w:lang w:val="en-US"/>
        </w:rPr>
        <w:t>dl</w:t>
      </w:r>
      <w:r w:rsidRPr="00235C11">
        <w:rPr>
          <w:rFonts w:eastAsia="Times New Roman" w:cs="Arial"/>
          <w:color w:val="000000"/>
          <w:lang w:val="ru-RU"/>
        </w:rPr>
        <w:t xml:space="preserve"> </w:t>
      </w:r>
      <w:r w:rsidRPr="00235C11">
        <w:rPr>
          <w:rFonts w:eastAsia="Times New Roman" w:cs="Arial"/>
          <w:color w:val="000000"/>
          <w:lang w:eastAsia="bg-BG"/>
        </w:rPr>
        <w:t xml:space="preserve">(≥1,07 </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/1).</w:t>
      </w:r>
    </w:p>
    <w:p w14:paraId="2C30CDBB" w14:textId="2BEF2323"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(12)</w:t>
      </w:r>
      <w:r w:rsidR="00235C11" w:rsidRPr="00235C11">
        <w:rPr>
          <w:rFonts w:eastAsia="Times New Roman" w:cs="Arial"/>
          <w:color w:val="000000"/>
          <w:lang w:eastAsia="bg-BG"/>
        </w:rPr>
        <w:t xml:space="preserve"> </w:t>
      </w:r>
      <w:r w:rsidRPr="00235C11">
        <w:rPr>
          <w:rFonts w:eastAsia="Times New Roman" w:cs="Arial"/>
          <w:color w:val="000000"/>
          <w:lang w:eastAsia="bg-BG"/>
        </w:rPr>
        <w:t>Вижте текста по-долу.</w:t>
      </w:r>
    </w:p>
    <w:p w14:paraId="6751539A" w14:textId="390C6799"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(13)</w:t>
      </w:r>
      <w:r w:rsidR="00235C11" w:rsidRPr="00235C11">
        <w:rPr>
          <w:rFonts w:eastAsia="Times New Roman" w:cs="Arial"/>
          <w:color w:val="000000"/>
          <w:lang w:eastAsia="bg-BG"/>
        </w:rPr>
        <w:t xml:space="preserve"> </w:t>
      </w:r>
      <w:r w:rsidRPr="00235C11">
        <w:rPr>
          <w:rFonts w:eastAsia="Times New Roman" w:cs="Arial"/>
          <w:color w:val="000000"/>
          <w:lang w:eastAsia="bg-BG"/>
        </w:rPr>
        <w:t>Тромбоцити ≥100 х 10</w:t>
      </w:r>
      <w:r w:rsidRPr="00235C11">
        <w:rPr>
          <w:rFonts w:eastAsia="Times New Roman" w:cs="Arial"/>
          <w:color w:val="000000"/>
          <w:vertAlign w:val="superscript"/>
          <w:lang w:eastAsia="bg-BG"/>
        </w:rPr>
        <w:t>9</w:t>
      </w:r>
      <w:r w:rsidRPr="00235C11">
        <w:rPr>
          <w:rFonts w:eastAsia="Times New Roman" w:cs="Arial"/>
          <w:color w:val="000000"/>
          <w:lang w:eastAsia="bg-BG"/>
        </w:rPr>
        <w:t>/1 отчетени поне веднъж.</w:t>
      </w:r>
    </w:p>
    <w:p w14:paraId="36011E87" w14:textId="7D90DA1C"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(14)</w:t>
      </w:r>
      <w:r w:rsidR="00235C11" w:rsidRPr="00235C11">
        <w:rPr>
          <w:rFonts w:eastAsia="Times New Roman" w:cs="Arial"/>
          <w:color w:val="000000"/>
          <w:lang w:eastAsia="bg-BG"/>
        </w:rPr>
        <w:t xml:space="preserve"> </w:t>
      </w:r>
      <w:r w:rsidRPr="00235C11">
        <w:rPr>
          <w:rFonts w:eastAsia="Times New Roman" w:cs="Arial"/>
          <w:color w:val="000000"/>
          <w:lang w:eastAsia="bg-BG"/>
        </w:rPr>
        <w:t>Въз основа на съобщените нежелани реакции при клинични изпитвания, повишението на кръвната креатинфосфокиназа не е свързано с невролептичен малигнен синдром.</w:t>
      </w:r>
    </w:p>
    <w:p w14:paraId="63FCE3E1" w14:textId="1023C54B"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(15)</w:t>
      </w:r>
      <w:r w:rsidR="00235C11" w:rsidRPr="00235C11">
        <w:rPr>
          <w:rFonts w:eastAsia="Times New Roman" w:cs="Arial"/>
          <w:color w:val="000000"/>
          <w:lang w:eastAsia="bg-BG"/>
        </w:rPr>
        <w:t xml:space="preserve"> </w:t>
      </w:r>
      <w:r w:rsidRPr="00235C11">
        <w:rPr>
          <w:rFonts w:eastAsia="Times New Roman" w:cs="Arial"/>
          <w:color w:val="000000"/>
          <w:lang w:eastAsia="bg-BG"/>
        </w:rPr>
        <w:t xml:space="preserve">Нива на пролактин (пациенти &gt;18 години): </w:t>
      </w:r>
      <w:r w:rsidRPr="00235C11">
        <w:rPr>
          <w:rFonts w:eastAsia="Times New Roman" w:cs="Arial"/>
          <w:color w:val="000000"/>
          <w:lang w:val="ru-RU"/>
        </w:rPr>
        <w:t>&gt;20</w:t>
      </w:r>
      <w:r w:rsidRPr="00235C11">
        <w:rPr>
          <w:rFonts w:eastAsia="Times New Roman" w:cs="Arial"/>
          <w:color w:val="000000"/>
          <w:lang w:eastAsia="bg-BG"/>
        </w:rPr>
        <w:t>μ</w:t>
      </w:r>
      <w:r w:rsidRPr="00235C11">
        <w:rPr>
          <w:rFonts w:eastAsia="Times New Roman" w:cs="Arial"/>
          <w:color w:val="000000"/>
          <w:lang w:val="en-US"/>
        </w:rPr>
        <w:t>g</w:t>
      </w:r>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(&gt;869,56</w:t>
      </w:r>
      <w:proofErr w:type="spellStart"/>
      <w:r w:rsidRPr="00235C11">
        <w:rPr>
          <w:rFonts w:eastAsia="Times New Roman" w:cs="Arial"/>
          <w:color w:val="000000"/>
          <w:lang w:val="en-US"/>
        </w:rPr>
        <w:t>pmol</w:t>
      </w:r>
      <w:proofErr w:type="spellEnd"/>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w:t>
      </w:r>
      <w:r w:rsidRPr="00235C11">
        <w:rPr>
          <w:rFonts w:eastAsia="Times New Roman" w:cs="Arial"/>
          <w:color w:val="000000"/>
          <w:lang w:eastAsia="bg-BG"/>
        </w:rPr>
        <w:t xml:space="preserve">мъже; </w:t>
      </w:r>
      <w:r w:rsidRPr="00235C11">
        <w:rPr>
          <w:rFonts w:eastAsia="Times New Roman" w:cs="Arial"/>
          <w:color w:val="000000"/>
          <w:lang w:val="ru-RU"/>
        </w:rPr>
        <w:t>&gt;30</w:t>
      </w:r>
      <w:r w:rsidRPr="00235C11">
        <w:rPr>
          <w:rFonts w:eastAsia="Times New Roman" w:cs="Arial"/>
          <w:color w:val="000000"/>
          <w:lang w:eastAsia="bg-BG"/>
        </w:rPr>
        <w:t>μ</w:t>
      </w:r>
      <w:r w:rsidRPr="00235C11">
        <w:rPr>
          <w:rFonts w:eastAsia="Times New Roman" w:cs="Arial"/>
          <w:color w:val="000000"/>
          <w:lang w:val="en-US"/>
        </w:rPr>
        <w:t>g</w:t>
      </w:r>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(&gt;1304,34</w:t>
      </w:r>
      <w:proofErr w:type="spellStart"/>
      <w:r w:rsidRPr="00235C11">
        <w:rPr>
          <w:rFonts w:eastAsia="Times New Roman" w:cs="Arial"/>
          <w:color w:val="000000"/>
          <w:lang w:val="en-US"/>
        </w:rPr>
        <w:t>pmol</w:t>
      </w:r>
      <w:proofErr w:type="spellEnd"/>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w:t>
      </w:r>
      <w:r w:rsidRPr="00235C11">
        <w:rPr>
          <w:rFonts w:eastAsia="Times New Roman" w:cs="Arial"/>
          <w:color w:val="000000"/>
          <w:lang w:eastAsia="bg-BG"/>
        </w:rPr>
        <w:t>жени по всяко време.</w:t>
      </w:r>
    </w:p>
    <w:p w14:paraId="77BF0979" w14:textId="0CFDBEE4"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(16)</w:t>
      </w:r>
      <w:r w:rsidR="00235C11" w:rsidRPr="00235C11">
        <w:rPr>
          <w:rFonts w:eastAsia="Times New Roman" w:cs="Arial"/>
          <w:color w:val="000000"/>
          <w:lang w:eastAsia="bg-BG"/>
        </w:rPr>
        <w:t xml:space="preserve"> </w:t>
      </w:r>
      <w:r w:rsidRPr="00235C11">
        <w:rPr>
          <w:rFonts w:eastAsia="Times New Roman" w:cs="Arial"/>
          <w:color w:val="000000"/>
          <w:lang w:eastAsia="bg-BG"/>
        </w:rPr>
        <w:t>Може да доведе до падания.</w:t>
      </w:r>
    </w:p>
    <w:p w14:paraId="76DB65E2" w14:textId="7F662747" w:rsidR="00F36424" w:rsidRPr="00235C11" w:rsidRDefault="00F36424" w:rsidP="00F36424">
      <w:pPr>
        <w:spacing w:line="240" w:lineRule="auto"/>
        <w:rPr>
          <w:rFonts w:eastAsia="Times New Roman" w:cs="Arial"/>
          <w:color w:val="000000"/>
          <w:lang w:val="ru-RU"/>
        </w:rPr>
      </w:pPr>
      <w:r w:rsidRPr="00235C11">
        <w:rPr>
          <w:rFonts w:eastAsia="Times New Roman" w:cs="Arial"/>
          <w:color w:val="000000"/>
        </w:rPr>
        <w:t>(17)</w:t>
      </w:r>
      <w:r w:rsidR="00235C11" w:rsidRPr="00235C11">
        <w:rPr>
          <w:rFonts w:eastAsia="Times New Roman" w:cs="Arial"/>
          <w:color w:val="000000"/>
        </w:rPr>
        <w:t xml:space="preserve"> </w:t>
      </w:r>
      <w:r w:rsidRPr="00235C11">
        <w:rPr>
          <w:rFonts w:eastAsia="Times New Roman" w:cs="Arial"/>
          <w:color w:val="000000"/>
          <w:lang w:val="en-US"/>
        </w:rPr>
        <w:t>HDL</w:t>
      </w:r>
      <w:r w:rsidRPr="00235C11">
        <w:rPr>
          <w:rFonts w:eastAsia="Times New Roman" w:cs="Arial"/>
          <w:color w:val="000000"/>
          <w:lang w:val="ru-RU"/>
        </w:rPr>
        <w:t xml:space="preserve"> </w:t>
      </w:r>
      <w:r w:rsidRPr="00235C11">
        <w:rPr>
          <w:rFonts w:eastAsia="Times New Roman" w:cs="Arial"/>
          <w:color w:val="000000"/>
          <w:lang w:eastAsia="bg-BG"/>
        </w:rPr>
        <w:t xml:space="preserve">холестерол: &lt;40 </w:t>
      </w:r>
      <w:r w:rsidRPr="00235C11">
        <w:rPr>
          <w:rFonts w:eastAsia="Times New Roman" w:cs="Arial"/>
          <w:color w:val="000000"/>
          <w:lang w:val="en-US"/>
        </w:rPr>
        <w:t>mg</w:t>
      </w:r>
      <w:r w:rsidRPr="00235C11">
        <w:rPr>
          <w:rFonts w:eastAsia="Times New Roman" w:cs="Arial"/>
          <w:color w:val="000000"/>
          <w:lang w:val="ru-RU"/>
        </w:rPr>
        <w:t>/</w:t>
      </w:r>
      <w:r w:rsidRPr="00235C11">
        <w:rPr>
          <w:rFonts w:eastAsia="Times New Roman" w:cs="Arial"/>
          <w:color w:val="000000"/>
          <w:lang w:val="en-US"/>
        </w:rPr>
        <w:t>dl</w:t>
      </w:r>
      <w:r w:rsidRPr="00235C11">
        <w:rPr>
          <w:rFonts w:eastAsia="Times New Roman" w:cs="Arial"/>
          <w:color w:val="000000"/>
          <w:lang w:val="ru-RU"/>
        </w:rPr>
        <w:t xml:space="preserve"> (</w:t>
      </w:r>
      <w:r w:rsidRPr="00235C11">
        <w:rPr>
          <w:rFonts w:eastAsia="Times New Roman" w:cs="Arial"/>
          <w:color w:val="000000"/>
          <w:lang w:val="en-US"/>
        </w:rPr>
        <w:t>l</w:t>
      </w:r>
      <w:r w:rsidRPr="00235C11">
        <w:rPr>
          <w:rFonts w:eastAsia="Times New Roman" w:cs="Arial"/>
          <w:color w:val="000000"/>
          <w:lang w:val="ru-RU"/>
        </w:rPr>
        <w:t>,025</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w:t>
      </w:r>
      <w:r w:rsidRPr="00235C11">
        <w:rPr>
          <w:rFonts w:eastAsia="Times New Roman" w:cs="Arial"/>
          <w:color w:val="000000"/>
          <w:lang w:eastAsia="bg-BG"/>
        </w:rPr>
        <w:t xml:space="preserve">мъже; &lt;50 </w:t>
      </w:r>
      <w:r w:rsidRPr="00235C11">
        <w:rPr>
          <w:rFonts w:eastAsia="Times New Roman" w:cs="Arial"/>
          <w:color w:val="000000"/>
          <w:lang w:val="en-US"/>
        </w:rPr>
        <w:t>mg</w:t>
      </w:r>
      <w:r w:rsidRPr="00235C11">
        <w:rPr>
          <w:rFonts w:eastAsia="Times New Roman" w:cs="Arial"/>
          <w:color w:val="000000"/>
          <w:lang w:val="ru-RU"/>
        </w:rPr>
        <w:t>/</w:t>
      </w:r>
      <w:r w:rsidRPr="00235C11">
        <w:rPr>
          <w:rFonts w:eastAsia="Times New Roman" w:cs="Arial"/>
          <w:color w:val="000000"/>
          <w:lang w:val="en-US"/>
        </w:rPr>
        <w:t>dl</w:t>
      </w:r>
      <w:r w:rsidRPr="00235C11">
        <w:rPr>
          <w:rFonts w:eastAsia="Times New Roman" w:cs="Arial"/>
          <w:color w:val="000000"/>
          <w:lang w:val="ru-RU"/>
        </w:rPr>
        <w:t xml:space="preserve"> (</w:t>
      </w:r>
      <w:r w:rsidRPr="00235C11">
        <w:rPr>
          <w:rFonts w:eastAsia="Times New Roman" w:cs="Arial"/>
          <w:color w:val="000000"/>
          <w:lang w:val="en-US"/>
        </w:rPr>
        <w:t>l</w:t>
      </w:r>
      <w:r w:rsidRPr="00235C11">
        <w:rPr>
          <w:rFonts w:eastAsia="Times New Roman" w:cs="Arial"/>
          <w:color w:val="000000"/>
          <w:lang w:val="ru-RU"/>
        </w:rPr>
        <w:t>,282</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w:t>
      </w:r>
      <w:r w:rsidRPr="00235C11">
        <w:rPr>
          <w:rFonts w:eastAsia="Times New Roman" w:cs="Arial"/>
          <w:color w:val="000000"/>
          <w:lang w:eastAsia="bg-BG"/>
        </w:rPr>
        <w:t>жени по всяко време.</w:t>
      </w:r>
    </w:p>
    <w:p w14:paraId="59E083EA" w14:textId="2E167A75"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(18)</w:t>
      </w:r>
      <w:r w:rsidR="00235C11" w:rsidRPr="00235C11">
        <w:rPr>
          <w:rFonts w:eastAsia="Times New Roman" w:cs="Arial"/>
          <w:color w:val="000000"/>
          <w:lang w:eastAsia="bg-BG"/>
        </w:rPr>
        <w:t xml:space="preserve"> </w:t>
      </w:r>
      <w:r w:rsidRPr="00235C11">
        <w:rPr>
          <w:rFonts w:eastAsia="Times New Roman" w:cs="Arial"/>
          <w:color w:val="000000"/>
          <w:lang w:eastAsia="bg-BG"/>
        </w:rPr>
        <w:t xml:space="preserve">Честота на пациенти, които имат изместване на </w:t>
      </w:r>
      <w:proofErr w:type="spellStart"/>
      <w:r w:rsidRPr="00235C11">
        <w:rPr>
          <w:rFonts w:eastAsia="Times New Roman" w:cs="Arial"/>
          <w:color w:val="000000"/>
          <w:lang w:val="en-US"/>
        </w:rPr>
        <w:t>QTc</w:t>
      </w:r>
      <w:proofErr w:type="spellEnd"/>
      <w:r w:rsidRPr="00235C11">
        <w:rPr>
          <w:rFonts w:eastAsia="Times New Roman" w:cs="Arial"/>
          <w:color w:val="000000"/>
          <w:lang w:val="ru-RU"/>
        </w:rPr>
        <w:t xml:space="preserve"> </w:t>
      </w:r>
      <w:r w:rsidRPr="00235C11">
        <w:rPr>
          <w:rFonts w:eastAsia="Times New Roman" w:cs="Arial"/>
          <w:color w:val="000000"/>
          <w:lang w:eastAsia="bg-BG"/>
        </w:rPr>
        <w:t xml:space="preserve">от &lt;450 </w:t>
      </w:r>
      <w:proofErr w:type="spellStart"/>
      <w:r w:rsidRPr="00235C11">
        <w:rPr>
          <w:rFonts w:eastAsia="Times New Roman" w:cs="Arial"/>
          <w:color w:val="000000"/>
          <w:lang w:val="en-US"/>
        </w:rPr>
        <w:t>msec</w:t>
      </w:r>
      <w:proofErr w:type="spellEnd"/>
      <w:r w:rsidRPr="00235C11">
        <w:rPr>
          <w:rFonts w:eastAsia="Times New Roman" w:cs="Arial"/>
          <w:color w:val="000000"/>
          <w:lang w:val="ru-RU"/>
        </w:rPr>
        <w:t xml:space="preserve"> </w:t>
      </w:r>
      <w:r w:rsidRPr="00235C11">
        <w:rPr>
          <w:rFonts w:eastAsia="Times New Roman" w:cs="Arial"/>
          <w:color w:val="000000"/>
          <w:lang w:eastAsia="bg-BG"/>
        </w:rPr>
        <w:t xml:space="preserve">до ≥450 </w:t>
      </w:r>
      <w:proofErr w:type="spellStart"/>
      <w:r w:rsidRPr="00235C11">
        <w:rPr>
          <w:rFonts w:eastAsia="Times New Roman" w:cs="Arial"/>
          <w:color w:val="000000"/>
          <w:lang w:val="en-US"/>
        </w:rPr>
        <w:t>msec</w:t>
      </w:r>
      <w:proofErr w:type="spellEnd"/>
      <w:r w:rsidRPr="00235C11">
        <w:rPr>
          <w:rFonts w:eastAsia="Times New Roman" w:cs="Arial"/>
          <w:color w:val="000000"/>
          <w:lang w:val="ru-RU"/>
        </w:rPr>
        <w:t xml:space="preserve"> </w:t>
      </w:r>
      <w:r w:rsidRPr="00235C11">
        <w:rPr>
          <w:rFonts w:eastAsia="Times New Roman" w:cs="Arial"/>
          <w:color w:val="000000"/>
          <w:lang w:eastAsia="bg-BG"/>
        </w:rPr>
        <w:t>с</w:t>
      </w:r>
    </w:p>
    <w:p w14:paraId="153188BE" w14:textId="77777777" w:rsidR="00F36424" w:rsidRPr="00235C11" w:rsidRDefault="00F36424" w:rsidP="00F36424">
      <w:pPr>
        <w:spacing w:line="240" w:lineRule="auto"/>
        <w:rPr>
          <w:rFonts w:eastAsia="Times New Roman" w:cs="Arial"/>
        </w:rPr>
      </w:pPr>
      <w:r w:rsidRPr="00235C11">
        <w:rPr>
          <w:rFonts w:eastAsia="Times New Roman" w:cs="Arial"/>
          <w:color w:val="000000"/>
          <w:lang w:eastAsia="bg-BG"/>
        </w:rPr>
        <w:t xml:space="preserve">≥30 </w:t>
      </w:r>
      <w:proofErr w:type="spellStart"/>
      <w:r w:rsidRPr="00235C11">
        <w:rPr>
          <w:rFonts w:eastAsia="Times New Roman" w:cs="Arial"/>
          <w:color w:val="000000"/>
          <w:lang w:val="en-US"/>
        </w:rPr>
        <w:t>msec</w:t>
      </w:r>
      <w:proofErr w:type="spellEnd"/>
      <w:r w:rsidRPr="00235C11">
        <w:rPr>
          <w:rFonts w:eastAsia="Times New Roman" w:cs="Arial"/>
          <w:color w:val="000000"/>
          <w:lang w:val="ru-RU"/>
        </w:rPr>
        <w:t xml:space="preserve"> </w:t>
      </w:r>
      <w:r w:rsidRPr="00235C11">
        <w:rPr>
          <w:rFonts w:eastAsia="Times New Roman" w:cs="Arial"/>
          <w:color w:val="000000"/>
          <w:lang w:eastAsia="bg-BG"/>
        </w:rPr>
        <w:t>повишение. При плацебо-контролирани изпитвания на кветиапин, средната промяна и честотата на пациентите, които имат изместване до клинично значими нива, е подобен между кветиапин и плацебо.</w:t>
      </w:r>
    </w:p>
    <w:p w14:paraId="2857A79C" w14:textId="794D85E4"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(19)</w:t>
      </w:r>
      <w:r w:rsidR="00235C11" w:rsidRPr="00235C11">
        <w:rPr>
          <w:rFonts w:eastAsia="Times New Roman" w:cs="Arial"/>
          <w:color w:val="000000"/>
          <w:lang w:eastAsia="bg-BG"/>
        </w:rPr>
        <w:t xml:space="preserve"> </w:t>
      </w:r>
      <w:r w:rsidRPr="00235C11">
        <w:rPr>
          <w:rFonts w:eastAsia="Times New Roman" w:cs="Arial"/>
          <w:color w:val="000000"/>
          <w:lang w:eastAsia="bg-BG"/>
        </w:rPr>
        <w:t xml:space="preserve">Промяна от &gt; 132 </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 xml:space="preserve">/1 </w:t>
      </w:r>
      <w:r w:rsidRPr="00235C11">
        <w:rPr>
          <w:rFonts w:eastAsia="Times New Roman" w:cs="Arial"/>
          <w:color w:val="000000"/>
          <w:lang w:eastAsia="bg-BG"/>
        </w:rPr>
        <w:t xml:space="preserve">&lt;132 </w:t>
      </w:r>
      <w:proofErr w:type="spellStart"/>
      <w:r w:rsidRPr="00235C11">
        <w:rPr>
          <w:rFonts w:eastAsia="Times New Roman" w:cs="Arial"/>
          <w:color w:val="000000"/>
          <w:lang w:val="en-US"/>
        </w:rPr>
        <w:t>mmol</w:t>
      </w:r>
      <w:proofErr w:type="spellEnd"/>
      <w:r w:rsidRPr="00235C11">
        <w:rPr>
          <w:rFonts w:eastAsia="Times New Roman" w:cs="Arial"/>
          <w:color w:val="000000"/>
          <w:lang w:val="ru-RU"/>
        </w:rPr>
        <w:t xml:space="preserve">/1 </w:t>
      </w:r>
      <w:r w:rsidRPr="00235C11">
        <w:rPr>
          <w:rFonts w:eastAsia="Times New Roman" w:cs="Arial"/>
          <w:color w:val="000000"/>
          <w:lang w:eastAsia="bg-BG"/>
        </w:rPr>
        <w:t>най-малко един път.</w:t>
      </w:r>
    </w:p>
    <w:p w14:paraId="45C5C332" w14:textId="6125918C" w:rsidR="00F36424" w:rsidRPr="00235C11" w:rsidRDefault="00F36424" w:rsidP="00F36424">
      <w:pPr>
        <w:spacing w:line="240" w:lineRule="auto"/>
        <w:rPr>
          <w:rFonts w:eastAsia="Times New Roman" w:cs="Arial"/>
          <w:color w:val="000000"/>
          <w:lang w:eastAsia="bg-BG"/>
        </w:rPr>
      </w:pPr>
      <w:r w:rsidRPr="00235C11">
        <w:rPr>
          <w:rFonts w:eastAsia="Times New Roman" w:cs="Arial"/>
          <w:color w:val="000000"/>
          <w:lang w:eastAsia="bg-BG"/>
        </w:rPr>
        <w:t>(20)</w:t>
      </w:r>
      <w:r w:rsidR="00235C11" w:rsidRPr="00235C11">
        <w:rPr>
          <w:rFonts w:eastAsia="Times New Roman" w:cs="Arial"/>
          <w:color w:val="000000"/>
          <w:lang w:eastAsia="bg-BG"/>
        </w:rPr>
        <w:t xml:space="preserve"> </w:t>
      </w:r>
      <w:r w:rsidRPr="00235C11">
        <w:rPr>
          <w:rFonts w:eastAsia="Times New Roman" w:cs="Arial"/>
          <w:color w:val="000000"/>
          <w:lang w:eastAsia="bg-BG"/>
        </w:rPr>
        <w:t>Има съобщения за суицидни помисли или суицидно поведение по време на лечението с кветиапин или скоро след спирането му (вж. точки 4.4 и 5.1).</w:t>
      </w:r>
    </w:p>
    <w:p w14:paraId="4EDE1F7E" w14:textId="75087962" w:rsidR="00F36424"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 xml:space="preserve">(21) </w:t>
      </w:r>
      <w:r w:rsidR="00F36424" w:rsidRPr="00235C11">
        <w:rPr>
          <w:rFonts w:eastAsia="Times New Roman" w:cs="Arial"/>
          <w:color w:val="000000"/>
          <w:lang w:eastAsia="bg-BG"/>
        </w:rPr>
        <w:t>Вижте точка 5.1</w:t>
      </w:r>
    </w:p>
    <w:p w14:paraId="3A6B05CE" w14:textId="205842D4" w:rsidR="00F36424"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lastRenderedPageBreak/>
        <w:t xml:space="preserve">(22) </w:t>
      </w:r>
      <w:r w:rsidR="00F36424" w:rsidRPr="00235C11">
        <w:rPr>
          <w:rFonts w:eastAsia="Times New Roman" w:cs="Arial"/>
          <w:color w:val="000000"/>
          <w:lang w:eastAsia="bg-BG"/>
        </w:rPr>
        <w:t xml:space="preserve">Понижен хемоглобин до ≤13 </w:t>
      </w:r>
      <w:r w:rsidR="00F36424" w:rsidRPr="00235C11">
        <w:rPr>
          <w:rFonts w:eastAsia="Times New Roman" w:cs="Arial"/>
          <w:color w:val="000000"/>
          <w:lang w:val="en-US"/>
        </w:rPr>
        <w:t>g</w:t>
      </w:r>
      <w:r w:rsidR="00F36424" w:rsidRPr="00235C11">
        <w:rPr>
          <w:rFonts w:eastAsia="Times New Roman" w:cs="Arial"/>
          <w:color w:val="000000"/>
          <w:lang w:val="ru-RU"/>
        </w:rPr>
        <w:t>/</w:t>
      </w:r>
      <w:r w:rsidR="00F36424" w:rsidRPr="00235C11">
        <w:rPr>
          <w:rFonts w:eastAsia="Times New Roman" w:cs="Arial"/>
          <w:color w:val="000000"/>
          <w:lang w:val="en-US"/>
        </w:rPr>
        <w:t>dl</w:t>
      </w:r>
      <w:r w:rsidR="00F36424" w:rsidRPr="00235C11">
        <w:rPr>
          <w:rFonts w:eastAsia="Times New Roman" w:cs="Arial"/>
          <w:color w:val="000000"/>
          <w:lang w:val="ru-RU"/>
        </w:rPr>
        <w:t xml:space="preserve"> </w:t>
      </w:r>
      <w:r w:rsidR="00F36424" w:rsidRPr="00235C11">
        <w:rPr>
          <w:rFonts w:eastAsia="Times New Roman" w:cs="Arial"/>
          <w:color w:val="000000"/>
          <w:lang w:eastAsia="bg-BG"/>
        </w:rPr>
        <w:t xml:space="preserve">(8.07 </w:t>
      </w:r>
      <w:proofErr w:type="spellStart"/>
      <w:r w:rsidR="00F36424" w:rsidRPr="00235C11">
        <w:rPr>
          <w:rFonts w:eastAsia="Times New Roman" w:cs="Arial"/>
          <w:color w:val="000000"/>
          <w:lang w:val="en-US"/>
        </w:rPr>
        <w:t>mmol</w:t>
      </w:r>
      <w:proofErr w:type="spellEnd"/>
      <w:r w:rsidR="00F36424" w:rsidRPr="00235C11">
        <w:rPr>
          <w:rFonts w:eastAsia="Times New Roman" w:cs="Arial"/>
          <w:color w:val="000000"/>
          <w:lang w:val="ru-RU"/>
        </w:rPr>
        <w:t xml:space="preserve">/1) </w:t>
      </w:r>
      <w:r w:rsidR="00F36424" w:rsidRPr="00235C11">
        <w:rPr>
          <w:rFonts w:eastAsia="Times New Roman" w:cs="Arial"/>
          <w:color w:val="000000"/>
          <w:lang w:eastAsia="bg-BG"/>
        </w:rPr>
        <w:t xml:space="preserve">при мъже, ≤12 </w:t>
      </w:r>
      <w:r w:rsidR="00F36424" w:rsidRPr="00235C11">
        <w:rPr>
          <w:rFonts w:eastAsia="Times New Roman" w:cs="Arial"/>
          <w:color w:val="000000"/>
          <w:lang w:val="en-US"/>
        </w:rPr>
        <w:t>g</w:t>
      </w:r>
      <w:r w:rsidR="00F36424" w:rsidRPr="00235C11">
        <w:rPr>
          <w:rFonts w:eastAsia="Times New Roman" w:cs="Arial"/>
          <w:color w:val="000000"/>
          <w:lang w:val="ru-RU"/>
        </w:rPr>
        <w:t>/</w:t>
      </w:r>
      <w:r w:rsidR="00F36424" w:rsidRPr="00235C11">
        <w:rPr>
          <w:rFonts w:eastAsia="Times New Roman" w:cs="Arial"/>
          <w:color w:val="000000"/>
          <w:lang w:val="en-US"/>
        </w:rPr>
        <w:t>dl</w:t>
      </w:r>
      <w:r w:rsidR="00F36424" w:rsidRPr="00235C11">
        <w:rPr>
          <w:rFonts w:eastAsia="Times New Roman" w:cs="Arial"/>
          <w:color w:val="000000"/>
          <w:lang w:val="ru-RU"/>
        </w:rPr>
        <w:t xml:space="preserve"> </w:t>
      </w:r>
      <w:r w:rsidR="00F36424" w:rsidRPr="00235C11">
        <w:rPr>
          <w:rFonts w:eastAsia="Times New Roman" w:cs="Arial"/>
          <w:color w:val="000000"/>
          <w:lang w:eastAsia="bg-BG"/>
        </w:rPr>
        <w:t xml:space="preserve">(7.45 </w:t>
      </w:r>
      <w:proofErr w:type="spellStart"/>
      <w:r w:rsidR="00F36424" w:rsidRPr="00235C11">
        <w:rPr>
          <w:rFonts w:eastAsia="Times New Roman" w:cs="Arial"/>
          <w:color w:val="000000"/>
          <w:lang w:val="en-US"/>
        </w:rPr>
        <w:t>mmol</w:t>
      </w:r>
      <w:proofErr w:type="spellEnd"/>
      <w:r w:rsidR="00F36424" w:rsidRPr="00235C11">
        <w:rPr>
          <w:rFonts w:eastAsia="Times New Roman" w:cs="Arial"/>
          <w:color w:val="000000"/>
          <w:lang w:val="ru-RU"/>
        </w:rPr>
        <w:t xml:space="preserve">/1) </w:t>
      </w:r>
      <w:r w:rsidR="00F36424" w:rsidRPr="00235C11">
        <w:rPr>
          <w:rFonts w:eastAsia="Times New Roman" w:cs="Arial"/>
          <w:color w:val="000000"/>
          <w:lang w:eastAsia="bg-BG"/>
        </w:rPr>
        <w:t xml:space="preserve">при жени настъпва поне веднъж на 11% от пациентите на кветиапин при всички проучвания, включително при отворените продължения. За тези пациенти средното максимално понижаване на стойностите на хемоглобина по всякои време е 15 </w:t>
      </w:r>
      <w:r w:rsidR="00F36424" w:rsidRPr="00235C11">
        <w:rPr>
          <w:rFonts w:eastAsia="Times New Roman" w:cs="Arial"/>
          <w:color w:val="000000"/>
          <w:lang w:val="en-US"/>
        </w:rPr>
        <w:t>g</w:t>
      </w:r>
      <w:r w:rsidR="00F36424" w:rsidRPr="00235C11">
        <w:rPr>
          <w:rFonts w:eastAsia="Times New Roman" w:cs="Arial"/>
          <w:color w:val="000000"/>
          <w:lang w:val="ru-RU"/>
        </w:rPr>
        <w:t>/</w:t>
      </w:r>
      <w:r w:rsidR="00F36424" w:rsidRPr="00235C11">
        <w:rPr>
          <w:rFonts w:eastAsia="Times New Roman" w:cs="Arial"/>
          <w:color w:val="000000"/>
          <w:lang w:val="en-US"/>
        </w:rPr>
        <w:t>dl</w:t>
      </w:r>
      <w:r w:rsidR="00F36424" w:rsidRPr="00235C11">
        <w:rPr>
          <w:rFonts w:eastAsia="Times New Roman" w:cs="Arial"/>
          <w:color w:val="000000"/>
          <w:lang w:val="ru-RU"/>
        </w:rPr>
        <w:t>.</w:t>
      </w:r>
    </w:p>
    <w:p w14:paraId="6AB8F4E3" w14:textId="18333399" w:rsidR="00F36424" w:rsidRPr="00235C11" w:rsidRDefault="00235C11" w:rsidP="00F36424">
      <w:pPr>
        <w:rPr>
          <w:rFonts w:eastAsia="Times New Roman" w:cs="Arial"/>
          <w:color w:val="000000"/>
          <w:lang w:eastAsia="bg-BG"/>
        </w:rPr>
      </w:pPr>
      <w:r w:rsidRPr="00235C11">
        <w:rPr>
          <w:rFonts w:eastAsia="Times New Roman" w:cs="Arial"/>
          <w:color w:val="000000"/>
          <w:lang w:eastAsia="bg-BG"/>
        </w:rPr>
        <w:t xml:space="preserve">(23) </w:t>
      </w:r>
      <w:r w:rsidR="00F36424" w:rsidRPr="00235C11">
        <w:rPr>
          <w:rFonts w:eastAsia="Times New Roman" w:cs="Arial"/>
          <w:color w:val="000000"/>
          <w:lang w:eastAsia="bg-BG"/>
        </w:rPr>
        <w:t>Съобщавани са често при наличие на тахикардия, световъртеж, ортостатична хипотония и/или подлежащо сърдечно/респираторно заболяване.</w:t>
      </w:r>
    </w:p>
    <w:p w14:paraId="21D3AAD3" w14:textId="0B71AE73"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(24)</w:t>
      </w:r>
      <w:r>
        <w:rPr>
          <w:rFonts w:eastAsia="Times New Roman" w:cs="Arial"/>
          <w:color w:val="000000"/>
          <w:lang w:eastAsia="bg-BG"/>
        </w:rPr>
        <w:t xml:space="preserve"> </w:t>
      </w:r>
      <w:r w:rsidRPr="00235C11">
        <w:rPr>
          <w:rFonts w:eastAsia="Times New Roman" w:cs="Arial"/>
          <w:color w:val="000000"/>
          <w:lang w:eastAsia="bg-BG"/>
        </w:rPr>
        <w:t xml:space="preserve">Въз основа на промени от нормалното изходно ниво до потенциално клинично значима стойност по всяко време след началната стойност при всички проучвания. Промени в общия Т4, свободния Т4, общия ТЗ и свободния ТЗ са определени като &lt;0,8 х </w:t>
      </w:r>
      <w:r w:rsidRPr="00235C11">
        <w:rPr>
          <w:rFonts w:eastAsia="Times New Roman" w:cs="Arial"/>
          <w:color w:val="000000"/>
          <w:lang w:val="en-US"/>
        </w:rPr>
        <w:t>LLN</w:t>
      </w:r>
      <w:r w:rsidRPr="00235C11">
        <w:rPr>
          <w:rFonts w:eastAsia="Times New Roman" w:cs="Arial"/>
          <w:color w:val="000000"/>
          <w:lang w:val="ru-RU"/>
        </w:rPr>
        <w:t xml:space="preserve"> (</w:t>
      </w:r>
      <w:proofErr w:type="spellStart"/>
      <w:r w:rsidRPr="00235C11">
        <w:rPr>
          <w:rFonts w:eastAsia="Times New Roman" w:cs="Arial"/>
          <w:color w:val="000000"/>
          <w:lang w:val="en-US"/>
        </w:rPr>
        <w:t>pmol</w:t>
      </w:r>
      <w:proofErr w:type="spellEnd"/>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w:t>
      </w:r>
      <w:r w:rsidRPr="00235C11">
        <w:rPr>
          <w:rFonts w:eastAsia="Times New Roman" w:cs="Arial"/>
          <w:color w:val="000000"/>
          <w:lang w:eastAsia="bg-BG"/>
        </w:rPr>
        <w:t xml:space="preserve">и промени в </w:t>
      </w:r>
      <w:r w:rsidRPr="00235C11">
        <w:rPr>
          <w:rFonts w:eastAsia="Times New Roman" w:cs="Arial"/>
          <w:color w:val="000000"/>
          <w:lang w:val="en-US"/>
        </w:rPr>
        <w:t>TSH</w:t>
      </w:r>
      <w:r w:rsidRPr="00235C11">
        <w:rPr>
          <w:rFonts w:eastAsia="Times New Roman" w:cs="Arial"/>
          <w:color w:val="000000"/>
          <w:lang w:val="ru-RU"/>
        </w:rPr>
        <w:t xml:space="preserve"> </w:t>
      </w:r>
      <w:r w:rsidRPr="00235C11">
        <w:rPr>
          <w:rFonts w:eastAsia="Times New Roman" w:cs="Arial"/>
          <w:color w:val="000000"/>
          <w:lang w:eastAsia="bg-BG"/>
        </w:rPr>
        <w:t xml:space="preserve">е &gt; 5 </w:t>
      </w:r>
      <w:proofErr w:type="spellStart"/>
      <w:r w:rsidRPr="00235C11">
        <w:rPr>
          <w:rFonts w:eastAsia="Times New Roman" w:cs="Arial"/>
          <w:color w:val="000000"/>
          <w:lang w:val="en-US"/>
        </w:rPr>
        <w:t>mIU</w:t>
      </w:r>
      <w:proofErr w:type="spellEnd"/>
      <w:r w:rsidRPr="00235C11">
        <w:rPr>
          <w:rFonts w:eastAsia="Times New Roman" w:cs="Arial"/>
          <w:color w:val="000000"/>
          <w:lang w:val="ru-RU"/>
        </w:rPr>
        <w:t xml:space="preserve">/1 </w:t>
      </w:r>
      <w:r w:rsidRPr="00235C11">
        <w:rPr>
          <w:rFonts w:eastAsia="Times New Roman" w:cs="Arial"/>
          <w:color w:val="000000"/>
          <w:lang w:eastAsia="bg-BG"/>
        </w:rPr>
        <w:t>по всяко време.</w:t>
      </w:r>
    </w:p>
    <w:p w14:paraId="504D2A3B" w14:textId="233E37C3"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(25)</w:t>
      </w:r>
      <w:r>
        <w:rPr>
          <w:rFonts w:eastAsia="Times New Roman" w:cs="Arial"/>
          <w:color w:val="000000"/>
          <w:lang w:eastAsia="bg-BG"/>
        </w:rPr>
        <w:t xml:space="preserve"> </w:t>
      </w:r>
      <w:r w:rsidRPr="00235C11">
        <w:rPr>
          <w:rFonts w:eastAsia="Times New Roman" w:cs="Arial"/>
          <w:color w:val="000000"/>
          <w:lang w:eastAsia="bg-BG"/>
        </w:rPr>
        <w:t>Въз основа на повишената честота на повръщане при пациенти в старческа възраст (≥ 65 години).</w:t>
      </w:r>
    </w:p>
    <w:p w14:paraId="3B5A0182" w14:textId="24EE0058"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(26)</w:t>
      </w:r>
      <w:r>
        <w:rPr>
          <w:rFonts w:eastAsia="Times New Roman" w:cs="Arial"/>
          <w:color w:val="000000"/>
          <w:lang w:eastAsia="bg-BG"/>
        </w:rPr>
        <w:t xml:space="preserve"> </w:t>
      </w:r>
      <w:r w:rsidRPr="00235C11">
        <w:rPr>
          <w:rFonts w:eastAsia="Times New Roman" w:cs="Arial"/>
          <w:color w:val="000000"/>
          <w:lang w:eastAsia="bg-BG"/>
        </w:rPr>
        <w:t>Въз основа на промяна в неутрофилите от &gt;=1,5 х 10</w:t>
      </w:r>
      <w:r w:rsidRPr="00235C11">
        <w:rPr>
          <w:rFonts w:eastAsia="Times New Roman" w:cs="Arial"/>
          <w:color w:val="000000"/>
          <w:lang w:val="ru-RU"/>
        </w:rPr>
        <w:t>^</w:t>
      </w:r>
      <w:r w:rsidRPr="00235C11">
        <w:rPr>
          <w:rFonts w:eastAsia="Times New Roman" w:cs="Arial"/>
          <w:color w:val="000000"/>
          <w:lang w:eastAsia="bg-BG"/>
        </w:rPr>
        <w:t>9/1 при изходно ниво до &lt;0,5 х 10</w:t>
      </w:r>
      <w:r w:rsidRPr="00235C11">
        <w:rPr>
          <w:rFonts w:eastAsia="Times New Roman" w:cs="Arial"/>
          <w:color w:val="000000"/>
          <w:vertAlign w:val="superscript"/>
          <w:lang w:eastAsia="bg-BG"/>
        </w:rPr>
        <w:t>Л</w:t>
      </w:r>
      <w:r w:rsidRPr="00235C11">
        <w:rPr>
          <w:rFonts w:eastAsia="Times New Roman" w:cs="Arial"/>
          <w:color w:val="000000"/>
          <w:lang w:eastAsia="bg-BG"/>
        </w:rPr>
        <w:t>9/1 по всяко време по време на лечението и базирано на пациенти с тежка неутропения (0,5 х 109/1) и инфекции при всички клинични проучвания с кветиапин (вж. точка 4.4).</w:t>
      </w:r>
    </w:p>
    <w:p w14:paraId="06F8BD89" w14:textId="598FF4E7"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(27)</w:t>
      </w:r>
      <w:r>
        <w:rPr>
          <w:rFonts w:eastAsia="Times New Roman" w:cs="Arial"/>
          <w:color w:val="000000"/>
          <w:lang w:eastAsia="bg-BG"/>
        </w:rPr>
        <w:t xml:space="preserve"> </w:t>
      </w:r>
      <w:r w:rsidRPr="00235C11">
        <w:rPr>
          <w:rFonts w:eastAsia="Times New Roman" w:cs="Arial"/>
          <w:color w:val="000000"/>
          <w:lang w:eastAsia="bg-BG"/>
        </w:rPr>
        <w:t xml:space="preserve">Въз основа на промени от нормалното изходно ниво до потенциално клинично значима стойност по всяко време след началната стойност при всички проучвания. Промените в еозинофилите са определени като &gt; </w:t>
      </w:r>
      <w:r w:rsidRPr="00235C11">
        <w:rPr>
          <w:rFonts w:eastAsia="Times New Roman" w:cs="Arial"/>
          <w:color w:val="000000"/>
          <w:lang w:val="en-US"/>
        </w:rPr>
        <w:t>lx</w:t>
      </w:r>
      <w:r w:rsidRPr="00235C11">
        <w:rPr>
          <w:rFonts w:eastAsia="Times New Roman" w:cs="Arial"/>
          <w:color w:val="000000"/>
          <w:lang w:val="ru-RU"/>
        </w:rPr>
        <w:t xml:space="preserve"> </w:t>
      </w:r>
      <w:r w:rsidRPr="00235C11">
        <w:rPr>
          <w:rFonts w:eastAsia="Times New Roman" w:cs="Arial"/>
          <w:color w:val="000000"/>
          <w:lang w:eastAsia="bg-BG"/>
        </w:rPr>
        <w:t>10</w:t>
      </w:r>
      <w:r w:rsidRPr="00235C11">
        <w:rPr>
          <w:rFonts w:eastAsia="Times New Roman" w:cs="Arial"/>
          <w:color w:val="000000"/>
          <w:vertAlign w:val="superscript"/>
          <w:lang w:eastAsia="bg-BG"/>
        </w:rPr>
        <w:t>9</w:t>
      </w:r>
      <w:r w:rsidRPr="00235C11">
        <w:rPr>
          <w:rFonts w:eastAsia="Times New Roman" w:cs="Arial"/>
          <w:color w:val="000000"/>
          <w:lang w:eastAsia="bg-BG"/>
        </w:rPr>
        <w:t xml:space="preserve"> клетки/1 по всяко време.</w:t>
      </w:r>
    </w:p>
    <w:p w14:paraId="0F8BD410" w14:textId="02B31FF5"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(28)</w:t>
      </w:r>
      <w:r>
        <w:rPr>
          <w:rFonts w:eastAsia="Times New Roman" w:cs="Arial"/>
          <w:color w:val="000000"/>
          <w:lang w:eastAsia="bg-BG"/>
        </w:rPr>
        <w:t xml:space="preserve"> </w:t>
      </w:r>
      <w:r w:rsidRPr="00235C11">
        <w:rPr>
          <w:rFonts w:eastAsia="Times New Roman" w:cs="Arial"/>
          <w:color w:val="000000"/>
          <w:lang w:eastAsia="bg-BG"/>
        </w:rPr>
        <w:t xml:space="preserve">Въз основа на промени от нормалното изходно ниво до потенциално клинично значима стойност по всяко време след началната стойност при всички проучвания. Промените в </w:t>
      </w:r>
      <w:r w:rsidRPr="00235C11">
        <w:rPr>
          <w:rFonts w:eastAsia="Times New Roman" w:cs="Arial"/>
          <w:color w:val="000000"/>
          <w:lang w:val="en-US"/>
        </w:rPr>
        <w:t>WBC</w:t>
      </w:r>
      <w:r w:rsidRPr="00235C11">
        <w:rPr>
          <w:rFonts w:eastAsia="Times New Roman" w:cs="Arial"/>
          <w:color w:val="000000"/>
          <w:lang w:val="ru-RU"/>
        </w:rPr>
        <w:t xml:space="preserve"> </w:t>
      </w:r>
      <w:r w:rsidRPr="00235C11">
        <w:rPr>
          <w:rFonts w:eastAsia="Times New Roman" w:cs="Arial"/>
          <w:color w:val="000000"/>
          <w:lang w:eastAsia="bg-BG"/>
        </w:rPr>
        <w:t xml:space="preserve">са определени като &lt; </w:t>
      </w:r>
      <w:r w:rsidRPr="00235C11">
        <w:rPr>
          <w:rFonts w:eastAsia="Times New Roman" w:cs="Arial"/>
          <w:color w:val="000000"/>
          <w:lang w:val="ru-RU"/>
        </w:rPr>
        <w:t>3</w:t>
      </w:r>
      <w:r w:rsidRPr="00235C11">
        <w:rPr>
          <w:rFonts w:eastAsia="Times New Roman" w:cs="Arial"/>
          <w:color w:val="000000"/>
          <w:lang w:val="en-US"/>
        </w:rPr>
        <w:t>x</w:t>
      </w:r>
      <w:r w:rsidRPr="00235C11">
        <w:rPr>
          <w:rFonts w:eastAsia="Times New Roman" w:cs="Arial"/>
          <w:color w:val="000000"/>
          <w:lang w:val="ru-RU"/>
        </w:rPr>
        <w:t>1</w:t>
      </w:r>
      <w:r w:rsidRPr="00235C11">
        <w:rPr>
          <w:rFonts w:eastAsia="Times New Roman" w:cs="Arial"/>
          <w:color w:val="000000"/>
          <w:lang w:eastAsia="bg-BG"/>
        </w:rPr>
        <w:t>0</w:t>
      </w:r>
      <w:r w:rsidRPr="00235C11">
        <w:rPr>
          <w:rFonts w:eastAsia="Times New Roman" w:cs="Arial"/>
          <w:color w:val="000000"/>
          <w:vertAlign w:val="superscript"/>
          <w:lang w:eastAsia="bg-BG"/>
        </w:rPr>
        <w:t>9</w:t>
      </w:r>
      <w:r w:rsidRPr="00235C11">
        <w:rPr>
          <w:rFonts w:eastAsia="Times New Roman" w:cs="Arial"/>
          <w:color w:val="000000"/>
          <w:lang w:eastAsia="bg-BG"/>
        </w:rPr>
        <w:t xml:space="preserve"> клетки/1 по всяко време.</w:t>
      </w:r>
    </w:p>
    <w:p w14:paraId="0253327F" w14:textId="2CDDABE8"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(29)</w:t>
      </w:r>
      <w:r>
        <w:rPr>
          <w:rFonts w:eastAsia="Times New Roman" w:cs="Arial"/>
          <w:color w:val="000000"/>
          <w:lang w:eastAsia="bg-BG"/>
        </w:rPr>
        <w:t xml:space="preserve"> </w:t>
      </w:r>
      <w:r w:rsidRPr="00235C11">
        <w:rPr>
          <w:rFonts w:eastAsia="Times New Roman" w:cs="Arial"/>
          <w:color w:val="000000"/>
          <w:lang w:eastAsia="bg-BG"/>
        </w:rPr>
        <w:t>Въз основа на съобщения за нежелани събития като метаболитен синдром от всички клинични проучвания с кветиапин.</w:t>
      </w:r>
    </w:p>
    <w:p w14:paraId="4CC4ECF4" w14:textId="4F18BC13"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(30)</w:t>
      </w:r>
      <w:r>
        <w:rPr>
          <w:rFonts w:eastAsia="Times New Roman" w:cs="Arial"/>
          <w:color w:val="000000"/>
          <w:lang w:eastAsia="bg-BG"/>
        </w:rPr>
        <w:t xml:space="preserve"> </w:t>
      </w:r>
      <w:r w:rsidRPr="00235C11">
        <w:rPr>
          <w:rFonts w:eastAsia="Times New Roman" w:cs="Arial"/>
          <w:color w:val="000000"/>
          <w:lang w:eastAsia="bg-BG"/>
        </w:rPr>
        <w:t>При някои пациенти, в клинични проучвания е наблюдавано влошаване на повече от един от метаболитните фактори, като тегло, кръвната захар и липиди (вж. точка 4.4).</w:t>
      </w:r>
    </w:p>
    <w:p w14:paraId="39C33D09" w14:textId="02F3F8C0"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(31)</w:t>
      </w:r>
      <w:r>
        <w:rPr>
          <w:rFonts w:eastAsia="Times New Roman" w:cs="Arial"/>
          <w:color w:val="000000"/>
          <w:lang w:eastAsia="bg-BG"/>
        </w:rPr>
        <w:t xml:space="preserve"> </w:t>
      </w:r>
      <w:r w:rsidRPr="00235C11">
        <w:rPr>
          <w:rFonts w:eastAsia="Times New Roman" w:cs="Arial"/>
          <w:color w:val="000000"/>
          <w:lang w:eastAsia="bg-BG"/>
        </w:rPr>
        <w:t>Вижте точка 4.6</w:t>
      </w:r>
    </w:p>
    <w:p w14:paraId="12095E6F" w14:textId="649A9B0A"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(32)</w:t>
      </w:r>
      <w:r>
        <w:rPr>
          <w:rFonts w:eastAsia="Times New Roman" w:cs="Arial"/>
          <w:color w:val="000000"/>
          <w:lang w:eastAsia="bg-BG"/>
        </w:rPr>
        <w:t xml:space="preserve"> </w:t>
      </w:r>
      <w:r w:rsidRPr="00235C11">
        <w:rPr>
          <w:rFonts w:eastAsia="Times New Roman" w:cs="Arial"/>
          <w:color w:val="000000"/>
          <w:lang w:eastAsia="bg-BG"/>
        </w:rPr>
        <w:t>Могат да се появят веднага или скоро след началото на лечението и да бъдат свързани с хипотония и/или синкоп. Честотата е на базата на нежеланите съобщения за брадикардия и свързаните с тях събития във всички клинични проучвания с кветиапин.</w:t>
      </w:r>
    </w:p>
    <w:p w14:paraId="0C788BD7" w14:textId="2353EA90"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(33) Въз основа на едно ретроспективно, нерандомизирано епидемиологично проучване.</w:t>
      </w:r>
    </w:p>
    <w:p w14:paraId="7B505E56" w14:textId="77777777" w:rsidR="00235C11" w:rsidRPr="00235C11" w:rsidRDefault="00235C11" w:rsidP="00235C11">
      <w:pPr>
        <w:spacing w:line="240" w:lineRule="auto"/>
        <w:rPr>
          <w:rFonts w:eastAsia="Times New Roman" w:cs="Arial"/>
          <w:color w:val="000000"/>
          <w:lang w:eastAsia="bg-BG"/>
        </w:rPr>
      </w:pPr>
    </w:p>
    <w:p w14:paraId="07995D79" w14:textId="35D30415"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При приложение на невролептици са съобщавани случаи на удължаване на </w:t>
      </w:r>
      <w:r w:rsidRPr="00235C11">
        <w:rPr>
          <w:rFonts w:eastAsia="Times New Roman" w:cs="Arial"/>
          <w:color w:val="000000"/>
          <w:lang w:val="en-US"/>
        </w:rPr>
        <w:t>QT</w:t>
      </w:r>
      <w:r w:rsidRPr="00235C11">
        <w:rPr>
          <w:rFonts w:eastAsia="Times New Roman" w:cs="Arial"/>
          <w:color w:val="000000"/>
          <w:lang w:eastAsia="bg-BG"/>
        </w:rPr>
        <w:t xml:space="preserve">- интервала, камерна аритмия, внезапна необяснима смърт, сърдечен арест и </w:t>
      </w:r>
      <w:proofErr w:type="spellStart"/>
      <w:r w:rsidRPr="00235C11">
        <w:rPr>
          <w:rFonts w:eastAsia="Times New Roman" w:cs="Arial"/>
          <w:i/>
          <w:iCs/>
          <w:color w:val="000000"/>
          <w:lang w:val="en-US"/>
        </w:rPr>
        <w:t>torsades</w:t>
      </w:r>
      <w:proofErr w:type="spellEnd"/>
      <w:r w:rsidRPr="00235C11">
        <w:rPr>
          <w:rFonts w:eastAsia="Times New Roman" w:cs="Arial"/>
          <w:i/>
          <w:iCs/>
          <w:color w:val="000000"/>
          <w:lang w:val="ru-RU"/>
        </w:rPr>
        <w:t xml:space="preserve"> </w:t>
      </w:r>
      <w:r w:rsidRPr="00235C11">
        <w:rPr>
          <w:rFonts w:eastAsia="Times New Roman" w:cs="Arial"/>
          <w:i/>
          <w:iCs/>
          <w:color w:val="000000"/>
          <w:lang w:val="en-US"/>
        </w:rPr>
        <w:t>de</w:t>
      </w:r>
      <w:r w:rsidRPr="00235C11">
        <w:rPr>
          <w:rFonts w:eastAsia="Times New Roman" w:cs="Arial"/>
          <w:i/>
          <w:iCs/>
          <w:color w:val="000000"/>
          <w:lang w:val="ru-RU"/>
        </w:rPr>
        <w:t xml:space="preserve"> </w:t>
      </w:r>
      <w:r w:rsidRPr="00235C11">
        <w:rPr>
          <w:rFonts w:eastAsia="Times New Roman" w:cs="Arial"/>
          <w:i/>
          <w:iCs/>
          <w:color w:val="000000"/>
          <w:lang w:val="en-US"/>
        </w:rPr>
        <w:t>pointes</w:t>
      </w:r>
      <w:r w:rsidRPr="00235C11">
        <w:rPr>
          <w:rFonts w:eastAsia="Times New Roman" w:cs="Arial"/>
          <w:color w:val="000000"/>
          <w:lang w:val="ru-RU"/>
        </w:rPr>
        <w:t xml:space="preserve"> </w:t>
      </w:r>
      <w:r w:rsidRPr="00235C11">
        <w:rPr>
          <w:rFonts w:eastAsia="Times New Roman" w:cs="Arial"/>
          <w:color w:val="000000"/>
          <w:lang w:eastAsia="bg-BG"/>
        </w:rPr>
        <w:t>и се смята, че са ефекти на класа лекарствени продукти.</w:t>
      </w:r>
    </w:p>
    <w:p w14:paraId="294421D7" w14:textId="77777777" w:rsidR="00235C11" w:rsidRPr="00235C11" w:rsidRDefault="00235C11" w:rsidP="00235C11">
      <w:pPr>
        <w:spacing w:line="240" w:lineRule="auto"/>
        <w:rPr>
          <w:rFonts w:eastAsia="Times New Roman" w:cs="Arial"/>
          <w:color w:val="000000"/>
          <w:lang w:eastAsia="bg-BG"/>
        </w:rPr>
      </w:pPr>
    </w:p>
    <w:p w14:paraId="21A39E6F" w14:textId="2A2A0665"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Тежките кожни нежелани реакции </w:t>
      </w:r>
      <w:r w:rsidRPr="00235C11">
        <w:rPr>
          <w:rFonts w:eastAsia="Times New Roman" w:cs="Arial"/>
          <w:color w:val="000000"/>
        </w:rPr>
        <w:t>(</w:t>
      </w:r>
      <w:r w:rsidRPr="00235C11">
        <w:rPr>
          <w:rFonts w:eastAsia="Times New Roman" w:cs="Arial"/>
          <w:color w:val="000000"/>
          <w:lang w:val="en-US"/>
        </w:rPr>
        <w:t>SCARs</w:t>
      </w:r>
      <w:r w:rsidRPr="00235C11">
        <w:rPr>
          <w:rFonts w:eastAsia="Times New Roman" w:cs="Arial"/>
          <w:color w:val="000000"/>
        </w:rPr>
        <w:t xml:space="preserve">), </w:t>
      </w:r>
      <w:r w:rsidRPr="00235C11">
        <w:rPr>
          <w:rFonts w:eastAsia="Times New Roman" w:cs="Arial"/>
          <w:color w:val="000000"/>
          <w:lang w:eastAsia="bg-BG"/>
        </w:rPr>
        <w:t xml:space="preserve">включващи синдром на </w:t>
      </w:r>
      <w:r w:rsidRPr="00235C11">
        <w:rPr>
          <w:rFonts w:eastAsia="Times New Roman" w:cs="Arial"/>
          <w:color w:val="000000"/>
          <w:lang w:val="en-US"/>
        </w:rPr>
        <w:t>Stevens</w:t>
      </w:r>
      <w:r w:rsidRPr="00235C11">
        <w:rPr>
          <w:rFonts w:eastAsia="Times New Roman" w:cs="Arial"/>
          <w:color w:val="000000"/>
        </w:rPr>
        <w:t>-</w:t>
      </w:r>
      <w:r w:rsidRPr="00235C11">
        <w:rPr>
          <w:rFonts w:eastAsia="Times New Roman" w:cs="Arial"/>
          <w:color w:val="000000"/>
          <w:lang w:val="en-US"/>
        </w:rPr>
        <w:t>Johnson</w:t>
      </w:r>
      <w:r w:rsidRPr="00235C11">
        <w:rPr>
          <w:rFonts w:eastAsia="Times New Roman" w:cs="Arial"/>
          <w:color w:val="000000"/>
        </w:rPr>
        <w:t xml:space="preserve"> (</w:t>
      </w:r>
      <w:r w:rsidRPr="00235C11">
        <w:rPr>
          <w:rFonts w:eastAsia="Times New Roman" w:cs="Arial"/>
          <w:color w:val="000000"/>
          <w:lang w:val="en-US"/>
        </w:rPr>
        <w:t>SJS</w:t>
      </w:r>
      <w:r w:rsidRPr="00235C11">
        <w:rPr>
          <w:rFonts w:eastAsia="Times New Roman" w:cs="Arial"/>
          <w:color w:val="000000"/>
        </w:rPr>
        <w:t xml:space="preserve">), </w:t>
      </w:r>
      <w:r w:rsidRPr="00235C11">
        <w:rPr>
          <w:rFonts w:eastAsia="Times New Roman" w:cs="Arial"/>
          <w:color w:val="000000"/>
          <w:lang w:eastAsia="bg-BG"/>
        </w:rPr>
        <w:t xml:space="preserve">токсична епидермална некролиза (ТЕН), лекарствен обрив с еозинофилия и системни симптоми </w:t>
      </w:r>
      <w:r w:rsidRPr="00235C11">
        <w:rPr>
          <w:rFonts w:eastAsia="Times New Roman" w:cs="Arial"/>
          <w:color w:val="000000"/>
        </w:rPr>
        <w:t>(</w:t>
      </w:r>
      <w:r w:rsidRPr="00235C11">
        <w:rPr>
          <w:rFonts w:eastAsia="Times New Roman" w:cs="Arial"/>
          <w:color w:val="000000"/>
          <w:lang w:val="en-US"/>
        </w:rPr>
        <w:t>drug</w:t>
      </w:r>
      <w:r w:rsidRPr="00235C11">
        <w:rPr>
          <w:rFonts w:eastAsia="Times New Roman" w:cs="Arial"/>
          <w:color w:val="000000"/>
        </w:rPr>
        <w:t xml:space="preserve"> </w:t>
      </w:r>
      <w:r w:rsidRPr="00235C11">
        <w:rPr>
          <w:rFonts w:eastAsia="Times New Roman" w:cs="Arial"/>
          <w:color w:val="000000"/>
          <w:lang w:val="en-US"/>
        </w:rPr>
        <w:t>rash</w:t>
      </w:r>
      <w:r w:rsidRPr="00235C11">
        <w:rPr>
          <w:rFonts w:eastAsia="Times New Roman" w:cs="Arial"/>
          <w:color w:val="000000"/>
        </w:rPr>
        <w:t xml:space="preserve"> </w:t>
      </w:r>
      <w:r w:rsidRPr="00235C11">
        <w:rPr>
          <w:rFonts w:eastAsia="Times New Roman" w:cs="Arial"/>
          <w:color w:val="000000"/>
          <w:lang w:val="en-US"/>
        </w:rPr>
        <w:t>with</w:t>
      </w:r>
      <w:r w:rsidRPr="00235C11">
        <w:rPr>
          <w:rFonts w:eastAsia="Times New Roman" w:cs="Arial"/>
          <w:color w:val="000000"/>
        </w:rPr>
        <w:t xml:space="preserve"> </w:t>
      </w:r>
      <w:r w:rsidRPr="00235C11">
        <w:rPr>
          <w:rFonts w:eastAsia="Times New Roman" w:cs="Arial"/>
          <w:color w:val="000000"/>
          <w:lang w:val="en-US"/>
        </w:rPr>
        <w:t>eosinophilia</w:t>
      </w:r>
      <w:r w:rsidRPr="00235C11">
        <w:rPr>
          <w:rFonts w:eastAsia="Times New Roman" w:cs="Arial"/>
          <w:color w:val="000000"/>
        </w:rPr>
        <w:t xml:space="preserve"> </w:t>
      </w:r>
      <w:r w:rsidRPr="00235C11">
        <w:rPr>
          <w:rFonts w:eastAsia="Times New Roman" w:cs="Arial"/>
          <w:color w:val="000000"/>
          <w:lang w:val="en-US"/>
        </w:rPr>
        <w:t>and</w:t>
      </w:r>
      <w:r w:rsidRPr="00235C11">
        <w:rPr>
          <w:rFonts w:eastAsia="Times New Roman" w:cs="Arial"/>
          <w:color w:val="000000"/>
        </w:rPr>
        <w:t xml:space="preserve"> </w:t>
      </w:r>
      <w:r w:rsidRPr="00235C11">
        <w:rPr>
          <w:rFonts w:eastAsia="Times New Roman" w:cs="Arial"/>
          <w:color w:val="000000"/>
          <w:lang w:val="en-US"/>
        </w:rPr>
        <w:t>systemic</w:t>
      </w:r>
      <w:r w:rsidRPr="00235C11">
        <w:rPr>
          <w:rFonts w:eastAsia="Times New Roman" w:cs="Arial"/>
          <w:color w:val="000000"/>
        </w:rPr>
        <w:t xml:space="preserve"> </w:t>
      </w:r>
      <w:r w:rsidRPr="00235C11">
        <w:rPr>
          <w:rFonts w:eastAsia="Times New Roman" w:cs="Arial"/>
          <w:color w:val="000000"/>
          <w:lang w:val="en-US"/>
        </w:rPr>
        <w:t>symptoms</w:t>
      </w:r>
      <w:r w:rsidRPr="00235C11">
        <w:rPr>
          <w:rFonts w:eastAsia="Times New Roman" w:cs="Arial"/>
          <w:color w:val="000000"/>
        </w:rPr>
        <w:t xml:space="preserve">, </w:t>
      </w:r>
      <w:r w:rsidRPr="00235C11">
        <w:rPr>
          <w:rFonts w:eastAsia="Times New Roman" w:cs="Arial"/>
          <w:color w:val="000000"/>
          <w:lang w:val="en-US"/>
        </w:rPr>
        <w:t>DRESS</w:t>
      </w:r>
      <w:r w:rsidRPr="00235C11">
        <w:rPr>
          <w:rFonts w:eastAsia="Times New Roman" w:cs="Arial"/>
          <w:color w:val="000000"/>
        </w:rPr>
        <w:t xml:space="preserve">), </w:t>
      </w:r>
      <w:r w:rsidRPr="00235C11">
        <w:rPr>
          <w:rFonts w:eastAsia="Times New Roman" w:cs="Arial"/>
          <w:color w:val="000000"/>
          <w:lang w:val="en-US"/>
        </w:rPr>
        <w:t>ca</w:t>
      </w:r>
      <w:r w:rsidRPr="00235C11">
        <w:rPr>
          <w:rFonts w:eastAsia="Times New Roman" w:cs="Arial"/>
          <w:color w:val="000000"/>
        </w:rPr>
        <w:t xml:space="preserve"> </w:t>
      </w:r>
      <w:r w:rsidRPr="00235C11">
        <w:rPr>
          <w:rFonts w:eastAsia="Times New Roman" w:cs="Arial"/>
          <w:color w:val="000000"/>
          <w:lang w:eastAsia="bg-BG"/>
        </w:rPr>
        <w:t xml:space="preserve">съобщавани като свързани </w:t>
      </w:r>
      <w:r w:rsidRPr="00235C11">
        <w:rPr>
          <w:rFonts w:eastAsia="Times New Roman" w:cs="Arial"/>
          <w:color w:val="000000"/>
          <w:lang w:val="en-US"/>
        </w:rPr>
        <w:t>c</w:t>
      </w:r>
      <w:r w:rsidRPr="00235C11">
        <w:rPr>
          <w:rFonts w:eastAsia="Times New Roman" w:cs="Arial"/>
          <w:color w:val="000000"/>
        </w:rPr>
        <w:t xml:space="preserve"> </w:t>
      </w:r>
      <w:r w:rsidRPr="00235C11">
        <w:rPr>
          <w:rFonts w:eastAsia="Times New Roman" w:cs="Arial"/>
          <w:color w:val="000000"/>
          <w:lang w:eastAsia="bg-BG"/>
        </w:rPr>
        <w:t xml:space="preserve">лечението </w:t>
      </w:r>
      <w:r w:rsidRPr="00235C11">
        <w:rPr>
          <w:rFonts w:eastAsia="Times New Roman" w:cs="Arial"/>
          <w:color w:val="000000"/>
          <w:lang w:val="en-US"/>
        </w:rPr>
        <w:t>c</w:t>
      </w:r>
      <w:r w:rsidRPr="00235C11">
        <w:rPr>
          <w:rFonts w:eastAsia="Times New Roman" w:cs="Arial"/>
          <w:color w:val="000000"/>
        </w:rPr>
        <w:t xml:space="preserve"> </w:t>
      </w:r>
      <w:r w:rsidRPr="00235C11">
        <w:rPr>
          <w:rFonts w:eastAsia="Times New Roman" w:cs="Arial"/>
          <w:color w:val="000000"/>
          <w:lang w:eastAsia="bg-BG"/>
        </w:rPr>
        <w:t>кветиапин.</w:t>
      </w:r>
    </w:p>
    <w:p w14:paraId="630AA35D" w14:textId="77777777" w:rsidR="00235C11" w:rsidRPr="00235C11" w:rsidRDefault="00235C11" w:rsidP="00235C11">
      <w:pPr>
        <w:spacing w:line="240" w:lineRule="auto"/>
        <w:rPr>
          <w:rFonts w:eastAsia="Times New Roman" w:cs="Arial"/>
          <w:b/>
          <w:bCs/>
          <w:color w:val="000000"/>
          <w:lang w:eastAsia="bg-BG"/>
        </w:rPr>
      </w:pPr>
    </w:p>
    <w:p w14:paraId="1D01DA00" w14:textId="1A1998E1" w:rsidR="00235C11" w:rsidRPr="00235C11" w:rsidRDefault="00235C11" w:rsidP="00235C11">
      <w:pPr>
        <w:spacing w:line="240" w:lineRule="auto"/>
        <w:rPr>
          <w:rFonts w:eastAsia="Times New Roman" w:cs="Arial"/>
        </w:rPr>
      </w:pPr>
      <w:r w:rsidRPr="00235C11">
        <w:rPr>
          <w:rFonts w:eastAsia="Times New Roman" w:cs="Arial"/>
          <w:b/>
          <w:bCs/>
          <w:color w:val="000000"/>
          <w:lang w:eastAsia="bg-BG"/>
        </w:rPr>
        <w:t>Педиатрична популация</w:t>
      </w:r>
    </w:p>
    <w:p w14:paraId="6B14E506"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Същите нежелани лекарствени реакции, описани по-горе за възрастни, трябва да бъдат взети предвид за деца и юноши. Следната таблица обобщава нежеланите лекарствени реакции, които се появяват с по-гол яма честота при деца и юноши (10-17 години), отколкото при възрастни или нежелани лекарствени реакции, които не са идентифицирани при възрастни.</w:t>
      </w:r>
    </w:p>
    <w:p w14:paraId="2936103C" w14:textId="77777777" w:rsidR="00235C11" w:rsidRPr="00235C11" w:rsidRDefault="00235C11" w:rsidP="00235C11">
      <w:pPr>
        <w:spacing w:line="240" w:lineRule="auto"/>
        <w:rPr>
          <w:rFonts w:eastAsia="Times New Roman" w:cs="Arial"/>
          <w:b/>
          <w:bCs/>
          <w:color w:val="000000"/>
          <w:lang w:eastAsia="bg-BG"/>
        </w:rPr>
      </w:pPr>
    </w:p>
    <w:p w14:paraId="1BA30BC5" w14:textId="18C06D84" w:rsidR="00235C11" w:rsidRPr="00235C11" w:rsidRDefault="00235C11" w:rsidP="00235C11">
      <w:pPr>
        <w:spacing w:line="240" w:lineRule="auto"/>
        <w:rPr>
          <w:rFonts w:eastAsia="Times New Roman" w:cs="Arial"/>
        </w:rPr>
      </w:pPr>
      <w:r w:rsidRPr="00235C11">
        <w:rPr>
          <w:rFonts w:eastAsia="Times New Roman" w:cs="Arial"/>
          <w:b/>
          <w:bCs/>
          <w:color w:val="000000"/>
          <w:lang w:eastAsia="bg-BG"/>
        </w:rPr>
        <w:t>Таблица 2 НЛР при деца и юноши, свързани с терапия с кветиапин, които възникват с по-висока честота отколкото при възрастни или които не са идентифицирани във възрастната популация</w:t>
      </w:r>
    </w:p>
    <w:p w14:paraId="2932B116" w14:textId="77777777" w:rsidR="00235C11" w:rsidRPr="00235C11" w:rsidRDefault="00235C11" w:rsidP="00235C11">
      <w:pPr>
        <w:spacing w:line="240" w:lineRule="auto"/>
        <w:rPr>
          <w:rFonts w:eastAsia="Times New Roman" w:cs="Arial"/>
          <w:color w:val="000000"/>
          <w:lang w:eastAsia="bg-BG"/>
        </w:rPr>
      </w:pPr>
    </w:p>
    <w:p w14:paraId="59075051" w14:textId="08A125C5" w:rsidR="00235C11" w:rsidRPr="00235C11" w:rsidRDefault="00235C11" w:rsidP="00235C11">
      <w:pPr>
        <w:spacing w:line="240" w:lineRule="auto"/>
        <w:rPr>
          <w:rFonts w:eastAsia="Times New Roman" w:cs="Arial"/>
        </w:rPr>
      </w:pPr>
      <w:r w:rsidRPr="00235C11">
        <w:rPr>
          <w:rFonts w:eastAsia="Times New Roman" w:cs="Arial"/>
          <w:color w:val="000000"/>
          <w:lang w:eastAsia="bg-BG"/>
        </w:rPr>
        <w:t>Честотите на нежеланите реакции са групирани, както следва: много чести (≥1/10), чести (≥1/100, &lt;1/10), нечести (≥1 /1 000, &lt;1/100), редки (≥1/10 000, &lt;1/1 000) и много редки (&lt;1/10 000).</w:t>
      </w:r>
    </w:p>
    <w:p w14:paraId="7F4F2FD9" w14:textId="1A3ABECE" w:rsidR="00235C11" w:rsidRDefault="00235C11" w:rsidP="00F36424"/>
    <w:tbl>
      <w:tblPr>
        <w:tblStyle w:val="TableGrid"/>
        <w:tblW w:w="0" w:type="auto"/>
        <w:tblLook w:val="04A0" w:firstRow="1" w:lastRow="0" w:firstColumn="1" w:lastColumn="0" w:noHBand="0" w:noVBand="1"/>
      </w:tblPr>
      <w:tblGrid>
        <w:gridCol w:w="3107"/>
        <w:gridCol w:w="3117"/>
        <w:gridCol w:w="3126"/>
      </w:tblGrid>
      <w:tr w:rsidR="00235C11" w14:paraId="458CC1D7" w14:textId="77777777" w:rsidTr="00235C11">
        <w:tc>
          <w:tcPr>
            <w:tcW w:w="3192" w:type="dxa"/>
          </w:tcPr>
          <w:p w14:paraId="30092E4D" w14:textId="628A6496" w:rsidR="00235C11" w:rsidRPr="00235C11" w:rsidRDefault="00235C11" w:rsidP="00235C11">
            <w:r w:rsidRPr="00235C11">
              <w:rPr>
                <w:b/>
                <w:bCs/>
                <w:szCs w:val="20"/>
              </w:rPr>
              <w:t>Системо-органен клас</w:t>
            </w:r>
          </w:p>
        </w:tc>
        <w:tc>
          <w:tcPr>
            <w:tcW w:w="3192" w:type="dxa"/>
          </w:tcPr>
          <w:p w14:paraId="6B421AC9" w14:textId="7241CB52" w:rsidR="00235C11" w:rsidRPr="00235C11" w:rsidRDefault="00235C11" w:rsidP="00235C11">
            <w:r w:rsidRPr="00235C11">
              <w:rPr>
                <w:b/>
                <w:bCs/>
                <w:szCs w:val="20"/>
              </w:rPr>
              <w:t>Много чести</w:t>
            </w:r>
          </w:p>
        </w:tc>
        <w:tc>
          <w:tcPr>
            <w:tcW w:w="3192" w:type="dxa"/>
          </w:tcPr>
          <w:p w14:paraId="620A708D" w14:textId="6121FA27" w:rsidR="00235C11" w:rsidRPr="00235C11" w:rsidRDefault="00235C11" w:rsidP="00235C11">
            <w:r w:rsidRPr="00235C11">
              <w:rPr>
                <w:b/>
                <w:bCs/>
                <w:szCs w:val="20"/>
              </w:rPr>
              <w:t>Чести</w:t>
            </w:r>
          </w:p>
        </w:tc>
      </w:tr>
      <w:tr w:rsidR="00235C11" w14:paraId="49FF26EF" w14:textId="77777777" w:rsidTr="00235C11">
        <w:tc>
          <w:tcPr>
            <w:tcW w:w="3192" w:type="dxa"/>
          </w:tcPr>
          <w:p w14:paraId="43F52F2B" w14:textId="6F86A3A0" w:rsidR="00235C11" w:rsidRPr="00235C11" w:rsidRDefault="00235C11" w:rsidP="00235C11">
            <w:r w:rsidRPr="00235C11">
              <w:rPr>
                <w:i/>
                <w:iCs/>
                <w:szCs w:val="20"/>
              </w:rPr>
              <w:t>Нарушения на ендокринната система</w:t>
            </w:r>
          </w:p>
        </w:tc>
        <w:tc>
          <w:tcPr>
            <w:tcW w:w="3192" w:type="dxa"/>
          </w:tcPr>
          <w:p w14:paraId="301F6B33" w14:textId="1B401BD3" w:rsidR="00235C11" w:rsidRPr="00235C11" w:rsidRDefault="00235C11" w:rsidP="00235C11">
            <w:r w:rsidRPr="00235C11">
              <w:rPr>
                <w:szCs w:val="20"/>
              </w:rPr>
              <w:t>Повишение на пролактина</w:t>
            </w:r>
            <w:r w:rsidRPr="00235C11">
              <w:rPr>
                <w:szCs w:val="20"/>
                <w:vertAlign w:val="superscript"/>
              </w:rPr>
              <w:t>1</w:t>
            </w:r>
          </w:p>
        </w:tc>
        <w:tc>
          <w:tcPr>
            <w:tcW w:w="3192" w:type="dxa"/>
          </w:tcPr>
          <w:p w14:paraId="4060508E" w14:textId="77777777" w:rsidR="00235C11" w:rsidRPr="00235C11" w:rsidRDefault="00235C11" w:rsidP="00235C11"/>
        </w:tc>
      </w:tr>
      <w:tr w:rsidR="00235C11" w14:paraId="32B8BC07" w14:textId="77777777" w:rsidTr="00235C11">
        <w:tc>
          <w:tcPr>
            <w:tcW w:w="3192" w:type="dxa"/>
          </w:tcPr>
          <w:p w14:paraId="5C858660" w14:textId="05783A4F" w:rsidR="00235C11" w:rsidRPr="00235C11" w:rsidRDefault="00235C11" w:rsidP="00235C11">
            <w:r w:rsidRPr="00235C11">
              <w:rPr>
                <w:i/>
                <w:iCs/>
                <w:szCs w:val="20"/>
              </w:rPr>
              <w:t>Нарушения на метаболизма и храненето</w:t>
            </w:r>
          </w:p>
        </w:tc>
        <w:tc>
          <w:tcPr>
            <w:tcW w:w="3192" w:type="dxa"/>
          </w:tcPr>
          <w:p w14:paraId="0980EBC4" w14:textId="70619534" w:rsidR="00235C11" w:rsidRPr="00235C11" w:rsidRDefault="00235C11" w:rsidP="00235C11">
            <w:r w:rsidRPr="00235C11">
              <w:rPr>
                <w:szCs w:val="20"/>
              </w:rPr>
              <w:t>Повишен апетит</w:t>
            </w:r>
          </w:p>
        </w:tc>
        <w:tc>
          <w:tcPr>
            <w:tcW w:w="3192" w:type="dxa"/>
          </w:tcPr>
          <w:p w14:paraId="31E17E58" w14:textId="77777777" w:rsidR="00235C11" w:rsidRPr="00235C11" w:rsidRDefault="00235C11" w:rsidP="00235C11"/>
        </w:tc>
      </w:tr>
      <w:tr w:rsidR="00235C11" w14:paraId="58570639" w14:textId="77777777" w:rsidTr="00235C11">
        <w:tc>
          <w:tcPr>
            <w:tcW w:w="3192" w:type="dxa"/>
          </w:tcPr>
          <w:p w14:paraId="74122C03" w14:textId="6AA5E80B" w:rsidR="00235C11" w:rsidRPr="00235C11" w:rsidRDefault="00235C11" w:rsidP="00235C11">
            <w:r w:rsidRPr="00235C11">
              <w:rPr>
                <w:i/>
                <w:iCs/>
                <w:szCs w:val="20"/>
              </w:rPr>
              <w:t>Нарушения на нервната система</w:t>
            </w:r>
          </w:p>
        </w:tc>
        <w:tc>
          <w:tcPr>
            <w:tcW w:w="3192" w:type="dxa"/>
          </w:tcPr>
          <w:p w14:paraId="782F5643" w14:textId="79C3ED72" w:rsidR="00235C11" w:rsidRPr="00235C11" w:rsidRDefault="00235C11" w:rsidP="00235C11">
            <w:r w:rsidRPr="00235C11">
              <w:rPr>
                <w:szCs w:val="20"/>
              </w:rPr>
              <w:t>Екстрапирамидни симптоми</w:t>
            </w:r>
            <w:r w:rsidRPr="00235C11">
              <w:rPr>
                <w:szCs w:val="20"/>
                <w:vertAlign w:val="superscript"/>
              </w:rPr>
              <w:t>3,4</w:t>
            </w:r>
          </w:p>
        </w:tc>
        <w:tc>
          <w:tcPr>
            <w:tcW w:w="3192" w:type="dxa"/>
          </w:tcPr>
          <w:p w14:paraId="4B0D4D30" w14:textId="6C792D7D" w:rsidR="00235C11" w:rsidRPr="00235C11" w:rsidRDefault="00235C11" w:rsidP="00235C11">
            <w:r w:rsidRPr="00235C11">
              <w:rPr>
                <w:szCs w:val="20"/>
              </w:rPr>
              <w:t>Синкоп</w:t>
            </w:r>
          </w:p>
        </w:tc>
      </w:tr>
      <w:tr w:rsidR="00235C11" w14:paraId="42CD3D42" w14:textId="77777777" w:rsidTr="00235C11">
        <w:tc>
          <w:tcPr>
            <w:tcW w:w="3192" w:type="dxa"/>
          </w:tcPr>
          <w:p w14:paraId="1D96A61B" w14:textId="7FD31702" w:rsidR="00235C11" w:rsidRPr="00235C11" w:rsidRDefault="00235C11" w:rsidP="00235C11">
            <w:r w:rsidRPr="00235C11">
              <w:rPr>
                <w:i/>
                <w:iCs/>
                <w:szCs w:val="20"/>
              </w:rPr>
              <w:t>Съдови нарушения</w:t>
            </w:r>
          </w:p>
        </w:tc>
        <w:tc>
          <w:tcPr>
            <w:tcW w:w="3192" w:type="dxa"/>
          </w:tcPr>
          <w:p w14:paraId="376F14C7" w14:textId="602698A4" w:rsidR="00235C11" w:rsidRPr="00235C11" w:rsidRDefault="00235C11" w:rsidP="00235C11">
            <w:r w:rsidRPr="00235C11">
              <w:rPr>
                <w:szCs w:val="20"/>
              </w:rPr>
              <w:t>Повишение на кръвното налягане</w:t>
            </w:r>
            <w:r w:rsidRPr="00235C11">
              <w:rPr>
                <w:szCs w:val="20"/>
                <w:vertAlign w:val="superscript"/>
              </w:rPr>
              <w:t>2</w:t>
            </w:r>
          </w:p>
        </w:tc>
        <w:tc>
          <w:tcPr>
            <w:tcW w:w="3192" w:type="dxa"/>
          </w:tcPr>
          <w:p w14:paraId="3B7CEE42" w14:textId="77777777" w:rsidR="00235C11" w:rsidRPr="00235C11" w:rsidRDefault="00235C11" w:rsidP="00235C11"/>
        </w:tc>
      </w:tr>
      <w:tr w:rsidR="00235C11" w14:paraId="777EB3D1" w14:textId="77777777" w:rsidTr="00235C11">
        <w:tc>
          <w:tcPr>
            <w:tcW w:w="3192" w:type="dxa"/>
          </w:tcPr>
          <w:p w14:paraId="56B3DA4D" w14:textId="43BAC197" w:rsidR="00235C11" w:rsidRPr="00235C11" w:rsidRDefault="00235C11" w:rsidP="00235C11">
            <w:r w:rsidRPr="00235C11">
              <w:rPr>
                <w:i/>
                <w:iCs/>
                <w:szCs w:val="20"/>
              </w:rPr>
              <w:t>Респираторни, гръдни и медиастинални нарушения</w:t>
            </w:r>
          </w:p>
        </w:tc>
        <w:tc>
          <w:tcPr>
            <w:tcW w:w="3192" w:type="dxa"/>
          </w:tcPr>
          <w:p w14:paraId="4CCAA732" w14:textId="77777777" w:rsidR="00235C11" w:rsidRPr="00235C11" w:rsidRDefault="00235C11" w:rsidP="00235C11"/>
        </w:tc>
        <w:tc>
          <w:tcPr>
            <w:tcW w:w="3192" w:type="dxa"/>
          </w:tcPr>
          <w:p w14:paraId="157D003C" w14:textId="6EA19AEA" w:rsidR="00235C11" w:rsidRPr="00235C11" w:rsidRDefault="00235C11" w:rsidP="00235C11">
            <w:r w:rsidRPr="00235C11">
              <w:rPr>
                <w:szCs w:val="20"/>
              </w:rPr>
              <w:t>Ринит</w:t>
            </w:r>
          </w:p>
        </w:tc>
      </w:tr>
      <w:tr w:rsidR="00235C11" w14:paraId="6532CD8A" w14:textId="77777777" w:rsidTr="00235C11">
        <w:tc>
          <w:tcPr>
            <w:tcW w:w="3192" w:type="dxa"/>
          </w:tcPr>
          <w:p w14:paraId="52C557B4" w14:textId="48C0F3C6" w:rsidR="00235C11" w:rsidRPr="00235C11" w:rsidRDefault="00235C11" w:rsidP="00235C11">
            <w:r w:rsidRPr="00235C11">
              <w:rPr>
                <w:i/>
                <w:iCs/>
                <w:szCs w:val="20"/>
              </w:rPr>
              <w:t>Стомашно-чревни нарушения</w:t>
            </w:r>
          </w:p>
        </w:tc>
        <w:tc>
          <w:tcPr>
            <w:tcW w:w="3192" w:type="dxa"/>
          </w:tcPr>
          <w:p w14:paraId="77C27B1D" w14:textId="2D54DB02" w:rsidR="00235C11" w:rsidRPr="00235C11" w:rsidRDefault="00235C11" w:rsidP="00235C11">
            <w:r w:rsidRPr="00235C11">
              <w:rPr>
                <w:szCs w:val="20"/>
              </w:rPr>
              <w:t>Повръщане</w:t>
            </w:r>
          </w:p>
        </w:tc>
        <w:tc>
          <w:tcPr>
            <w:tcW w:w="3192" w:type="dxa"/>
          </w:tcPr>
          <w:p w14:paraId="7AFA08DC" w14:textId="77777777" w:rsidR="00235C11" w:rsidRPr="00235C11" w:rsidRDefault="00235C11" w:rsidP="00235C11"/>
        </w:tc>
      </w:tr>
      <w:tr w:rsidR="00235C11" w14:paraId="6285D583" w14:textId="77777777" w:rsidTr="00235C11">
        <w:tc>
          <w:tcPr>
            <w:tcW w:w="3192" w:type="dxa"/>
          </w:tcPr>
          <w:p w14:paraId="69041D71" w14:textId="2B629AAB" w:rsidR="00235C11" w:rsidRPr="00235C11" w:rsidRDefault="00235C11" w:rsidP="00235C11">
            <w:r w:rsidRPr="00235C11">
              <w:rPr>
                <w:i/>
                <w:iCs/>
                <w:szCs w:val="20"/>
              </w:rPr>
              <w:t>Общи нарушения и ефекти на мястото на приложение</w:t>
            </w:r>
          </w:p>
        </w:tc>
        <w:tc>
          <w:tcPr>
            <w:tcW w:w="3192" w:type="dxa"/>
          </w:tcPr>
          <w:p w14:paraId="5DEA70FC" w14:textId="77777777" w:rsidR="00235C11" w:rsidRPr="00235C11" w:rsidRDefault="00235C11" w:rsidP="00235C11"/>
        </w:tc>
        <w:tc>
          <w:tcPr>
            <w:tcW w:w="3192" w:type="dxa"/>
          </w:tcPr>
          <w:p w14:paraId="05FD53D5" w14:textId="00D45BC8" w:rsidR="00235C11" w:rsidRPr="00235C11" w:rsidRDefault="00235C11" w:rsidP="00235C11">
            <w:r w:rsidRPr="00235C11">
              <w:rPr>
                <w:szCs w:val="20"/>
              </w:rPr>
              <w:t>Раздразнителност</w:t>
            </w:r>
            <w:r w:rsidRPr="00235C11">
              <w:rPr>
                <w:szCs w:val="20"/>
                <w:vertAlign w:val="superscript"/>
              </w:rPr>
              <w:t>3</w:t>
            </w:r>
          </w:p>
        </w:tc>
      </w:tr>
    </w:tbl>
    <w:p w14:paraId="4DC5344C" w14:textId="612501D4"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(1)</w:t>
      </w:r>
      <w:r>
        <w:rPr>
          <w:rFonts w:eastAsia="Times New Roman" w:cs="Arial"/>
          <w:color w:val="000000"/>
          <w:lang w:eastAsia="bg-BG"/>
        </w:rPr>
        <w:t xml:space="preserve"> </w:t>
      </w:r>
      <w:r w:rsidRPr="00235C11">
        <w:rPr>
          <w:rFonts w:eastAsia="Times New Roman" w:cs="Arial"/>
          <w:color w:val="000000"/>
          <w:lang w:eastAsia="bg-BG"/>
        </w:rPr>
        <w:t>Нива на пролактина по всяко време (пациенти &lt; 18 години): &gt;20 μ</w:t>
      </w:r>
      <w:r w:rsidRPr="00235C11">
        <w:rPr>
          <w:rFonts w:eastAsia="Times New Roman" w:cs="Arial"/>
          <w:color w:val="000000"/>
          <w:lang w:val="en-US"/>
        </w:rPr>
        <w:t>g</w:t>
      </w:r>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w:t>
      </w:r>
      <w:r w:rsidRPr="00235C11">
        <w:rPr>
          <w:rFonts w:eastAsia="Times New Roman" w:cs="Arial"/>
          <w:color w:val="000000"/>
          <w:lang w:eastAsia="bg-BG"/>
        </w:rPr>
        <w:t xml:space="preserve">(&gt;869,56 </w:t>
      </w:r>
      <w:proofErr w:type="spellStart"/>
      <w:r w:rsidRPr="00235C11">
        <w:rPr>
          <w:rFonts w:eastAsia="Times New Roman" w:cs="Arial"/>
          <w:color w:val="000000"/>
          <w:lang w:val="en-US"/>
        </w:rPr>
        <w:t>pmol</w:t>
      </w:r>
      <w:proofErr w:type="spellEnd"/>
      <w:r w:rsidRPr="00235C11">
        <w:rPr>
          <w:rFonts w:eastAsia="Times New Roman" w:cs="Arial"/>
          <w:color w:val="000000"/>
          <w:lang w:val="ru-RU"/>
        </w:rPr>
        <w:t xml:space="preserve">/1) </w:t>
      </w:r>
      <w:r w:rsidRPr="00235C11">
        <w:rPr>
          <w:rFonts w:eastAsia="Times New Roman" w:cs="Arial"/>
          <w:color w:val="000000"/>
          <w:lang w:eastAsia="bg-BG"/>
        </w:rPr>
        <w:t>мъже; &gt;26 μ</w:t>
      </w:r>
      <w:r w:rsidRPr="00235C11">
        <w:rPr>
          <w:rFonts w:eastAsia="Times New Roman" w:cs="Arial"/>
          <w:color w:val="000000"/>
          <w:lang w:val="en-US"/>
        </w:rPr>
        <w:t>g</w:t>
      </w:r>
      <w:r w:rsidRPr="00235C11">
        <w:rPr>
          <w:rFonts w:eastAsia="Times New Roman" w:cs="Arial"/>
          <w:color w:val="000000"/>
          <w:lang w:val="ru-RU"/>
        </w:rPr>
        <w:t>/</w:t>
      </w:r>
      <w:r w:rsidRPr="00235C11">
        <w:rPr>
          <w:rFonts w:eastAsia="Times New Roman" w:cs="Arial"/>
          <w:color w:val="000000"/>
          <w:lang w:val="en-US"/>
        </w:rPr>
        <w:t>l</w:t>
      </w:r>
      <w:r w:rsidRPr="00235C11">
        <w:rPr>
          <w:rFonts w:eastAsia="Times New Roman" w:cs="Arial"/>
          <w:color w:val="000000"/>
          <w:lang w:val="ru-RU"/>
        </w:rPr>
        <w:t xml:space="preserve"> </w:t>
      </w:r>
      <w:r w:rsidRPr="00235C11">
        <w:rPr>
          <w:rFonts w:eastAsia="Times New Roman" w:cs="Arial"/>
          <w:color w:val="000000"/>
          <w:lang w:eastAsia="bg-BG"/>
        </w:rPr>
        <w:t xml:space="preserve">(&gt;1130,428 </w:t>
      </w:r>
      <w:proofErr w:type="spellStart"/>
      <w:r w:rsidRPr="00235C11">
        <w:rPr>
          <w:rFonts w:eastAsia="Times New Roman" w:cs="Arial"/>
          <w:color w:val="000000"/>
          <w:lang w:val="en-US"/>
        </w:rPr>
        <w:t>pmol</w:t>
      </w:r>
      <w:proofErr w:type="spellEnd"/>
      <w:r w:rsidRPr="00235C11">
        <w:rPr>
          <w:rFonts w:eastAsia="Times New Roman" w:cs="Arial"/>
          <w:color w:val="000000"/>
          <w:lang w:val="ru-RU"/>
        </w:rPr>
        <w:t xml:space="preserve">/1) </w:t>
      </w:r>
      <w:r w:rsidRPr="00235C11">
        <w:rPr>
          <w:rFonts w:eastAsia="Times New Roman" w:cs="Arial"/>
          <w:color w:val="000000"/>
          <w:lang w:eastAsia="bg-BG"/>
        </w:rPr>
        <w:t>жени. По-малко от 1% от пациентите имат повишение на нивото на пролактин &gt;100 μ</w:t>
      </w:r>
      <w:r w:rsidRPr="00235C11">
        <w:rPr>
          <w:rFonts w:eastAsia="Times New Roman" w:cs="Arial"/>
          <w:color w:val="000000"/>
          <w:lang w:val="en-US"/>
        </w:rPr>
        <w:t>g</w:t>
      </w:r>
      <w:r w:rsidRPr="00235C11">
        <w:rPr>
          <w:rFonts w:eastAsia="Times New Roman" w:cs="Arial"/>
          <w:color w:val="000000"/>
          <w:lang w:val="ru-RU"/>
        </w:rPr>
        <w:t>/1.</w:t>
      </w:r>
    </w:p>
    <w:p w14:paraId="21741DC7" w14:textId="364DC901"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w:t>
      </w:r>
      <w:r>
        <w:rPr>
          <w:rFonts w:eastAsia="Times New Roman" w:cs="Arial"/>
          <w:color w:val="000000"/>
          <w:lang w:eastAsia="bg-BG"/>
        </w:rPr>
        <w:t xml:space="preserve"> </w:t>
      </w:r>
      <w:r w:rsidRPr="00235C11">
        <w:rPr>
          <w:rFonts w:eastAsia="Times New Roman" w:cs="Arial"/>
          <w:color w:val="000000"/>
          <w:lang w:eastAsia="bg-BG"/>
        </w:rPr>
        <w:t xml:space="preserve">Въз основа на стойности, надвишаващи клинично значимите граници (критерии, приети от Националния здравен институт) или повишения с </w:t>
      </w:r>
      <w:r w:rsidRPr="00235C11">
        <w:rPr>
          <w:rFonts w:eastAsia="Times New Roman" w:cs="Arial"/>
          <w:color w:val="000000"/>
          <w:lang w:val="ru-RU"/>
        </w:rPr>
        <w:t>&gt;20</w:t>
      </w:r>
      <w:r w:rsidRPr="00235C11">
        <w:rPr>
          <w:rFonts w:eastAsia="Times New Roman" w:cs="Arial"/>
          <w:color w:val="000000"/>
          <w:lang w:val="en-US"/>
        </w:rPr>
        <w:t>mmHg</w:t>
      </w:r>
      <w:r w:rsidRPr="00235C11">
        <w:rPr>
          <w:rFonts w:eastAsia="Times New Roman" w:cs="Arial"/>
          <w:color w:val="000000"/>
          <w:lang w:val="ru-RU"/>
        </w:rPr>
        <w:t xml:space="preserve"> </w:t>
      </w:r>
      <w:r w:rsidRPr="00235C11">
        <w:rPr>
          <w:rFonts w:eastAsia="Times New Roman" w:cs="Arial"/>
          <w:color w:val="000000"/>
          <w:lang w:eastAsia="bg-BG"/>
        </w:rPr>
        <w:t xml:space="preserve">за систолното или &gt;10 </w:t>
      </w:r>
      <w:r w:rsidRPr="00235C11">
        <w:rPr>
          <w:rFonts w:eastAsia="Times New Roman" w:cs="Arial"/>
          <w:color w:val="000000"/>
          <w:lang w:val="en-US"/>
        </w:rPr>
        <w:t>mmHg</w:t>
      </w:r>
      <w:r w:rsidRPr="00235C11">
        <w:rPr>
          <w:rFonts w:eastAsia="Times New Roman" w:cs="Arial"/>
          <w:color w:val="000000"/>
          <w:lang w:val="ru-RU"/>
        </w:rPr>
        <w:t xml:space="preserve"> </w:t>
      </w:r>
      <w:r w:rsidRPr="00235C11">
        <w:rPr>
          <w:rFonts w:eastAsia="Times New Roman" w:cs="Arial"/>
          <w:color w:val="000000"/>
          <w:lang w:eastAsia="bg-BG"/>
        </w:rPr>
        <w:t>за диастолното кръвно налягане по всяко време, в две плацебо-контролирани изпитвания за лечение на остри състояния (3-6 седмици) при деца и юноши.</w:t>
      </w:r>
    </w:p>
    <w:p w14:paraId="7EA730C8" w14:textId="63C41361"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(3)</w:t>
      </w:r>
      <w:r>
        <w:rPr>
          <w:rFonts w:eastAsia="Times New Roman" w:cs="Arial"/>
          <w:color w:val="000000"/>
          <w:lang w:eastAsia="bg-BG"/>
        </w:rPr>
        <w:t xml:space="preserve"> </w:t>
      </w:r>
      <w:r w:rsidRPr="00235C11">
        <w:rPr>
          <w:rFonts w:eastAsia="Times New Roman" w:cs="Arial"/>
          <w:color w:val="000000"/>
          <w:lang w:eastAsia="bg-BG"/>
        </w:rPr>
        <w:t>Забележка: Честотата е сравнима с наблюдаваната при възрастни, но в сравнение с възрастни, при деца и юноши може да бъде свързана с различни клинични последствия.</w:t>
      </w:r>
    </w:p>
    <w:p w14:paraId="6F077286" w14:textId="7428699F" w:rsidR="00235C11" w:rsidRP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(4)</w:t>
      </w:r>
      <w:r>
        <w:rPr>
          <w:rFonts w:eastAsia="Times New Roman" w:cs="Arial"/>
          <w:color w:val="000000"/>
          <w:lang w:eastAsia="bg-BG"/>
        </w:rPr>
        <w:t xml:space="preserve"> </w:t>
      </w:r>
      <w:r w:rsidRPr="00235C11">
        <w:rPr>
          <w:rFonts w:eastAsia="Times New Roman" w:cs="Arial"/>
          <w:color w:val="000000"/>
          <w:lang w:eastAsia="bg-BG"/>
        </w:rPr>
        <w:t>Вижте точка 5.1</w:t>
      </w:r>
    </w:p>
    <w:p w14:paraId="5C8DE2DB" w14:textId="77777777" w:rsidR="00235C11" w:rsidRPr="00235C11" w:rsidRDefault="00235C11" w:rsidP="00235C11">
      <w:pPr>
        <w:spacing w:line="240" w:lineRule="auto"/>
        <w:rPr>
          <w:rFonts w:eastAsia="Times New Roman" w:cs="Arial"/>
          <w:color w:val="000000"/>
          <w:u w:val="single"/>
          <w:lang w:eastAsia="bg-BG"/>
        </w:rPr>
      </w:pPr>
    </w:p>
    <w:p w14:paraId="0BC160EA" w14:textId="04341172"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Съобщаване на подозирани нежелани реакции</w:t>
      </w:r>
    </w:p>
    <w:p w14:paraId="14AFA995"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07717526" w14:textId="77777777" w:rsidR="00235C11" w:rsidRPr="00235C11" w:rsidRDefault="00235C11" w:rsidP="00235C11">
      <w:pPr>
        <w:spacing w:line="240" w:lineRule="auto"/>
        <w:rPr>
          <w:rFonts w:eastAsia="Times New Roman" w:cs="Arial"/>
          <w:color w:val="000000"/>
          <w:lang w:eastAsia="bg-BG"/>
        </w:rPr>
      </w:pPr>
    </w:p>
    <w:p w14:paraId="320971ED" w14:textId="2340C926" w:rsidR="00235C11" w:rsidRPr="00235C11" w:rsidRDefault="00235C11" w:rsidP="00235C11">
      <w:pPr>
        <w:spacing w:line="240" w:lineRule="auto"/>
        <w:rPr>
          <w:rFonts w:eastAsia="Times New Roman" w:cs="Arial"/>
        </w:rPr>
      </w:pPr>
      <w:r w:rsidRPr="00235C11">
        <w:rPr>
          <w:rFonts w:eastAsia="Times New Roman" w:cs="Arial"/>
          <w:color w:val="000000"/>
          <w:lang w:eastAsia="bg-BG"/>
        </w:rPr>
        <w:t>Изпълнителна агенция по лекарствата ул. „Дамян Груев” № 8</w:t>
      </w:r>
    </w:p>
    <w:p w14:paraId="2F645ECD"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1303 София</w:t>
      </w:r>
    </w:p>
    <w:p w14:paraId="38959FD0"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Тел.:+35 928903417</w:t>
      </w:r>
    </w:p>
    <w:p w14:paraId="5F20B106"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уебсайт: </w:t>
      </w:r>
      <w:r w:rsidRPr="00235C11">
        <w:rPr>
          <w:rFonts w:eastAsia="Times New Roman" w:cs="Arial"/>
        </w:rPr>
        <w:fldChar w:fldCharType="begin"/>
      </w:r>
      <w:r w:rsidRPr="00235C11">
        <w:rPr>
          <w:rFonts w:eastAsia="Times New Roman" w:cs="Arial"/>
        </w:rPr>
        <w:instrText xml:space="preserve"> HYPERLINK "http://www.bda.bg" </w:instrText>
      </w:r>
      <w:r w:rsidRPr="00235C11">
        <w:rPr>
          <w:rFonts w:eastAsia="Times New Roman" w:cs="Arial"/>
        </w:rPr>
      </w:r>
      <w:r w:rsidRPr="00235C11">
        <w:rPr>
          <w:rFonts w:eastAsia="Times New Roman" w:cs="Arial"/>
        </w:rPr>
        <w:fldChar w:fldCharType="separate"/>
      </w:r>
      <w:r w:rsidRPr="00235C11">
        <w:rPr>
          <w:rFonts w:eastAsia="Times New Roman" w:cs="Arial"/>
          <w:color w:val="000000"/>
          <w:lang w:val="en-US"/>
        </w:rPr>
        <w:t>www</w:t>
      </w:r>
      <w:r w:rsidRPr="00235C11">
        <w:rPr>
          <w:rFonts w:eastAsia="Times New Roman" w:cs="Arial"/>
          <w:color w:val="000000"/>
          <w:lang w:val="ru-RU"/>
        </w:rPr>
        <w:t>.</w:t>
      </w:r>
      <w:proofErr w:type="spellStart"/>
      <w:r w:rsidRPr="00235C11">
        <w:rPr>
          <w:rFonts w:eastAsia="Times New Roman" w:cs="Arial"/>
          <w:color w:val="000000"/>
          <w:lang w:val="en-US"/>
        </w:rPr>
        <w:t>bda</w:t>
      </w:r>
      <w:proofErr w:type="spellEnd"/>
      <w:r w:rsidRPr="00235C11">
        <w:rPr>
          <w:rFonts w:eastAsia="Times New Roman" w:cs="Arial"/>
          <w:color w:val="000000"/>
          <w:lang w:val="ru-RU"/>
        </w:rPr>
        <w:t>.</w:t>
      </w:r>
      <w:proofErr w:type="spellStart"/>
      <w:r w:rsidRPr="00235C11">
        <w:rPr>
          <w:rFonts w:eastAsia="Times New Roman" w:cs="Arial"/>
          <w:color w:val="000000"/>
          <w:lang w:val="en-US"/>
        </w:rPr>
        <w:t>bg</w:t>
      </w:r>
      <w:proofErr w:type="spellEnd"/>
      <w:r w:rsidRPr="00235C11">
        <w:rPr>
          <w:rFonts w:eastAsia="Times New Roman" w:cs="Arial"/>
        </w:rPr>
        <w:fldChar w:fldCharType="end"/>
      </w:r>
    </w:p>
    <w:p w14:paraId="5AB6AC17" w14:textId="77777777" w:rsidR="00235C11" w:rsidRPr="00F36424" w:rsidRDefault="00235C11" w:rsidP="00F36424"/>
    <w:p w14:paraId="4ED30546" w14:textId="4D68DC7E" w:rsidR="007C605B" w:rsidRDefault="002C50EE" w:rsidP="009F1313">
      <w:pPr>
        <w:pStyle w:val="Heading2"/>
      </w:pPr>
      <w:r>
        <w:t>4.9. Предозиране</w:t>
      </w:r>
    </w:p>
    <w:p w14:paraId="4ADF9E9F" w14:textId="7FD51339" w:rsidR="00235C11" w:rsidRDefault="00235C11" w:rsidP="00235C11"/>
    <w:p w14:paraId="75CB0731" w14:textId="77777777" w:rsidR="00235C11" w:rsidRPr="00235C11" w:rsidRDefault="00235C11" w:rsidP="00235C11">
      <w:pPr>
        <w:pStyle w:val="Heading3"/>
        <w:rPr>
          <w:rFonts w:eastAsia="Times New Roman"/>
          <w:sz w:val="28"/>
          <w:u w:val="single"/>
        </w:rPr>
      </w:pPr>
      <w:r w:rsidRPr="00235C11">
        <w:rPr>
          <w:rFonts w:eastAsia="Times New Roman"/>
          <w:u w:val="single"/>
          <w:lang w:eastAsia="bg-BG"/>
        </w:rPr>
        <w:t>Симптоми</w:t>
      </w:r>
    </w:p>
    <w:p w14:paraId="07A3E25C" w14:textId="77777777" w:rsidR="00235C11" w:rsidRPr="00235C11" w:rsidRDefault="00235C11" w:rsidP="00235C11">
      <w:pPr>
        <w:spacing w:line="240" w:lineRule="auto"/>
        <w:rPr>
          <w:rFonts w:eastAsia="Times New Roman" w:cs="Arial"/>
          <w:color w:val="000000"/>
          <w:szCs w:val="20"/>
          <w:lang w:eastAsia="bg-BG"/>
        </w:rPr>
      </w:pPr>
    </w:p>
    <w:p w14:paraId="08DFE1CF" w14:textId="39FBB036"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lastRenderedPageBreak/>
        <w:t>Като цяло, съобщените признаци и симптоми са засилените известни фармакологични ефекти на лекарството, т.е. сънливост и седация, тахикардия хипотония и антихолинергични ефекти.</w:t>
      </w:r>
    </w:p>
    <w:p w14:paraId="1EF50CE0" w14:textId="77777777" w:rsidR="00235C11" w:rsidRPr="00235C11" w:rsidRDefault="00235C11" w:rsidP="00235C11">
      <w:pPr>
        <w:spacing w:line="240" w:lineRule="auto"/>
        <w:rPr>
          <w:rFonts w:eastAsia="Times New Roman" w:cs="Arial"/>
          <w:color w:val="000000"/>
          <w:szCs w:val="20"/>
          <w:lang w:eastAsia="bg-BG"/>
        </w:rPr>
      </w:pPr>
    </w:p>
    <w:p w14:paraId="0FE6712F" w14:textId="44C043C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 xml:space="preserve">Предозирането може да доведе до удължаване на </w:t>
      </w:r>
      <w:r w:rsidRPr="00235C11">
        <w:rPr>
          <w:rFonts w:eastAsia="Times New Roman" w:cs="Arial"/>
          <w:color w:val="000000"/>
          <w:szCs w:val="20"/>
          <w:lang w:val="en-US"/>
        </w:rPr>
        <w:t>QT</w:t>
      </w:r>
      <w:r w:rsidRPr="00235C11">
        <w:rPr>
          <w:rFonts w:eastAsia="Times New Roman" w:cs="Arial"/>
          <w:color w:val="000000"/>
          <w:szCs w:val="20"/>
          <w:lang w:eastAsia="bg-BG"/>
        </w:rPr>
        <w:t>-интервала, гърчове, епилептичен статус, рабдомиолиза, потискане на дишането, задръжка на урина, обърканост, делириум и/или възбуда, кома и смърт.</w:t>
      </w:r>
    </w:p>
    <w:p w14:paraId="0B4081CD" w14:textId="77777777" w:rsidR="00235C11" w:rsidRPr="00235C11" w:rsidRDefault="00235C11" w:rsidP="00235C11">
      <w:pPr>
        <w:spacing w:line="240" w:lineRule="auto"/>
        <w:rPr>
          <w:rFonts w:eastAsia="Times New Roman" w:cs="Arial"/>
          <w:color w:val="000000"/>
          <w:szCs w:val="20"/>
          <w:lang w:eastAsia="bg-BG"/>
        </w:rPr>
      </w:pPr>
    </w:p>
    <w:p w14:paraId="1690C748" w14:textId="0550E3D1"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Пациенти с предшестващо тежко сърдечно-съдово заболяване може да са с повишен</w:t>
      </w:r>
    </w:p>
    <w:p w14:paraId="2C4F6D44" w14:textId="352F95A0" w:rsidR="00235C11" w:rsidRPr="00235C11" w:rsidRDefault="00235C11" w:rsidP="00235C11">
      <w:pPr>
        <w:rPr>
          <w:rFonts w:eastAsia="Times New Roman" w:cs="Arial"/>
          <w:color w:val="000000"/>
          <w:szCs w:val="20"/>
          <w:lang w:eastAsia="bg-BG"/>
        </w:rPr>
      </w:pPr>
      <w:r w:rsidRPr="00235C11">
        <w:rPr>
          <w:rFonts w:eastAsia="Times New Roman" w:cs="Arial"/>
          <w:color w:val="000000"/>
          <w:szCs w:val="20"/>
          <w:lang w:eastAsia="bg-BG"/>
        </w:rPr>
        <w:t>риск от ефектите на предозиране (вж. точка 4.4 „Ортостатична хипотония")</w:t>
      </w:r>
    </w:p>
    <w:p w14:paraId="7D8BE96C" w14:textId="7B86CD51" w:rsidR="00235C11" w:rsidRPr="00235C11" w:rsidRDefault="00235C11" w:rsidP="00235C11">
      <w:pPr>
        <w:rPr>
          <w:rFonts w:eastAsia="Times New Roman" w:cs="Arial"/>
          <w:color w:val="000000"/>
          <w:szCs w:val="20"/>
          <w:lang w:eastAsia="bg-BG"/>
        </w:rPr>
      </w:pPr>
    </w:p>
    <w:p w14:paraId="04118C60" w14:textId="77777777" w:rsidR="00235C11" w:rsidRPr="00235C11" w:rsidRDefault="00235C11" w:rsidP="00235C11">
      <w:pPr>
        <w:pStyle w:val="Heading3"/>
        <w:rPr>
          <w:rFonts w:eastAsia="Times New Roman"/>
          <w:sz w:val="28"/>
          <w:u w:val="single"/>
        </w:rPr>
      </w:pPr>
      <w:r w:rsidRPr="00235C11">
        <w:rPr>
          <w:rFonts w:eastAsia="Times New Roman"/>
          <w:u w:val="single"/>
          <w:lang w:eastAsia="bg-BG"/>
        </w:rPr>
        <w:t>Лечение при предозиране</w:t>
      </w:r>
    </w:p>
    <w:p w14:paraId="2E8424C9" w14:textId="77777777" w:rsidR="00235C11" w:rsidRPr="00235C11" w:rsidRDefault="00235C11" w:rsidP="00235C11">
      <w:pPr>
        <w:spacing w:line="240" w:lineRule="auto"/>
        <w:rPr>
          <w:rFonts w:eastAsia="Times New Roman" w:cs="Arial"/>
          <w:color w:val="000000"/>
          <w:szCs w:val="20"/>
          <w:lang w:eastAsia="bg-BG"/>
        </w:rPr>
      </w:pPr>
    </w:p>
    <w:p w14:paraId="3042EAA2" w14:textId="0C3A2AAF"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Няма специфичен антидот на кветиапин. В случаи на тежка интоксикация, трябва да се има предвид възможността за участие на множество лекарства, като се препоръчват интензивни грижи, включващи установяване и поддържане на проходимостта на дихателните пътиша на пациента, осигуряване на адекватно кислородно подаване и вентилация и мониториране и поддържане на сърдечно-съдовата система.</w:t>
      </w:r>
    </w:p>
    <w:p w14:paraId="58889E9F" w14:textId="77777777" w:rsidR="00235C11" w:rsidRPr="00235C11" w:rsidRDefault="00235C11" w:rsidP="00235C11">
      <w:pPr>
        <w:spacing w:line="240" w:lineRule="auto"/>
        <w:rPr>
          <w:rFonts w:eastAsia="Times New Roman" w:cs="Arial"/>
          <w:color w:val="000000"/>
          <w:szCs w:val="20"/>
          <w:lang w:eastAsia="bg-BG"/>
        </w:rPr>
      </w:pPr>
    </w:p>
    <w:p w14:paraId="123025B1" w14:textId="436D70AE"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 xml:space="preserve">Въз основа на публикуваната литература, пациентите с делир и ажитация и с изразен антихолинергичен синдром може да бъдат лекувани с физостигмин, 1-2 </w:t>
      </w:r>
      <w:r w:rsidRPr="00235C11">
        <w:rPr>
          <w:rFonts w:eastAsia="Times New Roman" w:cs="Arial"/>
          <w:color w:val="000000"/>
          <w:szCs w:val="20"/>
          <w:lang w:val="en-US"/>
        </w:rPr>
        <w:t>mg</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(при непрекъснато проследяване на ЕКГ). Това не се препоръчва като стандартно лечение поради потенциално отрицателния ефект на физостигмин върху сърдечната проводимост. Физостигмин може да се използва, ако няма отклонения в ЕКГ. Да не се използва физостигмин в случай на нарушен ритъм, всякаква степен на сърдечен блок или разширение на </w:t>
      </w:r>
      <w:r w:rsidRPr="00235C11">
        <w:rPr>
          <w:rFonts w:eastAsia="Times New Roman" w:cs="Arial"/>
          <w:color w:val="000000"/>
          <w:szCs w:val="20"/>
          <w:lang w:val="en-US"/>
        </w:rPr>
        <w:t>QRS</w:t>
      </w:r>
      <w:r w:rsidRPr="00235C11">
        <w:rPr>
          <w:rFonts w:eastAsia="Times New Roman" w:cs="Arial"/>
          <w:color w:val="000000"/>
          <w:szCs w:val="20"/>
          <w:lang w:val="ru-RU"/>
        </w:rPr>
        <w:t>.</w:t>
      </w:r>
    </w:p>
    <w:p w14:paraId="29EB501F" w14:textId="77777777" w:rsidR="00235C11" w:rsidRPr="00235C11" w:rsidRDefault="00235C11" w:rsidP="00235C11">
      <w:pPr>
        <w:spacing w:line="240" w:lineRule="auto"/>
        <w:rPr>
          <w:rFonts w:eastAsia="Times New Roman" w:cs="Arial"/>
          <w:color w:val="000000"/>
          <w:szCs w:val="20"/>
          <w:lang w:eastAsia="bg-BG"/>
        </w:rPr>
      </w:pPr>
    </w:p>
    <w:p w14:paraId="5C22ACCC" w14:textId="48A2D5A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Макар че превенцията на абсорбцията при свръхдоза не е проучена, при тежки отравяния може да бъде показана стомашна промивка, по възможност в рамките на първия час след предозирането. Трябва да се има предвид и прилагане на активен въглен.</w:t>
      </w:r>
    </w:p>
    <w:p w14:paraId="1E8AA9DA" w14:textId="77777777" w:rsidR="00235C11" w:rsidRPr="00235C11" w:rsidRDefault="00235C11" w:rsidP="00235C11">
      <w:pPr>
        <w:spacing w:line="240" w:lineRule="auto"/>
        <w:rPr>
          <w:rFonts w:eastAsia="Times New Roman" w:cs="Arial"/>
          <w:color w:val="000000"/>
          <w:szCs w:val="20"/>
          <w:lang w:eastAsia="bg-BG"/>
        </w:rPr>
      </w:pPr>
    </w:p>
    <w:p w14:paraId="394C0279" w14:textId="5BE941B5"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Случаите на рефрактерна хипотония след предозиране с кветиапин, трябва да бъдат контролирани с подходяща терапия като интравенозно вливане на течности и/ или симпатикомиметици. Епинефринът и допаминът трябва да се избягват, тъй като бета- стимулацията може да влоши хипотонията в условията на кветиапин-индуцирана алфа- блокада.</w:t>
      </w:r>
    </w:p>
    <w:p w14:paraId="62AE8320" w14:textId="77777777" w:rsidR="00235C11" w:rsidRPr="00235C11" w:rsidRDefault="00235C11" w:rsidP="00235C11">
      <w:pPr>
        <w:spacing w:line="240" w:lineRule="auto"/>
        <w:rPr>
          <w:rFonts w:eastAsia="Times New Roman" w:cs="Arial"/>
          <w:color w:val="000000"/>
          <w:szCs w:val="20"/>
          <w:lang w:eastAsia="bg-BG"/>
        </w:rPr>
      </w:pPr>
    </w:p>
    <w:p w14:paraId="3407B92B" w14:textId="27577EF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Внимателното лекарско наблюдение и мониториране трябва да продължат до възстановяването на пациента.</w:t>
      </w:r>
    </w:p>
    <w:p w14:paraId="7D7F8AA4" w14:textId="77777777" w:rsidR="00235C11" w:rsidRPr="00235C11" w:rsidRDefault="00235C11" w:rsidP="00235C11"/>
    <w:p w14:paraId="02081B24" w14:textId="1F46E296" w:rsidR="00395555" w:rsidRPr="00395555" w:rsidRDefault="002C50EE" w:rsidP="008A6AF2">
      <w:pPr>
        <w:pStyle w:val="Heading1"/>
      </w:pPr>
      <w:r>
        <w:t>5. ФАРМАКОЛОГИЧНИ СВОЙСТВА</w:t>
      </w:r>
    </w:p>
    <w:p w14:paraId="5350637D" w14:textId="23646314" w:rsidR="00395555" w:rsidRDefault="002C50EE" w:rsidP="008A6AF2">
      <w:pPr>
        <w:pStyle w:val="Heading2"/>
      </w:pPr>
      <w:r>
        <w:t>5.1. Фармакодинамични свойства</w:t>
      </w:r>
    </w:p>
    <w:p w14:paraId="5D39B1C2" w14:textId="096541DC" w:rsidR="00235C11" w:rsidRDefault="00235C11" w:rsidP="00235C11"/>
    <w:p w14:paraId="161FAB73" w14:textId="77777777"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Фармакотерапевтична група</w:t>
      </w:r>
      <w:r w:rsidRPr="00235C11">
        <w:rPr>
          <w:rFonts w:eastAsia="Times New Roman" w:cs="Arial"/>
          <w:color w:val="000000"/>
          <w:lang w:eastAsia="bg-BG"/>
        </w:rPr>
        <w:t>: Антипсихотици; диазепини, оксазепини и тиазепини.</w:t>
      </w:r>
    </w:p>
    <w:p w14:paraId="114DF7BA" w14:textId="77777777" w:rsidR="00235C11" w:rsidRPr="00235C11" w:rsidRDefault="00235C11" w:rsidP="00235C11">
      <w:pPr>
        <w:spacing w:line="240" w:lineRule="auto"/>
        <w:rPr>
          <w:rFonts w:eastAsia="Times New Roman" w:cs="Arial"/>
          <w:color w:val="000000"/>
          <w:lang w:eastAsia="bg-BG"/>
        </w:rPr>
      </w:pPr>
    </w:p>
    <w:p w14:paraId="58011E49" w14:textId="4D8F6622"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АТС код: </w:t>
      </w:r>
      <w:r w:rsidRPr="00235C11">
        <w:rPr>
          <w:rFonts w:eastAsia="Times New Roman" w:cs="Arial"/>
          <w:color w:val="000000"/>
          <w:lang w:val="en-US"/>
        </w:rPr>
        <w:t>N</w:t>
      </w:r>
      <w:r w:rsidRPr="00235C11">
        <w:rPr>
          <w:rFonts w:eastAsia="Times New Roman" w:cs="Arial"/>
          <w:color w:val="000000"/>
          <w:lang w:val="ru-RU"/>
        </w:rPr>
        <w:t>05</w:t>
      </w:r>
      <w:r w:rsidRPr="00235C11">
        <w:rPr>
          <w:rFonts w:eastAsia="Times New Roman" w:cs="Arial"/>
          <w:color w:val="000000"/>
          <w:lang w:val="en-US"/>
        </w:rPr>
        <w:t>A</w:t>
      </w:r>
      <w:r w:rsidRPr="00235C11">
        <w:rPr>
          <w:rFonts w:eastAsia="Times New Roman" w:cs="Arial"/>
          <w:color w:val="000000"/>
          <w:lang w:val="ru-RU"/>
        </w:rPr>
        <w:t xml:space="preserve"> </w:t>
      </w:r>
      <w:r w:rsidRPr="00235C11">
        <w:rPr>
          <w:rFonts w:eastAsia="Times New Roman" w:cs="Arial"/>
          <w:color w:val="000000"/>
          <w:lang w:eastAsia="bg-BG"/>
        </w:rPr>
        <w:t>НО4</w:t>
      </w:r>
    </w:p>
    <w:p w14:paraId="1C503F0C" w14:textId="77777777" w:rsidR="00235C11" w:rsidRPr="00235C11" w:rsidRDefault="00235C11" w:rsidP="00235C11">
      <w:pPr>
        <w:spacing w:line="240" w:lineRule="auto"/>
        <w:rPr>
          <w:rFonts w:eastAsia="Times New Roman" w:cs="Arial"/>
          <w:b/>
          <w:bCs/>
          <w:i/>
          <w:iCs/>
          <w:color w:val="000000"/>
          <w:lang w:eastAsia="bg-BG"/>
        </w:rPr>
      </w:pPr>
    </w:p>
    <w:p w14:paraId="3DF3C99C" w14:textId="36A2BD98" w:rsidR="00235C11" w:rsidRPr="00235C11" w:rsidRDefault="00235C11" w:rsidP="00235C11">
      <w:pPr>
        <w:spacing w:line="240" w:lineRule="auto"/>
        <w:rPr>
          <w:rFonts w:eastAsia="Times New Roman" w:cs="Arial"/>
        </w:rPr>
      </w:pPr>
      <w:r w:rsidRPr="00235C11">
        <w:rPr>
          <w:rFonts w:eastAsia="Times New Roman" w:cs="Arial"/>
          <w:b/>
          <w:bCs/>
          <w:i/>
          <w:iCs/>
          <w:color w:val="000000"/>
          <w:lang w:eastAsia="bg-BG"/>
        </w:rPr>
        <w:t>Механизъм на действие</w:t>
      </w:r>
    </w:p>
    <w:p w14:paraId="5377D13C" w14:textId="77777777" w:rsidR="00235C11" w:rsidRPr="00235C11" w:rsidRDefault="00235C11" w:rsidP="00235C11">
      <w:pPr>
        <w:spacing w:line="240" w:lineRule="auto"/>
        <w:rPr>
          <w:rFonts w:eastAsia="Times New Roman" w:cs="Arial"/>
          <w:color w:val="000000"/>
          <w:lang w:eastAsia="bg-BG"/>
        </w:rPr>
      </w:pPr>
    </w:p>
    <w:p w14:paraId="0562E5D3" w14:textId="77777777" w:rsidR="00235C11" w:rsidRPr="00235C11" w:rsidRDefault="00235C11" w:rsidP="00235C11">
      <w:pPr>
        <w:rPr>
          <w:rFonts w:eastAsia="Times New Roman" w:cs="Arial"/>
        </w:rPr>
      </w:pPr>
      <w:r w:rsidRPr="00235C11">
        <w:rPr>
          <w:rFonts w:eastAsia="Times New Roman" w:cs="Arial"/>
          <w:color w:val="000000"/>
          <w:lang w:eastAsia="bg-BG"/>
        </w:rPr>
        <w:t xml:space="preserve">Кветиапин е атипично антипсихотично средство. Кветиапин и активният човешки плазмен метаболит норкветиапин взаимодействат с широк спектър от невротрансмиторни рецептори. Кветиапин и норкветиапин показват висок афинитет към мозъчните серотонинови (5НТ2) рецептори и допаминовите </w:t>
      </w:r>
      <w:r w:rsidRPr="00235C11">
        <w:rPr>
          <w:rFonts w:eastAsia="Times New Roman" w:cs="Arial"/>
          <w:color w:val="000000"/>
          <w:lang w:val="en-US"/>
        </w:rPr>
        <w:t>D</w:t>
      </w:r>
      <w:r w:rsidRPr="00235C11">
        <w:rPr>
          <w:rFonts w:eastAsia="Times New Roman" w:cs="Arial"/>
          <w:color w:val="000000"/>
          <w:lang w:val="ru-RU"/>
        </w:rPr>
        <w:t xml:space="preserve">1- </w:t>
      </w:r>
      <w:r w:rsidRPr="00235C11">
        <w:rPr>
          <w:rFonts w:eastAsia="Times New Roman" w:cs="Arial"/>
          <w:color w:val="000000"/>
          <w:lang w:eastAsia="bg-BG"/>
        </w:rPr>
        <w:t xml:space="preserve">и </w:t>
      </w:r>
      <w:r w:rsidRPr="00235C11">
        <w:rPr>
          <w:rFonts w:eastAsia="Times New Roman" w:cs="Arial"/>
          <w:color w:val="000000"/>
          <w:lang w:val="en-US"/>
        </w:rPr>
        <w:t>D</w:t>
      </w:r>
      <w:r w:rsidRPr="00235C11">
        <w:rPr>
          <w:rFonts w:eastAsia="Times New Roman" w:cs="Arial"/>
          <w:color w:val="000000"/>
          <w:lang w:val="ru-RU"/>
        </w:rPr>
        <w:t xml:space="preserve">2- </w:t>
      </w:r>
      <w:r w:rsidRPr="00235C11">
        <w:rPr>
          <w:rFonts w:eastAsia="Times New Roman" w:cs="Arial"/>
          <w:color w:val="000000"/>
          <w:lang w:eastAsia="bg-BG"/>
        </w:rPr>
        <w:t xml:space="preserve">рецептори, Предполага се, че тази комбинация на рецепторен антагонизъм с по-висока селективност към 5НТ2 рецептори в сравнение с </w:t>
      </w:r>
      <w:r w:rsidRPr="00235C11">
        <w:rPr>
          <w:rFonts w:eastAsia="Times New Roman" w:cs="Arial"/>
          <w:color w:val="000000"/>
          <w:lang w:val="en-US"/>
        </w:rPr>
        <w:t>D</w:t>
      </w:r>
      <w:r w:rsidRPr="00235C11">
        <w:rPr>
          <w:rFonts w:eastAsia="Times New Roman" w:cs="Arial"/>
          <w:color w:val="000000"/>
          <w:lang w:eastAsia="bg-BG"/>
        </w:rPr>
        <w:t>2-рецепторите допринася за клиничните антипсихотични свойства и ниския екстрапирамиден нежелан ефект на кветиапин в сравнение с обичайните антипсихотици. Кветиапин и норкветиапин нямат значителен афинитет към бензодиазепиновите рецептори, но притежават висок афинитет към хистаминергичните и адренергичните алфа! рецептори, и умерен афинитет към адренергичните алфа2 рецептори. Кветиапин има нисък или липсващ афинитет към мускариновите рецептори, докато норкветиапин има умерен</w:t>
      </w:r>
      <w:r w:rsidRPr="00235C11">
        <w:rPr>
          <w:rFonts w:eastAsia="Times New Roman" w:cs="Arial"/>
          <w:color w:val="000000"/>
          <w:lang w:val="ru-RU"/>
        </w:rPr>
        <w:t xml:space="preserve"> </w:t>
      </w:r>
      <w:r w:rsidRPr="00235C11">
        <w:rPr>
          <w:rFonts w:eastAsia="Times New Roman" w:cs="Arial"/>
          <w:color w:val="000000"/>
          <w:lang w:eastAsia="bg-BG"/>
        </w:rPr>
        <w:t>до висок афинитет към няколко мускаринови рецептори, който може да обясни</w:t>
      </w:r>
      <w:r w:rsidRPr="00235C11">
        <w:rPr>
          <w:rFonts w:eastAsia="Times New Roman" w:cs="Arial"/>
        </w:rPr>
        <w:t xml:space="preserve"> </w:t>
      </w:r>
      <w:r w:rsidRPr="00235C11">
        <w:rPr>
          <w:rFonts w:eastAsia="Times New Roman" w:cs="Arial"/>
          <w:color w:val="000000"/>
          <w:lang w:eastAsia="bg-BG"/>
        </w:rPr>
        <w:t xml:space="preserve">антихолинергичните (мускаринови) ефекти. Фактът, че норкветиапин инхибира </w:t>
      </w:r>
      <w:r w:rsidRPr="00235C11">
        <w:rPr>
          <w:rFonts w:eastAsia="Times New Roman" w:cs="Arial"/>
          <w:color w:val="000000"/>
          <w:lang w:val="en-US"/>
        </w:rPr>
        <w:t>NET</w:t>
      </w:r>
      <w:r w:rsidRPr="00235C11">
        <w:rPr>
          <w:rFonts w:eastAsia="Times New Roman" w:cs="Arial"/>
          <w:color w:val="000000"/>
        </w:rPr>
        <w:t xml:space="preserve"> </w:t>
      </w:r>
      <w:r w:rsidRPr="00235C11">
        <w:rPr>
          <w:rFonts w:eastAsia="Times New Roman" w:cs="Arial"/>
          <w:color w:val="000000"/>
          <w:lang w:eastAsia="bg-BG"/>
        </w:rPr>
        <w:t>рецептора и има частичното агонистично действие на 5НТ1А рецептора, може да допринася за терапевтичната ефикасност на кветиапин таблетки с удължено освобождаване като антидепресант.</w:t>
      </w:r>
    </w:p>
    <w:p w14:paraId="43F8DD33" w14:textId="77777777" w:rsidR="00235C11" w:rsidRPr="00235C11" w:rsidRDefault="00235C11" w:rsidP="00235C11">
      <w:pPr>
        <w:spacing w:line="240" w:lineRule="auto"/>
        <w:rPr>
          <w:rFonts w:eastAsia="Times New Roman" w:cs="Arial"/>
          <w:b/>
          <w:bCs/>
          <w:i/>
          <w:iCs/>
          <w:color w:val="000000"/>
          <w:lang w:eastAsia="bg-BG"/>
        </w:rPr>
      </w:pPr>
    </w:p>
    <w:p w14:paraId="3E177EDC" w14:textId="4FBA9527" w:rsidR="00235C11" w:rsidRPr="00235C11" w:rsidRDefault="00235C11" w:rsidP="00235C11">
      <w:pPr>
        <w:spacing w:line="240" w:lineRule="auto"/>
        <w:rPr>
          <w:rFonts w:eastAsia="Times New Roman" w:cs="Arial"/>
        </w:rPr>
      </w:pPr>
      <w:r w:rsidRPr="00235C11">
        <w:rPr>
          <w:rFonts w:eastAsia="Times New Roman" w:cs="Arial"/>
          <w:b/>
          <w:bCs/>
          <w:i/>
          <w:iCs/>
          <w:color w:val="000000"/>
          <w:lang w:eastAsia="bg-BG"/>
        </w:rPr>
        <w:t>Фармакодинамични ефекти</w:t>
      </w:r>
    </w:p>
    <w:p w14:paraId="75E0F492" w14:textId="77777777" w:rsidR="00235C11" w:rsidRPr="00235C11" w:rsidRDefault="00235C11" w:rsidP="00235C11">
      <w:pPr>
        <w:spacing w:line="240" w:lineRule="auto"/>
        <w:rPr>
          <w:rFonts w:eastAsia="Times New Roman" w:cs="Arial"/>
          <w:color w:val="000000"/>
          <w:lang w:eastAsia="bg-BG"/>
        </w:rPr>
      </w:pPr>
    </w:p>
    <w:p w14:paraId="266A8209" w14:textId="3D4AB3D0"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Кветиапин е активен при тестове за антипсихотична активност като условно рефлекторно избягване. Той също така блокира действието на агонисти на допамина, което има поведенчески или електрофизиологичен израз и повишава концентрациите на метаболитите на допамина, неврохимичен индекс на блокадата на </w:t>
      </w:r>
      <w:r w:rsidRPr="00235C11">
        <w:rPr>
          <w:rFonts w:eastAsia="Times New Roman" w:cs="Arial"/>
          <w:color w:val="000000"/>
          <w:lang w:val="en-US"/>
        </w:rPr>
        <w:t>D</w:t>
      </w:r>
      <w:r w:rsidRPr="00235C11">
        <w:rPr>
          <w:rFonts w:eastAsia="Times New Roman" w:cs="Arial"/>
          <w:color w:val="000000"/>
          <w:lang w:eastAsia="bg-BG"/>
        </w:rPr>
        <w:t>2-рецептора.</w:t>
      </w:r>
    </w:p>
    <w:p w14:paraId="5F0B4B04"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При предклинични тестове, предвиждащи ЕПС, кветиапин се различава от стандартните антипсихотици и има атипичен профил. Кветиапин не продуцира свръхчувствителност на </w:t>
      </w:r>
      <w:r w:rsidRPr="00235C11">
        <w:rPr>
          <w:rFonts w:eastAsia="Times New Roman" w:cs="Arial"/>
          <w:color w:val="000000"/>
          <w:lang w:val="en-US"/>
        </w:rPr>
        <w:t>D</w:t>
      </w:r>
      <w:r w:rsidRPr="00235C11">
        <w:rPr>
          <w:rFonts w:eastAsia="Times New Roman" w:cs="Arial"/>
          <w:color w:val="000000"/>
          <w:lang w:eastAsia="bg-BG"/>
        </w:rPr>
        <w:t xml:space="preserve">2-допаминовия рецептор след хронична употреба. Кветиапин предизвиква само слаба каталепсия в дози, ефективно блокиращи допаминовите </w:t>
      </w:r>
      <w:r w:rsidRPr="00235C11">
        <w:rPr>
          <w:rFonts w:eastAsia="Times New Roman" w:cs="Arial"/>
          <w:color w:val="000000"/>
          <w:lang w:val="en-US"/>
        </w:rPr>
        <w:t>D</w:t>
      </w:r>
      <w:r w:rsidRPr="00235C11">
        <w:rPr>
          <w:rFonts w:eastAsia="Times New Roman" w:cs="Arial"/>
          <w:color w:val="000000"/>
          <w:lang w:val="ru-RU"/>
        </w:rPr>
        <w:t xml:space="preserve">2- </w:t>
      </w:r>
      <w:r w:rsidRPr="00235C11">
        <w:rPr>
          <w:rFonts w:eastAsia="Times New Roman" w:cs="Arial"/>
          <w:color w:val="000000"/>
          <w:lang w:eastAsia="bg-BG"/>
        </w:rPr>
        <w:t xml:space="preserve">рецептори. Кветиапин демонстрира селективност към лимбичната система като блокира деполяризацията на мезолимбичните, но не и на нигростриатусни допамин- съдържащи неврони след хронично приложение. Кветиапин показва минимална способност за предизвикване на дистония в сенсибилизирани с халоперидол или при нетретирани с лекарства </w:t>
      </w:r>
      <w:proofErr w:type="spellStart"/>
      <w:r w:rsidRPr="00235C11">
        <w:rPr>
          <w:rFonts w:eastAsia="Times New Roman" w:cs="Arial"/>
          <w:color w:val="000000"/>
          <w:lang w:val="en-US"/>
        </w:rPr>
        <w:t>Cebus</w:t>
      </w:r>
      <w:proofErr w:type="spellEnd"/>
      <w:r w:rsidRPr="00235C11">
        <w:rPr>
          <w:rFonts w:eastAsia="Times New Roman" w:cs="Arial"/>
          <w:color w:val="000000"/>
          <w:lang w:val="ru-RU"/>
        </w:rPr>
        <w:t xml:space="preserve"> </w:t>
      </w:r>
      <w:r w:rsidRPr="00235C11">
        <w:rPr>
          <w:rFonts w:eastAsia="Times New Roman" w:cs="Arial"/>
          <w:color w:val="000000"/>
          <w:lang w:eastAsia="bg-BG"/>
        </w:rPr>
        <w:t>маймуни след остро хронично приложение (вж. точка 4.8).</w:t>
      </w:r>
    </w:p>
    <w:p w14:paraId="5210CB83" w14:textId="77777777" w:rsidR="00235C11" w:rsidRPr="00235C11" w:rsidRDefault="00235C11" w:rsidP="00235C11">
      <w:pPr>
        <w:spacing w:line="240" w:lineRule="auto"/>
        <w:rPr>
          <w:rFonts w:eastAsia="Times New Roman" w:cs="Arial"/>
          <w:b/>
          <w:bCs/>
          <w:i/>
          <w:iCs/>
          <w:color w:val="000000"/>
          <w:lang w:eastAsia="bg-BG"/>
        </w:rPr>
      </w:pPr>
    </w:p>
    <w:p w14:paraId="4F49B7B0" w14:textId="52138637" w:rsidR="00235C11" w:rsidRPr="00235C11" w:rsidRDefault="00235C11" w:rsidP="00235C11">
      <w:pPr>
        <w:spacing w:line="240" w:lineRule="auto"/>
        <w:rPr>
          <w:rFonts w:eastAsia="Times New Roman" w:cs="Arial"/>
        </w:rPr>
      </w:pPr>
      <w:r w:rsidRPr="00235C11">
        <w:rPr>
          <w:rFonts w:eastAsia="Times New Roman" w:cs="Arial"/>
          <w:b/>
          <w:bCs/>
          <w:i/>
          <w:iCs/>
          <w:color w:val="000000"/>
          <w:lang w:eastAsia="bg-BG"/>
        </w:rPr>
        <w:t>Клинична ефикасност</w:t>
      </w:r>
    </w:p>
    <w:p w14:paraId="15A15873" w14:textId="77777777" w:rsidR="00235C11" w:rsidRPr="00235C11" w:rsidRDefault="00235C11" w:rsidP="00235C11">
      <w:pPr>
        <w:spacing w:line="240" w:lineRule="auto"/>
        <w:rPr>
          <w:rFonts w:eastAsia="Times New Roman" w:cs="Arial"/>
          <w:color w:val="000000"/>
          <w:u w:val="single"/>
          <w:lang w:eastAsia="bg-BG"/>
        </w:rPr>
      </w:pPr>
    </w:p>
    <w:p w14:paraId="5A18AF9B" w14:textId="695C5121"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Шизофрения</w:t>
      </w:r>
    </w:p>
    <w:p w14:paraId="0015B0E4"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три плацебо-контролирани клинични изпитвания при пациенти е шизофрения, при които са използвани различни дози кветиапин, не е установена разлика между кветиапин и плацебо по отношение на увеличение на ЕПС или съпътстващо приложение на антихолинергици. Плацебо-контролирано проучване, оценяващо фиксирани дози на кветиапин в диапазона от 75 до 750 </w:t>
      </w:r>
      <w:r w:rsidRPr="00235C11">
        <w:rPr>
          <w:rFonts w:eastAsia="Times New Roman" w:cs="Arial"/>
          <w:color w:val="000000"/>
          <w:lang w:val="en-US"/>
        </w:rPr>
        <w:t>mg</w:t>
      </w:r>
      <w:r w:rsidRPr="00235C11">
        <w:rPr>
          <w:rFonts w:eastAsia="Times New Roman" w:cs="Arial"/>
          <w:color w:val="000000"/>
          <w:lang w:eastAsia="bg-BG"/>
        </w:rPr>
        <w:t>/дневно, не показва данни за увеличение на ЕПС или необходимост от придружаващо лечение с антихолинергици. При слепи клинични проучвания, дългосрочната ефикасност на кветиапин таблетки за предотвратяване на шизофрениите рецидиви не е доказана . При отворени проучвания, при пациенти с шизофрения, кветиапин е ефективен за поддържане на клиничното подобрение по време на продължително лечение при пациенти, показали начален терапевтичен отговор, което предполага известна дългосрочна ефикасност.</w:t>
      </w:r>
    </w:p>
    <w:p w14:paraId="2A9D3D30" w14:textId="77777777" w:rsidR="00235C11" w:rsidRPr="00235C11" w:rsidRDefault="00235C11" w:rsidP="00235C11">
      <w:pPr>
        <w:spacing w:line="240" w:lineRule="auto"/>
        <w:rPr>
          <w:rFonts w:eastAsia="Times New Roman" w:cs="Arial"/>
          <w:color w:val="000000"/>
          <w:u w:val="single"/>
          <w:lang w:eastAsia="bg-BG"/>
        </w:rPr>
      </w:pPr>
    </w:p>
    <w:p w14:paraId="5B2FDDAA" w14:textId="69CAF81C"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Биполярно разстройство</w:t>
      </w:r>
    </w:p>
    <w:p w14:paraId="56579D7F"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lastRenderedPageBreak/>
        <w:t xml:space="preserve">В четири плацебо-контролирани клинични изпитвания, оценяващи кветиапин в дози до 800 </w:t>
      </w:r>
      <w:r w:rsidRPr="00235C11">
        <w:rPr>
          <w:rFonts w:eastAsia="Times New Roman" w:cs="Arial"/>
          <w:color w:val="000000"/>
          <w:lang w:val="en-US"/>
        </w:rPr>
        <w:t>mg</w:t>
      </w:r>
      <w:r w:rsidRPr="00235C11">
        <w:rPr>
          <w:rFonts w:eastAsia="Times New Roman" w:cs="Arial"/>
          <w:color w:val="000000"/>
          <w:lang w:eastAsia="bg-BG"/>
        </w:rPr>
        <w:t>/ден за лечение на умерени до тежки манийни епизоди, две от които като монотерапия и две като комбинирана терапия към литий или дивалпроекс, няма разлика между кветиапин и плацебо по в честотите на ЕПС или едновременната употреба на антихолинергици.</w:t>
      </w:r>
    </w:p>
    <w:p w14:paraId="7874057D" w14:textId="77777777" w:rsidR="00235C11" w:rsidRPr="00235C11" w:rsidRDefault="00235C11" w:rsidP="00235C11">
      <w:pPr>
        <w:spacing w:line="240" w:lineRule="auto"/>
        <w:rPr>
          <w:rFonts w:eastAsia="Times New Roman" w:cs="Arial"/>
          <w:color w:val="000000"/>
          <w:lang w:eastAsia="bg-BG"/>
        </w:rPr>
      </w:pPr>
    </w:p>
    <w:p w14:paraId="7A41F756" w14:textId="6D412D4E" w:rsidR="00235C11" w:rsidRPr="00235C11" w:rsidRDefault="00235C11" w:rsidP="00235C11">
      <w:pPr>
        <w:spacing w:line="240" w:lineRule="auto"/>
        <w:rPr>
          <w:rFonts w:eastAsia="Times New Roman" w:cs="Arial"/>
        </w:rPr>
      </w:pPr>
      <w:r w:rsidRPr="00235C11">
        <w:rPr>
          <w:rFonts w:eastAsia="Times New Roman" w:cs="Arial"/>
          <w:color w:val="000000"/>
          <w:lang w:eastAsia="bg-BG"/>
        </w:rPr>
        <w:t>При лечението на умерени до тежки манийни епизоди, кветиапин демонстрира по- висока ефикасност в сравнение с плацебо при намаляване на маниакалните симптоми на 3 и 12 седмица, в две изпитвания с монотерапия. Няма данни от дългосрочни проучвания за демонстриране на ефективността на кветиапин при предотвратяване на последващи манийни или депресивни епизоди, Данните за кветиапин в комбинация с дивалпроекс или литий при остри умерени до тежки манийни епизоди на 3-та и 6-та седмица са ограничени; но комбинираната терапия се понася добре. Данните показват адитивен ефект на 3-та седмица. Второ проучване не показва адитивен ефект в 6-та седмица.</w:t>
      </w:r>
    </w:p>
    <w:p w14:paraId="0C9C5B5C" w14:textId="16038BDE" w:rsidR="00235C11" w:rsidRPr="00235C11" w:rsidRDefault="00235C11" w:rsidP="00235C11">
      <w:pPr>
        <w:spacing w:line="240" w:lineRule="auto"/>
        <w:rPr>
          <w:rFonts w:eastAsia="Times New Roman" w:cs="Arial"/>
        </w:rPr>
      </w:pPr>
    </w:p>
    <w:p w14:paraId="04A43F79"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Средната доза кветиапин в последната седмица при отговорилите на лечението е приблизително 600 </w:t>
      </w:r>
      <w:r w:rsidRPr="00235C11">
        <w:rPr>
          <w:rFonts w:eastAsia="Times New Roman" w:cs="Arial"/>
          <w:color w:val="000000"/>
          <w:lang w:val="en-US"/>
        </w:rPr>
        <w:t>mg</w:t>
      </w:r>
      <w:r w:rsidRPr="00235C11">
        <w:rPr>
          <w:rFonts w:eastAsia="Times New Roman" w:cs="Arial"/>
          <w:color w:val="000000"/>
          <w:lang w:eastAsia="bg-BG"/>
        </w:rPr>
        <w:t xml:space="preserve">/ден и приблизително 85% от отговорилите са в дозовата граница между 400 и 800 </w:t>
      </w:r>
      <w:r w:rsidRPr="00235C11">
        <w:rPr>
          <w:rFonts w:eastAsia="Times New Roman" w:cs="Arial"/>
          <w:color w:val="000000"/>
          <w:lang w:val="en-US"/>
        </w:rPr>
        <w:t>mg</w:t>
      </w:r>
      <w:r w:rsidRPr="00235C11">
        <w:rPr>
          <w:rFonts w:eastAsia="Times New Roman" w:cs="Arial"/>
          <w:color w:val="000000"/>
          <w:lang w:eastAsia="bg-BG"/>
        </w:rPr>
        <w:t>/ден.</w:t>
      </w:r>
    </w:p>
    <w:p w14:paraId="01B00476" w14:textId="77777777" w:rsidR="00235C11" w:rsidRPr="00235C11" w:rsidRDefault="00235C11" w:rsidP="00235C11">
      <w:pPr>
        <w:spacing w:line="240" w:lineRule="auto"/>
        <w:rPr>
          <w:rFonts w:eastAsia="Times New Roman" w:cs="Arial"/>
          <w:color w:val="000000"/>
          <w:lang w:eastAsia="bg-BG"/>
        </w:rPr>
      </w:pPr>
    </w:p>
    <w:p w14:paraId="2C23AF25" w14:textId="39836B16"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4 клинични изпитвания с продължителност от 8 седмици при пациенти с умерени до тежки депресивни епизоди при биполярно разстройство тип 1 или II, кветиапин таблетки от 300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и 600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е показал значимо превъзходство в сравнение с пациентите, лекувани с плацебо, по съответните изходящи критерии: средно подобрение по </w:t>
      </w:r>
      <w:r w:rsidRPr="00235C11">
        <w:rPr>
          <w:rFonts w:eastAsia="Times New Roman" w:cs="Arial"/>
          <w:color w:val="000000"/>
          <w:lang w:val="en-US"/>
        </w:rPr>
        <w:t>MADRS</w:t>
      </w:r>
      <w:r w:rsidRPr="00235C11">
        <w:rPr>
          <w:rFonts w:eastAsia="Times New Roman" w:cs="Arial"/>
          <w:color w:val="000000"/>
          <w:lang w:val="ru-RU"/>
        </w:rPr>
        <w:t xml:space="preserve"> </w:t>
      </w:r>
      <w:r w:rsidRPr="00235C11">
        <w:rPr>
          <w:rFonts w:eastAsia="Times New Roman" w:cs="Arial"/>
          <w:color w:val="000000"/>
          <w:lang w:eastAsia="bg-BG"/>
        </w:rPr>
        <w:t xml:space="preserve">и отговор, дефиниран като поне 50% подобрение от изходното ниво на общия скор по </w:t>
      </w:r>
      <w:r w:rsidRPr="00235C11">
        <w:rPr>
          <w:rFonts w:eastAsia="Times New Roman" w:cs="Arial"/>
          <w:color w:val="000000"/>
          <w:lang w:val="en-US"/>
        </w:rPr>
        <w:t>MADRS</w:t>
      </w:r>
      <w:r w:rsidRPr="00235C11">
        <w:rPr>
          <w:rFonts w:eastAsia="Times New Roman" w:cs="Arial"/>
          <w:color w:val="000000"/>
          <w:lang w:val="ru-RU"/>
        </w:rPr>
        <w:t xml:space="preserve">. </w:t>
      </w:r>
      <w:r w:rsidRPr="00235C11">
        <w:rPr>
          <w:rFonts w:eastAsia="Times New Roman" w:cs="Arial"/>
          <w:color w:val="000000"/>
          <w:lang w:eastAsia="bg-BG"/>
        </w:rPr>
        <w:t xml:space="preserve">Няма разлика в степента на ефекта между пациентите, които са приемали 300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и 600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кветиапин.</w:t>
      </w:r>
    </w:p>
    <w:p w14:paraId="392487A9" w14:textId="77777777" w:rsidR="00235C11" w:rsidRPr="00235C11" w:rsidRDefault="00235C11" w:rsidP="00235C11">
      <w:pPr>
        <w:spacing w:line="240" w:lineRule="auto"/>
        <w:rPr>
          <w:rFonts w:eastAsia="Times New Roman" w:cs="Arial"/>
          <w:color w:val="000000"/>
          <w:lang w:eastAsia="bg-BG"/>
        </w:rPr>
      </w:pPr>
    </w:p>
    <w:p w14:paraId="7002DC08" w14:textId="58A7D1B2"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продължението на две от тези проучвания е демонстрирано, че продължителното лечение на пациентите, които са отговорили на кветиапин таблетки 300 или 600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е било ефикасно в сравнение с групата на плацебо по отношение на депресивните симптоми, по не и по отношение на манийните симптоми.</w:t>
      </w:r>
    </w:p>
    <w:p w14:paraId="3268370C" w14:textId="77777777" w:rsidR="00235C11" w:rsidRPr="00235C11" w:rsidRDefault="00235C11" w:rsidP="00235C11">
      <w:pPr>
        <w:spacing w:line="240" w:lineRule="auto"/>
        <w:rPr>
          <w:rFonts w:eastAsia="Times New Roman" w:cs="Arial"/>
          <w:color w:val="000000"/>
          <w:lang w:eastAsia="bg-BG"/>
        </w:rPr>
      </w:pPr>
    </w:p>
    <w:p w14:paraId="38C00496" w14:textId="497541C0"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две изпитвания за профилактика на рецидив, оценяващи кветиапин в комбинация със стабилизатори на настроението при пациенти с манийни, депресивни или смесени епизоди, комбинацията с кветиапин е превъзхождала монотерапията с тимостабилизатори, по отношение на удължаване на времето до рецидив на което и да е разстройство на настроението (манийно, смесено или депресивно). Кветиапин е прилаган в обща дневна доза от 400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до 800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разделена на два приема, като комбинирана терапия с литий или валпроат.</w:t>
      </w:r>
    </w:p>
    <w:p w14:paraId="25B5FE86" w14:textId="77777777" w:rsidR="00235C11" w:rsidRPr="00235C11" w:rsidRDefault="00235C11" w:rsidP="00235C11">
      <w:pPr>
        <w:spacing w:line="240" w:lineRule="auto"/>
        <w:rPr>
          <w:rFonts w:eastAsia="Times New Roman" w:cs="Arial"/>
          <w:color w:val="000000"/>
          <w:lang w:eastAsia="bg-BG"/>
        </w:rPr>
      </w:pPr>
    </w:p>
    <w:p w14:paraId="397CB4B3" w14:textId="63148818"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едно 6 седмично рандомизирано проучване на литий и кветиапин таблетки, спрямо плацебо и кветиапин таблетки при възрастни пациенти с остра мания, разликата в средното подобрение по </w:t>
      </w:r>
      <w:r w:rsidRPr="00235C11">
        <w:rPr>
          <w:rFonts w:eastAsia="Times New Roman" w:cs="Arial"/>
          <w:color w:val="000000"/>
          <w:lang w:val="en-US"/>
        </w:rPr>
        <w:t>YMRS</w:t>
      </w:r>
      <w:r w:rsidRPr="00235C11">
        <w:rPr>
          <w:rFonts w:eastAsia="Times New Roman" w:cs="Arial"/>
          <w:color w:val="000000"/>
          <w:lang w:val="ru-RU"/>
        </w:rPr>
        <w:t xml:space="preserve"> </w:t>
      </w:r>
      <w:r w:rsidRPr="00235C11">
        <w:rPr>
          <w:rFonts w:eastAsia="Times New Roman" w:cs="Arial"/>
          <w:color w:val="000000"/>
          <w:lang w:eastAsia="bg-BG"/>
        </w:rPr>
        <w:t xml:space="preserve">между групата с добавен литий и групата с добавено плацебо е била 2,8 пункта, а разликата в процента на повлияващи се (определена като 50% подобрение от изходното ниво по </w:t>
      </w:r>
      <w:r w:rsidRPr="00235C11">
        <w:rPr>
          <w:rFonts w:eastAsia="Times New Roman" w:cs="Arial"/>
          <w:color w:val="000000"/>
          <w:lang w:val="en-US"/>
        </w:rPr>
        <w:t>YMRS</w:t>
      </w:r>
      <w:r w:rsidRPr="00235C11">
        <w:rPr>
          <w:rFonts w:eastAsia="Times New Roman" w:cs="Arial"/>
          <w:color w:val="000000"/>
          <w:lang w:val="ru-RU"/>
        </w:rPr>
        <w:t xml:space="preserve">) </w:t>
      </w:r>
      <w:r w:rsidRPr="00235C11">
        <w:rPr>
          <w:rFonts w:eastAsia="Times New Roman" w:cs="Arial"/>
          <w:color w:val="000000"/>
          <w:lang w:eastAsia="bg-BG"/>
        </w:rPr>
        <w:t>е била 11% (79% в групата с добавен литий спрямо 68% в групата с добавено плацебо).</w:t>
      </w:r>
    </w:p>
    <w:p w14:paraId="53B045AB" w14:textId="77777777" w:rsidR="00235C11" w:rsidRPr="00235C11" w:rsidRDefault="00235C11" w:rsidP="00235C11">
      <w:pPr>
        <w:spacing w:line="240" w:lineRule="auto"/>
        <w:rPr>
          <w:rFonts w:eastAsia="Times New Roman" w:cs="Arial"/>
          <w:color w:val="000000"/>
          <w:lang w:eastAsia="bg-BG"/>
        </w:rPr>
      </w:pPr>
    </w:p>
    <w:p w14:paraId="002D1870" w14:textId="51F2338B"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дългосрочно проучване (лечение с продължителност до 2 години), оценяващо профилактика на рецидив при пациенти с манийни, депресивни или смесени епизоди, кветиапин е превъзхождал плацебо по отношение на удължаване на времето до рецидив на всяко събитие (манийно, смесено или депресивно), при пациенти с биполярно </w:t>
      </w:r>
      <w:r w:rsidRPr="00235C11">
        <w:rPr>
          <w:rFonts w:eastAsia="Times New Roman" w:cs="Arial"/>
          <w:color w:val="000000"/>
          <w:lang w:eastAsia="bg-BG"/>
        </w:rPr>
        <w:lastRenderedPageBreak/>
        <w:t>разстройство тип I. Броят на пациентите със събитие, свързано с с разстройство на настроението е бил 91 (22,5%) в групата на кветиапин, 208 (51,5%) в групата на плацебо и съответно 95 (26,1%) в терапевтичната група на лития. При пациенти, които са се повлияли от лечението с кветиапин, резултатите от сравнението между продължаването на лечението с кветиапин с преминаването към литий, показват, че преминаването към литий изглежда не е свързано с удължаване на времето до рецидив на разстройството на настроението.</w:t>
      </w:r>
    </w:p>
    <w:p w14:paraId="5D0F3942"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Клинични изпитвания са показали, че кветиапин е ефективен при шизофрения и мания, прилаган два пъти дневно, въпреки че има фармакокинетичен полуживот от около 7 часа. Това се подкрепя и от данните от изпитване с позитронна емисионна томография (РЕТ), които показват, че за кветиапин , свързването с 5НТ</w:t>
      </w:r>
      <w:r w:rsidRPr="00235C11">
        <w:rPr>
          <w:rFonts w:eastAsia="Times New Roman" w:cs="Arial"/>
          <w:color w:val="000000"/>
          <w:vertAlign w:val="subscript"/>
          <w:lang w:eastAsia="bg-BG"/>
        </w:rPr>
        <w:t>2</w:t>
      </w:r>
      <w:r w:rsidRPr="00235C11">
        <w:rPr>
          <w:rFonts w:eastAsia="Times New Roman" w:cs="Arial"/>
          <w:color w:val="000000"/>
          <w:lang w:eastAsia="bg-BG"/>
        </w:rPr>
        <w:t xml:space="preserve">- и </w:t>
      </w:r>
      <w:r w:rsidRPr="00235C11">
        <w:rPr>
          <w:rFonts w:eastAsia="Times New Roman" w:cs="Arial"/>
          <w:color w:val="000000"/>
          <w:lang w:val="en-US"/>
        </w:rPr>
        <w:t>D</w:t>
      </w:r>
      <w:r w:rsidRPr="00235C11">
        <w:rPr>
          <w:rFonts w:eastAsia="Times New Roman" w:cs="Arial"/>
          <w:color w:val="000000"/>
          <w:vertAlign w:val="subscript"/>
          <w:lang w:val="ru-RU"/>
        </w:rPr>
        <w:t>2</w:t>
      </w:r>
      <w:r w:rsidRPr="00235C11">
        <w:rPr>
          <w:rFonts w:eastAsia="Times New Roman" w:cs="Arial"/>
          <w:color w:val="000000"/>
          <w:lang w:val="ru-RU"/>
        </w:rPr>
        <w:t xml:space="preserve">- </w:t>
      </w:r>
      <w:r w:rsidRPr="00235C11">
        <w:rPr>
          <w:rFonts w:eastAsia="Times New Roman" w:cs="Arial"/>
          <w:color w:val="000000"/>
          <w:lang w:eastAsia="bg-BG"/>
        </w:rPr>
        <w:t xml:space="preserve">рецептори се поддържа в продължение на до 12 часа . Безопасността и ефикасността на дози над 800 </w:t>
      </w:r>
      <w:r w:rsidRPr="00235C11">
        <w:rPr>
          <w:rFonts w:eastAsia="Times New Roman" w:cs="Arial"/>
          <w:color w:val="000000"/>
          <w:lang w:val="en-US"/>
        </w:rPr>
        <w:t>mg</w:t>
      </w:r>
      <w:r w:rsidRPr="00235C11">
        <w:rPr>
          <w:rFonts w:eastAsia="Times New Roman" w:cs="Arial"/>
          <w:color w:val="000000"/>
          <w:lang w:eastAsia="bg-BG"/>
        </w:rPr>
        <w:t>/ден не са оценявани.</w:t>
      </w:r>
    </w:p>
    <w:p w14:paraId="03AF1791" w14:textId="77777777" w:rsidR="00235C11" w:rsidRPr="00235C11" w:rsidRDefault="00235C11" w:rsidP="00235C11">
      <w:pPr>
        <w:spacing w:line="240" w:lineRule="auto"/>
        <w:rPr>
          <w:rFonts w:eastAsia="Times New Roman" w:cs="Arial"/>
          <w:b/>
          <w:bCs/>
          <w:i/>
          <w:iCs/>
          <w:color w:val="000000"/>
          <w:lang w:eastAsia="bg-BG"/>
        </w:rPr>
      </w:pPr>
    </w:p>
    <w:p w14:paraId="2C147823" w14:textId="2C6D99B9" w:rsidR="00235C11" w:rsidRPr="00235C11" w:rsidRDefault="00235C11" w:rsidP="00235C11">
      <w:pPr>
        <w:spacing w:line="240" w:lineRule="auto"/>
        <w:rPr>
          <w:rFonts w:eastAsia="Times New Roman" w:cs="Arial"/>
        </w:rPr>
      </w:pPr>
      <w:r w:rsidRPr="00235C11">
        <w:rPr>
          <w:rFonts w:eastAsia="Times New Roman" w:cs="Arial"/>
          <w:b/>
          <w:bCs/>
          <w:i/>
          <w:iCs/>
          <w:color w:val="000000"/>
          <w:lang w:eastAsia="bg-BG"/>
        </w:rPr>
        <w:t>Клинична безопасност</w:t>
      </w:r>
    </w:p>
    <w:p w14:paraId="635CDA59" w14:textId="77777777" w:rsidR="00235C11" w:rsidRPr="00235C11" w:rsidRDefault="00235C11" w:rsidP="00235C11">
      <w:pPr>
        <w:spacing w:line="240" w:lineRule="auto"/>
        <w:rPr>
          <w:rFonts w:eastAsia="Times New Roman" w:cs="Arial"/>
          <w:color w:val="000000"/>
          <w:lang w:eastAsia="bg-BG"/>
        </w:rPr>
      </w:pPr>
    </w:p>
    <w:p w14:paraId="2851B2CE" w14:textId="6F27C27B" w:rsidR="00235C11" w:rsidRPr="00235C11" w:rsidRDefault="00235C11" w:rsidP="00235C11">
      <w:pPr>
        <w:spacing w:line="240" w:lineRule="auto"/>
        <w:rPr>
          <w:rFonts w:eastAsia="Times New Roman" w:cs="Arial"/>
        </w:rPr>
      </w:pPr>
      <w:r w:rsidRPr="00235C11">
        <w:rPr>
          <w:rFonts w:eastAsia="Times New Roman" w:cs="Arial"/>
          <w:color w:val="000000"/>
          <w:lang w:eastAsia="bg-BG"/>
        </w:rPr>
        <w:t>В краткосрочни, плацебо-контролирани клинични проучвания при</w:t>
      </w:r>
      <w:r w:rsidRPr="00235C11">
        <w:rPr>
          <w:rFonts w:eastAsia="Times New Roman" w:cs="Arial"/>
          <w:color w:val="000000"/>
          <w:lang w:val="ru-RU"/>
        </w:rPr>
        <w:t xml:space="preserve"> </w:t>
      </w:r>
      <w:r w:rsidRPr="00235C11">
        <w:rPr>
          <w:rFonts w:eastAsia="Times New Roman" w:cs="Arial"/>
          <w:color w:val="000000"/>
          <w:lang w:eastAsia="bg-BG"/>
        </w:rPr>
        <w:t>шизофрения и</w:t>
      </w:r>
    </w:p>
    <w:p w14:paraId="39F8BB5A" w14:textId="77777777" w:rsidR="00235C11" w:rsidRPr="00235C11" w:rsidRDefault="00235C11" w:rsidP="00235C11">
      <w:pPr>
        <w:rPr>
          <w:rFonts w:eastAsia="Times New Roman" w:cs="Arial"/>
          <w:color w:val="000000"/>
          <w:lang w:eastAsia="bg-BG"/>
        </w:rPr>
      </w:pPr>
      <w:r w:rsidRPr="00235C11">
        <w:rPr>
          <w:rFonts w:eastAsia="Times New Roman" w:cs="Arial"/>
          <w:color w:val="000000"/>
          <w:lang w:eastAsia="bg-BG"/>
        </w:rPr>
        <w:t xml:space="preserve">биполярна мания, общата честота на екстрапирамидните симптоми е била сходна с тази при плацебо (шизофрения: 7,8% за кветиапин и 8,0% за плацебо; биполярна мания: 11,2% за кветиапин и 11,4% за плацебо ). По-високите нива на екстрапирамидни симптоми се наблюдават при лекуваните с кветиапин пациенти в сравнение с тези, лекувани с плацебо при краткосрочни, плацебо-контролирани клинични проучвания при ТДР и биполярна депресия. При краткосрочни, плацебо-контролирани проучвания за биполярна депресия, общата честота на екстрапирамидните симптоми е 8,9% за кветиапин в сравнение с 3,8% за плацебо. В краткосрочни, плацебо-контролирани клинични проучвания при монотерапия при тежко депресивно разстройство, общата честота на екстрапирамидните симптоми е 5,4% за кветиапин таблетки с удължено освобождаване и 3,2% за плацебо. В краткосрочно, плацебо-контролирано проучване на монотерапия при пациенти в старческа възраст с тежко депресивно разстройство, общата честота на екстрапирамидните симптоми е 9,0% за кветиапин таблетки с удължено освобождаване и 2,3% за плацебо. </w:t>
      </w:r>
    </w:p>
    <w:p w14:paraId="2F1011BC" w14:textId="169DEFAA" w:rsidR="00235C11" w:rsidRPr="00235C11" w:rsidRDefault="00235C11" w:rsidP="00235C11">
      <w:pPr>
        <w:rPr>
          <w:rFonts w:eastAsia="Times New Roman" w:cs="Arial"/>
        </w:rPr>
      </w:pPr>
      <w:r w:rsidRPr="00235C11">
        <w:rPr>
          <w:rFonts w:eastAsia="Times New Roman" w:cs="Arial"/>
          <w:color w:val="000000"/>
          <w:lang w:eastAsia="bg-BG"/>
        </w:rPr>
        <w:t>При биполярната депресия и при ТДР, честотата на отделните нежелани събития (напр. акатизия, екстрапирамидно нарушение, тремор, дискинезия, дистония, безпокойство, неволни мускулни контракции, психомоторна възбуда и мускулна ригидност) не надвишава 4% във всяка група на лечение.</w:t>
      </w:r>
    </w:p>
    <w:p w14:paraId="50D35B6C" w14:textId="77777777" w:rsidR="00235C11" w:rsidRPr="00235C11" w:rsidRDefault="00235C11" w:rsidP="00235C11">
      <w:pPr>
        <w:spacing w:line="240" w:lineRule="auto"/>
        <w:rPr>
          <w:rFonts w:eastAsia="Times New Roman" w:cs="Arial"/>
          <w:color w:val="000000"/>
          <w:lang w:eastAsia="bg-BG"/>
        </w:rPr>
      </w:pPr>
    </w:p>
    <w:p w14:paraId="16851D8F" w14:textId="44000BD9"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При краткосрочни, с фиксирана доза (50 </w:t>
      </w:r>
      <w:r w:rsidRPr="00235C11">
        <w:rPr>
          <w:rFonts w:eastAsia="Times New Roman" w:cs="Arial"/>
          <w:color w:val="000000"/>
          <w:lang w:val="en-US"/>
        </w:rPr>
        <w:t>mg</w:t>
      </w:r>
      <w:r w:rsidRPr="00235C11">
        <w:rPr>
          <w:rFonts w:eastAsia="Times New Roman" w:cs="Arial"/>
          <w:color w:val="000000"/>
          <w:lang w:eastAsia="bg-BG"/>
        </w:rPr>
        <w:t xml:space="preserve">/ден до 800 </w:t>
      </w:r>
      <w:r w:rsidRPr="00235C11">
        <w:rPr>
          <w:rFonts w:eastAsia="Times New Roman" w:cs="Arial"/>
          <w:color w:val="000000"/>
          <w:lang w:val="en-US"/>
        </w:rPr>
        <w:t>mg</w:t>
      </w:r>
      <w:r w:rsidRPr="00235C11">
        <w:rPr>
          <w:rFonts w:eastAsia="Times New Roman" w:cs="Arial"/>
          <w:color w:val="000000"/>
          <w:lang w:eastAsia="bg-BG"/>
        </w:rPr>
        <w:t xml:space="preserve">/ден) плацебо-контролирани проучвания (в диапазона от 3 до 8 седмици), средното наддаване на тегло на пациентите, лекувани с кветиапин, варира от 0,8 </w:t>
      </w:r>
      <w:r w:rsidRPr="00235C11">
        <w:rPr>
          <w:rFonts w:eastAsia="Times New Roman" w:cs="Arial"/>
          <w:color w:val="000000"/>
          <w:lang w:val="en-US"/>
        </w:rPr>
        <w:t>kg</w:t>
      </w:r>
      <w:r w:rsidRPr="00235C11">
        <w:rPr>
          <w:rFonts w:eastAsia="Times New Roman" w:cs="Arial"/>
          <w:color w:val="000000"/>
          <w:lang w:val="ru-RU"/>
        </w:rPr>
        <w:t xml:space="preserve"> </w:t>
      </w:r>
      <w:r w:rsidRPr="00235C11">
        <w:rPr>
          <w:rFonts w:eastAsia="Times New Roman" w:cs="Arial"/>
          <w:color w:val="000000"/>
          <w:lang w:eastAsia="bg-BG"/>
        </w:rPr>
        <w:t xml:space="preserve">за дневна доза от 50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до 1,4 </w:t>
      </w:r>
      <w:r w:rsidRPr="00235C11">
        <w:rPr>
          <w:rFonts w:eastAsia="Times New Roman" w:cs="Arial"/>
          <w:color w:val="000000"/>
          <w:lang w:val="en-US"/>
        </w:rPr>
        <w:t>kg</w:t>
      </w:r>
      <w:r w:rsidRPr="00235C11">
        <w:rPr>
          <w:rFonts w:eastAsia="Times New Roman" w:cs="Arial"/>
          <w:color w:val="000000"/>
          <w:lang w:val="ru-RU"/>
        </w:rPr>
        <w:t xml:space="preserve"> </w:t>
      </w:r>
      <w:r w:rsidRPr="00235C11">
        <w:rPr>
          <w:rFonts w:eastAsia="Times New Roman" w:cs="Arial"/>
          <w:color w:val="000000"/>
          <w:lang w:eastAsia="bg-BG"/>
        </w:rPr>
        <w:t xml:space="preserve">за дневна доза от 600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(с по-ниско наддаване за дневната доза от 800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в сравнение с 0,2 </w:t>
      </w:r>
      <w:r w:rsidRPr="00235C11">
        <w:rPr>
          <w:rFonts w:eastAsia="Times New Roman" w:cs="Arial"/>
          <w:color w:val="000000"/>
          <w:lang w:val="en-US"/>
        </w:rPr>
        <w:t>kg</w:t>
      </w:r>
      <w:r w:rsidRPr="00235C11">
        <w:rPr>
          <w:rFonts w:eastAsia="Times New Roman" w:cs="Arial"/>
          <w:color w:val="000000"/>
          <w:lang w:val="ru-RU"/>
        </w:rPr>
        <w:t xml:space="preserve"> </w:t>
      </w:r>
      <w:r w:rsidRPr="00235C11">
        <w:rPr>
          <w:rFonts w:eastAsia="Times New Roman" w:cs="Arial"/>
          <w:color w:val="000000"/>
          <w:lang w:eastAsia="bg-BG"/>
        </w:rPr>
        <w:t xml:space="preserve">за пациентите, лекувани с плацебо. Процентът на лекуваните с кветиапин пациенти, които наддават ≥ 7% от телесното тегло, варира от 5,3% за дневна доза от 50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до 15,5% за дневна доза от 400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 xml:space="preserve">дневно (с по-ниско наддаване за дневна доза от 600 и 800 </w:t>
      </w:r>
      <w:r w:rsidRPr="00235C11">
        <w:rPr>
          <w:rFonts w:eastAsia="Times New Roman" w:cs="Arial"/>
          <w:color w:val="000000"/>
          <w:lang w:val="en-US"/>
        </w:rPr>
        <w:t>mg</w:t>
      </w:r>
      <w:r w:rsidRPr="00235C11">
        <w:rPr>
          <w:rFonts w:eastAsia="Times New Roman" w:cs="Arial"/>
          <w:color w:val="000000"/>
          <w:lang w:val="ru-RU"/>
        </w:rPr>
        <w:t xml:space="preserve">), </w:t>
      </w:r>
      <w:r w:rsidRPr="00235C11">
        <w:rPr>
          <w:rFonts w:eastAsia="Times New Roman" w:cs="Arial"/>
          <w:color w:val="000000"/>
          <w:lang w:eastAsia="bg-BG"/>
        </w:rPr>
        <w:t>в сравнение с 3,7 % за пациентите, лекувани с плацебо.</w:t>
      </w:r>
    </w:p>
    <w:p w14:paraId="2B04AC34" w14:textId="77777777" w:rsidR="00235C11" w:rsidRPr="00235C11" w:rsidRDefault="00235C11" w:rsidP="00235C11">
      <w:pPr>
        <w:spacing w:line="240" w:lineRule="auto"/>
        <w:rPr>
          <w:rFonts w:eastAsia="Times New Roman" w:cs="Arial"/>
          <w:color w:val="000000"/>
          <w:lang w:eastAsia="bg-BG"/>
        </w:rPr>
      </w:pPr>
    </w:p>
    <w:p w14:paraId="0BCBBCA3" w14:textId="57672509"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Шест седмично, рандомизирано изпитване на литий и кветиапин таблетки в сравнение с плацебо и кветиапин таблетки при възрастни пациенти с остра мания е показало, че комбинацията на кветиапин таблетки с литий води до повече нежелани реакции (63% спрямо 48% при кветиапин таблетки в комбинация с плацебо). Резултатите от безопасността показват по-висока честота на екстрапирамидните симптоми, съобщавани </w:t>
      </w:r>
      <w:r w:rsidRPr="00235C11">
        <w:rPr>
          <w:rFonts w:eastAsia="Times New Roman" w:cs="Arial"/>
          <w:color w:val="000000"/>
          <w:lang w:eastAsia="bg-BG"/>
        </w:rPr>
        <w:lastRenderedPageBreak/>
        <w:t>при 16,8% от пациентите в групата с добавен литий и 6,6% в групата с добавено плацебо, повечето от които се изразяват в тремор, съобщен при 15,6 % от пациентите в група с добавен литий и 4,9 % в групата с добавено плацебо. Честотата на сомнолентност е по-висока в групата с кветиапин таблетки с добавен литий (12,7%) в сравнение с групата с кветиапин и добавено плацебо (5,5%). В допълнение, при по- висок процент от пациентите, лекувани в групата с добавен литий (8,0%) е наблюдавано повишаване на теглото (≥7%) в края на лечението, в сравнение с пациентите от групата с добавено плацебо (4,7%).</w:t>
      </w:r>
    </w:p>
    <w:p w14:paraId="0C3ABF0E" w14:textId="77777777" w:rsidR="00235C11" w:rsidRPr="00235C11" w:rsidRDefault="00235C11" w:rsidP="00235C11">
      <w:pPr>
        <w:spacing w:line="240" w:lineRule="auto"/>
        <w:rPr>
          <w:rFonts w:eastAsia="Times New Roman" w:cs="Arial"/>
          <w:color w:val="000000"/>
          <w:lang w:eastAsia="bg-BG"/>
        </w:rPr>
      </w:pPr>
    </w:p>
    <w:p w14:paraId="221069D8" w14:textId="6D4F09E0"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Дългосрочните проучвания за предотвратяване на рецидиви имат отворен период (от 4 до 36 седмици), по време на който пациентите са лекувани с кветиапин, последван от период на рандомизирано оттегляне, през който пациентите са рандомизирани на кветиапин или плацебо. При пациенти, рандомизирани на кветиапин, средната стойност на наддаване на тегло по време на открития период е била 2,56 </w:t>
      </w:r>
      <w:r w:rsidRPr="00235C11">
        <w:rPr>
          <w:rFonts w:eastAsia="Times New Roman" w:cs="Arial"/>
          <w:color w:val="000000"/>
          <w:lang w:val="en-US"/>
        </w:rPr>
        <w:t>kg</w:t>
      </w:r>
      <w:r w:rsidRPr="00235C11">
        <w:rPr>
          <w:rFonts w:eastAsia="Times New Roman" w:cs="Arial"/>
          <w:color w:val="000000"/>
          <w:lang w:val="ru-RU"/>
        </w:rPr>
        <w:t xml:space="preserve">, </w:t>
      </w:r>
      <w:r w:rsidRPr="00235C11">
        <w:rPr>
          <w:rFonts w:eastAsia="Times New Roman" w:cs="Arial"/>
          <w:color w:val="000000"/>
          <w:lang w:eastAsia="bg-BG"/>
        </w:rPr>
        <w:t xml:space="preserve">а до 48-та седмица от периода на рандомизиране, средната стойност на наддаване на тегло е била 3,22 </w:t>
      </w:r>
      <w:r w:rsidRPr="00235C11">
        <w:rPr>
          <w:rFonts w:eastAsia="Times New Roman" w:cs="Arial"/>
          <w:color w:val="000000"/>
          <w:lang w:val="en-US"/>
        </w:rPr>
        <w:t>kg</w:t>
      </w:r>
      <w:r w:rsidRPr="00235C11">
        <w:rPr>
          <w:rFonts w:eastAsia="Times New Roman" w:cs="Arial"/>
          <w:color w:val="000000"/>
          <w:lang w:val="ru-RU"/>
        </w:rPr>
        <w:t xml:space="preserve">, </w:t>
      </w:r>
      <w:r w:rsidRPr="00235C11">
        <w:rPr>
          <w:rFonts w:eastAsia="Times New Roman" w:cs="Arial"/>
          <w:color w:val="000000"/>
          <w:lang w:eastAsia="bg-BG"/>
        </w:rPr>
        <w:t xml:space="preserve">в сравнение с отвореното изходно ниво. При пациенти, рандомизирани на плацебо, средната стойност на наддаване на тегло по време на открития период е била 2,39 </w:t>
      </w:r>
      <w:r w:rsidRPr="00235C11">
        <w:rPr>
          <w:rFonts w:eastAsia="Times New Roman" w:cs="Arial"/>
          <w:color w:val="000000"/>
          <w:lang w:val="en-US"/>
        </w:rPr>
        <w:t>kg</w:t>
      </w:r>
      <w:r w:rsidRPr="00235C11">
        <w:rPr>
          <w:rFonts w:eastAsia="Times New Roman" w:cs="Arial"/>
          <w:color w:val="000000"/>
          <w:lang w:val="ru-RU"/>
        </w:rPr>
        <w:t xml:space="preserve">, </w:t>
      </w:r>
      <w:r w:rsidRPr="00235C11">
        <w:rPr>
          <w:rFonts w:eastAsia="Times New Roman" w:cs="Arial"/>
          <w:color w:val="000000"/>
          <w:lang w:eastAsia="bg-BG"/>
        </w:rPr>
        <w:t xml:space="preserve">а до 48-та седмица от периода на рандомизиране, средната стойност на наддаване на тегло е била 0,89 </w:t>
      </w:r>
      <w:r w:rsidRPr="00235C11">
        <w:rPr>
          <w:rFonts w:eastAsia="Times New Roman" w:cs="Arial"/>
          <w:color w:val="000000"/>
          <w:lang w:val="en-US"/>
        </w:rPr>
        <w:t>kg</w:t>
      </w:r>
      <w:r w:rsidRPr="00235C11">
        <w:rPr>
          <w:rFonts w:eastAsia="Times New Roman" w:cs="Arial"/>
          <w:color w:val="000000"/>
          <w:lang w:val="ru-RU"/>
        </w:rPr>
        <w:t xml:space="preserve">, </w:t>
      </w:r>
      <w:r w:rsidRPr="00235C11">
        <w:rPr>
          <w:rFonts w:eastAsia="Times New Roman" w:cs="Arial"/>
          <w:color w:val="000000"/>
          <w:lang w:eastAsia="bg-BG"/>
        </w:rPr>
        <w:t>в сравнение с отвореното изходно ниво.</w:t>
      </w:r>
    </w:p>
    <w:p w14:paraId="1A834948" w14:textId="77777777" w:rsidR="00235C11" w:rsidRPr="00235C11" w:rsidRDefault="00235C11" w:rsidP="00235C11">
      <w:pPr>
        <w:spacing w:line="240" w:lineRule="auto"/>
        <w:rPr>
          <w:rFonts w:eastAsia="Times New Roman" w:cs="Arial"/>
          <w:color w:val="000000"/>
          <w:lang w:eastAsia="bg-BG"/>
        </w:rPr>
      </w:pPr>
    </w:p>
    <w:p w14:paraId="61454560" w14:textId="44C0261F" w:rsidR="00235C11" w:rsidRPr="00235C11" w:rsidRDefault="00235C11" w:rsidP="00235C11">
      <w:pPr>
        <w:spacing w:line="240" w:lineRule="auto"/>
        <w:rPr>
          <w:rFonts w:eastAsia="Times New Roman" w:cs="Arial"/>
        </w:rPr>
      </w:pPr>
      <w:r w:rsidRPr="00235C11">
        <w:rPr>
          <w:rFonts w:eastAsia="Times New Roman" w:cs="Arial"/>
          <w:color w:val="000000"/>
          <w:lang w:eastAsia="bg-BG"/>
        </w:rPr>
        <w:t>В плацебо-контролирани проучвания при пациенти в старческа възраст, страдащи от свързана с деменция психоза, честотата на цереброваскуларните нежелани събития на 100 пациенти за година не е била по-висока при лекуваните с кветиапин пациенти, отколкото при пациентите на плацебо.</w:t>
      </w:r>
    </w:p>
    <w:p w14:paraId="21197614" w14:textId="399F16B7" w:rsidR="00235C11" w:rsidRPr="00235C11" w:rsidRDefault="00235C11" w:rsidP="00235C11">
      <w:pPr>
        <w:spacing w:line="240" w:lineRule="auto"/>
        <w:rPr>
          <w:rFonts w:eastAsia="Times New Roman" w:cs="Arial"/>
        </w:rPr>
      </w:pPr>
    </w:p>
    <w:p w14:paraId="1325F2EF"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Във всички краткосрочни плацебо-контролирани изпитвания на монотерапия при пациенти с изходен неутрофилен брой ≥1,5 X 10</w:t>
      </w:r>
      <w:r w:rsidRPr="00235C11">
        <w:rPr>
          <w:rFonts w:eastAsia="Times New Roman" w:cs="Arial"/>
          <w:color w:val="000000"/>
          <w:vertAlign w:val="superscript"/>
          <w:lang w:eastAsia="bg-BG"/>
        </w:rPr>
        <w:t>9</w:t>
      </w:r>
      <w:r w:rsidRPr="00235C11">
        <w:rPr>
          <w:rFonts w:eastAsia="Times New Roman" w:cs="Arial"/>
          <w:color w:val="000000"/>
          <w:lang w:eastAsia="bg-BG"/>
        </w:rPr>
        <w:t>/1, честотата на поне едно установяване на неутрофилен брой &lt;1,5 X 10</w:t>
      </w:r>
      <w:r w:rsidRPr="00235C11">
        <w:rPr>
          <w:rFonts w:eastAsia="Times New Roman" w:cs="Arial"/>
          <w:color w:val="000000"/>
          <w:vertAlign w:val="superscript"/>
          <w:lang w:eastAsia="bg-BG"/>
        </w:rPr>
        <w:t>9</w:t>
      </w:r>
      <w:r w:rsidRPr="00235C11">
        <w:rPr>
          <w:rFonts w:eastAsia="Times New Roman" w:cs="Arial"/>
          <w:color w:val="000000"/>
          <w:lang w:eastAsia="bg-BG"/>
        </w:rPr>
        <w:t>/1 е била 1,9% при лекуваните с кветиапин пациенти и 1,5% при получавалите плацебо пациенти. Във всички клинични проучвания (плацебо-контролирани, открити, активно-контролирани), при пациенти с изходен неутрофилен брой ≥1,5 X 10</w:t>
      </w:r>
      <w:r w:rsidRPr="00235C11">
        <w:rPr>
          <w:rFonts w:eastAsia="Times New Roman" w:cs="Arial"/>
          <w:color w:val="000000"/>
          <w:vertAlign w:val="superscript"/>
          <w:lang w:eastAsia="bg-BG"/>
        </w:rPr>
        <w:t>9</w:t>
      </w:r>
      <w:r w:rsidRPr="00235C11">
        <w:rPr>
          <w:rFonts w:eastAsia="Times New Roman" w:cs="Arial"/>
          <w:color w:val="000000"/>
          <w:lang w:eastAsia="bg-BG"/>
        </w:rPr>
        <w:t>/1, честотата на поне едно установяване на неутрофилен брой &lt;1,5 X 10</w:t>
      </w:r>
      <w:r w:rsidRPr="00235C11">
        <w:rPr>
          <w:rFonts w:eastAsia="Times New Roman" w:cs="Arial"/>
          <w:color w:val="000000"/>
          <w:vertAlign w:val="superscript"/>
          <w:lang w:eastAsia="bg-BG"/>
        </w:rPr>
        <w:t>9</w:t>
      </w:r>
      <w:r w:rsidRPr="00235C11">
        <w:rPr>
          <w:rFonts w:eastAsia="Times New Roman" w:cs="Arial"/>
          <w:color w:val="000000"/>
          <w:lang w:eastAsia="bg-BG"/>
        </w:rPr>
        <w:t>/1 е била 2.9% при лекуваните с кветиапин пациенти и 0% в получавалите плацебо пациенти, а честотата &lt;0,5 X 10</w:t>
      </w:r>
      <w:r w:rsidRPr="00235C11">
        <w:rPr>
          <w:rFonts w:eastAsia="Times New Roman" w:cs="Arial"/>
          <w:color w:val="000000"/>
          <w:vertAlign w:val="superscript"/>
          <w:lang w:eastAsia="bg-BG"/>
        </w:rPr>
        <w:t>9</w:t>
      </w:r>
      <w:r w:rsidRPr="00235C11">
        <w:rPr>
          <w:rFonts w:eastAsia="Times New Roman" w:cs="Arial"/>
          <w:color w:val="000000"/>
          <w:lang w:eastAsia="bg-BG"/>
        </w:rPr>
        <w:t>/1 е била 0,21% при лекуваните с кветиапин пациенти.</w:t>
      </w:r>
    </w:p>
    <w:p w14:paraId="287A25A1" w14:textId="77777777" w:rsidR="00235C11" w:rsidRPr="00235C11" w:rsidRDefault="00235C11" w:rsidP="00235C11">
      <w:pPr>
        <w:spacing w:line="240" w:lineRule="auto"/>
        <w:rPr>
          <w:rFonts w:eastAsia="Times New Roman" w:cs="Arial"/>
          <w:color w:val="000000"/>
          <w:lang w:eastAsia="bg-BG"/>
        </w:rPr>
      </w:pPr>
    </w:p>
    <w:p w14:paraId="31E57B44" w14:textId="78C7EA73"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Лечението с кветиапин се свързва с додозависими понижения на нивата на тироидните хормони. Честотата на промените при </w:t>
      </w:r>
      <w:r w:rsidRPr="00235C11">
        <w:rPr>
          <w:rFonts w:eastAsia="Times New Roman" w:cs="Arial"/>
          <w:color w:val="000000"/>
          <w:lang w:val="en-US"/>
        </w:rPr>
        <w:t>TSH</w:t>
      </w:r>
      <w:r w:rsidRPr="00235C11">
        <w:rPr>
          <w:rFonts w:eastAsia="Times New Roman" w:cs="Arial"/>
          <w:color w:val="000000"/>
          <w:lang w:val="ru-RU"/>
        </w:rPr>
        <w:t xml:space="preserve"> </w:t>
      </w:r>
      <w:r w:rsidRPr="00235C11">
        <w:rPr>
          <w:rFonts w:eastAsia="Times New Roman" w:cs="Arial"/>
          <w:color w:val="000000"/>
          <w:lang w:eastAsia="bg-BG"/>
        </w:rPr>
        <w:t>е 3,2% за кветиапин в сравнение с 2,7% за плацебо. Честотите на реципрочните, потенциално клинично значими промени в Т</w:t>
      </w:r>
      <w:r w:rsidRPr="00235C11">
        <w:rPr>
          <w:rFonts w:eastAsia="Times New Roman" w:cs="Arial"/>
          <w:color w:val="000000"/>
          <w:vertAlign w:val="subscript"/>
          <w:lang w:eastAsia="bg-BG"/>
        </w:rPr>
        <w:t>3</w:t>
      </w:r>
      <w:r w:rsidRPr="00235C11">
        <w:rPr>
          <w:rFonts w:eastAsia="Times New Roman" w:cs="Arial"/>
          <w:color w:val="000000"/>
          <w:lang w:eastAsia="bg-BG"/>
        </w:rPr>
        <w:t>, Т</w:t>
      </w:r>
      <w:r w:rsidRPr="00235C11">
        <w:rPr>
          <w:rFonts w:eastAsia="Times New Roman" w:cs="Arial"/>
          <w:color w:val="000000"/>
          <w:vertAlign w:val="subscript"/>
          <w:lang w:eastAsia="bg-BG"/>
        </w:rPr>
        <w:t xml:space="preserve">4 </w:t>
      </w:r>
      <w:r w:rsidRPr="00235C11">
        <w:rPr>
          <w:rFonts w:eastAsia="Times New Roman" w:cs="Arial"/>
          <w:color w:val="000000"/>
          <w:lang w:eastAsia="bg-BG"/>
        </w:rPr>
        <w:t xml:space="preserve">и </w:t>
      </w:r>
      <w:r w:rsidRPr="00235C11">
        <w:rPr>
          <w:rFonts w:eastAsia="Times New Roman" w:cs="Arial"/>
          <w:color w:val="000000"/>
          <w:lang w:val="en-US"/>
        </w:rPr>
        <w:t>TSH</w:t>
      </w:r>
      <w:r w:rsidRPr="00235C11">
        <w:rPr>
          <w:rFonts w:eastAsia="Times New Roman" w:cs="Arial"/>
          <w:color w:val="000000"/>
          <w:lang w:val="ru-RU"/>
        </w:rPr>
        <w:t xml:space="preserve"> </w:t>
      </w:r>
      <w:r w:rsidRPr="00235C11">
        <w:rPr>
          <w:rFonts w:eastAsia="Times New Roman" w:cs="Arial"/>
          <w:color w:val="000000"/>
          <w:lang w:eastAsia="bg-BG"/>
        </w:rPr>
        <w:t>в тези изпитвания са определени като редки и наблюдаваните промени в нивата на тироидните хормони не са били свързани с клинично симптоматичен хипотиреоидизъм,</w:t>
      </w:r>
    </w:p>
    <w:p w14:paraId="0377D73A" w14:textId="77777777" w:rsidR="00235C11" w:rsidRPr="00235C11" w:rsidRDefault="00235C11" w:rsidP="00235C11">
      <w:pPr>
        <w:spacing w:line="240" w:lineRule="auto"/>
        <w:rPr>
          <w:rFonts w:eastAsia="Times New Roman" w:cs="Arial"/>
          <w:color w:val="000000"/>
          <w:lang w:eastAsia="bg-BG"/>
        </w:rPr>
      </w:pPr>
    </w:p>
    <w:p w14:paraId="4BB69B45" w14:textId="71026209" w:rsidR="00235C11" w:rsidRPr="00235C11" w:rsidRDefault="00235C11" w:rsidP="00235C11">
      <w:pPr>
        <w:spacing w:line="240" w:lineRule="auto"/>
        <w:rPr>
          <w:rFonts w:eastAsia="Times New Roman" w:cs="Arial"/>
        </w:rPr>
      </w:pPr>
      <w:r w:rsidRPr="00235C11">
        <w:rPr>
          <w:rFonts w:eastAsia="Times New Roman" w:cs="Arial"/>
          <w:color w:val="000000"/>
          <w:lang w:eastAsia="bg-BG"/>
        </w:rPr>
        <w:t>Намаляването на общия и свободния Т</w:t>
      </w:r>
      <w:r w:rsidRPr="00235C11">
        <w:rPr>
          <w:rFonts w:eastAsia="Times New Roman" w:cs="Arial"/>
          <w:color w:val="000000"/>
          <w:vertAlign w:val="subscript"/>
          <w:lang w:eastAsia="bg-BG"/>
        </w:rPr>
        <w:t>4</w:t>
      </w:r>
      <w:r w:rsidRPr="00235C11">
        <w:rPr>
          <w:rFonts w:eastAsia="Times New Roman" w:cs="Arial"/>
          <w:color w:val="000000"/>
          <w:lang w:eastAsia="bg-BG"/>
        </w:rPr>
        <w:t xml:space="preserve"> е било максимално в рамките на първите шест седмици от лечението с кветиапин, без по-нататъшно намаляване по време на продължително лечение. В около 2/3 от случаите, прекратяването на лечението с кветиапин е свързано с обратно развитие на ефектите върху общия и свободен Т</w:t>
      </w:r>
      <w:r w:rsidRPr="00235C11">
        <w:rPr>
          <w:rFonts w:eastAsia="Times New Roman" w:cs="Arial"/>
          <w:color w:val="000000"/>
          <w:vertAlign w:val="subscript"/>
          <w:lang w:eastAsia="bg-BG"/>
        </w:rPr>
        <w:t>4</w:t>
      </w:r>
      <w:r w:rsidRPr="00235C11">
        <w:rPr>
          <w:rFonts w:eastAsia="Times New Roman" w:cs="Arial"/>
          <w:color w:val="000000"/>
          <w:lang w:eastAsia="bg-BG"/>
        </w:rPr>
        <w:t>, независимо от продължителността на лечението.</w:t>
      </w:r>
    </w:p>
    <w:p w14:paraId="3C5DDAD7" w14:textId="77777777" w:rsidR="00235C11" w:rsidRPr="00235C11" w:rsidRDefault="00235C11" w:rsidP="00235C11">
      <w:pPr>
        <w:spacing w:line="240" w:lineRule="auto"/>
        <w:rPr>
          <w:rFonts w:eastAsia="Times New Roman" w:cs="Arial"/>
          <w:color w:val="000000"/>
          <w:u w:val="single"/>
          <w:lang w:eastAsia="bg-BG"/>
        </w:rPr>
      </w:pPr>
    </w:p>
    <w:p w14:paraId="376F8F6B" w14:textId="27888B89"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Катаракта/потъмняване на лещата</w:t>
      </w:r>
    </w:p>
    <w:p w14:paraId="4DDDBE2F"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клинично проучване за оценка на катарактогенния потенциал на кветиапин (200- 800 </w:t>
      </w:r>
      <w:r w:rsidRPr="00235C11">
        <w:rPr>
          <w:rFonts w:eastAsia="Times New Roman" w:cs="Arial"/>
          <w:color w:val="000000"/>
          <w:lang w:val="en-US"/>
        </w:rPr>
        <w:t>mg</w:t>
      </w:r>
      <w:r w:rsidRPr="00235C11">
        <w:rPr>
          <w:rFonts w:eastAsia="Times New Roman" w:cs="Arial"/>
          <w:color w:val="000000"/>
          <w:lang w:eastAsia="bg-BG"/>
        </w:rPr>
        <w:t xml:space="preserve">/дневно) в сравнение с рисперидон (2-8 </w:t>
      </w:r>
      <w:r w:rsidRPr="00235C11">
        <w:rPr>
          <w:rFonts w:eastAsia="Times New Roman" w:cs="Arial"/>
          <w:color w:val="000000"/>
          <w:lang w:val="en-US"/>
        </w:rPr>
        <w:t>mg</w:t>
      </w:r>
      <w:r w:rsidRPr="00235C11">
        <w:rPr>
          <w:rFonts w:eastAsia="Times New Roman" w:cs="Arial"/>
          <w:color w:val="000000"/>
          <w:lang w:val="ru-RU"/>
        </w:rPr>
        <w:t>/</w:t>
      </w:r>
      <w:r w:rsidRPr="00235C11">
        <w:rPr>
          <w:rFonts w:eastAsia="Times New Roman" w:cs="Arial"/>
          <w:color w:val="000000"/>
          <w:lang w:eastAsia="bg-BG"/>
        </w:rPr>
        <w:t xml:space="preserve">дневно) при пациенти с шизофрения или шизоафективно разстройство, процентът на пациентите с повишено ниво на потъмняване </w:t>
      </w:r>
      <w:r w:rsidRPr="00235C11">
        <w:rPr>
          <w:rFonts w:eastAsia="Times New Roman" w:cs="Arial"/>
          <w:color w:val="000000"/>
          <w:lang w:eastAsia="bg-BG"/>
        </w:rPr>
        <w:lastRenderedPageBreak/>
        <w:t>на лещите не е бил по-висок при кветиапин (4%), в сравнение с рисперидон (10%) при пациенти с експозиция от поне 21 месеца.</w:t>
      </w:r>
    </w:p>
    <w:p w14:paraId="7F9339C6" w14:textId="77777777" w:rsidR="00235C11" w:rsidRPr="00235C11" w:rsidRDefault="00235C11" w:rsidP="00235C11">
      <w:pPr>
        <w:spacing w:line="240" w:lineRule="auto"/>
        <w:rPr>
          <w:rFonts w:eastAsia="Times New Roman" w:cs="Arial"/>
          <w:b/>
          <w:bCs/>
          <w:color w:val="000000"/>
          <w:lang w:eastAsia="bg-BG"/>
        </w:rPr>
      </w:pPr>
    </w:p>
    <w:p w14:paraId="4ED5E166" w14:textId="77A13C4C" w:rsidR="00235C11" w:rsidRPr="00235C11" w:rsidRDefault="00235C11" w:rsidP="00235C11">
      <w:pPr>
        <w:spacing w:line="240" w:lineRule="auto"/>
        <w:rPr>
          <w:rFonts w:eastAsia="Times New Roman" w:cs="Arial"/>
        </w:rPr>
      </w:pPr>
      <w:r w:rsidRPr="00235C11">
        <w:rPr>
          <w:rFonts w:eastAsia="Times New Roman" w:cs="Arial"/>
          <w:b/>
          <w:bCs/>
          <w:color w:val="000000"/>
          <w:lang w:eastAsia="bg-BG"/>
        </w:rPr>
        <w:t>Педиатрична популация</w:t>
      </w:r>
    </w:p>
    <w:p w14:paraId="7E34D51A" w14:textId="77777777"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Клинична ефикасност</w:t>
      </w:r>
    </w:p>
    <w:p w14:paraId="4BE0387C"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Ефикасността и безопасността на кветиапин са проучени в 3-седмично плацебо- контролирано изпитване за лечението на мания (</w:t>
      </w:r>
      <w:r w:rsidRPr="00235C11">
        <w:rPr>
          <w:rFonts w:eastAsia="Times New Roman" w:cs="Arial"/>
          <w:color w:val="000000"/>
          <w:lang w:val="en-US"/>
        </w:rPr>
        <w:t>n</w:t>
      </w:r>
      <w:r w:rsidRPr="00235C11">
        <w:rPr>
          <w:rFonts w:eastAsia="Times New Roman" w:cs="Arial"/>
          <w:color w:val="000000"/>
          <w:lang w:eastAsia="bg-BG"/>
        </w:rPr>
        <w:t xml:space="preserve">= 284 пациенти от САЩ, на възраст 10-17 години). Около 45% от пациентите са имали допълнителна диагноза на Синдром на дефицит на вниманието и хиперактивност </w:t>
      </w:r>
      <w:r w:rsidRPr="00235C11">
        <w:rPr>
          <w:rFonts w:eastAsia="Times New Roman" w:cs="Arial"/>
          <w:color w:val="000000"/>
          <w:lang w:val="ru-RU"/>
        </w:rPr>
        <w:t>(</w:t>
      </w:r>
      <w:r w:rsidRPr="00235C11">
        <w:rPr>
          <w:rFonts w:eastAsia="Times New Roman" w:cs="Arial"/>
          <w:color w:val="000000"/>
          <w:lang w:val="en-US"/>
        </w:rPr>
        <w:t>ADHD</w:t>
      </w:r>
      <w:r w:rsidRPr="00235C11">
        <w:rPr>
          <w:rFonts w:eastAsia="Times New Roman" w:cs="Arial"/>
          <w:color w:val="000000"/>
          <w:lang w:val="ru-RU"/>
        </w:rPr>
        <w:t xml:space="preserve">). </w:t>
      </w:r>
      <w:r w:rsidRPr="00235C11">
        <w:rPr>
          <w:rFonts w:eastAsia="Times New Roman" w:cs="Arial"/>
          <w:color w:val="000000"/>
          <w:lang w:eastAsia="bg-BG"/>
        </w:rPr>
        <w:t>В допълнение е проведено 6- седмично плацебо-контролирано изпитване за лечението на шизофрения (</w:t>
      </w:r>
      <w:r w:rsidRPr="00235C11">
        <w:rPr>
          <w:rFonts w:eastAsia="Times New Roman" w:cs="Arial"/>
          <w:color w:val="000000"/>
          <w:lang w:val="en-US"/>
        </w:rPr>
        <w:t>n</w:t>
      </w:r>
      <w:r w:rsidRPr="00235C11">
        <w:rPr>
          <w:rFonts w:eastAsia="Times New Roman" w:cs="Arial"/>
          <w:color w:val="000000"/>
          <w:lang w:eastAsia="bg-BG"/>
        </w:rPr>
        <w:t xml:space="preserve">= 222 пациенти, на възраст 13-17 години). И при двете изпитвания пациентите с известна липса на отговор към кветиапин са били изключени. Лечението с кветиапин таблетки е започнало с 50 </w:t>
      </w:r>
      <w:r w:rsidRPr="00235C11">
        <w:rPr>
          <w:rFonts w:eastAsia="Times New Roman" w:cs="Arial"/>
          <w:color w:val="000000"/>
          <w:lang w:val="en-US"/>
        </w:rPr>
        <w:t>mg</w:t>
      </w:r>
      <w:r w:rsidRPr="00235C11">
        <w:rPr>
          <w:rFonts w:eastAsia="Times New Roman" w:cs="Arial"/>
          <w:color w:val="000000"/>
          <w:lang w:eastAsia="bg-BG"/>
        </w:rPr>
        <w:t xml:space="preserve">/ден и на втория ден е повишено на 100 </w:t>
      </w:r>
      <w:r w:rsidRPr="00235C11">
        <w:rPr>
          <w:rFonts w:eastAsia="Times New Roman" w:cs="Arial"/>
          <w:color w:val="000000"/>
          <w:lang w:val="en-US"/>
        </w:rPr>
        <w:t>mg</w:t>
      </w:r>
      <w:r w:rsidRPr="00235C11">
        <w:rPr>
          <w:rFonts w:eastAsia="Times New Roman" w:cs="Arial"/>
          <w:color w:val="000000"/>
          <w:lang w:eastAsia="bg-BG"/>
        </w:rPr>
        <w:t xml:space="preserve">/ден; в последствие дозата е била титрирана до целева доза (мания 400-600 </w:t>
      </w:r>
      <w:r w:rsidRPr="00235C11">
        <w:rPr>
          <w:rFonts w:eastAsia="Times New Roman" w:cs="Arial"/>
          <w:color w:val="000000"/>
          <w:lang w:val="en-US"/>
        </w:rPr>
        <w:t>mg</w:t>
      </w:r>
      <w:r w:rsidRPr="00235C11">
        <w:rPr>
          <w:rFonts w:eastAsia="Times New Roman" w:cs="Arial"/>
          <w:color w:val="000000"/>
          <w:lang w:eastAsia="bg-BG"/>
        </w:rPr>
        <w:t xml:space="preserve">/ден; шизофрения 400-800 </w:t>
      </w:r>
      <w:r w:rsidRPr="00235C11">
        <w:rPr>
          <w:rFonts w:eastAsia="Times New Roman" w:cs="Arial"/>
          <w:color w:val="000000"/>
          <w:lang w:val="en-US"/>
        </w:rPr>
        <w:t>mg</w:t>
      </w:r>
      <w:r w:rsidRPr="00235C11">
        <w:rPr>
          <w:rFonts w:eastAsia="Times New Roman" w:cs="Arial"/>
          <w:color w:val="000000"/>
          <w:lang w:eastAsia="bg-BG"/>
        </w:rPr>
        <w:t xml:space="preserve">/ден), като се използва увеличение от 100 </w:t>
      </w:r>
      <w:r w:rsidRPr="00235C11">
        <w:rPr>
          <w:rFonts w:eastAsia="Times New Roman" w:cs="Arial"/>
          <w:color w:val="000000"/>
          <w:lang w:val="en-US"/>
        </w:rPr>
        <w:t>mg</w:t>
      </w:r>
      <w:r w:rsidRPr="00235C11">
        <w:rPr>
          <w:rFonts w:eastAsia="Times New Roman" w:cs="Arial"/>
          <w:color w:val="000000"/>
          <w:lang w:eastAsia="bg-BG"/>
        </w:rPr>
        <w:t>/ден, което се приема два или три пъти дневно.</w:t>
      </w:r>
    </w:p>
    <w:p w14:paraId="3176AAB8" w14:textId="77777777" w:rsidR="00235C11" w:rsidRPr="00235C11" w:rsidRDefault="00235C11" w:rsidP="00235C11">
      <w:pPr>
        <w:spacing w:line="240" w:lineRule="auto"/>
        <w:rPr>
          <w:rFonts w:eastAsia="Times New Roman" w:cs="Arial"/>
          <w:color w:val="000000"/>
          <w:lang w:eastAsia="bg-BG"/>
        </w:rPr>
      </w:pPr>
    </w:p>
    <w:p w14:paraId="73E3D891" w14:textId="4E1C5F09"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При изпитване за мания, разликата в средната </w:t>
      </w:r>
      <w:r w:rsidRPr="00235C11">
        <w:rPr>
          <w:rFonts w:eastAsia="Times New Roman" w:cs="Arial"/>
          <w:color w:val="000000"/>
          <w:lang w:val="en-US"/>
        </w:rPr>
        <w:t>LS</w:t>
      </w:r>
      <w:r w:rsidRPr="00235C11">
        <w:rPr>
          <w:rFonts w:eastAsia="Times New Roman" w:cs="Arial"/>
          <w:color w:val="000000"/>
          <w:lang w:val="ru-RU"/>
        </w:rPr>
        <w:t xml:space="preserve"> </w:t>
      </w:r>
      <w:r w:rsidRPr="00235C11">
        <w:rPr>
          <w:rFonts w:eastAsia="Times New Roman" w:cs="Arial"/>
          <w:color w:val="000000"/>
          <w:lang w:eastAsia="bg-BG"/>
        </w:rPr>
        <w:t xml:space="preserve">промяна от изходното ниво на общия резултат по </w:t>
      </w:r>
      <w:r w:rsidRPr="00235C11">
        <w:rPr>
          <w:rFonts w:eastAsia="Times New Roman" w:cs="Arial"/>
          <w:color w:val="000000"/>
          <w:lang w:val="en-US"/>
        </w:rPr>
        <w:t>YMRS</w:t>
      </w:r>
      <w:r w:rsidRPr="00235C11">
        <w:rPr>
          <w:rFonts w:eastAsia="Times New Roman" w:cs="Arial"/>
          <w:color w:val="000000"/>
          <w:lang w:val="ru-RU"/>
        </w:rPr>
        <w:t xml:space="preserve"> </w:t>
      </w:r>
      <w:r w:rsidRPr="00235C11">
        <w:rPr>
          <w:rFonts w:eastAsia="Times New Roman" w:cs="Arial"/>
          <w:color w:val="000000"/>
          <w:lang w:eastAsia="bg-BG"/>
        </w:rPr>
        <w:t xml:space="preserve">(активно вещество минус плацебо) е 5,21 за кветиапин таблетки 400 </w:t>
      </w:r>
      <w:r w:rsidRPr="00235C11">
        <w:rPr>
          <w:rFonts w:eastAsia="Times New Roman" w:cs="Arial"/>
          <w:color w:val="000000"/>
          <w:lang w:val="en-US"/>
        </w:rPr>
        <w:t>mg</w:t>
      </w:r>
      <w:r w:rsidRPr="00235C11">
        <w:rPr>
          <w:rFonts w:eastAsia="Times New Roman" w:cs="Arial"/>
          <w:color w:val="000000"/>
          <w:lang w:eastAsia="bg-BG"/>
        </w:rPr>
        <w:t xml:space="preserve">/ден и 6,56 за кветиапин таблетки 600 </w:t>
      </w:r>
      <w:r w:rsidRPr="00235C11">
        <w:rPr>
          <w:rFonts w:eastAsia="Times New Roman" w:cs="Arial"/>
          <w:color w:val="000000"/>
          <w:lang w:val="en-US"/>
        </w:rPr>
        <w:t>mg</w:t>
      </w:r>
      <w:r w:rsidRPr="00235C11">
        <w:rPr>
          <w:rFonts w:eastAsia="Times New Roman" w:cs="Arial"/>
          <w:color w:val="000000"/>
          <w:lang w:eastAsia="bg-BG"/>
        </w:rPr>
        <w:t xml:space="preserve">/ден. Стойностите на отговорилите </w:t>
      </w:r>
      <w:r w:rsidRPr="00235C11">
        <w:rPr>
          <w:rFonts w:eastAsia="Times New Roman" w:cs="Arial"/>
          <w:color w:val="000000"/>
          <w:lang w:val="ru-RU"/>
        </w:rPr>
        <w:t>(</w:t>
      </w:r>
      <w:r w:rsidRPr="00235C11">
        <w:rPr>
          <w:rFonts w:eastAsia="Times New Roman" w:cs="Arial"/>
          <w:color w:val="000000"/>
          <w:lang w:val="en-US"/>
        </w:rPr>
        <w:t>YMRS</w:t>
      </w:r>
      <w:r w:rsidRPr="00235C11">
        <w:rPr>
          <w:rFonts w:eastAsia="Times New Roman" w:cs="Arial"/>
          <w:color w:val="000000"/>
          <w:lang w:val="ru-RU"/>
        </w:rPr>
        <w:t xml:space="preserve"> </w:t>
      </w:r>
      <w:r w:rsidRPr="00235C11">
        <w:rPr>
          <w:rFonts w:eastAsia="Times New Roman" w:cs="Arial"/>
          <w:color w:val="000000"/>
          <w:lang w:eastAsia="bg-BG"/>
        </w:rPr>
        <w:t xml:space="preserve">подобрение ≥50%) са 64% за кветиапин таблетки 400 </w:t>
      </w:r>
      <w:r w:rsidRPr="00235C11">
        <w:rPr>
          <w:rFonts w:eastAsia="Times New Roman" w:cs="Arial"/>
          <w:color w:val="000000"/>
          <w:lang w:val="en-US"/>
        </w:rPr>
        <w:t>mg</w:t>
      </w:r>
      <w:r w:rsidRPr="00235C11">
        <w:rPr>
          <w:rFonts w:eastAsia="Times New Roman" w:cs="Arial"/>
          <w:color w:val="000000"/>
          <w:lang w:eastAsia="bg-BG"/>
        </w:rPr>
        <w:t xml:space="preserve">/ден, 58% за 600 </w:t>
      </w:r>
      <w:r w:rsidRPr="00235C11">
        <w:rPr>
          <w:rFonts w:eastAsia="Times New Roman" w:cs="Arial"/>
          <w:color w:val="000000"/>
          <w:lang w:val="en-US"/>
        </w:rPr>
        <w:t>mg</w:t>
      </w:r>
      <w:r w:rsidRPr="00235C11">
        <w:rPr>
          <w:rFonts w:eastAsia="Times New Roman" w:cs="Arial"/>
          <w:color w:val="000000"/>
          <w:lang w:eastAsia="bg-BG"/>
        </w:rPr>
        <w:t>/ден и 37% в групата на плацебо.</w:t>
      </w:r>
    </w:p>
    <w:p w14:paraId="4191557A" w14:textId="77777777" w:rsidR="00235C11" w:rsidRPr="00235C11" w:rsidRDefault="00235C11" w:rsidP="00235C11">
      <w:pPr>
        <w:spacing w:line="240" w:lineRule="auto"/>
        <w:rPr>
          <w:rFonts w:eastAsia="Times New Roman" w:cs="Arial"/>
          <w:color w:val="000000"/>
          <w:lang w:eastAsia="bg-BG"/>
        </w:rPr>
      </w:pPr>
    </w:p>
    <w:p w14:paraId="081AF639" w14:textId="77777777" w:rsidR="00235C11" w:rsidRPr="00235C11" w:rsidRDefault="00235C11" w:rsidP="00235C11">
      <w:pPr>
        <w:rPr>
          <w:rFonts w:eastAsia="Times New Roman" w:cs="Arial"/>
        </w:rPr>
      </w:pPr>
      <w:r w:rsidRPr="00235C11">
        <w:rPr>
          <w:rFonts w:eastAsia="Times New Roman" w:cs="Arial"/>
          <w:color w:val="000000"/>
          <w:lang w:eastAsia="bg-BG"/>
        </w:rPr>
        <w:t xml:space="preserve">При изпитване за шизофрения, разликата в средната </w:t>
      </w:r>
      <w:r w:rsidRPr="00235C11">
        <w:rPr>
          <w:rFonts w:eastAsia="Times New Roman" w:cs="Arial"/>
          <w:color w:val="000000"/>
          <w:lang w:val="en-US"/>
        </w:rPr>
        <w:t>LS</w:t>
      </w:r>
      <w:r w:rsidRPr="00235C11">
        <w:rPr>
          <w:rFonts w:eastAsia="Times New Roman" w:cs="Arial"/>
          <w:color w:val="000000"/>
          <w:lang w:val="ru-RU"/>
        </w:rPr>
        <w:t xml:space="preserve"> </w:t>
      </w:r>
      <w:r w:rsidRPr="00235C11">
        <w:rPr>
          <w:rFonts w:eastAsia="Times New Roman" w:cs="Arial"/>
          <w:color w:val="000000"/>
          <w:lang w:eastAsia="bg-BG"/>
        </w:rPr>
        <w:t xml:space="preserve">промяна от изходното ниво на общия резултат по Скалата за позитивни и негативни синдроми </w:t>
      </w:r>
      <w:r w:rsidRPr="00235C11">
        <w:rPr>
          <w:rFonts w:eastAsia="Times New Roman" w:cs="Arial"/>
          <w:color w:val="000000"/>
          <w:lang w:val="en-US"/>
        </w:rPr>
        <w:t>PANSS</w:t>
      </w:r>
      <w:r w:rsidRPr="00235C11">
        <w:rPr>
          <w:rFonts w:eastAsia="Times New Roman" w:cs="Arial"/>
          <w:color w:val="000000"/>
          <w:lang w:val="ru-RU"/>
        </w:rPr>
        <w:t xml:space="preserve"> </w:t>
      </w:r>
      <w:r w:rsidRPr="00235C11">
        <w:rPr>
          <w:rFonts w:eastAsia="Times New Roman" w:cs="Arial"/>
          <w:color w:val="000000"/>
          <w:lang w:eastAsia="bg-BG"/>
        </w:rPr>
        <w:t xml:space="preserve">(активно вещество минус плацебо) е 8,16 за кветиапин таблетки 400 </w:t>
      </w:r>
      <w:r w:rsidRPr="00235C11">
        <w:rPr>
          <w:rFonts w:eastAsia="Times New Roman" w:cs="Arial"/>
          <w:color w:val="000000"/>
          <w:lang w:val="en-US"/>
        </w:rPr>
        <w:t>mg</w:t>
      </w:r>
      <w:r w:rsidRPr="00235C11">
        <w:rPr>
          <w:rFonts w:eastAsia="Times New Roman" w:cs="Arial"/>
          <w:color w:val="000000"/>
          <w:lang w:eastAsia="bg-BG"/>
        </w:rPr>
        <w:t xml:space="preserve">/ден и 9,29 за кветиапин таблетки 800 </w:t>
      </w:r>
      <w:r w:rsidRPr="00235C11">
        <w:rPr>
          <w:rFonts w:eastAsia="Times New Roman" w:cs="Arial"/>
          <w:color w:val="000000"/>
          <w:lang w:val="en-US"/>
        </w:rPr>
        <w:t>mg</w:t>
      </w:r>
      <w:r w:rsidRPr="00235C11">
        <w:rPr>
          <w:rFonts w:eastAsia="Times New Roman" w:cs="Arial"/>
          <w:color w:val="000000"/>
          <w:lang w:eastAsia="bg-BG"/>
        </w:rPr>
        <w:t xml:space="preserve">/ден. Пито нискодозовият (400 </w:t>
      </w:r>
      <w:r w:rsidRPr="00235C11">
        <w:rPr>
          <w:rFonts w:eastAsia="Times New Roman" w:cs="Arial"/>
          <w:color w:val="000000"/>
          <w:lang w:val="en-US"/>
        </w:rPr>
        <w:t>mg</w:t>
      </w:r>
      <w:r w:rsidRPr="00235C11">
        <w:rPr>
          <w:rFonts w:eastAsia="Times New Roman" w:cs="Arial"/>
          <w:color w:val="000000"/>
          <w:lang w:val="ru-RU"/>
        </w:rPr>
        <w:t>/</w:t>
      </w:r>
      <w:r w:rsidRPr="00235C11">
        <w:rPr>
          <w:rFonts w:eastAsia="Times New Roman" w:cs="Arial"/>
          <w:color w:val="000000"/>
          <w:lang w:eastAsia="bg-BG"/>
        </w:rPr>
        <w:t xml:space="preserve">ден), нито високодозовият режим (800 </w:t>
      </w:r>
      <w:r w:rsidRPr="00235C11">
        <w:rPr>
          <w:rFonts w:eastAsia="Times New Roman" w:cs="Arial"/>
          <w:color w:val="000000"/>
          <w:lang w:val="en-US"/>
        </w:rPr>
        <w:t>mg</w:t>
      </w:r>
      <w:r w:rsidRPr="00235C11">
        <w:rPr>
          <w:rFonts w:eastAsia="Times New Roman" w:cs="Arial"/>
          <w:color w:val="000000"/>
          <w:lang w:eastAsia="bg-BG"/>
        </w:rPr>
        <w:t xml:space="preserve">/ден) кветиапин е превъзхождал плацебо по отношение на процента пациенти, които са достигнали отговор, определен като ≥30% намаление от изходното ниво на общия резултат по </w:t>
      </w:r>
      <w:r w:rsidRPr="00235C11">
        <w:rPr>
          <w:rFonts w:eastAsia="Times New Roman" w:cs="Arial"/>
          <w:color w:val="000000"/>
          <w:lang w:val="en-US"/>
        </w:rPr>
        <w:t>PANSS</w:t>
      </w:r>
      <w:r w:rsidRPr="00235C11">
        <w:rPr>
          <w:rFonts w:eastAsia="Times New Roman" w:cs="Arial"/>
          <w:color w:val="000000"/>
          <w:lang w:val="ru-RU"/>
        </w:rPr>
        <w:t xml:space="preserve">. </w:t>
      </w:r>
      <w:r w:rsidRPr="00235C11">
        <w:rPr>
          <w:rFonts w:eastAsia="Times New Roman" w:cs="Arial"/>
          <w:color w:val="000000"/>
          <w:lang w:eastAsia="bg-BG"/>
        </w:rPr>
        <w:t>При манията, както и при шизофренията, по-високите дози са довели до числено по-ниски стойности на отговор.</w:t>
      </w:r>
    </w:p>
    <w:p w14:paraId="10613158" w14:textId="77777777" w:rsidR="00235C11" w:rsidRPr="00235C11" w:rsidRDefault="00235C11" w:rsidP="00235C11">
      <w:pPr>
        <w:spacing w:line="240" w:lineRule="auto"/>
        <w:rPr>
          <w:rFonts w:eastAsia="Times New Roman" w:cs="Arial"/>
          <w:color w:val="000000"/>
          <w:lang w:eastAsia="bg-BG"/>
        </w:rPr>
      </w:pPr>
    </w:p>
    <w:p w14:paraId="0D64A7CD" w14:textId="5787D0C6" w:rsidR="00235C11" w:rsidRPr="00235C11" w:rsidRDefault="00235C11" w:rsidP="00235C11">
      <w:pPr>
        <w:spacing w:line="240" w:lineRule="auto"/>
        <w:rPr>
          <w:rFonts w:eastAsia="Times New Roman" w:cs="Arial"/>
        </w:rPr>
      </w:pPr>
      <w:r w:rsidRPr="00235C11">
        <w:rPr>
          <w:rFonts w:eastAsia="Times New Roman" w:cs="Arial"/>
          <w:color w:val="000000"/>
          <w:lang w:eastAsia="bg-BG"/>
        </w:rPr>
        <w:t>В трето краткосрочно изпитване на плацебо-контролирана монотерапия с кветиапин таблетки с удължено освобождаване при деца и юноши (10-17 години) с биполярна депресия, не е доказана ефикасност.</w:t>
      </w:r>
    </w:p>
    <w:p w14:paraId="7B544D4F" w14:textId="77777777" w:rsidR="00235C11" w:rsidRPr="00235C11" w:rsidRDefault="00235C11" w:rsidP="00235C11">
      <w:pPr>
        <w:spacing w:line="240" w:lineRule="auto"/>
        <w:rPr>
          <w:rFonts w:eastAsia="Times New Roman" w:cs="Arial"/>
          <w:color w:val="000000"/>
          <w:lang w:eastAsia="bg-BG"/>
        </w:rPr>
      </w:pPr>
    </w:p>
    <w:p w14:paraId="698614B3" w14:textId="7BAEC8A5" w:rsidR="00235C11" w:rsidRPr="00235C11" w:rsidRDefault="00235C11" w:rsidP="00235C11">
      <w:pPr>
        <w:spacing w:line="240" w:lineRule="auto"/>
        <w:rPr>
          <w:rFonts w:eastAsia="Times New Roman" w:cs="Arial"/>
        </w:rPr>
      </w:pPr>
      <w:r w:rsidRPr="00235C11">
        <w:rPr>
          <w:rFonts w:eastAsia="Times New Roman" w:cs="Arial"/>
          <w:color w:val="000000"/>
          <w:lang w:eastAsia="bg-BG"/>
        </w:rPr>
        <w:t>Няма налични данни за поддържането на ефекта или предотвратяването на рецидив в тази възрастова група.</w:t>
      </w:r>
    </w:p>
    <w:p w14:paraId="29B1CF44" w14:textId="77777777" w:rsidR="00235C11" w:rsidRPr="00235C11" w:rsidRDefault="00235C11" w:rsidP="00235C11">
      <w:pPr>
        <w:spacing w:line="240" w:lineRule="auto"/>
        <w:rPr>
          <w:rFonts w:eastAsia="Times New Roman" w:cs="Arial"/>
          <w:color w:val="000000"/>
          <w:u w:val="single"/>
          <w:lang w:eastAsia="bg-BG"/>
        </w:rPr>
      </w:pPr>
    </w:p>
    <w:p w14:paraId="57D4FDD4" w14:textId="6C26DB23"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Клинична безопасност</w:t>
      </w:r>
    </w:p>
    <w:p w14:paraId="211A8FF3" w14:textId="77777777" w:rsidR="00235C11" w:rsidRPr="00235C11" w:rsidRDefault="00235C11" w:rsidP="00235C11">
      <w:pPr>
        <w:spacing w:line="240" w:lineRule="auto"/>
        <w:rPr>
          <w:rFonts w:eastAsia="Times New Roman" w:cs="Arial"/>
        </w:rPr>
      </w:pPr>
      <w:r w:rsidRPr="00235C11">
        <w:rPr>
          <w:rFonts w:eastAsia="Times New Roman" w:cs="Arial"/>
          <w:color w:val="000000"/>
          <w:lang w:eastAsia="bg-BG"/>
        </w:rPr>
        <w:t xml:space="preserve">В краткосрочните педиатрични изпитвания с кветиапин, както е описано по-горе, честотата на ЕПС в активното рамо спрямо плацебо е 12,9% спрямо 5,3% при изпитването, свързано с шизофрения, 3,6% спрямо 1,1% при изпитването, свързано с биполярна мания и 1,1% спрямо 0% при изпитването, свързано с биполярна депресия. Честотата на наддаване на тегло &gt;7% от изходното телесно тегло при активното рамо в сравнение с плацебо е 17% спрямо 2,5% при изпитванията, свързани с шизофрения и биполярна мания и 13,7% спрямо 6,8% при изпитването, свързано с биполярна депресия. Честотата на събитията, свързани със самоубийство в активното рамо спрямо плацебо е 1,4% спрямо 1,3% в изпитването, свързано с шизофрения, 1,0% спрямо 0% при изпитването, свързано с биполярна мания и 1,1% спрямо 0% при изпитването, свързано с биполярна депресия. По време на удължената след провеждане на лечението </w:t>
      </w:r>
      <w:r w:rsidRPr="00235C11">
        <w:rPr>
          <w:rFonts w:eastAsia="Times New Roman" w:cs="Arial"/>
          <w:color w:val="000000"/>
          <w:lang w:eastAsia="bg-BG"/>
        </w:rPr>
        <w:lastRenderedPageBreak/>
        <w:t>последваща фаза на изпитването, свързано с биполярна депресия, при двама пациенти има две допълнителни събития, свързани със самоубийство; по време на събитието един от тези пациенти е бил на кветиапин.</w:t>
      </w:r>
    </w:p>
    <w:p w14:paraId="51C10B4A" w14:textId="77777777" w:rsidR="00235C11" w:rsidRPr="00235C11" w:rsidRDefault="00235C11" w:rsidP="00235C11">
      <w:pPr>
        <w:spacing w:line="240" w:lineRule="auto"/>
        <w:rPr>
          <w:rFonts w:eastAsia="Times New Roman" w:cs="Arial"/>
          <w:color w:val="000000"/>
          <w:u w:val="single"/>
          <w:lang w:eastAsia="bg-BG"/>
        </w:rPr>
      </w:pPr>
    </w:p>
    <w:p w14:paraId="13112044" w14:textId="25693FCB" w:rsidR="00235C11" w:rsidRPr="00235C11" w:rsidRDefault="00235C11" w:rsidP="00235C11">
      <w:pPr>
        <w:spacing w:line="240" w:lineRule="auto"/>
        <w:rPr>
          <w:rFonts w:eastAsia="Times New Roman" w:cs="Arial"/>
        </w:rPr>
      </w:pPr>
      <w:r w:rsidRPr="00235C11">
        <w:rPr>
          <w:rFonts w:eastAsia="Times New Roman" w:cs="Arial"/>
          <w:color w:val="000000"/>
          <w:u w:val="single"/>
          <w:lang w:eastAsia="bg-BG"/>
        </w:rPr>
        <w:t>Дългосрочна безопасност</w:t>
      </w:r>
    </w:p>
    <w:p w14:paraId="27372FDE" w14:textId="5B4D533C" w:rsidR="00235C11" w:rsidRDefault="00235C11" w:rsidP="00235C11">
      <w:pPr>
        <w:spacing w:line="240" w:lineRule="auto"/>
        <w:rPr>
          <w:rFonts w:eastAsia="Times New Roman" w:cs="Arial"/>
          <w:color w:val="000000"/>
          <w:lang w:eastAsia="bg-BG"/>
        </w:rPr>
      </w:pPr>
      <w:r w:rsidRPr="00235C11">
        <w:rPr>
          <w:rFonts w:eastAsia="Times New Roman" w:cs="Arial"/>
          <w:color w:val="000000"/>
          <w:lang w:eastAsia="bg-BG"/>
        </w:rPr>
        <w:t>26-седмично открито удължаване на проучванията за лечение на остри състояния (</w:t>
      </w:r>
      <w:r w:rsidRPr="00235C11">
        <w:rPr>
          <w:rFonts w:eastAsia="Times New Roman" w:cs="Arial"/>
          <w:color w:val="000000"/>
          <w:lang w:val="en-US"/>
        </w:rPr>
        <w:t>n</w:t>
      </w:r>
      <w:r w:rsidRPr="00235C11">
        <w:rPr>
          <w:rFonts w:eastAsia="Times New Roman" w:cs="Arial"/>
          <w:color w:val="000000"/>
          <w:lang w:eastAsia="bg-BG"/>
        </w:rPr>
        <w:t xml:space="preserve">=380 пациента) с гъвкаво дозиране на кветиапин в дози 400-800 </w:t>
      </w:r>
      <w:r w:rsidRPr="00235C11">
        <w:rPr>
          <w:rFonts w:eastAsia="Times New Roman" w:cs="Arial"/>
          <w:color w:val="000000"/>
          <w:lang w:val="en-US"/>
        </w:rPr>
        <w:t>mg</w:t>
      </w:r>
      <w:r w:rsidRPr="00235C11">
        <w:rPr>
          <w:rFonts w:eastAsia="Times New Roman" w:cs="Arial"/>
          <w:color w:val="000000"/>
          <w:lang w:eastAsia="bg-BG"/>
        </w:rPr>
        <w:t xml:space="preserve">/дневно, предостави допълнителни данни за безопасност. Съобщенията при деца и юноши за повишаване на артериалното налягане и повишен апетит, екстрапирамидни симптоми и повишаване на серумния пролактин са с по-висока честота, отколкото при възрастни пациенти (вж. точка 4.4 и точка 4.8), По отношение на увеличаване на теглото, при коригиране на нормалния растеж в дългосрочен план, увеличение от най-малко 0,5 стандартно отклонение от изходното ниво в индекса за телесната маса </w:t>
      </w:r>
      <w:r w:rsidRPr="00235C11">
        <w:rPr>
          <w:rFonts w:eastAsia="Times New Roman" w:cs="Arial"/>
          <w:color w:val="000000"/>
          <w:lang w:val="ru-RU"/>
        </w:rPr>
        <w:t>(</w:t>
      </w:r>
      <w:r w:rsidRPr="00235C11">
        <w:rPr>
          <w:rFonts w:eastAsia="Times New Roman" w:cs="Arial"/>
          <w:color w:val="000000"/>
          <w:lang w:val="en-US"/>
        </w:rPr>
        <w:t>BMI</w:t>
      </w:r>
      <w:r w:rsidRPr="00235C11">
        <w:rPr>
          <w:rFonts w:eastAsia="Times New Roman" w:cs="Arial"/>
          <w:color w:val="000000"/>
          <w:lang w:val="ru-RU"/>
        </w:rPr>
        <w:t xml:space="preserve">) </w:t>
      </w:r>
      <w:r w:rsidRPr="00235C11">
        <w:rPr>
          <w:rFonts w:eastAsia="Times New Roman" w:cs="Arial"/>
          <w:color w:val="000000"/>
          <w:lang w:eastAsia="bg-BG"/>
        </w:rPr>
        <w:t>е използвано като мярка за клинично значима промяна; 18,3% от пациентите, които са лекувани с кветиапин в продължение на поне 26 седмици, отговарят на този критерий.</w:t>
      </w:r>
    </w:p>
    <w:p w14:paraId="407F02E8" w14:textId="77777777" w:rsidR="00235C11" w:rsidRPr="00235C11" w:rsidRDefault="00235C11" w:rsidP="00235C11">
      <w:pPr>
        <w:spacing w:line="240" w:lineRule="auto"/>
        <w:rPr>
          <w:rFonts w:eastAsia="Times New Roman" w:cs="Arial"/>
        </w:rPr>
      </w:pPr>
    </w:p>
    <w:p w14:paraId="26535098" w14:textId="639F5D83" w:rsidR="00395555" w:rsidRDefault="002C50EE" w:rsidP="008A6AF2">
      <w:pPr>
        <w:pStyle w:val="Heading2"/>
      </w:pPr>
      <w:r>
        <w:t>5.2. Фармакокинетични свойства</w:t>
      </w:r>
    </w:p>
    <w:p w14:paraId="73D3659F" w14:textId="0FEE6858" w:rsidR="00235C11" w:rsidRDefault="00235C11" w:rsidP="00235C11"/>
    <w:p w14:paraId="77D98E5D" w14:textId="77777777" w:rsidR="00235C11" w:rsidRPr="00235C11" w:rsidRDefault="00235C11" w:rsidP="00235C11">
      <w:pPr>
        <w:pStyle w:val="Heading3"/>
        <w:rPr>
          <w:rFonts w:eastAsia="Times New Roman"/>
          <w:sz w:val="28"/>
          <w:u w:val="single"/>
        </w:rPr>
      </w:pPr>
      <w:r w:rsidRPr="00235C11">
        <w:rPr>
          <w:rFonts w:eastAsia="Times New Roman"/>
          <w:u w:val="single"/>
          <w:lang w:eastAsia="bg-BG"/>
        </w:rPr>
        <w:t>Абсорбция</w:t>
      </w:r>
    </w:p>
    <w:p w14:paraId="703790C6" w14:textId="7777777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Кветиапин се резорбира добре и се метаболизира екстензивно след перорално приложение. Бионаличността на кветиапин не се повлиява значимо от приема на храна. Равновесните пикови моларни концентрации на активния метаболит на норкветиапин са 35% от тези, наблюдавани за кветиапин.</w:t>
      </w:r>
    </w:p>
    <w:p w14:paraId="77FB4974" w14:textId="77777777" w:rsidR="00235C11" w:rsidRPr="00235C11" w:rsidRDefault="00235C11" w:rsidP="00235C11">
      <w:pPr>
        <w:spacing w:line="240" w:lineRule="auto"/>
        <w:rPr>
          <w:rFonts w:eastAsia="Times New Roman" w:cs="Arial"/>
          <w:color w:val="000000"/>
          <w:szCs w:val="20"/>
          <w:lang w:eastAsia="bg-BG"/>
        </w:rPr>
      </w:pPr>
    </w:p>
    <w:p w14:paraId="1EB9FA09" w14:textId="140AA8D2"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Фармакокинетиката на кветиапин и норкиапин е линейна в рамките на одобрения диапазон на дозиране.</w:t>
      </w:r>
    </w:p>
    <w:p w14:paraId="1B187344" w14:textId="77777777" w:rsidR="00235C11" w:rsidRPr="00235C11" w:rsidRDefault="00235C11" w:rsidP="00235C11">
      <w:pPr>
        <w:spacing w:line="240" w:lineRule="auto"/>
        <w:rPr>
          <w:rFonts w:eastAsia="Times New Roman" w:cs="Arial"/>
          <w:color w:val="000000"/>
          <w:szCs w:val="20"/>
          <w:u w:val="single"/>
          <w:lang w:eastAsia="bg-BG"/>
        </w:rPr>
      </w:pPr>
    </w:p>
    <w:p w14:paraId="5FB9F9B8" w14:textId="0FAA80B6" w:rsidR="00235C11" w:rsidRPr="00235C11" w:rsidRDefault="00235C11" w:rsidP="00235C11">
      <w:pPr>
        <w:pStyle w:val="Heading3"/>
        <w:rPr>
          <w:rFonts w:eastAsia="Times New Roman"/>
          <w:sz w:val="28"/>
          <w:u w:val="single"/>
        </w:rPr>
      </w:pPr>
      <w:r w:rsidRPr="00235C11">
        <w:rPr>
          <w:rFonts w:eastAsia="Times New Roman"/>
          <w:u w:val="single"/>
          <w:lang w:eastAsia="bg-BG"/>
        </w:rPr>
        <w:t>Разпределение</w:t>
      </w:r>
    </w:p>
    <w:p w14:paraId="7CADE87F" w14:textId="7777777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Кветиапин се свързва с плазмените протеини около 83%.</w:t>
      </w:r>
    </w:p>
    <w:p w14:paraId="1EE9F00A" w14:textId="77777777" w:rsidR="00235C11" w:rsidRPr="00235C11" w:rsidRDefault="00235C11" w:rsidP="00235C11">
      <w:pPr>
        <w:spacing w:line="240" w:lineRule="auto"/>
        <w:rPr>
          <w:rFonts w:eastAsia="Times New Roman" w:cs="Arial"/>
          <w:color w:val="000000"/>
          <w:szCs w:val="20"/>
          <w:u w:val="single"/>
          <w:lang w:eastAsia="bg-BG"/>
        </w:rPr>
      </w:pPr>
    </w:p>
    <w:p w14:paraId="36BD5C7A" w14:textId="0143BE58" w:rsidR="00235C11" w:rsidRPr="00235C11" w:rsidRDefault="00235C11" w:rsidP="00235C11">
      <w:pPr>
        <w:pStyle w:val="Heading3"/>
        <w:rPr>
          <w:rFonts w:eastAsia="Times New Roman"/>
          <w:sz w:val="28"/>
          <w:u w:val="single"/>
        </w:rPr>
      </w:pPr>
      <w:r w:rsidRPr="00235C11">
        <w:rPr>
          <w:rFonts w:eastAsia="Times New Roman"/>
          <w:u w:val="single"/>
          <w:lang w:eastAsia="bg-BG"/>
        </w:rPr>
        <w:t>Биотрансформация</w:t>
      </w:r>
    </w:p>
    <w:p w14:paraId="7D4E3D42" w14:textId="77777777" w:rsidR="00235C11" w:rsidRPr="00235C11" w:rsidRDefault="00235C11" w:rsidP="00235C11">
      <w:pPr>
        <w:rPr>
          <w:rFonts w:eastAsia="Times New Roman" w:cs="Arial"/>
          <w:sz w:val="28"/>
          <w:szCs w:val="24"/>
        </w:rPr>
      </w:pPr>
      <w:r w:rsidRPr="00235C11">
        <w:rPr>
          <w:rFonts w:eastAsia="Times New Roman" w:cs="Arial"/>
          <w:color w:val="000000"/>
          <w:szCs w:val="20"/>
          <w:lang w:eastAsia="bg-BG"/>
        </w:rPr>
        <w:t>Кветиапин екстензивно се метаболизира в черния дроб, като на изходното съединение се падат под 5% от непроменения лекарствен продукт който се открива в</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урината или фекалиите след въвеждане на радиомаркиран кветиапин. Проучванията </w:t>
      </w:r>
      <w:r w:rsidRPr="00235C11">
        <w:rPr>
          <w:rFonts w:eastAsia="Times New Roman" w:cs="Arial"/>
          <w:color w:val="000000"/>
          <w:szCs w:val="20"/>
          <w:lang w:val="en-US"/>
        </w:rPr>
        <w:t>in</w:t>
      </w:r>
      <w:r w:rsidRPr="00235C11">
        <w:rPr>
          <w:rFonts w:eastAsia="Times New Roman" w:cs="Arial"/>
          <w:color w:val="000000"/>
          <w:szCs w:val="20"/>
          <w:lang w:val="ru-RU"/>
        </w:rPr>
        <w:t xml:space="preserve"> </w:t>
      </w:r>
      <w:r w:rsidRPr="00235C11">
        <w:rPr>
          <w:rFonts w:eastAsia="Times New Roman" w:cs="Arial"/>
          <w:color w:val="000000"/>
          <w:szCs w:val="20"/>
          <w:lang w:val="en-US"/>
        </w:rPr>
        <w:t>vitro</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са установили, че </w:t>
      </w:r>
      <w:r w:rsidRPr="00235C11">
        <w:rPr>
          <w:rFonts w:eastAsia="Times New Roman" w:cs="Arial"/>
          <w:color w:val="000000"/>
          <w:szCs w:val="20"/>
          <w:lang w:val="en-US"/>
        </w:rPr>
        <w:t>CYP</w:t>
      </w:r>
      <w:r w:rsidRPr="00235C11">
        <w:rPr>
          <w:rFonts w:eastAsia="Times New Roman" w:cs="Arial"/>
          <w:color w:val="000000"/>
          <w:szCs w:val="20"/>
          <w:lang w:val="ru-RU"/>
        </w:rPr>
        <w:t>3</w:t>
      </w:r>
      <w:r w:rsidRPr="00235C11">
        <w:rPr>
          <w:rFonts w:eastAsia="Times New Roman" w:cs="Arial"/>
          <w:color w:val="000000"/>
          <w:szCs w:val="20"/>
          <w:lang w:val="en-US"/>
        </w:rPr>
        <w:t>A</w:t>
      </w:r>
      <w:r w:rsidRPr="00235C11">
        <w:rPr>
          <w:rFonts w:eastAsia="Times New Roman" w:cs="Arial"/>
          <w:color w:val="000000"/>
          <w:szCs w:val="20"/>
          <w:lang w:val="ru-RU"/>
        </w:rPr>
        <w:t xml:space="preserve">4 </w:t>
      </w:r>
      <w:r w:rsidRPr="00235C11">
        <w:rPr>
          <w:rFonts w:eastAsia="Times New Roman" w:cs="Arial"/>
          <w:color w:val="000000"/>
          <w:szCs w:val="20"/>
          <w:lang w:eastAsia="bg-BG"/>
        </w:rPr>
        <w:t xml:space="preserve">е основният ензим, отговорен за цитохром Р450 медиирания метаболизъм на кветиапин. Формира се предимно норкветиапин и се елиминира чрез </w:t>
      </w:r>
      <w:r w:rsidRPr="00235C11">
        <w:rPr>
          <w:rFonts w:eastAsia="Times New Roman" w:cs="Arial"/>
          <w:color w:val="000000"/>
          <w:szCs w:val="20"/>
          <w:lang w:val="en-US"/>
        </w:rPr>
        <w:t>CYP</w:t>
      </w:r>
      <w:r w:rsidRPr="00235C11">
        <w:rPr>
          <w:rFonts w:eastAsia="Times New Roman" w:cs="Arial"/>
          <w:color w:val="000000"/>
          <w:szCs w:val="20"/>
          <w:lang w:val="ru-RU"/>
        </w:rPr>
        <w:t>3</w:t>
      </w:r>
      <w:r w:rsidRPr="00235C11">
        <w:rPr>
          <w:rFonts w:eastAsia="Times New Roman" w:cs="Arial"/>
          <w:color w:val="000000"/>
          <w:szCs w:val="20"/>
          <w:lang w:val="en-US"/>
        </w:rPr>
        <w:t>A</w:t>
      </w:r>
      <w:r w:rsidRPr="00235C11">
        <w:rPr>
          <w:rFonts w:eastAsia="Times New Roman" w:cs="Arial"/>
          <w:color w:val="000000"/>
          <w:szCs w:val="20"/>
          <w:lang w:val="ru-RU"/>
        </w:rPr>
        <w:t>4.</w:t>
      </w:r>
    </w:p>
    <w:p w14:paraId="025EEE7A" w14:textId="77777777" w:rsidR="00235C11" w:rsidRPr="00235C11" w:rsidRDefault="00235C11" w:rsidP="00235C11">
      <w:pPr>
        <w:spacing w:line="240" w:lineRule="auto"/>
        <w:rPr>
          <w:rFonts w:eastAsia="Times New Roman" w:cs="Arial"/>
          <w:color w:val="000000"/>
          <w:szCs w:val="20"/>
          <w:lang w:eastAsia="bg-BG"/>
        </w:rPr>
      </w:pPr>
    </w:p>
    <w:p w14:paraId="3D911B1E" w14:textId="4AB7A5C2"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 xml:space="preserve">Приблизително 73% от радиоактивността се екскретира с урината и 21% с фекалиите. </w:t>
      </w:r>
      <w:r w:rsidRPr="00235C11">
        <w:rPr>
          <w:rFonts w:eastAsia="Times New Roman" w:cs="Arial"/>
          <w:i/>
          <w:iCs/>
          <w:color w:val="000000"/>
          <w:szCs w:val="20"/>
          <w:lang w:val="en-US"/>
        </w:rPr>
        <w:t>In</w:t>
      </w:r>
      <w:r w:rsidRPr="00235C11">
        <w:rPr>
          <w:rFonts w:eastAsia="Times New Roman" w:cs="Arial"/>
          <w:i/>
          <w:iCs/>
          <w:color w:val="000000"/>
          <w:szCs w:val="20"/>
          <w:lang w:val="ru-RU"/>
        </w:rPr>
        <w:t xml:space="preserve"> </w:t>
      </w:r>
      <w:r w:rsidRPr="00235C11">
        <w:rPr>
          <w:rFonts w:eastAsia="Times New Roman" w:cs="Arial"/>
          <w:i/>
          <w:iCs/>
          <w:color w:val="000000"/>
          <w:szCs w:val="20"/>
          <w:lang w:val="en-US"/>
        </w:rPr>
        <w:t>vitro</w:t>
      </w:r>
      <w:r w:rsidRPr="00235C11">
        <w:rPr>
          <w:rFonts w:eastAsia="Times New Roman" w:cs="Arial"/>
          <w:i/>
          <w:iCs/>
          <w:color w:val="000000"/>
          <w:szCs w:val="20"/>
          <w:lang w:val="ru-RU"/>
        </w:rPr>
        <w:t>,</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кветиапин и няколко негови метаболити (вкл. норкветиапин) са слаби инхибитори на активността на човешките цитохром Р450 1А2, 2С9, 2С19, </w:t>
      </w:r>
      <w:r w:rsidRPr="00235C11">
        <w:rPr>
          <w:rFonts w:eastAsia="Times New Roman" w:cs="Arial"/>
          <w:color w:val="000000"/>
          <w:szCs w:val="20"/>
          <w:lang w:val="ru-RU"/>
        </w:rPr>
        <w:t>2</w:t>
      </w:r>
      <w:r w:rsidRPr="00235C11">
        <w:rPr>
          <w:rFonts w:eastAsia="Times New Roman" w:cs="Arial"/>
          <w:color w:val="000000"/>
          <w:szCs w:val="20"/>
          <w:lang w:val="en-US"/>
        </w:rPr>
        <w:t>D</w:t>
      </w:r>
      <w:r w:rsidRPr="00235C11">
        <w:rPr>
          <w:rFonts w:eastAsia="Times New Roman" w:cs="Arial"/>
          <w:color w:val="000000"/>
          <w:szCs w:val="20"/>
          <w:lang w:val="ru-RU"/>
        </w:rPr>
        <w:t xml:space="preserve">6 </w:t>
      </w:r>
      <w:r w:rsidRPr="00235C11">
        <w:rPr>
          <w:rFonts w:eastAsia="Times New Roman" w:cs="Arial"/>
          <w:color w:val="000000"/>
          <w:szCs w:val="20"/>
          <w:lang w:eastAsia="bg-BG"/>
        </w:rPr>
        <w:t xml:space="preserve">и ЗА4. </w:t>
      </w:r>
      <w:r w:rsidRPr="00235C11">
        <w:rPr>
          <w:rFonts w:eastAsia="Times New Roman" w:cs="Arial"/>
          <w:i/>
          <w:iCs/>
          <w:color w:val="000000"/>
          <w:szCs w:val="20"/>
          <w:lang w:val="en-US"/>
        </w:rPr>
        <w:t>In</w:t>
      </w:r>
      <w:r w:rsidRPr="00235C11">
        <w:rPr>
          <w:rFonts w:eastAsia="Times New Roman" w:cs="Arial"/>
          <w:i/>
          <w:iCs/>
          <w:color w:val="000000"/>
          <w:szCs w:val="20"/>
          <w:lang w:val="ru-RU"/>
        </w:rPr>
        <w:t xml:space="preserve"> </w:t>
      </w:r>
      <w:r w:rsidRPr="00235C11">
        <w:rPr>
          <w:rFonts w:eastAsia="Times New Roman" w:cs="Arial"/>
          <w:i/>
          <w:iCs/>
          <w:color w:val="000000"/>
          <w:szCs w:val="20"/>
          <w:lang w:val="en-US"/>
        </w:rPr>
        <w:t>vitro</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инхибирането на цитохрома се наблюдава само в концентрации приблизително 5 до 50 пъти по-високи от тези, наблюдавани при препоръчваната дневна доза за човека от 300 </w:t>
      </w:r>
      <w:r w:rsidRPr="00235C11">
        <w:rPr>
          <w:rFonts w:eastAsia="Times New Roman" w:cs="Arial"/>
          <w:color w:val="000000"/>
          <w:szCs w:val="20"/>
          <w:lang w:val="en-US"/>
        </w:rPr>
        <w:t>mg</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до 800 </w:t>
      </w:r>
      <w:r w:rsidRPr="00235C11">
        <w:rPr>
          <w:rFonts w:eastAsia="Times New Roman" w:cs="Arial"/>
          <w:color w:val="000000"/>
          <w:szCs w:val="20"/>
          <w:lang w:val="en-US"/>
        </w:rPr>
        <w:t>mg</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дневно. Въз основа на тези резултати </w:t>
      </w:r>
      <w:r w:rsidRPr="00235C11">
        <w:rPr>
          <w:rFonts w:eastAsia="Times New Roman" w:cs="Arial"/>
          <w:i/>
          <w:iCs/>
          <w:color w:val="000000"/>
          <w:szCs w:val="20"/>
          <w:lang w:val="en-US"/>
        </w:rPr>
        <w:t>in</w:t>
      </w:r>
      <w:r w:rsidRPr="00235C11">
        <w:rPr>
          <w:rFonts w:eastAsia="Times New Roman" w:cs="Arial"/>
          <w:i/>
          <w:iCs/>
          <w:color w:val="000000"/>
          <w:szCs w:val="20"/>
          <w:lang w:val="ru-RU"/>
        </w:rPr>
        <w:t xml:space="preserve"> </w:t>
      </w:r>
      <w:r w:rsidRPr="00235C11">
        <w:rPr>
          <w:rFonts w:eastAsia="Times New Roman" w:cs="Arial"/>
          <w:i/>
          <w:iCs/>
          <w:color w:val="000000"/>
          <w:szCs w:val="20"/>
          <w:lang w:val="en-US"/>
        </w:rPr>
        <w:t>vitro</w:t>
      </w:r>
      <w:r w:rsidRPr="00235C11">
        <w:rPr>
          <w:rFonts w:eastAsia="Times New Roman" w:cs="Arial"/>
          <w:i/>
          <w:iCs/>
          <w:color w:val="000000"/>
          <w:szCs w:val="20"/>
          <w:lang w:val="ru-RU"/>
        </w:rPr>
        <w:t>,</w:t>
      </w:r>
      <w:r w:rsidRPr="00235C11">
        <w:rPr>
          <w:rFonts w:eastAsia="Times New Roman" w:cs="Arial"/>
          <w:color w:val="000000"/>
          <w:szCs w:val="20"/>
          <w:lang w:val="ru-RU"/>
        </w:rPr>
        <w:t xml:space="preserve"> </w:t>
      </w:r>
      <w:r w:rsidRPr="00235C11">
        <w:rPr>
          <w:rFonts w:eastAsia="Times New Roman" w:cs="Arial"/>
          <w:color w:val="000000"/>
          <w:szCs w:val="20"/>
          <w:lang w:eastAsia="bg-BG"/>
        </w:rPr>
        <w:t xml:space="preserve">малко вероятно е едновременното приложение на кветиапин с други лекарства да доведе до клинично значимо лекарствено инхибиране на цитохром Р450 медиирания метаболизъм на другото лекарство. От проучвания при животни се установява, че кветиапин може да индуцира цитохром Р450 ензимите. Въпреки това, в проучване за специфични лекарствени </w:t>
      </w:r>
      <w:r w:rsidRPr="00235C11">
        <w:rPr>
          <w:rFonts w:eastAsia="Times New Roman" w:cs="Arial"/>
          <w:color w:val="000000"/>
          <w:szCs w:val="20"/>
          <w:lang w:eastAsia="bg-BG"/>
        </w:rPr>
        <w:lastRenderedPageBreak/>
        <w:t>взаимодействия при психотични пациенти, не се открива повишаване на активността на цитохром Р450 след прием на кветиапин.</w:t>
      </w:r>
    </w:p>
    <w:p w14:paraId="1520D770" w14:textId="77777777" w:rsidR="00235C11" w:rsidRPr="00235C11" w:rsidRDefault="00235C11" w:rsidP="00235C11">
      <w:pPr>
        <w:spacing w:line="240" w:lineRule="auto"/>
        <w:rPr>
          <w:rFonts w:eastAsia="Times New Roman" w:cs="Arial"/>
          <w:color w:val="000000"/>
          <w:szCs w:val="20"/>
          <w:u w:val="single"/>
          <w:lang w:eastAsia="bg-BG"/>
        </w:rPr>
      </w:pPr>
    </w:p>
    <w:p w14:paraId="02CA1768" w14:textId="0EEF807C" w:rsidR="00235C11" w:rsidRPr="00235C11" w:rsidRDefault="00235C11" w:rsidP="00235C11">
      <w:pPr>
        <w:pStyle w:val="Heading3"/>
        <w:rPr>
          <w:rFonts w:eastAsia="Times New Roman"/>
          <w:sz w:val="28"/>
          <w:u w:val="single"/>
        </w:rPr>
      </w:pPr>
      <w:r w:rsidRPr="00235C11">
        <w:rPr>
          <w:rFonts w:eastAsia="Times New Roman"/>
          <w:u w:val="single"/>
          <w:lang w:eastAsia="bg-BG"/>
        </w:rPr>
        <w:t>Елиминиране</w:t>
      </w:r>
    </w:p>
    <w:p w14:paraId="1DF0AB87" w14:textId="7777777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 xml:space="preserve">Елиминационните полуживоти на кветиапин и норкветиапин са съответно приблизително 7 и 12 часа. Средната моларна дозова фракция на свободния кветиапин </w:t>
      </w:r>
      <w:r w:rsidRPr="00235C11">
        <w:rPr>
          <w:rFonts w:eastAsia="Times New Roman" w:cs="Arial"/>
          <w:i/>
          <w:iCs/>
          <w:color w:val="000000"/>
          <w:szCs w:val="20"/>
          <w:lang w:eastAsia="bg-BG"/>
        </w:rPr>
        <w:t>и</w:t>
      </w:r>
      <w:r w:rsidRPr="00235C11">
        <w:rPr>
          <w:rFonts w:eastAsia="Times New Roman" w:cs="Arial"/>
          <w:color w:val="000000"/>
          <w:szCs w:val="20"/>
          <w:lang w:eastAsia="bg-BG"/>
        </w:rPr>
        <w:t xml:space="preserve"> активния човешки плазмен метаболит норкветиапин е &lt; 5%, екскретирани в урината.</w:t>
      </w:r>
    </w:p>
    <w:p w14:paraId="16C5B4A0" w14:textId="77777777" w:rsidR="00235C11" w:rsidRPr="00235C11" w:rsidRDefault="00235C11" w:rsidP="00235C11">
      <w:pPr>
        <w:spacing w:line="240" w:lineRule="auto"/>
        <w:rPr>
          <w:rFonts w:eastAsia="Times New Roman" w:cs="Arial"/>
          <w:i/>
          <w:iCs/>
          <w:color w:val="000000"/>
          <w:szCs w:val="20"/>
          <w:lang w:eastAsia="bg-BG"/>
        </w:rPr>
      </w:pPr>
    </w:p>
    <w:p w14:paraId="34F11D1B" w14:textId="27F5AB9F" w:rsidR="00235C11" w:rsidRPr="00235C11" w:rsidRDefault="00235C11" w:rsidP="00235C11">
      <w:pPr>
        <w:spacing w:line="240" w:lineRule="auto"/>
        <w:rPr>
          <w:rFonts w:eastAsia="Times New Roman" w:cs="Arial"/>
          <w:sz w:val="28"/>
          <w:szCs w:val="24"/>
        </w:rPr>
      </w:pPr>
      <w:r w:rsidRPr="00235C11">
        <w:rPr>
          <w:rFonts w:eastAsia="Times New Roman" w:cs="Arial"/>
          <w:i/>
          <w:iCs/>
          <w:color w:val="000000"/>
          <w:szCs w:val="20"/>
          <w:lang w:eastAsia="bg-BG"/>
        </w:rPr>
        <w:t>Специални популации</w:t>
      </w:r>
    </w:p>
    <w:p w14:paraId="101186C7" w14:textId="77777777" w:rsidR="00235C11" w:rsidRPr="00235C11" w:rsidRDefault="00235C11" w:rsidP="00235C11">
      <w:pPr>
        <w:spacing w:line="240" w:lineRule="auto"/>
        <w:rPr>
          <w:rFonts w:eastAsia="Times New Roman" w:cs="Arial"/>
          <w:color w:val="000000"/>
          <w:szCs w:val="20"/>
          <w:u w:val="single"/>
          <w:lang w:eastAsia="bg-BG"/>
        </w:rPr>
      </w:pPr>
    </w:p>
    <w:p w14:paraId="20F67518" w14:textId="39AF2B01"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u w:val="single"/>
          <w:lang w:eastAsia="bg-BG"/>
        </w:rPr>
        <w:t>Пол</w:t>
      </w:r>
    </w:p>
    <w:p w14:paraId="29F6DCDB" w14:textId="7777777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Кинетиката на кветиапин не се различава при мъже и жени.</w:t>
      </w:r>
    </w:p>
    <w:p w14:paraId="54551858" w14:textId="77777777" w:rsidR="00235C11" w:rsidRPr="00235C11" w:rsidRDefault="00235C11" w:rsidP="00235C11">
      <w:pPr>
        <w:spacing w:line="240" w:lineRule="auto"/>
        <w:rPr>
          <w:rFonts w:eastAsia="Times New Roman" w:cs="Arial"/>
          <w:color w:val="000000"/>
          <w:szCs w:val="20"/>
          <w:u w:val="single"/>
          <w:lang w:eastAsia="bg-BG"/>
        </w:rPr>
      </w:pPr>
    </w:p>
    <w:p w14:paraId="7E838DCE" w14:textId="0B6C49BA"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u w:val="single"/>
          <w:lang w:eastAsia="bg-BG"/>
        </w:rPr>
        <w:t>Старческа възраст</w:t>
      </w:r>
    </w:p>
    <w:p w14:paraId="17E40648" w14:textId="7777777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Средният клирънс на кветиапин при лица в старческа възраст е приблизително с 30% до 50% по-нисък от този при възрастни между 18 и 65 години.</w:t>
      </w:r>
    </w:p>
    <w:p w14:paraId="4572F1DC" w14:textId="77777777" w:rsidR="00235C11" w:rsidRPr="00235C11" w:rsidRDefault="00235C11" w:rsidP="00235C11">
      <w:pPr>
        <w:spacing w:line="240" w:lineRule="auto"/>
        <w:rPr>
          <w:rFonts w:eastAsia="Times New Roman" w:cs="Arial"/>
          <w:color w:val="000000"/>
          <w:szCs w:val="20"/>
          <w:u w:val="single"/>
          <w:lang w:eastAsia="bg-BG"/>
        </w:rPr>
      </w:pPr>
    </w:p>
    <w:p w14:paraId="21D1C81B" w14:textId="5F93D583"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u w:val="single"/>
          <w:lang w:eastAsia="bg-BG"/>
        </w:rPr>
        <w:t>Бъбречно увреждане</w:t>
      </w:r>
    </w:p>
    <w:p w14:paraId="07F68662" w14:textId="7777777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 xml:space="preserve">Средният плазмен клирънс на кветиапин намалява приблизително с 25% при лица с тежко бъбречно увреждане (креатининов клирънс под 30 </w:t>
      </w:r>
      <w:r w:rsidRPr="00235C11">
        <w:rPr>
          <w:rFonts w:eastAsia="Times New Roman" w:cs="Arial"/>
          <w:color w:val="000000"/>
          <w:szCs w:val="20"/>
          <w:lang w:val="en-US"/>
        </w:rPr>
        <w:t>ml</w:t>
      </w:r>
      <w:r w:rsidRPr="00235C11">
        <w:rPr>
          <w:rFonts w:eastAsia="Times New Roman" w:cs="Arial"/>
          <w:color w:val="000000"/>
          <w:szCs w:val="20"/>
          <w:lang w:val="ru-RU"/>
        </w:rPr>
        <w:t>/</w:t>
      </w:r>
      <w:r w:rsidRPr="00235C11">
        <w:rPr>
          <w:rFonts w:eastAsia="Times New Roman" w:cs="Arial"/>
          <w:color w:val="000000"/>
          <w:szCs w:val="20"/>
          <w:lang w:val="en-US"/>
        </w:rPr>
        <w:t>min</w:t>
      </w:r>
      <w:r w:rsidRPr="00235C11">
        <w:rPr>
          <w:rFonts w:eastAsia="Times New Roman" w:cs="Arial"/>
          <w:color w:val="000000"/>
          <w:szCs w:val="20"/>
          <w:lang w:val="ru-RU"/>
        </w:rPr>
        <w:t>/</w:t>
      </w:r>
      <w:r w:rsidRPr="00235C11">
        <w:rPr>
          <w:rFonts w:eastAsia="Times New Roman" w:cs="Arial"/>
          <w:color w:val="000000"/>
          <w:szCs w:val="20"/>
          <w:lang w:val="en-US"/>
        </w:rPr>
        <w:t>l</w:t>
      </w:r>
      <w:r w:rsidRPr="00235C11">
        <w:rPr>
          <w:rFonts w:eastAsia="Times New Roman" w:cs="Arial"/>
          <w:color w:val="000000"/>
          <w:szCs w:val="20"/>
          <w:lang w:val="ru-RU"/>
        </w:rPr>
        <w:t>,73</w:t>
      </w:r>
      <w:r w:rsidRPr="00235C11">
        <w:rPr>
          <w:rFonts w:eastAsia="Times New Roman" w:cs="Arial"/>
          <w:color w:val="000000"/>
          <w:szCs w:val="20"/>
          <w:lang w:val="en-US"/>
        </w:rPr>
        <w:t>m</w:t>
      </w:r>
      <w:r w:rsidRPr="00235C11">
        <w:rPr>
          <w:rFonts w:eastAsia="Times New Roman" w:cs="Arial"/>
          <w:color w:val="000000"/>
          <w:szCs w:val="20"/>
          <w:vertAlign w:val="superscript"/>
          <w:lang w:val="ru-RU"/>
        </w:rPr>
        <w:t>2</w:t>
      </w:r>
      <w:r w:rsidRPr="00235C11">
        <w:rPr>
          <w:rFonts w:eastAsia="Times New Roman" w:cs="Arial"/>
          <w:color w:val="000000"/>
          <w:szCs w:val="20"/>
          <w:lang w:val="ru-RU"/>
        </w:rPr>
        <w:t xml:space="preserve">), </w:t>
      </w:r>
      <w:r w:rsidRPr="00235C11">
        <w:rPr>
          <w:rFonts w:eastAsia="Times New Roman" w:cs="Arial"/>
          <w:color w:val="000000"/>
          <w:szCs w:val="20"/>
          <w:lang w:eastAsia="bg-BG"/>
        </w:rPr>
        <w:t>но индивидуалните стойности на клирънса са в границите, характерни за здрави лица.</w:t>
      </w:r>
    </w:p>
    <w:p w14:paraId="787D21F8" w14:textId="77777777" w:rsidR="00235C11" w:rsidRPr="00235C11" w:rsidRDefault="00235C11" w:rsidP="00235C11">
      <w:pPr>
        <w:spacing w:line="240" w:lineRule="auto"/>
        <w:rPr>
          <w:rFonts w:eastAsia="Times New Roman" w:cs="Arial"/>
          <w:color w:val="000000"/>
          <w:szCs w:val="20"/>
          <w:u w:val="single"/>
          <w:lang w:eastAsia="bg-BG"/>
        </w:rPr>
      </w:pPr>
    </w:p>
    <w:p w14:paraId="178E1786" w14:textId="65B554A5"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u w:val="single"/>
          <w:lang w:eastAsia="bg-BG"/>
        </w:rPr>
        <w:t>Чернодробно увреждане</w:t>
      </w:r>
    </w:p>
    <w:p w14:paraId="412932D1" w14:textId="7777777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Средният плазмен клирънс на кветиапин намалява с около 25% . при лица с известно чернодробно увреждане (стабилна алкохолна цироза). Тъй като кветиапин се метаболизира екстензивно в черния дроб, в популацията с чернодробно увреждане се очакват повишени плазмени нива. При тези пациенти може да е необходима корекция на дозата (вж. точка 4.2).</w:t>
      </w:r>
    </w:p>
    <w:p w14:paraId="063B2230" w14:textId="77777777" w:rsidR="00235C11" w:rsidRPr="00235C11" w:rsidRDefault="00235C11" w:rsidP="00235C11">
      <w:pPr>
        <w:spacing w:line="240" w:lineRule="auto"/>
        <w:rPr>
          <w:rFonts w:eastAsia="Times New Roman" w:cs="Arial"/>
          <w:b/>
          <w:bCs/>
          <w:color w:val="000000"/>
          <w:szCs w:val="20"/>
          <w:lang w:eastAsia="bg-BG"/>
        </w:rPr>
      </w:pPr>
    </w:p>
    <w:p w14:paraId="648F4C2C" w14:textId="738D13BD" w:rsidR="00235C11" w:rsidRPr="00235C11" w:rsidRDefault="00235C11" w:rsidP="00235C11">
      <w:pPr>
        <w:spacing w:line="240" w:lineRule="auto"/>
        <w:rPr>
          <w:rFonts w:eastAsia="Times New Roman" w:cs="Arial"/>
          <w:sz w:val="28"/>
          <w:szCs w:val="24"/>
        </w:rPr>
      </w:pPr>
      <w:r w:rsidRPr="00235C11">
        <w:rPr>
          <w:rFonts w:eastAsia="Times New Roman" w:cs="Arial"/>
          <w:b/>
          <w:bCs/>
          <w:color w:val="000000"/>
          <w:szCs w:val="20"/>
          <w:lang w:eastAsia="bg-BG"/>
        </w:rPr>
        <w:t>Педиатрична популация</w:t>
      </w:r>
    </w:p>
    <w:p w14:paraId="52084ED0" w14:textId="77777777" w:rsidR="00235C11" w:rsidRPr="00235C11" w:rsidRDefault="00235C11" w:rsidP="00235C11">
      <w:pPr>
        <w:spacing w:line="240" w:lineRule="auto"/>
        <w:rPr>
          <w:rFonts w:eastAsia="Times New Roman" w:cs="Arial"/>
          <w:color w:val="000000"/>
          <w:szCs w:val="20"/>
          <w:lang w:eastAsia="bg-BG"/>
        </w:rPr>
      </w:pPr>
    </w:p>
    <w:p w14:paraId="686A226D" w14:textId="259B4DE7" w:rsidR="00235C11" w:rsidRPr="00235C11" w:rsidRDefault="00235C11" w:rsidP="00235C11">
      <w:pPr>
        <w:spacing w:line="240" w:lineRule="auto"/>
        <w:rPr>
          <w:rFonts w:eastAsia="Times New Roman" w:cs="Arial"/>
          <w:sz w:val="28"/>
          <w:szCs w:val="24"/>
        </w:rPr>
      </w:pPr>
      <w:r w:rsidRPr="00235C11">
        <w:rPr>
          <w:rFonts w:eastAsia="Times New Roman" w:cs="Arial"/>
          <w:color w:val="000000"/>
          <w:szCs w:val="20"/>
          <w:lang w:eastAsia="bg-BG"/>
        </w:rPr>
        <w:t xml:space="preserve">Фармакокинетични данни са анализирани при 9 деца на възраст 10-12 години и 12 юноши, които са били на равновесно лечение с 400 </w:t>
      </w:r>
      <w:r w:rsidRPr="00235C11">
        <w:rPr>
          <w:rFonts w:eastAsia="Times New Roman" w:cs="Arial"/>
          <w:color w:val="000000"/>
          <w:szCs w:val="20"/>
          <w:lang w:val="en-US"/>
        </w:rPr>
        <w:t>mg</w:t>
      </w:r>
      <w:r w:rsidRPr="00235C11">
        <w:rPr>
          <w:rFonts w:eastAsia="Times New Roman" w:cs="Arial"/>
          <w:color w:val="000000"/>
          <w:szCs w:val="20"/>
          <w:lang w:val="ru-RU"/>
        </w:rPr>
        <w:t xml:space="preserve"> </w:t>
      </w:r>
      <w:r w:rsidRPr="00235C11">
        <w:rPr>
          <w:rFonts w:eastAsia="Times New Roman" w:cs="Arial"/>
          <w:color w:val="000000"/>
          <w:szCs w:val="20"/>
          <w:lang w:eastAsia="bg-BG"/>
        </w:rPr>
        <w:t>кветиапин два пъти дневно. При равновесно състояние, дозо-нормализираните плазмени нива на изходното съединение кветиапин, при деца и юноши (10-17 години) са били като цяло подобни на възрастните, въпреки че С</w:t>
      </w:r>
      <w:r w:rsidRPr="00235C11">
        <w:rPr>
          <w:rFonts w:eastAsia="Times New Roman" w:cs="Arial"/>
          <w:color w:val="000000"/>
          <w:szCs w:val="20"/>
          <w:vertAlign w:val="subscript"/>
          <w:lang w:val="en-US"/>
        </w:rPr>
        <w:t>max</w:t>
      </w:r>
      <w:r w:rsidRPr="00235C11">
        <w:rPr>
          <w:rFonts w:eastAsia="Times New Roman" w:cs="Arial"/>
          <w:color w:val="000000"/>
          <w:szCs w:val="20"/>
          <w:lang w:eastAsia="bg-BG"/>
        </w:rPr>
        <w:t xml:space="preserve"> при децата е бил в горната граница на диапазона, наблюдаван при възрастни. </w:t>
      </w:r>
      <w:r w:rsidRPr="00235C11">
        <w:rPr>
          <w:rFonts w:eastAsia="Times New Roman" w:cs="Arial"/>
          <w:color w:val="000000"/>
          <w:szCs w:val="20"/>
          <w:lang w:val="en-US"/>
        </w:rPr>
        <w:t>AUC</w:t>
      </w:r>
      <w:r w:rsidRPr="00235C11">
        <w:rPr>
          <w:rFonts w:eastAsia="Times New Roman" w:cs="Arial"/>
          <w:color w:val="000000"/>
          <w:szCs w:val="20"/>
          <w:lang w:val="ru-RU"/>
        </w:rPr>
        <w:t xml:space="preserve"> </w:t>
      </w:r>
      <w:r w:rsidRPr="00235C11">
        <w:rPr>
          <w:rFonts w:eastAsia="Times New Roman" w:cs="Arial"/>
          <w:color w:val="000000"/>
          <w:szCs w:val="20"/>
          <w:lang w:eastAsia="bg-BG"/>
        </w:rPr>
        <w:t>и С</w:t>
      </w:r>
      <w:r w:rsidRPr="00235C11">
        <w:rPr>
          <w:rFonts w:eastAsia="Times New Roman" w:cs="Arial"/>
          <w:color w:val="000000"/>
          <w:szCs w:val="20"/>
          <w:vertAlign w:val="subscript"/>
          <w:lang w:eastAsia="bg-BG"/>
        </w:rPr>
        <w:t>тах</w:t>
      </w:r>
      <w:r w:rsidRPr="00235C11">
        <w:rPr>
          <w:rFonts w:eastAsia="Times New Roman" w:cs="Arial"/>
          <w:color w:val="000000"/>
          <w:szCs w:val="20"/>
          <w:lang w:eastAsia="bg-BG"/>
        </w:rPr>
        <w:t xml:space="preserve"> за активния метаболит, норкветиапин, са били по-високи приблизително 62% и 49% при деца (10-12 години), съответно и 28% и 14% при юноши (13-17 години), съответно в сравнение с възрастните.</w:t>
      </w:r>
    </w:p>
    <w:p w14:paraId="4825BAE1" w14:textId="7E3DE26F" w:rsidR="00235C11" w:rsidRPr="00235C11" w:rsidRDefault="00235C11" w:rsidP="00235C11"/>
    <w:p w14:paraId="028E658A" w14:textId="3A4B1389" w:rsidR="00395555" w:rsidRDefault="002C50EE" w:rsidP="008A6AF2">
      <w:pPr>
        <w:pStyle w:val="Heading2"/>
      </w:pPr>
      <w:r>
        <w:t>5.3. Предклинични данни за безопасност</w:t>
      </w:r>
    </w:p>
    <w:p w14:paraId="6D3950EC" w14:textId="4AE26BFD" w:rsidR="00235C11" w:rsidRDefault="00235C11" w:rsidP="00235C11"/>
    <w:p w14:paraId="3E04F980" w14:textId="77777777" w:rsidR="00235C11" w:rsidRPr="00235C11" w:rsidRDefault="00235C11" w:rsidP="00235C11">
      <w:pPr>
        <w:rPr>
          <w:sz w:val="24"/>
          <w:szCs w:val="24"/>
        </w:rPr>
      </w:pPr>
      <w:r w:rsidRPr="00235C11">
        <w:rPr>
          <w:lang w:eastAsia="bg-BG"/>
        </w:rPr>
        <w:t xml:space="preserve">Няма данни за генотоксичност в серии от </w:t>
      </w:r>
      <w:r w:rsidRPr="00235C11">
        <w:rPr>
          <w:i/>
          <w:iCs/>
          <w:lang w:val="en-US"/>
        </w:rPr>
        <w:t>in</w:t>
      </w:r>
      <w:r w:rsidRPr="00235C11">
        <w:rPr>
          <w:i/>
          <w:iCs/>
          <w:lang w:val="ru-RU"/>
        </w:rPr>
        <w:t xml:space="preserve"> </w:t>
      </w:r>
      <w:r w:rsidRPr="00235C11">
        <w:rPr>
          <w:i/>
          <w:iCs/>
          <w:lang w:val="en-US"/>
        </w:rPr>
        <w:t>vitro</w:t>
      </w:r>
      <w:r w:rsidRPr="00235C11">
        <w:rPr>
          <w:lang w:val="ru-RU"/>
        </w:rPr>
        <w:t xml:space="preserve"> </w:t>
      </w:r>
      <w:r w:rsidRPr="00235C11">
        <w:rPr>
          <w:lang w:eastAsia="bg-BG"/>
        </w:rPr>
        <w:t xml:space="preserve">и </w:t>
      </w:r>
      <w:r w:rsidRPr="00235C11">
        <w:rPr>
          <w:i/>
          <w:iCs/>
          <w:lang w:val="en-US"/>
        </w:rPr>
        <w:t>in</w:t>
      </w:r>
      <w:r w:rsidRPr="00235C11">
        <w:rPr>
          <w:i/>
          <w:iCs/>
          <w:lang w:val="ru-RU"/>
        </w:rPr>
        <w:t xml:space="preserve"> </w:t>
      </w:r>
      <w:r w:rsidRPr="00235C11">
        <w:rPr>
          <w:i/>
          <w:iCs/>
          <w:lang w:val="en-US"/>
        </w:rPr>
        <w:t>vivo</w:t>
      </w:r>
      <w:r w:rsidRPr="00235C11">
        <w:rPr>
          <w:lang w:val="ru-RU"/>
        </w:rPr>
        <w:t xml:space="preserve"> </w:t>
      </w:r>
      <w:r w:rsidRPr="00235C11">
        <w:rPr>
          <w:lang w:eastAsia="bg-BG"/>
        </w:rPr>
        <w:t>проучвания за генотоксичност. При лабораторни животни, изложени на клинично значими нива на експозиция, са наблюдавани следните девиации, които все още не са потвърдени в дългосрочно клинично проучване.</w:t>
      </w:r>
    </w:p>
    <w:p w14:paraId="6E30A429" w14:textId="77777777" w:rsidR="00235C11" w:rsidRDefault="00235C11" w:rsidP="00235C11">
      <w:pPr>
        <w:rPr>
          <w:lang w:eastAsia="bg-BG"/>
        </w:rPr>
      </w:pPr>
    </w:p>
    <w:p w14:paraId="5FE4662F" w14:textId="413D77FB" w:rsidR="00235C11" w:rsidRPr="00235C11" w:rsidRDefault="00235C11" w:rsidP="00235C11">
      <w:pPr>
        <w:rPr>
          <w:sz w:val="24"/>
          <w:szCs w:val="24"/>
        </w:rPr>
      </w:pPr>
      <w:r w:rsidRPr="00235C11">
        <w:rPr>
          <w:lang w:eastAsia="bg-BG"/>
        </w:rPr>
        <w:t xml:space="preserve">При плъхове е наблюдавана депозиция на пигмент в щитовидната жлеза; при маймуни </w:t>
      </w:r>
      <w:proofErr w:type="spellStart"/>
      <w:r w:rsidRPr="00235C11">
        <w:rPr>
          <w:lang w:val="en-US"/>
        </w:rPr>
        <w:t>cynomolgus</w:t>
      </w:r>
      <w:proofErr w:type="spellEnd"/>
      <w:r w:rsidRPr="00235C11">
        <w:rPr>
          <w:lang w:val="ru-RU"/>
        </w:rPr>
        <w:t xml:space="preserve"> </w:t>
      </w:r>
      <w:r w:rsidRPr="00235C11">
        <w:rPr>
          <w:lang w:eastAsia="bg-BG"/>
        </w:rPr>
        <w:t>- хипертрофия на фоликулариите клетки, понижаване на плазмените Т</w:t>
      </w:r>
      <w:r w:rsidRPr="00235C11">
        <w:rPr>
          <w:vertAlign w:val="subscript"/>
          <w:lang w:eastAsia="bg-BG"/>
        </w:rPr>
        <w:t>3</w:t>
      </w:r>
      <w:r w:rsidRPr="00235C11">
        <w:rPr>
          <w:lang w:eastAsia="bg-BG"/>
        </w:rPr>
        <w:t xml:space="preserve"> нива, </w:t>
      </w:r>
      <w:r w:rsidRPr="00235C11">
        <w:rPr>
          <w:lang w:eastAsia="bg-BG"/>
        </w:rPr>
        <w:lastRenderedPageBreak/>
        <w:t>понижаване на концентрацията на хемоглобина и броя на червени и бели кръвни клетки; при кучета - помътняване на лещата и катаракта.</w:t>
      </w:r>
    </w:p>
    <w:p w14:paraId="58310C3D" w14:textId="77777777" w:rsidR="00235C11" w:rsidRPr="00235C11" w:rsidRDefault="00235C11" w:rsidP="00235C11">
      <w:pPr>
        <w:rPr>
          <w:sz w:val="24"/>
          <w:szCs w:val="24"/>
        </w:rPr>
      </w:pPr>
      <w:r w:rsidRPr="00235C11">
        <w:rPr>
          <w:lang w:eastAsia="bg-BG"/>
        </w:rPr>
        <w:t>(Катаракта/помътняване на лещата, вижте точка 5.1).</w:t>
      </w:r>
    </w:p>
    <w:p w14:paraId="3E3CE582" w14:textId="77777777" w:rsidR="00235C11" w:rsidRDefault="00235C11" w:rsidP="00235C11">
      <w:pPr>
        <w:rPr>
          <w:lang w:eastAsia="bg-BG"/>
        </w:rPr>
      </w:pPr>
    </w:p>
    <w:p w14:paraId="6CAF60F7" w14:textId="7F676FE7" w:rsidR="00235C11" w:rsidRPr="00235C11" w:rsidRDefault="00235C11" w:rsidP="00235C11">
      <w:pPr>
        <w:rPr>
          <w:sz w:val="24"/>
          <w:szCs w:val="24"/>
        </w:rPr>
      </w:pPr>
      <w:r w:rsidRPr="00235C11">
        <w:rPr>
          <w:lang w:eastAsia="bg-BG"/>
        </w:rPr>
        <w:t>При проучване за ембриофетална токсичност при зайци, феталната честотата на карпална/тарзална флексура е била повишена. Този ефект се наблюдава при наличието на явни ефекти при майката, като намаляване на телесното теглото. Тези ефекти са очевидни при нива на експозиция на майката п подобни или малко над тези при хора в максималната терапевтична доза. Значението на тези находки при хора е неизвестно.</w:t>
      </w:r>
    </w:p>
    <w:p w14:paraId="54A60054" w14:textId="77777777" w:rsidR="00235C11" w:rsidRDefault="00235C11" w:rsidP="00235C11">
      <w:pPr>
        <w:rPr>
          <w:lang w:eastAsia="bg-BG"/>
        </w:rPr>
      </w:pPr>
    </w:p>
    <w:p w14:paraId="6B55A54B" w14:textId="5688AEC8" w:rsidR="00235C11" w:rsidRPr="00235C11" w:rsidRDefault="00235C11" w:rsidP="00235C11">
      <w:r w:rsidRPr="00235C11">
        <w:rPr>
          <w:lang w:eastAsia="bg-BG"/>
        </w:rPr>
        <w:t>В проучване на фертилитета при плъхове, са наблюдавани маргинална редукция на мъжкия фертилитет и лъжлива бременност, протрахирани периоди на диеструс, повишен перикоитален интервал интервал и намалена честота на забременяемост. Тези ефекти са свързани с повишени нива на пролактина и не от непосредствено значение за човека, поради междувидовите различията хормоналния контрол на репродукцията.</w:t>
      </w:r>
    </w:p>
    <w:p w14:paraId="6A7820AB" w14:textId="5B1699C7" w:rsidR="008A6AF2" w:rsidRDefault="002C50EE" w:rsidP="00395555">
      <w:pPr>
        <w:pStyle w:val="Heading1"/>
      </w:pPr>
      <w:r>
        <w:t>7. ПРИТЕЖАТЕЛ НА РАЗРЕШЕНИЕТО ЗА УПОТРЕБА</w:t>
      </w:r>
    </w:p>
    <w:p w14:paraId="0D163BE4" w14:textId="29045014" w:rsidR="00235C11" w:rsidRDefault="00235C11" w:rsidP="00235C11"/>
    <w:p w14:paraId="18348DA5" w14:textId="77777777" w:rsidR="00235C11" w:rsidRPr="00235C11" w:rsidRDefault="00235C11" w:rsidP="00235C11">
      <w:pPr>
        <w:rPr>
          <w:sz w:val="24"/>
          <w:szCs w:val="24"/>
          <w:lang w:val="en-US"/>
        </w:rPr>
      </w:pPr>
      <w:r w:rsidRPr="00235C11">
        <w:rPr>
          <w:lang w:val="en-US"/>
        </w:rPr>
        <w:t xml:space="preserve">Accord Healthcare </w:t>
      </w:r>
      <w:proofErr w:type="spellStart"/>
      <w:r w:rsidRPr="00235C11">
        <w:rPr>
          <w:lang w:val="en-US"/>
        </w:rPr>
        <w:t>Polska</w:t>
      </w:r>
      <w:proofErr w:type="spellEnd"/>
      <w:r w:rsidRPr="00235C11">
        <w:rPr>
          <w:lang w:val="en-US"/>
        </w:rPr>
        <w:t xml:space="preserve"> Sp. z </w:t>
      </w:r>
      <w:proofErr w:type="spellStart"/>
      <w:r w:rsidRPr="00235C11">
        <w:rPr>
          <w:lang w:val="en-US"/>
        </w:rPr>
        <w:t>o.o</w:t>
      </w:r>
      <w:proofErr w:type="spellEnd"/>
      <w:proofErr w:type="gramStart"/>
      <w:r w:rsidRPr="00235C11">
        <w:rPr>
          <w:lang w:val="en-US"/>
        </w:rPr>
        <w:t>.,</w:t>
      </w:r>
      <w:proofErr w:type="gramEnd"/>
    </w:p>
    <w:p w14:paraId="332AB1F5" w14:textId="77777777" w:rsidR="00235C11" w:rsidRPr="00235C11" w:rsidRDefault="00235C11" w:rsidP="00235C11">
      <w:pPr>
        <w:rPr>
          <w:sz w:val="24"/>
          <w:szCs w:val="24"/>
          <w:lang w:val="ru-RU"/>
        </w:rPr>
      </w:pPr>
      <w:proofErr w:type="spellStart"/>
      <w:proofErr w:type="gramStart"/>
      <w:r w:rsidRPr="00235C11">
        <w:rPr>
          <w:lang w:val="en-US"/>
        </w:rPr>
        <w:t>ul</w:t>
      </w:r>
      <w:proofErr w:type="spellEnd"/>
      <w:proofErr w:type="gramEnd"/>
      <w:r w:rsidRPr="00235C11">
        <w:rPr>
          <w:lang w:val="ru-RU"/>
        </w:rPr>
        <w:t xml:space="preserve">. </w:t>
      </w:r>
      <w:proofErr w:type="spellStart"/>
      <w:r w:rsidRPr="00235C11">
        <w:rPr>
          <w:lang w:val="en-US"/>
        </w:rPr>
        <w:t>TaSmowa</w:t>
      </w:r>
      <w:proofErr w:type="spellEnd"/>
      <w:r w:rsidRPr="00235C11">
        <w:rPr>
          <w:lang w:val="ru-RU"/>
        </w:rPr>
        <w:t xml:space="preserve"> 7,</w:t>
      </w:r>
    </w:p>
    <w:p w14:paraId="07F9D4A1" w14:textId="77777777" w:rsidR="00235C11" w:rsidRPr="00235C11" w:rsidRDefault="00235C11" w:rsidP="00235C11">
      <w:pPr>
        <w:rPr>
          <w:sz w:val="24"/>
          <w:szCs w:val="24"/>
          <w:lang w:val="ru-RU"/>
        </w:rPr>
      </w:pPr>
      <w:r w:rsidRPr="00235C11">
        <w:rPr>
          <w:lang w:val="ru-RU"/>
        </w:rPr>
        <w:t xml:space="preserve">02-677, </w:t>
      </w:r>
      <w:r w:rsidRPr="00235C11">
        <w:rPr>
          <w:lang w:val="en-US"/>
        </w:rPr>
        <w:t>Warszawa</w:t>
      </w:r>
      <w:r w:rsidRPr="00235C11">
        <w:rPr>
          <w:lang w:val="ru-RU"/>
        </w:rPr>
        <w:t xml:space="preserve">, </w:t>
      </w:r>
      <w:proofErr w:type="spellStart"/>
      <w:r w:rsidRPr="00235C11">
        <w:rPr>
          <w:lang w:val="en-US"/>
        </w:rPr>
        <w:t>Mazowieckie</w:t>
      </w:r>
      <w:proofErr w:type="spellEnd"/>
      <w:r w:rsidRPr="00235C11">
        <w:rPr>
          <w:lang w:val="ru-RU"/>
        </w:rPr>
        <w:t>,</w:t>
      </w:r>
    </w:p>
    <w:p w14:paraId="2580D63A" w14:textId="165EE90D" w:rsidR="00235C11" w:rsidRPr="00235C11" w:rsidRDefault="00235C11" w:rsidP="00235C11">
      <w:r w:rsidRPr="00235C11">
        <w:rPr>
          <w:lang w:eastAsia="bg-BG"/>
        </w:rPr>
        <w:t>Полша</w:t>
      </w:r>
    </w:p>
    <w:p w14:paraId="04840D59" w14:textId="521F52EA" w:rsidR="002C50EE" w:rsidRDefault="002C50EE" w:rsidP="00395555">
      <w:pPr>
        <w:pStyle w:val="Heading1"/>
      </w:pPr>
      <w:r>
        <w:t>8. НОМЕР НА РАЗРЕШЕНИЕТО ЗА УПОТРЕБА</w:t>
      </w:r>
    </w:p>
    <w:p w14:paraId="16BCC7E2" w14:textId="634CD9A7" w:rsidR="00235C11" w:rsidRDefault="00235C11" w:rsidP="00235C11"/>
    <w:p w14:paraId="1646D07C" w14:textId="5D6EAA8D" w:rsidR="00235C11" w:rsidRPr="00235C11" w:rsidRDefault="00235C11" w:rsidP="00235C11">
      <w:r>
        <w:rPr>
          <w:lang w:eastAsia="bg-BG"/>
        </w:rPr>
        <w:t xml:space="preserve">Рег.№ </w:t>
      </w:r>
      <w:r>
        <w:t>20110474</w:t>
      </w:r>
    </w:p>
    <w:p w14:paraId="2CCB5832" w14:textId="7991B9E9" w:rsidR="007C605B" w:rsidRDefault="002C50EE" w:rsidP="007C605B">
      <w:pPr>
        <w:pStyle w:val="Heading1"/>
      </w:pPr>
      <w:r>
        <w:t>9. ДАТА НА ПЪРВО РАЗРЕШАВАНЕ/ПОДНОВЯВАНЕ НА РАЗРЕШЕНИЕТО ЗА УПОТРЕБА</w:t>
      </w:r>
    </w:p>
    <w:p w14:paraId="669625EA" w14:textId="29396F08" w:rsidR="00235C11" w:rsidRDefault="00235C11" w:rsidP="00235C11"/>
    <w:p w14:paraId="3FB561A3" w14:textId="77777777" w:rsidR="00235C11" w:rsidRPr="00235C11" w:rsidRDefault="00235C11" w:rsidP="00235C11">
      <w:pPr>
        <w:rPr>
          <w:sz w:val="24"/>
          <w:szCs w:val="24"/>
        </w:rPr>
      </w:pPr>
      <w:r w:rsidRPr="00235C11">
        <w:rPr>
          <w:lang w:eastAsia="bg-BG"/>
        </w:rPr>
        <w:t>Дата на първо разрешаване: 02.08.2011 г.</w:t>
      </w:r>
    </w:p>
    <w:p w14:paraId="1B654466" w14:textId="2C6F71EC" w:rsidR="00235C11" w:rsidRPr="00235C11" w:rsidRDefault="00235C11" w:rsidP="00235C11">
      <w:r w:rsidRPr="00235C11">
        <w:rPr>
          <w:lang w:eastAsia="bg-BG"/>
        </w:rPr>
        <w:t>Дата на последно подновяване: 29.11.2017 г.</w:t>
      </w:r>
    </w:p>
    <w:p w14:paraId="0E9D0119" w14:textId="0245C6D7" w:rsidR="002C50EE" w:rsidRDefault="002C50EE" w:rsidP="002C50EE">
      <w:pPr>
        <w:pStyle w:val="Heading1"/>
      </w:pPr>
      <w:r>
        <w:t>10. ДАТА НА АКТУАЛИЗИРАНЕ НА ТЕКСТА</w:t>
      </w:r>
    </w:p>
    <w:bookmarkEnd w:id="0"/>
    <w:p w14:paraId="43FB38A2" w14:textId="40425088" w:rsidR="007C605B" w:rsidRPr="003E3126" w:rsidRDefault="00235C11" w:rsidP="00235C11">
      <w:r>
        <w:t>Март 2019 г.</w:t>
      </w:r>
      <w:bookmarkStart w:id="8" w:name="_GoBack"/>
      <w:bookmarkEnd w:id="8"/>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8170CBE"/>
    <w:multiLevelType w:val="hybridMultilevel"/>
    <w:tmpl w:val="1A663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73373"/>
    <w:multiLevelType w:val="hybridMultilevel"/>
    <w:tmpl w:val="A9CEF644"/>
    <w:lvl w:ilvl="0" w:tplc="21A6543A">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94069"/>
    <w:multiLevelType w:val="hybridMultilevel"/>
    <w:tmpl w:val="87B6C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1"/>
  </w:num>
  <w:num w:numId="12">
    <w:abstractNumId w:val="16"/>
  </w:num>
  <w:num w:numId="13">
    <w:abstractNumId w:val="21"/>
  </w:num>
  <w:num w:numId="14">
    <w:abstractNumId w:val="13"/>
  </w:num>
  <w:num w:numId="15">
    <w:abstractNumId w:val="30"/>
  </w:num>
  <w:num w:numId="16">
    <w:abstractNumId w:val="11"/>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2"/>
  </w:num>
  <w:num w:numId="28">
    <w:abstractNumId w:val="8"/>
  </w:num>
  <w:num w:numId="29">
    <w:abstractNumId w:val="22"/>
  </w:num>
  <w:num w:numId="30">
    <w:abstractNumId w:val="33"/>
  </w:num>
  <w:num w:numId="31">
    <w:abstractNumId w:val="6"/>
  </w:num>
  <w:num w:numId="32">
    <w:abstractNumId w:val="15"/>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35C11"/>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642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9929</Words>
  <Characters>56600</Characters>
  <Application>Microsoft Office Word</Application>
  <DocSecurity>0</DocSecurity>
  <Lines>471</Lines>
  <Paragraphs>132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2022-02-16T19:17:00Z</dcterms:created>
  <dcterms:modified xsi:type="dcterms:W3CDTF">2022-02-16T19:17:00Z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