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3A85BAC8" w:rsidR="00DB32D3" w:rsidRDefault="00DD466D" w:rsidP="005726E3">
      <w:pPr>
        <w:pStyle w:val="Heading1"/>
      </w:pPr>
      <w:r>
        <w:t>1.ИМЕ НА ЛЕКАРСТВЕНИЯ ПРОДУКТ</w:t>
      </w:r>
    </w:p>
    <w:p w14:paraId="375B4B78" w14:textId="446B1901" w:rsidR="00A378B3" w:rsidRDefault="00A378B3" w:rsidP="00A378B3"/>
    <w:p w14:paraId="3E995327" w14:textId="77777777" w:rsidR="00A378B3" w:rsidRPr="00A378B3" w:rsidRDefault="00A378B3" w:rsidP="00A378B3">
      <w:pPr>
        <w:rPr>
          <w:sz w:val="24"/>
          <w:szCs w:val="24"/>
          <w:lang w:eastAsia="bg-BG"/>
        </w:rPr>
      </w:pPr>
      <w:r w:rsidRPr="00A378B3">
        <w:rPr>
          <w:lang w:eastAsia="bg-BG"/>
        </w:rPr>
        <w:t xml:space="preserve">РамиХЕКСАЛ 5 </w:t>
      </w:r>
      <w:r w:rsidRPr="00A378B3">
        <w:rPr>
          <w:lang w:val="en-US"/>
        </w:rPr>
        <w:t xml:space="preserve">mg </w:t>
      </w:r>
      <w:r w:rsidRPr="00A378B3">
        <w:rPr>
          <w:lang w:eastAsia="bg-BG"/>
        </w:rPr>
        <w:t>таблетки</w:t>
      </w:r>
    </w:p>
    <w:p w14:paraId="1B17C83A" w14:textId="77777777" w:rsidR="00A378B3" w:rsidRPr="00A378B3" w:rsidRDefault="00A378B3" w:rsidP="00A378B3">
      <w:pPr>
        <w:rPr>
          <w:sz w:val="24"/>
          <w:szCs w:val="24"/>
          <w:lang w:eastAsia="bg-BG"/>
        </w:rPr>
      </w:pPr>
      <w:proofErr w:type="spellStart"/>
      <w:r w:rsidRPr="00A378B3">
        <w:rPr>
          <w:lang w:val="en-US"/>
        </w:rPr>
        <w:t>RamiHEXAL</w:t>
      </w:r>
      <w:proofErr w:type="spellEnd"/>
      <w:r w:rsidRPr="00A378B3">
        <w:rPr>
          <w:lang w:val="en-US"/>
        </w:rPr>
        <w:t xml:space="preserve"> </w:t>
      </w:r>
      <w:r w:rsidRPr="00A378B3">
        <w:rPr>
          <w:lang w:eastAsia="bg-BG"/>
        </w:rPr>
        <w:t xml:space="preserve">5 </w:t>
      </w:r>
      <w:r w:rsidRPr="00A378B3">
        <w:rPr>
          <w:lang w:val="en-US"/>
        </w:rPr>
        <w:t>mg tablets</w:t>
      </w:r>
    </w:p>
    <w:p w14:paraId="5BAB101B" w14:textId="77777777" w:rsidR="00A378B3" w:rsidRPr="00A378B3" w:rsidRDefault="00A378B3" w:rsidP="00A378B3"/>
    <w:p w14:paraId="48E6CABE" w14:textId="1C6DBFB3" w:rsidR="00DB32D3" w:rsidRDefault="00DD466D" w:rsidP="005726E3">
      <w:pPr>
        <w:pStyle w:val="Heading1"/>
      </w:pPr>
      <w:r>
        <w:t>2. КАЧЕСТВЕН И КОЛИЧЕСТВЕН СЪСТАВ</w:t>
      </w:r>
    </w:p>
    <w:p w14:paraId="395FECA7" w14:textId="3006861B" w:rsidR="00A378B3" w:rsidRDefault="00A378B3" w:rsidP="00A378B3"/>
    <w:p w14:paraId="18F85561" w14:textId="77777777" w:rsidR="00A378B3" w:rsidRPr="00A378B3" w:rsidRDefault="00A378B3" w:rsidP="00A378B3">
      <w:pPr>
        <w:rPr>
          <w:sz w:val="24"/>
          <w:szCs w:val="24"/>
          <w:lang w:eastAsia="bg-BG"/>
        </w:rPr>
      </w:pPr>
      <w:r w:rsidRPr="00A378B3">
        <w:rPr>
          <w:lang w:eastAsia="bg-BG"/>
        </w:rPr>
        <w:t xml:space="preserve">1 таблетка съдържа 5 </w:t>
      </w:r>
      <w:r w:rsidRPr="00A378B3">
        <w:rPr>
          <w:lang w:val="en-US"/>
        </w:rPr>
        <w:t xml:space="preserve">mg </w:t>
      </w:r>
      <w:r w:rsidRPr="00A378B3">
        <w:rPr>
          <w:lang w:eastAsia="bg-BG"/>
        </w:rPr>
        <w:t>рамиприл.</w:t>
      </w:r>
    </w:p>
    <w:p w14:paraId="13CC0098" w14:textId="77777777" w:rsidR="00A378B3" w:rsidRDefault="00A378B3" w:rsidP="00A378B3">
      <w:pPr>
        <w:rPr>
          <w:u w:val="single"/>
          <w:lang w:eastAsia="bg-BG"/>
        </w:rPr>
      </w:pPr>
    </w:p>
    <w:p w14:paraId="09F024FC" w14:textId="2F5610B7" w:rsidR="00A378B3" w:rsidRPr="00A378B3" w:rsidRDefault="00A378B3" w:rsidP="00A378B3">
      <w:pPr>
        <w:rPr>
          <w:sz w:val="24"/>
          <w:szCs w:val="24"/>
          <w:lang w:eastAsia="bg-BG"/>
        </w:rPr>
      </w:pPr>
      <w:r w:rsidRPr="00A378B3">
        <w:rPr>
          <w:u w:val="single"/>
          <w:lang w:eastAsia="bg-BG"/>
        </w:rPr>
        <w:t>Помощно вещество с известно действие:</w:t>
      </w:r>
    </w:p>
    <w:p w14:paraId="5CC79A9B" w14:textId="77777777" w:rsidR="00A378B3" w:rsidRPr="00A378B3" w:rsidRDefault="00A378B3" w:rsidP="00A378B3">
      <w:pPr>
        <w:rPr>
          <w:sz w:val="24"/>
          <w:szCs w:val="24"/>
          <w:lang w:eastAsia="bg-BG"/>
        </w:rPr>
      </w:pPr>
      <w:r w:rsidRPr="00A378B3">
        <w:rPr>
          <w:lang w:eastAsia="bg-BG"/>
        </w:rPr>
        <w:t xml:space="preserve">Всяка таблетка съдържа по-малко от 4.4 </w:t>
      </w:r>
      <w:r w:rsidRPr="00A378B3">
        <w:rPr>
          <w:lang w:val="en-US"/>
        </w:rPr>
        <w:t xml:space="preserve">mg </w:t>
      </w:r>
      <w:r w:rsidRPr="00A378B3">
        <w:rPr>
          <w:lang w:eastAsia="bg-BG"/>
        </w:rPr>
        <w:t>натрий.</w:t>
      </w:r>
    </w:p>
    <w:p w14:paraId="05537F92" w14:textId="77777777" w:rsidR="00A378B3" w:rsidRPr="00A378B3" w:rsidRDefault="00A378B3" w:rsidP="00A378B3"/>
    <w:p w14:paraId="763B21BA" w14:textId="2EBCEBD7" w:rsidR="001A6EBD" w:rsidRDefault="00DD466D" w:rsidP="00471F10">
      <w:pPr>
        <w:pStyle w:val="Heading1"/>
      </w:pPr>
      <w:r>
        <w:t>3. ЛЕКАРСТВЕНА ФОРМА</w:t>
      </w:r>
    </w:p>
    <w:p w14:paraId="20B05D3E" w14:textId="28F5DE9A" w:rsidR="00A378B3" w:rsidRDefault="00A378B3" w:rsidP="00A378B3"/>
    <w:p w14:paraId="58931661"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Таблетки</w:t>
      </w:r>
    </w:p>
    <w:p w14:paraId="13C30421" w14:textId="77777777" w:rsidR="00A378B3" w:rsidRPr="00A378B3" w:rsidRDefault="00A378B3" w:rsidP="00A378B3">
      <w:pPr>
        <w:spacing w:line="240" w:lineRule="auto"/>
        <w:rPr>
          <w:rFonts w:eastAsia="Times New Roman" w:cs="Arial"/>
          <w:color w:val="000000"/>
          <w:lang w:eastAsia="bg-BG"/>
        </w:rPr>
      </w:pPr>
    </w:p>
    <w:p w14:paraId="1DCE7E01" w14:textId="2CF6C92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Бели, елипсовидни, обикновени таблетки, от двете страни е делителна черта, с щампа от едната страна </w:t>
      </w:r>
      <w:r w:rsidRPr="00A378B3">
        <w:rPr>
          <w:rFonts w:eastAsia="Times New Roman" w:cs="Arial"/>
          <w:color w:val="000000"/>
          <w:lang w:val="en-US"/>
        </w:rPr>
        <w:t>R</w:t>
      </w:r>
      <w:r w:rsidRPr="00A378B3">
        <w:rPr>
          <w:rFonts w:eastAsia="Times New Roman" w:cs="Arial"/>
          <w:color w:val="000000"/>
          <w:lang w:eastAsia="bg-BG"/>
        </w:rPr>
        <w:t>5.</w:t>
      </w:r>
    </w:p>
    <w:p w14:paraId="15C49C05"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Таблетката може да бъде разделена на две равни половини.</w:t>
      </w:r>
    </w:p>
    <w:p w14:paraId="7B6993EE" w14:textId="77777777" w:rsidR="00A378B3" w:rsidRPr="00A378B3" w:rsidRDefault="00A378B3" w:rsidP="00A378B3"/>
    <w:p w14:paraId="490FC2C4" w14:textId="6899DE43" w:rsidR="002C50EE" w:rsidRDefault="002C50EE" w:rsidP="002C50EE">
      <w:pPr>
        <w:pStyle w:val="Heading1"/>
      </w:pPr>
      <w:r>
        <w:t>4. КЛИНИЧНИ ДАННИ</w:t>
      </w:r>
    </w:p>
    <w:p w14:paraId="25C765CE" w14:textId="128FB8F5" w:rsidR="001A6EBD" w:rsidRDefault="002C50EE" w:rsidP="00471F10">
      <w:pPr>
        <w:pStyle w:val="Heading2"/>
      </w:pPr>
      <w:r>
        <w:t>4.1. Терапевтични показания</w:t>
      </w:r>
    </w:p>
    <w:p w14:paraId="2EB7560A" w14:textId="4A6C789A" w:rsidR="00A378B3" w:rsidRDefault="00A378B3" w:rsidP="00A378B3"/>
    <w:p w14:paraId="28D772E2" w14:textId="77777777" w:rsidR="00A378B3" w:rsidRDefault="00A378B3" w:rsidP="00A378B3">
      <w:pPr>
        <w:pStyle w:val="ListParagraph"/>
        <w:numPr>
          <w:ilvl w:val="0"/>
          <w:numId w:val="40"/>
        </w:numPr>
        <w:spacing w:line="240" w:lineRule="auto"/>
        <w:rPr>
          <w:rFonts w:eastAsia="Times New Roman" w:cs="Arial"/>
          <w:color w:val="000000"/>
          <w:lang w:eastAsia="bg-BG"/>
        </w:rPr>
      </w:pPr>
      <w:r w:rsidRPr="00A378B3">
        <w:rPr>
          <w:rFonts w:eastAsia="Times New Roman" w:cs="Arial"/>
          <w:color w:val="000000"/>
          <w:lang w:eastAsia="bg-BG"/>
        </w:rPr>
        <w:t>Лечение на хипертония.</w:t>
      </w:r>
    </w:p>
    <w:p w14:paraId="00A52F1C" w14:textId="4D509E58" w:rsidR="00A378B3" w:rsidRPr="00A378B3" w:rsidRDefault="00A378B3" w:rsidP="00A378B3">
      <w:pPr>
        <w:pStyle w:val="ListParagraph"/>
        <w:numPr>
          <w:ilvl w:val="0"/>
          <w:numId w:val="40"/>
        </w:numPr>
        <w:spacing w:line="240" w:lineRule="auto"/>
        <w:rPr>
          <w:rFonts w:eastAsia="Times New Roman" w:cs="Arial"/>
          <w:color w:val="000000"/>
          <w:lang w:eastAsia="bg-BG"/>
        </w:rPr>
      </w:pPr>
      <w:r w:rsidRPr="00A378B3">
        <w:rPr>
          <w:rFonts w:eastAsia="Times New Roman" w:cs="Arial"/>
          <w:color w:val="000000"/>
          <w:lang w:eastAsia="bg-BG"/>
        </w:rPr>
        <w:t>Сърдечно-съдова профилактика: намаляване на сърдечно-съдовата заболеваемост и смъртност при пациенти с:</w:t>
      </w:r>
    </w:p>
    <w:p w14:paraId="4DB7E705" w14:textId="77777777" w:rsidR="00A378B3" w:rsidRDefault="00A378B3" w:rsidP="00A378B3">
      <w:pPr>
        <w:pStyle w:val="ListParagraph"/>
        <w:numPr>
          <w:ilvl w:val="0"/>
          <w:numId w:val="41"/>
        </w:numPr>
        <w:spacing w:line="240" w:lineRule="auto"/>
        <w:rPr>
          <w:rFonts w:eastAsia="Times New Roman" w:cs="Arial"/>
          <w:color w:val="000000"/>
          <w:lang w:eastAsia="bg-BG"/>
        </w:rPr>
      </w:pPr>
      <w:r w:rsidRPr="00A378B3">
        <w:rPr>
          <w:rFonts w:eastAsia="Times New Roman" w:cs="Arial"/>
          <w:color w:val="000000"/>
          <w:lang w:eastAsia="bg-BG"/>
        </w:rPr>
        <w:t>проявено атеротромботично сърдечно-съдово заболяване (анамнеза за коронарна болест на сърцето или инсулт, или периферно-съдова болест) или</w:t>
      </w:r>
    </w:p>
    <w:p w14:paraId="75982D69" w14:textId="4E8E8CAF" w:rsidR="00A378B3" w:rsidRPr="00A378B3" w:rsidRDefault="00A378B3" w:rsidP="00A378B3">
      <w:pPr>
        <w:pStyle w:val="ListParagraph"/>
        <w:numPr>
          <w:ilvl w:val="0"/>
          <w:numId w:val="41"/>
        </w:numPr>
        <w:spacing w:line="240" w:lineRule="auto"/>
        <w:rPr>
          <w:rFonts w:eastAsia="Times New Roman" w:cs="Arial"/>
          <w:color w:val="000000"/>
          <w:lang w:eastAsia="bg-BG"/>
        </w:rPr>
      </w:pPr>
      <w:r w:rsidRPr="00A378B3">
        <w:rPr>
          <w:rFonts w:eastAsia="Times New Roman" w:cs="Arial"/>
          <w:color w:val="000000"/>
          <w:lang w:eastAsia="bg-BG"/>
        </w:rPr>
        <w:t>диабет с поне един сърдечно-съдов рисков фактор (вж. точка 5.1)</w:t>
      </w:r>
    </w:p>
    <w:p w14:paraId="2E9DD435" w14:textId="77777777" w:rsidR="00A378B3" w:rsidRPr="00A378B3" w:rsidRDefault="00A378B3" w:rsidP="00A378B3">
      <w:pPr>
        <w:pStyle w:val="ListParagraph"/>
        <w:numPr>
          <w:ilvl w:val="0"/>
          <w:numId w:val="42"/>
        </w:numPr>
        <w:spacing w:line="240" w:lineRule="auto"/>
        <w:rPr>
          <w:rFonts w:eastAsia="Times New Roman" w:cs="Arial"/>
          <w:lang w:eastAsia="bg-BG"/>
        </w:rPr>
      </w:pPr>
      <w:r w:rsidRPr="00A378B3">
        <w:rPr>
          <w:rFonts w:eastAsia="Times New Roman" w:cs="Arial"/>
          <w:color w:val="000000"/>
          <w:lang w:eastAsia="bg-BG"/>
        </w:rPr>
        <w:t>Лечение на бъбречно заболяване:</w:t>
      </w:r>
    </w:p>
    <w:p w14:paraId="1BD846D2" w14:textId="77777777" w:rsidR="00A378B3" w:rsidRPr="00A378B3" w:rsidRDefault="00A378B3" w:rsidP="00A378B3">
      <w:pPr>
        <w:pStyle w:val="ListParagraph"/>
        <w:numPr>
          <w:ilvl w:val="0"/>
          <w:numId w:val="38"/>
        </w:numPr>
        <w:spacing w:line="240" w:lineRule="auto"/>
        <w:rPr>
          <w:rFonts w:eastAsia="Times New Roman" w:cs="Arial"/>
          <w:lang w:eastAsia="bg-BG"/>
        </w:rPr>
      </w:pPr>
      <w:r w:rsidRPr="00A378B3">
        <w:rPr>
          <w:rFonts w:eastAsia="Times New Roman" w:cs="Arial"/>
          <w:color w:val="000000"/>
          <w:lang w:eastAsia="bg-BG"/>
        </w:rPr>
        <w:t>начална диабетна гломерулна нефропатия, която се доказва чрез наличие на микроалбуминурия,</w:t>
      </w:r>
    </w:p>
    <w:p w14:paraId="0BA5FCB2" w14:textId="77777777" w:rsidR="00A378B3" w:rsidRPr="00A378B3" w:rsidRDefault="00A378B3" w:rsidP="00A378B3">
      <w:pPr>
        <w:pStyle w:val="ListParagraph"/>
        <w:numPr>
          <w:ilvl w:val="0"/>
          <w:numId w:val="38"/>
        </w:numPr>
        <w:spacing w:line="240" w:lineRule="auto"/>
        <w:rPr>
          <w:rFonts w:eastAsia="Times New Roman" w:cs="Arial"/>
          <w:lang w:eastAsia="bg-BG"/>
        </w:rPr>
      </w:pPr>
      <w:r w:rsidRPr="00A378B3">
        <w:rPr>
          <w:rFonts w:eastAsia="Times New Roman" w:cs="Arial"/>
          <w:color w:val="000000"/>
          <w:lang w:eastAsia="bg-BG"/>
        </w:rPr>
        <w:t>проявена диабетна гломерулна нефропатия, която се доказва чрез макропротеинурия при пациенти с поне един сърдечно-съдов рисков фактор (вижте точка 5.1),</w:t>
      </w:r>
    </w:p>
    <w:p w14:paraId="3DF4617E" w14:textId="3F466BE5" w:rsidR="00A378B3" w:rsidRPr="00A378B3" w:rsidRDefault="00A378B3" w:rsidP="00A378B3">
      <w:pPr>
        <w:pStyle w:val="ListParagraph"/>
        <w:numPr>
          <w:ilvl w:val="0"/>
          <w:numId w:val="38"/>
        </w:numPr>
        <w:spacing w:line="240" w:lineRule="auto"/>
        <w:rPr>
          <w:rFonts w:eastAsia="Times New Roman" w:cs="Arial"/>
          <w:lang w:eastAsia="bg-BG"/>
        </w:rPr>
      </w:pPr>
      <w:r w:rsidRPr="00A378B3">
        <w:rPr>
          <w:rFonts w:eastAsia="Times New Roman" w:cs="Arial"/>
          <w:color w:val="000000"/>
          <w:lang w:eastAsia="bg-BG"/>
        </w:rPr>
        <w:t xml:space="preserve">проявена недиабетна гломерулна нефропатия, която се доказва чрез макропротеинурия ≥3 </w:t>
      </w:r>
      <w:r w:rsidRPr="00A378B3">
        <w:rPr>
          <w:rFonts w:eastAsia="Times New Roman" w:cs="Arial"/>
          <w:color w:val="000000"/>
          <w:lang w:val="en-US"/>
        </w:rPr>
        <w:t>g</w:t>
      </w:r>
      <w:r w:rsidRPr="00A378B3">
        <w:rPr>
          <w:rFonts w:eastAsia="Times New Roman" w:cs="Arial"/>
          <w:color w:val="000000"/>
          <w:lang w:eastAsia="bg-BG"/>
        </w:rPr>
        <w:t>/ден (вижте точка 5.1).</w:t>
      </w:r>
    </w:p>
    <w:p w14:paraId="44CA69D1" w14:textId="77777777" w:rsidR="00A378B3" w:rsidRDefault="00A378B3" w:rsidP="00A378B3">
      <w:pPr>
        <w:spacing w:line="240" w:lineRule="auto"/>
        <w:rPr>
          <w:rFonts w:eastAsia="Times New Roman" w:cs="Arial"/>
          <w:color w:val="000000"/>
          <w:lang w:eastAsia="bg-BG"/>
        </w:rPr>
      </w:pPr>
    </w:p>
    <w:p w14:paraId="39750E49" w14:textId="77777777" w:rsidR="00A378B3" w:rsidRDefault="00A378B3" w:rsidP="00A378B3">
      <w:pPr>
        <w:pStyle w:val="ListParagraph"/>
        <w:numPr>
          <w:ilvl w:val="0"/>
          <w:numId w:val="42"/>
        </w:numPr>
        <w:spacing w:line="240" w:lineRule="auto"/>
        <w:rPr>
          <w:rFonts w:eastAsia="Times New Roman" w:cs="Arial"/>
          <w:color w:val="000000"/>
          <w:lang w:eastAsia="bg-BG"/>
        </w:rPr>
      </w:pPr>
      <w:r w:rsidRPr="00A378B3">
        <w:rPr>
          <w:rFonts w:eastAsia="Times New Roman" w:cs="Arial"/>
          <w:color w:val="000000"/>
          <w:lang w:eastAsia="bg-BG"/>
        </w:rPr>
        <w:lastRenderedPageBreak/>
        <w:t>Лечение на симптоматична сърдечна недостатъчност.</w:t>
      </w:r>
    </w:p>
    <w:p w14:paraId="3E5B83E9" w14:textId="5AB1D9B0" w:rsidR="00A378B3" w:rsidRDefault="00A378B3" w:rsidP="00A378B3">
      <w:pPr>
        <w:pStyle w:val="ListParagraph"/>
        <w:numPr>
          <w:ilvl w:val="0"/>
          <w:numId w:val="42"/>
        </w:numPr>
        <w:spacing w:line="240" w:lineRule="auto"/>
        <w:rPr>
          <w:rFonts w:eastAsia="Times New Roman" w:cs="Arial"/>
          <w:color w:val="000000"/>
          <w:lang w:eastAsia="bg-BG"/>
        </w:rPr>
      </w:pPr>
      <w:r w:rsidRPr="00A378B3">
        <w:rPr>
          <w:rFonts w:eastAsia="Times New Roman" w:cs="Arial"/>
          <w:color w:val="000000"/>
          <w:lang w:eastAsia="bg-BG"/>
        </w:rPr>
        <w:t>Вторична профилактика след остър миокарден инфаркт: намаляване на смъртността през острата фаза на миокарден инфаркт при пациенти с клинични признаци на сърдечна недостатъчност, когато се започне 48 часа след остър миокарден инфаркт.</w:t>
      </w:r>
    </w:p>
    <w:p w14:paraId="73F9269A" w14:textId="77777777" w:rsidR="00A378B3" w:rsidRPr="00A378B3" w:rsidRDefault="00A378B3" w:rsidP="00A378B3">
      <w:pPr>
        <w:spacing w:line="240" w:lineRule="auto"/>
        <w:rPr>
          <w:rFonts w:eastAsia="Times New Roman" w:cs="Arial"/>
          <w:color w:val="000000"/>
          <w:lang w:eastAsia="bg-BG"/>
        </w:rPr>
      </w:pPr>
    </w:p>
    <w:p w14:paraId="19026639" w14:textId="0050DACD" w:rsidR="001A6EBD" w:rsidRDefault="002C50EE" w:rsidP="00471F10">
      <w:pPr>
        <w:pStyle w:val="Heading2"/>
      </w:pPr>
      <w:r>
        <w:t>4.2. Дозировка и начин на приложение</w:t>
      </w:r>
    </w:p>
    <w:p w14:paraId="38E69A47" w14:textId="01B96B4B" w:rsidR="00A378B3" w:rsidRDefault="00A378B3" w:rsidP="00A378B3"/>
    <w:p w14:paraId="1A11801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За перорално приложение.</w:t>
      </w:r>
    </w:p>
    <w:p w14:paraId="6F6ABA3D" w14:textId="77777777" w:rsidR="00A378B3" w:rsidRPr="00A378B3" w:rsidRDefault="00A378B3" w:rsidP="00A378B3">
      <w:pPr>
        <w:rPr>
          <w:rFonts w:eastAsia="Times New Roman" w:cs="Arial"/>
          <w:color w:val="000000"/>
          <w:lang w:eastAsia="bg-BG"/>
        </w:rPr>
      </w:pPr>
    </w:p>
    <w:p w14:paraId="4155C169" w14:textId="6C779FCF" w:rsidR="00A378B3" w:rsidRPr="00A378B3" w:rsidRDefault="00A378B3" w:rsidP="00A378B3">
      <w:pPr>
        <w:rPr>
          <w:rFonts w:eastAsia="Times New Roman" w:cs="Arial"/>
          <w:color w:val="000000"/>
          <w:lang w:eastAsia="bg-BG"/>
        </w:rPr>
      </w:pPr>
      <w:r w:rsidRPr="00A378B3">
        <w:rPr>
          <w:rFonts w:eastAsia="Times New Roman" w:cs="Arial"/>
          <w:color w:val="000000"/>
          <w:lang w:eastAsia="bg-BG"/>
        </w:rPr>
        <w:t>Препоръчително е РамиХЕКСАЛ да се приема всеки ден по едно и също време на деня. РамиХЕКСАЛ може да се приема преди, по време или след хранене, тъй като приема на храна не променя неговата бионаличност (вж. точка 5.2).</w:t>
      </w:r>
    </w:p>
    <w:p w14:paraId="443AA689" w14:textId="1913A39F" w:rsidR="00A378B3" w:rsidRPr="00A378B3" w:rsidRDefault="00A378B3" w:rsidP="00A378B3">
      <w:pPr>
        <w:rPr>
          <w:rFonts w:eastAsia="Times New Roman" w:cs="Arial"/>
          <w:color w:val="000000"/>
          <w:lang w:eastAsia="bg-BG"/>
        </w:rPr>
      </w:pPr>
    </w:p>
    <w:p w14:paraId="2A57E99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РамиХЕКСАЛ трябва да се приема с течност. Не трябва да се сдъвква или счупва.</w:t>
      </w:r>
    </w:p>
    <w:p w14:paraId="653734BD" w14:textId="77777777" w:rsidR="00A378B3" w:rsidRDefault="00A378B3" w:rsidP="00A378B3">
      <w:pPr>
        <w:spacing w:line="240" w:lineRule="auto"/>
        <w:rPr>
          <w:rFonts w:eastAsia="Times New Roman" w:cs="Arial"/>
          <w:i/>
          <w:iCs/>
          <w:color w:val="000000"/>
          <w:u w:val="single"/>
          <w:lang w:eastAsia="bg-BG"/>
        </w:rPr>
      </w:pPr>
    </w:p>
    <w:p w14:paraId="09A8A0C5" w14:textId="6084E44C"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Възрастни</w:t>
      </w:r>
    </w:p>
    <w:p w14:paraId="1D4CF9AC" w14:textId="77777777" w:rsidR="00A378B3" w:rsidRDefault="00A378B3" w:rsidP="00A378B3">
      <w:pPr>
        <w:spacing w:line="240" w:lineRule="auto"/>
        <w:rPr>
          <w:rFonts w:eastAsia="Times New Roman" w:cs="Arial"/>
          <w:color w:val="000000"/>
          <w:u w:val="single"/>
          <w:lang w:eastAsia="bg-BG"/>
        </w:rPr>
      </w:pPr>
    </w:p>
    <w:p w14:paraId="252C5C6A" w14:textId="11EF1D8A"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Пациенти, лекувани с диуретици</w:t>
      </w:r>
    </w:p>
    <w:p w14:paraId="31E226D9"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Възможно е при започване на терапията с РамиХЕКСАЛ да възникне хипотония, особено при пациенти, лекувани едновременно с диуретици. Ето защо се препоръчва повишено внимание, тъй като тези пациенти може да имат дефицит на течности и/или електролити.</w:t>
      </w:r>
    </w:p>
    <w:p w14:paraId="4BF93297"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Ако е възможно, диуретикът трябва да се прекрати 2-3 дни преди началото на терапията с РамиХЕКСАЛ (вижте точка 4.4).</w:t>
      </w:r>
    </w:p>
    <w:p w14:paraId="3216A9F1"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При пациенти с хипертония, при които приема на диуретик не е прекратен, терапията с РамиХЕКСАЛ трябва да се започне с доза от 1,25 </w:t>
      </w:r>
      <w:r w:rsidRPr="00A378B3">
        <w:rPr>
          <w:rFonts w:eastAsia="Times New Roman" w:cs="Arial"/>
          <w:color w:val="000000"/>
          <w:lang w:val="en-US"/>
        </w:rPr>
        <w:t xml:space="preserve">mg. </w:t>
      </w:r>
      <w:r w:rsidRPr="00A378B3">
        <w:rPr>
          <w:rFonts w:eastAsia="Times New Roman" w:cs="Arial"/>
          <w:color w:val="000000"/>
          <w:lang w:eastAsia="bg-BG"/>
        </w:rPr>
        <w:t>Трябва да се мониторират бъбречната функция и серумния калий. Последващата дозировка трябва да се подбере според желаното кръвно налягане.</w:t>
      </w:r>
    </w:p>
    <w:p w14:paraId="4C1B1162" w14:textId="77777777" w:rsidR="00A378B3" w:rsidRDefault="00A378B3" w:rsidP="00A378B3">
      <w:pPr>
        <w:spacing w:line="240" w:lineRule="auto"/>
        <w:rPr>
          <w:rFonts w:eastAsia="Times New Roman" w:cs="Arial"/>
          <w:b/>
          <w:bCs/>
          <w:color w:val="000000"/>
          <w:lang w:eastAsia="bg-BG"/>
        </w:rPr>
      </w:pPr>
      <w:bookmarkStart w:id="1" w:name="bookmark0"/>
    </w:p>
    <w:p w14:paraId="2A824949" w14:textId="2D12FA5A" w:rsidR="00A378B3" w:rsidRPr="00A378B3" w:rsidRDefault="00A378B3" w:rsidP="00A378B3">
      <w:pPr>
        <w:spacing w:line="240" w:lineRule="auto"/>
        <w:rPr>
          <w:rFonts w:eastAsia="Times New Roman" w:cs="Arial"/>
          <w:lang w:eastAsia="bg-BG"/>
        </w:rPr>
      </w:pPr>
      <w:r w:rsidRPr="00A378B3">
        <w:rPr>
          <w:rFonts w:eastAsia="Times New Roman" w:cs="Arial"/>
          <w:b/>
          <w:bCs/>
          <w:color w:val="000000"/>
          <w:lang w:eastAsia="bg-BG"/>
        </w:rPr>
        <w:t>Хипертония:</w:t>
      </w:r>
      <w:bookmarkEnd w:id="1"/>
    </w:p>
    <w:p w14:paraId="63423AFA"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Дозата трябва да се индивидуализира според профила на пациента (вижте точка 4.4) и контрола на кръвното налягане.</w:t>
      </w:r>
    </w:p>
    <w:p w14:paraId="7EDD714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РамиХЕКСАЛ може да се използва като монотерапия или в комбинация с други класове антихипертензивни продукти (вж. точка 4.3, 4.4, 4.5 и 5.1)</w:t>
      </w:r>
    </w:p>
    <w:p w14:paraId="744DB539" w14:textId="77777777" w:rsidR="00A378B3" w:rsidRDefault="00A378B3" w:rsidP="00A378B3">
      <w:pPr>
        <w:spacing w:line="240" w:lineRule="auto"/>
        <w:rPr>
          <w:rFonts w:eastAsia="Times New Roman" w:cs="Arial"/>
          <w:color w:val="000000"/>
          <w:u w:val="single"/>
          <w:lang w:eastAsia="bg-BG"/>
        </w:rPr>
      </w:pPr>
    </w:p>
    <w:p w14:paraId="104F45DA" w14:textId="4576A96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Начална доза</w:t>
      </w:r>
    </w:p>
    <w:p w14:paraId="4C377152"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Лечението с РамиХЕКСАЛ трябва да се започне постепенно с начална препоръчителна доза от 2,5 </w:t>
      </w:r>
      <w:r w:rsidRPr="00A378B3">
        <w:rPr>
          <w:rFonts w:eastAsia="Times New Roman" w:cs="Arial"/>
          <w:color w:val="000000"/>
          <w:lang w:val="en-US"/>
        </w:rPr>
        <w:t xml:space="preserve">mg </w:t>
      </w:r>
      <w:r w:rsidRPr="00A378B3">
        <w:rPr>
          <w:rFonts w:eastAsia="Times New Roman" w:cs="Arial"/>
          <w:color w:val="000000"/>
          <w:lang w:eastAsia="bg-BG"/>
        </w:rPr>
        <w:t xml:space="preserve">дневно. При пациенти с повишена активност на системата ренин-ангиотензин- алдостерон може да настъпи силен спад на кръвното налягане след приема на първата доза. При тези пациенти се препоръчва начална доза от 1,25 </w:t>
      </w:r>
      <w:r w:rsidRPr="00A378B3">
        <w:rPr>
          <w:rFonts w:eastAsia="Times New Roman" w:cs="Arial"/>
          <w:color w:val="000000"/>
          <w:lang w:val="en-US"/>
        </w:rPr>
        <w:t xml:space="preserve">mg </w:t>
      </w:r>
      <w:r w:rsidRPr="00A378B3">
        <w:rPr>
          <w:rFonts w:eastAsia="Times New Roman" w:cs="Arial"/>
          <w:color w:val="000000"/>
          <w:lang w:eastAsia="bg-BG"/>
        </w:rPr>
        <w:t>и лекарско наблюдение при започване на лечението (вижте точка 4.4).</w:t>
      </w:r>
    </w:p>
    <w:p w14:paraId="5D4B9099" w14:textId="77777777" w:rsidR="00A378B3" w:rsidRDefault="00A378B3" w:rsidP="00A378B3">
      <w:pPr>
        <w:spacing w:line="240" w:lineRule="auto"/>
        <w:rPr>
          <w:rFonts w:eastAsia="Times New Roman" w:cs="Arial"/>
          <w:color w:val="000000"/>
          <w:u w:val="single"/>
          <w:lang w:eastAsia="bg-BG"/>
        </w:rPr>
      </w:pPr>
    </w:p>
    <w:p w14:paraId="06032851" w14:textId="642E3F9F"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Титриране и поддържаща доза</w:t>
      </w:r>
    </w:p>
    <w:p w14:paraId="422E508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Дозата може да се удвоява през интервал от две до четири седмици, докато прогресивно се достигне желаното кръвно налягане; максималната допустима доза РамиХЕКСАЛ е 10 </w:t>
      </w:r>
      <w:r w:rsidRPr="00A378B3">
        <w:rPr>
          <w:rFonts w:eastAsia="Times New Roman" w:cs="Arial"/>
          <w:color w:val="000000"/>
          <w:lang w:val="en-US"/>
        </w:rPr>
        <w:t xml:space="preserve">mg </w:t>
      </w:r>
      <w:r w:rsidRPr="00A378B3">
        <w:rPr>
          <w:rFonts w:eastAsia="Times New Roman" w:cs="Arial"/>
          <w:color w:val="000000"/>
          <w:lang w:eastAsia="bg-BG"/>
        </w:rPr>
        <w:t>дневно. Обикновено дозата се приема веднъж дневно.</w:t>
      </w:r>
    </w:p>
    <w:p w14:paraId="44D0C7CA" w14:textId="77777777" w:rsidR="00A378B3" w:rsidRDefault="00A378B3" w:rsidP="00A378B3">
      <w:pPr>
        <w:spacing w:line="240" w:lineRule="auto"/>
        <w:rPr>
          <w:rFonts w:eastAsia="Times New Roman" w:cs="Arial"/>
          <w:b/>
          <w:bCs/>
          <w:color w:val="000000"/>
          <w:lang w:eastAsia="bg-BG"/>
        </w:rPr>
      </w:pPr>
      <w:bookmarkStart w:id="2" w:name="bookmark2"/>
    </w:p>
    <w:p w14:paraId="05D3AE6D" w14:textId="36F7359E" w:rsidR="00A378B3" w:rsidRPr="00A378B3" w:rsidRDefault="00A378B3" w:rsidP="00A378B3">
      <w:pPr>
        <w:spacing w:line="240" w:lineRule="auto"/>
        <w:rPr>
          <w:rFonts w:eastAsia="Times New Roman" w:cs="Arial"/>
          <w:lang w:eastAsia="bg-BG"/>
        </w:rPr>
      </w:pPr>
      <w:r w:rsidRPr="00A378B3">
        <w:rPr>
          <w:rFonts w:eastAsia="Times New Roman" w:cs="Arial"/>
          <w:b/>
          <w:bCs/>
          <w:color w:val="000000"/>
          <w:lang w:eastAsia="bg-BG"/>
        </w:rPr>
        <w:t>Сърдечно-съдова профилактика</w:t>
      </w:r>
      <w:bookmarkEnd w:id="2"/>
    </w:p>
    <w:p w14:paraId="24D7303D"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Начална доза:</w:t>
      </w:r>
      <w:r w:rsidRPr="00A378B3">
        <w:rPr>
          <w:rFonts w:eastAsia="Times New Roman" w:cs="Arial"/>
          <w:color w:val="000000"/>
          <w:lang w:eastAsia="bg-BG"/>
        </w:rPr>
        <w:t xml:space="preserve"> препоръчителната начална доза е 2,5 </w:t>
      </w:r>
      <w:r w:rsidRPr="00A378B3">
        <w:rPr>
          <w:rFonts w:eastAsia="Times New Roman" w:cs="Arial"/>
          <w:color w:val="000000"/>
          <w:lang w:val="en-US"/>
        </w:rPr>
        <w:t xml:space="preserve">mg </w:t>
      </w:r>
      <w:r w:rsidRPr="00A378B3">
        <w:rPr>
          <w:rFonts w:eastAsia="Times New Roman" w:cs="Arial"/>
          <w:color w:val="000000"/>
          <w:lang w:eastAsia="bg-BG"/>
        </w:rPr>
        <w:t xml:space="preserve">РамиХЕКСАЛ веднъж дневно. </w:t>
      </w:r>
      <w:r w:rsidRPr="00A378B3">
        <w:rPr>
          <w:rFonts w:eastAsia="Times New Roman" w:cs="Arial"/>
          <w:color w:val="000000"/>
          <w:u w:val="single"/>
          <w:lang w:eastAsia="bg-BG"/>
        </w:rPr>
        <w:t>Титриране и поддържаща доза:</w:t>
      </w:r>
      <w:r w:rsidRPr="00A378B3">
        <w:rPr>
          <w:rFonts w:eastAsia="Times New Roman" w:cs="Arial"/>
          <w:color w:val="000000"/>
          <w:lang w:eastAsia="bg-BG"/>
        </w:rPr>
        <w:t xml:space="preserve"> Дозата трябва постепенно да се повишава в зависимост </w:t>
      </w:r>
      <w:r w:rsidRPr="00A378B3">
        <w:rPr>
          <w:rFonts w:eastAsia="Times New Roman" w:cs="Arial"/>
          <w:color w:val="000000"/>
          <w:lang w:eastAsia="bg-BG"/>
        </w:rPr>
        <w:lastRenderedPageBreak/>
        <w:t xml:space="preserve">от поносимостта на пациента към активното вещество. Препоръчително е дозата да се удвои след една или две седмици лечение и, след още две или три седмици, да се повиши до поддържаща доза от 10 </w:t>
      </w:r>
      <w:r w:rsidRPr="00A378B3">
        <w:rPr>
          <w:rFonts w:eastAsia="Times New Roman" w:cs="Arial"/>
          <w:color w:val="000000"/>
          <w:lang w:val="en-US"/>
        </w:rPr>
        <w:t xml:space="preserve">mg </w:t>
      </w:r>
      <w:r w:rsidRPr="00A378B3">
        <w:rPr>
          <w:rFonts w:eastAsia="Times New Roman" w:cs="Arial"/>
          <w:color w:val="000000"/>
          <w:lang w:eastAsia="bg-BG"/>
        </w:rPr>
        <w:t>РамиХЕКСАЛ веднъж дневно.</w:t>
      </w:r>
    </w:p>
    <w:p w14:paraId="6E62672E"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Вижте също дозировката при лекувани с диуретици пациенти, посочена по-горе.</w:t>
      </w:r>
    </w:p>
    <w:p w14:paraId="0273526E" w14:textId="77777777" w:rsidR="00A378B3" w:rsidRDefault="00A378B3" w:rsidP="00A378B3">
      <w:pPr>
        <w:spacing w:line="240" w:lineRule="auto"/>
        <w:rPr>
          <w:rFonts w:eastAsia="Times New Roman" w:cs="Arial"/>
          <w:b/>
          <w:bCs/>
          <w:color w:val="000000"/>
          <w:lang w:eastAsia="bg-BG"/>
        </w:rPr>
      </w:pPr>
      <w:bookmarkStart w:id="3" w:name="bookmark4"/>
    </w:p>
    <w:p w14:paraId="501D3371" w14:textId="188D5E9C" w:rsidR="00A378B3" w:rsidRPr="00A378B3" w:rsidRDefault="00A378B3" w:rsidP="00A378B3">
      <w:pPr>
        <w:spacing w:line="240" w:lineRule="auto"/>
        <w:rPr>
          <w:rFonts w:eastAsia="Times New Roman" w:cs="Arial"/>
          <w:lang w:eastAsia="bg-BG"/>
        </w:rPr>
      </w:pPr>
      <w:r w:rsidRPr="00A378B3">
        <w:rPr>
          <w:rFonts w:eastAsia="Times New Roman" w:cs="Arial"/>
          <w:b/>
          <w:bCs/>
          <w:color w:val="000000"/>
          <w:lang w:eastAsia="bg-BG"/>
        </w:rPr>
        <w:t>Лечение на бъбречно заболяване</w:t>
      </w:r>
      <w:bookmarkEnd w:id="3"/>
    </w:p>
    <w:p w14:paraId="0B4B46E7" w14:textId="49C2A70B" w:rsidR="00A378B3" w:rsidRPr="00A378B3" w:rsidRDefault="00A378B3" w:rsidP="00A378B3">
      <w:pPr>
        <w:pStyle w:val="ListParagraph"/>
        <w:numPr>
          <w:ilvl w:val="0"/>
          <w:numId w:val="38"/>
        </w:numPr>
        <w:spacing w:line="240" w:lineRule="auto"/>
        <w:rPr>
          <w:rFonts w:eastAsia="Times New Roman" w:cs="Arial"/>
          <w:i/>
          <w:iCs/>
          <w:color w:val="000000"/>
          <w:lang w:eastAsia="bg-BG"/>
        </w:rPr>
      </w:pPr>
      <w:r w:rsidRPr="00A378B3">
        <w:rPr>
          <w:rFonts w:eastAsia="Times New Roman" w:cs="Arial"/>
          <w:i/>
          <w:iCs/>
          <w:color w:val="000000"/>
          <w:lang w:eastAsia="bg-BG"/>
        </w:rPr>
        <w:t>При пациенти с диабет и микроалбуминурия:</w:t>
      </w:r>
    </w:p>
    <w:p w14:paraId="61EBBF0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Начална доза:</w:t>
      </w:r>
      <w:r w:rsidRPr="00A378B3">
        <w:rPr>
          <w:rFonts w:eastAsia="Times New Roman" w:cs="Arial"/>
          <w:color w:val="000000"/>
          <w:lang w:eastAsia="bg-BG"/>
        </w:rPr>
        <w:t xml:space="preserve"> Препоръчителната начална доза е 1,25 </w:t>
      </w:r>
      <w:r w:rsidRPr="00A378B3">
        <w:rPr>
          <w:rFonts w:eastAsia="Times New Roman" w:cs="Arial"/>
          <w:color w:val="000000"/>
          <w:lang w:val="en-US"/>
        </w:rPr>
        <w:t xml:space="preserve">mg </w:t>
      </w:r>
      <w:r w:rsidRPr="00A378B3">
        <w:rPr>
          <w:rFonts w:eastAsia="Times New Roman" w:cs="Arial"/>
          <w:color w:val="000000"/>
          <w:lang w:eastAsia="bg-BG"/>
        </w:rPr>
        <w:t xml:space="preserve">РамиХЕКСАЛ веднъж дневно. </w:t>
      </w:r>
      <w:r w:rsidRPr="00A378B3">
        <w:rPr>
          <w:rFonts w:eastAsia="Times New Roman" w:cs="Arial"/>
          <w:color w:val="000000"/>
          <w:u w:val="single"/>
          <w:lang w:eastAsia="bg-BG"/>
        </w:rPr>
        <w:t>Титриране и поддържаща доза:</w:t>
      </w:r>
      <w:r w:rsidRPr="00A378B3">
        <w:rPr>
          <w:rFonts w:eastAsia="Times New Roman" w:cs="Arial"/>
          <w:color w:val="000000"/>
          <w:lang w:eastAsia="bg-BG"/>
        </w:rPr>
        <w:t xml:space="preserve"> Дозата се повишава в зависимост от поносимостта на пациента към активното вещество. Препоръчва се удвояване на дневната доза до 2,5 </w:t>
      </w:r>
      <w:r w:rsidRPr="00A378B3">
        <w:rPr>
          <w:rFonts w:eastAsia="Times New Roman" w:cs="Arial"/>
          <w:color w:val="000000"/>
          <w:lang w:val="en-US"/>
        </w:rPr>
        <w:t xml:space="preserve">mg </w:t>
      </w:r>
      <w:r w:rsidRPr="00A378B3">
        <w:rPr>
          <w:rFonts w:eastAsia="Times New Roman" w:cs="Arial"/>
          <w:color w:val="000000"/>
          <w:lang w:eastAsia="bg-BG"/>
        </w:rPr>
        <w:t xml:space="preserve">след две седмици и след още две седмици до 5 </w:t>
      </w:r>
      <w:r w:rsidRPr="00A378B3">
        <w:rPr>
          <w:rFonts w:eastAsia="Times New Roman" w:cs="Arial"/>
          <w:color w:val="000000"/>
          <w:lang w:val="en-US"/>
        </w:rPr>
        <w:t>mg.</w:t>
      </w:r>
    </w:p>
    <w:p w14:paraId="0F713BCF" w14:textId="77777777" w:rsidR="00A378B3" w:rsidRDefault="00A378B3" w:rsidP="00A378B3">
      <w:pPr>
        <w:spacing w:line="240" w:lineRule="auto"/>
        <w:rPr>
          <w:rFonts w:eastAsia="Times New Roman" w:cs="Arial"/>
          <w:i/>
          <w:iCs/>
          <w:color w:val="000000"/>
          <w:lang w:eastAsia="bg-BG"/>
        </w:rPr>
      </w:pPr>
    </w:p>
    <w:p w14:paraId="2C0BF803" w14:textId="46B9D901" w:rsidR="00A378B3" w:rsidRPr="00A378B3" w:rsidRDefault="00A378B3" w:rsidP="00A378B3">
      <w:pPr>
        <w:pStyle w:val="ListParagraph"/>
        <w:numPr>
          <w:ilvl w:val="0"/>
          <w:numId w:val="38"/>
        </w:numPr>
        <w:spacing w:line="240" w:lineRule="auto"/>
        <w:rPr>
          <w:rFonts w:eastAsia="Times New Roman" w:cs="Arial"/>
          <w:i/>
          <w:iCs/>
          <w:color w:val="000000"/>
          <w:lang w:eastAsia="bg-BG"/>
        </w:rPr>
      </w:pPr>
      <w:r w:rsidRPr="00A378B3">
        <w:rPr>
          <w:rFonts w:eastAsia="Times New Roman" w:cs="Arial"/>
          <w:i/>
          <w:iCs/>
          <w:color w:val="000000"/>
          <w:lang w:eastAsia="bg-BG"/>
        </w:rPr>
        <w:t>При пациенти с диабет и поне един сърдечно-съдов рисков фактор:</w:t>
      </w:r>
    </w:p>
    <w:p w14:paraId="623652B8"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Начална доза:</w:t>
      </w:r>
      <w:r w:rsidRPr="00A378B3">
        <w:rPr>
          <w:rFonts w:eastAsia="Times New Roman" w:cs="Arial"/>
          <w:color w:val="000000"/>
          <w:lang w:eastAsia="bg-BG"/>
        </w:rPr>
        <w:t xml:space="preserve"> Препоръчителната начална доза е 2,5 </w:t>
      </w:r>
      <w:r w:rsidRPr="00A378B3">
        <w:rPr>
          <w:rFonts w:eastAsia="Times New Roman" w:cs="Arial"/>
          <w:color w:val="000000"/>
          <w:lang w:val="en-US"/>
        </w:rPr>
        <w:t xml:space="preserve">mg </w:t>
      </w:r>
      <w:r w:rsidRPr="00A378B3">
        <w:rPr>
          <w:rFonts w:eastAsia="Times New Roman" w:cs="Arial"/>
          <w:color w:val="000000"/>
          <w:lang w:eastAsia="bg-BG"/>
        </w:rPr>
        <w:t xml:space="preserve">РамиХЕКСАЛ веднъж дневно. </w:t>
      </w:r>
      <w:r w:rsidRPr="00A378B3">
        <w:rPr>
          <w:rFonts w:eastAsia="Times New Roman" w:cs="Arial"/>
          <w:color w:val="000000"/>
          <w:u w:val="single"/>
          <w:lang w:eastAsia="bg-BG"/>
        </w:rPr>
        <w:t>Титриране и поддържаща доза:</w:t>
      </w:r>
      <w:r w:rsidRPr="00A378B3">
        <w:rPr>
          <w:rFonts w:eastAsia="Times New Roman" w:cs="Arial"/>
          <w:color w:val="000000"/>
          <w:lang w:eastAsia="bg-BG"/>
        </w:rPr>
        <w:t xml:space="preserve"> Дозата се повишава в зависимост от поносимостта на пациента към активното вещество. Препоръчва се удвояване на дневната доза до 5 </w:t>
      </w:r>
      <w:r w:rsidRPr="00A378B3">
        <w:rPr>
          <w:rFonts w:eastAsia="Times New Roman" w:cs="Arial"/>
          <w:color w:val="000000"/>
          <w:lang w:val="en-US"/>
        </w:rPr>
        <w:t xml:space="preserve">mg </w:t>
      </w:r>
      <w:r w:rsidRPr="00A378B3">
        <w:rPr>
          <w:rFonts w:eastAsia="Times New Roman" w:cs="Arial"/>
          <w:color w:val="000000"/>
          <w:lang w:eastAsia="bg-BG"/>
        </w:rPr>
        <w:t xml:space="preserve">РамиХЕКСАЛ след една или две седмици и след още две или три седмици до 10 </w:t>
      </w:r>
      <w:r w:rsidRPr="00A378B3">
        <w:rPr>
          <w:rFonts w:eastAsia="Times New Roman" w:cs="Arial"/>
          <w:color w:val="000000"/>
          <w:lang w:val="en-US"/>
        </w:rPr>
        <w:t xml:space="preserve">mg </w:t>
      </w:r>
      <w:r w:rsidRPr="00A378B3">
        <w:rPr>
          <w:rFonts w:eastAsia="Times New Roman" w:cs="Arial"/>
          <w:color w:val="000000"/>
          <w:lang w:eastAsia="bg-BG"/>
        </w:rPr>
        <w:t xml:space="preserve">РамиХЕКСАЛ. Целта е дневната доза да стигне 10 </w:t>
      </w:r>
      <w:r w:rsidRPr="00A378B3">
        <w:rPr>
          <w:rFonts w:eastAsia="Times New Roman" w:cs="Arial"/>
          <w:color w:val="000000"/>
          <w:lang w:val="en-US"/>
        </w:rPr>
        <w:t>mg.</w:t>
      </w:r>
    </w:p>
    <w:p w14:paraId="6D924BA2" w14:textId="77777777" w:rsidR="00A378B3" w:rsidRDefault="00A378B3" w:rsidP="00A378B3">
      <w:pPr>
        <w:rPr>
          <w:rFonts w:eastAsia="Times New Roman" w:cs="Arial"/>
          <w:i/>
          <w:iCs/>
          <w:color w:val="000000"/>
          <w:lang w:eastAsia="bg-BG"/>
        </w:rPr>
      </w:pPr>
    </w:p>
    <w:p w14:paraId="0C3E4176" w14:textId="77777777" w:rsidR="00A378B3" w:rsidRPr="00A378B3" w:rsidRDefault="00A378B3" w:rsidP="00A378B3">
      <w:pPr>
        <w:pStyle w:val="ListParagraph"/>
        <w:numPr>
          <w:ilvl w:val="0"/>
          <w:numId w:val="43"/>
        </w:numPr>
      </w:pPr>
      <w:r w:rsidRPr="00A378B3">
        <w:rPr>
          <w:rFonts w:eastAsia="Times New Roman" w:cs="Arial"/>
          <w:i/>
          <w:iCs/>
          <w:color w:val="000000"/>
          <w:lang w:eastAsia="bg-BG"/>
        </w:rPr>
        <w:t xml:space="preserve">При пациенти с недиабетна нефропатия и макропротеинурия повече от 3 </w:t>
      </w:r>
      <w:r w:rsidRPr="00A378B3">
        <w:rPr>
          <w:rFonts w:eastAsia="Times New Roman" w:cs="Arial"/>
          <w:i/>
          <w:iCs/>
          <w:color w:val="000000"/>
          <w:lang w:val="en-US"/>
        </w:rPr>
        <w:t>g</w:t>
      </w:r>
      <w:r w:rsidRPr="00A378B3">
        <w:rPr>
          <w:rFonts w:eastAsia="Times New Roman" w:cs="Arial"/>
          <w:i/>
          <w:iCs/>
          <w:color w:val="000000"/>
          <w:lang w:eastAsia="bg-BG"/>
        </w:rPr>
        <w:t>/ден:</w:t>
      </w:r>
      <w:r w:rsidRPr="00A378B3">
        <w:rPr>
          <w:rFonts w:eastAsia="Times New Roman" w:cs="Arial"/>
          <w:color w:val="000000"/>
          <w:lang w:eastAsia="bg-BG"/>
        </w:rPr>
        <w:t xml:space="preserve"> </w:t>
      </w:r>
    </w:p>
    <w:p w14:paraId="2178DA0A" w14:textId="30B5FE9B" w:rsidR="00A378B3" w:rsidRDefault="00A378B3" w:rsidP="00A378B3">
      <w:pPr>
        <w:rPr>
          <w:rFonts w:eastAsia="Times New Roman" w:cs="Arial"/>
          <w:color w:val="000000"/>
          <w:lang w:eastAsia="bg-BG"/>
        </w:rPr>
      </w:pPr>
      <w:r w:rsidRPr="00A378B3">
        <w:rPr>
          <w:rFonts w:eastAsia="Times New Roman" w:cs="Arial"/>
          <w:color w:val="000000"/>
          <w:u w:val="single"/>
          <w:lang w:eastAsia="bg-BG"/>
        </w:rPr>
        <w:t>Начална доза:</w:t>
      </w:r>
      <w:r w:rsidRPr="00A378B3">
        <w:rPr>
          <w:rFonts w:eastAsia="Times New Roman" w:cs="Arial"/>
          <w:color w:val="000000"/>
          <w:lang w:eastAsia="bg-BG"/>
        </w:rPr>
        <w:t xml:space="preserve"> препоръчителната начална доза е 1,25 </w:t>
      </w:r>
      <w:r w:rsidRPr="00A378B3">
        <w:rPr>
          <w:rFonts w:eastAsia="Times New Roman" w:cs="Arial"/>
          <w:color w:val="000000"/>
          <w:lang w:val="en-US"/>
        </w:rPr>
        <w:t xml:space="preserve">mg </w:t>
      </w:r>
      <w:r w:rsidRPr="00A378B3">
        <w:rPr>
          <w:rFonts w:eastAsia="Times New Roman" w:cs="Arial"/>
          <w:color w:val="000000"/>
          <w:lang w:eastAsia="bg-BG"/>
        </w:rPr>
        <w:t>РамиХЕКСАЛ веднъж дневна.</w:t>
      </w:r>
    </w:p>
    <w:p w14:paraId="70FC4B99"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Титриране и поддържаща доза:</w:t>
      </w:r>
      <w:r w:rsidRPr="00A378B3">
        <w:rPr>
          <w:rFonts w:eastAsia="Times New Roman" w:cs="Arial"/>
          <w:color w:val="000000"/>
          <w:lang w:eastAsia="bg-BG"/>
        </w:rPr>
        <w:t xml:space="preserve"> Дозата трябва постепенно да се повишава в зависимост от поносимостта на пациента към активното вещество. Препоръчва се удвояване на дневната доза до 2,5 </w:t>
      </w:r>
      <w:r w:rsidRPr="00A378B3">
        <w:rPr>
          <w:rFonts w:eastAsia="Times New Roman" w:cs="Arial"/>
          <w:color w:val="000000"/>
          <w:lang w:val="en-US"/>
        </w:rPr>
        <w:t xml:space="preserve">mg </w:t>
      </w:r>
      <w:r w:rsidRPr="00A378B3">
        <w:rPr>
          <w:rFonts w:eastAsia="Times New Roman" w:cs="Arial"/>
          <w:color w:val="000000"/>
          <w:lang w:eastAsia="bg-BG"/>
        </w:rPr>
        <w:t xml:space="preserve">след две седмици и след още две седмици до 5 </w:t>
      </w:r>
      <w:r w:rsidRPr="00A378B3">
        <w:rPr>
          <w:rFonts w:eastAsia="Times New Roman" w:cs="Arial"/>
          <w:color w:val="000000"/>
          <w:lang w:val="en-US"/>
        </w:rPr>
        <w:t>mg.</w:t>
      </w:r>
    </w:p>
    <w:p w14:paraId="07FD0FB6" w14:textId="77777777" w:rsidR="00A378B3" w:rsidRDefault="00A378B3" w:rsidP="00A378B3">
      <w:pPr>
        <w:spacing w:line="240" w:lineRule="auto"/>
        <w:rPr>
          <w:rFonts w:eastAsia="Times New Roman" w:cs="Arial"/>
          <w:b/>
          <w:bCs/>
          <w:color w:val="000000"/>
          <w:lang w:eastAsia="bg-BG"/>
        </w:rPr>
      </w:pPr>
    </w:p>
    <w:p w14:paraId="19ED3302" w14:textId="3182F4FB" w:rsidR="00A378B3" w:rsidRPr="00A378B3" w:rsidRDefault="00A378B3" w:rsidP="00A378B3">
      <w:pPr>
        <w:spacing w:line="240" w:lineRule="auto"/>
        <w:rPr>
          <w:rFonts w:eastAsia="Times New Roman" w:cs="Arial"/>
          <w:lang w:eastAsia="bg-BG"/>
        </w:rPr>
      </w:pPr>
      <w:r w:rsidRPr="00A378B3">
        <w:rPr>
          <w:rFonts w:eastAsia="Times New Roman" w:cs="Arial"/>
          <w:b/>
          <w:bCs/>
          <w:color w:val="000000"/>
          <w:lang w:eastAsia="bg-BG"/>
        </w:rPr>
        <w:t>Симптоматична сърдечна недостатъчност</w:t>
      </w:r>
    </w:p>
    <w:p w14:paraId="3BCA821C"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Начална доза:</w:t>
      </w:r>
      <w:r w:rsidRPr="00A378B3">
        <w:rPr>
          <w:rFonts w:eastAsia="Times New Roman" w:cs="Arial"/>
          <w:color w:val="000000"/>
          <w:lang w:eastAsia="bg-BG"/>
        </w:rPr>
        <w:t xml:space="preserve"> При стабилизирани пациенти на диуретична терапия, препоръчителната начална доза е 1,25 </w:t>
      </w:r>
      <w:r w:rsidRPr="00A378B3">
        <w:rPr>
          <w:rFonts w:eastAsia="Times New Roman" w:cs="Arial"/>
          <w:color w:val="000000"/>
          <w:lang w:val="en-US"/>
        </w:rPr>
        <w:t xml:space="preserve">mg </w:t>
      </w:r>
      <w:r w:rsidRPr="00A378B3">
        <w:rPr>
          <w:rFonts w:eastAsia="Times New Roman" w:cs="Arial"/>
          <w:color w:val="000000"/>
          <w:lang w:eastAsia="bg-BG"/>
        </w:rPr>
        <w:t>дневно.</w:t>
      </w:r>
    </w:p>
    <w:p w14:paraId="62EE305B"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Титриране и поддържаща доза:</w:t>
      </w:r>
      <w:r w:rsidRPr="00A378B3">
        <w:rPr>
          <w:rFonts w:eastAsia="Times New Roman" w:cs="Arial"/>
          <w:color w:val="000000"/>
          <w:lang w:eastAsia="bg-BG"/>
        </w:rPr>
        <w:t xml:space="preserve"> РамиХЕКСАЛ трябва да се титрира чрез удвояване на дозата на всеки една или две седмици до достигане на максимална дневна доза от 10 </w:t>
      </w:r>
      <w:r w:rsidRPr="00A378B3">
        <w:rPr>
          <w:rFonts w:eastAsia="Times New Roman" w:cs="Arial"/>
          <w:color w:val="000000"/>
          <w:lang w:val="en-US"/>
        </w:rPr>
        <w:t xml:space="preserve">mg. </w:t>
      </w:r>
      <w:r w:rsidRPr="00A378B3">
        <w:rPr>
          <w:rFonts w:eastAsia="Times New Roman" w:cs="Arial"/>
          <w:color w:val="000000"/>
          <w:lang w:eastAsia="bg-BG"/>
        </w:rPr>
        <w:t>Приложение в два приема дневно е за предпочитане.</w:t>
      </w:r>
    </w:p>
    <w:p w14:paraId="3473BD18" w14:textId="77777777" w:rsidR="00A378B3" w:rsidRDefault="00A378B3" w:rsidP="00A378B3">
      <w:pPr>
        <w:spacing w:line="240" w:lineRule="auto"/>
        <w:rPr>
          <w:rFonts w:eastAsia="Times New Roman" w:cs="Arial"/>
          <w:b/>
          <w:bCs/>
          <w:color w:val="000000"/>
          <w:lang w:eastAsia="bg-BG"/>
        </w:rPr>
      </w:pPr>
    </w:p>
    <w:p w14:paraId="06B7BFE2" w14:textId="77777777" w:rsidR="00A378B3" w:rsidRDefault="00A378B3" w:rsidP="00A378B3">
      <w:pPr>
        <w:spacing w:line="240" w:lineRule="auto"/>
        <w:rPr>
          <w:rFonts w:eastAsia="Times New Roman" w:cs="Arial"/>
          <w:b/>
          <w:bCs/>
          <w:color w:val="000000"/>
          <w:lang w:eastAsia="bg-BG"/>
        </w:rPr>
      </w:pPr>
      <w:r w:rsidRPr="00A378B3">
        <w:rPr>
          <w:rFonts w:eastAsia="Times New Roman" w:cs="Arial"/>
          <w:b/>
          <w:bCs/>
          <w:color w:val="000000"/>
          <w:lang w:eastAsia="bg-BG"/>
        </w:rPr>
        <w:t xml:space="preserve">Вторична профилактика след остър миокарден инфаркт и със сърдечна недостатъчност </w:t>
      </w:r>
    </w:p>
    <w:p w14:paraId="66C1F823" w14:textId="572A2419"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Начална доза:</w:t>
      </w:r>
      <w:r w:rsidRPr="00A378B3">
        <w:rPr>
          <w:rFonts w:eastAsia="Times New Roman" w:cs="Arial"/>
          <w:color w:val="000000"/>
          <w:lang w:eastAsia="bg-BG"/>
        </w:rPr>
        <w:t xml:space="preserve"> 48 часа след миокарден инфаркт при клинично и хемодинамично стабилни пациенти, началната доза е 2,5 </w:t>
      </w:r>
      <w:r w:rsidRPr="00A378B3">
        <w:rPr>
          <w:rFonts w:eastAsia="Times New Roman" w:cs="Arial"/>
          <w:color w:val="000000"/>
          <w:lang w:val="en-US"/>
        </w:rPr>
        <w:t xml:space="preserve">mg </w:t>
      </w:r>
      <w:r w:rsidRPr="00A378B3">
        <w:rPr>
          <w:rFonts w:eastAsia="Times New Roman" w:cs="Arial"/>
          <w:color w:val="000000"/>
          <w:lang w:eastAsia="bg-BG"/>
        </w:rPr>
        <w:t xml:space="preserve">два пъти дневно за три дни. Ако началната доза от 2,5 </w:t>
      </w:r>
      <w:r w:rsidRPr="00A378B3">
        <w:rPr>
          <w:rFonts w:eastAsia="Times New Roman" w:cs="Arial"/>
          <w:color w:val="000000"/>
          <w:lang w:val="en-US"/>
        </w:rPr>
        <w:t xml:space="preserve">mg </w:t>
      </w:r>
      <w:r w:rsidRPr="00A378B3">
        <w:rPr>
          <w:rFonts w:eastAsia="Times New Roman" w:cs="Arial"/>
          <w:color w:val="000000"/>
          <w:lang w:eastAsia="bg-BG"/>
        </w:rPr>
        <w:t xml:space="preserve">не се понася добре, доза от 1,25 </w:t>
      </w:r>
      <w:r w:rsidRPr="00A378B3">
        <w:rPr>
          <w:rFonts w:eastAsia="Times New Roman" w:cs="Arial"/>
          <w:color w:val="000000"/>
          <w:lang w:val="en-US"/>
        </w:rPr>
        <w:t xml:space="preserve">mg </w:t>
      </w:r>
      <w:r w:rsidRPr="00A378B3">
        <w:rPr>
          <w:rFonts w:eastAsia="Times New Roman" w:cs="Arial"/>
          <w:color w:val="000000"/>
          <w:lang w:eastAsia="bg-BG"/>
        </w:rPr>
        <w:t xml:space="preserve">два пъти дневно трябва да се прилага в продължение на два дни преди повишаване до 2,5 </w:t>
      </w:r>
      <w:r w:rsidRPr="00A378B3">
        <w:rPr>
          <w:rFonts w:eastAsia="Times New Roman" w:cs="Arial"/>
          <w:color w:val="000000"/>
          <w:lang w:val="en-US"/>
        </w:rPr>
        <w:t xml:space="preserve">mg </w:t>
      </w:r>
      <w:r w:rsidRPr="00A378B3">
        <w:rPr>
          <w:rFonts w:eastAsia="Times New Roman" w:cs="Arial"/>
          <w:color w:val="000000"/>
          <w:lang w:eastAsia="bg-BG"/>
        </w:rPr>
        <w:t xml:space="preserve">и 5 </w:t>
      </w:r>
      <w:r w:rsidRPr="00A378B3">
        <w:rPr>
          <w:rFonts w:eastAsia="Times New Roman" w:cs="Arial"/>
          <w:color w:val="000000"/>
          <w:lang w:val="en-US"/>
        </w:rPr>
        <w:t xml:space="preserve">mg </w:t>
      </w:r>
      <w:r w:rsidRPr="00A378B3">
        <w:rPr>
          <w:rFonts w:eastAsia="Times New Roman" w:cs="Arial"/>
          <w:color w:val="000000"/>
          <w:lang w:eastAsia="bg-BG"/>
        </w:rPr>
        <w:t xml:space="preserve">два пъти дневно. Ако дозата не може да се повиши до 2,5 </w:t>
      </w:r>
      <w:r w:rsidRPr="00A378B3">
        <w:rPr>
          <w:rFonts w:eastAsia="Times New Roman" w:cs="Arial"/>
          <w:color w:val="000000"/>
          <w:lang w:val="en-US"/>
        </w:rPr>
        <w:t xml:space="preserve">mg </w:t>
      </w:r>
      <w:r w:rsidRPr="00A378B3">
        <w:rPr>
          <w:rFonts w:eastAsia="Times New Roman" w:cs="Arial"/>
          <w:color w:val="000000"/>
          <w:lang w:eastAsia="bg-BG"/>
        </w:rPr>
        <w:t>два пъти дневно лечението трябва да се прекрати. Вижте също дозировка при пациенти на лечение с диуретици по-горе в текста.</w:t>
      </w:r>
    </w:p>
    <w:p w14:paraId="3A5931D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Титриране и поддържаща доза:</w:t>
      </w:r>
      <w:r w:rsidRPr="00A378B3">
        <w:rPr>
          <w:rFonts w:eastAsia="Times New Roman" w:cs="Arial"/>
          <w:color w:val="000000"/>
          <w:lang w:eastAsia="bg-BG"/>
        </w:rPr>
        <w:t xml:space="preserve"> Впоследствие дневната доза се повишава чрез удвояване на дозата през интервали от един до три дни до достигане на поддържаща доза от 5 </w:t>
      </w:r>
      <w:r w:rsidRPr="00A378B3">
        <w:rPr>
          <w:rFonts w:eastAsia="Times New Roman" w:cs="Arial"/>
          <w:color w:val="000000"/>
          <w:lang w:val="en-US"/>
        </w:rPr>
        <w:t xml:space="preserve">mg </w:t>
      </w:r>
      <w:r w:rsidRPr="00A378B3">
        <w:rPr>
          <w:rFonts w:eastAsia="Times New Roman" w:cs="Arial"/>
          <w:color w:val="000000"/>
          <w:lang w:eastAsia="bg-BG"/>
        </w:rPr>
        <w:t>два пъти дневно.</w:t>
      </w:r>
    </w:p>
    <w:p w14:paraId="0AD96710"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Поддържащата доза се разделя при възможност в 2 приема дневно.</w:t>
      </w:r>
    </w:p>
    <w:p w14:paraId="51538A82"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Ако дозата не може да се повиши до 2,5 </w:t>
      </w:r>
      <w:r w:rsidRPr="00A378B3">
        <w:rPr>
          <w:rFonts w:eastAsia="Times New Roman" w:cs="Arial"/>
          <w:color w:val="000000"/>
          <w:lang w:val="en-US"/>
        </w:rPr>
        <w:t xml:space="preserve">mg </w:t>
      </w:r>
      <w:r w:rsidRPr="00A378B3">
        <w:rPr>
          <w:rFonts w:eastAsia="Times New Roman" w:cs="Arial"/>
          <w:color w:val="000000"/>
          <w:lang w:eastAsia="bg-BG"/>
        </w:rPr>
        <w:t xml:space="preserve">два пъти дневно, лечението трябва да се прекрати. Липсва достатъчно опит в лечението на пациенти с тежка </w:t>
      </w:r>
      <w:r w:rsidRPr="00A378B3">
        <w:rPr>
          <w:rFonts w:eastAsia="Times New Roman" w:cs="Arial"/>
          <w:color w:val="000000"/>
          <w:lang w:val="en-US"/>
        </w:rPr>
        <w:t xml:space="preserve">(NYHA </w:t>
      </w:r>
      <w:r w:rsidRPr="00A378B3">
        <w:rPr>
          <w:rFonts w:eastAsia="Times New Roman" w:cs="Arial"/>
          <w:color w:val="000000"/>
          <w:lang w:eastAsia="bg-BG"/>
        </w:rPr>
        <w:t xml:space="preserve">IV) сърдечна недостатъчност след миокарден инфаркт. Ако се вземе решение за лечение на тези </w:t>
      </w:r>
      <w:r w:rsidRPr="00A378B3">
        <w:rPr>
          <w:rFonts w:eastAsia="Times New Roman" w:cs="Arial"/>
          <w:color w:val="000000"/>
          <w:lang w:eastAsia="bg-BG"/>
        </w:rPr>
        <w:lastRenderedPageBreak/>
        <w:t xml:space="preserve">пациенти, се препоръчва терапията да се започне с 1,25 </w:t>
      </w:r>
      <w:r w:rsidRPr="00A378B3">
        <w:rPr>
          <w:rFonts w:eastAsia="Times New Roman" w:cs="Arial"/>
          <w:color w:val="000000"/>
          <w:lang w:val="en-US"/>
        </w:rPr>
        <w:t xml:space="preserve">mg </w:t>
      </w:r>
      <w:r w:rsidRPr="00A378B3">
        <w:rPr>
          <w:rFonts w:eastAsia="Times New Roman" w:cs="Arial"/>
          <w:color w:val="000000"/>
          <w:lang w:eastAsia="bg-BG"/>
        </w:rPr>
        <w:t>веднъж дневно и повишено внимание да съпътства всяко повишаване на дозата.</w:t>
      </w:r>
    </w:p>
    <w:p w14:paraId="52603482" w14:textId="77777777" w:rsidR="00A378B3" w:rsidRDefault="00A378B3" w:rsidP="00A378B3">
      <w:pPr>
        <w:spacing w:line="240" w:lineRule="auto"/>
        <w:rPr>
          <w:rFonts w:eastAsia="Times New Roman" w:cs="Arial"/>
          <w:i/>
          <w:iCs/>
          <w:color w:val="000000"/>
          <w:u w:val="single"/>
          <w:lang w:eastAsia="bg-BG"/>
        </w:rPr>
      </w:pPr>
    </w:p>
    <w:p w14:paraId="0CF571D3" w14:textId="5248EAB0"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Специални популации</w:t>
      </w:r>
    </w:p>
    <w:p w14:paraId="3F1C61E7" w14:textId="77777777"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Пациенти с бъбречна недостатъчност</w:t>
      </w:r>
    </w:p>
    <w:p w14:paraId="3EE4A1E0"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Дневната доза при пациенти с бъбречна недостатъчност трябва да се базира на креатининовия клирънс (вижте точка 5.2):</w:t>
      </w:r>
    </w:p>
    <w:p w14:paraId="5586A48B" w14:textId="77777777" w:rsidR="00A378B3" w:rsidRPr="00A378B3" w:rsidRDefault="00A378B3" w:rsidP="00A378B3">
      <w:pPr>
        <w:pStyle w:val="ListParagraph"/>
        <w:numPr>
          <w:ilvl w:val="0"/>
          <w:numId w:val="44"/>
        </w:numPr>
        <w:spacing w:line="240" w:lineRule="auto"/>
        <w:rPr>
          <w:rFonts w:eastAsia="Times New Roman" w:cs="Arial"/>
          <w:color w:val="000000"/>
          <w:lang w:eastAsia="bg-BG"/>
        </w:rPr>
      </w:pPr>
      <w:r w:rsidRPr="00A378B3">
        <w:rPr>
          <w:rFonts w:eastAsia="Times New Roman" w:cs="Arial"/>
          <w:color w:val="000000"/>
          <w:lang w:eastAsia="bg-BG"/>
        </w:rPr>
        <w:t xml:space="preserve">ако креатининовият клирънс е равен или е над 60 </w:t>
      </w:r>
      <w:r w:rsidRPr="00A378B3">
        <w:rPr>
          <w:rFonts w:eastAsia="Times New Roman" w:cs="Arial"/>
          <w:color w:val="000000"/>
          <w:lang w:val="en-US"/>
        </w:rPr>
        <w:t xml:space="preserve">ml/min, </w:t>
      </w:r>
      <w:r w:rsidRPr="00A378B3">
        <w:rPr>
          <w:rFonts w:eastAsia="Times New Roman" w:cs="Arial"/>
          <w:color w:val="000000"/>
          <w:lang w:eastAsia="bg-BG"/>
        </w:rPr>
        <w:t xml:space="preserve">началната доза (2,5 </w:t>
      </w:r>
      <w:r w:rsidRPr="00A378B3">
        <w:rPr>
          <w:rFonts w:eastAsia="Times New Roman" w:cs="Arial"/>
          <w:color w:val="000000"/>
          <w:lang w:val="en-US"/>
        </w:rPr>
        <w:t>mg</w:t>
      </w:r>
      <w:r w:rsidRPr="00A378B3">
        <w:rPr>
          <w:rFonts w:eastAsia="Times New Roman" w:cs="Arial"/>
          <w:color w:val="000000"/>
          <w:lang w:eastAsia="bg-BG"/>
        </w:rPr>
        <w:t xml:space="preserve">/ден) не трябва да се коригира; максималната дневна доза е 10 </w:t>
      </w:r>
      <w:r w:rsidRPr="00A378B3">
        <w:rPr>
          <w:rFonts w:eastAsia="Times New Roman" w:cs="Arial"/>
          <w:color w:val="000000"/>
          <w:lang w:val="en-US"/>
        </w:rPr>
        <w:t>mg;</w:t>
      </w:r>
    </w:p>
    <w:p w14:paraId="23C1474E" w14:textId="77777777" w:rsidR="00A378B3" w:rsidRPr="00A378B3" w:rsidRDefault="00A378B3" w:rsidP="00A378B3">
      <w:pPr>
        <w:pStyle w:val="ListParagraph"/>
        <w:numPr>
          <w:ilvl w:val="0"/>
          <w:numId w:val="44"/>
        </w:numPr>
        <w:spacing w:line="240" w:lineRule="auto"/>
        <w:rPr>
          <w:rFonts w:eastAsia="Times New Roman" w:cs="Arial"/>
          <w:color w:val="000000"/>
          <w:lang w:eastAsia="bg-BG"/>
        </w:rPr>
      </w:pPr>
      <w:r w:rsidRPr="00A378B3">
        <w:rPr>
          <w:rFonts w:eastAsia="Times New Roman" w:cs="Arial"/>
          <w:color w:val="000000"/>
          <w:lang w:eastAsia="bg-BG"/>
        </w:rPr>
        <w:t xml:space="preserve">ако креатининовият клирънс е между 30 и 60 </w:t>
      </w:r>
      <w:r w:rsidRPr="00A378B3">
        <w:rPr>
          <w:rFonts w:eastAsia="Times New Roman" w:cs="Arial"/>
          <w:color w:val="000000"/>
          <w:lang w:val="en-US"/>
        </w:rPr>
        <w:t xml:space="preserve">ml/min, </w:t>
      </w:r>
      <w:r w:rsidRPr="00A378B3">
        <w:rPr>
          <w:rFonts w:eastAsia="Times New Roman" w:cs="Arial"/>
          <w:color w:val="000000"/>
          <w:lang w:eastAsia="bg-BG"/>
        </w:rPr>
        <w:t xml:space="preserve">началната доза (2,5 </w:t>
      </w:r>
      <w:r w:rsidRPr="00A378B3">
        <w:rPr>
          <w:rFonts w:eastAsia="Times New Roman" w:cs="Arial"/>
          <w:color w:val="000000"/>
          <w:lang w:val="en-US"/>
        </w:rPr>
        <w:t>mg</w:t>
      </w:r>
      <w:r w:rsidRPr="00A378B3">
        <w:rPr>
          <w:rFonts w:eastAsia="Times New Roman" w:cs="Arial"/>
          <w:color w:val="000000"/>
          <w:lang w:eastAsia="bg-BG"/>
        </w:rPr>
        <w:t xml:space="preserve">/ден) не трябва да се коригира; максималната дневна доза е 5 </w:t>
      </w:r>
      <w:r w:rsidRPr="00A378B3">
        <w:rPr>
          <w:rFonts w:eastAsia="Times New Roman" w:cs="Arial"/>
          <w:color w:val="000000"/>
          <w:lang w:val="en-US"/>
        </w:rPr>
        <w:t>mg;</w:t>
      </w:r>
    </w:p>
    <w:p w14:paraId="138FC8FD" w14:textId="77777777" w:rsidR="00A378B3" w:rsidRDefault="00A378B3" w:rsidP="00A378B3">
      <w:pPr>
        <w:pStyle w:val="ListParagraph"/>
        <w:numPr>
          <w:ilvl w:val="0"/>
          <w:numId w:val="44"/>
        </w:numPr>
        <w:spacing w:line="240" w:lineRule="auto"/>
        <w:rPr>
          <w:rFonts w:eastAsia="Times New Roman" w:cs="Arial"/>
          <w:color w:val="000000"/>
          <w:lang w:eastAsia="bg-BG"/>
        </w:rPr>
      </w:pPr>
      <w:r w:rsidRPr="00A378B3">
        <w:rPr>
          <w:rFonts w:eastAsia="Times New Roman" w:cs="Arial"/>
          <w:color w:val="000000"/>
          <w:lang w:eastAsia="bg-BG"/>
        </w:rPr>
        <w:t xml:space="preserve">ако креатининовия клирънс е между 10 и 30 </w:t>
      </w:r>
      <w:r w:rsidRPr="00A378B3">
        <w:rPr>
          <w:rFonts w:eastAsia="Times New Roman" w:cs="Arial"/>
          <w:color w:val="000000"/>
          <w:lang w:val="en-US"/>
        </w:rPr>
        <w:t xml:space="preserve">ml/min, </w:t>
      </w:r>
      <w:r w:rsidRPr="00A378B3">
        <w:rPr>
          <w:rFonts w:eastAsia="Times New Roman" w:cs="Arial"/>
          <w:color w:val="000000"/>
          <w:lang w:eastAsia="bg-BG"/>
        </w:rPr>
        <w:t xml:space="preserve">началната доза е 1,25 </w:t>
      </w:r>
      <w:r w:rsidRPr="00A378B3">
        <w:rPr>
          <w:rFonts w:eastAsia="Times New Roman" w:cs="Arial"/>
          <w:color w:val="000000"/>
          <w:lang w:val="en-US"/>
        </w:rPr>
        <w:t xml:space="preserve">mg </w:t>
      </w:r>
      <w:r w:rsidRPr="00A378B3">
        <w:rPr>
          <w:rFonts w:eastAsia="Times New Roman" w:cs="Arial"/>
          <w:color w:val="000000"/>
          <w:lang w:eastAsia="bg-BG"/>
        </w:rPr>
        <w:t xml:space="preserve">рамиприл веднъж дневно и максималната дневна доза е 5 </w:t>
      </w:r>
      <w:r w:rsidRPr="00A378B3">
        <w:rPr>
          <w:rFonts w:eastAsia="Times New Roman" w:cs="Arial"/>
          <w:color w:val="000000"/>
          <w:lang w:val="en-US"/>
        </w:rPr>
        <w:t xml:space="preserve">mg </w:t>
      </w:r>
      <w:r w:rsidRPr="00A378B3">
        <w:rPr>
          <w:rFonts w:eastAsia="Times New Roman" w:cs="Arial"/>
          <w:color w:val="000000"/>
          <w:lang w:eastAsia="bg-BG"/>
        </w:rPr>
        <w:t>.</w:t>
      </w:r>
    </w:p>
    <w:p w14:paraId="20B1EE19" w14:textId="14517204" w:rsidR="00A378B3" w:rsidRPr="00A378B3" w:rsidRDefault="00A378B3" w:rsidP="00A378B3">
      <w:pPr>
        <w:pStyle w:val="ListParagraph"/>
        <w:numPr>
          <w:ilvl w:val="0"/>
          <w:numId w:val="44"/>
        </w:numPr>
        <w:spacing w:line="240" w:lineRule="auto"/>
        <w:rPr>
          <w:rFonts w:eastAsia="Times New Roman" w:cs="Arial"/>
          <w:color w:val="000000"/>
          <w:lang w:eastAsia="bg-BG"/>
        </w:rPr>
      </w:pPr>
      <w:r w:rsidRPr="00A378B3">
        <w:rPr>
          <w:rFonts w:eastAsia="Times New Roman" w:cs="Arial"/>
          <w:color w:val="000000"/>
          <w:lang w:eastAsia="bg-BG"/>
        </w:rPr>
        <w:t xml:space="preserve">при хипертоници на хемодиализа: рамиприл се диализира слабо; началната доза е 1,25 </w:t>
      </w:r>
      <w:r w:rsidRPr="00A378B3">
        <w:rPr>
          <w:rFonts w:eastAsia="Times New Roman" w:cs="Arial"/>
          <w:color w:val="000000"/>
          <w:lang w:val="en-US"/>
        </w:rPr>
        <w:t>mg</w:t>
      </w:r>
      <w:r w:rsidRPr="00A378B3">
        <w:rPr>
          <w:rFonts w:eastAsia="Times New Roman" w:cs="Arial"/>
          <w:color w:val="000000"/>
          <w:lang w:eastAsia="bg-BG"/>
        </w:rPr>
        <w:t xml:space="preserve">/ден и максималната доза е 5 </w:t>
      </w:r>
      <w:r w:rsidRPr="00A378B3">
        <w:rPr>
          <w:rFonts w:eastAsia="Times New Roman" w:cs="Arial"/>
          <w:color w:val="000000"/>
          <w:lang w:val="en-US"/>
        </w:rPr>
        <w:t xml:space="preserve">mg; </w:t>
      </w:r>
      <w:r w:rsidRPr="00A378B3">
        <w:rPr>
          <w:rFonts w:eastAsia="Times New Roman" w:cs="Arial"/>
          <w:color w:val="000000"/>
          <w:lang w:eastAsia="bg-BG"/>
        </w:rPr>
        <w:t>лекарствения продукт трябва да се прилага няколко часа след хемодиализата.</w:t>
      </w:r>
    </w:p>
    <w:p w14:paraId="4A66C931" w14:textId="77777777" w:rsidR="00A378B3" w:rsidRDefault="00A378B3" w:rsidP="00A378B3">
      <w:pPr>
        <w:spacing w:line="240" w:lineRule="auto"/>
        <w:rPr>
          <w:rFonts w:eastAsia="Times New Roman" w:cs="Arial"/>
          <w:i/>
          <w:iCs/>
          <w:color w:val="000000"/>
          <w:lang w:eastAsia="bg-BG"/>
        </w:rPr>
      </w:pPr>
    </w:p>
    <w:p w14:paraId="6507E82E" w14:textId="146A3B04"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Пациенти с чернодробно увреждане (вижте точка 5,2)</w:t>
      </w:r>
    </w:p>
    <w:p w14:paraId="7B63284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При пациенти с чернодробно увреждане, лечението с рамиприл трябва да се инициира само под строго лекарско наблюдение и максималната дневна доза е 2,5 </w:t>
      </w:r>
      <w:r w:rsidRPr="00A378B3">
        <w:rPr>
          <w:rFonts w:eastAsia="Times New Roman" w:cs="Arial"/>
          <w:color w:val="000000"/>
          <w:lang w:val="en-US"/>
        </w:rPr>
        <w:t xml:space="preserve">mg </w:t>
      </w:r>
      <w:r w:rsidRPr="00A378B3">
        <w:rPr>
          <w:rFonts w:eastAsia="Times New Roman" w:cs="Arial"/>
          <w:color w:val="000000"/>
          <w:lang w:eastAsia="bg-BG"/>
        </w:rPr>
        <w:t>рамиприл.</w:t>
      </w:r>
    </w:p>
    <w:p w14:paraId="347E0764" w14:textId="77777777" w:rsidR="00A378B3" w:rsidRDefault="00A378B3" w:rsidP="00A378B3">
      <w:pPr>
        <w:spacing w:line="240" w:lineRule="auto"/>
        <w:rPr>
          <w:rFonts w:eastAsia="Times New Roman" w:cs="Arial"/>
          <w:i/>
          <w:iCs/>
          <w:color w:val="000000"/>
          <w:lang w:eastAsia="bg-BG"/>
        </w:rPr>
      </w:pPr>
    </w:p>
    <w:p w14:paraId="260CA6B3" w14:textId="6441343D"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Пациенти в старческа възраст</w:t>
      </w:r>
    </w:p>
    <w:p w14:paraId="4E63ED61"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Началната доза трябва да бъде по-ниска, а последващото титриране да бъде постепенно, поради по-голямата вероятност за нежелани реакции, особено при много възрастни и немощни пациенти. Трябва да се обмисли по-ниска начална доза от 1,25 </w:t>
      </w:r>
      <w:r w:rsidRPr="00A378B3">
        <w:rPr>
          <w:rFonts w:eastAsia="Times New Roman" w:cs="Arial"/>
          <w:color w:val="000000"/>
          <w:lang w:val="en-US"/>
        </w:rPr>
        <w:t xml:space="preserve">mg </w:t>
      </w:r>
      <w:r w:rsidRPr="00A378B3">
        <w:rPr>
          <w:rFonts w:eastAsia="Times New Roman" w:cs="Arial"/>
          <w:color w:val="000000"/>
          <w:lang w:eastAsia="bg-BG"/>
        </w:rPr>
        <w:t>рамиприл.</w:t>
      </w:r>
    </w:p>
    <w:p w14:paraId="0DC56651" w14:textId="77777777" w:rsidR="00A378B3" w:rsidRDefault="00A378B3" w:rsidP="00A378B3">
      <w:pPr>
        <w:spacing w:line="240" w:lineRule="auto"/>
        <w:rPr>
          <w:rFonts w:eastAsia="Times New Roman" w:cs="Arial"/>
          <w:i/>
          <w:iCs/>
          <w:color w:val="000000"/>
          <w:lang w:eastAsia="bg-BG"/>
        </w:rPr>
      </w:pPr>
    </w:p>
    <w:p w14:paraId="6A967F99" w14:textId="61EE4B23"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Педиатрична популация</w:t>
      </w:r>
    </w:p>
    <w:p w14:paraId="0EE8D97B" w14:textId="508FC809" w:rsidR="00A378B3" w:rsidRDefault="00A378B3" w:rsidP="00A378B3">
      <w:pPr>
        <w:rPr>
          <w:rFonts w:eastAsia="Times New Roman" w:cs="Arial"/>
          <w:color w:val="000000"/>
          <w:lang w:eastAsia="bg-BG"/>
        </w:rPr>
      </w:pPr>
      <w:r w:rsidRPr="00A378B3">
        <w:rPr>
          <w:rFonts w:eastAsia="Times New Roman" w:cs="Arial"/>
          <w:color w:val="000000"/>
          <w:lang w:eastAsia="bg-BG"/>
        </w:rPr>
        <w:t>Безопасността и ефикасността на рамиприл при деца все още не са установени. Наличните към момента данни за РамиХЕКСАЛ са представени в точки 4.8, 5.1, 5.2 и 5.3, но специфични препоръки за дозировката не могат да бъдат дадени.</w:t>
      </w:r>
    </w:p>
    <w:p w14:paraId="36F9D38B" w14:textId="77777777" w:rsidR="00A378B3" w:rsidRPr="00A378B3" w:rsidRDefault="00A378B3" w:rsidP="00A378B3">
      <w:pPr>
        <w:rPr>
          <w:rFonts w:cs="Arial"/>
        </w:rPr>
      </w:pPr>
    </w:p>
    <w:p w14:paraId="1BF2EFF4" w14:textId="68F2FAC7" w:rsidR="001A6EBD" w:rsidRDefault="002C50EE" w:rsidP="00471F10">
      <w:pPr>
        <w:pStyle w:val="Heading2"/>
      </w:pPr>
      <w:r>
        <w:t>4.3. Противопоказания</w:t>
      </w:r>
    </w:p>
    <w:p w14:paraId="4C8B9DD4" w14:textId="23329952" w:rsidR="00A378B3" w:rsidRDefault="00A378B3" w:rsidP="00A378B3"/>
    <w:p w14:paraId="3BF60D4E"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свръхчувствителност към активното вещество, към някое от помощните вещества или към други АСЕ (ангиотензин-конвертиращ ензим) инхибитори </w:t>
      </w:r>
    </w:p>
    <w:p w14:paraId="076AF9B4"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ангионевротичен едем в анамнезата (наследствен, идиопатичен или вследствие на приложение на АСЕ инхибитори или ангиотензин II антагонисти) </w:t>
      </w:r>
    </w:p>
    <w:p w14:paraId="6F81F85D"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съпътстваща употреба при терапия със сакубитрил/валсартан. Рамихексал не трябва да се започва по-рано от 36 часа след последната доза сакубитрил/валсартан (вж. също точки 4.4 и 4.5). </w:t>
      </w:r>
    </w:p>
    <w:p w14:paraId="77DF1D2D"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екстракорпорално лечение, водещо до контакт на кръвта с отрицателно заредени повърхности (вижте точка 4.5) </w:t>
      </w:r>
    </w:p>
    <w:p w14:paraId="56A8FA1B"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хемодинамично значима билатерална стеноза на бъбречните артерии или унилатерална при пациенти с един функциониращ бъбрек </w:t>
      </w:r>
    </w:p>
    <w:p w14:paraId="4753A123"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бременност (вж. точка 4.6) </w:t>
      </w:r>
    </w:p>
    <w:p w14:paraId="0F5F2BFA"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рамиприл не трябва да се прилага при пациенти с хипотония или в хемодинамично нестабилни състояния.</w:t>
      </w:r>
    </w:p>
    <w:p w14:paraId="6730A751" w14:textId="5126DA74"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lastRenderedPageBreak/>
        <w:t xml:space="preserve">едновременното приложение на АСЕ инхибитори - включително рамиприл - или ангиотензин рецепторни антагонисти </w:t>
      </w:r>
      <w:r w:rsidRPr="00A378B3">
        <w:rPr>
          <w:rFonts w:eastAsia="Times New Roman" w:cs="Arial"/>
          <w:color w:val="000000"/>
          <w:lang w:val="en-US"/>
        </w:rPr>
        <w:t xml:space="preserve">(ARBs) </w:t>
      </w:r>
      <w:r w:rsidRPr="00A378B3">
        <w:rPr>
          <w:rFonts w:eastAsia="Times New Roman" w:cs="Arial"/>
          <w:color w:val="000000"/>
          <w:lang w:eastAsia="bg-BG"/>
        </w:rPr>
        <w:t>с алискирен-съдържащи продукти е противопоказана при пациенти със захарен диабет тип 2 (вж. точки 5)</w:t>
      </w:r>
    </w:p>
    <w:p w14:paraId="5A977CAA" w14:textId="77777777" w:rsidR="00A378B3" w:rsidRPr="00A378B3" w:rsidRDefault="00A378B3" w:rsidP="00A378B3">
      <w:pPr>
        <w:spacing w:line="240" w:lineRule="auto"/>
        <w:rPr>
          <w:rFonts w:eastAsia="Times New Roman" w:cs="Arial"/>
          <w:lang w:eastAsia="bg-BG"/>
        </w:rPr>
      </w:pPr>
    </w:p>
    <w:p w14:paraId="0C106098" w14:textId="107CC230" w:rsidR="001A6EBD" w:rsidRDefault="002C50EE" w:rsidP="00471F10">
      <w:pPr>
        <w:pStyle w:val="Heading2"/>
      </w:pPr>
      <w:r>
        <w:t>4.4. Специални предупреждения и предпазни мерки при употреба</w:t>
      </w:r>
    </w:p>
    <w:p w14:paraId="1D3258FF" w14:textId="2F8CF2E6" w:rsidR="00A378B3" w:rsidRDefault="00A378B3" w:rsidP="00A378B3"/>
    <w:p w14:paraId="6B1EE61C" w14:textId="77777777"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Специални популации</w:t>
      </w:r>
    </w:p>
    <w:p w14:paraId="1B6EC373" w14:textId="77777777"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Бременност:</w:t>
      </w:r>
      <w:r w:rsidRPr="00A378B3">
        <w:rPr>
          <w:rFonts w:eastAsia="Times New Roman" w:cs="Arial"/>
          <w:color w:val="000000"/>
          <w:lang w:eastAsia="bg-BG"/>
        </w:rPr>
        <w:t xml:space="preserve"> АСЕ инхибитори като рамиприл или ангиотензин II рецепторни антагонисти (А</w:t>
      </w:r>
      <w:r w:rsidRPr="00A378B3">
        <w:rPr>
          <w:rFonts w:eastAsia="Times New Roman" w:cs="Arial"/>
          <w:color w:val="000000"/>
          <w:lang w:val="en-US"/>
        </w:rPr>
        <w:t>II</w:t>
      </w:r>
      <w:r w:rsidRPr="00A378B3">
        <w:rPr>
          <w:rFonts w:eastAsia="Times New Roman" w:cs="Arial"/>
          <w:color w:val="000000"/>
          <w:lang w:eastAsia="bg-BG"/>
        </w:rPr>
        <w:t>РА) не трябва да се започват по време на бременност. Пациентките, планиращи бременност трябва да сменят лечението с алтернативни антихипертензивни продукти, които имат установен профил на безопасност за употреба по време на бременност, освен ако продължаването на терапията с АСЕ инхибитор</w:t>
      </w:r>
      <w:r w:rsidRPr="00A378B3">
        <w:rPr>
          <w:rFonts w:eastAsia="Times New Roman" w:cs="Arial"/>
          <w:color w:val="000000"/>
          <w:lang w:val="en-US"/>
        </w:rPr>
        <w:t xml:space="preserve">/AIIPA </w:t>
      </w:r>
      <w:r w:rsidRPr="00A378B3">
        <w:rPr>
          <w:rFonts w:eastAsia="Times New Roman" w:cs="Arial"/>
          <w:color w:val="000000"/>
          <w:lang w:eastAsia="bg-BG"/>
        </w:rPr>
        <w:t>не се счете за строго необходимо. При установяване на бременност, лечението с АСЕ инхибитори/А</w:t>
      </w:r>
      <w:r w:rsidRPr="00A378B3">
        <w:rPr>
          <w:rFonts w:eastAsia="Times New Roman" w:cs="Arial"/>
          <w:color w:val="000000"/>
          <w:lang w:val="en-US"/>
        </w:rPr>
        <w:t>II</w:t>
      </w:r>
      <w:r w:rsidRPr="00A378B3">
        <w:rPr>
          <w:rFonts w:eastAsia="Times New Roman" w:cs="Arial"/>
          <w:color w:val="000000"/>
          <w:lang w:eastAsia="bg-BG"/>
        </w:rPr>
        <w:t>РА трябва да се прекрати незабавно и, ако е уместно, да се започне алтернативна терапия (вижте точки 4.3 и 4.6).</w:t>
      </w:r>
    </w:p>
    <w:p w14:paraId="340A34B6" w14:textId="77777777" w:rsidR="00A378B3" w:rsidRDefault="00A378B3" w:rsidP="00A378B3">
      <w:pPr>
        <w:spacing w:line="240" w:lineRule="auto"/>
        <w:rPr>
          <w:rFonts w:eastAsia="Times New Roman" w:cs="Arial"/>
          <w:i/>
          <w:iCs/>
          <w:color w:val="000000"/>
          <w:u w:val="single"/>
          <w:lang w:eastAsia="bg-BG"/>
        </w:rPr>
      </w:pPr>
    </w:p>
    <w:p w14:paraId="034CCF40" w14:textId="55803F53"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Пациенти, изложени на повишен риск от хипотония</w:t>
      </w:r>
    </w:p>
    <w:p w14:paraId="34B76DC4" w14:textId="77777777"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Пациенти с повишена активност на системата ренин-ангиотензин-алдостерон</w:t>
      </w:r>
    </w:p>
    <w:p w14:paraId="7BFAD5CA"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Пациентите с повишена активност на системата ренин-ангиотензин-алдостерон са изложени на повишен риск от остър, изявен спад на кръвното налягане и влошаване на бъбречната функция, което се дължи на инхибирането на АСЕ, особено когато АСЕ инхибитор или съпътстващ диуретик се дават за първи път или се повишава дозата им.</w:t>
      </w:r>
    </w:p>
    <w:p w14:paraId="1AE0010B" w14:textId="77777777" w:rsidR="00A378B3" w:rsidRDefault="00A378B3" w:rsidP="00A378B3">
      <w:pPr>
        <w:spacing w:line="240" w:lineRule="auto"/>
        <w:rPr>
          <w:rFonts w:eastAsia="Times New Roman" w:cs="Arial"/>
          <w:color w:val="000000"/>
          <w:lang w:eastAsia="bg-BG"/>
        </w:rPr>
      </w:pPr>
    </w:p>
    <w:p w14:paraId="4E33E312" w14:textId="77777777" w:rsidR="00A378B3" w:rsidRDefault="00A378B3" w:rsidP="00A378B3">
      <w:pPr>
        <w:spacing w:line="240" w:lineRule="auto"/>
        <w:rPr>
          <w:rFonts w:eastAsia="Times New Roman" w:cs="Arial"/>
          <w:color w:val="000000"/>
          <w:lang w:eastAsia="bg-BG"/>
        </w:rPr>
      </w:pPr>
      <w:r w:rsidRPr="00A378B3">
        <w:rPr>
          <w:rFonts w:eastAsia="Times New Roman" w:cs="Arial"/>
          <w:color w:val="000000"/>
          <w:lang w:eastAsia="bg-BG"/>
        </w:rPr>
        <w:t xml:space="preserve">Очаква се значително активиране на системата ренин-ангиотензин-алдостерон и е необходимо наблюдение от лекар, включително мониториране на кръвното налягане, например при: </w:t>
      </w:r>
    </w:p>
    <w:p w14:paraId="5D76AF4B"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пациенти с тежка хипертония </w:t>
      </w:r>
    </w:p>
    <w:p w14:paraId="1BF57921"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пациенти с декомпенсирана застойна сърдечна недостатъчност </w:t>
      </w:r>
    </w:p>
    <w:p w14:paraId="03F41A75"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пациенти с хемодинамично значима обструкция на левокамерения входящ и изходящ кръвоток (напр.стеноза на аортата или митралната клапа) </w:t>
      </w:r>
    </w:p>
    <w:p w14:paraId="0EB536D6"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пациенти с едностранна стеноза на бъбречната артерия с втори функциониращ бъбрек </w:t>
      </w:r>
    </w:p>
    <w:p w14:paraId="2B62757E" w14:textId="3850CC2A"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пациенти, при които има или са изложени на риск от загуба на течности и електролити (включително пациенти на лечение с диуретици) </w:t>
      </w:r>
    </w:p>
    <w:p w14:paraId="3595364C" w14:textId="77777777"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 xml:space="preserve">пациенти с чернодробна цироза и/или асцит </w:t>
      </w:r>
    </w:p>
    <w:p w14:paraId="60E89234" w14:textId="7B42326B" w:rsidR="00A378B3" w:rsidRPr="00A378B3" w:rsidRDefault="00A378B3" w:rsidP="00A378B3">
      <w:pPr>
        <w:pStyle w:val="ListParagraph"/>
        <w:numPr>
          <w:ilvl w:val="0"/>
          <w:numId w:val="43"/>
        </w:numPr>
        <w:spacing w:line="240" w:lineRule="auto"/>
        <w:rPr>
          <w:rFonts w:eastAsia="Times New Roman" w:cs="Arial"/>
          <w:lang w:eastAsia="bg-BG"/>
        </w:rPr>
      </w:pPr>
      <w:r w:rsidRPr="00A378B3">
        <w:rPr>
          <w:rFonts w:eastAsia="Times New Roman" w:cs="Arial"/>
          <w:color w:val="000000"/>
          <w:lang w:eastAsia="bg-BG"/>
        </w:rPr>
        <w:t>пациенти, подложени на голяма хирургична интервенция или по време на анестезия с вещества, предизвикващи хипотония</w:t>
      </w:r>
    </w:p>
    <w:p w14:paraId="553DBD6A"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Най-общо се препоръчва да се коригира дехидратирането, хиповолемията или загубата на електролити преди инициирането на лечението (при пациенти със сърдечна недостатъчност, обаче, тази корекция трябва внимателно да се прецени спрямо риска от обемно пренатоварване).</w:t>
      </w:r>
    </w:p>
    <w:p w14:paraId="3E2C737B" w14:textId="77777777" w:rsidR="00A378B3" w:rsidRDefault="00A378B3" w:rsidP="00A378B3">
      <w:pPr>
        <w:rPr>
          <w:rFonts w:eastAsia="Times New Roman" w:cs="Arial"/>
          <w:i/>
          <w:iCs/>
          <w:color w:val="000000"/>
          <w:u w:val="single"/>
          <w:lang w:eastAsia="bg-BG"/>
        </w:rPr>
      </w:pPr>
    </w:p>
    <w:p w14:paraId="4D4F273D" w14:textId="4A571D4F" w:rsidR="00A378B3" w:rsidRDefault="00A378B3" w:rsidP="00A378B3">
      <w:pPr>
        <w:rPr>
          <w:rFonts w:eastAsia="Times New Roman" w:cs="Arial"/>
          <w:i/>
          <w:iCs/>
          <w:color w:val="000000"/>
          <w:u w:val="single"/>
          <w:lang w:eastAsia="bg-BG"/>
        </w:rPr>
      </w:pPr>
      <w:r w:rsidRPr="00A378B3">
        <w:rPr>
          <w:rFonts w:eastAsia="Times New Roman" w:cs="Arial"/>
          <w:i/>
          <w:iCs/>
          <w:color w:val="000000"/>
          <w:u w:val="single"/>
          <w:lang w:eastAsia="bg-BG"/>
        </w:rPr>
        <w:t>Преходна или постоянна сърдечна недостатъчност след миокарден инфаркт</w:t>
      </w:r>
    </w:p>
    <w:p w14:paraId="20D35E7C" w14:textId="77777777"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Пациенти изложени на повишен риск от сърдечна или мозъчна исхемия, в случай на остра хипотпония</w:t>
      </w:r>
    </w:p>
    <w:p w14:paraId="67DC6F6B"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 началната фаза от лечението е необходим строг медицински контрол.</w:t>
      </w:r>
    </w:p>
    <w:p w14:paraId="4774525C" w14:textId="77777777" w:rsidR="00A378B3" w:rsidRDefault="00A378B3" w:rsidP="00A378B3">
      <w:pPr>
        <w:spacing w:line="240" w:lineRule="auto"/>
        <w:rPr>
          <w:rFonts w:eastAsia="Times New Roman" w:cs="Arial"/>
          <w:i/>
          <w:iCs/>
          <w:color w:val="000000"/>
          <w:u w:val="single"/>
          <w:lang w:eastAsia="bg-BG"/>
        </w:rPr>
      </w:pPr>
    </w:p>
    <w:p w14:paraId="0EAB5ACE" w14:textId="10AC9246"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Пациенти в старческа възраст</w:t>
      </w:r>
    </w:p>
    <w:p w14:paraId="5EC738C5"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Вижте точка 4.2.</w:t>
      </w:r>
    </w:p>
    <w:p w14:paraId="0EC38CD0" w14:textId="77777777" w:rsidR="00A378B3" w:rsidRDefault="00A378B3" w:rsidP="00A378B3">
      <w:pPr>
        <w:spacing w:line="240" w:lineRule="auto"/>
        <w:rPr>
          <w:rFonts w:eastAsia="Times New Roman" w:cs="Arial"/>
          <w:i/>
          <w:iCs/>
          <w:color w:val="000000"/>
          <w:u w:val="single"/>
          <w:lang w:eastAsia="bg-BG"/>
        </w:rPr>
      </w:pPr>
    </w:p>
    <w:p w14:paraId="1BD9D6A7" w14:textId="54885F79"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lastRenderedPageBreak/>
        <w:t>Хирургични интервенции</w:t>
      </w:r>
    </w:p>
    <w:p w14:paraId="0F0C8C87"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Препоръчително е лечението с инхибитори на ангиотензин конвертиращия ензим като рамиприл да бъде прекратено при възможност един ден преди операцията.</w:t>
      </w:r>
    </w:p>
    <w:p w14:paraId="65931099" w14:textId="77777777" w:rsidR="00A378B3" w:rsidRDefault="00A378B3" w:rsidP="00A378B3">
      <w:pPr>
        <w:spacing w:line="240" w:lineRule="auto"/>
        <w:rPr>
          <w:rFonts w:eastAsia="Times New Roman" w:cs="Arial"/>
          <w:i/>
          <w:iCs/>
          <w:color w:val="000000"/>
          <w:u w:val="single"/>
          <w:lang w:eastAsia="bg-BG"/>
        </w:rPr>
      </w:pPr>
    </w:p>
    <w:p w14:paraId="6F77D1EF" w14:textId="7EFDB198"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Мониториране на бъбречната функция</w:t>
      </w:r>
    </w:p>
    <w:p w14:paraId="62BDB52F"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Бъбречната функция трябва да се изследва преди и по време на лечението и дозировката да бъде коригирана, особено през първите седмици от лечението. Необходимо е особено внимателно мониториране при пациенти с бъбречна недостатъчност (вж. точка 4.2).</w:t>
      </w:r>
    </w:p>
    <w:p w14:paraId="22DCB38D"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Съществува риск от нарушение на бъбречната функция, особено при пациенти със застойна сърдечна недостатъчност или след бъбречна трансплантация.</w:t>
      </w:r>
    </w:p>
    <w:p w14:paraId="4C14870D" w14:textId="77777777" w:rsidR="00A378B3" w:rsidRDefault="00A378B3" w:rsidP="00A378B3">
      <w:pPr>
        <w:spacing w:line="240" w:lineRule="auto"/>
        <w:rPr>
          <w:rFonts w:eastAsia="Times New Roman" w:cs="Arial"/>
          <w:color w:val="000000"/>
          <w:lang w:eastAsia="bg-BG"/>
        </w:rPr>
      </w:pPr>
    </w:p>
    <w:p w14:paraId="07E0FC25" w14:textId="76D1075E"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Употребата на АСЕ инхибитори, включително рамиприл, или антагонисти на рецепторите за ангиотензин с алискирен трябва да се избягва при пациенти с бъбречно увреждане (скорост на глумерулна филтрация </w:t>
      </w:r>
      <w:r w:rsidRPr="00A378B3">
        <w:rPr>
          <w:rFonts w:eastAsia="Times New Roman" w:cs="Arial"/>
          <w:color w:val="000000"/>
          <w:lang w:val="en-US"/>
        </w:rPr>
        <w:t xml:space="preserve">GFR </w:t>
      </w:r>
      <w:r w:rsidRPr="00A378B3">
        <w:rPr>
          <w:rFonts w:eastAsia="Times New Roman" w:cs="Arial"/>
          <w:color w:val="000000"/>
          <w:lang w:eastAsia="bg-BG"/>
        </w:rPr>
        <w:t xml:space="preserve">&lt;30 </w:t>
      </w:r>
      <w:r w:rsidRPr="00A378B3">
        <w:rPr>
          <w:rFonts w:eastAsia="Times New Roman" w:cs="Arial"/>
          <w:color w:val="000000"/>
          <w:lang w:val="en-US"/>
        </w:rPr>
        <w:t xml:space="preserve">ml/min) </w:t>
      </w:r>
      <w:r w:rsidRPr="00A378B3">
        <w:rPr>
          <w:rFonts w:eastAsia="Times New Roman" w:cs="Arial"/>
          <w:color w:val="000000"/>
          <w:lang w:eastAsia="bg-BG"/>
        </w:rPr>
        <w:t>(вж. точка 4.5).</w:t>
      </w:r>
    </w:p>
    <w:p w14:paraId="0CF03940" w14:textId="77777777" w:rsidR="00A378B3" w:rsidRDefault="00A378B3" w:rsidP="00A378B3">
      <w:pPr>
        <w:spacing w:line="240" w:lineRule="auto"/>
        <w:rPr>
          <w:rFonts w:eastAsia="Times New Roman" w:cs="Arial"/>
          <w:i/>
          <w:iCs/>
          <w:color w:val="000000"/>
          <w:u w:val="single"/>
          <w:lang w:eastAsia="bg-BG"/>
        </w:rPr>
      </w:pPr>
    </w:p>
    <w:p w14:paraId="5D35DBB3" w14:textId="55F0AB80"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Ангиоедем</w:t>
      </w:r>
    </w:p>
    <w:p w14:paraId="763A4E12"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Съобщава се за ангиоедем при пациенти, лекувани с АСЕ инхибитори, включително рамиприл (вижте точка 4.8). Този риск може да бъде по-висок при пациенти, приемащи едновременно лекарства, като </w:t>
      </w:r>
      <w:r w:rsidRPr="00A378B3">
        <w:rPr>
          <w:rFonts w:eastAsia="Times New Roman" w:cs="Arial"/>
          <w:color w:val="000000"/>
          <w:lang w:val="en-US"/>
        </w:rPr>
        <w:t xml:space="preserve">mTOR </w:t>
      </w:r>
      <w:r w:rsidRPr="00A378B3">
        <w:rPr>
          <w:rFonts w:eastAsia="Times New Roman" w:cs="Arial"/>
          <w:color w:val="000000"/>
          <w:lang w:eastAsia="bg-BG"/>
        </w:rPr>
        <w:t xml:space="preserve">(прицелна молекула на рапамицин при бозайници) инхибитори (напр. темсиролимус, еверолимус, сиролимус), вилдаглиптин или неприлизин </w:t>
      </w:r>
      <w:r w:rsidRPr="00A378B3">
        <w:rPr>
          <w:rFonts w:eastAsia="Times New Roman" w:cs="Arial"/>
          <w:color w:val="000000"/>
          <w:lang w:val="en-US"/>
        </w:rPr>
        <w:t xml:space="preserve">(NEP) </w:t>
      </w:r>
      <w:r w:rsidRPr="00A378B3">
        <w:rPr>
          <w:rFonts w:eastAsia="Times New Roman" w:cs="Arial"/>
          <w:color w:val="000000"/>
          <w:lang w:eastAsia="bg-BG"/>
        </w:rPr>
        <w:t>инхибитори (като рацекадотрил).</w:t>
      </w:r>
    </w:p>
    <w:p w14:paraId="3EC17EEA" w14:textId="77777777" w:rsidR="00A378B3" w:rsidRDefault="00A378B3" w:rsidP="00A378B3">
      <w:pPr>
        <w:spacing w:line="240" w:lineRule="auto"/>
        <w:rPr>
          <w:rFonts w:eastAsia="Times New Roman" w:cs="Arial"/>
          <w:i/>
          <w:iCs/>
          <w:color w:val="000000"/>
          <w:u w:val="single"/>
          <w:lang w:eastAsia="bg-BG"/>
        </w:rPr>
      </w:pPr>
    </w:p>
    <w:p w14:paraId="35D205E5" w14:textId="4A8DD8C3"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Свръхчувствителност/ангиоедем</w:t>
      </w:r>
    </w:p>
    <w:p w14:paraId="5538F7AF"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рамиприл. Лечение с Рамихексал не трябва да се започва по-рано от 36 часа след последната доза сакубитрил/валсартан (вж. точки 4.3 и 4.5).</w:t>
      </w:r>
    </w:p>
    <w:p w14:paraId="3BCFF4A8" w14:textId="77777777" w:rsidR="00A378B3" w:rsidRDefault="00A378B3" w:rsidP="00A378B3">
      <w:pPr>
        <w:spacing w:line="240" w:lineRule="auto"/>
        <w:rPr>
          <w:rFonts w:eastAsia="Times New Roman" w:cs="Arial"/>
          <w:color w:val="000000"/>
          <w:lang w:eastAsia="bg-BG"/>
        </w:rPr>
      </w:pPr>
    </w:p>
    <w:p w14:paraId="0582D815" w14:textId="202EBB30"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Съпътстващата употреба на АСЕ инхибитори с рацекадотрил, </w:t>
      </w:r>
      <w:r w:rsidRPr="00A378B3">
        <w:rPr>
          <w:rFonts w:eastAsia="Times New Roman" w:cs="Arial"/>
          <w:color w:val="000000"/>
          <w:lang w:val="en-US"/>
        </w:rPr>
        <w:t xml:space="preserve">mTOR </w:t>
      </w:r>
      <w:r w:rsidRPr="00A378B3">
        <w:rPr>
          <w:rFonts w:eastAsia="Times New Roman" w:cs="Arial"/>
          <w:color w:val="000000"/>
          <w:lang w:eastAsia="bg-BG"/>
        </w:rPr>
        <w:t xml:space="preserve">инхибитори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r w:rsidRPr="00A378B3">
        <w:rPr>
          <w:rFonts w:eastAsia="Times New Roman" w:cs="Arial"/>
          <w:color w:val="000000"/>
          <w:lang w:val="en-US"/>
        </w:rPr>
        <w:t xml:space="preserve">mTOR </w:t>
      </w:r>
      <w:r w:rsidRPr="00A378B3">
        <w:rPr>
          <w:rFonts w:eastAsia="Times New Roman" w:cs="Arial"/>
          <w:color w:val="000000"/>
          <w:lang w:eastAsia="bg-BG"/>
        </w:rPr>
        <w:t>инхибитори (напр. сиролимус, еверолимус, темсиролимус) и вилдаглиптин при пациент, който вече приема АСЕ инхибитор.</w:t>
      </w:r>
    </w:p>
    <w:p w14:paraId="273E73D2" w14:textId="77777777" w:rsidR="00A378B3" w:rsidRDefault="00A378B3" w:rsidP="00A378B3">
      <w:pPr>
        <w:spacing w:line="240" w:lineRule="auto"/>
        <w:rPr>
          <w:rFonts w:eastAsia="Times New Roman" w:cs="Arial"/>
          <w:color w:val="000000"/>
          <w:lang w:eastAsia="bg-BG"/>
        </w:rPr>
      </w:pPr>
    </w:p>
    <w:p w14:paraId="07A85980" w14:textId="33E9B12A"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 случай на ангиоедем, приемът на рамиприл трябва да се прекрати.</w:t>
      </w:r>
    </w:p>
    <w:p w14:paraId="607E3BFF"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Терапия на спешното състояние трябва да се започне бързо. Пациентът трябва да се наблюдава поне 12 до 24 часа и да се освободи само след пълно отшумяване на симптомите.</w:t>
      </w:r>
    </w:p>
    <w:p w14:paraId="65D07DD3"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Съобщава се ангиоедем на червата при пациенти, лекувани с АСЕ инхибитори, включително рамиприл (вж. точка 4.8). Тези пациенти имат оплакване от коремна болка (с или без гадене или повръщане).</w:t>
      </w:r>
    </w:p>
    <w:p w14:paraId="46131AFD" w14:textId="77777777" w:rsidR="00A378B3" w:rsidRDefault="00A378B3" w:rsidP="00A378B3">
      <w:pPr>
        <w:spacing w:line="240" w:lineRule="auto"/>
        <w:rPr>
          <w:rFonts w:eastAsia="Times New Roman" w:cs="Arial"/>
          <w:i/>
          <w:iCs/>
          <w:color w:val="000000"/>
          <w:u w:val="single"/>
          <w:lang w:eastAsia="bg-BG"/>
        </w:rPr>
      </w:pPr>
    </w:p>
    <w:p w14:paraId="0A77FFD7" w14:textId="21EE17C8"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Анафилактични реакции по време на десенсибилизираща терапия</w:t>
      </w:r>
    </w:p>
    <w:p w14:paraId="389E9C12"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Рискът от анафилактични и анафилактоидни реакции към отровата на инсекти и други алергени и тяхната тежест се повишава при инхибиране на АСЕ. Преди десенсибилизираща терапия трябва да се обмисли временно прекратяване на рамиприл.</w:t>
      </w:r>
    </w:p>
    <w:p w14:paraId="0A4ADD99" w14:textId="77777777" w:rsidR="00A378B3" w:rsidRDefault="00A378B3" w:rsidP="00A378B3">
      <w:pPr>
        <w:spacing w:line="240" w:lineRule="auto"/>
        <w:rPr>
          <w:rFonts w:eastAsia="Times New Roman" w:cs="Arial"/>
          <w:b/>
          <w:bCs/>
          <w:i/>
          <w:iCs/>
          <w:color w:val="000000"/>
          <w:lang w:eastAsia="bg-BG"/>
        </w:rPr>
      </w:pPr>
    </w:p>
    <w:p w14:paraId="37D62486" w14:textId="65FF32C0" w:rsidR="00A378B3" w:rsidRPr="00A378B3" w:rsidRDefault="00A378B3" w:rsidP="00A378B3">
      <w:pPr>
        <w:spacing w:line="240" w:lineRule="auto"/>
        <w:rPr>
          <w:rFonts w:eastAsia="Times New Roman" w:cs="Arial"/>
          <w:lang w:eastAsia="bg-BG"/>
        </w:rPr>
      </w:pPr>
      <w:r w:rsidRPr="00A378B3">
        <w:rPr>
          <w:rFonts w:eastAsia="Times New Roman" w:cs="Arial"/>
          <w:b/>
          <w:bCs/>
          <w:i/>
          <w:iCs/>
          <w:color w:val="000000"/>
          <w:lang w:eastAsia="bg-BG"/>
        </w:rPr>
        <w:t>Проследяване нивата на електролитите</w:t>
      </w:r>
    </w:p>
    <w:p w14:paraId="2D43F52F" w14:textId="7523F4FF" w:rsidR="00A378B3" w:rsidRDefault="00A378B3" w:rsidP="00A378B3">
      <w:pPr>
        <w:spacing w:line="240" w:lineRule="auto"/>
        <w:rPr>
          <w:rFonts w:eastAsia="Times New Roman" w:cs="Arial"/>
          <w:i/>
          <w:iCs/>
          <w:color w:val="000000"/>
          <w:u w:val="single"/>
          <w:lang w:eastAsia="bg-BG"/>
        </w:rPr>
      </w:pPr>
      <w:r w:rsidRPr="00A378B3">
        <w:rPr>
          <w:rFonts w:eastAsia="Times New Roman" w:cs="Arial"/>
          <w:i/>
          <w:iCs/>
          <w:color w:val="000000"/>
          <w:u w:val="single"/>
          <w:lang w:eastAsia="bg-BG"/>
        </w:rPr>
        <w:lastRenderedPageBreak/>
        <w:t>Серумен калий</w:t>
      </w:r>
    </w:p>
    <w:p w14:paraId="787D0E6C"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При пациенти с нарушена бъбречна функция обаче и/или при пациенти, приемащи хранителни добавки, съдържащи калий (включително заместители на солта), калий- съхраняващи диуретици, триметоприм или котримоксазол, известен също като триметоприм/сулфаметоксазол, и особено антагонисти на алдостерона или ангиотензин- рецепторни блокери, може да възникне хиперкалиемия. Калий-съхраняващите диуретици и ангиотензин-рецепторните блокери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09348A74" w14:textId="77777777" w:rsidR="00A378B3" w:rsidRDefault="00A378B3" w:rsidP="00A378B3">
      <w:pPr>
        <w:spacing w:line="240" w:lineRule="auto"/>
        <w:rPr>
          <w:rFonts w:eastAsia="Times New Roman" w:cs="Arial"/>
          <w:i/>
          <w:iCs/>
          <w:color w:val="000000"/>
          <w:u w:val="single"/>
          <w:lang w:eastAsia="bg-BG"/>
        </w:rPr>
      </w:pPr>
    </w:p>
    <w:p w14:paraId="709F44E9" w14:textId="633F29D4"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Хипонатриемия</w:t>
      </w:r>
    </w:p>
    <w:p w14:paraId="29238C44" w14:textId="635C668F"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Синдром на неадекватна секреция на антидуиретичен хормон </w:t>
      </w:r>
      <w:r w:rsidRPr="00A378B3">
        <w:rPr>
          <w:rFonts w:eastAsia="Times New Roman" w:cs="Arial"/>
          <w:color w:val="000000"/>
          <w:lang w:val="en-US"/>
        </w:rPr>
        <w:t xml:space="preserve">(SIADH) </w:t>
      </w:r>
      <w:r w:rsidRPr="00A378B3">
        <w:rPr>
          <w:rFonts w:eastAsia="Times New Roman" w:cs="Arial"/>
          <w:color w:val="000000"/>
          <w:lang w:eastAsia="bg-BG"/>
        </w:rPr>
        <w:t>и последваща хипонатриемия са наблюдавани при някои пациенти, приемащи лечение с рамиприл. Препоръчва се редовно мониториране на серумните нива на натрий при пациенти в старческа възраст и други пациенти, изложени на риск от хипонатриемия.</w:t>
      </w:r>
    </w:p>
    <w:p w14:paraId="65022933" w14:textId="77777777" w:rsidR="00A378B3" w:rsidRDefault="00A378B3" w:rsidP="00A378B3">
      <w:pPr>
        <w:spacing w:line="240" w:lineRule="auto"/>
        <w:rPr>
          <w:rFonts w:eastAsia="Times New Roman" w:cs="Arial"/>
          <w:i/>
          <w:iCs/>
          <w:color w:val="000000"/>
          <w:u w:val="single"/>
          <w:lang w:eastAsia="bg-BG"/>
        </w:rPr>
      </w:pPr>
    </w:p>
    <w:p w14:paraId="53C8DCA7" w14:textId="3FB02EDA"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Неутропения/агранулоцитоза</w:t>
      </w:r>
    </w:p>
    <w:p w14:paraId="5BC5C53D"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Рядко са наблюдавани неутропения/агранулоцитоза, тромбоцитопения и анемия, както и костно-мозъчна депресия. Препоръчително е да се мониторира броя на белите кръвни клетки, за да се отчете възможна левкопения. По-често мониториране се препоръчва в началната фаза на лечението и при пациенти с нарушена бъбречна функция, при тези със съпътстваща колагеноза (напр. лупус еритематодес или склеродермия), и при всички тези, лекувани с лекарствени продукти, причиняващи промени в кръвната картина (вж, точки 4.5 и 4.8).</w:t>
      </w:r>
    </w:p>
    <w:p w14:paraId="7D6B19F5" w14:textId="77777777" w:rsidR="00A378B3" w:rsidRDefault="00A378B3" w:rsidP="00A378B3">
      <w:pPr>
        <w:spacing w:line="240" w:lineRule="auto"/>
        <w:rPr>
          <w:rFonts w:eastAsia="Times New Roman" w:cs="Arial"/>
          <w:i/>
          <w:iCs/>
          <w:color w:val="000000"/>
          <w:u w:val="single"/>
          <w:lang w:eastAsia="bg-BG"/>
        </w:rPr>
      </w:pPr>
    </w:p>
    <w:p w14:paraId="4D2C9571" w14:textId="1EF378B9"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Етнически особености</w:t>
      </w:r>
    </w:p>
    <w:p w14:paraId="426DF98D"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Употребата на АСЕ инхибиторите предизвиква ангиоедем с по-висока честота при чернокожи пациенти в сравнение с останалите раси. При рамиприл, както и при други АСЕ-инхибитори, може да се наблюдава по-слаб ефект на понижаване на кръвното налягане при пациенти от черната раса, отколкото при тези от други раси, което вероятно се дължи на по-широкото разпространение на състояние с понижени нива на ренин при пациенти с хипертония от тази раса.</w:t>
      </w:r>
    </w:p>
    <w:p w14:paraId="10FEE661" w14:textId="77777777" w:rsidR="00A378B3" w:rsidRDefault="00A378B3" w:rsidP="00A378B3">
      <w:pPr>
        <w:spacing w:line="240" w:lineRule="auto"/>
        <w:rPr>
          <w:rFonts w:eastAsia="Times New Roman" w:cs="Arial"/>
          <w:i/>
          <w:iCs/>
          <w:color w:val="000000"/>
          <w:u w:val="single"/>
          <w:lang w:eastAsia="bg-BG"/>
        </w:rPr>
      </w:pPr>
    </w:p>
    <w:p w14:paraId="100B6679" w14:textId="10CFDA85"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Кашлица</w:t>
      </w:r>
    </w:p>
    <w:p w14:paraId="2066F80A"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Докладвана е кашлица при приложение на АСЕ-инхибитори. Кашлицата е непродуктивна, персистираща и отшумява след спиране на терапията. Кашлицата, причинена от АСЕ- инхибитори, трябва да се счита за част от диференциалната диагноза на кашлицата.</w:t>
      </w:r>
    </w:p>
    <w:p w14:paraId="1FF14B26" w14:textId="77777777" w:rsidR="00A378B3" w:rsidRDefault="00A378B3" w:rsidP="00A378B3">
      <w:pPr>
        <w:spacing w:line="240" w:lineRule="auto"/>
        <w:rPr>
          <w:rFonts w:eastAsia="Times New Roman" w:cs="Arial"/>
          <w:i/>
          <w:iCs/>
          <w:color w:val="000000"/>
          <w:u w:val="single"/>
          <w:lang w:eastAsia="bg-BG"/>
        </w:rPr>
      </w:pPr>
    </w:p>
    <w:p w14:paraId="2946676F" w14:textId="1DD8C459"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Двойна блокада на системата ренин-ангиотензин</w:t>
      </w:r>
    </w:p>
    <w:p w14:paraId="0CFAD1F6"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Необходимо е повишено внимание при едновременно приложение на АСЕ инхибитори, включително рамиприл, с други лекарства, блокиращи системата ренин-ангиотензин, каквито са антагонистите на рецепторите за ангиотензин или алискирен (вижте точка 4.5).</w:t>
      </w:r>
    </w:p>
    <w:p w14:paraId="5A4687F0" w14:textId="77777777" w:rsidR="00A378B3" w:rsidRDefault="00A378B3" w:rsidP="00A378B3">
      <w:pPr>
        <w:spacing w:line="240" w:lineRule="auto"/>
        <w:rPr>
          <w:rFonts w:eastAsia="Times New Roman" w:cs="Arial"/>
          <w:color w:val="000000"/>
          <w:lang w:eastAsia="bg-BG"/>
        </w:rPr>
      </w:pPr>
    </w:p>
    <w:p w14:paraId="0D558C88" w14:textId="06DCA8DB"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Този лекарствен продукт съдържа по-малко от 1 </w:t>
      </w:r>
      <w:r w:rsidRPr="00A378B3">
        <w:rPr>
          <w:rFonts w:eastAsia="Times New Roman" w:cs="Arial"/>
          <w:color w:val="000000"/>
          <w:lang w:val="en-US"/>
        </w:rPr>
        <w:t xml:space="preserve">mmol </w:t>
      </w:r>
      <w:r w:rsidRPr="00A378B3">
        <w:rPr>
          <w:rFonts w:eastAsia="Times New Roman" w:cs="Arial"/>
          <w:color w:val="000000"/>
          <w:lang w:eastAsia="bg-BG"/>
        </w:rPr>
        <w:t xml:space="preserve">натрий (23 </w:t>
      </w:r>
      <w:r w:rsidRPr="00A378B3">
        <w:rPr>
          <w:rFonts w:eastAsia="Times New Roman" w:cs="Arial"/>
          <w:color w:val="000000"/>
          <w:lang w:val="en-US"/>
        </w:rPr>
        <w:t xml:space="preserve">mg) </w:t>
      </w:r>
      <w:r w:rsidRPr="00A378B3">
        <w:rPr>
          <w:rFonts w:eastAsia="Times New Roman" w:cs="Arial"/>
          <w:color w:val="000000"/>
          <w:lang w:eastAsia="bg-BG"/>
        </w:rPr>
        <w:t>на дозова единица, т.е може да се каже, че практически не съдържа натрий.</w:t>
      </w:r>
    </w:p>
    <w:p w14:paraId="7F7AC03C" w14:textId="77777777" w:rsidR="00A378B3" w:rsidRPr="00A378B3" w:rsidRDefault="00A378B3" w:rsidP="00A378B3">
      <w:pPr>
        <w:spacing w:line="240" w:lineRule="auto"/>
        <w:rPr>
          <w:rFonts w:eastAsia="Times New Roman" w:cs="Arial"/>
          <w:lang w:eastAsia="bg-BG"/>
        </w:rPr>
      </w:pPr>
    </w:p>
    <w:p w14:paraId="0B0C418F" w14:textId="77777777" w:rsidR="00A378B3" w:rsidRPr="00A378B3" w:rsidRDefault="00A378B3" w:rsidP="00A378B3">
      <w:pPr>
        <w:rPr>
          <w:rFonts w:cs="Arial"/>
        </w:rPr>
      </w:pPr>
    </w:p>
    <w:p w14:paraId="524AC966" w14:textId="5ED9ECBC" w:rsidR="001A6EBD" w:rsidRDefault="002C50EE" w:rsidP="00471F10">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p>
    <w:p w14:paraId="695BCD5F" w14:textId="01E2B6FE" w:rsidR="00A378B3" w:rsidRDefault="00A378B3" w:rsidP="00A378B3"/>
    <w:p w14:paraId="5789A26C"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Противопоказани комбинации</w:t>
      </w:r>
    </w:p>
    <w:p w14:paraId="5628DB21"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Лекарствени продукти, повишаващи риска от ангиоедем: Едновременната употреба на АСЕ инхибитори със сакубитрил/валсартан е противопоказана, тъй като това повишава риска от ангиоедем (виж точка 4.3 и 4.4).</w:t>
      </w:r>
    </w:p>
    <w:p w14:paraId="786B6F48"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Едновременната употреба на АСЕ инхибитори с рацекадотрил, </w:t>
      </w:r>
      <w:r w:rsidRPr="00A378B3">
        <w:rPr>
          <w:rFonts w:eastAsia="Times New Roman" w:cs="Arial"/>
          <w:color w:val="000000"/>
          <w:lang w:val="en-US"/>
        </w:rPr>
        <w:t xml:space="preserve">mTOR </w:t>
      </w:r>
      <w:r w:rsidRPr="00A378B3">
        <w:rPr>
          <w:rFonts w:eastAsia="Times New Roman" w:cs="Arial"/>
          <w:color w:val="000000"/>
          <w:lang w:eastAsia="bg-BG"/>
        </w:rPr>
        <w:t>инхибитори (напр. темсиролимус, еверолимус, сиролимус) или вилдаглиптин може да доведе до повишен ангиоедем (вж. точка 4.4).</w:t>
      </w:r>
    </w:p>
    <w:p w14:paraId="6BD9D920" w14:textId="77777777" w:rsidR="00A378B3" w:rsidRPr="00A378B3" w:rsidRDefault="00A378B3" w:rsidP="00A378B3">
      <w:pPr>
        <w:rPr>
          <w:rFonts w:eastAsia="Times New Roman" w:cs="Arial"/>
          <w:color w:val="000000"/>
          <w:u w:val="single"/>
          <w:lang w:eastAsia="bg-BG"/>
        </w:rPr>
      </w:pPr>
    </w:p>
    <w:p w14:paraId="7192DCF3" w14:textId="1F6B9212" w:rsidR="00A378B3" w:rsidRPr="00A378B3" w:rsidRDefault="00A378B3" w:rsidP="00A378B3">
      <w:pPr>
        <w:rPr>
          <w:rFonts w:eastAsia="Times New Roman" w:cs="Arial"/>
          <w:color w:val="000000"/>
          <w:u w:val="single"/>
          <w:lang w:eastAsia="bg-BG"/>
        </w:rPr>
      </w:pPr>
      <w:r w:rsidRPr="00A378B3">
        <w:rPr>
          <w:rFonts w:eastAsia="Times New Roman" w:cs="Arial"/>
          <w:color w:val="000000"/>
          <w:u w:val="single"/>
          <w:lang w:eastAsia="bg-BG"/>
        </w:rPr>
        <w:t>Калий-съхраняващи диуретици, калиеви добавки или калий съдържащи заместители на солта</w:t>
      </w:r>
    </w:p>
    <w:p w14:paraId="4E0C5B81"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Въпреки че серумният калий обикновено остава в рамките на нормалните граници, при някои пациенти, лекувани с рамиприл, може да възникне хиперкалиемия. Употребата на калий- съхраняващи диуретици (напр. спиронолактон,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рамиприл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рамиприл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09597F23" w14:textId="77777777" w:rsidR="00A378B3" w:rsidRDefault="00A378B3" w:rsidP="00A378B3">
      <w:pPr>
        <w:spacing w:line="240" w:lineRule="auto"/>
        <w:rPr>
          <w:rFonts w:eastAsia="Times New Roman" w:cs="Arial"/>
          <w:color w:val="000000"/>
          <w:u w:val="single"/>
          <w:lang w:eastAsia="bg-BG"/>
        </w:rPr>
      </w:pPr>
    </w:p>
    <w:p w14:paraId="4B1F3B4E" w14:textId="7903296F"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Циклоспорин</w:t>
      </w:r>
    </w:p>
    <w:p w14:paraId="0832F834"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481C2CFC" w14:textId="77777777" w:rsidR="00A378B3" w:rsidRDefault="00A378B3" w:rsidP="00A378B3">
      <w:pPr>
        <w:spacing w:line="240" w:lineRule="auto"/>
        <w:rPr>
          <w:rFonts w:eastAsia="Times New Roman" w:cs="Arial"/>
          <w:color w:val="000000"/>
          <w:u w:val="single"/>
          <w:lang w:eastAsia="bg-BG"/>
        </w:rPr>
      </w:pPr>
    </w:p>
    <w:p w14:paraId="2668A6B4" w14:textId="496F2646"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Хепарин</w:t>
      </w:r>
    </w:p>
    <w:p w14:paraId="17D009A1"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41415BCA" w14:textId="77777777" w:rsidR="00A378B3" w:rsidRDefault="00A378B3" w:rsidP="00A378B3">
      <w:pPr>
        <w:spacing w:line="240" w:lineRule="auto"/>
        <w:rPr>
          <w:rFonts w:eastAsia="Times New Roman" w:cs="Arial"/>
          <w:color w:val="000000"/>
          <w:lang w:eastAsia="bg-BG"/>
        </w:rPr>
      </w:pPr>
    </w:p>
    <w:p w14:paraId="230E2ED8" w14:textId="7BF6AC6A"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Екстракорпорално лечение, водещо до контакт на кръвта с отрицателно заредени повърхности като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 сулфат, поради повишен риск от тежки анафилактоидни реакции (вижте точка 4.3). Ако се изисква такова лечение, трябва да се обмисли използването на различен тип диализна мембрана или различен клас антихипертензивен агент.</w:t>
      </w:r>
    </w:p>
    <w:p w14:paraId="40242609" w14:textId="77777777" w:rsidR="00A378B3" w:rsidRDefault="00A378B3" w:rsidP="00A378B3">
      <w:pPr>
        <w:spacing w:line="240" w:lineRule="auto"/>
        <w:rPr>
          <w:rFonts w:eastAsia="Times New Roman" w:cs="Arial"/>
          <w:color w:val="000000"/>
          <w:u w:val="single"/>
          <w:lang w:eastAsia="bg-BG"/>
        </w:rPr>
      </w:pPr>
    </w:p>
    <w:p w14:paraId="7227E7A3" w14:textId="036B22D6"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Двойна блокада на системата ренин-ангиотензин с АСЕ инхибитори, антагонисти на рецептора за ангиотензин или алискирен</w:t>
      </w:r>
    </w:p>
    <w:p w14:paraId="7FEE49E1"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Комбинираната употреба на АСЕ инхибитори или други активни вещества, действащи върху РААС, се свързва с по-висока честота на хипотония, хиперкалиемия и промени на бъбречната функция в сравнение с монотерапия. Препоръчва се следене на кръвното налягане, бъбречната функция и електролитите при пациенти, лекувани едновременно с рамиприл и други лекарства, които повлияват системата ренин-ангиотензин (вж. точка 4.4).</w:t>
      </w:r>
    </w:p>
    <w:p w14:paraId="730D0BE4" w14:textId="77777777" w:rsidR="00A378B3" w:rsidRDefault="00A378B3" w:rsidP="00A378B3">
      <w:pPr>
        <w:spacing w:line="240" w:lineRule="auto"/>
        <w:rPr>
          <w:rFonts w:eastAsia="Times New Roman" w:cs="Arial"/>
          <w:color w:val="000000"/>
          <w:lang w:eastAsia="bg-BG"/>
        </w:rPr>
      </w:pPr>
    </w:p>
    <w:p w14:paraId="73952BB4" w14:textId="45D40D3F"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lastRenderedPageBreak/>
        <w:t xml:space="preserve">Едновременната употреба на АСЕ инхибитори, включително рамиприл, или антагонисти на рецептора за ангиотензин с алискирен трябва да се избягва при пациенти с тежко бъбречно увреждане (скорост на глумерулна филтрация </w:t>
      </w:r>
      <w:r w:rsidRPr="00A378B3">
        <w:rPr>
          <w:rFonts w:eastAsia="Times New Roman" w:cs="Arial"/>
          <w:color w:val="000000"/>
          <w:lang w:val="en-US"/>
        </w:rPr>
        <w:t xml:space="preserve">GFR </w:t>
      </w:r>
      <w:r w:rsidRPr="00A378B3">
        <w:rPr>
          <w:rFonts w:eastAsia="Times New Roman" w:cs="Arial"/>
          <w:color w:val="000000"/>
          <w:lang w:eastAsia="bg-BG"/>
        </w:rPr>
        <w:t xml:space="preserve">&lt;30 </w:t>
      </w:r>
      <w:r w:rsidRPr="00A378B3">
        <w:rPr>
          <w:rFonts w:eastAsia="Times New Roman" w:cs="Arial"/>
          <w:color w:val="000000"/>
          <w:lang w:val="en-US"/>
        </w:rPr>
        <w:t xml:space="preserve">ml/min) </w:t>
      </w:r>
      <w:r w:rsidRPr="00A378B3">
        <w:rPr>
          <w:rFonts w:eastAsia="Times New Roman" w:cs="Arial"/>
          <w:color w:val="000000"/>
          <w:lang w:eastAsia="bg-BG"/>
        </w:rPr>
        <w:t>(вж, точка 4.4).</w:t>
      </w:r>
    </w:p>
    <w:p w14:paraId="248DE212" w14:textId="77777777" w:rsidR="00A378B3" w:rsidRDefault="00A378B3" w:rsidP="00A378B3">
      <w:pPr>
        <w:spacing w:line="240" w:lineRule="auto"/>
        <w:rPr>
          <w:rFonts w:eastAsia="Times New Roman" w:cs="Arial"/>
          <w:color w:val="000000"/>
          <w:lang w:eastAsia="bg-BG"/>
        </w:rPr>
      </w:pPr>
    </w:p>
    <w:p w14:paraId="3CBA990B" w14:textId="568E1A25"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Едновременната употреба на АСЕ инхибитори, включително рамиприл, или антагонисти на рецептора за ангиотензин с алискирен е противопоказана при пациент със захарен диабет тип 2 (вж. точка 4.3).</w:t>
      </w:r>
    </w:p>
    <w:p w14:paraId="4F764CA9" w14:textId="77777777" w:rsidR="00A378B3" w:rsidRDefault="00A378B3" w:rsidP="00A378B3">
      <w:pPr>
        <w:spacing w:line="240" w:lineRule="auto"/>
        <w:rPr>
          <w:rFonts w:eastAsia="Times New Roman" w:cs="Arial"/>
          <w:color w:val="000000"/>
          <w:u w:val="single"/>
          <w:lang w:eastAsia="bg-BG"/>
        </w:rPr>
      </w:pPr>
    </w:p>
    <w:p w14:paraId="5D8E1030" w14:textId="7226A434" w:rsidR="00A378B3" w:rsidRPr="00A378B3" w:rsidRDefault="00A378B3" w:rsidP="00A378B3">
      <w:pPr>
        <w:spacing w:line="240" w:lineRule="auto"/>
        <w:rPr>
          <w:rFonts w:eastAsia="Times New Roman" w:cs="Arial"/>
          <w:lang w:eastAsia="bg-BG"/>
        </w:rPr>
      </w:pPr>
      <w:r w:rsidRPr="00A378B3">
        <w:rPr>
          <w:rFonts w:eastAsia="Times New Roman" w:cs="Arial"/>
          <w:color w:val="000000"/>
          <w:u w:val="single"/>
          <w:lang w:eastAsia="bg-BG"/>
        </w:rPr>
        <w:t>Предпазни мерки при употреба</w:t>
      </w:r>
    </w:p>
    <w:p w14:paraId="2E0FEF6F"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Калиеви соли, хепарин, калий-съхраняващи диуретици, калиеви добавки или калий съдържащи заместители на солта, както и други активни вещества, повишаващи плазмените концентрации на калий (включително антагонисти на ангиотензин </w:t>
      </w:r>
      <w:r w:rsidRPr="00A378B3">
        <w:rPr>
          <w:rFonts w:eastAsia="Times New Roman" w:cs="Arial"/>
          <w:color w:val="000000"/>
          <w:lang w:val="en-US"/>
        </w:rPr>
        <w:t>II</w:t>
      </w:r>
      <w:r w:rsidRPr="00A378B3">
        <w:rPr>
          <w:rFonts w:eastAsia="Times New Roman" w:cs="Arial"/>
          <w:color w:val="000000"/>
          <w:lang w:eastAsia="bg-BG"/>
        </w:rPr>
        <w:t>, триметоприм и фиксирани дозови комбинации със сулфаметоксазол, такролимус, циклоспорин):</w:t>
      </w:r>
    </w:p>
    <w:p w14:paraId="346141AD"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Възможно е да се появи хиперкалиемия, което налага стриктно мониториране на серумния калий.</w:t>
      </w:r>
    </w:p>
    <w:p w14:paraId="113B0D7D" w14:textId="77777777" w:rsidR="00A378B3" w:rsidRDefault="00A378B3" w:rsidP="00A378B3">
      <w:pPr>
        <w:rPr>
          <w:rFonts w:eastAsia="Times New Roman" w:cs="Arial"/>
          <w:i/>
          <w:iCs/>
          <w:color w:val="000000"/>
          <w:lang w:eastAsia="bg-BG"/>
        </w:rPr>
      </w:pPr>
    </w:p>
    <w:p w14:paraId="5A7C1BBA" w14:textId="0A742A9D" w:rsidR="00A378B3" w:rsidRDefault="00A378B3" w:rsidP="00A378B3">
      <w:pPr>
        <w:rPr>
          <w:rFonts w:eastAsia="Times New Roman" w:cs="Arial"/>
          <w:color w:val="000000"/>
          <w:lang w:eastAsia="bg-BG"/>
        </w:rPr>
      </w:pPr>
      <w:r w:rsidRPr="00A378B3">
        <w:rPr>
          <w:rFonts w:eastAsia="Times New Roman" w:cs="Arial"/>
          <w:i/>
          <w:iCs/>
          <w:color w:val="000000"/>
          <w:lang w:eastAsia="bg-BG"/>
        </w:rPr>
        <w:t>Антихипертензивни средства (напр. диуретици) и други вещества, понижаващи кръвното налягане (напр. нитрати, трициклични антидепресанти, анестетици, остър прием на алкохол, баклофен, афлузозин, доксазозин, празозин, тамсулозин, теразозин).</w:t>
      </w:r>
      <w:r w:rsidRPr="00A378B3">
        <w:rPr>
          <w:rFonts w:eastAsia="Times New Roman" w:cs="Arial"/>
          <w:color w:val="000000"/>
          <w:lang w:eastAsia="bg-BG"/>
        </w:rPr>
        <w:t xml:space="preserve"> Трябва да се очаква</w:t>
      </w:r>
      <w:r w:rsidRPr="00A378B3">
        <w:rPr>
          <w:rFonts w:eastAsia="Times New Roman" w:cs="Arial"/>
          <w:i/>
          <w:iCs/>
          <w:color w:val="000000"/>
          <w:lang w:eastAsia="bg-BG"/>
        </w:rPr>
        <w:t xml:space="preserve"> </w:t>
      </w:r>
      <w:r w:rsidRPr="00A378B3">
        <w:rPr>
          <w:rFonts w:eastAsia="Times New Roman" w:cs="Arial"/>
          <w:color w:val="000000"/>
          <w:lang w:eastAsia="bg-BG"/>
        </w:rPr>
        <w:t>повишен риск от хипотония (вж. точка 4.2 относно диуретици).</w:t>
      </w:r>
    </w:p>
    <w:p w14:paraId="25936E94" w14:textId="2405D751" w:rsidR="00A378B3" w:rsidRDefault="00A378B3" w:rsidP="00A378B3">
      <w:pPr>
        <w:rPr>
          <w:rFonts w:eastAsia="Times New Roman" w:cs="Arial"/>
          <w:color w:val="000000"/>
          <w:lang w:eastAsia="bg-BG"/>
        </w:rPr>
      </w:pPr>
    </w:p>
    <w:p w14:paraId="4E0DB1D6" w14:textId="77777777"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 xml:space="preserve">Вазопресорни симпатикомиметици и други вещества (напр, изопротеренол, добутамин, допамин, епинефрин), които може да намалят антихипертензивния ефект нарамиприл </w:t>
      </w:r>
      <w:r w:rsidRPr="00A378B3">
        <w:rPr>
          <w:rFonts w:eastAsia="Times New Roman" w:cs="Arial"/>
          <w:color w:val="000000"/>
          <w:lang w:eastAsia="bg-BG"/>
        </w:rPr>
        <w:t>Препоръчва се проследяване на кръвното налягане.</w:t>
      </w:r>
    </w:p>
    <w:p w14:paraId="4B546202" w14:textId="77777777" w:rsidR="00A378B3" w:rsidRDefault="00A378B3" w:rsidP="00A378B3">
      <w:pPr>
        <w:spacing w:line="240" w:lineRule="auto"/>
        <w:rPr>
          <w:rFonts w:eastAsia="Times New Roman" w:cs="Arial"/>
          <w:i/>
          <w:iCs/>
          <w:color w:val="000000"/>
          <w:lang w:eastAsia="bg-BG"/>
        </w:rPr>
      </w:pPr>
    </w:p>
    <w:p w14:paraId="7E6C3A9A" w14:textId="05B351C3"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Алопуринол, имуносупресори, кортикостероиди, прокаинамид, цитостатици и други вещества, които може да променят кръвната картина</w:t>
      </w:r>
    </w:p>
    <w:p w14:paraId="19111A50"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Повишен риск от хематологични реакции (вж. точка 4.4).</w:t>
      </w:r>
    </w:p>
    <w:p w14:paraId="715675C9" w14:textId="77777777" w:rsidR="00A378B3" w:rsidRDefault="00A378B3" w:rsidP="00A378B3">
      <w:pPr>
        <w:spacing w:line="240" w:lineRule="auto"/>
        <w:rPr>
          <w:rFonts w:eastAsia="Times New Roman" w:cs="Arial"/>
          <w:i/>
          <w:iCs/>
          <w:color w:val="000000"/>
          <w:lang w:eastAsia="bg-BG"/>
        </w:rPr>
      </w:pPr>
    </w:p>
    <w:p w14:paraId="402B25FC" w14:textId="7F40BB18"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Литиеви соли</w:t>
      </w:r>
    </w:p>
    <w:p w14:paraId="525D13DB"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Възможно е екскрецията на литий да се понижи от АСЕ инхибиторите и да се повиши литиевата токсичност. Нивата на литий трябва да се мониторират.</w:t>
      </w:r>
    </w:p>
    <w:p w14:paraId="7BA54793" w14:textId="77777777" w:rsidR="00A378B3" w:rsidRDefault="00A378B3" w:rsidP="00A378B3">
      <w:pPr>
        <w:spacing w:line="240" w:lineRule="auto"/>
        <w:rPr>
          <w:rFonts w:eastAsia="Times New Roman" w:cs="Arial"/>
          <w:i/>
          <w:iCs/>
          <w:color w:val="000000"/>
          <w:lang w:eastAsia="bg-BG"/>
        </w:rPr>
      </w:pPr>
    </w:p>
    <w:p w14:paraId="57CF9432" w14:textId="1CF199C8"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Антидиабетни агенти, включително инсулин</w:t>
      </w:r>
    </w:p>
    <w:p w14:paraId="5175219F"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Възможно е да възникнат хипогликемични реакции. Препоръчва се мониториране на глкжозата в кръвта.</w:t>
      </w:r>
    </w:p>
    <w:p w14:paraId="39B05D2B" w14:textId="77777777" w:rsidR="00A378B3" w:rsidRDefault="00A378B3" w:rsidP="00A378B3">
      <w:pPr>
        <w:spacing w:line="240" w:lineRule="auto"/>
        <w:rPr>
          <w:rFonts w:eastAsia="Times New Roman" w:cs="Arial"/>
          <w:i/>
          <w:iCs/>
          <w:color w:val="000000"/>
          <w:lang w:eastAsia="bg-BG"/>
        </w:rPr>
      </w:pPr>
    </w:p>
    <w:p w14:paraId="1597BA57" w14:textId="0EB7BBE8"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 xml:space="preserve">Нестероидни противовъзпалителни продукти (НСПВП) и ацетилсалицилова киселина </w:t>
      </w:r>
      <w:r w:rsidRPr="00A378B3">
        <w:rPr>
          <w:rFonts w:eastAsia="Times New Roman" w:cs="Arial"/>
          <w:color w:val="000000"/>
          <w:lang w:eastAsia="bg-BG"/>
        </w:rPr>
        <w:t>Може да се очаква понижаване на антихипертензивния ефект на рамиприл.</w:t>
      </w:r>
    </w:p>
    <w:p w14:paraId="78D44C75"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Едновременното лечение с НСПВП и АСЕ-инхибитори може да доведе до повишен риск от влошаване на бъбречната функция и до повишаване на калиемията.</w:t>
      </w:r>
    </w:p>
    <w:p w14:paraId="2EBB8331" w14:textId="77777777" w:rsidR="00A378B3" w:rsidRDefault="00A378B3" w:rsidP="00A378B3">
      <w:pPr>
        <w:spacing w:line="240" w:lineRule="auto"/>
        <w:rPr>
          <w:rFonts w:eastAsia="Times New Roman" w:cs="Arial"/>
          <w:i/>
          <w:iCs/>
          <w:color w:val="000000"/>
          <w:lang w:eastAsia="bg-BG"/>
        </w:rPr>
      </w:pPr>
    </w:p>
    <w:p w14:paraId="03860ED5" w14:textId="3DF302B4"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 xml:space="preserve">Триметоприм и във фиксирани дозови комбинации със сулфаметоксазол (ко-тримоксазол) </w:t>
      </w:r>
      <w:r w:rsidRPr="00A378B3">
        <w:rPr>
          <w:rFonts w:eastAsia="Times New Roman" w:cs="Arial"/>
          <w:color w:val="000000"/>
          <w:lang w:eastAsia="bg-BG"/>
        </w:rPr>
        <w:t>Повишена честота на хиперкалиемия е наблюдавана при пациенти, приемащи АСЕ инхибитори и триметоприм и във фиксирани дозови комбинации със сулфаметоксазол (ко-тримоксазол).</w:t>
      </w:r>
    </w:p>
    <w:p w14:paraId="4B8491D9" w14:textId="77777777" w:rsidR="00A378B3" w:rsidRDefault="00A378B3" w:rsidP="00A378B3">
      <w:pPr>
        <w:spacing w:line="240" w:lineRule="auto"/>
        <w:rPr>
          <w:rFonts w:eastAsia="Times New Roman" w:cs="Arial"/>
          <w:i/>
          <w:iCs/>
          <w:color w:val="000000"/>
          <w:lang w:eastAsia="bg-BG"/>
        </w:rPr>
      </w:pPr>
    </w:p>
    <w:p w14:paraId="48F3AB43" w14:textId="6AA4B36F" w:rsidR="00A378B3" w:rsidRPr="00A378B3" w:rsidRDefault="00A378B3" w:rsidP="00A378B3">
      <w:pPr>
        <w:spacing w:line="240" w:lineRule="auto"/>
        <w:rPr>
          <w:rFonts w:eastAsia="Times New Roman" w:cs="Arial"/>
          <w:lang w:eastAsia="bg-BG"/>
        </w:rPr>
      </w:pPr>
      <w:r w:rsidRPr="00A378B3">
        <w:rPr>
          <w:rFonts w:eastAsia="Times New Roman" w:cs="Arial"/>
          <w:i/>
          <w:iCs/>
          <w:color w:val="000000"/>
          <w:lang w:eastAsia="bg-BG"/>
        </w:rPr>
        <w:t xml:space="preserve">Инхибитори на </w:t>
      </w:r>
      <w:r w:rsidRPr="00A378B3">
        <w:rPr>
          <w:rFonts w:eastAsia="Times New Roman" w:cs="Arial"/>
          <w:i/>
          <w:iCs/>
          <w:color w:val="000000"/>
          <w:lang w:val="en-US"/>
        </w:rPr>
        <w:t xml:space="preserve">mTOR </w:t>
      </w:r>
      <w:r w:rsidRPr="00A378B3">
        <w:rPr>
          <w:rFonts w:eastAsia="Times New Roman" w:cs="Arial"/>
          <w:i/>
          <w:iCs/>
          <w:color w:val="000000"/>
          <w:lang w:eastAsia="bg-BG"/>
        </w:rPr>
        <w:t>или вилдаглиптин</w:t>
      </w:r>
    </w:p>
    <w:p w14:paraId="46FE17C9"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lastRenderedPageBreak/>
        <w:t xml:space="preserve">Повишен риск от ангиоедем е възможен при пациенти, приемащи едновременно лекарства, като </w:t>
      </w:r>
      <w:r w:rsidRPr="00A378B3">
        <w:rPr>
          <w:rFonts w:eastAsia="Times New Roman" w:cs="Arial"/>
          <w:color w:val="000000"/>
          <w:lang w:val="en-US"/>
        </w:rPr>
        <w:t xml:space="preserve">mTOR </w:t>
      </w:r>
      <w:r w:rsidRPr="00A378B3">
        <w:rPr>
          <w:rFonts w:eastAsia="Times New Roman" w:cs="Arial"/>
          <w:color w:val="000000"/>
          <w:lang w:eastAsia="bg-BG"/>
        </w:rPr>
        <w:t>инхибитори (напр. темсиролимус, еверолимус, сиролимус) или вилдаглиптин. В началото на лечението е необходимо повишено внимание (вж. точка 4.4).</w:t>
      </w:r>
    </w:p>
    <w:p w14:paraId="11F49D6C" w14:textId="77777777" w:rsidR="00A378B3" w:rsidRDefault="00A378B3" w:rsidP="00A378B3">
      <w:pPr>
        <w:spacing w:line="240" w:lineRule="auto"/>
        <w:rPr>
          <w:rFonts w:eastAsia="Times New Roman" w:cs="Arial"/>
          <w:i/>
          <w:iCs/>
          <w:color w:val="000000"/>
          <w:u w:val="single"/>
          <w:lang w:eastAsia="bg-BG"/>
        </w:rPr>
      </w:pPr>
    </w:p>
    <w:p w14:paraId="1CE349D2" w14:textId="37DC1A95" w:rsidR="00A378B3" w:rsidRPr="00A378B3" w:rsidRDefault="00A378B3" w:rsidP="00A378B3">
      <w:pPr>
        <w:spacing w:line="240" w:lineRule="auto"/>
        <w:rPr>
          <w:rFonts w:eastAsia="Times New Roman" w:cs="Arial"/>
          <w:lang w:eastAsia="bg-BG"/>
        </w:rPr>
      </w:pPr>
      <w:r w:rsidRPr="00A378B3">
        <w:rPr>
          <w:rFonts w:eastAsia="Times New Roman" w:cs="Arial"/>
          <w:i/>
          <w:iCs/>
          <w:color w:val="000000"/>
          <w:u w:val="single"/>
          <w:lang w:eastAsia="bg-BG"/>
        </w:rPr>
        <w:t xml:space="preserve">Неприлизин </w:t>
      </w:r>
      <w:r w:rsidRPr="00A378B3">
        <w:rPr>
          <w:rFonts w:eastAsia="Times New Roman" w:cs="Arial"/>
          <w:i/>
          <w:iCs/>
          <w:color w:val="000000"/>
          <w:u w:val="single"/>
          <w:lang w:val="en-US"/>
        </w:rPr>
        <w:t xml:space="preserve">(NEP) </w:t>
      </w:r>
      <w:r w:rsidRPr="00A378B3">
        <w:rPr>
          <w:rFonts w:eastAsia="Times New Roman" w:cs="Arial"/>
          <w:i/>
          <w:iCs/>
          <w:color w:val="000000"/>
          <w:u w:val="single"/>
          <w:lang w:eastAsia="bg-BG"/>
        </w:rPr>
        <w:t>инхибитори</w:t>
      </w:r>
    </w:p>
    <w:p w14:paraId="5693C1EC"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Съобщава се за потенциално повишен риск от ангиоедем при едновременна употреба на АСЕ - инхибитори и НЕП инхибитори (НЕП - неутрални ендопептидази), като рацекадотрил (виж точка 4.4).</w:t>
      </w:r>
    </w:p>
    <w:p w14:paraId="73F7F4B8" w14:textId="77777777" w:rsidR="00A378B3" w:rsidRPr="00A378B3" w:rsidRDefault="00A378B3" w:rsidP="00A378B3">
      <w:pPr>
        <w:rPr>
          <w:rFonts w:cs="Arial"/>
        </w:rPr>
      </w:pPr>
    </w:p>
    <w:p w14:paraId="4762A32B" w14:textId="70480329" w:rsidR="001A6EBD" w:rsidRDefault="002C50EE" w:rsidP="00471F10">
      <w:pPr>
        <w:pStyle w:val="Heading2"/>
      </w:pPr>
      <w:r>
        <w:t>4.6. Фертилитет, бременност и кърмене</w:t>
      </w:r>
    </w:p>
    <w:p w14:paraId="15AE2E50" w14:textId="563374A0" w:rsidR="00A378B3" w:rsidRDefault="00A378B3" w:rsidP="00A378B3"/>
    <w:p w14:paraId="11057544" w14:textId="77777777" w:rsidR="00A378B3" w:rsidRPr="00A378B3" w:rsidRDefault="00A378B3" w:rsidP="00A378B3">
      <w:pPr>
        <w:pStyle w:val="Heading3"/>
        <w:rPr>
          <w:rFonts w:eastAsia="Times New Roman"/>
          <w:u w:val="single"/>
          <w:lang w:eastAsia="bg-BG"/>
        </w:rPr>
      </w:pPr>
      <w:r w:rsidRPr="00A378B3">
        <w:rPr>
          <w:rFonts w:eastAsia="Times New Roman"/>
          <w:u w:val="single"/>
          <w:lang w:eastAsia="bg-BG"/>
        </w:rPr>
        <w:t>Бременност</w:t>
      </w:r>
    </w:p>
    <w:p w14:paraId="19706422"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Рамиприл е противопоказан по време на бременност (вж. точка 4.3).</w:t>
      </w:r>
    </w:p>
    <w:p w14:paraId="07BE2932"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АСЕ инхибиторите могат да предизвикат фетална и неонатална заболеваемост и смъртност при прием от бременни жени. В световната литература са описани няколко десетки случая.</w:t>
      </w:r>
    </w:p>
    <w:p w14:paraId="62BB051A" w14:textId="77777777" w:rsidR="00A378B3" w:rsidRDefault="00A378B3" w:rsidP="00A378B3">
      <w:pPr>
        <w:spacing w:line="240" w:lineRule="auto"/>
        <w:rPr>
          <w:rFonts w:eastAsia="Times New Roman" w:cs="Arial"/>
          <w:color w:val="000000"/>
          <w:lang w:eastAsia="bg-BG"/>
        </w:rPr>
      </w:pPr>
    </w:p>
    <w:p w14:paraId="253F2986" w14:textId="45B8EF24"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 xml:space="preserve">Употребата на АСЕ инхибитори през втория и третия триместър на бременността е свързана с нарушения на плода и новороденото, включващи хипотония, хипоплазия на черепа на плода, анурия, обратима или необратима бъбречна недостатъчност и смърт. Съобщава се за олигохидрамнион, дължащ се най-вероятно на нарушена бъбречна функция на плода; наблюдаваните случаи на олигохидрамнион са били придружени от с контрактури по крайниците на фетуса, лицево-черепни деформации и хипопластично развитие на белия дроб. Съобщавани са също недоносеност, забавяне на интраутеринното развитие, отворен </w:t>
      </w:r>
      <w:r w:rsidRPr="00A378B3">
        <w:rPr>
          <w:rFonts w:eastAsia="Times New Roman" w:cs="Arial"/>
          <w:i/>
          <w:iCs/>
          <w:color w:val="000000"/>
          <w:lang w:val="en-US"/>
        </w:rPr>
        <w:t>ductus arteriosus,</w:t>
      </w:r>
      <w:r w:rsidRPr="00A378B3">
        <w:rPr>
          <w:rFonts w:eastAsia="Times New Roman" w:cs="Arial"/>
          <w:color w:val="000000"/>
          <w:lang w:val="en-US"/>
        </w:rPr>
        <w:t xml:space="preserve"> </w:t>
      </w:r>
      <w:r w:rsidRPr="00A378B3">
        <w:rPr>
          <w:rFonts w:eastAsia="Times New Roman" w:cs="Arial"/>
          <w:color w:val="000000"/>
          <w:lang w:eastAsia="bg-BG"/>
        </w:rPr>
        <w:t>въпреки че не е ясно установено дали това се дължи на експозицията на АСЕ инхибитора. У потребата на АСЕ инхибитори през първия триместър от бременността се свързва с потенциално повишен риск от вродени дефекти.</w:t>
      </w:r>
    </w:p>
    <w:p w14:paraId="433C6215" w14:textId="77777777" w:rsidR="00A378B3" w:rsidRDefault="00A378B3" w:rsidP="00A378B3">
      <w:pPr>
        <w:rPr>
          <w:rFonts w:eastAsia="Times New Roman" w:cs="Arial"/>
          <w:color w:val="000000"/>
          <w:lang w:eastAsia="bg-BG"/>
        </w:rPr>
      </w:pPr>
    </w:p>
    <w:p w14:paraId="0F0DF57F" w14:textId="7E8B9A83" w:rsidR="00A378B3" w:rsidRDefault="00A378B3" w:rsidP="00A378B3">
      <w:pPr>
        <w:rPr>
          <w:rFonts w:eastAsia="Times New Roman" w:cs="Arial"/>
          <w:color w:val="000000"/>
          <w:lang w:eastAsia="bg-BG"/>
        </w:rPr>
      </w:pPr>
      <w:r w:rsidRPr="00A378B3">
        <w:rPr>
          <w:rFonts w:eastAsia="Times New Roman" w:cs="Arial"/>
          <w:color w:val="000000"/>
          <w:lang w:eastAsia="bg-BG"/>
        </w:rPr>
        <w:t>Ако експозицията на АСЕ инхибитори е възникнала след втория триместър на бременността се препоръчва преглед с ултразвук на бъбречната функция и черепа. Новородените, чиито майки са приемали АСЕ инхибитори трябва да бъдат стриктно наблюдавани за хипотония, олигурия и хиперкалиемия (вж. точки 4.3 и 4.4).</w:t>
      </w:r>
    </w:p>
    <w:p w14:paraId="4CB3A074" w14:textId="221F6E90" w:rsidR="00A378B3" w:rsidRDefault="00A378B3" w:rsidP="00A378B3">
      <w:pPr>
        <w:rPr>
          <w:rFonts w:eastAsia="Times New Roman" w:cs="Arial"/>
          <w:color w:val="000000"/>
          <w:lang w:eastAsia="bg-BG"/>
        </w:rPr>
      </w:pPr>
    </w:p>
    <w:p w14:paraId="19B8FEAD"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При установяване на бременност, лечението с АСЕ инхибитори трябва да се прекрати незабавно, редовно да се проследява феталното развитие и, ако е уместно, да се започне алтернативно лечение. При пациентки, планиращи бременност, не трябва да се прилагат АСЕ инхибитори (включително рамиприл). Жените в детеродна възраст трябва да бъдат информирани за потенциалния риск и АСЕ инхибитори (включително рамиприл) да бъдат давани само след внимателно консултиране и преценка на индивидуалния риск и ползи.</w:t>
      </w:r>
    </w:p>
    <w:p w14:paraId="44A1017E" w14:textId="77777777" w:rsidR="00A378B3" w:rsidRPr="00A378B3" w:rsidRDefault="00A378B3" w:rsidP="00A378B3">
      <w:pPr>
        <w:spacing w:line="240" w:lineRule="auto"/>
        <w:rPr>
          <w:rFonts w:eastAsia="Times New Roman" w:cs="Arial"/>
          <w:color w:val="000000"/>
          <w:u w:val="single"/>
          <w:lang w:eastAsia="bg-BG"/>
        </w:rPr>
      </w:pPr>
    </w:p>
    <w:p w14:paraId="690F0305" w14:textId="59BD0CCD" w:rsidR="00A378B3" w:rsidRPr="00A378B3" w:rsidRDefault="00A378B3" w:rsidP="00A378B3">
      <w:pPr>
        <w:pStyle w:val="Heading3"/>
        <w:rPr>
          <w:rFonts w:eastAsia="Times New Roman"/>
          <w:u w:val="single"/>
          <w:lang w:eastAsia="bg-BG"/>
        </w:rPr>
      </w:pPr>
      <w:r w:rsidRPr="00A378B3">
        <w:rPr>
          <w:rFonts w:eastAsia="Times New Roman"/>
          <w:u w:val="single"/>
          <w:lang w:eastAsia="bg-BG"/>
        </w:rPr>
        <w:t>Кърмене</w:t>
      </w:r>
    </w:p>
    <w:p w14:paraId="7FF3BE4A" w14:textId="77777777" w:rsidR="00A378B3" w:rsidRPr="00A378B3" w:rsidRDefault="00A378B3" w:rsidP="00A378B3">
      <w:pPr>
        <w:spacing w:line="240" w:lineRule="auto"/>
        <w:rPr>
          <w:rFonts w:eastAsia="Times New Roman" w:cs="Arial"/>
          <w:lang w:eastAsia="bg-BG"/>
        </w:rPr>
      </w:pPr>
      <w:r w:rsidRPr="00A378B3">
        <w:rPr>
          <w:rFonts w:eastAsia="Times New Roman" w:cs="Arial"/>
          <w:color w:val="000000"/>
          <w:lang w:eastAsia="bg-BG"/>
        </w:rPr>
        <w:t>Поради недостатъчно информация относно употребата на рамиприл по време на кърмене (вж. точка 5.2), рамиприл не се препоръчва и се предпочитат алтернативни лечения с по-добре установени профили на безопасност по време на кърмене, особено при новородени и преждевременно родени бебета.</w:t>
      </w:r>
    </w:p>
    <w:p w14:paraId="2AE15DC9" w14:textId="77777777" w:rsidR="00A378B3" w:rsidRPr="00A378B3" w:rsidRDefault="00A378B3" w:rsidP="00A378B3">
      <w:pPr>
        <w:rPr>
          <w:rFonts w:cs="Arial"/>
        </w:rPr>
      </w:pPr>
    </w:p>
    <w:p w14:paraId="188B33B4" w14:textId="19723F0D" w:rsidR="001A6EBD" w:rsidRDefault="002C50EE" w:rsidP="00471F10">
      <w:pPr>
        <w:pStyle w:val="Heading2"/>
      </w:pPr>
      <w:r>
        <w:lastRenderedPageBreak/>
        <w:t>4.7. Ефекти върху способността за шофиране и работа с машини</w:t>
      </w:r>
    </w:p>
    <w:p w14:paraId="4EE999D5" w14:textId="72BF5E7C" w:rsidR="00A378B3" w:rsidRDefault="00A378B3" w:rsidP="00A378B3"/>
    <w:p w14:paraId="648FC22B" w14:textId="77777777" w:rsidR="00396510" w:rsidRPr="00396510" w:rsidRDefault="00396510" w:rsidP="00396510">
      <w:pPr>
        <w:rPr>
          <w:sz w:val="24"/>
          <w:szCs w:val="24"/>
          <w:lang w:eastAsia="bg-BG"/>
        </w:rPr>
      </w:pPr>
      <w:r w:rsidRPr="00396510">
        <w:rPr>
          <w:lang w:eastAsia="bg-BG"/>
        </w:rPr>
        <w:t>Някои нежелани реакции (напр.симптоми на понижено кръвно налягане като замаяност) може да нарушат способността за концентрация и бързи реакции и да повишат риска в ситуации, когато тези способности са от голямо значение (напр. управляване на превозно средство или работа с машини).</w:t>
      </w:r>
    </w:p>
    <w:p w14:paraId="7A18D62A" w14:textId="77777777" w:rsidR="00396510" w:rsidRPr="00396510" w:rsidRDefault="00396510" w:rsidP="00396510">
      <w:pPr>
        <w:rPr>
          <w:sz w:val="24"/>
          <w:szCs w:val="24"/>
          <w:lang w:eastAsia="bg-BG"/>
        </w:rPr>
      </w:pPr>
      <w:r w:rsidRPr="00396510">
        <w:rPr>
          <w:lang w:eastAsia="bg-BG"/>
        </w:rPr>
        <w:t>Това може да се случи в началото на лечението или когато се сменя лекарствения продукт с друг. В продължение на няколко часа след първата доза или последващи повишавания на дозата, не се препоръчва шофиране или работа с машини.</w:t>
      </w:r>
    </w:p>
    <w:p w14:paraId="3298C0A5" w14:textId="77777777" w:rsidR="00A378B3" w:rsidRPr="00A378B3" w:rsidRDefault="00A378B3" w:rsidP="00A378B3"/>
    <w:p w14:paraId="44CE30A3" w14:textId="4E43E95A" w:rsidR="007122AD" w:rsidRDefault="002C50EE" w:rsidP="00936AD0">
      <w:pPr>
        <w:pStyle w:val="Heading2"/>
      </w:pPr>
      <w:r>
        <w:t>4.8. Нежелани лекарствени реакции</w:t>
      </w:r>
    </w:p>
    <w:p w14:paraId="1E5BFB89" w14:textId="49CD8871" w:rsidR="00396510" w:rsidRDefault="00396510" w:rsidP="00396510"/>
    <w:p w14:paraId="6226CCC9"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u w:val="single"/>
          <w:lang w:eastAsia="bg-BG"/>
        </w:rPr>
        <w:t>Обобщение на профил на безопасност</w:t>
      </w:r>
    </w:p>
    <w:p w14:paraId="058B1EC1"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Профилът на безопасност на рамиприл включва упорита суха кашлица и реакции, дължащи се на хипотония. Сериозните нежелани реакции включват ангиоедем, хиперкалиемия, бъбречна и чернодробна недостатъчност, панкреатит, тежки кожни реакции и неугропения/агранулоцитоза.</w:t>
      </w:r>
    </w:p>
    <w:p w14:paraId="5369066E" w14:textId="77777777" w:rsidR="00396510" w:rsidRDefault="00396510" w:rsidP="00396510">
      <w:pPr>
        <w:spacing w:line="240" w:lineRule="auto"/>
        <w:rPr>
          <w:rFonts w:eastAsia="Times New Roman" w:cs="Arial"/>
          <w:color w:val="000000"/>
          <w:u w:val="single"/>
          <w:lang w:eastAsia="bg-BG"/>
        </w:rPr>
      </w:pPr>
    </w:p>
    <w:p w14:paraId="45277C86" w14:textId="5C2004E7" w:rsidR="00396510" w:rsidRPr="00396510" w:rsidRDefault="00396510" w:rsidP="00396510">
      <w:pPr>
        <w:spacing w:line="240" w:lineRule="auto"/>
        <w:rPr>
          <w:rFonts w:eastAsia="Times New Roman" w:cs="Arial"/>
          <w:lang w:eastAsia="bg-BG"/>
        </w:rPr>
      </w:pPr>
      <w:r w:rsidRPr="00396510">
        <w:rPr>
          <w:rFonts w:eastAsia="Times New Roman" w:cs="Arial"/>
          <w:color w:val="000000"/>
          <w:u w:val="single"/>
          <w:lang w:eastAsia="bg-BG"/>
        </w:rPr>
        <w:t>Списък на нежеланите реакции</w:t>
      </w:r>
    </w:p>
    <w:p w14:paraId="16E0F32E"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Нежеланите реакции се определят спрямо следната конвенция:</w:t>
      </w:r>
    </w:p>
    <w:p w14:paraId="4EDDDEA9"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Много чести (≥1/10)</w:t>
      </w:r>
    </w:p>
    <w:p w14:paraId="30B3E704"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Чести (≥1/100, до &lt;1/10)</w:t>
      </w:r>
    </w:p>
    <w:p w14:paraId="00B25455"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Нечести ≥1/1 000, до &lt;1/100)</w:t>
      </w:r>
    </w:p>
    <w:p w14:paraId="5459E61E"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Редки (≥1/10 000, до &lt;1/1 000)</w:t>
      </w:r>
    </w:p>
    <w:p w14:paraId="17DDF14E"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Много редки (&lt;1/10 000)</w:t>
      </w:r>
    </w:p>
    <w:p w14:paraId="387F0B90" w14:textId="77777777"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С неизвестна честота (от наличните данни не може да бъде направена оценка)</w:t>
      </w:r>
    </w:p>
    <w:p w14:paraId="52ED2345" w14:textId="77777777" w:rsidR="00396510" w:rsidRDefault="00396510" w:rsidP="00396510">
      <w:pPr>
        <w:spacing w:line="240" w:lineRule="auto"/>
        <w:rPr>
          <w:rFonts w:eastAsia="Times New Roman" w:cs="Arial"/>
          <w:color w:val="000000"/>
          <w:lang w:eastAsia="bg-BG"/>
        </w:rPr>
      </w:pPr>
    </w:p>
    <w:p w14:paraId="7CEB5F10" w14:textId="7F28951B" w:rsidR="00396510" w:rsidRPr="00396510" w:rsidRDefault="00396510" w:rsidP="00396510">
      <w:pPr>
        <w:spacing w:line="240" w:lineRule="auto"/>
        <w:rPr>
          <w:rFonts w:eastAsia="Times New Roman" w:cs="Arial"/>
          <w:lang w:eastAsia="bg-BG"/>
        </w:rPr>
      </w:pPr>
      <w:r w:rsidRPr="00396510">
        <w:rPr>
          <w:rFonts w:eastAsia="Times New Roman" w:cs="Arial"/>
          <w:color w:val="000000"/>
          <w:lang w:eastAsia="bg-BG"/>
        </w:rPr>
        <w:t>В рамките на всяка група честота нежеланите реакции са представени в ред на намаляване на сериозността.</w:t>
      </w:r>
    </w:p>
    <w:tbl>
      <w:tblPr>
        <w:tblStyle w:val="TableGrid"/>
        <w:tblW w:w="0" w:type="auto"/>
        <w:tblLayout w:type="fixed"/>
        <w:tblLook w:val="04A0" w:firstRow="1" w:lastRow="0" w:firstColumn="1" w:lastColumn="0" w:noHBand="0" w:noVBand="1"/>
      </w:tblPr>
      <w:tblGrid>
        <w:gridCol w:w="1809"/>
        <w:gridCol w:w="1405"/>
        <w:gridCol w:w="1689"/>
        <w:gridCol w:w="1706"/>
        <w:gridCol w:w="1015"/>
        <w:gridCol w:w="1952"/>
      </w:tblGrid>
      <w:tr w:rsidR="00396510" w14:paraId="73D9B4D0" w14:textId="77777777" w:rsidTr="00396510">
        <w:tc>
          <w:tcPr>
            <w:tcW w:w="1809" w:type="dxa"/>
          </w:tcPr>
          <w:p w14:paraId="120F2DB9" w14:textId="0F87BACF" w:rsidR="00396510" w:rsidRPr="00396510" w:rsidRDefault="00396510" w:rsidP="00396510">
            <w:r w:rsidRPr="00396510">
              <w:rPr>
                <w:b/>
                <w:bCs/>
                <w:i/>
                <w:iCs/>
              </w:rPr>
              <w:t>Честота/сис темо- органен клас</w:t>
            </w:r>
          </w:p>
        </w:tc>
        <w:tc>
          <w:tcPr>
            <w:tcW w:w="1405" w:type="dxa"/>
          </w:tcPr>
          <w:p w14:paraId="6B59C6E1" w14:textId="65164E58" w:rsidR="00396510" w:rsidRPr="00396510" w:rsidRDefault="00396510" w:rsidP="00396510">
            <w:r w:rsidRPr="00396510">
              <w:rPr>
                <w:b/>
                <w:bCs/>
                <w:i/>
                <w:iCs/>
              </w:rPr>
              <w:t>Чести</w:t>
            </w:r>
          </w:p>
        </w:tc>
        <w:tc>
          <w:tcPr>
            <w:tcW w:w="1689" w:type="dxa"/>
          </w:tcPr>
          <w:p w14:paraId="6E2F9A2D" w14:textId="23C87A2F" w:rsidR="00396510" w:rsidRPr="00396510" w:rsidRDefault="00396510" w:rsidP="00396510">
            <w:r w:rsidRPr="00396510">
              <w:rPr>
                <w:b/>
                <w:bCs/>
                <w:i/>
                <w:iCs/>
              </w:rPr>
              <w:t>Нечести</w:t>
            </w:r>
          </w:p>
        </w:tc>
        <w:tc>
          <w:tcPr>
            <w:tcW w:w="1706" w:type="dxa"/>
          </w:tcPr>
          <w:p w14:paraId="333A94AE" w14:textId="5D042C59" w:rsidR="00396510" w:rsidRPr="00396510" w:rsidRDefault="00396510" w:rsidP="00396510">
            <w:r w:rsidRPr="00396510">
              <w:rPr>
                <w:b/>
                <w:bCs/>
                <w:i/>
                <w:iCs/>
              </w:rPr>
              <w:t>Редки</w:t>
            </w:r>
          </w:p>
        </w:tc>
        <w:tc>
          <w:tcPr>
            <w:tcW w:w="1015" w:type="dxa"/>
          </w:tcPr>
          <w:p w14:paraId="69669314" w14:textId="042632EB" w:rsidR="00396510" w:rsidRPr="00396510" w:rsidRDefault="00396510" w:rsidP="00396510">
            <w:r w:rsidRPr="00396510">
              <w:rPr>
                <w:b/>
                <w:bCs/>
                <w:i/>
                <w:iCs/>
              </w:rPr>
              <w:t>Много редки</w:t>
            </w:r>
          </w:p>
        </w:tc>
        <w:tc>
          <w:tcPr>
            <w:tcW w:w="1952" w:type="dxa"/>
          </w:tcPr>
          <w:p w14:paraId="1F254521" w14:textId="487C1A04" w:rsidR="00396510" w:rsidRPr="00396510" w:rsidRDefault="00396510" w:rsidP="00396510">
            <w:r w:rsidRPr="00396510">
              <w:rPr>
                <w:b/>
                <w:bCs/>
                <w:i/>
                <w:iCs/>
              </w:rPr>
              <w:t>С неизвестна честота</w:t>
            </w:r>
          </w:p>
        </w:tc>
      </w:tr>
      <w:tr w:rsidR="00396510" w14:paraId="58E7171C" w14:textId="77777777" w:rsidTr="00396510">
        <w:tc>
          <w:tcPr>
            <w:tcW w:w="1809" w:type="dxa"/>
          </w:tcPr>
          <w:p w14:paraId="01FA87C0" w14:textId="5BFEF194" w:rsidR="00396510" w:rsidRPr="00396510" w:rsidRDefault="00396510" w:rsidP="00396510">
            <w:r w:rsidRPr="00396510">
              <w:rPr>
                <w:b/>
                <w:bCs/>
              </w:rPr>
              <w:t>Нарушения на кръвта и лимфната система</w:t>
            </w:r>
          </w:p>
        </w:tc>
        <w:tc>
          <w:tcPr>
            <w:tcW w:w="1405" w:type="dxa"/>
          </w:tcPr>
          <w:p w14:paraId="033691B8" w14:textId="77777777" w:rsidR="00396510" w:rsidRPr="00396510" w:rsidRDefault="00396510" w:rsidP="00396510"/>
        </w:tc>
        <w:tc>
          <w:tcPr>
            <w:tcW w:w="1689" w:type="dxa"/>
          </w:tcPr>
          <w:p w14:paraId="5F80DF77" w14:textId="5E86AAB5" w:rsidR="00396510" w:rsidRPr="00396510" w:rsidRDefault="00396510" w:rsidP="00396510">
            <w:r w:rsidRPr="00396510">
              <w:t>Еозинофилия</w:t>
            </w:r>
          </w:p>
        </w:tc>
        <w:tc>
          <w:tcPr>
            <w:tcW w:w="1706" w:type="dxa"/>
          </w:tcPr>
          <w:p w14:paraId="6E09BBBA" w14:textId="7032107F" w:rsidR="00396510" w:rsidRPr="00396510" w:rsidRDefault="00396510" w:rsidP="00396510">
            <w:pPr>
              <w:rPr>
                <w:rFonts w:ascii="Times New Roman" w:eastAsia="Times New Roman" w:hAnsi="Times New Roman" w:cs="Times New Roman"/>
                <w:sz w:val="24"/>
                <w:szCs w:val="24"/>
                <w:lang w:eastAsia="bg-BG"/>
              </w:rPr>
            </w:pPr>
            <w:r w:rsidRPr="00396510">
              <w:t>Понижен брой левкоцити (вкл.неутропе- ния или агранулоцито- за), понижен брой еритроцити, понижен хемоглобин, понижен брой</w:t>
            </w:r>
            <w:r>
              <w:rPr>
                <w:lang w:val="en-US"/>
              </w:rPr>
              <w:t xml:space="preserve"> </w:t>
            </w:r>
            <w:r w:rsidRPr="00396510">
              <w:rPr>
                <w:lang w:eastAsia="bg-BG"/>
              </w:rPr>
              <w:t>тромбоцити</w:t>
            </w:r>
          </w:p>
        </w:tc>
        <w:tc>
          <w:tcPr>
            <w:tcW w:w="1015" w:type="dxa"/>
          </w:tcPr>
          <w:p w14:paraId="0673CF87" w14:textId="77777777" w:rsidR="00396510" w:rsidRPr="00396510" w:rsidRDefault="00396510" w:rsidP="00396510"/>
        </w:tc>
        <w:tc>
          <w:tcPr>
            <w:tcW w:w="1952" w:type="dxa"/>
          </w:tcPr>
          <w:p w14:paraId="23ED1263" w14:textId="62FEAF51" w:rsidR="00396510" w:rsidRPr="00396510" w:rsidRDefault="00396510" w:rsidP="00396510">
            <w:r w:rsidRPr="00396510">
              <w:t>Костно-мозъчна недостатъчност, панцитопения, хемолитична анемия</w:t>
            </w:r>
          </w:p>
        </w:tc>
      </w:tr>
      <w:tr w:rsidR="00396510" w14:paraId="2364BDE9" w14:textId="77777777" w:rsidTr="00396510">
        <w:tc>
          <w:tcPr>
            <w:tcW w:w="1809" w:type="dxa"/>
          </w:tcPr>
          <w:p w14:paraId="346E8163" w14:textId="067D0CF2" w:rsidR="00396510" w:rsidRPr="00396510" w:rsidRDefault="00396510" w:rsidP="00396510">
            <w:r w:rsidRPr="00396510">
              <w:rPr>
                <w:b/>
                <w:bCs/>
              </w:rPr>
              <w:t>Нарушения на имунната система</w:t>
            </w:r>
          </w:p>
        </w:tc>
        <w:tc>
          <w:tcPr>
            <w:tcW w:w="1405" w:type="dxa"/>
          </w:tcPr>
          <w:p w14:paraId="0E66823E" w14:textId="77777777" w:rsidR="00396510" w:rsidRPr="00396510" w:rsidRDefault="00396510" w:rsidP="00396510"/>
        </w:tc>
        <w:tc>
          <w:tcPr>
            <w:tcW w:w="1689" w:type="dxa"/>
          </w:tcPr>
          <w:p w14:paraId="0D9F3EBF" w14:textId="77777777" w:rsidR="00396510" w:rsidRPr="00396510" w:rsidRDefault="00396510" w:rsidP="00396510"/>
        </w:tc>
        <w:tc>
          <w:tcPr>
            <w:tcW w:w="1706" w:type="dxa"/>
          </w:tcPr>
          <w:p w14:paraId="3136DE09" w14:textId="77777777" w:rsidR="00396510" w:rsidRPr="00396510" w:rsidRDefault="00396510" w:rsidP="00396510"/>
        </w:tc>
        <w:tc>
          <w:tcPr>
            <w:tcW w:w="1015" w:type="dxa"/>
          </w:tcPr>
          <w:p w14:paraId="20F0BF09" w14:textId="77777777" w:rsidR="00396510" w:rsidRPr="00396510" w:rsidRDefault="00396510" w:rsidP="00396510"/>
        </w:tc>
        <w:tc>
          <w:tcPr>
            <w:tcW w:w="1952" w:type="dxa"/>
            <w:vAlign w:val="bottom"/>
          </w:tcPr>
          <w:p w14:paraId="4EDD85D9" w14:textId="06665CD6" w:rsidR="00396510" w:rsidRPr="00396510" w:rsidRDefault="00396510" w:rsidP="00396510">
            <w:r w:rsidRPr="00396510">
              <w:t xml:space="preserve">Анафилактични или анафилактоидни реакции, </w:t>
            </w:r>
            <w:r w:rsidRPr="00396510">
              <w:lastRenderedPageBreak/>
              <w:t>повишени антинуклеарни антитела</w:t>
            </w:r>
          </w:p>
        </w:tc>
      </w:tr>
      <w:tr w:rsidR="00396510" w14:paraId="4E38AD0E" w14:textId="77777777" w:rsidTr="00396510">
        <w:tc>
          <w:tcPr>
            <w:tcW w:w="1809" w:type="dxa"/>
          </w:tcPr>
          <w:p w14:paraId="6AD65295" w14:textId="200424B5" w:rsidR="00396510" w:rsidRPr="00396510" w:rsidRDefault="00396510" w:rsidP="00396510">
            <w:r w:rsidRPr="00396510">
              <w:rPr>
                <w:b/>
                <w:bCs/>
              </w:rPr>
              <w:lastRenderedPageBreak/>
              <w:t>Нарушения на ендокринна</w:t>
            </w:r>
            <w:r w:rsidRPr="00396510">
              <w:rPr>
                <w:b/>
                <w:bCs/>
              </w:rPr>
              <w:softHyphen/>
              <w:t>та система</w:t>
            </w:r>
          </w:p>
        </w:tc>
        <w:tc>
          <w:tcPr>
            <w:tcW w:w="1405" w:type="dxa"/>
          </w:tcPr>
          <w:p w14:paraId="3B2B0E26" w14:textId="77777777" w:rsidR="00396510" w:rsidRPr="00396510" w:rsidRDefault="00396510" w:rsidP="00396510"/>
        </w:tc>
        <w:tc>
          <w:tcPr>
            <w:tcW w:w="1689" w:type="dxa"/>
          </w:tcPr>
          <w:p w14:paraId="7DCA908E" w14:textId="77777777" w:rsidR="00396510" w:rsidRPr="00396510" w:rsidRDefault="00396510" w:rsidP="00396510"/>
        </w:tc>
        <w:tc>
          <w:tcPr>
            <w:tcW w:w="1706" w:type="dxa"/>
          </w:tcPr>
          <w:p w14:paraId="5F18A619" w14:textId="77777777" w:rsidR="00396510" w:rsidRPr="00396510" w:rsidRDefault="00396510" w:rsidP="00396510"/>
        </w:tc>
        <w:tc>
          <w:tcPr>
            <w:tcW w:w="1015" w:type="dxa"/>
          </w:tcPr>
          <w:p w14:paraId="4FA8F981" w14:textId="77777777" w:rsidR="00396510" w:rsidRPr="00396510" w:rsidRDefault="00396510" w:rsidP="00396510"/>
        </w:tc>
        <w:tc>
          <w:tcPr>
            <w:tcW w:w="1952" w:type="dxa"/>
            <w:vAlign w:val="bottom"/>
          </w:tcPr>
          <w:p w14:paraId="20789D56" w14:textId="5A00F89D" w:rsidR="00396510" w:rsidRPr="00396510" w:rsidRDefault="00396510" w:rsidP="00396510">
            <w:r w:rsidRPr="00396510">
              <w:t xml:space="preserve">Синдром на неадекватна секреция на антидуиретичен хормон </w:t>
            </w:r>
            <w:r w:rsidRPr="00396510">
              <w:rPr>
                <w:lang w:val="en-US"/>
              </w:rPr>
              <w:t>(SIADH)</w:t>
            </w:r>
          </w:p>
        </w:tc>
      </w:tr>
      <w:tr w:rsidR="00396510" w14:paraId="4CB83320" w14:textId="77777777" w:rsidTr="00396510">
        <w:tc>
          <w:tcPr>
            <w:tcW w:w="1809" w:type="dxa"/>
            <w:vAlign w:val="bottom"/>
          </w:tcPr>
          <w:p w14:paraId="6F53D07E" w14:textId="724E7619" w:rsidR="00396510" w:rsidRPr="00396510" w:rsidRDefault="00396510" w:rsidP="00396510">
            <w:r w:rsidRPr="00396510">
              <w:rPr>
                <w:b/>
                <w:bCs/>
              </w:rPr>
              <w:t>Нарушения на метаболизма и храненето</w:t>
            </w:r>
          </w:p>
        </w:tc>
        <w:tc>
          <w:tcPr>
            <w:tcW w:w="1405" w:type="dxa"/>
          </w:tcPr>
          <w:p w14:paraId="7D726CE1" w14:textId="47159FD5" w:rsidR="00396510" w:rsidRPr="00396510" w:rsidRDefault="00396510" w:rsidP="00396510">
            <w:r w:rsidRPr="00396510">
              <w:t>Повишен калий в кръвта</w:t>
            </w:r>
          </w:p>
        </w:tc>
        <w:tc>
          <w:tcPr>
            <w:tcW w:w="1689" w:type="dxa"/>
          </w:tcPr>
          <w:p w14:paraId="29C7DE5D" w14:textId="23A186DF" w:rsidR="00396510" w:rsidRPr="00396510" w:rsidRDefault="00396510" w:rsidP="00396510">
            <w:r w:rsidRPr="00396510">
              <w:t>Анорексия, понижен апетит</w:t>
            </w:r>
          </w:p>
        </w:tc>
        <w:tc>
          <w:tcPr>
            <w:tcW w:w="1706" w:type="dxa"/>
          </w:tcPr>
          <w:p w14:paraId="73AA5B8A" w14:textId="77777777" w:rsidR="00396510" w:rsidRPr="00396510" w:rsidRDefault="00396510" w:rsidP="00396510"/>
        </w:tc>
        <w:tc>
          <w:tcPr>
            <w:tcW w:w="1015" w:type="dxa"/>
          </w:tcPr>
          <w:p w14:paraId="6986C174" w14:textId="77777777" w:rsidR="00396510" w:rsidRPr="00396510" w:rsidRDefault="00396510" w:rsidP="00396510"/>
        </w:tc>
        <w:tc>
          <w:tcPr>
            <w:tcW w:w="1952" w:type="dxa"/>
          </w:tcPr>
          <w:p w14:paraId="71B876F3" w14:textId="06BFE059" w:rsidR="00396510" w:rsidRPr="00396510" w:rsidRDefault="00396510" w:rsidP="00396510">
            <w:r w:rsidRPr="00396510">
              <w:t>Понижен натрий в кръвта</w:t>
            </w:r>
          </w:p>
        </w:tc>
      </w:tr>
      <w:tr w:rsidR="00396510" w14:paraId="5BC9F8E3" w14:textId="77777777" w:rsidTr="00396510">
        <w:tc>
          <w:tcPr>
            <w:tcW w:w="1809" w:type="dxa"/>
          </w:tcPr>
          <w:p w14:paraId="518E2D5D" w14:textId="0A0E66D0" w:rsidR="00396510" w:rsidRPr="00396510" w:rsidRDefault="00396510" w:rsidP="00396510">
            <w:r w:rsidRPr="00396510">
              <w:rPr>
                <w:b/>
                <w:bCs/>
              </w:rPr>
              <w:t>Психични нарушения</w:t>
            </w:r>
          </w:p>
        </w:tc>
        <w:tc>
          <w:tcPr>
            <w:tcW w:w="1405" w:type="dxa"/>
          </w:tcPr>
          <w:p w14:paraId="566F2159" w14:textId="77777777" w:rsidR="00396510" w:rsidRPr="00396510" w:rsidRDefault="00396510" w:rsidP="00396510"/>
        </w:tc>
        <w:tc>
          <w:tcPr>
            <w:tcW w:w="1689" w:type="dxa"/>
            <w:vAlign w:val="bottom"/>
          </w:tcPr>
          <w:p w14:paraId="005F4800" w14:textId="658B010B" w:rsidR="00396510" w:rsidRPr="00396510" w:rsidRDefault="00396510" w:rsidP="00396510">
            <w:r w:rsidRPr="00396510">
              <w:t>Потиснато настроение, тревожност, нервност, безпокойство, нарушение на съня, вкл.сънливост</w:t>
            </w:r>
          </w:p>
        </w:tc>
        <w:tc>
          <w:tcPr>
            <w:tcW w:w="1706" w:type="dxa"/>
          </w:tcPr>
          <w:p w14:paraId="6259D45B" w14:textId="20B3E7C7" w:rsidR="00396510" w:rsidRPr="00396510" w:rsidRDefault="00396510" w:rsidP="00396510">
            <w:r w:rsidRPr="00396510">
              <w:t>Обърканост</w:t>
            </w:r>
          </w:p>
        </w:tc>
        <w:tc>
          <w:tcPr>
            <w:tcW w:w="1015" w:type="dxa"/>
          </w:tcPr>
          <w:p w14:paraId="2B349548" w14:textId="77777777" w:rsidR="00396510" w:rsidRPr="00396510" w:rsidRDefault="00396510" w:rsidP="00396510"/>
        </w:tc>
        <w:tc>
          <w:tcPr>
            <w:tcW w:w="1952" w:type="dxa"/>
          </w:tcPr>
          <w:p w14:paraId="1B4FB470" w14:textId="30CF7C89" w:rsidR="00396510" w:rsidRPr="00396510" w:rsidRDefault="00396510" w:rsidP="00396510">
            <w:r w:rsidRPr="00396510">
              <w:t>Нарушение на вниманието</w:t>
            </w:r>
          </w:p>
        </w:tc>
      </w:tr>
      <w:tr w:rsidR="00396510" w14:paraId="458246D8" w14:textId="77777777" w:rsidTr="00396510">
        <w:tc>
          <w:tcPr>
            <w:tcW w:w="1809" w:type="dxa"/>
          </w:tcPr>
          <w:p w14:paraId="6E5E1240" w14:textId="22E952F0" w:rsidR="00396510" w:rsidRPr="00396510" w:rsidRDefault="00396510" w:rsidP="00396510">
            <w:r w:rsidRPr="00396510">
              <w:rPr>
                <w:b/>
                <w:bCs/>
              </w:rPr>
              <w:t>Нарушения на нервната система</w:t>
            </w:r>
          </w:p>
        </w:tc>
        <w:tc>
          <w:tcPr>
            <w:tcW w:w="1405" w:type="dxa"/>
          </w:tcPr>
          <w:p w14:paraId="29EF0FC5" w14:textId="6C1F7962" w:rsidR="00396510" w:rsidRPr="00396510" w:rsidRDefault="00396510" w:rsidP="00396510">
            <w:r w:rsidRPr="00396510">
              <w:t>Главоболие, замаяност</w:t>
            </w:r>
          </w:p>
        </w:tc>
        <w:tc>
          <w:tcPr>
            <w:tcW w:w="1689" w:type="dxa"/>
          </w:tcPr>
          <w:p w14:paraId="533CCF68" w14:textId="0E808749" w:rsidR="00396510" w:rsidRPr="00396510" w:rsidRDefault="00396510" w:rsidP="00396510">
            <w:r w:rsidRPr="00396510">
              <w:t>Вертиго, парестезия, агеузия, дисгеузия</w:t>
            </w:r>
          </w:p>
        </w:tc>
        <w:tc>
          <w:tcPr>
            <w:tcW w:w="1706" w:type="dxa"/>
          </w:tcPr>
          <w:p w14:paraId="5EEDB6A0" w14:textId="73D2B789" w:rsidR="00396510" w:rsidRPr="00396510" w:rsidRDefault="00396510" w:rsidP="00396510">
            <w:r w:rsidRPr="00396510">
              <w:t>Тремор, нарушение в баланса на позата</w:t>
            </w:r>
          </w:p>
        </w:tc>
        <w:tc>
          <w:tcPr>
            <w:tcW w:w="1015" w:type="dxa"/>
          </w:tcPr>
          <w:p w14:paraId="6083FCE7" w14:textId="77777777" w:rsidR="00396510" w:rsidRPr="00396510" w:rsidRDefault="00396510" w:rsidP="00396510"/>
        </w:tc>
        <w:tc>
          <w:tcPr>
            <w:tcW w:w="1952" w:type="dxa"/>
            <w:vAlign w:val="bottom"/>
          </w:tcPr>
          <w:p w14:paraId="428A0F85" w14:textId="75D7EF90" w:rsidR="00396510" w:rsidRPr="00396510" w:rsidRDefault="00396510" w:rsidP="00396510">
            <w:r w:rsidRPr="00396510">
              <w:t>Мозъчна исхемия, дължаща се на исхемичен инсулт и преходна исхемична атака, нарушени психомоторни способности, усещане за затопляне, паросмия</w:t>
            </w:r>
          </w:p>
        </w:tc>
      </w:tr>
      <w:tr w:rsidR="00396510" w14:paraId="776DBFB0" w14:textId="77777777" w:rsidTr="00C752BC">
        <w:tc>
          <w:tcPr>
            <w:tcW w:w="1809" w:type="dxa"/>
          </w:tcPr>
          <w:p w14:paraId="31E4AB08" w14:textId="3FDAD66A" w:rsidR="00396510" w:rsidRPr="00396510" w:rsidRDefault="00396510" w:rsidP="00396510">
            <w:r w:rsidRPr="00396510">
              <w:rPr>
                <w:b/>
                <w:bCs/>
              </w:rPr>
              <w:t>Нарушения на очите</w:t>
            </w:r>
          </w:p>
        </w:tc>
        <w:tc>
          <w:tcPr>
            <w:tcW w:w="1405" w:type="dxa"/>
          </w:tcPr>
          <w:p w14:paraId="2C820E3A" w14:textId="77777777" w:rsidR="00396510" w:rsidRPr="00396510" w:rsidRDefault="00396510" w:rsidP="00396510"/>
        </w:tc>
        <w:tc>
          <w:tcPr>
            <w:tcW w:w="1689" w:type="dxa"/>
            <w:vAlign w:val="bottom"/>
          </w:tcPr>
          <w:p w14:paraId="14688304" w14:textId="4960716E" w:rsidR="00396510" w:rsidRPr="00396510" w:rsidRDefault="00396510" w:rsidP="00396510">
            <w:r w:rsidRPr="00396510">
              <w:t>Зрителни нарушения, вкл.замъглено зрение</w:t>
            </w:r>
          </w:p>
        </w:tc>
        <w:tc>
          <w:tcPr>
            <w:tcW w:w="1706" w:type="dxa"/>
          </w:tcPr>
          <w:p w14:paraId="0876EFEC" w14:textId="13EC6966" w:rsidR="00396510" w:rsidRPr="00396510" w:rsidRDefault="00396510" w:rsidP="00396510">
            <w:r w:rsidRPr="00396510">
              <w:t>Конюнктивит</w:t>
            </w:r>
          </w:p>
        </w:tc>
        <w:tc>
          <w:tcPr>
            <w:tcW w:w="1015" w:type="dxa"/>
          </w:tcPr>
          <w:p w14:paraId="55DEDE71" w14:textId="77777777" w:rsidR="00396510" w:rsidRPr="00396510" w:rsidRDefault="00396510" w:rsidP="00396510"/>
        </w:tc>
        <w:tc>
          <w:tcPr>
            <w:tcW w:w="1952" w:type="dxa"/>
          </w:tcPr>
          <w:p w14:paraId="6208673F" w14:textId="77777777" w:rsidR="00396510" w:rsidRPr="00396510" w:rsidRDefault="00396510" w:rsidP="00396510"/>
        </w:tc>
      </w:tr>
      <w:tr w:rsidR="00396510" w14:paraId="6F8F9557" w14:textId="77777777" w:rsidTr="00C752BC">
        <w:tc>
          <w:tcPr>
            <w:tcW w:w="1809" w:type="dxa"/>
            <w:vAlign w:val="bottom"/>
          </w:tcPr>
          <w:p w14:paraId="485FC10B" w14:textId="6F9418C3" w:rsidR="00396510" w:rsidRPr="00396510" w:rsidRDefault="00396510" w:rsidP="00396510">
            <w:r w:rsidRPr="00396510">
              <w:rPr>
                <w:b/>
                <w:bCs/>
              </w:rPr>
              <w:t>Нарушения на ухото и лабиринта</w:t>
            </w:r>
          </w:p>
        </w:tc>
        <w:tc>
          <w:tcPr>
            <w:tcW w:w="1405" w:type="dxa"/>
          </w:tcPr>
          <w:p w14:paraId="1C7D9173" w14:textId="77777777" w:rsidR="00396510" w:rsidRPr="00396510" w:rsidRDefault="00396510" w:rsidP="00396510"/>
        </w:tc>
        <w:tc>
          <w:tcPr>
            <w:tcW w:w="1689" w:type="dxa"/>
          </w:tcPr>
          <w:p w14:paraId="1841A313" w14:textId="77777777" w:rsidR="00396510" w:rsidRPr="00396510" w:rsidRDefault="00396510" w:rsidP="00396510"/>
        </w:tc>
        <w:tc>
          <w:tcPr>
            <w:tcW w:w="1706" w:type="dxa"/>
          </w:tcPr>
          <w:p w14:paraId="2919CF85" w14:textId="1F86DF36" w:rsidR="00396510" w:rsidRPr="00396510" w:rsidRDefault="00396510" w:rsidP="00396510">
            <w:r w:rsidRPr="00396510">
              <w:t>Нарушен слух, тинитус</w:t>
            </w:r>
          </w:p>
        </w:tc>
        <w:tc>
          <w:tcPr>
            <w:tcW w:w="1015" w:type="dxa"/>
          </w:tcPr>
          <w:p w14:paraId="5E3ADCF5" w14:textId="77777777" w:rsidR="00396510" w:rsidRPr="00396510" w:rsidRDefault="00396510" w:rsidP="00396510"/>
        </w:tc>
        <w:tc>
          <w:tcPr>
            <w:tcW w:w="1952" w:type="dxa"/>
          </w:tcPr>
          <w:p w14:paraId="133B9353" w14:textId="77777777" w:rsidR="00396510" w:rsidRPr="00396510" w:rsidRDefault="00396510" w:rsidP="00396510"/>
        </w:tc>
      </w:tr>
      <w:tr w:rsidR="00396510" w14:paraId="22C6EDE5" w14:textId="77777777" w:rsidTr="00C752BC">
        <w:tc>
          <w:tcPr>
            <w:tcW w:w="1809" w:type="dxa"/>
          </w:tcPr>
          <w:p w14:paraId="726121AA" w14:textId="142DE387" w:rsidR="00396510" w:rsidRPr="00396510" w:rsidRDefault="00396510" w:rsidP="00396510">
            <w:r w:rsidRPr="00396510">
              <w:rPr>
                <w:b/>
                <w:bCs/>
              </w:rPr>
              <w:t>Сърдечни нарушения</w:t>
            </w:r>
          </w:p>
        </w:tc>
        <w:tc>
          <w:tcPr>
            <w:tcW w:w="1405" w:type="dxa"/>
          </w:tcPr>
          <w:p w14:paraId="135568BA" w14:textId="77777777" w:rsidR="00396510" w:rsidRPr="00396510" w:rsidRDefault="00396510" w:rsidP="00396510"/>
        </w:tc>
        <w:tc>
          <w:tcPr>
            <w:tcW w:w="1689" w:type="dxa"/>
            <w:vAlign w:val="bottom"/>
          </w:tcPr>
          <w:p w14:paraId="4E9F65AF" w14:textId="3F7E5B67" w:rsidR="00396510" w:rsidRPr="00396510" w:rsidRDefault="00396510" w:rsidP="00396510">
            <w:r w:rsidRPr="00396510">
              <w:t xml:space="preserve">Миокардна исхемия, вкл. ангина пекторис или миокарден инфаркт, тахикардия, аритмия, </w:t>
            </w:r>
            <w:r w:rsidRPr="00396510">
              <w:lastRenderedPageBreak/>
              <w:t>палпитации, периферен оток</w:t>
            </w:r>
          </w:p>
        </w:tc>
        <w:tc>
          <w:tcPr>
            <w:tcW w:w="1706" w:type="dxa"/>
          </w:tcPr>
          <w:p w14:paraId="540CDAAB" w14:textId="77777777" w:rsidR="00396510" w:rsidRPr="00396510" w:rsidRDefault="00396510" w:rsidP="00396510"/>
        </w:tc>
        <w:tc>
          <w:tcPr>
            <w:tcW w:w="1015" w:type="dxa"/>
          </w:tcPr>
          <w:p w14:paraId="0C2DA1C6" w14:textId="77777777" w:rsidR="00396510" w:rsidRPr="00396510" w:rsidRDefault="00396510" w:rsidP="00396510"/>
        </w:tc>
        <w:tc>
          <w:tcPr>
            <w:tcW w:w="1952" w:type="dxa"/>
            <w:vAlign w:val="bottom"/>
          </w:tcPr>
          <w:p w14:paraId="4DA3DFA0" w14:textId="77777777" w:rsidR="00396510" w:rsidRPr="00396510" w:rsidRDefault="00396510" w:rsidP="00396510"/>
        </w:tc>
      </w:tr>
      <w:tr w:rsidR="00396510" w14:paraId="5A711B5C" w14:textId="77777777" w:rsidTr="00C752BC">
        <w:tc>
          <w:tcPr>
            <w:tcW w:w="1809" w:type="dxa"/>
          </w:tcPr>
          <w:p w14:paraId="44A12BD4" w14:textId="6D856272" w:rsidR="00396510" w:rsidRPr="00396510" w:rsidRDefault="00396510" w:rsidP="00396510">
            <w:r w:rsidRPr="00396510">
              <w:rPr>
                <w:b/>
                <w:bCs/>
              </w:rPr>
              <w:t>Съдови нарушения</w:t>
            </w:r>
          </w:p>
        </w:tc>
        <w:tc>
          <w:tcPr>
            <w:tcW w:w="1405" w:type="dxa"/>
            <w:vAlign w:val="bottom"/>
          </w:tcPr>
          <w:p w14:paraId="761B4259" w14:textId="0EE84368" w:rsidR="00396510" w:rsidRPr="00396510" w:rsidRDefault="00396510" w:rsidP="00396510">
            <w:pPr>
              <w:rPr>
                <w:lang w:val="en-US"/>
              </w:rPr>
            </w:pPr>
            <w:r w:rsidRPr="00396510">
              <w:t>Хипотония, понижено ортостатично</w:t>
            </w:r>
            <w:r>
              <w:rPr>
                <w:lang w:val="en-US"/>
              </w:rPr>
              <w:t xml:space="preserve"> </w:t>
            </w:r>
            <w:r w:rsidRPr="00396510">
              <w:t>налягане, синкоп</w:t>
            </w:r>
          </w:p>
        </w:tc>
        <w:tc>
          <w:tcPr>
            <w:tcW w:w="1689" w:type="dxa"/>
          </w:tcPr>
          <w:p w14:paraId="0ECD4479" w14:textId="7E55D3F9" w:rsidR="00396510" w:rsidRPr="00396510" w:rsidRDefault="00396510" w:rsidP="00396510">
            <w:r w:rsidRPr="00396510">
              <w:t>Зачервяване на лицето</w:t>
            </w:r>
          </w:p>
        </w:tc>
        <w:tc>
          <w:tcPr>
            <w:tcW w:w="1706" w:type="dxa"/>
            <w:vAlign w:val="bottom"/>
          </w:tcPr>
          <w:p w14:paraId="73C89E69" w14:textId="3DB1E035" w:rsidR="00396510" w:rsidRPr="00396510" w:rsidRDefault="00396510" w:rsidP="00396510">
            <w:r w:rsidRPr="00396510">
              <w:t>Съдова стеноза, хипоперфузия, васкулит</w:t>
            </w:r>
          </w:p>
        </w:tc>
        <w:tc>
          <w:tcPr>
            <w:tcW w:w="1015" w:type="dxa"/>
          </w:tcPr>
          <w:p w14:paraId="727214C8" w14:textId="77777777" w:rsidR="00396510" w:rsidRPr="00396510" w:rsidRDefault="00396510" w:rsidP="00396510"/>
        </w:tc>
        <w:tc>
          <w:tcPr>
            <w:tcW w:w="1952" w:type="dxa"/>
          </w:tcPr>
          <w:p w14:paraId="6BF328B1" w14:textId="77777777" w:rsidR="00396510" w:rsidRPr="00396510" w:rsidRDefault="00396510" w:rsidP="00396510">
            <w:r w:rsidRPr="00396510">
              <w:t>Синдром на</w:t>
            </w:r>
          </w:p>
          <w:p w14:paraId="1D943990" w14:textId="6A6D0D87" w:rsidR="00396510" w:rsidRPr="00396510" w:rsidRDefault="00396510" w:rsidP="00396510">
            <w:r w:rsidRPr="00396510">
              <w:rPr>
                <w:lang w:val="en-US"/>
              </w:rPr>
              <w:t>Raynaud</w:t>
            </w:r>
          </w:p>
        </w:tc>
      </w:tr>
      <w:tr w:rsidR="00396510" w14:paraId="717C225C" w14:textId="77777777" w:rsidTr="00885B04">
        <w:tc>
          <w:tcPr>
            <w:tcW w:w="1809" w:type="dxa"/>
          </w:tcPr>
          <w:p w14:paraId="40336E4A" w14:textId="7969B6AB" w:rsidR="00396510" w:rsidRPr="00396510" w:rsidRDefault="00396510" w:rsidP="00396510">
            <w:r w:rsidRPr="00396510">
              <w:rPr>
                <w:b/>
                <w:bCs/>
              </w:rPr>
              <w:t>Респиратор</w:t>
            </w:r>
            <w:r w:rsidRPr="00396510">
              <w:rPr>
                <w:b/>
                <w:bCs/>
              </w:rPr>
              <w:softHyphen/>
              <w:t>ни, гръдни и медиастинал ни нарушения</w:t>
            </w:r>
          </w:p>
        </w:tc>
        <w:tc>
          <w:tcPr>
            <w:tcW w:w="1405" w:type="dxa"/>
            <w:vAlign w:val="bottom"/>
          </w:tcPr>
          <w:p w14:paraId="101AECDF" w14:textId="6791A55F" w:rsidR="00396510" w:rsidRPr="00396510" w:rsidRDefault="00396510" w:rsidP="00396510">
            <w:r w:rsidRPr="00396510">
              <w:t>Непродуктивна дразнеща кашлица, бронхит, синузит, диспнея</w:t>
            </w:r>
          </w:p>
        </w:tc>
        <w:tc>
          <w:tcPr>
            <w:tcW w:w="1689" w:type="dxa"/>
          </w:tcPr>
          <w:p w14:paraId="73FDCE45" w14:textId="5982130A" w:rsidR="00396510" w:rsidRPr="00396510" w:rsidRDefault="00396510" w:rsidP="00396510">
            <w:r w:rsidRPr="00396510">
              <w:t>Бронхоспазъм, вкл. влошаване на астма, назална конгестия</w:t>
            </w:r>
          </w:p>
        </w:tc>
        <w:tc>
          <w:tcPr>
            <w:tcW w:w="1706" w:type="dxa"/>
          </w:tcPr>
          <w:p w14:paraId="6ADF3429" w14:textId="77777777" w:rsidR="00396510" w:rsidRPr="00396510" w:rsidRDefault="00396510" w:rsidP="00396510"/>
        </w:tc>
        <w:tc>
          <w:tcPr>
            <w:tcW w:w="1015" w:type="dxa"/>
          </w:tcPr>
          <w:p w14:paraId="0FE0F5EB" w14:textId="77777777" w:rsidR="00396510" w:rsidRPr="00396510" w:rsidRDefault="00396510" w:rsidP="00396510"/>
        </w:tc>
        <w:tc>
          <w:tcPr>
            <w:tcW w:w="1952" w:type="dxa"/>
          </w:tcPr>
          <w:p w14:paraId="4446F6F0" w14:textId="77777777" w:rsidR="00396510" w:rsidRPr="00396510" w:rsidRDefault="00396510" w:rsidP="00396510"/>
        </w:tc>
      </w:tr>
      <w:tr w:rsidR="00396510" w14:paraId="4776B6C6" w14:textId="77777777" w:rsidTr="00885B04">
        <w:tc>
          <w:tcPr>
            <w:tcW w:w="1809" w:type="dxa"/>
          </w:tcPr>
          <w:p w14:paraId="423F2712" w14:textId="6E214531" w:rsidR="00396510" w:rsidRPr="00396510" w:rsidRDefault="00396510" w:rsidP="00396510">
            <w:r w:rsidRPr="00396510">
              <w:rPr>
                <w:b/>
                <w:bCs/>
              </w:rPr>
              <w:t>Стомашно- чревни нарушения</w:t>
            </w:r>
          </w:p>
        </w:tc>
        <w:tc>
          <w:tcPr>
            <w:tcW w:w="1405" w:type="dxa"/>
          </w:tcPr>
          <w:p w14:paraId="0BCABCED" w14:textId="0D684B7C" w:rsidR="00396510" w:rsidRPr="00396510" w:rsidRDefault="00396510" w:rsidP="00396510">
            <w:r w:rsidRPr="00396510">
              <w:t>Възпаление на стомашно- чревния тракт, храносмилател ни нарушения, абдоминален дискомфорт, диспепсия, диария, гадене, повръщане</w:t>
            </w:r>
          </w:p>
        </w:tc>
        <w:tc>
          <w:tcPr>
            <w:tcW w:w="1689" w:type="dxa"/>
            <w:vAlign w:val="bottom"/>
          </w:tcPr>
          <w:p w14:paraId="7BBE8C56" w14:textId="75249010" w:rsidR="00396510" w:rsidRPr="00396510" w:rsidRDefault="00396510" w:rsidP="00396510">
            <w:r w:rsidRPr="00396510">
              <w:t>Панкреатит (случаи с фатален изход са съобщавани по изключение за АСЕ инхибитори), повишени панкреатични ензими, ангиоедем на тънките черва, болка в горната част на корема, вкл. гастрит, запек, сухота в устата</w:t>
            </w:r>
          </w:p>
        </w:tc>
        <w:tc>
          <w:tcPr>
            <w:tcW w:w="1706" w:type="dxa"/>
          </w:tcPr>
          <w:p w14:paraId="581AC0F1" w14:textId="16B7A29C" w:rsidR="00396510" w:rsidRPr="00396510" w:rsidRDefault="00396510" w:rsidP="00396510">
            <w:r w:rsidRPr="00396510">
              <w:t>Глосит</w:t>
            </w:r>
          </w:p>
        </w:tc>
        <w:tc>
          <w:tcPr>
            <w:tcW w:w="1015" w:type="dxa"/>
          </w:tcPr>
          <w:p w14:paraId="1568C794" w14:textId="77777777" w:rsidR="00396510" w:rsidRPr="00396510" w:rsidRDefault="00396510" w:rsidP="00396510"/>
        </w:tc>
        <w:tc>
          <w:tcPr>
            <w:tcW w:w="1952" w:type="dxa"/>
          </w:tcPr>
          <w:p w14:paraId="6FBD2D10" w14:textId="1DE60A9F" w:rsidR="00396510" w:rsidRPr="00396510" w:rsidRDefault="00396510" w:rsidP="00396510">
            <w:r w:rsidRPr="00396510">
              <w:t>Афтозен стоматит</w:t>
            </w:r>
          </w:p>
        </w:tc>
      </w:tr>
      <w:tr w:rsidR="00396510" w14:paraId="3BF88759" w14:textId="77777777" w:rsidTr="00885B04">
        <w:tc>
          <w:tcPr>
            <w:tcW w:w="1809" w:type="dxa"/>
          </w:tcPr>
          <w:p w14:paraId="304E9C6D" w14:textId="1D324856" w:rsidR="00396510" w:rsidRPr="00396510" w:rsidRDefault="00396510" w:rsidP="00396510">
            <w:r w:rsidRPr="00396510">
              <w:rPr>
                <w:b/>
                <w:bCs/>
              </w:rPr>
              <w:t>Хепато- билиарни нарушения</w:t>
            </w:r>
          </w:p>
        </w:tc>
        <w:tc>
          <w:tcPr>
            <w:tcW w:w="1405" w:type="dxa"/>
          </w:tcPr>
          <w:p w14:paraId="52D3DAE9" w14:textId="77777777" w:rsidR="00396510" w:rsidRPr="00396510" w:rsidRDefault="00396510" w:rsidP="00396510"/>
        </w:tc>
        <w:tc>
          <w:tcPr>
            <w:tcW w:w="1689" w:type="dxa"/>
          </w:tcPr>
          <w:p w14:paraId="24820A44" w14:textId="2D0DC52A" w:rsidR="00396510" w:rsidRPr="00396510" w:rsidRDefault="00396510" w:rsidP="00396510">
            <w:r w:rsidRPr="00396510">
              <w:t>Повишени чернодробни показатели и/или конюгиран билирубин</w:t>
            </w:r>
          </w:p>
        </w:tc>
        <w:tc>
          <w:tcPr>
            <w:tcW w:w="1706" w:type="dxa"/>
          </w:tcPr>
          <w:p w14:paraId="2BD0A294" w14:textId="04519F66" w:rsidR="00396510" w:rsidRPr="00396510" w:rsidRDefault="00396510" w:rsidP="00396510">
            <w:r w:rsidRPr="00396510">
              <w:t>Холестатична жълтеница, увреждане на хепатоцитите</w:t>
            </w:r>
          </w:p>
        </w:tc>
        <w:tc>
          <w:tcPr>
            <w:tcW w:w="1015" w:type="dxa"/>
          </w:tcPr>
          <w:p w14:paraId="7DF9D35D" w14:textId="77777777" w:rsidR="00396510" w:rsidRPr="00396510" w:rsidRDefault="00396510" w:rsidP="00396510"/>
        </w:tc>
        <w:tc>
          <w:tcPr>
            <w:tcW w:w="1952" w:type="dxa"/>
            <w:vAlign w:val="bottom"/>
          </w:tcPr>
          <w:p w14:paraId="742EA18D" w14:textId="4A5CB5F0" w:rsidR="00396510" w:rsidRPr="00396510" w:rsidRDefault="00396510" w:rsidP="00396510">
            <w:r w:rsidRPr="00396510">
              <w:t>Остра чернодробна недостатъчност, холестатичен или цитолитичен хепатит (в много редки случаи с фатален изход)</w:t>
            </w:r>
          </w:p>
        </w:tc>
      </w:tr>
      <w:tr w:rsidR="00396510" w14:paraId="55F1832F" w14:textId="77777777" w:rsidTr="00885B04">
        <w:tc>
          <w:tcPr>
            <w:tcW w:w="1809" w:type="dxa"/>
          </w:tcPr>
          <w:p w14:paraId="486D352D" w14:textId="61BCA6A1" w:rsidR="00396510" w:rsidRPr="00396510" w:rsidRDefault="00396510" w:rsidP="00396510">
            <w:r w:rsidRPr="00396510">
              <w:rPr>
                <w:b/>
                <w:bCs/>
              </w:rPr>
              <w:t xml:space="preserve">Нарушения на </w:t>
            </w:r>
            <w:r w:rsidRPr="00396510">
              <w:rPr>
                <w:b/>
                <w:bCs/>
              </w:rPr>
              <w:lastRenderedPageBreak/>
              <w:t>кожата и подкожната тъкан</w:t>
            </w:r>
          </w:p>
        </w:tc>
        <w:tc>
          <w:tcPr>
            <w:tcW w:w="1405" w:type="dxa"/>
          </w:tcPr>
          <w:p w14:paraId="209DE301" w14:textId="1D5164A7" w:rsidR="00396510" w:rsidRPr="00396510" w:rsidRDefault="00396510" w:rsidP="00396510">
            <w:r w:rsidRPr="00396510">
              <w:lastRenderedPageBreak/>
              <w:t xml:space="preserve">Обрив, </w:t>
            </w:r>
            <w:r w:rsidRPr="00396510">
              <w:lastRenderedPageBreak/>
              <w:t>най- често макуло- папулозен</w:t>
            </w:r>
          </w:p>
        </w:tc>
        <w:tc>
          <w:tcPr>
            <w:tcW w:w="1689" w:type="dxa"/>
          </w:tcPr>
          <w:p w14:paraId="641A672A" w14:textId="568F1F4D" w:rsidR="00396510" w:rsidRPr="00396510" w:rsidRDefault="00396510" w:rsidP="00396510">
            <w:r w:rsidRPr="00396510">
              <w:lastRenderedPageBreak/>
              <w:t xml:space="preserve">Ангиоедем, в </w:t>
            </w:r>
            <w:r w:rsidRPr="00396510">
              <w:lastRenderedPageBreak/>
              <w:t>много редки случаи обструкцията на дихателните пътища, в резултат на ангиоедем може да има фатален изход, пруритус, хиперхидроза</w:t>
            </w:r>
          </w:p>
        </w:tc>
        <w:tc>
          <w:tcPr>
            <w:tcW w:w="1706" w:type="dxa"/>
          </w:tcPr>
          <w:p w14:paraId="63F4B33D" w14:textId="4BB0B57F" w:rsidR="00396510" w:rsidRPr="00396510" w:rsidRDefault="00396510" w:rsidP="00396510">
            <w:r w:rsidRPr="00396510">
              <w:lastRenderedPageBreak/>
              <w:t>Ексфолиатив</w:t>
            </w:r>
            <w:r w:rsidRPr="00396510">
              <w:lastRenderedPageBreak/>
              <w:t>ен дерматит, уртикария, онихолиза</w:t>
            </w:r>
          </w:p>
        </w:tc>
        <w:tc>
          <w:tcPr>
            <w:tcW w:w="1015" w:type="dxa"/>
          </w:tcPr>
          <w:p w14:paraId="3D8D041A" w14:textId="552FB1E3" w:rsidR="00396510" w:rsidRPr="00396510" w:rsidRDefault="00396510" w:rsidP="00396510">
            <w:r w:rsidRPr="00396510">
              <w:lastRenderedPageBreak/>
              <w:t>Реак</w:t>
            </w:r>
            <w:r w:rsidRPr="00396510">
              <w:softHyphen/>
            </w:r>
            <w:r w:rsidRPr="00396510">
              <w:lastRenderedPageBreak/>
              <w:t>ции на фото- чувстви телност</w:t>
            </w:r>
          </w:p>
        </w:tc>
        <w:tc>
          <w:tcPr>
            <w:tcW w:w="1952" w:type="dxa"/>
            <w:vAlign w:val="bottom"/>
          </w:tcPr>
          <w:p w14:paraId="65E32439" w14:textId="21C828C2" w:rsidR="00396510" w:rsidRPr="00396510" w:rsidRDefault="00396510" w:rsidP="00396510">
            <w:r w:rsidRPr="00396510">
              <w:lastRenderedPageBreak/>
              <w:t xml:space="preserve">Токсична </w:t>
            </w:r>
            <w:r w:rsidRPr="00396510">
              <w:lastRenderedPageBreak/>
              <w:t xml:space="preserve">епидермална некролиза, синдром на </w:t>
            </w:r>
            <w:r w:rsidRPr="00396510">
              <w:rPr>
                <w:lang w:val="en-US"/>
              </w:rPr>
              <w:t xml:space="preserve">Stevens-Johnson, </w:t>
            </w:r>
            <w:r w:rsidRPr="00396510">
              <w:t>мултиформена еритема, пемфигус, влошаване на псориазис, псориазиформен дерматит, пемфигоидна или лихеноидна екзантема или енантема, алопеция</w:t>
            </w:r>
          </w:p>
        </w:tc>
      </w:tr>
      <w:tr w:rsidR="00396510" w14:paraId="463CD060" w14:textId="77777777" w:rsidTr="00885B04">
        <w:tc>
          <w:tcPr>
            <w:tcW w:w="1809" w:type="dxa"/>
            <w:vAlign w:val="bottom"/>
          </w:tcPr>
          <w:p w14:paraId="2D42922B" w14:textId="0B84F125" w:rsidR="00396510" w:rsidRPr="00396510" w:rsidRDefault="00396510" w:rsidP="00396510">
            <w:r w:rsidRPr="00396510">
              <w:rPr>
                <w:b/>
                <w:bCs/>
              </w:rPr>
              <w:lastRenderedPageBreak/>
              <w:t>Нарушения на мускулно- скелетната система и  съединител-</w:t>
            </w:r>
            <w:r w:rsidR="00CF2AB4" w:rsidRPr="00CF2AB4">
              <w:rPr>
                <w:b/>
                <w:bCs/>
              </w:rPr>
              <w:t>ната тъкан</w:t>
            </w:r>
          </w:p>
        </w:tc>
        <w:tc>
          <w:tcPr>
            <w:tcW w:w="1405" w:type="dxa"/>
          </w:tcPr>
          <w:p w14:paraId="6DEE4B44" w14:textId="53CF12D5" w:rsidR="00396510" w:rsidRPr="00396510" w:rsidRDefault="00396510" w:rsidP="00396510">
            <w:r w:rsidRPr="00396510">
              <w:t>Мускулни спазми, миалгия</w:t>
            </w:r>
          </w:p>
        </w:tc>
        <w:tc>
          <w:tcPr>
            <w:tcW w:w="1689" w:type="dxa"/>
          </w:tcPr>
          <w:p w14:paraId="69CA7320" w14:textId="4A125D3B" w:rsidR="00396510" w:rsidRPr="00396510" w:rsidRDefault="00396510" w:rsidP="00396510">
            <w:r w:rsidRPr="00396510">
              <w:t>Артралгия</w:t>
            </w:r>
          </w:p>
        </w:tc>
        <w:tc>
          <w:tcPr>
            <w:tcW w:w="1706" w:type="dxa"/>
          </w:tcPr>
          <w:p w14:paraId="16AF838B" w14:textId="77777777" w:rsidR="00396510" w:rsidRPr="00396510" w:rsidRDefault="00396510" w:rsidP="00396510"/>
        </w:tc>
        <w:tc>
          <w:tcPr>
            <w:tcW w:w="1015" w:type="dxa"/>
          </w:tcPr>
          <w:p w14:paraId="66563B11" w14:textId="77777777" w:rsidR="00396510" w:rsidRPr="00396510" w:rsidRDefault="00396510" w:rsidP="00396510"/>
        </w:tc>
        <w:tc>
          <w:tcPr>
            <w:tcW w:w="1952" w:type="dxa"/>
            <w:vAlign w:val="bottom"/>
          </w:tcPr>
          <w:p w14:paraId="1524F7A2" w14:textId="77777777" w:rsidR="00396510" w:rsidRPr="00396510" w:rsidRDefault="00396510" w:rsidP="00396510"/>
        </w:tc>
      </w:tr>
      <w:tr w:rsidR="00CF2AB4" w14:paraId="4FFDB268" w14:textId="77777777" w:rsidTr="00886EBC">
        <w:tc>
          <w:tcPr>
            <w:tcW w:w="1809" w:type="dxa"/>
          </w:tcPr>
          <w:p w14:paraId="2612DA81" w14:textId="6CE1EC26" w:rsidR="00CF2AB4" w:rsidRPr="00CF2AB4" w:rsidRDefault="00CF2AB4" w:rsidP="00CF2AB4">
            <w:r w:rsidRPr="00CF2AB4">
              <w:rPr>
                <w:b/>
                <w:bCs/>
              </w:rPr>
              <w:t>Нарушения на бъбреците и пикочните пътища</w:t>
            </w:r>
          </w:p>
        </w:tc>
        <w:tc>
          <w:tcPr>
            <w:tcW w:w="1405" w:type="dxa"/>
          </w:tcPr>
          <w:p w14:paraId="3C55425B" w14:textId="77777777" w:rsidR="00CF2AB4" w:rsidRPr="00CF2AB4" w:rsidRDefault="00CF2AB4" w:rsidP="00CF2AB4"/>
        </w:tc>
        <w:tc>
          <w:tcPr>
            <w:tcW w:w="1689" w:type="dxa"/>
            <w:vAlign w:val="bottom"/>
          </w:tcPr>
          <w:p w14:paraId="2DDF7F71" w14:textId="322D5C2D" w:rsidR="00CF2AB4" w:rsidRPr="00CF2AB4" w:rsidRDefault="00CF2AB4" w:rsidP="00CF2AB4">
            <w:r w:rsidRPr="00CF2AB4">
              <w:t>Бъбречни нарушения, вкл. остра бъбречна недостатъч</w:t>
            </w:r>
            <w:r w:rsidRPr="00CF2AB4">
              <w:softHyphen/>
              <w:t>ност, повишено уриниране, влошаване на предшестваща протеинурия, повишена урея в кръвта, повишен серумен креатинин</w:t>
            </w:r>
          </w:p>
        </w:tc>
        <w:tc>
          <w:tcPr>
            <w:tcW w:w="1706" w:type="dxa"/>
          </w:tcPr>
          <w:p w14:paraId="7228D87B" w14:textId="77777777" w:rsidR="00CF2AB4" w:rsidRPr="00CF2AB4" w:rsidRDefault="00CF2AB4" w:rsidP="00CF2AB4"/>
        </w:tc>
        <w:tc>
          <w:tcPr>
            <w:tcW w:w="1015" w:type="dxa"/>
          </w:tcPr>
          <w:p w14:paraId="2405DCFF" w14:textId="77777777" w:rsidR="00CF2AB4" w:rsidRPr="00CF2AB4" w:rsidRDefault="00CF2AB4" w:rsidP="00CF2AB4"/>
        </w:tc>
        <w:tc>
          <w:tcPr>
            <w:tcW w:w="1952" w:type="dxa"/>
          </w:tcPr>
          <w:p w14:paraId="0FFBF549" w14:textId="77777777" w:rsidR="00CF2AB4" w:rsidRPr="00CF2AB4" w:rsidRDefault="00CF2AB4" w:rsidP="00CF2AB4"/>
        </w:tc>
      </w:tr>
      <w:tr w:rsidR="00CF2AB4" w14:paraId="021F5090" w14:textId="77777777" w:rsidTr="00886EBC">
        <w:tc>
          <w:tcPr>
            <w:tcW w:w="1809" w:type="dxa"/>
            <w:vAlign w:val="bottom"/>
          </w:tcPr>
          <w:p w14:paraId="52B22529" w14:textId="1135F342" w:rsidR="00CF2AB4" w:rsidRPr="00CF2AB4" w:rsidRDefault="00CF2AB4" w:rsidP="00CF2AB4">
            <w:r w:rsidRPr="00CF2AB4">
              <w:rPr>
                <w:b/>
                <w:bCs/>
              </w:rPr>
              <w:t>Нарушения на възпроизво</w:t>
            </w:r>
            <w:r w:rsidRPr="00CF2AB4">
              <w:rPr>
                <w:b/>
                <w:bCs/>
              </w:rPr>
              <w:softHyphen/>
              <w:t>дителната система и гърдата</w:t>
            </w:r>
          </w:p>
        </w:tc>
        <w:tc>
          <w:tcPr>
            <w:tcW w:w="1405" w:type="dxa"/>
          </w:tcPr>
          <w:p w14:paraId="17486685" w14:textId="77777777" w:rsidR="00CF2AB4" w:rsidRPr="00CF2AB4" w:rsidRDefault="00CF2AB4" w:rsidP="00CF2AB4"/>
        </w:tc>
        <w:tc>
          <w:tcPr>
            <w:tcW w:w="1689" w:type="dxa"/>
          </w:tcPr>
          <w:p w14:paraId="4F91C0E0" w14:textId="5DC1D456" w:rsidR="00CF2AB4" w:rsidRPr="00CF2AB4" w:rsidRDefault="00CF2AB4" w:rsidP="00CF2AB4">
            <w:r w:rsidRPr="00CF2AB4">
              <w:t>Преходна еректилна импотентност, понижено либидо</w:t>
            </w:r>
          </w:p>
        </w:tc>
        <w:tc>
          <w:tcPr>
            <w:tcW w:w="1706" w:type="dxa"/>
          </w:tcPr>
          <w:p w14:paraId="25A132EF" w14:textId="77777777" w:rsidR="00CF2AB4" w:rsidRPr="00CF2AB4" w:rsidRDefault="00CF2AB4" w:rsidP="00CF2AB4"/>
        </w:tc>
        <w:tc>
          <w:tcPr>
            <w:tcW w:w="1015" w:type="dxa"/>
          </w:tcPr>
          <w:p w14:paraId="342BC155" w14:textId="77777777" w:rsidR="00CF2AB4" w:rsidRPr="00CF2AB4" w:rsidRDefault="00CF2AB4" w:rsidP="00CF2AB4"/>
        </w:tc>
        <w:tc>
          <w:tcPr>
            <w:tcW w:w="1952" w:type="dxa"/>
          </w:tcPr>
          <w:p w14:paraId="0DA4B0CD" w14:textId="6FFBCB45" w:rsidR="00CF2AB4" w:rsidRPr="00CF2AB4" w:rsidRDefault="00CF2AB4" w:rsidP="00CF2AB4">
            <w:r w:rsidRPr="00CF2AB4">
              <w:t>Гинекомастия</w:t>
            </w:r>
          </w:p>
        </w:tc>
      </w:tr>
      <w:tr w:rsidR="00CF2AB4" w14:paraId="26EB01A0" w14:textId="77777777" w:rsidTr="00886EBC">
        <w:tc>
          <w:tcPr>
            <w:tcW w:w="1809" w:type="dxa"/>
            <w:vAlign w:val="bottom"/>
          </w:tcPr>
          <w:p w14:paraId="06625E9C" w14:textId="29B202B7" w:rsidR="00CF2AB4" w:rsidRPr="00CF2AB4" w:rsidRDefault="00CF2AB4" w:rsidP="00CF2AB4">
            <w:r w:rsidRPr="00CF2AB4">
              <w:rPr>
                <w:b/>
                <w:bCs/>
              </w:rPr>
              <w:t xml:space="preserve">Общи нарушения и </w:t>
            </w:r>
            <w:r w:rsidRPr="00CF2AB4">
              <w:rPr>
                <w:b/>
                <w:bCs/>
              </w:rPr>
              <w:lastRenderedPageBreak/>
              <w:t>ефекти на мястото на приложение</w:t>
            </w:r>
          </w:p>
        </w:tc>
        <w:tc>
          <w:tcPr>
            <w:tcW w:w="1405" w:type="dxa"/>
          </w:tcPr>
          <w:p w14:paraId="06D4464B" w14:textId="2D1EE8A5" w:rsidR="00CF2AB4" w:rsidRPr="00CF2AB4" w:rsidRDefault="00CF2AB4" w:rsidP="00CF2AB4">
            <w:r w:rsidRPr="00CF2AB4">
              <w:lastRenderedPageBreak/>
              <w:t xml:space="preserve">Болка в гърдите, </w:t>
            </w:r>
            <w:r w:rsidRPr="00CF2AB4">
              <w:lastRenderedPageBreak/>
              <w:t>умора</w:t>
            </w:r>
          </w:p>
        </w:tc>
        <w:tc>
          <w:tcPr>
            <w:tcW w:w="1689" w:type="dxa"/>
          </w:tcPr>
          <w:p w14:paraId="18995786" w14:textId="15CFC455" w:rsidR="00CF2AB4" w:rsidRPr="00CF2AB4" w:rsidRDefault="00CF2AB4" w:rsidP="00CF2AB4">
            <w:r w:rsidRPr="00CF2AB4">
              <w:lastRenderedPageBreak/>
              <w:t xml:space="preserve">Висока телесна </w:t>
            </w:r>
            <w:r w:rsidRPr="00CF2AB4">
              <w:lastRenderedPageBreak/>
              <w:t>температура</w:t>
            </w:r>
          </w:p>
        </w:tc>
        <w:tc>
          <w:tcPr>
            <w:tcW w:w="1706" w:type="dxa"/>
          </w:tcPr>
          <w:p w14:paraId="4DBF614F" w14:textId="5EABA1CE" w:rsidR="00CF2AB4" w:rsidRPr="00CF2AB4" w:rsidRDefault="00CF2AB4" w:rsidP="00CF2AB4">
            <w:r w:rsidRPr="00CF2AB4">
              <w:lastRenderedPageBreak/>
              <w:t>Астения</w:t>
            </w:r>
          </w:p>
        </w:tc>
        <w:tc>
          <w:tcPr>
            <w:tcW w:w="1015" w:type="dxa"/>
          </w:tcPr>
          <w:p w14:paraId="4204FE66" w14:textId="77777777" w:rsidR="00CF2AB4" w:rsidRPr="00CF2AB4" w:rsidRDefault="00CF2AB4" w:rsidP="00CF2AB4"/>
        </w:tc>
        <w:tc>
          <w:tcPr>
            <w:tcW w:w="1952" w:type="dxa"/>
          </w:tcPr>
          <w:p w14:paraId="54A05BB5" w14:textId="77777777" w:rsidR="00CF2AB4" w:rsidRPr="00CF2AB4" w:rsidRDefault="00CF2AB4" w:rsidP="00CF2AB4"/>
        </w:tc>
      </w:tr>
    </w:tbl>
    <w:p w14:paraId="6CF83070" w14:textId="796B4D20" w:rsidR="00396510" w:rsidRDefault="00396510" w:rsidP="00396510"/>
    <w:p w14:paraId="25437E03"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Педиатрична популация</w:t>
      </w:r>
    </w:p>
    <w:p w14:paraId="2945FD21"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Безопасността на рамиприл е наблюдавана при 325 деца и юноши на възраст 2-16 години по време на 2 клинични проучвания. Въпреки че, естеството и тежестта на нежеланите събития са подобни на тези при възрастни, честотата на изброените по-долу е по-висока при деца:</w:t>
      </w:r>
    </w:p>
    <w:p w14:paraId="1F90A7BD" w14:textId="77777777" w:rsidR="00CF2AB4" w:rsidRDefault="00CF2AB4" w:rsidP="00CF2AB4">
      <w:pPr>
        <w:pStyle w:val="ListParagraph"/>
        <w:numPr>
          <w:ilvl w:val="0"/>
          <w:numId w:val="46"/>
        </w:numPr>
        <w:spacing w:line="240" w:lineRule="auto"/>
        <w:rPr>
          <w:rFonts w:eastAsia="Times New Roman" w:cs="Arial"/>
          <w:color w:val="000000"/>
          <w:lang w:eastAsia="bg-BG"/>
        </w:rPr>
      </w:pPr>
      <w:r w:rsidRPr="00CF2AB4">
        <w:rPr>
          <w:rFonts w:eastAsia="Times New Roman" w:cs="Arial"/>
          <w:color w:val="000000"/>
          <w:lang w:eastAsia="bg-BG"/>
        </w:rPr>
        <w:t>Тахикардия, назална конгестия и ринит - „чести” (т.е. ≥ 1/100 до &lt; 1/10) при педиатрична популалция и „нечести” (т.е. ≥1/1 000 до &lt; 1/100) при възрастни.</w:t>
      </w:r>
    </w:p>
    <w:p w14:paraId="0EC36C23" w14:textId="77777777" w:rsidR="00CF2AB4" w:rsidRDefault="00CF2AB4" w:rsidP="00CF2AB4">
      <w:pPr>
        <w:pStyle w:val="ListParagraph"/>
        <w:numPr>
          <w:ilvl w:val="0"/>
          <w:numId w:val="46"/>
        </w:numPr>
        <w:spacing w:line="240" w:lineRule="auto"/>
        <w:rPr>
          <w:rFonts w:eastAsia="Times New Roman" w:cs="Arial"/>
          <w:color w:val="000000"/>
          <w:lang w:eastAsia="bg-BG"/>
        </w:rPr>
      </w:pPr>
      <w:r w:rsidRPr="00CF2AB4">
        <w:rPr>
          <w:rFonts w:eastAsia="Times New Roman" w:cs="Arial"/>
          <w:color w:val="000000"/>
          <w:lang w:eastAsia="bg-BG"/>
        </w:rPr>
        <w:t>Конюнктивит - „чести” (т.е. ≥1/100 до &lt; 1/10) при педиатрична популация, но „редки” (т.е. ≥1/10 000 до &lt; 1/1 000) при възрастни.</w:t>
      </w:r>
    </w:p>
    <w:p w14:paraId="04F8DD80" w14:textId="6E64093D" w:rsidR="00CF2AB4" w:rsidRPr="00CF2AB4" w:rsidRDefault="00CF2AB4" w:rsidP="00CF2AB4">
      <w:pPr>
        <w:pStyle w:val="ListParagraph"/>
        <w:numPr>
          <w:ilvl w:val="0"/>
          <w:numId w:val="46"/>
        </w:numPr>
        <w:spacing w:line="240" w:lineRule="auto"/>
        <w:rPr>
          <w:rFonts w:eastAsia="Times New Roman" w:cs="Arial"/>
          <w:color w:val="000000"/>
          <w:lang w:eastAsia="bg-BG"/>
        </w:rPr>
      </w:pPr>
      <w:r w:rsidRPr="00CF2AB4">
        <w:rPr>
          <w:rFonts w:eastAsia="Times New Roman" w:cs="Arial"/>
          <w:color w:val="000000"/>
          <w:lang w:eastAsia="bg-BG"/>
        </w:rPr>
        <w:t>Тремор и уртикария - „нечести” (т.е. ≥1/1 000 до &lt; 1/100) при педиатрична популация, но „редки” (т.е. ≥1/10 000 до &lt; 1/1 000) при възрастни.</w:t>
      </w:r>
    </w:p>
    <w:p w14:paraId="5A563BAF"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Цялостният профил на безопасност на рамиприл при педиатрични пациенти не се различава значително от профила на безопасност при възрастни.</w:t>
      </w:r>
    </w:p>
    <w:p w14:paraId="567B2142" w14:textId="77777777" w:rsidR="00CF2AB4" w:rsidRDefault="00CF2AB4" w:rsidP="00CF2AB4">
      <w:pPr>
        <w:spacing w:line="240" w:lineRule="auto"/>
        <w:rPr>
          <w:rFonts w:eastAsia="Times New Roman" w:cs="Arial"/>
          <w:color w:val="000000"/>
          <w:u w:val="single"/>
          <w:lang w:eastAsia="bg-BG"/>
        </w:rPr>
      </w:pPr>
    </w:p>
    <w:p w14:paraId="393C8DA7" w14:textId="16CD2117"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Съобщаване на подозирани нежелани реакции</w:t>
      </w:r>
    </w:p>
    <w:p w14:paraId="63131AC7"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Съобщаването на подозирани нежелани реакции след разрешаване на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 2 890 34 17, уебсайт: </w:t>
      </w:r>
      <w:r w:rsidRPr="00CF2AB4">
        <w:rPr>
          <w:rFonts w:eastAsia="Times New Roman" w:cs="Arial"/>
          <w:lang w:eastAsia="bg-BG"/>
        </w:rPr>
        <w:fldChar w:fldCharType="begin"/>
      </w:r>
      <w:r w:rsidRPr="00CF2AB4">
        <w:rPr>
          <w:rFonts w:eastAsia="Times New Roman" w:cs="Arial"/>
          <w:lang w:eastAsia="bg-BG"/>
        </w:rPr>
        <w:instrText xml:space="preserve"> HYPERLINK "http://www.bda.bg" </w:instrText>
      </w:r>
      <w:r w:rsidRPr="00CF2AB4">
        <w:rPr>
          <w:rFonts w:eastAsia="Times New Roman" w:cs="Arial"/>
          <w:lang w:eastAsia="bg-BG"/>
        </w:rPr>
      </w:r>
      <w:r w:rsidRPr="00CF2AB4">
        <w:rPr>
          <w:rFonts w:eastAsia="Times New Roman" w:cs="Arial"/>
          <w:lang w:eastAsia="bg-BG"/>
        </w:rPr>
        <w:fldChar w:fldCharType="separate"/>
      </w:r>
      <w:r w:rsidRPr="00CF2AB4">
        <w:rPr>
          <w:rFonts w:eastAsia="Times New Roman" w:cs="Arial"/>
          <w:color w:val="000000"/>
          <w:u w:val="single"/>
          <w:lang w:val="en-US"/>
        </w:rPr>
        <w:t>www.bda.bg</w:t>
      </w:r>
      <w:r w:rsidRPr="00CF2AB4">
        <w:rPr>
          <w:rFonts w:eastAsia="Times New Roman" w:cs="Arial"/>
          <w:lang w:eastAsia="bg-BG"/>
        </w:rPr>
        <w:fldChar w:fldCharType="end"/>
      </w:r>
      <w:r w:rsidRPr="00CF2AB4">
        <w:rPr>
          <w:rFonts w:eastAsia="Times New Roman" w:cs="Arial"/>
          <w:color w:val="000000"/>
          <w:lang w:val="en-US"/>
        </w:rPr>
        <w:t>.</w:t>
      </w:r>
    </w:p>
    <w:p w14:paraId="247AB70B" w14:textId="77777777" w:rsidR="00CF2AB4" w:rsidRPr="00396510" w:rsidRDefault="00CF2AB4" w:rsidP="00396510"/>
    <w:p w14:paraId="5A87DBA3" w14:textId="4CB7B9C4" w:rsidR="007122AD" w:rsidRDefault="002C50EE" w:rsidP="00936AD0">
      <w:pPr>
        <w:pStyle w:val="Heading2"/>
      </w:pPr>
      <w:r>
        <w:t>4.9. Предозиране</w:t>
      </w:r>
    </w:p>
    <w:p w14:paraId="3F5E7769" w14:textId="2617BD81" w:rsidR="00CF2AB4" w:rsidRDefault="00CF2AB4" w:rsidP="00CF2AB4"/>
    <w:p w14:paraId="6E437AC4" w14:textId="77777777" w:rsidR="00CF2AB4" w:rsidRPr="00CF2AB4" w:rsidRDefault="00CF2AB4" w:rsidP="00CF2AB4">
      <w:pPr>
        <w:pStyle w:val="Heading3"/>
        <w:rPr>
          <w:rFonts w:eastAsia="Times New Roman"/>
          <w:u w:val="single"/>
          <w:lang w:eastAsia="bg-BG"/>
        </w:rPr>
      </w:pPr>
      <w:r w:rsidRPr="00CF2AB4">
        <w:rPr>
          <w:rFonts w:eastAsia="Times New Roman"/>
          <w:u w:val="single"/>
          <w:lang w:eastAsia="bg-BG"/>
        </w:rPr>
        <w:t>Симптоми</w:t>
      </w:r>
    </w:p>
    <w:p w14:paraId="2DC99BD4"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Симптомите на предозиране с АСЕ инхибитори може да включват ексцесивна периферна</w:t>
      </w:r>
    </w:p>
    <w:p w14:paraId="77CDC6D7" w14:textId="09F7E001" w:rsidR="00CF2AB4" w:rsidRPr="00CF2AB4" w:rsidRDefault="00CF2AB4" w:rsidP="00CF2AB4">
      <w:pPr>
        <w:spacing w:line="240" w:lineRule="auto"/>
        <w:rPr>
          <w:rFonts w:eastAsia="Times New Roman" w:cs="Arial"/>
          <w:color w:val="000000"/>
          <w:lang w:eastAsia="bg-BG"/>
        </w:rPr>
      </w:pPr>
      <w:r w:rsidRPr="00CF2AB4">
        <w:rPr>
          <w:rFonts w:eastAsia="Times New Roman" w:cs="Arial"/>
          <w:color w:val="000000"/>
          <w:lang w:eastAsia="bg-BG"/>
        </w:rPr>
        <w:t>вазодилатация (с изразена хипотония, шок), брадикардия, електролитни нарушения на бъбречна</w:t>
      </w:r>
      <w:r w:rsidRPr="00CF2AB4">
        <w:rPr>
          <w:rFonts w:eastAsia="Times New Roman" w:cs="Arial"/>
          <w:lang w:val="en-US" w:eastAsia="bg-BG"/>
        </w:rPr>
        <w:t xml:space="preserve"> </w:t>
      </w:r>
      <w:r w:rsidRPr="00CF2AB4">
        <w:rPr>
          <w:rFonts w:eastAsia="Times New Roman" w:cs="Arial"/>
          <w:color w:val="000000"/>
          <w:lang w:eastAsia="bg-BG"/>
        </w:rPr>
        <w:t>недостатъчност.</w:t>
      </w:r>
    </w:p>
    <w:p w14:paraId="05594010" w14:textId="4BFB540B" w:rsidR="00CF2AB4" w:rsidRPr="00CF2AB4" w:rsidRDefault="00CF2AB4" w:rsidP="00CF2AB4">
      <w:pPr>
        <w:spacing w:line="240" w:lineRule="auto"/>
        <w:rPr>
          <w:rFonts w:eastAsia="Times New Roman" w:cs="Arial"/>
          <w:color w:val="000000"/>
          <w:lang w:eastAsia="bg-BG"/>
        </w:rPr>
      </w:pPr>
    </w:p>
    <w:p w14:paraId="08211248" w14:textId="77777777" w:rsidR="00CF2AB4" w:rsidRPr="00CF2AB4" w:rsidRDefault="00CF2AB4" w:rsidP="00CF2AB4">
      <w:pPr>
        <w:pStyle w:val="Heading3"/>
        <w:rPr>
          <w:rFonts w:eastAsia="Times New Roman"/>
          <w:u w:val="single"/>
          <w:lang w:eastAsia="bg-BG"/>
        </w:rPr>
      </w:pPr>
      <w:r w:rsidRPr="00CF2AB4">
        <w:rPr>
          <w:rFonts w:eastAsia="Times New Roman"/>
          <w:u w:val="single"/>
          <w:lang w:eastAsia="bg-BG"/>
        </w:rPr>
        <w:t>Лечение</w:t>
      </w:r>
    </w:p>
    <w:p w14:paraId="77C707EE" w14:textId="77777777" w:rsidR="00CF2AB4" w:rsidRPr="00CF2AB4" w:rsidRDefault="00CF2AB4" w:rsidP="00CF2AB4">
      <w:pPr>
        <w:spacing w:line="240" w:lineRule="auto"/>
        <w:rPr>
          <w:rFonts w:ascii="Times New Roman" w:eastAsia="Times New Roman" w:hAnsi="Times New Roman" w:cs="Times New Roman"/>
          <w:sz w:val="24"/>
          <w:szCs w:val="24"/>
          <w:lang w:eastAsia="bg-BG"/>
        </w:rPr>
      </w:pPr>
      <w:r w:rsidRPr="00CF2AB4">
        <w:rPr>
          <w:rFonts w:eastAsia="Times New Roman" w:cs="Arial"/>
          <w:color w:val="000000"/>
          <w:lang w:eastAsia="bg-BG"/>
        </w:rPr>
        <w:t>Състоянието на пациентите трябва да се проследява внимателно и лечението да бъде симптоматично и поддържащо. Препоръчителните мерки включват първична детоксикация (стомашен лаваж, прилагане на адсорбенти) и мерки за възстановяване на хемодинамичната стабилност, вкл.прилагане на алфа</w:t>
      </w:r>
      <w:r w:rsidRPr="00CF2AB4">
        <w:rPr>
          <w:rFonts w:eastAsia="Times New Roman" w:cs="Arial"/>
          <w:color w:val="000000"/>
          <w:vertAlign w:val="subscript"/>
          <w:lang w:eastAsia="bg-BG"/>
        </w:rPr>
        <w:t>1</w:t>
      </w:r>
      <w:r w:rsidRPr="00CF2AB4">
        <w:rPr>
          <w:rFonts w:eastAsia="Times New Roman" w:cs="Arial"/>
          <w:color w:val="000000"/>
          <w:lang w:eastAsia="bg-BG"/>
        </w:rPr>
        <w:t xml:space="preserve"> адренергични агонисти или ангиотензин II (ангиотензинамид). Активният метаболит на рамиприл, рамиприлат, се отстранява в малка степен от общото кръвообращение.</w:t>
      </w:r>
    </w:p>
    <w:p w14:paraId="03D4069D" w14:textId="77777777" w:rsidR="00CF2AB4" w:rsidRPr="00CF2AB4" w:rsidRDefault="00CF2AB4" w:rsidP="00CF2AB4">
      <w:pPr>
        <w:spacing w:line="240" w:lineRule="auto"/>
        <w:rPr>
          <w:rFonts w:ascii="Times New Roman" w:eastAsia="Times New Roman" w:hAnsi="Times New Roman" w:cs="Times New Roman"/>
          <w:sz w:val="24"/>
          <w:szCs w:val="24"/>
          <w:lang w:eastAsia="bg-BG"/>
        </w:rPr>
      </w:pPr>
    </w:p>
    <w:p w14:paraId="02081B24" w14:textId="36FE76F4" w:rsidR="00395555" w:rsidRPr="00395555" w:rsidRDefault="002C50EE" w:rsidP="008A6AF2">
      <w:pPr>
        <w:pStyle w:val="Heading1"/>
      </w:pPr>
      <w:r>
        <w:t>5. ФАРМАКОЛОГИЧНИ СВОЙСТВА</w:t>
      </w:r>
    </w:p>
    <w:p w14:paraId="68A24A1A" w14:textId="3E85CF61" w:rsidR="001A6EBD" w:rsidRDefault="002C50EE" w:rsidP="00471F10">
      <w:pPr>
        <w:pStyle w:val="Heading2"/>
      </w:pPr>
      <w:r>
        <w:t>5.1. Фармакодинамични свойства</w:t>
      </w:r>
    </w:p>
    <w:p w14:paraId="2E71A3F1" w14:textId="58AB1703" w:rsidR="00CF2AB4" w:rsidRDefault="00CF2AB4" w:rsidP="00CF2AB4"/>
    <w:p w14:paraId="52B37C50"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Фармакотерапевтична група: инхибитори на ангиотензин-конвертиращия ензим АТС код: СО9ААО5</w:t>
      </w:r>
    </w:p>
    <w:p w14:paraId="4F14681C" w14:textId="77777777" w:rsidR="00CF2AB4" w:rsidRDefault="00CF2AB4" w:rsidP="00CF2AB4">
      <w:pPr>
        <w:spacing w:line="240" w:lineRule="auto"/>
        <w:rPr>
          <w:rFonts w:eastAsia="Times New Roman" w:cs="Arial"/>
          <w:i/>
          <w:iCs/>
          <w:color w:val="000000"/>
          <w:u w:val="single"/>
          <w:lang w:eastAsia="bg-BG"/>
        </w:rPr>
      </w:pPr>
    </w:p>
    <w:p w14:paraId="4AB4F1E3" w14:textId="6643B8C6" w:rsidR="00CF2AB4" w:rsidRPr="00CF2AB4" w:rsidRDefault="00CF2AB4" w:rsidP="00CF2AB4">
      <w:pPr>
        <w:spacing w:line="240" w:lineRule="auto"/>
        <w:rPr>
          <w:rFonts w:eastAsia="Times New Roman" w:cs="Arial"/>
          <w:lang w:eastAsia="bg-BG"/>
        </w:rPr>
      </w:pPr>
      <w:r w:rsidRPr="00CF2AB4">
        <w:rPr>
          <w:rFonts w:eastAsia="Times New Roman" w:cs="Arial"/>
          <w:i/>
          <w:iCs/>
          <w:color w:val="000000"/>
          <w:u w:val="single"/>
          <w:lang w:eastAsia="bg-BG"/>
        </w:rPr>
        <w:lastRenderedPageBreak/>
        <w:t>Механизъм на действие</w:t>
      </w:r>
    </w:p>
    <w:p w14:paraId="1AB06FBA"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Рамиприлат, активният метаболит на рамиприл, потиска активността на дипегггидилкарбоксипептидаза I (синоними: ангиотензин-конвертиращ ензим, кининаза II). В плазмата и тъканите този ензим катализира превръщането на ангиотензин I в активния ангиотензин II, който причинява вазоконстрикция и потиска разграждането на активния вазодилататор брадикинин. Пониженото образуване на ангиотензин II и потискането на разграждането на брадикинин води до вазодилатация.</w:t>
      </w:r>
    </w:p>
    <w:p w14:paraId="36FCB276" w14:textId="77777777" w:rsidR="00CF2AB4" w:rsidRDefault="00CF2AB4" w:rsidP="00CF2AB4">
      <w:pPr>
        <w:spacing w:line="240" w:lineRule="auto"/>
        <w:rPr>
          <w:rFonts w:eastAsia="Times New Roman" w:cs="Arial"/>
          <w:color w:val="000000"/>
          <w:lang w:eastAsia="bg-BG"/>
        </w:rPr>
      </w:pPr>
    </w:p>
    <w:p w14:paraId="7DBAF960" w14:textId="5CEACE64"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Тъй като ангиотензин II стимулира също и освобождаването на алдостерон, рамиприлат причинява понижена алдостеронова секреция. Средният отговор към монотерапията с АСЕ инхибитор е по-нисък при чернокожи (афро-карибска раса) пациенти с хипертония (обикновено популацията от хипертоници с нисък ренин) в сравнение с нечернокожи пациенти.</w:t>
      </w:r>
    </w:p>
    <w:p w14:paraId="07833874" w14:textId="77777777" w:rsidR="00CF2AB4" w:rsidRDefault="00CF2AB4" w:rsidP="00CF2AB4">
      <w:pPr>
        <w:spacing w:line="240" w:lineRule="auto"/>
        <w:rPr>
          <w:rFonts w:eastAsia="Times New Roman" w:cs="Arial"/>
          <w:i/>
          <w:iCs/>
          <w:color w:val="000000"/>
          <w:u w:val="single"/>
          <w:lang w:eastAsia="bg-BG"/>
        </w:rPr>
      </w:pPr>
    </w:p>
    <w:p w14:paraId="08FDCAAB" w14:textId="1757346F" w:rsidR="00CF2AB4" w:rsidRPr="00CF2AB4" w:rsidRDefault="00CF2AB4" w:rsidP="00CF2AB4">
      <w:pPr>
        <w:spacing w:line="240" w:lineRule="auto"/>
        <w:rPr>
          <w:rFonts w:eastAsia="Times New Roman" w:cs="Arial"/>
          <w:lang w:eastAsia="bg-BG"/>
        </w:rPr>
      </w:pPr>
      <w:r w:rsidRPr="00CF2AB4">
        <w:rPr>
          <w:rFonts w:eastAsia="Times New Roman" w:cs="Arial"/>
          <w:i/>
          <w:iCs/>
          <w:color w:val="000000"/>
          <w:u w:val="single"/>
          <w:lang w:eastAsia="bg-BG"/>
        </w:rPr>
        <w:t>Фармакодинамични ефекти</w:t>
      </w:r>
    </w:p>
    <w:p w14:paraId="0B54C017"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Антихипертензивни свойства:</w:t>
      </w:r>
    </w:p>
    <w:p w14:paraId="4D59EE26"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След приложение на рамиприл се наблюдава значителен спад в периферното артериално кръвно налягане. Най-общо няма значителна промяна в бъбречната перфузия и гломерулната филтрация. При пациенти с хипертония рамиприл понижава кръвното налягане при легнало и изправено положение без компенсаторно повишаване на сърдечния ритъм.</w:t>
      </w:r>
    </w:p>
    <w:p w14:paraId="0E11FFB3"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При повечето пациенти антихипертензивният ефект започва 1-2 часа след приложение на еднократна доза, максимален ефект се достига 3-6 часа след приема. Ефектът продължава 24 часа след еднократна доза.</w:t>
      </w:r>
    </w:p>
    <w:p w14:paraId="638B2BF9"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Максимален антихипертензивен ефект се достига след 3-4 седмици лечение. Антихипертензивният ефект се поддържа при продължителна терапия (2 години). Рязкото спиране на рамиприл не предизвиква бързо, скокообразно повишаване на кръвното налягане.</w:t>
      </w:r>
    </w:p>
    <w:p w14:paraId="7D88D5CC" w14:textId="77777777" w:rsidR="00CF2AB4" w:rsidRDefault="00CF2AB4" w:rsidP="00CF2AB4">
      <w:pPr>
        <w:spacing w:line="240" w:lineRule="auto"/>
        <w:rPr>
          <w:rFonts w:eastAsia="Times New Roman" w:cs="Arial"/>
          <w:color w:val="000000"/>
          <w:lang w:eastAsia="bg-BG"/>
        </w:rPr>
      </w:pPr>
    </w:p>
    <w:p w14:paraId="6D22E744" w14:textId="50198179"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Сърдечна недостатъчност:</w:t>
      </w:r>
    </w:p>
    <w:p w14:paraId="6F0F068C"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Като допълнителна терапия към конвенционалната терапия с диуретици и сърдечни гликозиди по избор, рамиприл показва ефективност при пациенти с функционален клас </w:t>
      </w:r>
      <w:r w:rsidRPr="00CF2AB4">
        <w:rPr>
          <w:rFonts w:eastAsia="Times New Roman" w:cs="Arial"/>
          <w:color w:val="000000"/>
          <w:lang w:val="en-US"/>
        </w:rPr>
        <w:t>II</w:t>
      </w:r>
      <w:r w:rsidRPr="00CF2AB4">
        <w:rPr>
          <w:rFonts w:eastAsia="Times New Roman" w:cs="Arial"/>
          <w:color w:val="000000"/>
          <w:lang w:eastAsia="bg-BG"/>
        </w:rPr>
        <w:t>-</w:t>
      </w:r>
      <w:r w:rsidRPr="00CF2AB4">
        <w:rPr>
          <w:rFonts w:eastAsia="Times New Roman" w:cs="Arial"/>
          <w:color w:val="000000"/>
          <w:lang w:val="en-US"/>
        </w:rPr>
        <w:t>IV</w:t>
      </w:r>
      <w:r w:rsidRPr="00CF2AB4">
        <w:rPr>
          <w:rFonts w:eastAsia="Times New Roman" w:cs="Arial"/>
          <w:color w:val="000000"/>
          <w:lang w:eastAsia="bg-BG"/>
        </w:rPr>
        <w:t xml:space="preserve"> по </w:t>
      </w:r>
      <w:r w:rsidRPr="00CF2AB4">
        <w:rPr>
          <w:rFonts w:eastAsia="Times New Roman" w:cs="Arial"/>
          <w:color w:val="000000"/>
          <w:lang w:val="en-US"/>
        </w:rPr>
        <w:t xml:space="preserve">NYHA. </w:t>
      </w:r>
      <w:r w:rsidRPr="00CF2AB4">
        <w:rPr>
          <w:rFonts w:eastAsia="Times New Roman" w:cs="Arial"/>
          <w:color w:val="000000"/>
          <w:lang w:eastAsia="bg-BG"/>
        </w:rPr>
        <w:t>Лекарството има благоприятни ефекти върху сърдечната хемодинамика (понижава лявото и дясното камерно налягане при напълване, понижава общата периферна съдова резистентност, повишава сърдечния дебит и подобрява сърдечния индекс). Рамиприл понижава също невро- ендокринното активиране.</w:t>
      </w:r>
    </w:p>
    <w:p w14:paraId="1F328E6B" w14:textId="77777777" w:rsidR="00CF2AB4" w:rsidRDefault="00CF2AB4" w:rsidP="00CF2AB4">
      <w:pPr>
        <w:spacing w:line="240" w:lineRule="auto"/>
        <w:rPr>
          <w:rFonts w:eastAsia="Times New Roman" w:cs="Arial"/>
          <w:i/>
          <w:iCs/>
          <w:color w:val="000000"/>
          <w:u w:val="single"/>
          <w:lang w:eastAsia="bg-BG"/>
        </w:rPr>
      </w:pPr>
    </w:p>
    <w:p w14:paraId="2E7B29F6" w14:textId="6F760F36" w:rsidR="00CF2AB4" w:rsidRPr="00CF2AB4" w:rsidRDefault="00CF2AB4" w:rsidP="00CF2AB4">
      <w:pPr>
        <w:spacing w:line="240" w:lineRule="auto"/>
        <w:rPr>
          <w:rFonts w:eastAsia="Times New Roman" w:cs="Arial"/>
          <w:lang w:eastAsia="bg-BG"/>
        </w:rPr>
      </w:pPr>
      <w:r w:rsidRPr="00CF2AB4">
        <w:rPr>
          <w:rFonts w:eastAsia="Times New Roman" w:cs="Arial"/>
          <w:i/>
          <w:iCs/>
          <w:color w:val="000000"/>
          <w:u w:val="single"/>
          <w:lang w:eastAsia="bg-BG"/>
        </w:rPr>
        <w:t>Клинична ефикасност и безопасност</w:t>
      </w:r>
    </w:p>
    <w:p w14:paraId="6F88D591" w14:textId="77777777" w:rsidR="00CF2AB4" w:rsidRDefault="00CF2AB4" w:rsidP="00CF2AB4">
      <w:pPr>
        <w:spacing w:line="240" w:lineRule="auto"/>
        <w:rPr>
          <w:rFonts w:eastAsia="Times New Roman" w:cs="Arial"/>
          <w:color w:val="000000"/>
          <w:u w:val="single"/>
          <w:lang w:eastAsia="bg-BG"/>
        </w:rPr>
      </w:pPr>
    </w:p>
    <w:p w14:paraId="46059B02" w14:textId="057EE0F5"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Сърдечно-съдова профилактика/нефропротекция:</w:t>
      </w:r>
    </w:p>
    <w:p w14:paraId="6748392C" w14:textId="77777777" w:rsidR="00CF2AB4" w:rsidRPr="00CF2AB4" w:rsidRDefault="00CF2AB4" w:rsidP="00CF2AB4">
      <w:pPr>
        <w:rPr>
          <w:rFonts w:eastAsia="Times New Roman" w:cs="Arial"/>
          <w:lang w:eastAsia="bg-BG"/>
        </w:rPr>
      </w:pPr>
      <w:r w:rsidRPr="00CF2AB4">
        <w:rPr>
          <w:rFonts w:eastAsia="Times New Roman" w:cs="Arial"/>
          <w:color w:val="000000"/>
          <w:lang w:eastAsia="bg-BG"/>
        </w:rPr>
        <w:t>Проведено е превантивно плацебо контролирано проучване (НОРЕ), при което рамиприл</w:t>
      </w:r>
      <w:r w:rsidRPr="00CF2AB4">
        <w:rPr>
          <w:rFonts w:eastAsia="Times New Roman" w:cs="Arial"/>
          <w:color w:val="000000"/>
          <w:lang w:val="en-US"/>
        </w:rPr>
        <w:t xml:space="preserve"> </w:t>
      </w:r>
      <w:r w:rsidRPr="00CF2AB4">
        <w:rPr>
          <w:rFonts w:eastAsia="Times New Roman" w:cs="Arial"/>
          <w:color w:val="000000"/>
          <w:lang w:eastAsia="bg-BG"/>
        </w:rPr>
        <w:t>е</w:t>
      </w:r>
      <w:r w:rsidRPr="00CF2AB4">
        <w:rPr>
          <w:rFonts w:eastAsia="Times New Roman" w:cs="Arial"/>
          <w:i/>
          <w:iCs/>
          <w:color w:val="000000"/>
          <w:lang w:eastAsia="bg-BG"/>
        </w:rPr>
        <w:t xml:space="preserve"> </w:t>
      </w:r>
      <w:r w:rsidRPr="00CF2AB4">
        <w:rPr>
          <w:rFonts w:eastAsia="Times New Roman" w:cs="Arial"/>
          <w:color w:val="000000"/>
          <w:lang w:eastAsia="bg-BG"/>
        </w:rPr>
        <w:t>добавен към стандартна терапия при повече от 9 200 пациенти. Пациентите с повишен риск от сърдечно-съдови заболявания след атеротромботични сърдечно-съдови инциденти (анамнеза за</w:t>
      </w:r>
      <w:r>
        <w:rPr>
          <w:rFonts w:eastAsia="Times New Roman" w:cs="Arial"/>
          <w:color w:val="000000"/>
          <w:lang w:val="en-US" w:eastAsia="bg-BG"/>
        </w:rPr>
        <w:t xml:space="preserve"> </w:t>
      </w:r>
      <w:r w:rsidRPr="00CF2AB4">
        <w:rPr>
          <w:rFonts w:eastAsia="Times New Roman" w:cs="Arial"/>
          <w:color w:val="000000"/>
          <w:lang w:eastAsia="bg-BG"/>
        </w:rPr>
        <w:t>коронарна болест на сърцето, инсулт или периферно-съдова болест) или захарен диабет с поне един допълнителен рисков фактор (потвърдена микроалбуминемия, хипертония, повишени нива на общия холестерол, понижени нива на липопротеините с висока плътност или тютюнопушене) са включени в проучването.</w:t>
      </w:r>
    </w:p>
    <w:p w14:paraId="439E53AD" w14:textId="77777777" w:rsidR="00CF2AB4" w:rsidRDefault="00CF2AB4" w:rsidP="00CF2AB4">
      <w:pPr>
        <w:spacing w:line="240" w:lineRule="auto"/>
        <w:rPr>
          <w:rFonts w:eastAsia="Times New Roman" w:cs="Arial"/>
          <w:color w:val="000000"/>
          <w:lang w:eastAsia="bg-BG"/>
        </w:rPr>
      </w:pPr>
    </w:p>
    <w:p w14:paraId="58C64D69" w14:textId="69141CB6"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lastRenderedPageBreak/>
        <w:t>Проучването показва, че рамиприл понижава статистически значимо честотата на миокарден инфаркт, сърдечно-съдова смърт и инсулт, самостоятелно или в комбинация (първично комбинирани събития).</w:t>
      </w:r>
    </w:p>
    <w:p w14:paraId="5440A072" w14:textId="77777777" w:rsidR="00CF2AB4" w:rsidRPr="00CF2AB4" w:rsidRDefault="00CF2AB4" w:rsidP="00CF2AB4">
      <w:pPr>
        <w:spacing w:line="240" w:lineRule="auto"/>
        <w:rPr>
          <w:rFonts w:eastAsia="Times New Roman" w:cs="Arial"/>
          <w:color w:val="000000"/>
          <w:lang w:eastAsia="bg-BG"/>
        </w:rPr>
      </w:pPr>
    </w:p>
    <w:p w14:paraId="4A949BB9" w14:textId="2BFCDA5B" w:rsidR="00CF2AB4" w:rsidRDefault="00CF2AB4" w:rsidP="00CF2AB4">
      <w:pPr>
        <w:spacing w:line="240" w:lineRule="auto"/>
        <w:rPr>
          <w:rFonts w:eastAsia="Times New Roman" w:cs="Arial"/>
          <w:color w:val="000000"/>
          <w:lang w:eastAsia="bg-BG"/>
        </w:rPr>
      </w:pPr>
      <w:r w:rsidRPr="00CF2AB4">
        <w:rPr>
          <w:rFonts w:eastAsia="Times New Roman" w:cs="Arial"/>
          <w:color w:val="000000"/>
          <w:lang w:eastAsia="bg-BG"/>
        </w:rPr>
        <w:t>Основни резултати от НОРЕ проучването:</w:t>
      </w:r>
    </w:p>
    <w:tbl>
      <w:tblPr>
        <w:tblStyle w:val="TableGrid"/>
        <w:tblW w:w="9635" w:type="dxa"/>
        <w:tblLook w:val="04A0" w:firstRow="1" w:lastRow="0" w:firstColumn="1" w:lastColumn="0" w:noHBand="0" w:noVBand="1"/>
      </w:tblPr>
      <w:tblGrid>
        <w:gridCol w:w="3301"/>
        <w:gridCol w:w="1769"/>
        <w:gridCol w:w="1129"/>
        <w:gridCol w:w="2131"/>
        <w:gridCol w:w="1305"/>
      </w:tblGrid>
      <w:tr w:rsidR="00CF2AB4" w14:paraId="7080A95E" w14:textId="77777777" w:rsidTr="00CF2AB4">
        <w:tc>
          <w:tcPr>
            <w:tcW w:w="3301" w:type="dxa"/>
            <w:vMerge w:val="restart"/>
          </w:tcPr>
          <w:p w14:paraId="653CB6AE" w14:textId="77777777" w:rsidR="00CF2AB4" w:rsidRDefault="00CF2AB4" w:rsidP="00CF2AB4">
            <w:pPr>
              <w:spacing w:line="240" w:lineRule="auto"/>
              <w:rPr>
                <w:rFonts w:eastAsia="Times New Roman" w:cs="Arial"/>
                <w:lang w:eastAsia="bg-BG"/>
              </w:rPr>
            </w:pPr>
          </w:p>
        </w:tc>
        <w:tc>
          <w:tcPr>
            <w:tcW w:w="1769" w:type="dxa"/>
          </w:tcPr>
          <w:p w14:paraId="65392845" w14:textId="7BADE80C" w:rsidR="00CF2AB4" w:rsidRDefault="00CF2AB4" w:rsidP="00CF2AB4">
            <w:pPr>
              <w:rPr>
                <w:rFonts w:eastAsia="Times New Roman" w:cs="Arial"/>
                <w:lang w:eastAsia="bg-BG"/>
              </w:rPr>
            </w:pPr>
            <w:r>
              <w:t>Рамиприл</w:t>
            </w:r>
          </w:p>
        </w:tc>
        <w:tc>
          <w:tcPr>
            <w:tcW w:w="1129" w:type="dxa"/>
          </w:tcPr>
          <w:p w14:paraId="5CCAD0F5" w14:textId="59AC20A0" w:rsidR="00CF2AB4" w:rsidRDefault="00CF2AB4" w:rsidP="00CF2AB4">
            <w:pPr>
              <w:rPr>
                <w:rFonts w:eastAsia="Times New Roman" w:cs="Arial"/>
                <w:lang w:eastAsia="bg-BG"/>
              </w:rPr>
            </w:pPr>
            <w:r>
              <w:t>Плацебо</w:t>
            </w:r>
          </w:p>
        </w:tc>
        <w:tc>
          <w:tcPr>
            <w:tcW w:w="2131" w:type="dxa"/>
          </w:tcPr>
          <w:p w14:paraId="6BBF2470" w14:textId="3B6C752A" w:rsidR="00CF2AB4" w:rsidRDefault="00CF2AB4" w:rsidP="00CF2AB4">
            <w:pPr>
              <w:rPr>
                <w:rFonts w:eastAsia="Times New Roman" w:cs="Arial"/>
                <w:lang w:eastAsia="bg-BG"/>
              </w:rPr>
            </w:pPr>
            <w:r>
              <w:t>Относителен риск (95% доверителен интервал)</w:t>
            </w:r>
          </w:p>
        </w:tc>
        <w:tc>
          <w:tcPr>
            <w:tcW w:w="1305" w:type="dxa"/>
          </w:tcPr>
          <w:p w14:paraId="1EE5C9EF" w14:textId="4AD79A55" w:rsidR="00CF2AB4" w:rsidRDefault="00CF2AB4" w:rsidP="00CF2AB4">
            <w:pPr>
              <w:rPr>
                <w:rFonts w:eastAsia="Times New Roman" w:cs="Arial"/>
                <w:lang w:eastAsia="bg-BG"/>
              </w:rPr>
            </w:pPr>
            <w:r>
              <w:t>р-стойност</w:t>
            </w:r>
          </w:p>
        </w:tc>
      </w:tr>
      <w:tr w:rsidR="00CF2AB4" w14:paraId="1CE2F19D" w14:textId="77777777" w:rsidTr="00CF2AB4">
        <w:tc>
          <w:tcPr>
            <w:tcW w:w="3301" w:type="dxa"/>
            <w:vMerge/>
          </w:tcPr>
          <w:p w14:paraId="12EE694C" w14:textId="77777777" w:rsidR="00CF2AB4" w:rsidRDefault="00CF2AB4" w:rsidP="00CF2AB4">
            <w:pPr>
              <w:spacing w:line="240" w:lineRule="auto"/>
              <w:rPr>
                <w:rFonts w:eastAsia="Times New Roman" w:cs="Arial"/>
                <w:lang w:eastAsia="bg-BG"/>
              </w:rPr>
            </w:pPr>
          </w:p>
        </w:tc>
        <w:tc>
          <w:tcPr>
            <w:tcW w:w="1769" w:type="dxa"/>
          </w:tcPr>
          <w:p w14:paraId="5F4A3CAF" w14:textId="4C48930F" w:rsidR="00CF2AB4" w:rsidRDefault="00CF2AB4" w:rsidP="00CF2AB4">
            <w:pPr>
              <w:rPr>
                <w:rFonts w:eastAsia="Times New Roman" w:cs="Arial"/>
                <w:lang w:eastAsia="bg-BG"/>
              </w:rPr>
            </w:pPr>
            <w:r>
              <w:t>%</w:t>
            </w:r>
          </w:p>
        </w:tc>
        <w:tc>
          <w:tcPr>
            <w:tcW w:w="1129" w:type="dxa"/>
          </w:tcPr>
          <w:p w14:paraId="3E06E8A1" w14:textId="173E7AAC" w:rsidR="00CF2AB4" w:rsidRDefault="00CF2AB4" w:rsidP="00CF2AB4">
            <w:pPr>
              <w:rPr>
                <w:rFonts w:eastAsia="Times New Roman" w:cs="Arial"/>
                <w:lang w:eastAsia="bg-BG"/>
              </w:rPr>
            </w:pPr>
            <w:r>
              <w:t>%</w:t>
            </w:r>
          </w:p>
        </w:tc>
        <w:tc>
          <w:tcPr>
            <w:tcW w:w="2131" w:type="dxa"/>
          </w:tcPr>
          <w:p w14:paraId="2A174746" w14:textId="77777777" w:rsidR="00CF2AB4" w:rsidRDefault="00CF2AB4" w:rsidP="00CF2AB4">
            <w:pPr>
              <w:rPr>
                <w:rFonts w:eastAsia="Times New Roman" w:cs="Arial"/>
                <w:lang w:eastAsia="bg-BG"/>
              </w:rPr>
            </w:pPr>
          </w:p>
        </w:tc>
        <w:tc>
          <w:tcPr>
            <w:tcW w:w="1305" w:type="dxa"/>
          </w:tcPr>
          <w:p w14:paraId="5A1619A7" w14:textId="77777777" w:rsidR="00CF2AB4" w:rsidRDefault="00CF2AB4" w:rsidP="00CF2AB4">
            <w:pPr>
              <w:rPr>
                <w:rFonts w:eastAsia="Times New Roman" w:cs="Arial"/>
                <w:lang w:eastAsia="bg-BG"/>
              </w:rPr>
            </w:pPr>
          </w:p>
        </w:tc>
      </w:tr>
      <w:tr w:rsidR="00CF2AB4" w14:paraId="09CC79C9" w14:textId="77777777" w:rsidTr="00CF2AB4">
        <w:tc>
          <w:tcPr>
            <w:tcW w:w="3301" w:type="dxa"/>
          </w:tcPr>
          <w:p w14:paraId="495BD4A0" w14:textId="1EBFBD89" w:rsidR="00CF2AB4" w:rsidRPr="00CF2AB4" w:rsidRDefault="00CF2AB4" w:rsidP="00CF2AB4">
            <w:pPr>
              <w:tabs>
                <w:tab w:val="left" w:pos="1372"/>
              </w:tabs>
              <w:spacing w:line="240" w:lineRule="auto"/>
              <w:rPr>
                <w:rFonts w:eastAsia="Times New Roman" w:cs="Arial"/>
                <w:lang w:eastAsia="bg-BG"/>
              </w:rPr>
            </w:pPr>
            <w:r w:rsidRPr="00CF2AB4">
              <w:rPr>
                <w:rFonts w:cs="Arial"/>
                <w:b/>
                <w:bCs/>
              </w:rPr>
              <w:t>Всички пациенти</w:t>
            </w:r>
          </w:p>
        </w:tc>
        <w:tc>
          <w:tcPr>
            <w:tcW w:w="1769" w:type="dxa"/>
          </w:tcPr>
          <w:p w14:paraId="62F8C7A1" w14:textId="3CD6E0E0" w:rsidR="00CF2AB4" w:rsidRPr="00CF2AB4" w:rsidRDefault="00CF2AB4" w:rsidP="00CF2AB4">
            <w:pPr>
              <w:tabs>
                <w:tab w:val="left" w:pos="1372"/>
              </w:tabs>
              <w:spacing w:line="240" w:lineRule="auto"/>
              <w:rPr>
                <w:rFonts w:eastAsia="Times New Roman" w:cs="Arial"/>
                <w:lang w:eastAsia="bg-BG"/>
              </w:rPr>
            </w:pPr>
            <w:r w:rsidRPr="00CF2AB4">
              <w:rPr>
                <w:rFonts w:cs="Arial"/>
                <w:b/>
                <w:bCs/>
                <w:lang w:val="en-US"/>
              </w:rPr>
              <w:t>n</w:t>
            </w:r>
            <w:r w:rsidRPr="00CF2AB4">
              <w:rPr>
                <w:rFonts w:cs="Arial"/>
                <w:b/>
                <w:bCs/>
              </w:rPr>
              <w:t>=4 645</w:t>
            </w:r>
          </w:p>
        </w:tc>
        <w:tc>
          <w:tcPr>
            <w:tcW w:w="1129" w:type="dxa"/>
          </w:tcPr>
          <w:p w14:paraId="7D0F4C98" w14:textId="1A7DBC61" w:rsidR="00CF2AB4" w:rsidRPr="00CF2AB4" w:rsidRDefault="00CF2AB4" w:rsidP="00CF2AB4">
            <w:pPr>
              <w:tabs>
                <w:tab w:val="left" w:pos="1372"/>
              </w:tabs>
              <w:spacing w:line="240" w:lineRule="auto"/>
              <w:rPr>
                <w:rFonts w:eastAsia="Times New Roman" w:cs="Arial"/>
                <w:lang w:eastAsia="bg-BG"/>
              </w:rPr>
            </w:pPr>
            <w:r w:rsidRPr="00CF2AB4">
              <w:rPr>
                <w:rFonts w:cs="Arial"/>
                <w:b/>
                <w:bCs/>
                <w:lang w:val="en-US"/>
              </w:rPr>
              <w:t xml:space="preserve">N=4 </w:t>
            </w:r>
            <w:r w:rsidRPr="00CF2AB4">
              <w:rPr>
                <w:rFonts w:cs="Arial"/>
                <w:b/>
                <w:bCs/>
              </w:rPr>
              <w:t>652</w:t>
            </w:r>
          </w:p>
        </w:tc>
        <w:tc>
          <w:tcPr>
            <w:tcW w:w="2131" w:type="dxa"/>
          </w:tcPr>
          <w:p w14:paraId="4EFA4CA4" w14:textId="77777777" w:rsidR="00CF2AB4" w:rsidRPr="00CF2AB4" w:rsidRDefault="00CF2AB4" w:rsidP="00CF2AB4">
            <w:pPr>
              <w:tabs>
                <w:tab w:val="left" w:pos="1372"/>
              </w:tabs>
              <w:spacing w:line="240" w:lineRule="auto"/>
              <w:rPr>
                <w:rFonts w:eastAsia="Times New Roman" w:cs="Arial"/>
                <w:lang w:eastAsia="bg-BG"/>
              </w:rPr>
            </w:pPr>
          </w:p>
        </w:tc>
        <w:tc>
          <w:tcPr>
            <w:tcW w:w="1305" w:type="dxa"/>
          </w:tcPr>
          <w:p w14:paraId="735B1F4B" w14:textId="77777777" w:rsidR="00CF2AB4" w:rsidRPr="00CF2AB4" w:rsidRDefault="00CF2AB4" w:rsidP="00CF2AB4">
            <w:pPr>
              <w:tabs>
                <w:tab w:val="left" w:pos="1372"/>
              </w:tabs>
              <w:spacing w:line="240" w:lineRule="auto"/>
              <w:rPr>
                <w:rFonts w:eastAsia="Times New Roman" w:cs="Arial"/>
                <w:lang w:eastAsia="bg-BG"/>
              </w:rPr>
            </w:pPr>
          </w:p>
        </w:tc>
      </w:tr>
      <w:tr w:rsidR="00CF2AB4" w14:paraId="6F7DBB8A" w14:textId="77777777" w:rsidTr="00CF2AB4">
        <w:tc>
          <w:tcPr>
            <w:tcW w:w="3301" w:type="dxa"/>
          </w:tcPr>
          <w:p w14:paraId="0468B91D" w14:textId="64B0A842" w:rsidR="00CF2AB4" w:rsidRPr="00CF2AB4" w:rsidRDefault="00CF2AB4" w:rsidP="00CF2AB4">
            <w:pPr>
              <w:tabs>
                <w:tab w:val="left" w:pos="1372"/>
              </w:tabs>
              <w:spacing w:line="240" w:lineRule="auto"/>
              <w:rPr>
                <w:rFonts w:eastAsia="Times New Roman" w:cs="Arial"/>
                <w:lang w:eastAsia="bg-BG"/>
              </w:rPr>
            </w:pPr>
            <w:r w:rsidRPr="00CF2AB4">
              <w:rPr>
                <w:rFonts w:cs="Arial"/>
                <w:b/>
                <w:bCs/>
              </w:rPr>
              <w:t>Първично комбинирани събития</w:t>
            </w:r>
          </w:p>
        </w:tc>
        <w:tc>
          <w:tcPr>
            <w:tcW w:w="1769" w:type="dxa"/>
          </w:tcPr>
          <w:p w14:paraId="40923DA4" w14:textId="6833CFB4" w:rsidR="00CF2AB4" w:rsidRPr="00CF2AB4" w:rsidRDefault="00CF2AB4" w:rsidP="00CF2AB4">
            <w:pPr>
              <w:tabs>
                <w:tab w:val="left" w:pos="1372"/>
              </w:tabs>
              <w:spacing w:line="240" w:lineRule="auto"/>
              <w:rPr>
                <w:rFonts w:eastAsia="Times New Roman" w:cs="Arial"/>
                <w:lang w:eastAsia="bg-BG"/>
              </w:rPr>
            </w:pPr>
            <w:r w:rsidRPr="00CF2AB4">
              <w:rPr>
                <w:rFonts w:cs="Arial"/>
                <w:b/>
                <w:bCs/>
              </w:rPr>
              <w:t>14,0</w:t>
            </w:r>
          </w:p>
        </w:tc>
        <w:tc>
          <w:tcPr>
            <w:tcW w:w="1129" w:type="dxa"/>
          </w:tcPr>
          <w:p w14:paraId="45538795" w14:textId="26B42387" w:rsidR="00CF2AB4" w:rsidRPr="00CF2AB4" w:rsidRDefault="00CF2AB4" w:rsidP="00CF2AB4">
            <w:pPr>
              <w:tabs>
                <w:tab w:val="left" w:pos="1372"/>
              </w:tabs>
              <w:spacing w:line="240" w:lineRule="auto"/>
              <w:rPr>
                <w:rFonts w:eastAsia="Times New Roman" w:cs="Arial"/>
                <w:lang w:eastAsia="bg-BG"/>
              </w:rPr>
            </w:pPr>
            <w:r w:rsidRPr="00CF2AB4">
              <w:rPr>
                <w:rFonts w:cs="Arial"/>
                <w:b/>
                <w:bCs/>
              </w:rPr>
              <w:t>17,8</w:t>
            </w:r>
          </w:p>
        </w:tc>
        <w:tc>
          <w:tcPr>
            <w:tcW w:w="2131" w:type="dxa"/>
          </w:tcPr>
          <w:p w14:paraId="30853227" w14:textId="67C3C489" w:rsidR="00CF2AB4" w:rsidRPr="00CF2AB4" w:rsidRDefault="00CF2AB4" w:rsidP="00CF2AB4">
            <w:pPr>
              <w:tabs>
                <w:tab w:val="left" w:pos="1372"/>
              </w:tabs>
              <w:spacing w:line="240" w:lineRule="auto"/>
              <w:rPr>
                <w:rFonts w:eastAsia="Times New Roman" w:cs="Arial"/>
                <w:lang w:eastAsia="bg-BG"/>
              </w:rPr>
            </w:pPr>
            <w:r w:rsidRPr="00CF2AB4">
              <w:rPr>
                <w:rFonts w:cs="Arial"/>
                <w:b/>
                <w:bCs/>
              </w:rPr>
              <w:t>0,78 (0,70-0,86)</w:t>
            </w:r>
          </w:p>
        </w:tc>
        <w:tc>
          <w:tcPr>
            <w:tcW w:w="1305" w:type="dxa"/>
          </w:tcPr>
          <w:p w14:paraId="00E1BF8A" w14:textId="5C57BB72" w:rsidR="00CF2AB4" w:rsidRPr="00CF2AB4" w:rsidRDefault="00CF2AB4" w:rsidP="00CF2AB4">
            <w:pPr>
              <w:tabs>
                <w:tab w:val="left" w:pos="1372"/>
              </w:tabs>
              <w:spacing w:line="240" w:lineRule="auto"/>
              <w:rPr>
                <w:rFonts w:eastAsia="Times New Roman" w:cs="Arial"/>
                <w:lang w:eastAsia="bg-BG"/>
              </w:rPr>
            </w:pPr>
            <w:r w:rsidRPr="00CF2AB4">
              <w:rPr>
                <w:rFonts w:cs="Arial"/>
                <w:b/>
                <w:bCs/>
              </w:rPr>
              <w:t>&lt;0,001</w:t>
            </w:r>
          </w:p>
        </w:tc>
      </w:tr>
      <w:tr w:rsidR="00CF2AB4" w14:paraId="0A798EFD" w14:textId="77777777" w:rsidTr="00CF2AB4">
        <w:tc>
          <w:tcPr>
            <w:tcW w:w="3301" w:type="dxa"/>
          </w:tcPr>
          <w:p w14:paraId="459095FE" w14:textId="2CBEF209" w:rsidR="00CF2AB4" w:rsidRPr="00CF2AB4" w:rsidRDefault="00CF2AB4" w:rsidP="00CF2AB4">
            <w:pPr>
              <w:tabs>
                <w:tab w:val="left" w:pos="1372"/>
              </w:tabs>
              <w:spacing w:line="240" w:lineRule="auto"/>
              <w:rPr>
                <w:rFonts w:eastAsia="Times New Roman" w:cs="Arial"/>
                <w:lang w:eastAsia="bg-BG"/>
              </w:rPr>
            </w:pPr>
            <w:r w:rsidRPr="00CF2AB4">
              <w:rPr>
                <w:rFonts w:cs="Arial"/>
              </w:rPr>
              <w:t>Миокарден инфаркт</w:t>
            </w:r>
          </w:p>
        </w:tc>
        <w:tc>
          <w:tcPr>
            <w:tcW w:w="1769" w:type="dxa"/>
          </w:tcPr>
          <w:p w14:paraId="56D71633" w14:textId="34581325" w:rsidR="00CF2AB4" w:rsidRPr="00CF2AB4" w:rsidRDefault="00CF2AB4" w:rsidP="00CF2AB4">
            <w:pPr>
              <w:tabs>
                <w:tab w:val="left" w:pos="1372"/>
              </w:tabs>
              <w:spacing w:line="240" w:lineRule="auto"/>
              <w:rPr>
                <w:rFonts w:eastAsia="Times New Roman" w:cs="Arial"/>
                <w:lang w:eastAsia="bg-BG"/>
              </w:rPr>
            </w:pPr>
            <w:r w:rsidRPr="00CF2AB4">
              <w:rPr>
                <w:rFonts w:cs="Arial"/>
              </w:rPr>
              <w:t>9,9</w:t>
            </w:r>
          </w:p>
        </w:tc>
        <w:tc>
          <w:tcPr>
            <w:tcW w:w="1129" w:type="dxa"/>
          </w:tcPr>
          <w:p w14:paraId="147B9612" w14:textId="31E33E0C" w:rsidR="00CF2AB4" w:rsidRPr="00CF2AB4" w:rsidRDefault="00CF2AB4" w:rsidP="00CF2AB4">
            <w:pPr>
              <w:tabs>
                <w:tab w:val="left" w:pos="1372"/>
              </w:tabs>
              <w:spacing w:line="240" w:lineRule="auto"/>
              <w:rPr>
                <w:rFonts w:eastAsia="Times New Roman" w:cs="Arial"/>
                <w:lang w:eastAsia="bg-BG"/>
              </w:rPr>
            </w:pPr>
            <w:r w:rsidRPr="00CF2AB4">
              <w:rPr>
                <w:rFonts w:cs="Arial"/>
              </w:rPr>
              <w:t>12,3</w:t>
            </w:r>
          </w:p>
        </w:tc>
        <w:tc>
          <w:tcPr>
            <w:tcW w:w="2131" w:type="dxa"/>
          </w:tcPr>
          <w:p w14:paraId="6438E776" w14:textId="75D01066" w:rsidR="00CF2AB4" w:rsidRPr="00CF2AB4" w:rsidRDefault="00CF2AB4" w:rsidP="00CF2AB4">
            <w:pPr>
              <w:tabs>
                <w:tab w:val="left" w:pos="1372"/>
              </w:tabs>
              <w:spacing w:line="240" w:lineRule="auto"/>
              <w:rPr>
                <w:rFonts w:eastAsia="Times New Roman" w:cs="Arial"/>
                <w:lang w:eastAsia="bg-BG"/>
              </w:rPr>
            </w:pPr>
            <w:r w:rsidRPr="00CF2AB4">
              <w:rPr>
                <w:rFonts w:cs="Arial"/>
              </w:rPr>
              <w:t>0,80 (0,70-0,90)</w:t>
            </w:r>
          </w:p>
        </w:tc>
        <w:tc>
          <w:tcPr>
            <w:tcW w:w="1305" w:type="dxa"/>
          </w:tcPr>
          <w:p w14:paraId="7614792C" w14:textId="4A12022E" w:rsidR="00CF2AB4" w:rsidRPr="00CF2AB4" w:rsidRDefault="00CF2AB4" w:rsidP="00CF2AB4">
            <w:pPr>
              <w:tabs>
                <w:tab w:val="left" w:pos="1372"/>
              </w:tabs>
              <w:spacing w:line="240" w:lineRule="auto"/>
              <w:rPr>
                <w:rFonts w:eastAsia="Times New Roman" w:cs="Arial"/>
                <w:lang w:eastAsia="bg-BG"/>
              </w:rPr>
            </w:pPr>
            <w:r w:rsidRPr="00CF2AB4">
              <w:rPr>
                <w:rFonts w:cs="Arial"/>
              </w:rPr>
              <w:t>&lt;0,001</w:t>
            </w:r>
          </w:p>
        </w:tc>
      </w:tr>
      <w:tr w:rsidR="00CF2AB4" w14:paraId="6749B906" w14:textId="77777777" w:rsidTr="00CF2AB4">
        <w:tc>
          <w:tcPr>
            <w:tcW w:w="3301" w:type="dxa"/>
          </w:tcPr>
          <w:p w14:paraId="746F3914" w14:textId="2FEA728F" w:rsidR="00CF2AB4" w:rsidRPr="00CF2AB4" w:rsidRDefault="00CF2AB4" w:rsidP="00CF2AB4">
            <w:pPr>
              <w:tabs>
                <w:tab w:val="left" w:pos="1372"/>
              </w:tabs>
              <w:spacing w:line="240" w:lineRule="auto"/>
              <w:rPr>
                <w:rFonts w:eastAsia="Times New Roman" w:cs="Arial"/>
                <w:lang w:eastAsia="bg-BG"/>
              </w:rPr>
            </w:pPr>
            <w:r w:rsidRPr="00CF2AB4">
              <w:rPr>
                <w:rFonts w:cs="Arial"/>
              </w:rPr>
              <w:t>Сърдечно-съдова смърт</w:t>
            </w:r>
          </w:p>
        </w:tc>
        <w:tc>
          <w:tcPr>
            <w:tcW w:w="1769" w:type="dxa"/>
          </w:tcPr>
          <w:p w14:paraId="69EDA4CE" w14:textId="5039953D" w:rsidR="00CF2AB4" w:rsidRPr="00CF2AB4" w:rsidRDefault="00CF2AB4" w:rsidP="00CF2AB4">
            <w:pPr>
              <w:tabs>
                <w:tab w:val="left" w:pos="1372"/>
              </w:tabs>
              <w:spacing w:line="240" w:lineRule="auto"/>
              <w:rPr>
                <w:rFonts w:eastAsia="Times New Roman" w:cs="Arial"/>
                <w:lang w:eastAsia="bg-BG"/>
              </w:rPr>
            </w:pPr>
            <w:r w:rsidRPr="00CF2AB4">
              <w:rPr>
                <w:rFonts w:cs="Arial"/>
              </w:rPr>
              <w:t>6,1</w:t>
            </w:r>
          </w:p>
        </w:tc>
        <w:tc>
          <w:tcPr>
            <w:tcW w:w="1129" w:type="dxa"/>
          </w:tcPr>
          <w:p w14:paraId="5CD86C71" w14:textId="4C1F3554" w:rsidR="00CF2AB4" w:rsidRPr="00CF2AB4" w:rsidRDefault="00CF2AB4" w:rsidP="00CF2AB4">
            <w:pPr>
              <w:tabs>
                <w:tab w:val="left" w:pos="1372"/>
              </w:tabs>
              <w:spacing w:line="240" w:lineRule="auto"/>
              <w:rPr>
                <w:rFonts w:eastAsia="Times New Roman" w:cs="Arial"/>
                <w:lang w:eastAsia="bg-BG"/>
              </w:rPr>
            </w:pPr>
            <w:r w:rsidRPr="00CF2AB4">
              <w:rPr>
                <w:rFonts w:cs="Arial"/>
              </w:rPr>
              <w:t>8,1</w:t>
            </w:r>
          </w:p>
        </w:tc>
        <w:tc>
          <w:tcPr>
            <w:tcW w:w="2131" w:type="dxa"/>
          </w:tcPr>
          <w:p w14:paraId="75C523AF" w14:textId="644DAE21" w:rsidR="00CF2AB4" w:rsidRPr="00CF2AB4" w:rsidRDefault="00CF2AB4" w:rsidP="00CF2AB4">
            <w:pPr>
              <w:tabs>
                <w:tab w:val="left" w:pos="1372"/>
              </w:tabs>
              <w:spacing w:line="240" w:lineRule="auto"/>
              <w:rPr>
                <w:rFonts w:eastAsia="Times New Roman" w:cs="Arial"/>
                <w:lang w:eastAsia="bg-BG"/>
              </w:rPr>
            </w:pPr>
            <w:r w:rsidRPr="00CF2AB4">
              <w:rPr>
                <w:rFonts w:cs="Arial"/>
              </w:rPr>
              <w:t>0,74 (0,64-0,87)</w:t>
            </w:r>
          </w:p>
        </w:tc>
        <w:tc>
          <w:tcPr>
            <w:tcW w:w="1305" w:type="dxa"/>
          </w:tcPr>
          <w:p w14:paraId="26F6DB59" w14:textId="131E274B" w:rsidR="00CF2AB4" w:rsidRPr="00CF2AB4" w:rsidRDefault="00CF2AB4" w:rsidP="00CF2AB4">
            <w:pPr>
              <w:tabs>
                <w:tab w:val="left" w:pos="1372"/>
              </w:tabs>
              <w:spacing w:line="240" w:lineRule="auto"/>
              <w:rPr>
                <w:rFonts w:eastAsia="Times New Roman" w:cs="Arial"/>
                <w:lang w:eastAsia="bg-BG"/>
              </w:rPr>
            </w:pPr>
            <w:r w:rsidRPr="00CF2AB4">
              <w:rPr>
                <w:rFonts w:cs="Arial"/>
              </w:rPr>
              <w:t>&lt;0,001</w:t>
            </w:r>
          </w:p>
        </w:tc>
      </w:tr>
      <w:tr w:rsidR="00CF2AB4" w14:paraId="2290E6E1" w14:textId="77777777" w:rsidTr="00CF2AB4">
        <w:tc>
          <w:tcPr>
            <w:tcW w:w="3301" w:type="dxa"/>
          </w:tcPr>
          <w:p w14:paraId="124C1744" w14:textId="06D63307" w:rsidR="00CF2AB4" w:rsidRPr="00CF2AB4" w:rsidRDefault="00CF2AB4" w:rsidP="00CF2AB4">
            <w:pPr>
              <w:tabs>
                <w:tab w:val="left" w:pos="1372"/>
              </w:tabs>
              <w:spacing w:line="240" w:lineRule="auto"/>
              <w:rPr>
                <w:rFonts w:eastAsia="Times New Roman" w:cs="Arial"/>
                <w:lang w:eastAsia="bg-BG"/>
              </w:rPr>
            </w:pPr>
            <w:r w:rsidRPr="00CF2AB4">
              <w:rPr>
                <w:rFonts w:cs="Arial"/>
              </w:rPr>
              <w:t>Инсулт</w:t>
            </w:r>
          </w:p>
        </w:tc>
        <w:tc>
          <w:tcPr>
            <w:tcW w:w="1769" w:type="dxa"/>
          </w:tcPr>
          <w:p w14:paraId="0C253764" w14:textId="627051A8" w:rsidR="00CF2AB4" w:rsidRPr="00CF2AB4" w:rsidRDefault="00CF2AB4" w:rsidP="00CF2AB4">
            <w:pPr>
              <w:tabs>
                <w:tab w:val="left" w:pos="1372"/>
              </w:tabs>
              <w:spacing w:line="240" w:lineRule="auto"/>
              <w:rPr>
                <w:rFonts w:eastAsia="Times New Roman" w:cs="Arial"/>
                <w:lang w:eastAsia="bg-BG"/>
              </w:rPr>
            </w:pPr>
            <w:r w:rsidRPr="00CF2AB4">
              <w:rPr>
                <w:rFonts w:cs="Arial"/>
              </w:rPr>
              <w:t>3,4</w:t>
            </w:r>
          </w:p>
        </w:tc>
        <w:tc>
          <w:tcPr>
            <w:tcW w:w="1129" w:type="dxa"/>
          </w:tcPr>
          <w:p w14:paraId="0ACAA6D6" w14:textId="09F98A21" w:rsidR="00CF2AB4" w:rsidRPr="00CF2AB4" w:rsidRDefault="00CF2AB4" w:rsidP="00CF2AB4">
            <w:pPr>
              <w:tabs>
                <w:tab w:val="left" w:pos="1372"/>
              </w:tabs>
              <w:spacing w:line="240" w:lineRule="auto"/>
              <w:rPr>
                <w:rFonts w:eastAsia="Times New Roman" w:cs="Arial"/>
                <w:lang w:eastAsia="bg-BG"/>
              </w:rPr>
            </w:pPr>
            <w:r w:rsidRPr="00CF2AB4">
              <w:rPr>
                <w:rFonts w:cs="Arial"/>
              </w:rPr>
              <w:t>4,9</w:t>
            </w:r>
          </w:p>
        </w:tc>
        <w:tc>
          <w:tcPr>
            <w:tcW w:w="2131" w:type="dxa"/>
          </w:tcPr>
          <w:p w14:paraId="1B6F195D" w14:textId="4534BD46" w:rsidR="00CF2AB4" w:rsidRPr="00CF2AB4" w:rsidRDefault="00CF2AB4" w:rsidP="00CF2AB4">
            <w:pPr>
              <w:tabs>
                <w:tab w:val="left" w:pos="1372"/>
              </w:tabs>
              <w:spacing w:line="240" w:lineRule="auto"/>
              <w:rPr>
                <w:rFonts w:eastAsia="Times New Roman" w:cs="Arial"/>
                <w:lang w:eastAsia="bg-BG"/>
              </w:rPr>
            </w:pPr>
            <w:r w:rsidRPr="00CF2AB4">
              <w:rPr>
                <w:rFonts w:cs="Arial"/>
              </w:rPr>
              <w:t>0,68 (0,56-0,84)</w:t>
            </w:r>
          </w:p>
        </w:tc>
        <w:tc>
          <w:tcPr>
            <w:tcW w:w="1305" w:type="dxa"/>
          </w:tcPr>
          <w:p w14:paraId="102CD26A" w14:textId="134E037E" w:rsidR="00CF2AB4" w:rsidRPr="00CF2AB4" w:rsidRDefault="00CF2AB4" w:rsidP="00CF2AB4">
            <w:pPr>
              <w:tabs>
                <w:tab w:val="left" w:pos="1372"/>
              </w:tabs>
              <w:spacing w:line="240" w:lineRule="auto"/>
              <w:rPr>
                <w:rFonts w:eastAsia="Times New Roman" w:cs="Arial"/>
                <w:lang w:eastAsia="bg-BG"/>
              </w:rPr>
            </w:pPr>
            <w:r w:rsidRPr="00CF2AB4">
              <w:rPr>
                <w:rFonts w:cs="Arial"/>
              </w:rPr>
              <w:t>&lt;0,001</w:t>
            </w:r>
          </w:p>
        </w:tc>
      </w:tr>
      <w:tr w:rsidR="00CF2AB4" w14:paraId="2B56B611" w14:textId="77777777" w:rsidTr="00CF2AB4">
        <w:tc>
          <w:tcPr>
            <w:tcW w:w="3301" w:type="dxa"/>
          </w:tcPr>
          <w:p w14:paraId="2BF60C53" w14:textId="32E8C32E" w:rsidR="00CF2AB4" w:rsidRPr="00CF2AB4" w:rsidRDefault="00CF2AB4" w:rsidP="00CF2AB4">
            <w:pPr>
              <w:tabs>
                <w:tab w:val="left" w:pos="1372"/>
              </w:tabs>
              <w:spacing w:line="240" w:lineRule="auto"/>
              <w:rPr>
                <w:rFonts w:eastAsia="Times New Roman" w:cs="Arial"/>
                <w:lang w:eastAsia="bg-BG"/>
              </w:rPr>
            </w:pPr>
            <w:r w:rsidRPr="00CF2AB4">
              <w:rPr>
                <w:rFonts w:cs="Arial"/>
                <w:b/>
                <w:bCs/>
              </w:rPr>
              <w:t>Вторични крайни точки</w:t>
            </w:r>
          </w:p>
        </w:tc>
        <w:tc>
          <w:tcPr>
            <w:tcW w:w="1769" w:type="dxa"/>
          </w:tcPr>
          <w:p w14:paraId="194383AD" w14:textId="77777777" w:rsidR="00CF2AB4" w:rsidRPr="00CF2AB4" w:rsidRDefault="00CF2AB4" w:rsidP="00CF2AB4">
            <w:pPr>
              <w:tabs>
                <w:tab w:val="left" w:pos="1372"/>
              </w:tabs>
              <w:spacing w:line="240" w:lineRule="auto"/>
              <w:rPr>
                <w:rFonts w:eastAsia="Times New Roman" w:cs="Arial"/>
                <w:lang w:eastAsia="bg-BG"/>
              </w:rPr>
            </w:pPr>
          </w:p>
        </w:tc>
        <w:tc>
          <w:tcPr>
            <w:tcW w:w="1129" w:type="dxa"/>
          </w:tcPr>
          <w:p w14:paraId="4E1F4E2D" w14:textId="77777777" w:rsidR="00CF2AB4" w:rsidRPr="00CF2AB4" w:rsidRDefault="00CF2AB4" w:rsidP="00CF2AB4">
            <w:pPr>
              <w:tabs>
                <w:tab w:val="left" w:pos="1372"/>
              </w:tabs>
              <w:spacing w:line="240" w:lineRule="auto"/>
              <w:rPr>
                <w:rFonts w:eastAsia="Times New Roman" w:cs="Arial"/>
                <w:lang w:eastAsia="bg-BG"/>
              </w:rPr>
            </w:pPr>
          </w:p>
        </w:tc>
        <w:tc>
          <w:tcPr>
            <w:tcW w:w="2131" w:type="dxa"/>
          </w:tcPr>
          <w:p w14:paraId="2206F562" w14:textId="77777777" w:rsidR="00CF2AB4" w:rsidRPr="00CF2AB4" w:rsidRDefault="00CF2AB4" w:rsidP="00CF2AB4">
            <w:pPr>
              <w:tabs>
                <w:tab w:val="left" w:pos="1372"/>
              </w:tabs>
              <w:spacing w:line="240" w:lineRule="auto"/>
              <w:rPr>
                <w:rFonts w:eastAsia="Times New Roman" w:cs="Arial"/>
                <w:lang w:eastAsia="bg-BG"/>
              </w:rPr>
            </w:pPr>
          </w:p>
        </w:tc>
        <w:tc>
          <w:tcPr>
            <w:tcW w:w="1305" w:type="dxa"/>
          </w:tcPr>
          <w:p w14:paraId="00006CB3" w14:textId="77777777" w:rsidR="00CF2AB4" w:rsidRPr="00CF2AB4" w:rsidRDefault="00CF2AB4" w:rsidP="00CF2AB4">
            <w:pPr>
              <w:tabs>
                <w:tab w:val="left" w:pos="1372"/>
              </w:tabs>
              <w:spacing w:line="240" w:lineRule="auto"/>
              <w:rPr>
                <w:rFonts w:eastAsia="Times New Roman" w:cs="Arial"/>
                <w:lang w:eastAsia="bg-BG"/>
              </w:rPr>
            </w:pPr>
          </w:p>
        </w:tc>
      </w:tr>
      <w:tr w:rsidR="00CF2AB4" w14:paraId="3280091A" w14:textId="77777777" w:rsidTr="00CF2AB4">
        <w:tc>
          <w:tcPr>
            <w:tcW w:w="3301" w:type="dxa"/>
          </w:tcPr>
          <w:p w14:paraId="38937601" w14:textId="26947D5A" w:rsidR="00CF2AB4" w:rsidRPr="00CF2AB4" w:rsidRDefault="00CF2AB4" w:rsidP="00CF2AB4">
            <w:pPr>
              <w:tabs>
                <w:tab w:val="left" w:pos="1372"/>
              </w:tabs>
              <w:spacing w:line="240" w:lineRule="auto"/>
              <w:rPr>
                <w:rFonts w:eastAsia="Times New Roman" w:cs="Arial"/>
                <w:lang w:eastAsia="bg-BG"/>
              </w:rPr>
            </w:pPr>
            <w:r w:rsidRPr="00CF2AB4">
              <w:rPr>
                <w:rFonts w:cs="Arial"/>
              </w:rPr>
              <w:t>Смърт по всякаква причина</w:t>
            </w:r>
          </w:p>
        </w:tc>
        <w:tc>
          <w:tcPr>
            <w:tcW w:w="1769" w:type="dxa"/>
          </w:tcPr>
          <w:p w14:paraId="0C22E519" w14:textId="29999DAB" w:rsidR="00CF2AB4" w:rsidRPr="00CF2AB4" w:rsidRDefault="00CF2AB4" w:rsidP="00CF2AB4">
            <w:pPr>
              <w:tabs>
                <w:tab w:val="left" w:pos="1372"/>
              </w:tabs>
              <w:spacing w:line="240" w:lineRule="auto"/>
              <w:rPr>
                <w:rFonts w:eastAsia="Times New Roman" w:cs="Arial"/>
                <w:lang w:eastAsia="bg-BG"/>
              </w:rPr>
            </w:pPr>
            <w:r w:rsidRPr="00CF2AB4">
              <w:rPr>
                <w:rFonts w:cs="Arial"/>
              </w:rPr>
              <w:t>10,4</w:t>
            </w:r>
          </w:p>
        </w:tc>
        <w:tc>
          <w:tcPr>
            <w:tcW w:w="1129" w:type="dxa"/>
          </w:tcPr>
          <w:p w14:paraId="31BBB6AA" w14:textId="054276E7" w:rsidR="00CF2AB4" w:rsidRPr="00CF2AB4" w:rsidRDefault="00CF2AB4" w:rsidP="00CF2AB4">
            <w:pPr>
              <w:tabs>
                <w:tab w:val="left" w:pos="1372"/>
              </w:tabs>
              <w:spacing w:line="240" w:lineRule="auto"/>
              <w:rPr>
                <w:rFonts w:eastAsia="Times New Roman" w:cs="Arial"/>
                <w:lang w:eastAsia="bg-BG"/>
              </w:rPr>
            </w:pPr>
            <w:r w:rsidRPr="00CF2AB4">
              <w:rPr>
                <w:rFonts w:cs="Arial"/>
              </w:rPr>
              <w:t>12,2</w:t>
            </w:r>
          </w:p>
        </w:tc>
        <w:tc>
          <w:tcPr>
            <w:tcW w:w="2131" w:type="dxa"/>
          </w:tcPr>
          <w:p w14:paraId="095B75A6" w14:textId="61D81DDC" w:rsidR="00CF2AB4" w:rsidRPr="00CF2AB4" w:rsidRDefault="00CF2AB4" w:rsidP="00CF2AB4">
            <w:pPr>
              <w:tabs>
                <w:tab w:val="left" w:pos="1372"/>
              </w:tabs>
              <w:spacing w:line="240" w:lineRule="auto"/>
              <w:rPr>
                <w:rFonts w:eastAsia="Times New Roman" w:cs="Arial"/>
                <w:lang w:eastAsia="bg-BG"/>
              </w:rPr>
            </w:pPr>
            <w:r w:rsidRPr="00CF2AB4">
              <w:rPr>
                <w:rFonts w:cs="Arial"/>
              </w:rPr>
              <w:t>0,84 (0,75-0,95)</w:t>
            </w:r>
          </w:p>
        </w:tc>
        <w:tc>
          <w:tcPr>
            <w:tcW w:w="1305" w:type="dxa"/>
          </w:tcPr>
          <w:p w14:paraId="14BD0546" w14:textId="3AFE65A0" w:rsidR="00CF2AB4" w:rsidRPr="00CF2AB4" w:rsidRDefault="00CF2AB4" w:rsidP="00CF2AB4">
            <w:pPr>
              <w:tabs>
                <w:tab w:val="left" w:pos="1372"/>
              </w:tabs>
              <w:spacing w:line="240" w:lineRule="auto"/>
              <w:rPr>
                <w:rFonts w:eastAsia="Times New Roman" w:cs="Arial"/>
                <w:lang w:eastAsia="bg-BG"/>
              </w:rPr>
            </w:pPr>
            <w:r w:rsidRPr="00CF2AB4">
              <w:rPr>
                <w:rFonts w:cs="Arial"/>
              </w:rPr>
              <w:t>0,005</w:t>
            </w:r>
          </w:p>
        </w:tc>
      </w:tr>
      <w:tr w:rsidR="00CF2AB4" w14:paraId="247C2DF0" w14:textId="77777777" w:rsidTr="00CF2AB4">
        <w:tc>
          <w:tcPr>
            <w:tcW w:w="3301" w:type="dxa"/>
          </w:tcPr>
          <w:p w14:paraId="74E9E689" w14:textId="4C8D89C2" w:rsidR="00CF2AB4" w:rsidRPr="00CF2AB4" w:rsidRDefault="00CF2AB4" w:rsidP="00CF2AB4">
            <w:pPr>
              <w:tabs>
                <w:tab w:val="left" w:pos="1372"/>
              </w:tabs>
              <w:spacing w:line="240" w:lineRule="auto"/>
              <w:rPr>
                <w:rFonts w:eastAsia="Times New Roman" w:cs="Arial"/>
                <w:lang w:eastAsia="bg-BG"/>
              </w:rPr>
            </w:pPr>
            <w:r w:rsidRPr="00CF2AB4">
              <w:rPr>
                <w:rFonts w:cs="Arial"/>
              </w:rPr>
              <w:t>Необходимост от реваскуларизация</w:t>
            </w:r>
          </w:p>
        </w:tc>
        <w:tc>
          <w:tcPr>
            <w:tcW w:w="1769" w:type="dxa"/>
          </w:tcPr>
          <w:p w14:paraId="4C3E0989" w14:textId="6CEAC11F" w:rsidR="00CF2AB4" w:rsidRPr="00CF2AB4" w:rsidRDefault="00CF2AB4" w:rsidP="00CF2AB4">
            <w:pPr>
              <w:tabs>
                <w:tab w:val="left" w:pos="1372"/>
              </w:tabs>
              <w:spacing w:line="240" w:lineRule="auto"/>
              <w:rPr>
                <w:rFonts w:eastAsia="Times New Roman" w:cs="Arial"/>
                <w:lang w:eastAsia="bg-BG"/>
              </w:rPr>
            </w:pPr>
            <w:r w:rsidRPr="00CF2AB4">
              <w:rPr>
                <w:rFonts w:cs="Arial"/>
              </w:rPr>
              <w:t>16,0</w:t>
            </w:r>
          </w:p>
        </w:tc>
        <w:tc>
          <w:tcPr>
            <w:tcW w:w="1129" w:type="dxa"/>
          </w:tcPr>
          <w:p w14:paraId="030098AD" w14:textId="04FFC6D0" w:rsidR="00CF2AB4" w:rsidRPr="00CF2AB4" w:rsidRDefault="00CF2AB4" w:rsidP="00CF2AB4">
            <w:pPr>
              <w:tabs>
                <w:tab w:val="left" w:pos="1372"/>
              </w:tabs>
              <w:spacing w:line="240" w:lineRule="auto"/>
              <w:rPr>
                <w:rFonts w:eastAsia="Times New Roman" w:cs="Arial"/>
                <w:lang w:eastAsia="bg-BG"/>
              </w:rPr>
            </w:pPr>
            <w:r w:rsidRPr="00CF2AB4">
              <w:rPr>
                <w:rFonts w:cs="Arial"/>
              </w:rPr>
              <w:t>18,3</w:t>
            </w:r>
          </w:p>
        </w:tc>
        <w:tc>
          <w:tcPr>
            <w:tcW w:w="2131" w:type="dxa"/>
          </w:tcPr>
          <w:p w14:paraId="48EDD866" w14:textId="637AD979" w:rsidR="00CF2AB4" w:rsidRPr="00CF2AB4" w:rsidRDefault="00CF2AB4" w:rsidP="00CF2AB4">
            <w:pPr>
              <w:tabs>
                <w:tab w:val="left" w:pos="1372"/>
              </w:tabs>
              <w:spacing w:line="240" w:lineRule="auto"/>
              <w:rPr>
                <w:rFonts w:eastAsia="Times New Roman" w:cs="Arial"/>
                <w:lang w:eastAsia="bg-BG"/>
              </w:rPr>
            </w:pPr>
            <w:r w:rsidRPr="00CF2AB4">
              <w:rPr>
                <w:rFonts w:cs="Arial"/>
              </w:rPr>
              <w:t>0,85 (0,77-0,94)</w:t>
            </w:r>
          </w:p>
        </w:tc>
        <w:tc>
          <w:tcPr>
            <w:tcW w:w="1305" w:type="dxa"/>
          </w:tcPr>
          <w:p w14:paraId="679399B2" w14:textId="7AF5F4D5" w:rsidR="00CF2AB4" w:rsidRPr="00CF2AB4" w:rsidRDefault="00CF2AB4" w:rsidP="00CF2AB4">
            <w:pPr>
              <w:tabs>
                <w:tab w:val="left" w:pos="1372"/>
              </w:tabs>
              <w:spacing w:line="240" w:lineRule="auto"/>
              <w:rPr>
                <w:rFonts w:eastAsia="Times New Roman" w:cs="Arial"/>
                <w:lang w:eastAsia="bg-BG"/>
              </w:rPr>
            </w:pPr>
            <w:r w:rsidRPr="00CF2AB4">
              <w:rPr>
                <w:rFonts w:cs="Arial"/>
              </w:rPr>
              <w:t>0,002</w:t>
            </w:r>
          </w:p>
        </w:tc>
      </w:tr>
      <w:tr w:rsidR="00CF2AB4" w14:paraId="6E402DD6" w14:textId="77777777" w:rsidTr="00CF2AB4">
        <w:tc>
          <w:tcPr>
            <w:tcW w:w="3301" w:type="dxa"/>
          </w:tcPr>
          <w:p w14:paraId="4AFB15B8" w14:textId="48BE9593" w:rsidR="00CF2AB4" w:rsidRPr="00CF2AB4" w:rsidRDefault="00CF2AB4" w:rsidP="00CF2AB4">
            <w:pPr>
              <w:tabs>
                <w:tab w:val="left" w:pos="1372"/>
              </w:tabs>
              <w:spacing w:line="240" w:lineRule="auto"/>
              <w:rPr>
                <w:rFonts w:eastAsia="Times New Roman" w:cs="Arial"/>
                <w:lang w:eastAsia="bg-BG"/>
              </w:rPr>
            </w:pPr>
            <w:r w:rsidRPr="00CF2AB4">
              <w:rPr>
                <w:rFonts w:cs="Arial"/>
              </w:rPr>
              <w:t>Хоспитализация поради нестабилна ангина</w:t>
            </w:r>
          </w:p>
        </w:tc>
        <w:tc>
          <w:tcPr>
            <w:tcW w:w="1769" w:type="dxa"/>
          </w:tcPr>
          <w:p w14:paraId="1D7D2344" w14:textId="527D0E87" w:rsidR="00CF2AB4" w:rsidRPr="00CF2AB4" w:rsidRDefault="00CF2AB4" w:rsidP="00CF2AB4">
            <w:pPr>
              <w:tabs>
                <w:tab w:val="left" w:pos="1372"/>
              </w:tabs>
              <w:spacing w:line="240" w:lineRule="auto"/>
              <w:rPr>
                <w:rFonts w:eastAsia="Times New Roman" w:cs="Arial"/>
                <w:lang w:eastAsia="bg-BG"/>
              </w:rPr>
            </w:pPr>
            <w:r w:rsidRPr="00CF2AB4">
              <w:rPr>
                <w:rFonts w:cs="Arial"/>
              </w:rPr>
              <w:t>12,1</w:t>
            </w:r>
          </w:p>
        </w:tc>
        <w:tc>
          <w:tcPr>
            <w:tcW w:w="1129" w:type="dxa"/>
          </w:tcPr>
          <w:p w14:paraId="64BE9F00" w14:textId="22A340FD" w:rsidR="00CF2AB4" w:rsidRPr="00CF2AB4" w:rsidRDefault="00CF2AB4" w:rsidP="00CF2AB4">
            <w:pPr>
              <w:tabs>
                <w:tab w:val="left" w:pos="1372"/>
              </w:tabs>
              <w:spacing w:line="240" w:lineRule="auto"/>
              <w:rPr>
                <w:rFonts w:eastAsia="Times New Roman" w:cs="Arial"/>
                <w:lang w:eastAsia="bg-BG"/>
              </w:rPr>
            </w:pPr>
            <w:r w:rsidRPr="00CF2AB4">
              <w:rPr>
                <w:rFonts w:cs="Arial"/>
              </w:rPr>
              <w:t>12,3</w:t>
            </w:r>
          </w:p>
        </w:tc>
        <w:tc>
          <w:tcPr>
            <w:tcW w:w="2131" w:type="dxa"/>
          </w:tcPr>
          <w:p w14:paraId="7FE69EC9" w14:textId="6C00EB9F" w:rsidR="00CF2AB4" w:rsidRPr="00CF2AB4" w:rsidRDefault="00CF2AB4" w:rsidP="00CF2AB4">
            <w:pPr>
              <w:tabs>
                <w:tab w:val="left" w:pos="1372"/>
              </w:tabs>
              <w:spacing w:line="240" w:lineRule="auto"/>
              <w:rPr>
                <w:rFonts w:eastAsia="Times New Roman" w:cs="Arial"/>
                <w:lang w:eastAsia="bg-BG"/>
              </w:rPr>
            </w:pPr>
            <w:r w:rsidRPr="00CF2AB4">
              <w:rPr>
                <w:rFonts w:cs="Arial"/>
              </w:rPr>
              <w:t>0,98 (0,87-1,10)</w:t>
            </w:r>
          </w:p>
        </w:tc>
        <w:tc>
          <w:tcPr>
            <w:tcW w:w="1305" w:type="dxa"/>
          </w:tcPr>
          <w:p w14:paraId="4D66726A" w14:textId="7A5C1810" w:rsidR="00CF2AB4" w:rsidRPr="00CF2AB4" w:rsidRDefault="00CF2AB4" w:rsidP="00CF2AB4">
            <w:pPr>
              <w:tabs>
                <w:tab w:val="left" w:pos="1372"/>
              </w:tabs>
              <w:spacing w:line="240" w:lineRule="auto"/>
              <w:rPr>
                <w:rFonts w:eastAsia="Times New Roman" w:cs="Arial"/>
                <w:lang w:eastAsia="bg-BG"/>
              </w:rPr>
            </w:pPr>
            <w:r w:rsidRPr="00CF2AB4">
              <w:rPr>
                <w:rFonts w:cs="Arial"/>
                <w:lang w:val="en-US"/>
              </w:rPr>
              <w:t>NS</w:t>
            </w:r>
          </w:p>
        </w:tc>
      </w:tr>
      <w:tr w:rsidR="00CF2AB4" w14:paraId="08D8D520" w14:textId="77777777" w:rsidTr="00CF2AB4">
        <w:tc>
          <w:tcPr>
            <w:tcW w:w="3301" w:type="dxa"/>
          </w:tcPr>
          <w:p w14:paraId="2F2B6913" w14:textId="3A140DD5" w:rsidR="00CF2AB4" w:rsidRPr="00CF2AB4" w:rsidRDefault="00CF2AB4" w:rsidP="00CF2AB4">
            <w:pPr>
              <w:tabs>
                <w:tab w:val="left" w:pos="1372"/>
              </w:tabs>
              <w:spacing w:line="240" w:lineRule="auto"/>
              <w:rPr>
                <w:rFonts w:eastAsia="Times New Roman" w:cs="Arial"/>
                <w:lang w:eastAsia="bg-BG"/>
              </w:rPr>
            </w:pPr>
            <w:r w:rsidRPr="00CF2AB4">
              <w:rPr>
                <w:rFonts w:cs="Arial"/>
              </w:rPr>
              <w:t>Хоспитализация поради сърдечна недостатъчност</w:t>
            </w:r>
          </w:p>
        </w:tc>
        <w:tc>
          <w:tcPr>
            <w:tcW w:w="1769" w:type="dxa"/>
          </w:tcPr>
          <w:p w14:paraId="2F6ABAF8" w14:textId="2E636D23" w:rsidR="00CF2AB4" w:rsidRPr="00CF2AB4" w:rsidRDefault="00CF2AB4" w:rsidP="00CF2AB4">
            <w:pPr>
              <w:tabs>
                <w:tab w:val="left" w:pos="1372"/>
              </w:tabs>
              <w:spacing w:line="240" w:lineRule="auto"/>
              <w:rPr>
                <w:rFonts w:eastAsia="Times New Roman" w:cs="Arial"/>
                <w:lang w:eastAsia="bg-BG"/>
              </w:rPr>
            </w:pPr>
            <w:r w:rsidRPr="00CF2AB4">
              <w:rPr>
                <w:rFonts w:cs="Arial"/>
                <w:b/>
                <w:bCs/>
              </w:rPr>
              <w:t>3,2</w:t>
            </w:r>
          </w:p>
        </w:tc>
        <w:tc>
          <w:tcPr>
            <w:tcW w:w="1129" w:type="dxa"/>
          </w:tcPr>
          <w:p w14:paraId="2C93975C" w14:textId="375E9981" w:rsidR="00CF2AB4" w:rsidRPr="00CF2AB4" w:rsidRDefault="00CF2AB4" w:rsidP="00CF2AB4">
            <w:pPr>
              <w:tabs>
                <w:tab w:val="left" w:pos="1372"/>
              </w:tabs>
              <w:spacing w:line="240" w:lineRule="auto"/>
              <w:rPr>
                <w:rFonts w:eastAsia="Times New Roman" w:cs="Arial"/>
                <w:lang w:eastAsia="bg-BG"/>
              </w:rPr>
            </w:pPr>
            <w:r w:rsidRPr="00CF2AB4">
              <w:rPr>
                <w:rFonts w:cs="Arial"/>
              </w:rPr>
              <w:t>3,5</w:t>
            </w:r>
          </w:p>
        </w:tc>
        <w:tc>
          <w:tcPr>
            <w:tcW w:w="2131" w:type="dxa"/>
          </w:tcPr>
          <w:p w14:paraId="3522610A" w14:textId="4333AFC6" w:rsidR="00CF2AB4" w:rsidRPr="00CF2AB4" w:rsidRDefault="00CF2AB4" w:rsidP="00CF2AB4">
            <w:pPr>
              <w:tabs>
                <w:tab w:val="left" w:pos="1372"/>
              </w:tabs>
              <w:spacing w:line="240" w:lineRule="auto"/>
              <w:rPr>
                <w:rFonts w:eastAsia="Times New Roman" w:cs="Arial"/>
                <w:lang w:eastAsia="bg-BG"/>
              </w:rPr>
            </w:pPr>
            <w:r w:rsidRPr="00CF2AB4">
              <w:rPr>
                <w:rFonts w:cs="Arial"/>
              </w:rPr>
              <w:t>0,88 (0,70-1,10)</w:t>
            </w:r>
          </w:p>
        </w:tc>
        <w:tc>
          <w:tcPr>
            <w:tcW w:w="1305" w:type="dxa"/>
          </w:tcPr>
          <w:p w14:paraId="02F19474" w14:textId="30EB0477" w:rsidR="00CF2AB4" w:rsidRPr="00CF2AB4" w:rsidRDefault="00CF2AB4" w:rsidP="00CF2AB4">
            <w:pPr>
              <w:tabs>
                <w:tab w:val="left" w:pos="1372"/>
              </w:tabs>
              <w:spacing w:line="240" w:lineRule="auto"/>
              <w:rPr>
                <w:rFonts w:eastAsia="Times New Roman" w:cs="Arial"/>
                <w:lang w:eastAsia="bg-BG"/>
              </w:rPr>
            </w:pPr>
            <w:r w:rsidRPr="00CF2AB4">
              <w:rPr>
                <w:rFonts w:cs="Arial"/>
              </w:rPr>
              <w:t>0,25</w:t>
            </w:r>
          </w:p>
        </w:tc>
      </w:tr>
      <w:tr w:rsidR="00CF2AB4" w14:paraId="4E3F2B09" w14:textId="77777777" w:rsidTr="00CF2AB4">
        <w:tc>
          <w:tcPr>
            <w:tcW w:w="3301" w:type="dxa"/>
          </w:tcPr>
          <w:p w14:paraId="0174DBD6" w14:textId="43171249" w:rsidR="00CF2AB4" w:rsidRPr="00CF2AB4" w:rsidRDefault="00CF2AB4" w:rsidP="00CF2AB4">
            <w:pPr>
              <w:tabs>
                <w:tab w:val="left" w:pos="1372"/>
              </w:tabs>
              <w:spacing w:line="240" w:lineRule="auto"/>
              <w:rPr>
                <w:rFonts w:eastAsia="Times New Roman" w:cs="Arial"/>
                <w:lang w:eastAsia="bg-BG"/>
              </w:rPr>
            </w:pPr>
            <w:r w:rsidRPr="00CF2AB4">
              <w:rPr>
                <w:rFonts w:cs="Arial"/>
              </w:rPr>
              <w:t>Усложнения, свързани с диабет</w:t>
            </w:r>
          </w:p>
        </w:tc>
        <w:tc>
          <w:tcPr>
            <w:tcW w:w="1769" w:type="dxa"/>
          </w:tcPr>
          <w:p w14:paraId="7B22557B" w14:textId="6725582E" w:rsidR="00CF2AB4" w:rsidRPr="00CF2AB4" w:rsidRDefault="00CF2AB4" w:rsidP="00CF2AB4">
            <w:pPr>
              <w:tabs>
                <w:tab w:val="left" w:pos="1372"/>
              </w:tabs>
              <w:spacing w:line="240" w:lineRule="auto"/>
              <w:rPr>
                <w:rFonts w:eastAsia="Times New Roman" w:cs="Arial"/>
                <w:lang w:eastAsia="bg-BG"/>
              </w:rPr>
            </w:pPr>
            <w:r w:rsidRPr="00CF2AB4">
              <w:rPr>
                <w:rFonts w:cs="Arial"/>
              </w:rPr>
              <w:t>6,4</w:t>
            </w:r>
          </w:p>
        </w:tc>
        <w:tc>
          <w:tcPr>
            <w:tcW w:w="1129" w:type="dxa"/>
          </w:tcPr>
          <w:p w14:paraId="6F363BD5" w14:textId="1EB4B880" w:rsidR="00CF2AB4" w:rsidRPr="00CF2AB4" w:rsidRDefault="00CF2AB4" w:rsidP="00CF2AB4">
            <w:pPr>
              <w:tabs>
                <w:tab w:val="left" w:pos="1372"/>
              </w:tabs>
              <w:spacing w:line="240" w:lineRule="auto"/>
              <w:rPr>
                <w:rFonts w:eastAsia="Times New Roman" w:cs="Arial"/>
                <w:lang w:eastAsia="bg-BG"/>
              </w:rPr>
            </w:pPr>
            <w:r w:rsidRPr="00CF2AB4">
              <w:rPr>
                <w:rFonts w:cs="Arial"/>
              </w:rPr>
              <w:t>7,6</w:t>
            </w:r>
          </w:p>
        </w:tc>
        <w:tc>
          <w:tcPr>
            <w:tcW w:w="2131" w:type="dxa"/>
          </w:tcPr>
          <w:p w14:paraId="0EA24B4D" w14:textId="1616CD89" w:rsidR="00CF2AB4" w:rsidRPr="00CF2AB4" w:rsidRDefault="00CF2AB4" w:rsidP="00CF2AB4">
            <w:pPr>
              <w:tabs>
                <w:tab w:val="left" w:pos="1372"/>
              </w:tabs>
              <w:spacing w:line="240" w:lineRule="auto"/>
              <w:rPr>
                <w:rFonts w:eastAsia="Times New Roman" w:cs="Arial"/>
                <w:lang w:eastAsia="bg-BG"/>
              </w:rPr>
            </w:pPr>
            <w:r w:rsidRPr="00CF2AB4">
              <w:rPr>
                <w:rFonts w:cs="Arial"/>
              </w:rPr>
              <w:t>0,84 (0,72-0,98)</w:t>
            </w:r>
          </w:p>
        </w:tc>
        <w:tc>
          <w:tcPr>
            <w:tcW w:w="1305" w:type="dxa"/>
          </w:tcPr>
          <w:p w14:paraId="032F7243" w14:textId="03D7BBBE" w:rsidR="00CF2AB4" w:rsidRPr="00CF2AB4" w:rsidRDefault="00CF2AB4" w:rsidP="00CF2AB4">
            <w:pPr>
              <w:tabs>
                <w:tab w:val="left" w:pos="1372"/>
              </w:tabs>
              <w:spacing w:line="240" w:lineRule="auto"/>
              <w:rPr>
                <w:rFonts w:eastAsia="Times New Roman" w:cs="Arial"/>
                <w:lang w:eastAsia="bg-BG"/>
              </w:rPr>
            </w:pPr>
            <w:r w:rsidRPr="00CF2AB4">
              <w:rPr>
                <w:rFonts w:cs="Arial"/>
              </w:rPr>
              <w:t>0,03</w:t>
            </w:r>
          </w:p>
        </w:tc>
      </w:tr>
    </w:tbl>
    <w:p w14:paraId="60DAA11C" w14:textId="77777777" w:rsidR="00CF2AB4" w:rsidRDefault="00CF2AB4" w:rsidP="00CF2AB4">
      <w:pPr>
        <w:spacing w:line="240" w:lineRule="auto"/>
        <w:rPr>
          <w:rFonts w:eastAsia="Times New Roman" w:cs="Arial"/>
          <w:color w:val="000000"/>
          <w:lang w:eastAsia="bg-BG"/>
        </w:rPr>
      </w:pPr>
    </w:p>
    <w:p w14:paraId="3D40A61F" w14:textId="379817ED"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Проучването </w:t>
      </w:r>
      <w:r w:rsidRPr="00CF2AB4">
        <w:rPr>
          <w:rFonts w:eastAsia="Times New Roman" w:cs="Arial"/>
          <w:color w:val="000000"/>
          <w:lang w:val="en-US"/>
        </w:rPr>
        <w:t>MICRO-</w:t>
      </w:r>
      <w:r w:rsidRPr="00CF2AB4">
        <w:rPr>
          <w:rFonts w:eastAsia="Times New Roman" w:cs="Arial"/>
          <w:color w:val="000000"/>
          <w:lang w:eastAsia="bg-BG"/>
        </w:rPr>
        <w:t xml:space="preserve">НОРЕ, предварително определено подпроучване от НОРЕ, изследва ефекта от добавяне на рамиприл 10 </w:t>
      </w:r>
      <w:r w:rsidRPr="00CF2AB4">
        <w:rPr>
          <w:rFonts w:eastAsia="Times New Roman" w:cs="Arial"/>
          <w:color w:val="000000"/>
          <w:lang w:val="en-US"/>
        </w:rPr>
        <w:t xml:space="preserve">mg </w:t>
      </w:r>
      <w:r w:rsidRPr="00CF2AB4">
        <w:rPr>
          <w:rFonts w:eastAsia="Times New Roman" w:cs="Arial"/>
          <w:color w:val="000000"/>
          <w:lang w:eastAsia="bg-BG"/>
        </w:rPr>
        <w:t>към текущата схема на лечение спрямо плацебо при 3 577 пациенти, на възраст поне 55 години (без горна граница за възрастта), болшинството с тип 2 диабет (и поне още един сърдечно-съдов рисков фактор), нормотензивни или с хипертония.</w:t>
      </w:r>
    </w:p>
    <w:p w14:paraId="0BB16815" w14:textId="77777777" w:rsidR="00CF2AB4" w:rsidRDefault="00CF2AB4" w:rsidP="00CF2AB4">
      <w:pPr>
        <w:spacing w:line="240" w:lineRule="auto"/>
        <w:rPr>
          <w:rFonts w:eastAsia="Times New Roman" w:cs="Arial"/>
          <w:color w:val="000000"/>
          <w:lang w:eastAsia="bg-BG"/>
        </w:rPr>
      </w:pPr>
    </w:p>
    <w:p w14:paraId="7431B80B" w14:textId="3E6389FC"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Първичния анализ показва, че 117 (6,5%) от участниците на рамиприл и 149 (8,4%) на плацебо развиват доказана нефропатия, която отговаря на </w:t>
      </w:r>
      <w:r w:rsidRPr="00CF2AB4">
        <w:rPr>
          <w:rFonts w:eastAsia="Times New Roman" w:cs="Arial"/>
          <w:color w:val="000000"/>
          <w:lang w:val="en-US"/>
        </w:rPr>
        <w:t xml:space="preserve">RRR </w:t>
      </w:r>
      <w:r w:rsidRPr="00CF2AB4">
        <w:rPr>
          <w:rFonts w:eastAsia="Times New Roman" w:cs="Arial"/>
          <w:color w:val="000000"/>
          <w:lang w:eastAsia="bg-BG"/>
        </w:rPr>
        <w:t xml:space="preserve">24%; 95% </w:t>
      </w:r>
      <w:r w:rsidRPr="00CF2AB4">
        <w:rPr>
          <w:rFonts w:eastAsia="Times New Roman" w:cs="Arial"/>
          <w:color w:val="000000"/>
          <w:lang w:val="en-US"/>
        </w:rPr>
        <w:t xml:space="preserve">CI </w:t>
      </w:r>
      <w:r w:rsidRPr="00CF2AB4">
        <w:rPr>
          <w:rFonts w:eastAsia="Times New Roman" w:cs="Arial"/>
          <w:color w:val="000000"/>
          <w:lang w:eastAsia="bg-BG"/>
        </w:rPr>
        <w:t>[3-40], р=0,027.</w:t>
      </w:r>
    </w:p>
    <w:p w14:paraId="0D82534C" w14:textId="77777777" w:rsidR="00CF2AB4" w:rsidRDefault="00CF2AB4" w:rsidP="00CF2AB4">
      <w:pPr>
        <w:spacing w:line="240" w:lineRule="auto"/>
        <w:rPr>
          <w:rFonts w:eastAsia="Times New Roman" w:cs="Arial"/>
          <w:color w:val="000000"/>
          <w:lang w:eastAsia="bg-BG"/>
        </w:rPr>
      </w:pPr>
    </w:p>
    <w:p w14:paraId="326E7475" w14:textId="2FF2B7CF"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Проучването </w:t>
      </w:r>
      <w:r w:rsidRPr="00CF2AB4">
        <w:rPr>
          <w:rFonts w:eastAsia="Times New Roman" w:cs="Arial"/>
          <w:color w:val="000000"/>
          <w:lang w:val="en-US"/>
        </w:rPr>
        <w:t xml:space="preserve">REIN, </w:t>
      </w:r>
      <w:r w:rsidRPr="00CF2AB4">
        <w:rPr>
          <w:rFonts w:eastAsia="Times New Roman" w:cs="Arial"/>
          <w:color w:val="000000"/>
          <w:lang w:eastAsia="bg-BG"/>
        </w:rPr>
        <w:t xml:space="preserve">мултицентрово рандомизирано, двойно сляпо, с паралелни групи, плацебо контролирано проучване, целящо оценка на ефекта от лечението с рамиприл върху понижаването на скоростта на гломерулна филтрация при 352 нормотензивни пациенти или хипертоници (на възраст 18-70 години) с лека (т.е.средна уринна екскреция на протеини над 1 и под 3 </w:t>
      </w:r>
      <w:r w:rsidRPr="00CF2AB4">
        <w:rPr>
          <w:rFonts w:eastAsia="Times New Roman" w:cs="Arial"/>
          <w:color w:val="000000"/>
          <w:lang w:val="en-US"/>
        </w:rPr>
        <w:t xml:space="preserve">g/24h) </w:t>
      </w:r>
      <w:r w:rsidRPr="00CF2AB4">
        <w:rPr>
          <w:rFonts w:eastAsia="Times New Roman" w:cs="Arial"/>
          <w:color w:val="000000"/>
          <w:lang w:eastAsia="bg-BG"/>
        </w:rPr>
        <w:t xml:space="preserve">или тежка протеинурия (3 </w:t>
      </w:r>
      <w:r w:rsidRPr="00CF2AB4">
        <w:rPr>
          <w:rFonts w:eastAsia="Times New Roman" w:cs="Arial"/>
          <w:color w:val="000000"/>
          <w:lang w:val="en-US"/>
        </w:rPr>
        <w:t xml:space="preserve">g/24h) </w:t>
      </w:r>
      <w:r w:rsidRPr="00CF2AB4">
        <w:rPr>
          <w:rFonts w:eastAsia="Times New Roman" w:cs="Arial"/>
          <w:color w:val="000000"/>
          <w:lang w:eastAsia="bg-BG"/>
        </w:rPr>
        <w:t>вследствие на хронична недиабетна нефропатия. И двете субпопулации са били проспективно стратифицирани.</w:t>
      </w:r>
    </w:p>
    <w:p w14:paraId="485B6691" w14:textId="77777777" w:rsidR="00CF2AB4" w:rsidRDefault="00CF2AB4" w:rsidP="00CF2AB4">
      <w:pPr>
        <w:spacing w:line="240" w:lineRule="auto"/>
        <w:rPr>
          <w:rFonts w:eastAsia="Times New Roman" w:cs="Arial"/>
          <w:color w:val="000000"/>
          <w:lang w:eastAsia="bg-BG"/>
        </w:rPr>
      </w:pPr>
    </w:p>
    <w:p w14:paraId="52768D16" w14:textId="5BC24EF1"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Основният анализ на пациентите с най-тежка протеинурия (тези, които са преждевременно отстранени, поради предимствата при групата на рамиприл) показва, че понижаването на средната скорост на гломерулна филтрация за месец е по-слабо при рамиприл, отколкото при плацебо; -0,54 (0,66) срещу -0,88 (1,03) </w:t>
      </w:r>
      <w:r w:rsidRPr="00CF2AB4">
        <w:rPr>
          <w:rFonts w:eastAsia="Times New Roman" w:cs="Arial"/>
          <w:color w:val="000000"/>
          <w:lang w:val="en-US"/>
        </w:rPr>
        <w:t>ml/min</w:t>
      </w:r>
      <w:r w:rsidRPr="00CF2AB4">
        <w:rPr>
          <w:rFonts w:eastAsia="Times New Roman" w:cs="Arial"/>
          <w:color w:val="000000"/>
          <w:lang w:eastAsia="bg-BG"/>
        </w:rPr>
        <w:t xml:space="preserve">/месец, р= 0,038. Вътрегруповите разлики са 0,34 (0,03-0,65) за месец и около 4 </w:t>
      </w:r>
      <w:r w:rsidRPr="00CF2AB4">
        <w:rPr>
          <w:rFonts w:eastAsia="Times New Roman" w:cs="Arial"/>
          <w:color w:val="000000"/>
          <w:lang w:val="en-US"/>
        </w:rPr>
        <w:t>ml/min</w:t>
      </w:r>
      <w:r w:rsidRPr="00CF2AB4">
        <w:rPr>
          <w:rFonts w:eastAsia="Times New Roman" w:cs="Arial"/>
          <w:color w:val="000000"/>
          <w:lang w:eastAsia="bg-BG"/>
        </w:rPr>
        <w:t xml:space="preserve">/година; 23,1% от пациентите в групата на рамиприл достигат комбинираната вторична крайна точка на удвояване на изходните концентрации на серумния креатинин и/или терминална </w:t>
      </w:r>
      <w:r w:rsidRPr="00CF2AB4">
        <w:rPr>
          <w:rFonts w:eastAsia="Times New Roman" w:cs="Arial"/>
          <w:color w:val="000000"/>
          <w:lang w:eastAsia="bg-BG"/>
        </w:rPr>
        <w:lastRenderedPageBreak/>
        <w:t>бъбречна недостатъчност (необходимост от диализа или бъбречна трансплантация) срещу 45,5% в плацебо групата (р=0,02).</w:t>
      </w:r>
    </w:p>
    <w:p w14:paraId="290F6401" w14:textId="77777777" w:rsidR="00CF2AB4" w:rsidRPr="00CF2AB4" w:rsidRDefault="00CF2AB4" w:rsidP="00CF2AB4">
      <w:pPr>
        <w:spacing w:line="240" w:lineRule="auto"/>
        <w:rPr>
          <w:rFonts w:eastAsia="Times New Roman" w:cs="Arial"/>
          <w:lang w:eastAsia="bg-BG"/>
        </w:rPr>
      </w:pPr>
    </w:p>
    <w:p w14:paraId="1E51ABFA" w14:textId="4E7C3A20"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Двойно блокиране на ренин ангиотензин -алдостероновата система (РААС)</w:t>
      </w:r>
    </w:p>
    <w:p w14:paraId="69BC4CF3"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Две големи рандомизирани контролирани проучвания - </w:t>
      </w:r>
      <w:r w:rsidRPr="00CF2AB4">
        <w:rPr>
          <w:rFonts w:eastAsia="Times New Roman" w:cs="Arial"/>
          <w:color w:val="000000"/>
          <w:lang w:val="en-US"/>
        </w:rPr>
        <w:t>ONTARGET (</w:t>
      </w:r>
      <w:proofErr w:type="spellStart"/>
      <w:r w:rsidRPr="00CF2AB4">
        <w:rPr>
          <w:rFonts w:eastAsia="Times New Roman" w:cs="Arial"/>
          <w:color w:val="000000"/>
          <w:lang w:val="en-US"/>
        </w:rPr>
        <w:t>ONgoing</w:t>
      </w:r>
      <w:proofErr w:type="spellEnd"/>
      <w:r w:rsidRPr="00CF2AB4">
        <w:rPr>
          <w:rFonts w:eastAsia="Times New Roman" w:cs="Arial"/>
          <w:color w:val="000000"/>
          <w:lang w:val="en-US"/>
        </w:rPr>
        <w:t xml:space="preserve"> Telmisartan Alone and in combination with Ramipril Global Endpoint Trial - </w:t>
      </w:r>
      <w:r w:rsidRPr="00CF2AB4">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CF2AB4">
        <w:rPr>
          <w:rFonts w:eastAsia="Times New Roman" w:cs="Arial"/>
          <w:color w:val="000000"/>
          <w:lang w:val="en-US"/>
        </w:rPr>
        <w:t xml:space="preserve">VA NEPHRON-D </w:t>
      </w:r>
      <w:r w:rsidRPr="00CF2AB4">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77E0F877"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val="en-US"/>
        </w:rPr>
        <w:t xml:space="preserve">ONTARGET </w:t>
      </w:r>
      <w:r w:rsidRPr="00CF2AB4">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CF2AB4">
        <w:rPr>
          <w:rFonts w:eastAsia="Times New Roman" w:cs="Arial"/>
          <w:color w:val="000000"/>
          <w:lang w:val="en-US"/>
        </w:rPr>
        <w:t xml:space="preserve">VA NEPHRON-D </w:t>
      </w:r>
      <w:r w:rsidRPr="00CF2AB4">
        <w:rPr>
          <w:rFonts w:eastAsia="Times New Roman" w:cs="Arial"/>
          <w:color w:val="000000"/>
          <w:lang w:eastAsia="bg-BG"/>
        </w:rPr>
        <w:t>е проучване при пациенти със захарен диабет тип 2 и диабетна нефропатия.</w:t>
      </w:r>
    </w:p>
    <w:p w14:paraId="0CA8E68B"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Тези проучвания не показват значим благоприятен ефект върху бъбречните и/или сърдечно</w:t>
      </w:r>
      <w:r w:rsidRPr="00CF2AB4">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46A118F8"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2D47BDF5"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val="en-US"/>
        </w:rPr>
        <w:t xml:space="preserve">ALTITUDE </w:t>
      </w:r>
      <w:r w:rsidRPr="00CF2AB4">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w:t>
      </w:r>
    </w:p>
    <w:p w14:paraId="5D20D353" w14:textId="77777777" w:rsidR="00CF2AB4" w:rsidRDefault="00CF2AB4" w:rsidP="00CF2AB4">
      <w:pPr>
        <w:spacing w:line="240" w:lineRule="auto"/>
        <w:rPr>
          <w:rFonts w:eastAsia="Times New Roman" w:cs="Arial"/>
          <w:color w:val="000000"/>
          <w:u w:val="single"/>
          <w:lang w:eastAsia="bg-BG"/>
        </w:rPr>
      </w:pPr>
    </w:p>
    <w:p w14:paraId="344F2E01" w14:textId="6A15B07E"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Вторична профилактика след остър миокарден инфаркт</w:t>
      </w:r>
    </w:p>
    <w:p w14:paraId="5CA4B993"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Изпитването </w:t>
      </w:r>
      <w:r w:rsidRPr="00CF2AB4">
        <w:rPr>
          <w:rFonts w:eastAsia="Times New Roman" w:cs="Arial"/>
          <w:color w:val="000000"/>
          <w:lang w:val="en-US"/>
        </w:rPr>
        <w:t xml:space="preserve">AIRE </w:t>
      </w:r>
      <w:r w:rsidRPr="00CF2AB4">
        <w:rPr>
          <w:rFonts w:eastAsia="Times New Roman" w:cs="Arial"/>
          <w:color w:val="000000"/>
          <w:lang w:eastAsia="bg-BG"/>
        </w:rPr>
        <w:t xml:space="preserve">включва повече от 2 000 пациенти с преходни/постоянни клинични признаци на сърдечна недостатъчност след доказан миокарден инфаркт. Лечението с рамиприл е започнато 3 до 10 дни след остър миокарден инфаркт. Проучването показва, че след средно време на проследяване от 15 месеца, смъртността при лекувани с рамиприл пациенти е 16,9%, а при пациентите от плацебо групата е 22,6%. Това означава намаляване на смъртността с 5,7% и намаляване на относителния риск с 27% (95% </w:t>
      </w:r>
      <w:r w:rsidRPr="00CF2AB4">
        <w:rPr>
          <w:rFonts w:eastAsia="Times New Roman" w:cs="Arial"/>
          <w:color w:val="000000"/>
          <w:lang w:val="en-US"/>
        </w:rPr>
        <w:t>CI[11</w:t>
      </w:r>
      <w:r w:rsidRPr="00CF2AB4">
        <w:rPr>
          <w:rFonts w:eastAsia="Times New Roman" w:cs="Arial"/>
          <w:color w:val="000000"/>
          <w:lang w:eastAsia="bg-BG"/>
        </w:rPr>
        <w:t>-40%]).</w:t>
      </w:r>
    </w:p>
    <w:p w14:paraId="7C186E31" w14:textId="77777777" w:rsidR="00CF2AB4" w:rsidRDefault="00CF2AB4" w:rsidP="00CF2AB4">
      <w:pPr>
        <w:spacing w:line="240" w:lineRule="auto"/>
        <w:rPr>
          <w:rFonts w:eastAsia="Times New Roman" w:cs="Arial"/>
          <w:color w:val="000000"/>
          <w:u w:val="single"/>
          <w:lang w:eastAsia="bg-BG"/>
        </w:rPr>
      </w:pPr>
    </w:p>
    <w:p w14:paraId="367014BE" w14:textId="4F57F32A"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Педиатрична популация</w:t>
      </w:r>
    </w:p>
    <w:p w14:paraId="04D89CC9"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При рандомизирано, двойно-сляпо клинично проучване, включващо 244 педиатрични пациенти с хипертония (73% първична хипертония) на възраст 6-16 години, пациентите са получавали ниска, средна или висока доза рамиприл за постигане на плазмени концентрации на рамиприлат, съответстващи на дозов интервал от 1,25 </w:t>
      </w:r>
      <w:r w:rsidRPr="00CF2AB4">
        <w:rPr>
          <w:rFonts w:eastAsia="Times New Roman" w:cs="Arial"/>
          <w:color w:val="000000"/>
          <w:lang w:val="en-US"/>
        </w:rPr>
        <w:t xml:space="preserve">mg, </w:t>
      </w:r>
      <w:r w:rsidRPr="00CF2AB4">
        <w:rPr>
          <w:rFonts w:eastAsia="Times New Roman" w:cs="Arial"/>
          <w:color w:val="000000"/>
          <w:lang w:eastAsia="bg-BG"/>
        </w:rPr>
        <w:t xml:space="preserve">5 </w:t>
      </w:r>
      <w:r w:rsidRPr="00CF2AB4">
        <w:rPr>
          <w:rFonts w:eastAsia="Times New Roman" w:cs="Arial"/>
          <w:color w:val="000000"/>
          <w:lang w:val="en-US"/>
        </w:rPr>
        <w:t xml:space="preserve">mg </w:t>
      </w:r>
      <w:r w:rsidRPr="00CF2AB4">
        <w:rPr>
          <w:rFonts w:eastAsia="Times New Roman" w:cs="Arial"/>
          <w:color w:val="000000"/>
          <w:lang w:eastAsia="bg-BG"/>
        </w:rPr>
        <w:t xml:space="preserve">и 20 </w:t>
      </w:r>
      <w:r w:rsidRPr="00CF2AB4">
        <w:rPr>
          <w:rFonts w:eastAsia="Times New Roman" w:cs="Arial"/>
          <w:color w:val="000000"/>
          <w:lang w:val="en-US"/>
        </w:rPr>
        <w:t xml:space="preserve">mg </w:t>
      </w:r>
      <w:r w:rsidRPr="00CF2AB4">
        <w:rPr>
          <w:rFonts w:eastAsia="Times New Roman" w:cs="Arial"/>
          <w:color w:val="000000"/>
          <w:lang w:eastAsia="bg-BG"/>
        </w:rPr>
        <w:t>при възрастни, на база на телесно тегло. В края на четвъртата седмица рамиприл е бил неефективен при първичната крайна точка на понижаване на систоличното кръвно налягане, но е понижил диастоличното кръвно налягане при най-високата доза. Както средните, така и високите дози на рамиприл са показали значително понижение на систоличното и диастоличното кръвно налягане при деца с потвърдена хипертония.</w:t>
      </w:r>
    </w:p>
    <w:p w14:paraId="002A7698" w14:textId="77777777" w:rsidR="00CF2AB4" w:rsidRDefault="00CF2AB4" w:rsidP="00CF2AB4">
      <w:pPr>
        <w:spacing w:line="240" w:lineRule="auto"/>
        <w:rPr>
          <w:rFonts w:eastAsia="Times New Roman" w:cs="Arial"/>
          <w:color w:val="000000"/>
          <w:lang w:eastAsia="bg-BG"/>
        </w:rPr>
      </w:pPr>
    </w:p>
    <w:p w14:paraId="050383BF" w14:textId="50484922"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lastRenderedPageBreak/>
        <w:t xml:space="preserve">Този ефект не е наблюдаван при 4-седмично, рандомизирано, двойно-сляпо проучване на отнемане с покачване на дозата при 218 педиатрични пациенти на възраст 6-16 години (75% първична хипертония), при което както диастоличното, така и систоличното кръвно налягане са показали умерен „ребаунд” ефект, но не и статистическо значимо връщане до изходните стойности при всички от трите изследвани дозови нива - ниска доза (0,625-2,5 </w:t>
      </w:r>
      <w:r w:rsidRPr="00CF2AB4">
        <w:rPr>
          <w:rFonts w:eastAsia="Times New Roman" w:cs="Arial"/>
          <w:color w:val="000000"/>
          <w:lang w:val="en-US"/>
        </w:rPr>
        <w:t xml:space="preserve">mg), </w:t>
      </w:r>
      <w:r w:rsidRPr="00CF2AB4">
        <w:rPr>
          <w:rFonts w:eastAsia="Times New Roman" w:cs="Arial"/>
          <w:color w:val="000000"/>
          <w:lang w:eastAsia="bg-BG"/>
        </w:rPr>
        <w:t xml:space="preserve">средна доза (2,5 </w:t>
      </w:r>
      <w:r w:rsidRPr="00CF2AB4">
        <w:rPr>
          <w:rFonts w:eastAsia="Times New Roman" w:cs="Arial"/>
          <w:color w:val="000000"/>
          <w:lang w:val="en-US"/>
        </w:rPr>
        <w:t xml:space="preserve">mg </w:t>
      </w:r>
      <w:r w:rsidRPr="00CF2AB4">
        <w:rPr>
          <w:rFonts w:eastAsia="Times New Roman" w:cs="Arial"/>
          <w:color w:val="000000"/>
          <w:lang w:eastAsia="bg-BG"/>
        </w:rPr>
        <w:t xml:space="preserve">- 10 </w:t>
      </w:r>
      <w:r w:rsidRPr="00CF2AB4">
        <w:rPr>
          <w:rFonts w:eastAsia="Times New Roman" w:cs="Arial"/>
          <w:color w:val="000000"/>
          <w:lang w:val="en-US"/>
        </w:rPr>
        <w:t xml:space="preserve">mg) </w:t>
      </w:r>
      <w:r w:rsidRPr="00CF2AB4">
        <w:rPr>
          <w:rFonts w:eastAsia="Times New Roman" w:cs="Arial"/>
          <w:color w:val="000000"/>
          <w:lang w:eastAsia="bg-BG"/>
        </w:rPr>
        <w:t xml:space="preserve">или висока доза (5 </w:t>
      </w:r>
      <w:r w:rsidRPr="00CF2AB4">
        <w:rPr>
          <w:rFonts w:eastAsia="Times New Roman" w:cs="Arial"/>
          <w:color w:val="000000"/>
          <w:lang w:val="en-US"/>
        </w:rPr>
        <w:t xml:space="preserve">mg </w:t>
      </w:r>
      <w:r w:rsidRPr="00CF2AB4">
        <w:rPr>
          <w:rFonts w:eastAsia="Times New Roman" w:cs="Arial"/>
          <w:color w:val="000000"/>
          <w:lang w:eastAsia="bg-BG"/>
        </w:rPr>
        <w:t xml:space="preserve">- 20 </w:t>
      </w:r>
      <w:r w:rsidRPr="00CF2AB4">
        <w:rPr>
          <w:rFonts w:eastAsia="Times New Roman" w:cs="Arial"/>
          <w:color w:val="000000"/>
          <w:lang w:val="en-US"/>
        </w:rPr>
        <w:t xml:space="preserve">mg) </w:t>
      </w:r>
      <w:r w:rsidRPr="00CF2AB4">
        <w:rPr>
          <w:rFonts w:eastAsia="Times New Roman" w:cs="Arial"/>
          <w:color w:val="000000"/>
          <w:lang w:eastAsia="bg-BG"/>
        </w:rPr>
        <w:t>рамиприл, базирани на телесно тегло. Рамиприл няма линеен отговор спрямо дозата при проучваната педиатрична популация.</w:t>
      </w:r>
    </w:p>
    <w:p w14:paraId="369EAC5A" w14:textId="4226D53C" w:rsidR="00CF2AB4" w:rsidRPr="00CF2AB4" w:rsidRDefault="00CF2AB4" w:rsidP="00CF2AB4">
      <w:pPr>
        <w:rPr>
          <w:rFonts w:cs="Arial"/>
          <w:lang w:val="en-US"/>
        </w:rPr>
      </w:pPr>
    </w:p>
    <w:p w14:paraId="436D48F6" w14:textId="78146581" w:rsidR="00BB22B4" w:rsidRDefault="002C50EE" w:rsidP="00471F10">
      <w:pPr>
        <w:pStyle w:val="Heading2"/>
      </w:pPr>
      <w:r>
        <w:t>5.2. Фармакокинетични свойства</w:t>
      </w:r>
    </w:p>
    <w:p w14:paraId="41870039" w14:textId="73206465" w:rsidR="00CF2AB4" w:rsidRDefault="00CF2AB4" w:rsidP="00CF2AB4"/>
    <w:p w14:paraId="3CB860CA" w14:textId="4621ABBA" w:rsidR="00CF2AB4" w:rsidRPr="00CF2AB4" w:rsidRDefault="00CF2AB4" w:rsidP="00CF2AB4">
      <w:pPr>
        <w:rPr>
          <w:rFonts w:cs="Arial"/>
          <w:i/>
          <w:iCs/>
          <w:u w:val="single"/>
        </w:rPr>
      </w:pPr>
      <w:r w:rsidRPr="00CF2AB4">
        <w:rPr>
          <w:rFonts w:cs="Arial"/>
          <w:i/>
          <w:iCs/>
          <w:u w:val="single"/>
        </w:rPr>
        <w:t>Фармакокинетика и метаболизъм</w:t>
      </w:r>
    </w:p>
    <w:p w14:paraId="14C5CBAD" w14:textId="03235BCE" w:rsidR="00CF2AB4" w:rsidRPr="00CF2AB4" w:rsidRDefault="00CF2AB4" w:rsidP="00CF2AB4">
      <w:pPr>
        <w:rPr>
          <w:rFonts w:cs="Arial"/>
          <w:i/>
          <w:iCs/>
          <w:u w:val="single"/>
        </w:rPr>
      </w:pPr>
    </w:p>
    <w:p w14:paraId="30CF15E5"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Абсорбция</w:t>
      </w:r>
    </w:p>
    <w:p w14:paraId="1387C78A"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Рамиприл се резорбира бързо от стомашно-чревния тракт след перорално приложение: максимални плазмени концентрации се достигат в рамките на един час. Въз основа на възстановяване в урината, степента на резорбция е поне 56% и не се повлиява значимо от присъствието на храна в стомашно-чревния тракт. Бионаличността на активния метаболит рамиприлат след перорално приложение на 2,5 </w:t>
      </w:r>
      <w:r w:rsidRPr="00CF2AB4">
        <w:rPr>
          <w:rFonts w:eastAsia="Times New Roman" w:cs="Arial"/>
          <w:color w:val="000000"/>
          <w:lang w:val="en-US"/>
        </w:rPr>
        <w:t xml:space="preserve">mg </w:t>
      </w:r>
      <w:r w:rsidRPr="00CF2AB4">
        <w:rPr>
          <w:rFonts w:eastAsia="Times New Roman" w:cs="Arial"/>
          <w:color w:val="000000"/>
          <w:lang w:eastAsia="bg-BG"/>
        </w:rPr>
        <w:t xml:space="preserve">и 5 </w:t>
      </w:r>
      <w:r w:rsidRPr="00CF2AB4">
        <w:rPr>
          <w:rFonts w:eastAsia="Times New Roman" w:cs="Arial"/>
          <w:color w:val="000000"/>
          <w:lang w:val="en-US"/>
        </w:rPr>
        <w:t xml:space="preserve">mg </w:t>
      </w:r>
      <w:r w:rsidRPr="00CF2AB4">
        <w:rPr>
          <w:rFonts w:eastAsia="Times New Roman" w:cs="Arial"/>
          <w:color w:val="000000"/>
          <w:lang w:eastAsia="bg-BG"/>
        </w:rPr>
        <w:t>рамиприл е 45%.</w:t>
      </w:r>
    </w:p>
    <w:p w14:paraId="28549E37" w14:textId="77777777" w:rsidR="00CF2AB4" w:rsidRDefault="00CF2AB4" w:rsidP="00CF2AB4">
      <w:pPr>
        <w:spacing w:line="240" w:lineRule="auto"/>
        <w:rPr>
          <w:rFonts w:eastAsia="Times New Roman" w:cs="Arial"/>
          <w:color w:val="000000"/>
          <w:lang w:eastAsia="bg-BG"/>
        </w:rPr>
      </w:pPr>
    </w:p>
    <w:p w14:paraId="5AFEA856" w14:textId="32DB7642"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Максималните плазмени концентрации на рамиприлат, единственият активен метаболит на рамиприл, се достигат 2-4 часа след приема на рамиприл. Стационарни плазмени концентрации на рамиприлат след еднократно дневно дозиране с обичайните дози на рамиприл се достигат до около четвъртия ден от лечението.</w:t>
      </w:r>
    </w:p>
    <w:p w14:paraId="16086D7A" w14:textId="77777777" w:rsidR="00CF2AB4" w:rsidRDefault="00CF2AB4" w:rsidP="00CF2AB4">
      <w:pPr>
        <w:spacing w:line="240" w:lineRule="auto"/>
        <w:rPr>
          <w:rFonts w:eastAsia="Times New Roman" w:cs="Arial"/>
          <w:color w:val="000000"/>
          <w:u w:val="single"/>
          <w:lang w:eastAsia="bg-BG"/>
        </w:rPr>
      </w:pPr>
    </w:p>
    <w:p w14:paraId="768CD5B6" w14:textId="51466E75"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Разпределение</w:t>
      </w:r>
    </w:p>
    <w:p w14:paraId="13EFAB98"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Свързването на рамиприл с плазмените протеини е около 73%, а това на рамиприлат е около 56%.</w:t>
      </w:r>
    </w:p>
    <w:p w14:paraId="66D38722" w14:textId="77777777" w:rsidR="00CF2AB4" w:rsidRDefault="00CF2AB4" w:rsidP="00CF2AB4">
      <w:pPr>
        <w:spacing w:line="240" w:lineRule="auto"/>
        <w:rPr>
          <w:rFonts w:eastAsia="Times New Roman" w:cs="Arial"/>
          <w:color w:val="000000"/>
          <w:u w:val="single"/>
          <w:lang w:eastAsia="bg-BG"/>
        </w:rPr>
      </w:pPr>
    </w:p>
    <w:p w14:paraId="6C969F16" w14:textId="5C5C952B"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Биотрансформация</w:t>
      </w:r>
    </w:p>
    <w:p w14:paraId="69620A06"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Рамиприл се метаболизира почти изцяло до рамиприлат, до дикетопиперазинов естер, дикетопиперазинова киселина и глюкурониди на рамиприл и рамиприлат.</w:t>
      </w:r>
    </w:p>
    <w:p w14:paraId="3CDD1499" w14:textId="77777777" w:rsidR="00CF2AB4" w:rsidRDefault="00CF2AB4" w:rsidP="00CF2AB4">
      <w:pPr>
        <w:spacing w:line="240" w:lineRule="auto"/>
        <w:rPr>
          <w:rFonts w:eastAsia="Times New Roman" w:cs="Arial"/>
          <w:color w:val="000000"/>
          <w:u w:val="single"/>
          <w:lang w:eastAsia="bg-BG"/>
        </w:rPr>
      </w:pPr>
    </w:p>
    <w:p w14:paraId="71276BE8" w14:textId="5BF40E7F"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Елиминиране</w:t>
      </w:r>
    </w:p>
    <w:p w14:paraId="10639A6C"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Екскрецията на метаболитите е предимно бъбречна.</w:t>
      </w:r>
    </w:p>
    <w:p w14:paraId="5827CD84"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Плазмените концентрации на рамиприлат намаляват по полифазов начин. Поради неговото силно насищащо свързване с ангиотензин-конвертиращия ензим и бавната дисоциация от него, рамиприлат показва удължена терминална елиминационна фаза при много ниски плазмени концентрации.</w:t>
      </w:r>
    </w:p>
    <w:p w14:paraId="34FED466" w14:textId="77777777" w:rsidR="00CF2AB4" w:rsidRDefault="00CF2AB4" w:rsidP="00CF2AB4">
      <w:pPr>
        <w:spacing w:line="240" w:lineRule="auto"/>
        <w:rPr>
          <w:rFonts w:eastAsia="Times New Roman" w:cs="Arial"/>
          <w:color w:val="000000"/>
          <w:lang w:eastAsia="bg-BG"/>
        </w:rPr>
      </w:pPr>
    </w:p>
    <w:p w14:paraId="0A042835" w14:textId="086C1218"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След многократно веднъж дневно дозиране на рамиприл, ефективният полуживот на рамиприлат е 13-17 часа за дози от 5-10 </w:t>
      </w:r>
      <w:r w:rsidRPr="00CF2AB4">
        <w:rPr>
          <w:rFonts w:eastAsia="Times New Roman" w:cs="Arial"/>
          <w:color w:val="000000"/>
          <w:lang w:val="en-US"/>
        </w:rPr>
        <w:t xml:space="preserve">mg </w:t>
      </w:r>
      <w:r w:rsidRPr="00CF2AB4">
        <w:rPr>
          <w:rFonts w:eastAsia="Times New Roman" w:cs="Arial"/>
          <w:color w:val="000000"/>
          <w:lang w:eastAsia="bg-BG"/>
        </w:rPr>
        <w:t xml:space="preserve">и по-дълъг за по-ниските дози от 1,25-2,5 </w:t>
      </w:r>
      <w:r w:rsidRPr="00CF2AB4">
        <w:rPr>
          <w:rFonts w:eastAsia="Times New Roman" w:cs="Arial"/>
          <w:color w:val="000000"/>
          <w:lang w:val="en-US"/>
        </w:rPr>
        <w:t xml:space="preserve">mg. </w:t>
      </w:r>
      <w:r w:rsidRPr="00CF2AB4">
        <w:rPr>
          <w:rFonts w:eastAsia="Times New Roman" w:cs="Arial"/>
          <w:color w:val="000000"/>
          <w:lang w:eastAsia="bg-BG"/>
        </w:rPr>
        <w:t>Тази разлика е свързана с насищаемостга на ензима за свързване с рамиприлат.</w:t>
      </w:r>
    </w:p>
    <w:p w14:paraId="08C1B6C2" w14:textId="77777777" w:rsidR="00CF2AB4" w:rsidRDefault="00CF2AB4" w:rsidP="00CF2AB4">
      <w:pPr>
        <w:spacing w:line="240" w:lineRule="auto"/>
        <w:rPr>
          <w:rFonts w:eastAsia="Times New Roman" w:cs="Arial"/>
          <w:color w:val="000000"/>
          <w:u w:val="single"/>
          <w:lang w:eastAsia="bg-BG"/>
        </w:rPr>
      </w:pPr>
    </w:p>
    <w:p w14:paraId="5C873844" w14:textId="2F2710F1"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Кърмене</w:t>
      </w:r>
    </w:p>
    <w:p w14:paraId="4A867FB0"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Еднократна перорална доза от 10 </w:t>
      </w:r>
      <w:r w:rsidRPr="00CF2AB4">
        <w:rPr>
          <w:rFonts w:eastAsia="Times New Roman" w:cs="Arial"/>
          <w:color w:val="000000"/>
          <w:lang w:val="en-US"/>
        </w:rPr>
        <w:t xml:space="preserve">mg </w:t>
      </w:r>
      <w:r w:rsidRPr="00CF2AB4">
        <w:rPr>
          <w:rFonts w:eastAsia="Times New Roman" w:cs="Arial"/>
          <w:color w:val="000000"/>
          <w:lang w:eastAsia="bg-BG"/>
        </w:rPr>
        <w:t>рамиприл дава неокриваеми нива на рамиприл и неговите метаболити в кърмата. Ефектът при многократно дозиране не е известен.</w:t>
      </w:r>
    </w:p>
    <w:p w14:paraId="7CC68F6B" w14:textId="77777777" w:rsidR="00CF2AB4" w:rsidRDefault="00CF2AB4" w:rsidP="00CF2AB4">
      <w:pPr>
        <w:spacing w:line="240" w:lineRule="auto"/>
        <w:rPr>
          <w:rFonts w:eastAsia="Times New Roman" w:cs="Arial"/>
          <w:color w:val="000000"/>
          <w:u w:val="single"/>
          <w:lang w:eastAsia="bg-BG"/>
        </w:rPr>
      </w:pPr>
    </w:p>
    <w:p w14:paraId="24DD6DDD" w14:textId="10FAB38B"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Пациенти с бъбречна недостатъчност (вж. точка 4.2):</w:t>
      </w:r>
    </w:p>
    <w:p w14:paraId="5DCC727A" w14:textId="0A8CF5B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lastRenderedPageBreak/>
        <w:t>Бъбречната екскреция на рамиприлат е понижена при пациенти с бъбречна недостатъчност и бъбречния клирънс на рамиприлат е пропорционално свързан с креатининовия клирънс. Това води до повишени плазмени нива на рамиприлат, които намаляват по-бавно в сравнение с индивидите с нормална бъбречна функция.</w:t>
      </w:r>
    </w:p>
    <w:p w14:paraId="03B61EBA" w14:textId="77777777" w:rsidR="00CF2AB4" w:rsidRDefault="00CF2AB4" w:rsidP="00CF2AB4">
      <w:pPr>
        <w:spacing w:line="240" w:lineRule="auto"/>
        <w:rPr>
          <w:rFonts w:eastAsia="Times New Roman" w:cs="Arial"/>
          <w:color w:val="000000"/>
          <w:u w:val="single"/>
          <w:lang w:eastAsia="bg-BG"/>
        </w:rPr>
      </w:pPr>
    </w:p>
    <w:p w14:paraId="07509F32" w14:textId="6878F75A"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Пациенти с чернодробна недостатъчност (вж. точка 4.2):</w:t>
      </w:r>
    </w:p>
    <w:p w14:paraId="3AF7F1B8"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При пациенти с нарушена чернодробна функция метаболизирането на рамиприл до рамиприлат е забавено поради това, че намалената активност на чернодробните естерази и плазмените нива на рамиприл при тези пациенти са повишени. Въпреки това максималните концентрации на рамиприлат при тези пациенти не се различават от тези при индивиди с нормална чернодробна функция.</w:t>
      </w:r>
    </w:p>
    <w:p w14:paraId="3D5A4333" w14:textId="77777777" w:rsidR="00CF2AB4" w:rsidRDefault="00CF2AB4" w:rsidP="00CF2AB4">
      <w:pPr>
        <w:spacing w:line="240" w:lineRule="auto"/>
        <w:rPr>
          <w:rFonts w:eastAsia="Times New Roman" w:cs="Arial"/>
          <w:color w:val="000000"/>
          <w:u w:val="single"/>
          <w:lang w:eastAsia="bg-BG"/>
        </w:rPr>
      </w:pPr>
    </w:p>
    <w:p w14:paraId="5500EE4B" w14:textId="7CC56FAD" w:rsidR="00CF2AB4" w:rsidRPr="00CF2AB4" w:rsidRDefault="00CF2AB4" w:rsidP="00CF2AB4">
      <w:pPr>
        <w:spacing w:line="240" w:lineRule="auto"/>
        <w:rPr>
          <w:rFonts w:eastAsia="Times New Roman" w:cs="Arial"/>
          <w:lang w:eastAsia="bg-BG"/>
        </w:rPr>
      </w:pPr>
      <w:r w:rsidRPr="00CF2AB4">
        <w:rPr>
          <w:rFonts w:eastAsia="Times New Roman" w:cs="Arial"/>
          <w:color w:val="000000"/>
          <w:u w:val="single"/>
          <w:lang w:eastAsia="bg-BG"/>
        </w:rPr>
        <w:t>Педиатрична популация</w:t>
      </w:r>
    </w:p>
    <w:p w14:paraId="7E85AAE6" w14:textId="2E309E7B" w:rsidR="00CF2AB4" w:rsidRDefault="00CF2AB4" w:rsidP="00CF2AB4">
      <w:pPr>
        <w:spacing w:line="240" w:lineRule="auto"/>
        <w:rPr>
          <w:rFonts w:eastAsia="Times New Roman" w:cs="Arial"/>
          <w:color w:val="000000"/>
          <w:lang w:eastAsia="bg-BG"/>
        </w:rPr>
      </w:pPr>
      <w:r w:rsidRPr="00CF2AB4">
        <w:rPr>
          <w:rFonts w:eastAsia="Times New Roman" w:cs="Arial"/>
          <w:color w:val="000000"/>
          <w:lang w:eastAsia="bg-BG"/>
        </w:rPr>
        <w:t xml:space="preserve">Фармакокинетичният профил на рамиприл е проучван при 30 педиатрични пациенти с хипертония на възраст 2-16 години и тегло ≥10 </w:t>
      </w:r>
      <w:r w:rsidRPr="00CF2AB4">
        <w:rPr>
          <w:rFonts w:eastAsia="Times New Roman" w:cs="Arial"/>
          <w:color w:val="000000"/>
          <w:lang w:val="en-US"/>
        </w:rPr>
        <w:t xml:space="preserve">kg. </w:t>
      </w:r>
      <w:r w:rsidRPr="00CF2AB4">
        <w:rPr>
          <w:rFonts w:eastAsia="Times New Roman" w:cs="Arial"/>
          <w:color w:val="000000"/>
          <w:lang w:eastAsia="bg-BG"/>
        </w:rPr>
        <w:t xml:space="preserve">След приложение на дози от 0,05 до 0,2 </w:t>
      </w:r>
      <w:r w:rsidRPr="00CF2AB4">
        <w:rPr>
          <w:rFonts w:eastAsia="Times New Roman" w:cs="Arial"/>
          <w:color w:val="000000"/>
          <w:lang w:val="en-US"/>
        </w:rPr>
        <w:t xml:space="preserve">mg/kg, </w:t>
      </w:r>
      <w:r w:rsidRPr="00CF2AB4">
        <w:rPr>
          <w:rFonts w:eastAsia="Times New Roman" w:cs="Arial"/>
          <w:color w:val="000000"/>
          <w:lang w:eastAsia="bg-BG"/>
        </w:rPr>
        <w:t xml:space="preserve">рамиприл се метаболизира бързо и екстензивно до рамиприлат. Максималните плазмени концентрации на рамиприлат се достигат в рамките на 2-3 часа. Клирънсът на рамиприлат корелира в голяма степен с </w:t>
      </w:r>
      <w:r w:rsidRPr="00CF2AB4">
        <w:rPr>
          <w:rFonts w:eastAsia="Times New Roman" w:cs="Arial"/>
          <w:color w:val="000000"/>
          <w:lang w:val="en-US"/>
        </w:rPr>
        <w:t xml:space="preserve">log </w:t>
      </w:r>
      <w:r w:rsidRPr="00CF2AB4">
        <w:rPr>
          <w:rFonts w:eastAsia="Times New Roman" w:cs="Arial"/>
          <w:color w:val="000000"/>
          <w:lang w:eastAsia="bg-BG"/>
        </w:rPr>
        <w:t>от телесното тегло (р&lt;0,01) както и дозата (р&lt;0,001). Клирънсът</w:t>
      </w:r>
      <w:r>
        <w:rPr>
          <w:rFonts w:eastAsia="Times New Roman" w:cs="Arial"/>
          <w:lang w:val="en-US" w:eastAsia="bg-BG"/>
        </w:rPr>
        <w:t xml:space="preserve"> </w:t>
      </w:r>
      <w:r w:rsidRPr="00CF2AB4">
        <w:rPr>
          <w:rFonts w:eastAsia="Times New Roman" w:cs="Arial"/>
          <w:color w:val="000000"/>
          <w:lang w:eastAsia="bg-BG"/>
        </w:rPr>
        <w:t>и обемът на разпределение се увеличават с нарастване на възрастта на децата за всяка дозозва</w:t>
      </w:r>
      <w:r>
        <w:rPr>
          <w:rFonts w:eastAsia="Times New Roman" w:cs="Arial"/>
          <w:lang w:val="en-US" w:eastAsia="bg-BG"/>
        </w:rPr>
        <w:t xml:space="preserve"> </w:t>
      </w:r>
      <w:r w:rsidRPr="00CF2AB4">
        <w:rPr>
          <w:rFonts w:eastAsia="Times New Roman" w:cs="Arial"/>
          <w:color w:val="000000"/>
          <w:lang w:eastAsia="bg-BG"/>
        </w:rPr>
        <w:t>група.</w:t>
      </w:r>
    </w:p>
    <w:p w14:paraId="1A3CA2E9" w14:textId="23429066" w:rsidR="00CF2AB4" w:rsidRDefault="00CF2AB4" w:rsidP="00CF2AB4">
      <w:pPr>
        <w:spacing w:line="240" w:lineRule="auto"/>
        <w:rPr>
          <w:rFonts w:eastAsia="Times New Roman" w:cs="Arial"/>
          <w:color w:val="000000"/>
          <w:lang w:eastAsia="bg-BG"/>
        </w:rPr>
      </w:pPr>
    </w:p>
    <w:p w14:paraId="4BAA6508" w14:textId="49BC1D6D" w:rsidR="00CF2AB4" w:rsidRDefault="00CF2AB4" w:rsidP="00CF2AB4">
      <w:r>
        <w:t xml:space="preserve">Дозата от 0,05 </w:t>
      </w:r>
      <w:r>
        <w:rPr>
          <w:lang w:val="en-US"/>
        </w:rPr>
        <w:t xml:space="preserve">mg/kg </w:t>
      </w:r>
      <w:r>
        <w:t xml:space="preserve">при деца достига нива на експозиция, сравними с тези при възрастни, лекувани с 5 </w:t>
      </w:r>
      <w:r>
        <w:rPr>
          <w:lang w:val="en-US"/>
        </w:rPr>
        <w:t xml:space="preserve">mg </w:t>
      </w:r>
      <w:r>
        <w:t xml:space="preserve">рамиприл. Дозата от 0,2 </w:t>
      </w:r>
      <w:r>
        <w:rPr>
          <w:lang w:val="en-US"/>
        </w:rPr>
        <w:t xml:space="preserve">mg/kg </w:t>
      </w:r>
      <w:r>
        <w:t xml:space="preserve">при деца е довела до нива на експозиция по- високи от максималната препоръчителна доза от 10 </w:t>
      </w:r>
      <w:r>
        <w:rPr>
          <w:lang w:val="en-US"/>
        </w:rPr>
        <w:t xml:space="preserve">mg </w:t>
      </w:r>
      <w:r>
        <w:t>дневно при възрастни.</w:t>
      </w:r>
    </w:p>
    <w:p w14:paraId="50C1C553" w14:textId="77777777" w:rsidR="00CF2AB4" w:rsidRPr="00CF2AB4" w:rsidRDefault="00CF2AB4" w:rsidP="00CF2AB4">
      <w:pPr>
        <w:spacing w:line="240" w:lineRule="auto"/>
        <w:rPr>
          <w:rFonts w:eastAsia="Times New Roman" w:cs="Arial"/>
          <w:lang w:eastAsia="bg-BG"/>
        </w:rPr>
      </w:pPr>
    </w:p>
    <w:p w14:paraId="4F31844C" w14:textId="3E97F6A3" w:rsidR="00875EEC" w:rsidRDefault="002C50EE" w:rsidP="005726E3">
      <w:pPr>
        <w:pStyle w:val="Heading2"/>
      </w:pPr>
      <w:r>
        <w:t>5.3. Предклинични данни за безопасност</w:t>
      </w:r>
    </w:p>
    <w:p w14:paraId="66DD8EB9" w14:textId="5CB9424C" w:rsidR="00CF2AB4" w:rsidRDefault="00CF2AB4" w:rsidP="00CF2AB4"/>
    <w:p w14:paraId="76C5AC4F"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Пероралното приложение на рамиприл не показва остра токсичност при гризачи и кучета. Проучвания, включващи продължително перорално приложение са проведени при плъхове, кучета и маймуни. Промени в плазмените електролити и в кръвната картина са установени при трите вида. При кучета и маймуни при дневни дози от 250 </w:t>
      </w:r>
      <w:r w:rsidRPr="00CF2AB4">
        <w:rPr>
          <w:rFonts w:eastAsia="Times New Roman" w:cs="Arial"/>
          <w:color w:val="000000"/>
          <w:lang w:val="en-US"/>
        </w:rPr>
        <w:t>mg/kg</w:t>
      </w:r>
      <w:r w:rsidRPr="00CF2AB4">
        <w:rPr>
          <w:rFonts w:eastAsia="Times New Roman" w:cs="Arial"/>
          <w:color w:val="000000"/>
          <w:lang w:eastAsia="bg-BG"/>
        </w:rPr>
        <w:t xml:space="preserve">/ден е наблюдавано значително уголемяване на юкстагломеруларния апарат вследствие фармакодинамичната активност на рамиприл. Плъхове, кучета и маймуни понасят дневни дози съответно до 2, 2,5 и 8 </w:t>
      </w:r>
      <w:r w:rsidRPr="00CF2AB4">
        <w:rPr>
          <w:rFonts w:eastAsia="Times New Roman" w:cs="Arial"/>
          <w:color w:val="000000"/>
          <w:lang w:val="en-US"/>
        </w:rPr>
        <w:t>mg/kg</w:t>
      </w:r>
      <w:r w:rsidRPr="00CF2AB4">
        <w:rPr>
          <w:rFonts w:eastAsia="Times New Roman" w:cs="Arial"/>
          <w:color w:val="000000"/>
          <w:lang w:eastAsia="bg-BG"/>
        </w:rPr>
        <w:t>/ден без вредни ефекти.</w:t>
      </w:r>
    </w:p>
    <w:p w14:paraId="18705048"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Проучвания за репродуктивна токсичност при плъхове, зайци и маймуни не показват тератогенни свойства.</w:t>
      </w:r>
    </w:p>
    <w:p w14:paraId="27C49E1E"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Фертилитетът не се повлиява нито при мъжки, нито при женски плъхове.</w:t>
      </w:r>
    </w:p>
    <w:p w14:paraId="3CF2B512"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 xml:space="preserve">Прилагането на рамиприл на женски плъхове по време на бременност и лактация причинява необратимо бъбречно увреждане (дилатация на бъбречното легенче) в потомството при дневни дози от 50 </w:t>
      </w:r>
      <w:r w:rsidRPr="00CF2AB4">
        <w:rPr>
          <w:rFonts w:eastAsia="Times New Roman" w:cs="Arial"/>
          <w:color w:val="000000"/>
          <w:lang w:val="en-US"/>
        </w:rPr>
        <w:t xml:space="preserve">mg/kg </w:t>
      </w:r>
      <w:r w:rsidRPr="00CF2AB4">
        <w:rPr>
          <w:rFonts w:eastAsia="Times New Roman" w:cs="Arial"/>
          <w:color w:val="000000"/>
          <w:lang w:eastAsia="bg-BG"/>
        </w:rPr>
        <w:t>телесно тегло или по-високи.</w:t>
      </w:r>
    </w:p>
    <w:p w14:paraId="46195B04"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Разширено изследване на мутагенност чрез използването на тяколко тест системи не показва, че рамиприл притежава мутагенни или генотоксични свойства.</w:t>
      </w:r>
    </w:p>
    <w:p w14:paraId="55C57C5F" w14:textId="77777777" w:rsidR="00CF2AB4" w:rsidRPr="00CF2AB4" w:rsidRDefault="00CF2AB4" w:rsidP="00CF2AB4">
      <w:pPr>
        <w:spacing w:line="240" w:lineRule="auto"/>
        <w:rPr>
          <w:rFonts w:eastAsia="Times New Roman" w:cs="Arial"/>
          <w:lang w:eastAsia="bg-BG"/>
        </w:rPr>
      </w:pPr>
      <w:r w:rsidRPr="00CF2AB4">
        <w:rPr>
          <w:rFonts w:eastAsia="Times New Roman" w:cs="Arial"/>
          <w:color w:val="000000"/>
          <w:lang w:eastAsia="bg-BG"/>
        </w:rPr>
        <w:t>При много млади плъхове, на които е приложена еднократна доза рамиприл, е наблюдавано необратимо бъбречно увреждане.</w:t>
      </w:r>
    </w:p>
    <w:p w14:paraId="4A313773" w14:textId="77777777" w:rsidR="00CF2AB4" w:rsidRPr="00CF2AB4" w:rsidRDefault="00CF2AB4" w:rsidP="00CF2AB4"/>
    <w:p w14:paraId="357049A8" w14:textId="525DAB74" w:rsidR="00BB22B4" w:rsidRDefault="002C50EE" w:rsidP="00471F10">
      <w:pPr>
        <w:pStyle w:val="Heading1"/>
      </w:pPr>
      <w:r>
        <w:t>7. ПРИТЕЖАТЕЛ НА РАЗРЕШЕНИЕТО ЗА УПОТРЕБА</w:t>
      </w:r>
    </w:p>
    <w:p w14:paraId="6E875775" w14:textId="593306EF" w:rsidR="00CF2AB4" w:rsidRDefault="00CF2AB4" w:rsidP="00CF2AB4"/>
    <w:p w14:paraId="6374D0AD" w14:textId="77777777" w:rsidR="00CF2AB4" w:rsidRPr="00CF2AB4" w:rsidRDefault="00CF2AB4" w:rsidP="00CF2AB4">
      <w:pPr>
        <w:rPr>
          <w:sz w:val="24"/>
          <w:szCs w:val="24"/>
          <w:lang w:val="en-US" w:eastAsia="bg-BG"/>
        </w:rPr>
      </w:pPr>
      <w:proofErr w:type="spellStart"/>
      <w:r w:rsidRPr="00CF2AB4">
        <w:rPr>
          <w:lang w:val="en-US"/>
        </w:rPr>
        <w:lastRenderedPageBreak/>
        <w:t>Hexal</w:t>
      </w:r>
      <w:proofErr w:type="spellEnd"/>
      <w:r w:rsidRPr="00CF2AB4">
        <w:rPr>
          <w:lang w:val="en-US"/>
        </w:rPr>
        <w:t xml:space="preserve"> AG</w:t>
      </w:r>
    </w:p>
    <w:p w14:paraId="137660A8" w14:textId="77777777" w:rsidR="00CF2AB4" w:rsidRPr="00CF2AB4" w:rsidRDefault="00CF2AB4" w:rsidP="00CF2AB4">
      <w:pPr>
        <w:rPr>
          <w:sz w:val="24"/>
          <w:szCs w:val="24"/>
          <w:lang w:val="en-US" w:eastAsia="bg-BG"/>
        </w:rPr>
      </w:pPr>
      <w:proofErr w:type="spellStart"/>
      <w:r w:rsidRPr="00CF2AB4">
        <w:rPr>
          <w:lang w:val="en-US"/>
        </w:rPr>
        <w:t>Industriestrasse</w:t>
      </w:r>
      <w:proofErr w:type="spellEnd"/>
      <w:r w:rsidRPr="00CF2AB4">
        <w:rPr>
          <w:lang w:val="en-US"/>
        </w:rPr>
        <w:t xml:space="preserve"> </w:t>
      </w:r>
      <w:r w:rsidRPr="00CF2AB4">
        <w:rPr>
          <w:lang w:eastAsia="bg-BG"/>
        </w:rPr>
        <w:t>25</w:t>
      </w:r>
    </w:p>
    <w:p w14:paraId="159DDA2A" w14:textId="3F66BE69" w:rsidR="00CF2AB4" w:rsidRPr="00CF2AB4" w:rsidRDefault="00CF2AB4" w:rsidP="00CF2AB4">
      <w:r w:rsidRPr="00CF2AB4">
        <w:rPr>
          <w:lang w:val="en-US"/>
        </w:rPr>
        <w:t>D-</w:t>
      </w:r>
      <w:proofErr w:type="spellStart"/>
      <w:r w:rsidRPr="00CF2AB4">
        <w:rPr>
          <w:lang w:val="en-US"/>
        </w:rPr>
        <w:t>Holzkirchen</w:t>
      </w:r>
      <w:proofErr w:type="spellEnd"/>
      <w:r w:rsidRPr="00CF2AB4">
        <w:rPr>
          <w:lang w:val="en-US"/>
        </w:rPr>
        <w:t xml:space="preserve">, </w:t>
      </w:r>
      <w:r w:rsidRPr="00CF2AB4">
        <w:rPr>
          <w:lang w:eastAsia="bg-BG"/>
        </w:rPr>
        <w:t>Германия</w:t>
      </w:r>
    </w:p>
    <w:p w14:paraId="796B2EC6" w14:textId="15728F3E" w:rsidR="00BB22B4" w:rsidRDefault="00936AD0" w:rsidP="00471F10">
      <w:pPr>
        <w:pStyle w:val="Heading1"/>
      </w:pPr>
      <w:r>
        <w:t>8.</w:t>
      </w:r>
      <w:r w:rsidR="002C50EE">
        <w:t>НОМЕР НА РАЗРЕШЕНИЕТО ЗА УПОТРЕБА</w:t>
      </w:r>
    </w:p>
    <w:p w14:paraId="66EE09A6" w14:textId="54F5141F" w:rsidR="00CF2AB4" w:rsidRDefault="00CF2AB4" w:rsidP="00CF2AB4"/>
    <w:p w14:paraId="5911DBE7" w14:textId="369B07F7" w:rsidR="00CF2AB4" w:rsidRPr="00CF2AB4" w:rsidRDefault="00CF2AB4" w:rsidP="00CF2AB4">
      <w:pPr>
        <w:rPr>
          <w:sz w:val="24"/>
          <w:szCs w:val="24"/>
          <w:lang w:eastAsia="bg-BG"/>
        </w:rPr>
      </w:pPr>
      <w:r w:rsidRPr="00CF2AB4">
        <w:rPr>
          <w:lang w:eastAsia="bg-BG"/>
        </w:rPr>
        <w:t xml:space="preserve">РамиХЕКСАЛ 5 </w:t>
      </w:r>
      <w:r w:rsidRPr="00CF2AB4">
        <w:rPr>
          <w:lang w:val="en-US"/>
        </w:rPr>
        <w:t xml:space="preserve">mg </w:t>
      </w:r>
      <w:r w:rsidRPr="00CF2AB4">
        <w:rPr>
          <w:lang w:eastAsia="bg-BG"/>
        </w:rPr>
        <w:t>таблетки: 20050530</w:t>
      </w:r>
    </w:p>
    <w:p w14:paraId="3715C10B" w14:textId="7A33E65B" w:rsidR="00BB22B4" w:rsidRDefault="002C50EE" w:rsidP="00471F10">
      <w:pPr>
        <w:pStyle w:val="Heading1"/>
      </w:pPr>
      <w:r>
        <w:t>9. ДАТА НА ПЪРВО РАЗРЕШАВАНЕ/ПОДНОВЯВАНЕ НА РАЗРЕШЕНИЕТО ЗА УПОТРЕБА</w:t>
      </w:r>
    </w:p>
    <w:p w14:paraId="34192772" w14:textId="440B19F4" w:rsidR="00CF2AB4" w:rsidRDefault="00CF2AB4" w:rsidP="00CF2AB4"/>
    <w:p w14:paraId="14A27012" w14:textId="77777777" w:rsidR="00CF2AB4" w:rsidRPr="00CF2AB4" w:rsidRDefault="00CF2AB4" w:rsidP="00CF2AB4">
      <w:pPr>
        <w:rPr>
          <w:sz w:val="24"/>
          <w:szCs w:val="24"/>
          <w:lang w:eastAsia="bg-BG"/>
        </w:rPr>
      </w:pPr>
      <w:r w:rsidRPr="00CF2AB4">
        <w:rPr>
          <w:lang w:eastAsia="bg-BG"/>
        </w:rPr>
        <w:t>Първо РУ; 16.11.2005</w:t>
      </w:r>
    </w:p>
    <w:p w14:paraId="78EF81CD" w14:textId="36B21BA3" w:rsidR="00CF2AB4" w:rsidRPr="00CF2AB4" w:rsidRDefault="00CF2AB4" w:rsidP="00CF2AB4">
      <w:r w:rsidRPr="00CF2AB4">
        <w:rPr>
          <w:lang w:eastAsia="bg-BG"/>
        </w:rPr>
        <w:t>Подновяване на РУ: 16.03.2011</w:t>
      </w:r>
    </w:p>
    <w:p w14:paraId="43FB38A2" w14:textId="5EC224B3" w:rsidR="007C605B" w:rsidRDefault="002C50EE" w:rsidP="005726E3">
      <w:pPr>
        <w:pStyle w:val="Heading1"/>
      </w:pPr>
      <w:r>
        <w:t>10. ДАТА НА АКТУАЛИЗИРАНЕ НА ТЕКСТА</w:t>
      </w:r>
      <w:bookmarkEnd w:id="0"/>
    </w:p>
    <w:p w14:paraId="20FE649D" w14:textId="44FCC324" w:rsidR="00CF2AB4" w:rsidRPr="00CF2AB4" w:rsidRDefault="00CF2AB4" w:rsidP="00CF2AB4">
      <w:r>
        <w:t>05/2020</w:t>
      </w:r>
    </w:p>
    <w:p w14:paraId="472617BD" w14:textId="1B698B40" w:rsidR="00BB22B4" w:rsidRPr="00BB22B4" w:rsidRDefault="00BB22B4" w:rsidP="00BB22B4"/>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abstractNum>
  <w:abstractNum w:abstractNumId="3" w15:restartNumberingAfterBreak="0">
    <w:nsid w:val="00000007"/>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abstractNum>
  <w:abstractNum w:abstractNumId="4"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3E34077"/>
    <w:multiLevelType w:val="hybridMultilevel"/>
    <w:tmpl w:val="95AEA8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6233A"/>
    <w:multiLevelType w:val="hybridMultilevel"/>
    <w:tmpl w:val="18EA24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7"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11CDC"/>
    <w:multiLevelType w:val="hybridMultilevel"/>
    <w:tmpl w:val="96501BA2"/>
    <w:lvl w:ilvl="0" w:tplc="F24258B2">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30100"/>
    <w:multiLevelType w:val="hybridMultilevel"/>
    <w:tmpl w:val="2A9056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050226F"/>
    <w:multiLevelType w:val="hybridMultilevel"/>
    <w:tmpl w:val="52CCD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67A88"/>
    <w:multiLevelType w:val="hybridMultilevel"/>
    <w:tmpl w:val="95CE9B1A"/>
    <w:lvl w:ilvl="0" w:tplc="F24258B2">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5" w15:restartNumberingAfterBreak="0">
    <w:nsid w:val="7FD4459F"/>
    <w:multiLevelType w:val="hybridMultilevel"/>
    <w:tmpl w:val="6144E1E4"/>
    <w:lvl w:ilvl="0" w:tplc="F24258B2">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218901647">
    <w:abstractNumId w:val="34"/>
  </w:num>
  <w:num w:numId="2" w16cid:durableId="1779717121">
    <w:abstractNumId w:val="0"/>
  </w:num>
  <w:num w:numId="3" w16cid:durableId="2061635204">
    <w:abstractNumId w:val="17"/>
  </w:num>
  <w:num w:numId="4" w16cid:durableId="1940213071">
    <w:abstractNumId w:val="5"/>
  </w:num>
  <w:num w:numId="5" w16cid:durableId="934825802">
    <w:abstractNumId w:val="1"/>
  </w:num>
  <w:num w:numId="6" w16cid:durableId="1012076179">
    <w:abstractNumId w:val="22"/>
  </w:num>
  <w:num w:numId="7" w16cid:durableId="776489261">
    <w:abstractNumId w:val="15"/>
  </w:num>
  <w:num w:numId="8" w16cid:durableId="678190700">
    <w:abstractNumId w:val="21"/>
  </w:num>
  <w:num w:numId="9" w16cid:durableId="1269389795">
    <w:abstractNumId w:val="4"/>
  </w:num>
  <w:num w:numId="10" w16cid:durableId="706488397">
    <w:abstractNumId w:val="7"/>
  </w:num>
  <w:num w:numId="11" w16cid:durableId="1964265974">
    <w:abstractNumId w:val="39"/>
  </w:num>
  <w:num w:numId="12" w16cid:durableId="2027360120">
    <w:abstractNumId w:val="19"/>
  </w:num>
  <w:num w:numId="13" w16cid:durableId="434718070">
    <w:abstractNumId w:val="25"/>
  </w:num>
  <w:num w:numId="14" w16cid:durableId="1406150259">
    <w:abstractNumId w:val="16"/>
  </w:num>
  <w:num w:numId="15" w16cid:durableId="1548565477">
    <w:abstractNumId w:val="38"/>
  </w:num>
  <w:num w:numId="16" w16cid:durableId="1768887281">
    <w:abstractNumId w:val="14"/>
  </w:num>
  <w:num w:numId="17" w16cid:durableId="1237284208">
    <w:abstractNumId w:val="30"/>
  </w:num>
  <w:num w:numId="18" w16cid:durableId="726412404">
    <w:abstractNumId w:val="11"/>
  </w:num>
  <w:num w:numId="19" w16cid:durableId="947273127">
    <w:abstractNumId w:val="33"/>
  </w:num>
  <w:num w:numId="20" w16cid:durableId="1597403914">
    <w:abstractNumId w:val="29"/>
  </w:num>
  <w:num w:numId="21" w16cid:durableId="1909266647">
    <w:abstractNumId w:val="23"/>
  </w:num>
  <w:num w:numId="22" w16cid:durableId="1734430824">
    <w:abstractNumId w:val="32"/>
  </w:num>
  <w:num w:numId="23" w16cid:durableId="270236593">
    <w:abstractNumId w:val="24"/>
  </w:num>
  <w:num w:numId="24" w16cid:durableId="1829247721">
    <w:abstractNumId w:val="12"/>
  </w:num>
  <w:num w:numId="25" w16cid:durableId="1806584578">
    <w:abstractNumId w:val="28"/>
  </w:num>
  <w:num w:numId="26" w16cid:durableId="1287809407">
    <w:abstractNumId w:val="27"/>
  </w:num>
  <w:num w:numId="27" w16cid:durableId="1422874674">
    <w:abstractNumId w:val="41"/>
  </w:num>
  <w:num w:numId="28" w16cid:durableId="530338837">
    <w:abstractNumId w:val="9"/>
  </w:num>
  <w:num w:numId="29" w16cid:durableId="20278671">
    <w:abstractNumId w:val="26"/>
  </w:num>
  <w:num w:numId="30" w16cid:durableId="995307669">
    <w:abstractNumId w:val="44"/>
  </w:num>
  <w:num w:numId="31" w16cid:durableId="1164317329">
    <w:abstractNumId w:val="8"/>
  </w:num>
  <w:num w:numId="32" w16cid:durableId="619339470">
    <w:abstractNumId w:val="43"/>
  </w:num>
  <w:num w:numId="33" w16cid:durableId="115609845">
    <w:abstractNumId w:val="35"/>
  </w:num>
  <w:num w:numId="34" w16cid:durableId="651570292">
    <w:abstractNumId w:val="42"/>
  </w:num>
  <w:num w:numId="35" w16cid:durableId="2036076223">
    <w:abstractNumId w:val="10"/>
  </w:num>
  <w:num w:numId="36" w16cid:durableId="154415094">
    <w:abstractNumId w:val="13"/>
  </w:num>
  <w:num w:numId="37" w16cid:durableId="2088064827">
    <w:abstractNumId w:val="20"/>
  </w:num>
  <w:num w:numId="38" w16cid:durableId="1906911941">
    <w:abstractNumId w:val="2"/>
  </w:num>
  <w:num w:numId="39" w16cid:durableId="51542884">
    <w:abstractNumId w:val="3"/>
  </w:num>
  <w:num w:numId="40" w16cid:durableId="964045778">
    <w:abstractNumId w:val="37"/>
  </w:num>
  <w:num w:numId="41" w16cid:durableId="1703289313">
    <w:abstractNumId w:val="40"/>
  </w:num>
  <w:num w:numId="42" w16cid:durableId="705986139">
    <w:abstractNumId w:val="18"/>
  </w:num>
  <w:num w:numId="43" w16cid:durableId="1277063021">
    <w:abstractNumId w:val="45"/>
  </w:num>
  <w:num w:numId="44" w16cid:durableId="1235508442">
    <w:abstractNumId w:val="36"/>
  </w:num>
  <w:num w:numId="45" w16cid:durableId="187719361">
    <w:abstractNumId w:val="31"/>
  </w:num>
  <w:num w:numId="46" w16cid:durableId="1970241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96510"/>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378B3"/>
    <w:rsid w:val="00A65A81"/>
    <w:rsid w:val="00AA23EC"/>
    <w:rsid w:val="00AC63CE"/>
    <w:rsid w:val="00AE2107"/>
    <w:rsid w:val="00B275A8"/>
    <w:rsid w:val="00B6672E"/>
    <w:rsid w:val="00BB22B4"/>
    <w:rsid w:val="00BF2600"/>
    <w:rsid w:val="00C0049F"/>
    <w:rsid w:val="00C07B84"/>
    <w:rsid w:val="00C33464"/>
    <w:rsid w:val="00C40420"/>
    <w:rsid w:val="00C809A7"/>
    <w:rsid w:val="00C83063"/>
    <w:rsid w:val="00C87E90"/>
    <w:rsid w:val="00CA1B57"/>
    <w:rsid w:val="00CF2AB4"/>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6922</Words>
  <Characters>39458</Characters>
  <Application>Microsoft Office Word</Application>
  <DocSecurity>0</DocSecurity>
  <Lines>328</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2022-12-27T13:38:00Z</dcterms:created>
  <dcterms:modified xsi:type="dcterms:W3CDTF">2022-12-27T13:38:00Z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