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79516554" w14:textId="6F4B0AE0" w:rsidR="00DB32D3" w:rsidRDefault="00DD466D" w:rsidP="005726E3">
      <w:pPr>
        <w:pStyle w:val="Heading1"/>
      </w:pPr>
      <w:r>
        <w:t>1.ИМЕ НА ЛЕКАРСТВЕНИЯ ПРОДУКТ</w:t>
      </w:r>
    </w:p>
    <w:p w14:paraId="2CED3839" w14:textId="2392BE7F" w:rsidR="004B0F24" w:rsidRDefault="004B0F24" w:rsidP="004B0F24"/>
    <w:p w14:paraId="4F067698" w14:textId="77777777" w:rsidR="004B0F24" w:rsidRPr="004B0F24" w:rsidRDefault="004B0F24" w:rsidP="004B0F24">
      <w:pPr>
        <w:rPr>
          <w:sz w:val="24"/>
          <w:szCs w:val="24"/>
        </w:rPr>
      </w:pPr>
      <w:r w:rsidRPr="004B0F24">
        <w:rPr>
          <w:lang w:eastAsia="bg-BG"/>
        </w:rPr>
        <w:t xml:space="preserve">Рамимед 5 </w:t>
      </w:r>
      <w:r w:rsidRPr="004B0F24">
        <w:rPr>
          <w:lang w:val="en-US"/>
        </w:rPr>
        <w:t>mg</w:t>
      </w:r>
      <w:r w:rsidRPr="004B0F24">
        <w:t xml:space="preserve"> </w:t>
      </w:r>
      <w:r w:rsidRPr="004B0F24">
        <w:rPr>
          <w:lang w:eastAsia="bg-BG"/>
        </w:rPr>
        <w:t>таблетки</w:t>
      </w:r>
    </w:p>
    <w:p w14:paraId="46008D85" w14:textId="77777777" w:rsidR="004B0F24" w:rsidRPr="004B0F24" w:rsidRDefault="004B0F24" w:rsidP="004B0F24">
      <w:pPr>
        <w:rPr>
          <w:sz w:val="24"/>
          <w:szCs w:val="24"/>
        </w:rPr>
      </w:pPr>
      <w:proofErr w:type="spellStart"/>
      <w:r w:rsidRPr="004B0F24">
        <w:rPr>
          <w:lang w:val="en-US"/>
        </w:rPr>
        <w:t>Ramimed</w:t>
      </w:r>
      <w:proofErr w:type="spellEnd"/>
      <w:r w:rsidRPr="004B0F24">
        <w:t xml:space="preserve"> </w:t>
      </w:r>
      <w:r w:rsidRPr="004B0F24">
        <w:rPr>
          <w:lang w:eastAsia="bg-BG"/>
        </w:rPr>
        <w:t xml:space="preserve">5 </w:t>
      </w:r>
      <w:r w:rsidRPr="004B0F24">
        <w:rPr>
          <w:lang w:val="en-US"/>
        </w:rPr>
        <w:t>mg</w:t>
      </w:r>
      <w:r w:rsidRPr="004B0F24">
        <w:t xml:space="preserve"> </w:t>
      </w:r>
      <w:r w:rsidRPr="004B0F24">
        <w:rPr>
          <w:lang w:val="en-US"/>
        </w:rPr>
        <w:t>tablets</w:t>
      </w:r>
    </w:p>
    <w:p w14:paraId="4A7D7129" w14:textId="77777777" w:rsidR="004B0F24" w:rsidRDefault="004B0F24" w:rsidP="004B0F24">
      <w:pPr>
        <w:rPr>
          <w:lang w:eastAsia="bg-BG"/>
        </w:rPr>
      </w:pPr>
    </w:p>
    <w:p w14:paraId="1E41FB2A" w14:textId="0158E608" w:rsidR="004B0F24" w:rsidRPr="004B0F24" w:rsidRDefault="004B0F24" w:rsidP="004B0F24">
      <w:pPr>
        <w:rPr>
          <w:sz w:val="24"/>
          <w:szCs w:val="24"/>
        </w:rPr>
      </w:pPr>
      <w:r w:rsidRPr="004B0F24">
        <w:rPr>
          <w:lang w:eastAsia="bg-BG"/>
        </w:rPr>
        <w:t xml:space="preserve">Рамимед 10 </w:t>
      </w:r>
      <w:r w:rsidRPr="004B0F24">
        <w:rPr>
          <w:lang w:val="en-US"/>
        </w:rPr>
        <w:t>mg</w:t>
      </w:r>
      <w:r w:rsidRPr="004B0F24">
        <w:t xml:space="preserve"> </w:t>
      </w:r>
      <w:r w:rsidRPr="004B0F24">
        <w:rPr>
          <w:lang w:eastAsia="bg-BG"/>
        </w:rPr>
        <w:t>таблетки</w:t>
      </w:r>
    </w:p>
    <w:p w14:paraId="4FA2D52B" w14:textId="644D378C" w:rsidR="004B0F24" w:rsidRPr="004B0F24" w:rsidRDefault="004B0F24" w:rsidP="004B0F24">
      <w:proofErr w:type="spellStart"/>
      <w:r w:rsidRPr="004B0F24">
        <w:rPr>
          <w:lang w:val="en-US"/>
        </w:rPr>
        <w:t>Ramimed</w:t>
      </w:r>
      <w:proofErr w:type="spellEnd"/>
      <w:r w:rsidRPr="004B0F24">
        <w:t xml:space="preserve"> </w:t>
      </w:r>
      <w:r w:rsidRPr="004B0F24">
        <w:rPr>
          <w:lang w:eastAsia="bg-BG"/>
        </w:rPr>
        <w:t xml:space="preserve">10 </w:t>
      </w:r>
      <w:r w:rsidRPr="004B0F24">
        <w:rPr>
          <w:lang w:val="en-US"/>
        </w:rPr>
        <w:t>mg</w:t>
      </w:r>
      <w:r w:rsidRPr="004B0F24">
        <w:t xml:space="preserve"> </w:t>
      </w:r>
      <w:r w:rsidRPr="004B0F24">
        <w:rPr>
          <w:lang w:val="en-US"/>
        </w:rPr>
        <w:t>tablets</w:t>
      </w:r>
    </w:p>
    <w:p w14:paraId="48E6CABE" w14:textId="496B0AD6" w:rsidR="00DB32D3" w:rsidRDefault="00DD466D" w:rsidP="005726E3">
      <w:pPr>
        <w:pStyle w:val="Heading1"/>
      </w:pPr>
      <w:r>
        <w:t>2. КАЧЕСТВЕН И КОЛИЧЕСТВЕН СЪСТАВ</w:t>
      </w:r>
    </w:p>
    <w:p w14:paraId="2A8B89FC" w14:textId="46396502" w:rsidR="004B0F24" w:rsidRDefault="004B0F24" w:rsidP="004B0F24"/>
    <w:p w14:paraId="5ED43BDF" w14:textId="77777777" w:rsidR="004B0F24" w:rsidRPr="004B0F24" w:rsidRDefault="004B0F24" w:rsidP="004B0F24">
      <w:pPr>
        <w:rPr>
          <w:sz w:val="24"/>
          <w:szCs w:val="24"/>
        </w:rPr>
      </w:pPr>
      <w:r w:rsidRPr="004B0F24">
        <w:rPr>
          <w:lang w:eastAsia="bg-BG"/>
        </w:rPr>
        <w:t xml:space="preserve">Рамимед 5 </w:t>
      </w:r>
      <w:r w:rsidRPr="004B0F24">
        <w:rPr>
          <w:lang w:val="en-US"/>
        </w:rPr>
        <w:t>mg</w:t>
      </w:r>
      <w:r w:rsidRPr="004B0F24">
        <w:t>:</w:t>
      </w:r>
    </w:p>
    <w:p w14:paraId="0F09BA99" w14:textId="77777777" w:rsidR="004B0F24" w:rsidRPr="004B0F24" w:rsidRDefault="004B0F24" w:rsidP="004B0F24">
      <w:pPr>
        <w:rPr>
          <w:sz w:val="24"/>
          <w:szCs w:val="24"/>
        </w:rPr>
      </w:pPr>
      <w:r w:rsidRPr="004B0F24">
        <w:rPr>
          <w:lang w:eastAsia="bg-BG"/>
        </w:rPr>
        <w:t xml:space="preserve">Една таблетка съдържа 5 </w:t>
      </w:r>
      <w:r w:rsidRPr="004B0F24">
        <w:rPr>
          <w:lang w:val="en-US"/>
        </w:rPr>
        <w:t>mg</w:t>
      </w:r>
      <w:r w:rsidRPr="004B0F24">
        <w:t xml:space="preserve"> </w:t>
      </w:r>
      <w:r w:rsidRPr="004B0F24">
        <w:rPr>
          <w:lang w:eastAsia="bg-BG"/>
        </w:rPr>
        <w:t xml:space="preserve">рамиприл </w:t>
      </w:r>
      <w:r w:rsidRPr="004B0F24">
        <w:rPr>
          <w:i/>
          <w:iCs/>
        </w:rPr>
        <w:t>(</w:t>
      </w:r>
      <w:proofErr w:type="spellStart"/>
      <w:r w:rsidRPr="004B0F24">
        <w:rPr>
          <w:i/>
          <w:iCs/>
          <w:lang w:val="en-US"/>
        </w:rPr>
        <w:t>ramipril</w:t>
      </w:r>
      <w:proofErr w:type="spellEnd"/>
      <w:r w:rsidRPr="004B0F24">
        <w:rPr>
          <w:i/>
          <w:iCs/>
        </w:rPr>
        <w:t>).</w:t>
      </w:r>
    </w:p>
    <w:p w14:paraId="0348383B" w14:textId="77777777" w:rsidR="004B0F24" w:rsidRPr="004B0F24" w:rsidRDefault="004B0F24" w:rsidP="004B0F24">
      <w:pPr>
        <w:rPr>
          <w:sz w:val="24"/>
          <w:szCs w:val="24"/>
        </w:rPr>
      </w:pPr>
      <w:r w:rsidRPr="004B0F24">
        <w:rPr>
          <w:lang w:eastAsia="bg-BG"/>
        </w:rPr>
        <w:t xml:space="preserve">Рамимед 10 </w:t>
      </w:r>
      <w:r w:rsidRPr="004B0F24">
        <w:rPr>
          <w:lang w:val="en-US"/>
        </w:rPr>
        <w:t>mg</w:t>
      </w:r>
      <w:r w:rsidRPr="004B0F24">
        <w:t>:</w:t>
      </w:r>
    </w:p>
    <w:p w14:paraId="04A1EF34" w14:textId="77777777" w:rsidR="004B0F24" w:rsidRPr="004B0F24" w:rsidRDefault="004B0F24" w:rsidP="004B0F24">
      <w:pPr>
        <w:rPr>
          <w:sz w:val="24"/>
          <w:szCs w:val="24"/>
        </w:rPr>
      </w:pPr>
      <w:r w:rsidRPr="004B0F24">
        <w:rPr>
          <w:lang w:eastAsia="bg-BG"/>
        </w:rPr>
        <w:t xml:space="preserve">Една таблетка съдържа 10 </w:t>
      </w:r>
      <w:r w:rsidRPr="004B0F24">
        <w:rPr>
          <w:lang w:val="en-US"/>
        </w:rPr>
        <w:t>mg</w:t>
      </w:r>
      <w:r w:rsidRPr="004B0F24">
        <w:t xml:space="preserve"> </w:t>
      </w:r>
      <w:r w:rsidRPr="004B0F24">
        <w:rPr>
          <w:lang w:eastAsia="bg-BG"/>
        </w:rPr>
        <w:t xml:space="preserve">рамиприл </w:t>
      </w:r>
      <w:r w:rsidRPr="004B0F24">
        <w:rPr>
          <w:i/>
          <w:iCs/>
        </w:rPr>
        <w:t>(</w:t>
      </w:r>
      <w:proofErr w:type="spellStart"/>
      <w:r w:rsidRPr="004B0F24">
        <w:rPr>
          <w:i/>
          <w:iCs/>
          <w:lang w:val="en-US"/>
        </w:rPr>
        <w:t>ramipril</w:t>
      </w:r>
      <w:proofErr w:type="spellEnd"/>
      <w:r w:rsidRPr="004B0F24">
        <w:rPr>
          <w:i/>
          <w:iCs/>
        </w:rPr>
        <w:t>).</w:t>
      </w:r>
    </w:p>
    <w:p w14:paraId="49821BD4" w14:textId="77777777" w:rsidR="004B0F24" w:rsidRDefault="004B0F24" w:rsidP="004B0F24">
      <w:pPr>
        <w:rPr>
          <w:lang w:eastAsia="bg-BG"/>
        </w:rPr>
      </w:pPr>
    </w:p>
    <w:p w14:paraId="5362411C" w14:textId="241B61C2" w:rsidR="004B0F24" w:rsidRPr="004B0F24" w:rsidRDefault="004B0F24" w:rsidP="004B0F24">
      <w:pPr>
        <w:rPr>
          <w:sz w:val="24"/>
          <w:szCs w:val="24"/>
        </w:rPr>
      </w:pPr>
      <w:r w:rsidRPr="004B0F24">
        <w:rPr>
          <w:lang w:eastAsia="bg-BG"/>
        </w:rPr>
        <w:t>Помощно вещество с известно действие: лактоза монохидрат.</w:t>
      </w:r>
    </w:p>
    <w:p w14:paraId="7B68A7E0" w14:textId="77777777" w:rsidR="004B0F24" w:rsidRPr="004B0F24" w:rsidRDefault="004B0F24" w:rsidP="004B0F24">
      <w:pPr>
        <w:rPr>
          <w:sz w:val="24"/>
          <w:szCs w:val="24"/>
        </w:rPr>
      </w:pPr>
      <w:r w:rsidRPr="004B0F24">
        <w:rPr>
          <w:lang w:eastAsia="bg-BG"/>
        </w:rPr>
        <w:t xml:space="preserve">Всяка таблетка Рамимед 5 </w:t>
      </w:r>
      <w:r w:rsidRPr="004B0F24">
        <w:rPr>
          <w:lang w:val="en-US"/>
        </w:rPr>
        <w:t>mg</w:t>
      </w:r>
      <w:r w:rsidRPr="004B0F24">
        <w:rPr>
          <w:lang w:val="ru-RU"/>
        </w:rPr>
        <w:t xml:space="preserve"> </w:t>
      </w:r>
      <w:r w:rsidRPr="004B0F24">
        <w:rPr>
          <w:lang w:eastAsia="bg-BG"/>
        </w:rPr>
        <w:t xml:space="preserve">съдържа 96 </w:t>
      </w:r>
      <w:r w:rsidRPr="004B0F24">
        <w:rPr>
          <w:lang w:val="en-US"/>
        </w:rPr>
        <w:t>mg</w:t>
      </w:r>
      <w:r w:rsidRPr="004B0F24">
        <w:rPr>
          <w:lang w:val="ru-RU"/>
        </w:rPr>
        <w:t xml:space="preserve"> </w:t>
      </w:r>
      <w:r w:rsidRPr="004B0F24">
        <w:rPr>
          <w:lang w:eastAsia="bg-BG"/>
        </w:rPr>
        <w:t>лактоза монохидрат.</w:t>
      </w:r>
    </w:p>
    <w:p w14:paraId="78FD2FB0" w14:textId="77777777" w:rsidR="004B0F24" w:rsidRPr="004B0F24" w:rsidRDefault="004B0F24" w:rsidP="004B0F24">
      <w:pPr>
        <w:rPr>
          <w:sz w:val="24"/>
          <w:szCs w:val="24"/>
        </w:rPr>
      </w:pPr>
      <w:r w:rsidRPr="004B0F24">
        <w:rPr>
          <w:lang w:eastAsia="bg-BG"/>
        </w:rPr>
        <w:t xml:space="preserve">Всяка таблетка Рамимед 10 </w:t>
      </w:r>
      <w:r w:rsidRPr="004B0F24">
        <w:rPr>
          <w:lang w:val="en-US"/>
        </w:rPr>
        <w:t>mg</w:t>
      </w:r>
      <w:r w:rsidRPr="004B0F24">
        <w:rPr>
          <w:lang w:val="ru-RU"/>
        </w:rPr>
        <w:t xml:space="preserve"> </w:t>
      </w:r>
      <w:r w:rsidRPr="004B0F24">
        <w:rPr>
          <w:lang w:eastAsia="bg-BG"/>
        </w:rPr>
        <w:t xml:space="preserve">съдържа 193 </w:t>
      </w:r>
      <w:r w:rsidRPr="004B0F24">
        <w:rPr>
          <w:lang w:val="en-US"/>
        </w:rPr>
        <w:t>mg</w:t>
      </w:r>
      <w:r w:rsidRPr="004B0F24">
        <w:rPr>
          <w:lang w:val="ru-RU"/>
        </w:rPr>
        <w:t xml:space="preserve"> </w:t>
      </w:r>
      <w:r w:rsidRPr="004B0F24">
        <w:rPr>
          <w:lang w:eastAsia="bg-BG"/>
        </w:rPr>
        <w:t>лактоза монохидрат.</w:t>
      </w:r>
    </w:p>
    <w:p w14:paraId="22E4DD1D" w14:textId="77777777" w:rsidR="004B0F24" w:rsidRPr="004B0F24" w:rsidRDefault="004B0F24" w:rsidP="004B0F24"/>
    <w:p w14:paraId="614984C4" w14:textId="1F727161" w:rsidR="008A6AF2" w:rsidRDefault="00DD466D" w:rsidP="002C50EE">
      <w:pPr>
        <w:pStyle w:val="Heading1"/>
      </w:pPr>
      <w:r>
        <w:t>3. ЛЕКАРСТВЕНА ФОРМА</w:t>
      </w:r>
    </w:p>
    <w:p w14:paraId="04745628" w14:textId="7E19EDAE" w:rsidR="004B0F24" w:rsidRDefault="004B0F24" w:rsidP="004B0F24"/>
    <w:p w14:paraId="42A1BDCC" w14:textId="77777777" w:rsidR="004B0F24" w:rsidRPr="004B0F24" w:rsidRDefault="004B0F24" w:rsidP="004B0F24">
      <w:pPr>
        <w:rPr>
          <w:sz w:val="24"/>
          <w:szCs w:val="24"/>
        </w:rPr>
      </w:pPr>
      <w:r w:rsidRPr="004B0F24">
        <w:rPr>
          <w:lang w:eastAsia="bg-BG"/>
        </w:rPr>
        <w:t>Таблетка.</w:t>
      </w:r>
    </w:p>
    <w:p w14:paraId="42851392" w14:textId="77777777" w:rsidR="004B0F24" w:rsidRDefault="004B0F24" w:rsidP="004B0F24">
      <w:pPr>
        <w:rPr>
          <w:lang w:eastAsia="bg-BG"/>
        </w:rPr>
      </w:pPr>
    </w:p>
    <w:p w14:paraId="51FB13C0" w14:textId="03508182" w:rsidR="004B0F24" w:rsidRPr="004B0F24" w:rsidRDefault="004B0F24" w:rsidP="004B0F24">
      <w:pPr>
        <w:rPr>
          <w:sz w:val="24"/>
          <w:szCs w:val="24"/>
        </w:rPr>
      </w:pPr>
      <w:r w:rsidRPr="004B0F24">
        <w:rPr>
          <w:lang w:eastAsia="bg-BG"/>
        </w:rPr>
        <w:t xml:space="preserve">Рамимед 5 </w:t>
      </w:r>
      <w:r w:rsidRPr="004B0F24">
        <w:rPr>
          <w:lang w:val="en-US"/>
        </w:rPr>
        <w:t>mg</w:t>
      </w:r>
      <w:r w:rsidRPr="004B0F24">
        <w:rPr>
          <w:lang w:val="ru-RU"/>
        </w:rPr>
        <w:t xml:space="preserve">: </w:t>
      </w:r>
      <w:r w:rsidRPr="004B0F24">
        <w:rPr>
          <w:lang w:eastAsia="bg-BG"/>
        </w:rPr>
        <w:t xml:space="preserve">с форма на капсула, плоска, розова таблетка, с делителна черта едностранно, а в краищата с щампа </w:t>
      </w:r>
      <w:r w:rsidRPr="004B0F24">
        <w:rPr>
          <w:lang w:val="en-US"/>
        </w:rPr>
        <w:t>R</w:t>
      </w:r>
      <w:r w:rsidRPr="004B0F24">
        <w:rPr>
          <w:lang w:val="ru-RU"/>
        </w:rPr>
        <w:t>3.</w:t>
      </w:r>
    </w:p>
    <w:p w14:paraId="28318205" w14:textId="77777777" w:rsidR="004B0F24" w:rsidRPr="004B0F24" w:rsidRDefault="004B0F24" w:rsidP="004B0F24">
      <w:pPr>
        <w:rPr>
          <w:sz w:val="24"/>
          <w:szCs w:val="24"/>
        </w:rPr>
      </w:pPr>
      <w:r w:rsidRPr="004B0F24">
        <w:rPr>
          <w:lang w:eastAsia="bg-BG"/>
        </w:rPr>
        <w:t>Таблетката може да бъде разделена на равни дози.</w:t>
      </w:r>
    </w:p>
    <w:p w14:paraId="0FF69F78" w14:textId="77777777" w:rsidR="004B0F24" w:rsidRDefault="004B0F24" w:rsidP="004B0F24">
      <w:pPr>
        <w:rPr>
          <w:lang w:eastAsia="bg-BG"/>
        </w:rPr>
      </w:pPr>
    </w:p>
    <w:p w14:paraId="0E55C86B" w14:textId="0990B82F" w:rsidR="004B0F24" w:rsidRPr="004B0F24" w:rsidRDefault="004B0F24" w:rsidP="004B0F24">
      <w:pPr>
        <w:rPr>
          <w:sz w:val="24"/>
          <w:szCs w:val="24"/>
        </w:rPr>
      </w:pPr>
      <w:r w:rsidRPr="004B0F24">
        <w:rPr>
          <w:lang w:eastAsia="bg-BG"/>
        </w:rPr>
        <w:t xml:space="preserve">Рамимед 10 </w:t>
      </w:r>
      <w:r w:rsidRPr="004B0F24">
        <w:rPr>
          <w:lang w:val="en-US"/>
        </w:rPr>
        <w:t>mg</w:t>
      </w:r>
      <w:r w:rsidRPr="004B0F24">
        <w:rPr>
          <w:lang w:val="ru-RU"/>
        </w:rPr>
        <w:t xml:space="preserve">: </w:t>
      </w:r>
      <w:r w:rsidRPr="004B0F24">
        <w:rPr>
          <w:lang w:eastAsia="bg-BG"/>
        </w:rPr>
        <w:t xml:space="preserve">с форма на капсула, плоска, бяла таблетка, с делителна черта едностранно, а в краищата с щампа </w:t>
      </w:r>
      <w:r w:rsidRPr="004B0F24">
        <w:rPr>
          <w:lang w:val="en-US"/>
        </w:rPr>
        <w:t>R</w:t>
      </w:r>
      <w:r w:rsidRPr="004B0F24">
        <w:rPr>
          <w:lang w:val="ru-RU"/>
        </w:rPr>
        <w:t>4.</w:t>
      </w:r>
    </w:p>
    <w:p w14:paraId="43C03268" w14:textId="0BF6791B" w:rsidR="004B0F24" w:rsidRPr="004B0F24" w:rsidRDefault="004B0F24" w:rsidP="004B0F24">
      <w:r w:rsidRPr="004B0F24">
        <w:rPr>
          <w:lang w:eastAsia="bg-BG"/>
        </w:rPr>
        <w:t>Таблетката може да бъде разделена на равни дози.</w:t>
      </w:r>
    </w:p>
    <w:p w14:paraId="490FC2C4" w14:textId="6899DE43" w:rsidR="002C50EE" w:rsidRDefault="002C50EE" w:rsidP="002C50EE">
      <w:pPr>
        <w:pStyle w:val="Heading1"/>
      </w:pPr>
      <w:r>
        <w:t>4. КЛИНИЧНИ ДАННИ</w:t>
      </w:r>
    </w:p>
    <w:p w14:paraId="0771830A" w14:textId="064C9C7D" w:rsidR="00DB32D3" w:rsidRDefault="002C50EE" w:rsidP="005726E3">
      <w:pPr>
        <w:pStyle w:val="Heading2"/>
      </w:pPr>
      <w:r>
        <w:t>4.1. Терапевтични показания</w:t>
      </w:r>
    </w:p>
    <w:p w14:paraId="441C26BA" w14:textId="070673B5" w:rsidR="004B0F24" w:rsidRDefault="004B0F24" w:rsidP="004B0F24"/>
    <w:p w14:paraId="23307B7B" w14:textId="77777777" w:rsidR="004B0F24" w:rsidRPr="004B0F24" w:rsidRDefault="004B0F24" w:rsidP="004B0F24">
      <w:pPr>
        <w:pStyle w:val="ListParagraph"/>
        <w:numPr>
          <w:ilvl w:val="0"/>
          <w:numId w:val="2"/>
        </w:numPr>
        <w:spacing w:line="240" w:lineRule="auto"/>
        <w:rPr>
          <w:rFonts w:eastAsia="Times New Roman" w:cs="Arial"/>
          <w:color w:val="000000"/>
          <w:szCs w:val="20"/>
          <w:lang w:eastAsia="bg-BG"/>
        </w:rPr>
      </w:pPr>
      <w:r w:rsidRPr="004B0F24">
        <w:rPr>
          <w:rFonts w:eastAsia="Times New Roman" w:cs="Arial"/>
          <w:color w:val="000000"/>
          <w:szCs w:val="20"/>
          <w:lang w:eastAsia="bg-BG"/>
        </w:rPr>
        <w:t>Лечение на хипертония</w:t>
      </w:r>
    </w:p>
    <w:p w14:paraId="1A5EF6DF" w14:textId="718F5804" w:rsidR="004B0F24" w:rsidRPr="004B0F24" w:rsidRDefault="004B0F24" w:rsidP="004B0F24">
      <w:pPr>
        <w:pStyle w:val="ListParagraph"/>
        <w:numPr>
          <w:ilvl w:val="0"/>
          <w:numId w:val="2"/>
        </w:numPr>
        <w:spacing w:line="240" w:lineRule="auto"/>
        <w:rPr>
          <w:rFonts w:eastAsia="Times New Roman" w:cs="Arial"/>
          <w:color w:val="000000"/>
          <w:szCs w:val="20"/>
          <w:lang w:eastAsia="bg-BG"/>
        </w:rPr>
      </w:pPr>
      <w:r w:rsidRPr="004B0F24">
        <w:rPr>
          <w:rFonts w:eastAsia="Times New Roman" w:cs="Arial"/>
          <w:color w:val="000000"/>
          <w:szCs w:val="20"/>
          <w:lang w:eastAsia="bg-BG"/>
        </w:rPr>
        <w:t>Сърдечно-съдова превенция: намаляване на сърдечно-съдовата заболеваемост и смъртност при пациенти с:</w:t>
      </w:r>
    </w:p>
    <w:p w14:paraId="2350AAB4" w14:textId="77777777" w:rsidR="004B0F24" w:rsidRPr="004B0F24" w:rsidRDefault="004B0F24" w:rsidP="004B0F24">
      <w:pPr>
        <w:spacing w:line="240" w:lineRule="auto"/>
        <w:rPr>
          <w:rFonts w:eastAsia="Times New Roman" w:cs="Arial"/>
          <w:color w:val="000000"/>
          <w:szCs w:val="20"/>
          <w:lang w:eastAsia="bg-BG"/>
        </w:rPr>
      </w:pPr>
    </w:p>
    <w:p w14:paraId="4E03807D" w14:textId="77777777" w:rsidR="004B0F24" w:rsidRPr="004B0F24" w:rsidRDefault="004B0F24" w:rsidP="004B0F24">
      <w:pPr>
        <w:pStyle w:val="ListParagraph"/>
        <w:numPr>
          <w:ilvl w:val="0"/>
          <w:numId w:val="37"/>
        </w:numPr>
        <w:spacing w:line="240" w:lineRule="auto"/>
        <w:rPr>
          <w:rFonts w:eastAsia="Times New Roman" w:cs="Arial"/>
          <w:color w:val="000000"/>
          <w:szCs w:val="20"/>
          <w:lang w:eastAsia="bg-BG"/>
        </w:rPr>
      </w:pPr>
      <w:r w:rsidRPr="004B0F24">
        <w:rPr>
          <w:rFonts w:eastAsia="Times New Roman" w:cs="Arial"/>
          <w:color w:val="000000"/>
          <w:szCs w:val="20"/>
          <w:lang w:eastAsia="bg-BG"/>
        </w:rPr>
        <w:t>проявено атеротромботично сърдечно-съдово заболяване (анамнеза за коронарно заболяване или инсулт, или периферна артериална болест) или</w:t>
      </w:r>
    </w:p>
    <w:p w14:paraId="30A954BE" w14:textId="30126D9A" w:rsidR="004B0F24" w:rsidRPr="004B0F24" w:rsidRDefault="004B0F24" w:rsidP="004B0F24">
      <w:pPr>
        <w:pStyle w:val="ListParagraph"/>
        <w:numPr>
          <w:ilvl w:val="0"/>
          <w:numId w:val="37"/>
        </w:numPr>
        <w:spacing w:line="240" w:lineRule="auto"/>
        <w:rPr>
          <w:rFonts w:eastAsia="Times New Roman" w:cs="Arial"/>
          <w:color w:val="000000"/>
          <w:szCs w:val="20"/>
          <w:lang w:eastAsia="bg-BG"/>
        </w:rPr>
      </w:pPr>
      <w:r w:rsidRPr="004B0F24">
        <w:rPr>
          <w:rFonts w:eastAsia="Times New Roman" w:cs="Arial"/>
          <w:color w:val="000000"/>
          <w:szCs w:val="20"/>
          <w:lang w:eastAsia="bg-BG"/>
        </w:rPr>
        <w:t>диабет с поне един сърдечно-съдов рисков фактор (вж. точка 5.1).</w:t>
      </w:r>
    </w:p>
    <w:p w14:paraId="7FF4AEB4" w14:textId="77777777" w:rsidR="004B0F24" w:rsidRPr="004B0F24" w:rsidRDefault="004B0F24" w:rsidP="004B0F24">
      <w:pPr>
        <w:spacing w:line="240" w:lineRule="auto"/>
        <w:rPr>
          <w:rFonts w:eastAsia="Times New Roman" w:cs="Arial"/>
          <w:color w:val="000000"/>
          <w:szCs w:val="20"/>
          <w:lang w:eastAsia="bg-BG"/>
        </w:rPr>
      </w:pPr>
    </w:p>
    <w:p w14:paraId="6B24CF4B" w14:textId="254C6CBF" w:rsidR="004B0F24" w:rsidRPr="004B0F24" w:rsidRDefault="004B0F24" w:rsidP="004B0F24">
      <w:pPr>
        <w:pStyle w:val="ListParagraph"/>
        <w:numPr>
          <w:ilvl w:val="0"/>
          <w:numId w:val="39"/>
        </w:numPr>
        <w:spacing w:line="240" w:lineRule="auto"/>
        <w:rPr>
          <w:rFonts w:eastAsia="Times New Roman" w:cs="Arial"/>
          <w:sz w:val="28"/>
          <w:szCs w:val="24"/>
        </w:rPr>
      </w:pPr>
      <w:r w:rsidRPr="004B0F24">
        <w:rPr>
          <w:rFonts w:eastAsia="Times New Roman" w:cs="Arial"/>
          <w:color w:val="000000"/>
          <w:szCs w:val="20"/>
          <w:lang w:eastAsia="bg-BG"/>
        </w:rPr>
        <w:t>Лечение на бъбречно заболяване:</w:t>
      </w:r>
    </w:p>
    <w:p w14:paraId="5C1C4906" w14:textId="77777777" w:rsidR="004B0F24" w:rsidRPr="004B0F24" w:rsidRDefault="004B0F24" w:rsidP="004B0F24">
      <w:pPr>
        <w:pStyle w:val="ListParagraph"/>
        <w:numPr>
          <w:ilvl w:val="0"/>
          <w:numId w:val="40"/>
        </w:numPr>
        <w:spacing w:line="240" w:lineRule="auto"/>
        <w:rPr>
          <w:rFonts w:eastAsia="Times New Roman" w:cs="Arial"/>
          <w:sz w:val="28"/>
          <w:szCs w:val="24"/>
        </w:rPr>
      </w:pPr>
      <w:r w:rsidRPr="004B0F24">
        <w:rPr>
          <w:rFonts w:eastAsia="Times New Roman" w:cs="Arial"/>
          <w:color w:val="000000"/>
          <w:szCs w:val="20"/>
          <w:lang w:eastAsia="bg-BG"/>
        </w:rPr>
        <w:t>Начална диабетна гломерулна нефропатия, определена от наличие на микроалбумннурия;</w:t>
      </w:r>
    </w:p>
    <w:p w14:paraId="4743941C" w14:textId="77777777" w:rsidR="004B0F24" w:rsidRPr="004B0F24" w:rsidRDefault="004B0F24" w:rsidP="004B0F24">
      <w:pPr>
        <w:pStyle w:val="ListParagraph"/>
        <w:numPr>
          <w:ilvl w:val="0"/>
          <w:numId w:val="40"/>
        </w:numPr>
        <w:spacing w:line="240" w:lineRule="auto"/>
        <w:rPr>
          <w:rFonts w:eastAsia="Times New Roman" w:cs="Arial"/>
          <w:sz w:val="28"/>
          <w:szCs w:val="24"/>
        </w:rPr>
      </w:pPr>
      <w:r w:rsidRPr="004B0F24">
        <w:rPr>
          <w:rFonts w:eastAsia="Times New Roman" w:cs="Arial"/>
          <w:color w:val="000000"/>
          <w:szCs w:val="20"/>
          <w:lang w:eastAsia="bg-BG"/>
        </w:rPr>
        <w:t>Проявена диабетна гломерулна нефропатия, определена от макропротеинурия при пациенти с поне един сърдечно-съдов рисков фактор (вж. точка 5.1);</w:t>
      </w:r>
    </w:p>
    <w:p w14:paraId="1B4FA525" w14:textId="058B2CD5" w:rsidR="004B0F24" w:rsidRPr="004B0F24" w:rsidRDefault="004B0F24" w:rsidP="004B0F24">
      <w:pPr>
        <w:pStyle w:val="ListParagraph"/>
        <w:numPr>
          <w:ilvl w:val="0"/>
          <w:numId w:val="40"/>
        </w:numPr>
        <w:spacing w:line="240" w:lineRule="auto"/>
        <w:rPr>
          <w:rFonts w:eastAsia="Times New Roman" w:cs="Arial"/>
          <w:sz w:val="28"/>
          <w:szCs w:val="24"/>
        </w:rPr>
      </w:pPr>
      <w:r w:rsidRPr="004B0F24">
        <w:rPr>
          <w:rFonts w:eastAsia="Times New Roman" w:cs="Arial"/>
          <w:color w:val="000000"/>
          <w:szCs w:val="20"/>
          <w:lang w:eastAsia="bg-BG"/>
        </w:rPr>
        <w:t xml:space="preserve">Проявена недиабетна гломерулна нефропатия, определена от макропротеинурия ≥ 3 </w:t>
      </w:r>
      <w:r w:rsidRPr="004B0F24">
        <w:rPr>
          <w:rFonts w:eastAsia="Times New Roman" w:cs="Arial"/>
          <w:color w:val="000000"/>
          <w:szCs w:val="20"/>
          <w:lang w:val="en-US"/>
        </w:rPr>
        <w:t>g</w:t>
      </w:r>
      <w:r w:rsidRPr="004B0F24">
        <w:rPr>
          <w:rFonts w:eastAsia="Times New Roman" w:cs="Arial"/>
          <w:color w:val="000000"/>
          <w:szCs w:val="20"/>
          <w:lang w:val="ru-RU"/>
        </w:rPr>
        <w:t xml:space="preserve">/ </w:t>
      </w:r>
      <w:r w:rsidRPr="004B0F24">
        <w:rPr>
          <w:rFonts w:eastAsia="Times New Roman" w:cs="Arial"/>
          <w:color w:val="000000"/>
          <w:szCs w:val="20"/>
          <w:lang w:eastAsia="bg-BG"/>
        </w:rPr>
        <w:t>на ден (вж. точка 5.1).</w:t>
      </w:r>
    </w:p>
    <w:p w14:paraId="117616D3" w14:textId="77777777" w:rsidR="004B0F24" w:rsidRPr="004B0F24" w:rsidRDefault="004B0F24" w:rsidP="004B0F24">
      <w:pPr>
        <w:spacing w:line="240" w:lineRule="auto"/>
        <w:rPr>
          <w:rFonts w:eastAsia="Times New Roman" w:cs="Arial"/>
          <w:color w:val="000000"/>
          <w:szCs w:val="20"/>
          <w:lang w:eastAsia="bg-BG"/>
        </w:rPr>
      </w:pPr>
    </w:p>
    <w:p w14:paraId="0E148BE9" w14:textId="77777777" w:rsidR="004B0F24" w:rsidRPr="004B0F24" w:rsidRDefault="004B0F24" w:rsidP="004B0F24">
      <w:pPr>
        <w:pStyle w:val="ListParagraph"/>
        <w:numPr>
          <w:ilvl w:val="0"/>
          <w:numId w:val="42"/>
        </w:numPr>
        <w:spacing w:line="240" w:lineRule="auto"/>
        <w:rPr>
          <w:rFonts w:eastAsia="Times New Roman" w:cs="Arial"/>
          <w:color w:val="000000"/>
          <w:szCs w:val="20"/>
          <w:lang w:eastAsia="bg-BG"/>
        </w:rPr>
      </w:pPr>
      <w:r w:rsidRPr="004B0F24">
        <w:rPr>
          <w:rFonts w:eastAsia="Times New Roman" w:cs="Arial"/>
          <w:color w:val="000000"/>
          <w:szCs w:val="20"/>
          <w:lang w:eastAsia="bg-BG"/>
        </w:rPr>
        <w:t>Лечение на симптоматична сърдечна недостатъчност.</w:t>
      </w:r>
    </w:p>
    <w:p w14:paraId="6EE2362F" w14:textId="454834A6" w:rsidR="004B0F24" w:rsidRDefault="004B0F24" w:rsidP="004B0F24">
      <w:pPr>
        <w:pStyle w:val="ListParagraph"/>
        <w:numPr>
          <w:ilvl w:val="0"/>
          <w:numId w:val="42"/>
        </w:numPr>
        <w:spacing w:line="240" w:lineRule="auto"/>
        <w:rPr>
          <w:rFonts w:ascii="Times New Roman" w:eastAsia="Times New Roman" w:hAnsi="Times New Roman" w:cs="Times New Roman"/>
          <w:color w:val="000000"/>
          <w:sz w:val="20"/>
          <w:szCs w:val="20"/>
          <w:lang w:eastAsia="bg-BG"/>
        </w:rPr>
      </w:pPr>
      <w:r w:rsidRPr="004B0F24">
        <w:rPr>
          <w:rFonts w:eastAsia="Times New Roman" w:cs="Arial"/>
          <w:color w:val="000000"/>
          <w:szCs w:val="20"/>
          <w:lang w:eastAsia="bg-BG"/>
        </w:rPr>
        <w:t>Вторична профилактика след остър миокарден инфаркт: намаляване на смъртността в острата фаза на миокарден инфаркт при пациенти с клинични признаци на сърдечна недостатъчност, с начало повече от 48 часа след остър миокарден инфаркт.</w:t>
      </w:r>
    </w:p>
    <w:p w14:paraId="7E189752" w14:textId="77777777" w:rsidR="004B0F24" w:rsidRPr="004B0F24" w:rsidRDefault="004B0F24" w:rsidP="004B0F24">
      <w:pPr>
        <w:spacing w:line="240" w:lineRule="auto"/>
        <w:rPr>
          <w:rFonts w:ascii="Times New Roman" w:eastAsia="Times New Roman" w:hAnsi="Times New Roman" w:cs="Times New Roman"/>
          <w:color w:val="000000"/>
          <w:sz w:val="20"/>
          <w:szCs w:val="20"/>
          <w:lang w:eastAsia="bg-BG"/>
        </w:rPr>
      </w:pPr>
    </w:p>
    <w:p w14:paraId="7647A102" w14:textId="4C2DD273" w:rsidR="00DB32D3" w:rsidRDefault="002C50EE" w:rsidP="005726E3">
      <w:pPr>
        <w:pStyle w:val="Heading2"/>
      </w:pPr>
      <w:r>
        <w:t>4.2. Дозировка и начин на приложение</w:t>
      </w:r>
    </w:p>
    <w:p w14:paraId="14EF59C6" w14:textId="3D53CC28" w:rsidR="004B0F24" w:rsidRDefault="004B0F24" w:rsidP="004B0F24"/>
    <w:p w14:paraId="207677C9" w14:textId="77777777" w:rsidR="004B0F24" w:rsidRPr="004B0F24" w:rsidRDefault="004B0F24" w:rsidP="004B0F24">
      <w:pPr>
        <w:pStyle w:val="Heading3"/>
        <w:rPr>
          <w:rFonts w:eastAsia="Times New Roman"/>
          <w:u w:val="single"/>
        </w:rPr>
      </w:pPr>
      <w:r w:rsidRPr="004B0F24">
        <w:rPr>
          <w:rFonts w:eastAsia="Times New Roman"/>
          <w:u w:val="single"/>
          <w:lang w:eastAsia="bg-BG"/>
        </w:rPr>
        <w:t>Дозировка</w:t>
      </w:r>
    </w:p>
    <w:p w14:paraId="7BDE1E33" w14:textId="77777777" w:rsidR="004B0F24" w:rsidRPr="004B0F24" w:rsidRDefault="004B0F24" w:rsidP="004B0F24">
      <w:pPr>
        <w:spacing w:line="240" w:lineRule="auto"/>
        <w:rPr>
          <w:rFonts w:eastAsia="Times New Roman" w:cs="Arial"/>
          <w:szCs w:val="20"/>
        </w:rPr>
      </w:pPr>
      <w:r w:rsidRPr="004B0F24">
        <w:rPr>
          <w:rFonts w:eastAsia="Times New Roman" w:cs="Arial"/>
          <w:i/>
          <w:iCs/>
          <w:color w:val="000000"/>
          <w:szCs w:val="20"/>
          <w:u w:val="single"/>
          <w:lang w:eastAsia="bg-BG"/>
        </w:rPr>
        <w:t>Възрастни</w:t>
      </w:r>
    </w:p>
    <w:p w14:paraId="133995F9" w14:textId="77777777" w:rsidR="004B0F24" w:rsidRPr="004B0F24" w:rsidRDefault="004B0F24" w:rsidP="004B0F24">
      <w:pPr>
        <w:spacing w:line="240" w:lineRule="auto"/>
        <w:rPr>
          <w:rFonts w:eastAsia="Times New Roman" w:cs="Arial"/>
          <w:szCs w:val="20"/>
        </w:rPr>
      </w:pPr>
      <w:r w:rsidRPr="004B0F24">
        <w:rPr>
          <w:rFonts w:eastAsia="Times New Roman" w:cs="Arial"/>
          <w:color w:val="000000"/>
          <w:szCs w:val="20"/>
          <w:u w:val="single"/>
          <w:lang w:eastAsia="bg-BG"/>
        </w:rPr>
        <w:t>Пациенти лекувани с диуретипи</w:t>
      </w:r>
    </w:p>
    <w:p w14:paraId="233B2649" w14:textId="77777777" w:rsidR="004B0F24" w:rsidRPr="004B0F24" w:rsidRDefault="004B0F24" w:rsidP="004B0F24">
      <w:pPr>
        <w:spacing w:line="240" w:lineRule="auto"/>
        <w:rPr>
          <w:rFonts w:eastAsia="Times New Roman" w:cs="Arial"/>
          <w:szCs w:val="20"/>
        </w:rPr>
      </w:pPr>
      <w:r w:rsidRPr="004B0F24">
        <w:rPr>
          <w:rFonts w:eastAsia="Times New Roman" w:cs="Arial"/>
          <w:color w:val="000000"/>
          <w:szCs w:val="20"/>
          <w:lang w:eastAsia="bg-BG"/>
        </w:rPr>
        <w:t>След започване на терапия с Рамимед, може да настъпи хипотония; това е по-вероятно при пациенти, които са лекувани едновременно с диуретици. Поради това се препоръчва повишено внимание, тъй като тези пациенти могат да бъдат с намален обем течности и/ или соли.</w:t>
      </w:r>
    </w:p>
    <w:p w14:paraId="2F38742B" w14:textId="77777777" w:rsidR="004B0F24" w:rsidRPr="004B0F24" w:rsidRDefault="004B0F24" w:rsidP="004B0F24">
      <w:pPr>
        <w:spacing w:line="240" w:lineRule="auto"/>
        <w:rPr>
          <w:rFonts w:eastAsia="Times New Roman" w:cs="Arial"/>
          <w:szCs w:val="20"/>
        </w:rPr>
      </w:pPr>
      <w:r w:rsidRPr="004B0F24">
        <w:rPr>
          <w:rFonts w:eastAsia="Times New Roman" w:cs="Arial"/>
          <w:color w:val="000000"/>
          <w:szCs w:val="20"/>
          <w:lang w:eastAsia="bg-BG"/>
        </w:rPr>
        <w:t>Ако е възможно, диуретикът трябва да бъде спрян 2 до 3 дни преди началото на терапията с Рамимед (вж. точка 4.4).</w:t>
      </w:r>
    </w:p>
    <w:p w14:paraId="23CD718F" w14:textId="77777777" w:rsidR="004B0F24" w:rsidRPr="004B0F24" w:rsidRDefault="004B0F24" w:rsidP="004B0F24">
      <w:pPr>
        <w:spacing w:line="240" w:lineRule="auto"/>
        <w:rPr>
          <w:rFonts w:eastAsia="Times New Roman" w:cs="Arial"/>
          <w:szCs w:val="20"/>
        </w:rPr>
      </w:pPr>
      <w:r w:rsidRPr="004B0F24">
        <w:rPr>
          <w:rFonts w:eastAsia="Times New Roman" w:cs="Arial"/>
          <w:color w:val="000000"/>
          <w:szCs w:val="20"/>
          <w:lang w:eastAsia="bg-BG"/>
        </w:rPr>
        <w:t xml:space="preserve">При пациенти с хипертония, при които диуретикът не е спрян, терапията с Рамимед трябва да бъде започната с доза от 1,25 </w:t>
      </w:r>
      <w:r w:rsidRPr="004B0F24">
        <w:rPr>
          <w:rFonts w:eastAsia="Times New Roman" w:cs="Arial"/>
          <w:color w:val="000000"/>
          <w:szCs w:val="20"/>
          <w:lang w:val="en-US"/>
        </w:rPr>
        <w:t>mg</w:t>
      </w:r>
      <w:r w:rsidRPr="004B0F24">
        <w:rPr>
          <w:rFonts w:eastAsia="Times New Roman" w:cs="Arial"/>
          <w:color w:val="000000"/>
          <w:szCs w:val="20"/>
          <w:lang w:val="ru-RU"/>
        </w:rPr>
        <w:t xml:space="preserve">. </w:t>
      </w:r>
      <w:r w:rsidRPr="004B0F24">
        <w:rPr>
          <w:rFonts w:eastAsia="Times New Roman" w:cs="Arial"/>
          <w:color w:val="000000"/>
          <w:szCs w:val="20"/>
          <w:lang w:eastAsia="bg-BG"/>
        </w:rPr>
        <w:t>Трябва да бъдат проследявани бъбречната функция и плазмения калий. Последващата дозировка на Рамимед трябва да бъде определяна според желаното кръвно налягане.</w:t>
      </w:r>
    </w:p>
    <w:p w14:paraId="772DBAE2" w14:textId="77777777" w:rsidR="004B0F24" w:rsidRPr="004B0F24" w:rsidRDefault="004B0F24" w:rsidP="004B0F24">
      <w:pPr>
        <w:spacing w:line="240" w:lineRule="auto"/>
        <w:rPr>
          <w:rFonts w:eastAsia="Times New Roman" w:cs="Arial"/>
          <w:i/>
          <w:iCs/>
          <w:color w:val="000000"/>
          <w:szCs w:val="20"/>
          <w:lang w:eastAsia="bg-BG"/>
        </w:rPr>
      </w:pPr>
    </w:p>
    <w:p w14:paraId="1B8A4FEC" w14:textId="4FA48FCE" w:rsidR="004B0F24" w:rsidRPr="004B0F24" w:rsidRDefault="004B0F24" w:rsidP="004B0F24">
      <w:pPr>
        <w:spacing w:line="240" w:lineRule="auto"/>
        <w:rPr>
          <w:rFonts w:eastAsia="Times New Roman" w:cs="Arial"/>
          <w:szCs w:val="20"/>
        </w:rPr>
      </w:pPr>
      <w:r w:rsidRPr="004B0F24">
        <w:rPr>
          <w:rFonts w:eastAsia="Times New Roman" w:cs="Arial"/>
          <w:i/>
          <w:iCs/>
          <w:color w:val="000000"/>
          <w:szCs w:val="20"/>
          <w:lang w:eastAsia="bg-BG"/>
        </w:rPr>
        <w:t>Хипертония</w:t>
      </w:r>
    </w:p>
    <w:p w14:paraId="2428C376" w14:textId="77777777" w:rsidR="004B0F24" w:rsidRPr="004B0F24" w:rsidRDefault="004B0F24" w:rsidP="004B0F24">
      <w:pPr>
        <w:spacing w:line="240" w:lineRule="auto"/>
        <w:rPr>
          <w:rFonts w:eastAsia="Times New Roman" w:cs="Arial"/>
          <w:szCs w:val="20"/>
        </w:rPr>
      </w:pPr>
      <w:r w:rsidRPr="004B0F24">
        <w:rPr>
          <w:rFonts w:eastAsia="Times New Roman" w:cs="Arial"/>
          <w:color w:val="000000"/>
          <w:szCs w:val="20"/>
          <w:lang w:eastAsia="bg-BG"/>
        </w:rPr>
        <w:t>Дозата трябва да бъде определена индивидуално, според профила на пациента (вижте точка 4.4) и контрола на кръвното налягане.</w:t>
      </w:r>
    </w:p>
    <w:p w14:paraId="4ADF5E95" w14:textId="77777777" w:rsidR="004B0F24" w:rsidRPr="004B0F24" w:rsidRDefault="004B0F24" w:rsidP="004B0F24">
      <w:pPr>
        <w:spacing w:line="240" w:lineRule="auto"/>
        <w:rPr>
          <w:rFonts w:eastAsia="Times New Roman" w:cs="Arial"/>
          <w:szCs w:val="20"/>
        </w:rPr>
      </w:pPr>
      <w:r w:rsidRPr="004B0F24">
        <w:rPr>
          <w:rFonts w:eastAsia="Times New Roman" w:cs="Arial"/>
          <w:color w:val="000000"/>
          <w:szCs w:val="20"/>
          <w:lang w:eastAsia="bg-BG"/>
        </w:rPr>
        <w:t>Рамимед може да бъде използван като монотерапия или в комбинация с други класове антихипертензивни лекарствени продукти (вижте точка 4.3, 4.4, 4.5 и 5.1).</w:t>
      </w:r>
    </w:p>
    <w:p w14:paraId="763C565D" w14:textId="77777777" w:rsidR="004B0F24" w:rsidRPr="004B0F24" w:rsidRDefault="004B0F24" w:rsidP="004B0F24">
      <w:pPr>
        <w:spacing w:line="240" w:lineRule="auto"/>
        <w:rPr>
          <w:rFonts w:eastAsia="Times New Roman" w:cs="Arial"/>
          <w:szCs w:val="20"/>
        </w:rPr>
      </w:pPr>
      <w:r w:rsidRPr="004B0F24">
        <w:rPr>
          <w:rFonts w:eastAsia="Times New Roman" w:cs="Arial"/>
          <w:color w:val="000000"/>
          <w:szCs w:val="20"/>
          <w:u w:val="single"/>
          <w:lang w:eastAsia="bg-BG"/>
        </w:rPr>
        <w:t>Начална доза</w:t>
      </w:r>
    </w:p>
    <w:p w14:paraId="03CA1EA2" w14:textId="77777777" w:rsidR="004B0F24" w:rsidRPr="004B0F24" w:rsidRDefault="004B0F24" w:rsidP="004B0F24">
      <w:pPr>
        <w:spacing w:line="240" w:lineRule="auto"/>
        <w:rPr>
          <w:rFonts w:eastAsia="Times New Roman" w:cs="Arial"/>
          <w:szCs w:val="20"/>
        </w:rPr>
      </w:pPr>
      <w:r w:rsidRPr="004B0F24">
        <w:rPr>
          <w:rFonts w:eastAsia="Times New Roman" w:cs="Arial"/>
          <w:color w:val="000000"/>
          <w:szCs w:val="20"/>
          <w:lang w:eastAsia="bg-BG"/>
        </w:rPr>
        <w:t xml:space="preserve">Рамимед трябва да бъде започван постепенно с препоръчана първоначална доза от 2,5 </w:t>
      </w:r>
      <w:r w:rsidRPr="004B0F24">
        <w:rPr>
          <w:rFonts w:eastAsia="Times New Roman" w:cs="Arial"/>
          <w:color w:val="000000"/>
          <w:szCs w:val="20"/>
          <w:lang w:val="en-US"/>
        </w:rPr>
        <w:t>mg</w:t>
      </w:r>
      <w:r w:rsidRPr="004B0F24">
        <w:rPr>
          <w:rFonts w:eastAsia="Times New Roman" w:cs="Arial"/>
          <w:color w:val="000000"/>
          <w:szCs w:val="20"/>
          <w:lang w:val="ru-RU"/>
        </w:rPr>
        <w:t xml:space="preserve"> </w:t>
      </w:r>
      <w:r w:rsidRPr="004B0F24">
        <w:rPr>
          <w:rFonts w:eastAsia="Times New Roman" w:cs="Arial"/>
          <w:color w:val="000000"/>
          <w:szCs w:val="20"/>
          <w:lang w:eastAsia="bg-BG"/>
        </w:rPr>
        <w:t>дневно.</w:t>
      </w:r>
    </w:p>
    <w:p w14:paraId="7C05CF3E" w14:textId="77777777" w:rsidR="004B0F24" w:rsidRPr="004B0F24" w:rsidRDefault="004B0F24" w:rsidP="004B0F24">
      <w:pPr>
        <w:spacing w:line="240" w:lineRule="auto"/>
        <w:rPr>
          <w:rFonts w:eastAsia="Times New Roman" w:cs="Arial"/>
          <w:szCs w:val="20"/>
        </w:rPr>
      </w:pPr>
      <w:r w:rsidRPr="004B0F24">
        <w:rPr>
          <w:rFonts w:eastAsia="Times New Roman" w:cs="Arial"/>
          <w:color w:val="000000"/>
          <w:szCs w:val="20"/>
          <w:lang w:eastAsia="bg-BG"/>
        </w:rPr>
        <w:t xml:space="preserve">При пациенти с повишена активност на ренин-ангиотензин-алдостерон системата може да настъпи значително понижение на кръвното налягане след приема на първата доза. При такива пациенти се препоръчва начална доза от 1,25 </w:t>
      </w:r>
      <w:r w:rsidRPr="004B0F24">
        <w:rPr>
          <w:rFonts w:eastAsia="Times New Roman" w:cs="Arial"/>
          <w:color w:val="000000"/>
          <w:szCs w:val="20"/>
          <w:lang w:val="en-US"/>
        </w:rPr>
        <w:t>mg</w:t>
      </w:r>
      <w:r w:rsidRPr="004B0F24">
        <w:rPr>
          <w:rFonts w:eastAsia="Times New Roman" w:cs="Arial"/>
          <w:color w:val="000000"/>
          <w:szCs w:val="20"/>
          <w:lang w:val="ru-RU"/>
        </w:rPr>
        <w:t xml:space="preserve"> </w:t>
      </w:r>
      <w:r w:rsidRPr="004B0F24">
        <w:rPr>
          <w:rFonts w:eastAsia="Times New Roman" w:cs="Arial"/>
          <w:color w:val="000000"/>
          <w:szCs w:val="20"/>
          <w:lang w:eastAsia="bg-BG"/>
        </w:rPr>
        <w:t>и началото на лечението трябва да бъде извършено под медицински контрол (вж. точка 4.4).</w:t>
      </w:r>
    </w:p>
    <w:p w14:paraId="05EC65AD" w14:textId="77777777" w:rsidR="004B0F24" w:rsidRPr="004B0F24" w:rsidRDefault="004B0F24" w:rsidP="004B0F24">
      <w:pPr>
        <w:spacing w:line="240" w:lineRule="auto"/>
        <w:rPr>
          <w:rFonts w:eastAsia="Times New Roman" w:cs="Arial"/>
          <w:szCs w:val="20"/>
        </w:rPr>
      </w:pPr>
      <w:r w:rsidRPr="004B0F24">
        <w:rPr>
          <w:rFonts w:eastAsia="Times New Roman" w:cs="Arial"/>
          <w:color w:val="000000"/>
          <w:szCs w:val="20"/>
          <w:u w:val="single"/>
          <w:lang w:eastAsia="bg-BG"/>
        </w:rPr>
        <w:t>Титриране и поддържаща доза</w:t>
      </w:r>
    </w:p>
    <w:p w14:paraId="590563E8" w14:textId="77777777" w:rsidR="004B0F24" w:rsidRPr="004B0F24" w:rsidRDefault="004B0F24" w:rsidP="004B0F24">
      <w:pPr>
        <w:spacing w:line="240" w:lineRule="auto"/>
        <w:rPr>
          <w:rFonts w:eastAsia="Times New Roman" w:cs="Arial"/>
          <w:szCs w:val="20"/>
        </w:rPr>
      </w:pPr>
      <w:r w:rsidRPr="004B0F24">
        <w:rPr>
          <w:rFonts w:eastAsia="Times New Roman" w:cs="Arial"/>
          <w:color w:val="000000"/>
          <w:szCs w:val="20"/>
          <w:lang w:eastAsia="bg-BG"/>
        </w:rPr>
        <w:t xml:space="preserve">Постепенно дозата може да бъде удвоена през интервал от две до четири седмици за постигане на желаното кръвно налягане; максимално допустимата доза на Рамимед е 10 </w:t>
      </w:r>
      <w:r w:rsidRPr="004B0F24">
        <w:rPr>
          <w:rFonts w:eastAsia="Times New Roman" w:cs="Arial"/>
          <w:color w:val="000000"/>
          <w:szCs w:val="20"/>
          <w:lang w:val="en-US"/>
        </w:rPr>
        <w:t>mg</w:t>
      </w:r>
      <w:r w:rsidRPr="004B0F24">
        <w:rPr>
          <w:rFonts w:eastAsia="Times New Roman" w:cs="Arial"/>
          <w:color w:val="000000"/>
          <w:szCs w:val="20"/>
          <w:lang w:val="ru-RU"/>
        </w:rPr>
        <w:t xml:space="preserve"> </w:t>
      </w:r>
      <w:r w:rsidRPr="004B0F24">
        <w:rPr>
          <w:rFonts w:eastAsia="Times New Roman" w:cs="Arial"/>
          <w:color w:val="000000"/>
          <w:szCs w:val="20"/>
          <w:lang w:eastAsia="bg-BG"/>
        </w:rPr>
        <w:t>дневно. Обикновено дозата се прилага веднъж дневно.</w:t>
      </w:r>
    </w:p>
    <w:p w14:paraId="09580897" w14:textId="77777777" w:rsidR="004B0F24" w:rsidRPr="004B0F24" w:rsidRDefault="004B0F24" w:rsidP="004B0F24">
      <w:pPr>
        <w:spacing w:line="240" w:lineRule="auto"/>
        <w:rPr>
          <w:rFonts w:eastAsia="Times New Roman" w:cs="Arial"/>
          <w:i/>
          <w:iCs/>
          <w:color w:val="000000"/>
          <w:szCs w:val="20"/>
          <w:lang w:eastAsia="bg-BG"/>
        </w:rPr>
      </w:pPr>
    </w:p>
    <w:p w14:paraId="3ED68EC0" w14:textId="30676345" w:rsidR="004B0F24" w:rsidRPr="004B0F24" w:rsidRDefault="004B0F24" w:rsidP="004B0F24">
      <w:pPr>
        <w:spacing w:line="240" w:lineRule="auto"/>
        <w:rPr>
          <w:rFonts w:eastAsia="Times New Roman" w:cs="Arial"/>
          <w:szCs w:val="20"/>
        </w:rPr>
      </w:pPr>
      <w:r w:rsidRPr="004B0F24">
        <w:rPr>
          <w:rFonts w:eastAsia="Times New Roman" w:cs="Arial"/>
          <w:i/>
          <w:iCs/>
          <w:color w:val="000000"/>
          <w:szCs w:val="20"/>
          <w:lang w:eastAsia="bg-BG"/>
        </w:rPr>
        <w:t>Сърдечно-съдова превенция</w:t>
      </w:r>
    </w:p>
    <w:p w14:paraId="482F42ED" w14:textId="77777777" w:rsidR="004B0F24" w:rsidRPr="004B0F24" w:rsidRDefault="004B0F24" w:rsidP="004B0F24">
      <w:pPr>
        <w:spacing w:line="240" w:lineRule="auto"/>
        <w:rPr>
          <w:rFonts w:eastAsia="Times New Roman" w:cs="Arial"/>
          <w:szCs w:val="20"/>
        </w:rPr>
      </w:pPr>
      <w:r w:rsidRPr="004B0F24">
        <w:rPr>
          <w:rFonts w:eastAsia="Times New Roman" w:cs="Arial"/>
          <w:color w:val="000000"/>
          <w:szCs w:val="20"/>
          <w:u w:val="single"/>
          <w:lang w:eastAsia="bg-BG"/>
        </w:rPr>
        <w:lastRenderedPageBreak/>
        <w:t>Начална доза</w:t>
      </w:r>
    </w:p>
    <w:p w14:paraId="58275C82" w14:textId="77777777" w:rsidR="004B0F24" w:rsidRPr="004B0F24" w:rsidRDefault="004B0F24" w:rsidP="004B0F24">
      <w:pPr>
        <w:spacing w:line="240" w:lineRule="auto"/>
        <w:rPr>
          <w:rFonts w:eastAsia="Times New Roman" w:cs="Arial"/>
          <w:szCs w:val="20"/>
        </w:rPr>
      </w:pPr>
      <w:r w:rsidRPr="004B0F24">
        <w:rPr>
          <w:rFonts w:eastAsia="Times New Roman" w:cs="Arial"/>
          <w:color w:val="000000"/>
          <w:szCs w:val="20"/>
          <w:lang w:eastAsia="bg-BG"/>
        </w:rPr>
        <w:t xml:space="preserve">Препоръчваната начална доза е 2,5 </w:t>
      </w:r>
      <w:r w:rsidRPr="004B0F24">
        <w:rPr>
          <w:rFonts w:eastAsia="Times New Roman" w:cs="Arial"/>
          <w:color w:val="000000"/>
          <w:szCs w:val="20"/>
          <w:lang w:val="en-US"/>
        </w:rPr>
        <w:t>mg</w:t>
      </w:r>
      <w:r w:rsidRPr="004B0F24">
        <w:rPr>
          <w:rFonts w:eastAsia="Times New Roman" w:cs="Arial"/>
          <w:color w:val="000000"/>
          <w:szCs w:val="20"/>
          <w:lang w:val="ru-RU"/>
        </w:rPr>
        <w:t xml:space="preserve"> </w:t>
      </w:r>
      <w:r w:rsidRPr="004B0F24">
        <w:rPr>
          <w:rFonts w:eastAsia="Times New Roman" w:cs="Arial"/>
          <w:color w:val="000000"/>
          <w:szCs w:val="20"/>
          <w:lang w:eastAsia="bg-BG"/>
        </w:rPr>
        <w:t>Рамимед веднъж дневно.</w:t>
      </w:r>
    </w:p>
    <w:p w14:paraId="7914BBF8" w14:textId="77777777" w:rsidR="004B0F24" w:rsidRPr="004B0F24" w:rsidRDefault="004B0F24" w:rsidP="004B0F24">
      <w:pPr>
        <w:spacing w:line="240" w:lineRule="auto"/>
        <w:rPr>
          <w:rFonts w:eastAsia="Times New Roman" w:cs="Arial"/>
          <w:szCs w:val="20"/>
        </w:rPr>
      </w:pPr>
      <w:r w:rsidRPr="004B0F24">
        <w:rPr>
          <w:rFonts w:eastAsia="Times New Roman" w:cs="Arial"/>
          <w:color w:val="000000"/>
          <w:szCs w:val="20"/>
          <w:u w:val="single"/>
          <w:lang w:eastAsia="bg-BG"/>
        </w:rPr>
        <w:t>Титриране и поддържаща доза</w:t>
      </w:r>
    </w:p>
    <w:p w14:paraId="55EE1211" w14:textId="77777777" w:rsidR="004B0F24" w:rsidRPr="004B0F24" w:rsidRDefault="004B0F24" w:rsidP="004B0F24">
      <w:pPr>
        <w:rPr>
          <w:rFonts w:eastAsia="Times New Roman" w:cs="Arial"/>
          <w:szCs w:val="20"/>
        </w:rPr>
      </w:pPr>
      <w:r w:rsidRPr="004B0F24">
        <w:rPr>
          <w:rFonts w:eastAsia="Times New Roman" w:cs="Arial"/>
          <w:color w:val="000000"/>
          <w:szCs w:val="20"/>
          <w:lang w:eastAsia="bg-BG"/>
        </w:rPr>
        <w:t xml:space="preserve">В зависимост от толерантността на пациента към активното вещество, дозата впоследствие трябва да бъде увеличавана. Препоръчва се удвояване на дозата след една или две седмици лечение и — след още две до три седмици - да се увеличи до таргетната поддържаща доза от 10 </w:t>
      </w:r>
      <w:r w:rsidRPr="004B0F24">
        <w:rPr>
          <w:rFonts w:eastAsia="Times New Roman" w:cs="Arial"/>
          <w:color w:val="000000"/>
          <w:szCs w:val="20"/>
          <w:lang w:val="en-US"/>
        </w:rPr>
        <w:t>mg</w:t>
      </w:r>
      <w:r w:rsidRPr="004B0F24">
        <w:rPr>
          <w:rFonts w:eastAsia="Times New Roman" w:cs="Arial"/>
          <w:color w:val="000000"/>
          <w:szCs w:val="20"/>
          <w:lang w:val="ru-RU"/>
        </w:rPr>
        <w:t xml:space="preserve"> </w:t>
      </w:r>
      <w:r w:rsidRPr="004B0F24">
        <w:rPr>
          <w:rFonts w:eastAsia="Times New Roman" w:cs="Arial"/>
          <w:color w:val="000000"/>
          <w:szCs w:val="20"/>
          <w:lang w:eastAsia="bg-BG"/>
        </w:rPr>
        <w:t>Рамимед веднъж дневно.</w:t>
      </w:r>
    </w:p>
    <w:p w14:paraId="23ACA68E" w14:textId="77777777" w:rsidR="004B0F24" w:rsidRPr="004B0F24" w:rsidRDefault="004B0F24" w:rsidP="004B0F24">
      <w:pPr>
        <w:spacing w:line="240" w:lineRule="auto"/>
        <w:rPr>
          <w:rFonts w:eastAsia="Times New Roman" w:cs="Arial"/>
          <w:color w:val="000000"/>
          <w:szCs w:val="20"/>
          <w:lang w:eastAsia="bg-BG"/>
        </w:rPr>
      </w:pPr>
    </w:p>
    <w:p w14:paraId="2937F410" w14:textId="7F16AB0A" w:rsidR="004B0F24" w:rsidRPr="004B0F24" w:rsidRDefault="004B0F24" w:rsidP="004B0F24">
      <w:pPr>
        <w:spacing w:line="240" w:lineRule="auto"/>
        <w:rPr>
          <w:rFonts w:eastAsia="Times New Roman" w:cs="Arial"/>
          <w:szCs w:val="20"/>
        </w:rPr>
      </w:pPr>
      <w:r w:rsidRPr="004B0F24">
        <w:rPr>
          <w:rFonts w:eastAsia="Times New Roman" w:cs="Arial"/>
          <w:color w:val="000000"/>
          <w:szCs w:val="20"/>
          <w:lang w:eastAsia="bg-BG"/>
        </w:rPr>
        <w:t>Вижте също по-горе дозировка при пациенти, лекувани с диуретици.</w:t>
      </w:r>
    </w:p>
    <w:p w14:paraId="57A59B60" w14:textId="77777777" w:rsidR="004B0F24" w:rsidRPr="004B0F24" w:rsidRDefault="004B0F24" w:rsidP="004B0F24">
      <w:pPr>
        <w:spacing w:line="240" w:lineRule="auto"/>
        <w:rPr>
          <w:rFonts w:eastAsia="Times New Roman" w:cs="Arial"/>
          <w:i/>
          <w:iCs/>
          <w:color w:val="000000"/>
          <w:szCs w:val="20"/>
          <w:lang w:eastAsia="bg-BG"/>
        </w:rPr>
      </w:pPr>
    </w:p>
    <w:p w14:paraId="629AD424" w14:textId="317E5C3F" w:rsidR="004B0F24" w:rsidRPr="004B0F24" w:rsidRDefault="004B0F24" w:rsidP="004B0F24">
      <w:pPr>
        <w:spacing w:line="240" w:lineRule="auto"/>
        <w:rPr>
          <w:rFonts w:eastAsia="Times New Roman" w:cs="Arial"/>
          <w:szCs w:val="20"/>
        </w:rPr>
      </w:pPr>
      <w:r w:rsidRPr="004B0F24">
        <w:rPr>
          <w:rFonts w:eastAsia="Times New Roman" w:cs="Arial"/>
          <w:i/>
          <w:iCs/>
          <w:color w:val="000000"/>
          <w:szCs w:val="20"/>
          <w:lang w:eastAsia="bg-BG"/>
        </w:rPr>
        <w:t>Лечение на бъбречно заболяване</w:t>
      </w:r>
    </w:p>
    <w:p w14:paraId="68C94A1C" w14:textId="77777777" w:rsidR="004B0F24" w:rsidRPr="004B0F24" w:rsidRDefault="004B0F24" w:rsidP="004B0F24">
      <w:pPr>
        <w:spacing w:line="240" w:lineRule="auto"/>
        <w:rPr>
          <w:rFonts w:eastAsia="Times New Roman" w:cs="Arial"/>
          <w:szCs w:val="20"/>
        </w:rPr>
      </w:pPr>
      <w:r w:rsidRPr="004B0F24">
        <w:rPr>
          <w:rFonts w:eastAsia="Times New Roman" w:cs="Arial"/>
          <w:i/>
          <w:iCs/>
          <w:color w:val="000000"/>
          <w:szCs w:val="20"/>
          <w:u w:val="single"/>
          <w:lang w:eastAsia="bg-BG"/>
        </w:rPr>
        <w:t>При паииенти с диабет и микроалбуминурия:</w:t>
      </w:r>
    </w:p>
    <w:p w14:paraId="0D2CF6A2" w14:textId="77777777" w:rsidR="004B0F24" w:rsidRPr="004B0F24" w:rsidRDefault="004B0F24" w:rsidP="004B0F24">
      <w:pPr>
        <w:spacing w:line="240" w:lineRule="auto"/>
        <w:rPr>
          <w:rFonts w:eastAsia="Times New Roman" w:cs="Arial"/>
          <w:szCs w:val="20"/>
        </w:rPr>
      </w:pPr>
      <w:r w:rsidRPr="004B0F24">
        <w:rPr>
          <w:rFonts w:eastAsia="Times New Roman" w:cs="Arial"/>
          <w:color w:val="000000"/>
          <w:szCs w:val="20"/>
          <w:u w:val="single"/>
          <w:lang w:eastAsia="bg-BG"/>
        </w:rPr>
        <w:t>Начална доза:</w:t>
      </w:r>
    </w:p>
    <w:p w14:paraId="10FE4BE4" w14:textId="77777777" w:rsidR="004B0F24" w:rsidRPr="004B0F24" w:rsidRDefault="004B0F24" w:rsidP="004B0F24">
      <w:pPr>
        <w:spacing w:line="240" w:lineRule="auto"/>
        <w:rPr>
          <w:rFonts w:eastAsia="Times New Roman" w:cs="Arial"/>
          <w:szCs w:val="20"/>
        </w:rPr>
      </w:pPr>
      <w:r w:rsidRPr="004B0F24">
        <w:rPr>
          <w:rFonts w:eastAsia="Times New Roman" w:cs="Arial"/>
          <w:color w:val="000000"/>
          <w:szCs w:val="20"/>
          <w:lang w:eastAsia="bg-BG"/>
        </w:rPr>
        <w:t xml:space="preserve">Препоръчаната начална доза е 1,25 </w:t>
      </w:r>
      <w:r w:rsidRPr="004B0F24">
        <w:rPr>
          <w:rFonts w:eastAsia="Times New Roman" w:cs="Arial"/>
          <w:color w:val="000000"/>
          <w:szCs w:val="20"/>
          <w:lang w:val="en-US"/>
        </w:rPr>
        <w:t>mg</w:t>
      </w:r>
      <w:r w:rsidRPr="004B0F24">
        <w:rPr>
          <w:rFonts w:eastAsia="Times New Roman" w:cs="Arial"/>
          <w:color w:val="000000"/>
          <w:szCs w:val="20"/>
          <w:lang w:val="ru-RU"/>
        </w:rPr>
        <w:t xml:space="preserve"> </w:t>
      </w:r>
      <w:r w:rsidRPr="004B0F24">
        <w:rPr>
          <w:rFonts w:eastAsia="Times New Roman" w:cs="Arial"/>
          <w:color w:val="000000"/>
          <w:szCs w:val="20"/>
          <w:lang w:eastAsia="bg-BG"/>
        </w:rPr>
        <w:t>Рамимед веднъж дневно.</w:t>
      </w:r>
    </w:p>
    <w:p w14:paraId="06B235A9" w14:textId="77777777" w:rsidR="004B0F24" w:rsidRPr="004B0F24" w:rsidRDefault="004B0F24" w:rsidP="004B0F24">
      <w:pPr>
        <w:spacing w:line="240" w:lineRule="auto"/>
        <w:rPr>
          <w:rFonts w:eastAsia="Times New Roman" w:cs="Arial"/>
          <w:szCs w:val="20"/>
        </w:rPr>
      </w:pPr>
      <w:r w:rsidRPr="004B0F24">
        <w:rPr>
          <w:rFonts w:eastAsia="Times New Roman" w:cs="Arial"/>
          <w:color w:val="000000"/>
          <w:szCs w:val="20"/>
          <w:u w:val="single"/>
          <w:lang w:eastAsia="bg-BG"/>
        </w:rPr>
        <w:t>Титриране и поддържаща доза</w:t>
      </w:r>
    </w:p>
    <w:p w14:paraId="7DC140F9" w14:textId="106EA0AC" w:rsidR="004B0F24" w:rsidRPr="004B0F24" w:rsidRDefault="004B0F24" w:rsidP="004B0F24">
      <w:pPr>
        <w:spacing w:line="240" w:lineRule="auto"/>
        <w:rPr>
          <w:rFonts w:eastAsia="Times New Roman" w:cs="Arial"/>
          <w:szCs w:val="20"/>
        </w:rPr>
      </w:pPr>
      <w:r w:rsidRPr="004B0F24">
        <w:rPr>
          <w:rFonts w:eastAsia="Times New Roman" w:cs="Arial"/>
          <w:color w:val="000000"/>
          <w:szCs w:val="20"/>
          <w:lang w:eastAsia="bg-BG"/>
        </w:rPr>
        <w:t xml:space="preserve">В зависимост от толерантността на пациента към активното вещество, дозата впоследствие се повишава. Препоръчва се удвояване на еднократната дневна доза до 2,5 </w:t>
      </w:r>
      <w:r w:rsidRPr="004B0F24">
        <w:rPr>
          <w:rFonts w:eastAsia="Times New Roman" w:cs="Arial"/>
          <w:color w:val="000000"/>
          <w:szCs w:val="20"/>
          <w:lang w:val="en-US"/>
        </w:rPr>
        <w:t>mg</w:t>
      </w:r>
      <w:r w:rsidRPr="004B0F24">
        <w:rPr>
          <w:rFonts w:eastAsia="Times New Roman" w:cs="Arial"/>
          <w:color w:val="000000"/>
          <w:szCs w:val="20"/>
          <w:lang w:val="ru-RU"/>
        </w:rPr>
        <w:t xml:space="preserve"> </w:t>
      </w:r>
      <w:r w:rsidRPr="004B0F24">
        <w:rPr>
          <w:rFonts w:eastAsia="Times New Roman" w:cs="Arial"/>
          <w:color w:val="000000"/>
          <w:szCs w:val="20"/>
          <w:lang w:eastAsia="bg-BG"/>
        </w:rPr>
        <w:t xml:space="preserve">след две седмици и до 5 </w:t>
      </w:r>
      <w:r w:rsidRPr="004B0F24">
        <w:rPr>
          <w:rFonts w:eastAsia="Times New Roman" w:cs="Arial"/>
          <w:color w:val="000000"/>
          <w:szCs w:val="20"/>
          <w:lang w:val="en-US"/>
        </w:rPr>
        <w:t>mg</w:t>
      </w:r>
      <w:r w:rsidRPr="004B0F24">
        <w:rPr>
          <w:rFonts w:eastAsia="Times New Roman" w:cs="Arial"/>
          <w:color w:val="000000"/>
          <w:szCs w:val="20"/>
          <w:lang w:val="ru-RU"/>
        </w:rPr>
        <w:t xml:space="preserve"> </w:t>
      </w:r>
      <w:r w:rsidRPr="004B0F24">
        <w:rPr>
          <w:rFonts w:eastAsia="Times New Roman" w:cs="Arial"/>
          <w:color w:val="000000"/>
          <w:szCs w:val="20"/>
          <w:lang w:eastAsia="bg-BG"/>
        </w:rPr>
        <w:t>след още две седмици.</w:t>
      </w:r>
    </w:p>
    <w:p w14:paraId="3B395CD2" w14:textId="77777777" w:rsidR="004B0F24" w:rsidRPr="004B0F24" w:rsidRDefault="004B0F24" w:rsidP="004B0F24">
      <w:pPr>
        <w:spacing w:line="240" w:lineRule="auto"/>
        <w:rPr>
          <w:rFonts w:eastAsia="Times New Roman" w:cs="Arial"/>
          <w:i/>
          <w:iCs/>
          <w:color w:val="000000"/>
          <w:szCs w:val="20"/>
          <w:u w:val="single"/>
          <w:lang w:eastAsia="bg-BG"/>
        </w:rPr>
      </w:pPr>
    </w:p>
    <w:p w14:paraId="79E69394" w14:textId="07469E73" w:rsidR="004B0F24" w:rsidRPr="004B0F24" w:rsidRDefault="004B0F24" w:rsidP="004B0F24">
      <w:pPr>
        <w:spacing w:line="240" w:lineRule="auto"/>
        <w:rPr>
          <w:rFonts w:eastAsia="Times New Roman" w:cs="Arial"/>
          <w:szCs w:val="20"/>
        </w:rPr>
      </w:pPr>
      <w:r w:rsidRPr="004B0F24">
        <w:rPr>
          <w:rFonts w:eastAsia="Times New Roman" w:cs="Arial"/>
          <w:i/>
          <w:iCs/>
          <w:color w:val="000000"/>
          <w:szCs w:val="20"/>
          <w:u w:val="single"/>
          <w:lang w:eastAsia="bg-BG"/>
        </w:rPr>
        <w:t>При паииенти е диабет и поне един сърдечно-съдов рисков фактор</w:t>
      </w:r>
    </w:p>
    <w:p w14:paraId="1DB8902D" w14:textId="77777777" w:rsidR="004B0F24" w:rsidRPr="004B0F24" w:rsidRDefault="004B0F24" w:rsidP="004B0F24">
      <w:pPr>
        <w:spacing w:line="240" w:lineRule="auto"/>
        <w:rPr>
          <w:rFonts w:eastAsia="Times New Roman" w:cs="Arial"/>
          <w:szCs w:val="20"/>
        </w:rPr>
      </w:pPr>
      <w:r w:rsidRPr="004B0F24">
        <w:rPr>
          <w:rFonts w:eastAsia="Times New Roman" w:cs="Arial"/>
          <w:color w:val="000000"/>
          <w:szCs w:val="20"/>
          <w:u w:val="single"/>
          <w:lang w:eastAsia="bg-BG"/>
        </w:rPr>
        <w:t>Начална доза:</w:t>
      </w:r>
    </w:p>
    <w:p w14:paraId="4C7FC81E" w14:textId="77777777" w:rsidR="004B0F24" w:rsidRPr="004B0F24" w:rsidRDefault="004B0F24" w:rsidP="004B0F24">
      <w:pPr>
        <w:spacing w:line="240" w:lineRule="auto"/>
        <w:rPr>
          <w:rFonts w:eastAsia="Times New Roman" w:cs="Arial"/>
          <w:szCs w:val="20"/>
        </w:rPr>
      </w:pPr>
      <w:r w:rsidRPr="004B0F24">
        <w:rPr>
          <w:rFonts w:eastAsia="Times New Roman" w:cs="Arial"/>
          <w:color w:val="000000"/>
          <w:szCs w:val="20"/>
          <w:lang w:eastAsia="bg-BG"/>
        </w:rPr>
        <w:t xml:space="preserve">Препоръчваната начална доза е 2,5 </w:t>
      </w:r>
      <w:r w:rsidRPr="004B0F24">
        <w:rPr>
          <w:rFonts w:eastAsia="Times New Roman" w:cs="Arial"/>
          <w:color w:val="000000"/>
          <w:szCs w:val="20"/>
          <w:lang w:val="en-US"/>
        </w:rPr>
        <w:t>mg</w:t>
      </w:r>
      <w:r w:rsidRPr="004B0F24">
        <w:rPr>
          <w:rFonts w:eastAsia="Times New Roman" w:cs="Arial"/>
          <w:color w:val="000000"/>
          <w:szCs w:val="20"/>
          <w:lang w:val="ru-RU"/>
        </w:rPr>
        <w:t xml:space="preserve"> </w:t>
      </w:r>
      <w:r w:rsidRPr="004B0F24">
        <w:rPr>
          <w:rFonts w:eastAsia="Times New Roman" w:cs="Arial"/>
          <w:color w:val="000000"/>
          <w:szCs w:val="20"/>
          <w:lang w:eastAsia="bg-BG"/>
        </w:rPr>
        <w:t>Рамимед веднъж дневно.</w:t>
      </w:r>
    </w:p>
    <w:p w14:paraId="5D2D0276" w14:textId="77777777" w:rsidR="004B0F24" w:rsidRPr="004B0F24" w:rsidRDefault="004B0F24" w:rsidP="004B0F24">
      <w:pPr>
        <w:spacing w:line="240" w:lineRule="auto"/>
        <w:rPr>
          <w:rFonts w:eastAsia="Times New Roman" w:cs="Arial"/>
          <w:szCs w:val="20"/>
        </w:rPr>
      </w:pPr>
      <w:r w:rsidRPr="004B0F24">
        <w:rPr>
          <w:rFonts w:eastAsia="Times New Roman" w:cs="Arial"/>
          <w:color w:val="000000"/>
          <w:szCs w:val="20"/>
          <w:u w:val="single"/>
          <w:lang w:eastAsia="bg-BG"/>
        </w:rPr>
        <w:t>Титриране и поддържаща лоза</w:t>
      </w:r>
    </w:p>
    <w:p w14:paraId="22C4415C" w14:textId="77777777" w:rsidR="004B0F24" w:rsidRPr="004B0F24" w:rsidRDefault="004B0F24" w:rsidP="004B0F24">
      <w:pPr>
        <w:spacing w:line="240" w:lineRule="auto"/>
        <w:rPr>
          <w:rFonts w:eastAsia="Times New Roman" w:cs="Arial"/>
          <w:szCs w:val="20"/>
        </w:rPr>
      </w:pPr>
      <w:r w:rsidRPr="004B0F24">
        <w:rPr>
          <w:rFonts w:eastAsia="Times New Roman" w:cs="Arial"/>
          <w:color w:val="000000"/>
          <w:szCs w:val="20"/>
          <w:lang w:eastAsia="bg-BG"/>
        </w:rPr>
        <w:t xml:space="preserve">В зависимост от толерантността на пациента към активното вещество, дозата впоследствие се повишава. Препоръчва се удвояване на еднократната дневна доза до 5 </w:t>
      </w:r>
      <w:r w:rsidRPr="004B0F24">
        <w:rPr>
          <w:rFonts w:eastAsia="Times New Roman" w:cs="Arial"/>
          <w:color w:val="000000"/>
          <w:szCs w:val="20"/>
          <w:lang w:val="en-US"/>
        </w:rPr>
        <w:t>mg</w:t>
      </w:r>
      <w:r w:rsidRPr="004B0F24">
        <w:rPr>
          <w:rFonts w:eastAsia="Times New Roman" w:cs="Arial"/>
          <w:color w:val="000000"/>
          <w:szCs w:val="20"/>
          <w:lang w:val="ru-RU"/>
        </w:rPr>
        <w:t xml:space="preserve"> </w:t>
      </w:r>
      <w:r w:rsidRPr="004B0F24">
        <w:rPr>
          <w:rFonts w:eastAsia="Times New Roman" w:cs="Arial"/>
          <w:color w:val="000000"/>
          <w:szCs w:val="20"/>
          <w:lang w:eastAsia="bg-BG"/>
        </w:rPr>
        <w:t xml:space="preserve">Рамимед след една или две седмици и след това до 10 </w:t>
      </w:r>
      <w:r w:rsidRPr="004B0F24">
        <w:rPr>
          <w:rFonts w:eastAsia="Times New Roman" w:cs="Arial"/>
          <w:color w:val="000000"/>
          <w:szCs w:val="20"/>
          <w:lang w:val="en-US"/>
        </w:rPr>
        <w:t>mg</w:t>
      </w:r>
      <w:r w:rsidRPr="004B0F24">
        <w:rPr>
          <w:rFonts w:eastAsia="Times New Roman" w:cs="Arial"/>
          <w:color w:val="000000"/>
          <w:szCs w:val="20"/>
          <w:lang w:val="ru-RU"/>
        </w:rPr>
        <w:t xml:space="preserve"> </w:t>
      </w:r>
      <w:r w:rsidRPr="004B0F24">
        <w:rPr>
          <w:rFonts w:eastAsia="Times New Roman" w:cs="Arial"/>
          <w:color w:val="000000"/>
          <w:szCs w:val="20"/>
          <w:lang w:eastAsia="bg-BG"/>
        </w:rPr>
        <w:t xml:space="preserve">Рамимед след още две или три седмици. Таргетната дневна доза е 10 </w:t>
      </w:r>
      <w:r w:rsidRPr="004B0F24">
        <w:rPr>
          <w:rFonts w:eastAsia="Times New Roman" w:cs="Arial"/>
          <w:color w:val="000000"/>
          <w:szCs w:val="20"/>
          <w:lang w:val="en-US"/>
        </w:rPr>
        <w:t>mg</w:t>
      </w:r>
      <w:r w:rsidRPr="004B0F24">
        <w:rPr>
          <w:rFonts w:eastAsia="Times New Roman" w:cs="Arial"/>
          <w:color w:val="000000"/>
          <w:szCs w:val="20"/>
          <w:lang w:val="ru-RU"/>
        </w:rPr>
        <w:t>.</w:t>
      </w:r>
    </w:p>
    <w:p w14:paraId="0C1040DF" w14:textId="77777777" w:rsidR="004B0F24" w:rsidRPr="004B0F24" w:rsidRDefault="004B0F24" w:rsidP="004B0F24">
      <w:pPr>
        <w:spacing w:line="240" w:lineRule="auto"/>
        <w:rPr>
          <w:rFonts w:eastAsia="Times New Roman" w:cs="Arial"/>
          <w:i/>
          <w:iCs/>
          <w:color w:val="000000"/>
          <w:szCs w:val="20"/>
          <w:u w:val="single"/>
          <w:lang w:eastAsia="bg-BG"/>
        </w:rPr>
      </w:pPr>
    </w:p>
    <w:p w14:paraId="5E0C2DC1" w14:textId="22AAC33A" w:rsidR="004B0F24" w:rsidRPr="004B0F24" w:rsidRDefault="004B0F24" w:rsidP="004B0F24">
      <w:pPr>
        <w:spacing w:line="240" w:lineRule="auto"/>
        <w:rPr>
          <w:rFonts w:eastAsia="Times New Roman" w:cs="Arial"/>
          <w:szCs w:val="20"/>
        </w:rPr>
      </w:pPr>
      <w:r w:rsidRPr="004B0F24">
        <w:rPr>
          <w:rFonts w:eastAsia="Times New Roman" w:cs="Arial"/>
          <w:i/>
          <w:iCs/>
          <w:color w:val="000000"/>
          <w:szCs w:val="20"/>
          <w:u w:val="single"/>
          <w:lang w:eastAsia="bg-BG"/>
        </w:rPr>
        <w:t xml:space="preserve">При паииенти с недиабетна нефропатия, определена от протеинурия ≥3 е/на ден </w:t>
      </w:r>
      <w:r w:rsidRPr="004B0F24">
        <w:rPr>
          <w:rFonts w:eastAsia="Times New Roman" w:cs="Arial"/>
          <w:color w:val="000000"/>
          <w:szCs w:val="20"/>
          <w:u w:val="single"/>
          <w:lang w:eastAsia="bg-BG"/>
        </w:rPr>
        <w:t>Начална доза:</w:t>
      </w:r>
    </w:p>
    <w:p w14:paraId="14441BF5" w14:textId="77777777" w:rsidR="004B0F24" w:rsidRPr="004B0F24" w:rsidRDefault="004B0F24" w:rsidP="004B0F24">
      <w:pPr>
        <w:spacing w:line="240" w:lineRule="auto"/>
        <w:rPr>
          <w:rFonts w:eastAsia="Times New Roman" w:cs="Arial"/>
          <w:szCs w:val="20"/>
        </w:rPr>
      </w:pPr>
      <w:r w:rsidRPr="004B0F24">
        <w:rPr>
          <w:rFonts w:eastAsia="Times New Roman" w:cs="Arial"/>
          <w:color w:val="000000"/>
          <w:szCs w:val="20"/>
          <w:lang w:eastAsia="bg-BG"/>
        </w:rPr>
        <w:t xml:space="preserve">Препоръчваната начална доза е 1,25 </w:t>
      </w:r>
      <w:r w:rsidRPr="004B0F24">
        <w:rPr>
          <w:rFonts w:eastAsia="Times New Roman" w:cs="Arial"/>
          <w:color w:val="000000"/>
          <w:szCs w:val="20"/>
          <w:lang w:val="en-US"/>
        </w:rPr>
        <w:t>mg</w:t>
      </w:r>
      <w:r w:rsidRPr="004B0F24">
        <w:rPr>
          <w:rFonts w:eastAsia="Times New Roman" w:cs="Arial"/>
          <w:color w:val="000000"/>
          <w:szCs w:val="20"/>
          <w:lang w:val="ru-RU"/>
        </w:rPr>
        <w:t xml:space="preserve"> </w:t>
      </w:r>
      <w:r w:rsidRPr="004B0F24">
        <w:rPr>
          <w:rFonts w:eastAsia="Times New Roman" w:cs="Arial"/>
          <w:color w:val="000000"/>
          <w:szCs w:val="20"/>
          <w:lang w:eastAsia="bg-BG"/>
        </w:rPr>
        <w:t>Рамимед веднъж дневно.</w:t>
      </w:r>
    </w:p>
    <w:p w14:paraId="13F14D7D" w14:textId="77777777" w:rsidR="004B0F24" w:rsidRPr="004B0F24" w:rsidRDefault="004B0F24" w:rsidP="004B0F24">
      <w:pPr>
        <w:spacing w:line="240" w:lineRule="auto"/>
        <w:rPr>
          <w:rFonts w:eastAsia="Times New Roman" w:cs="Arial"/>
          <w:szCs w:val="20"/>
        </w:rPr>
      </w:pPr>
      <w:r w:rsidRPr="004B0F24">
        <w:rPr>
          <w:rFonts w:eastAsia="Times New Roman" w:cs="Arial"/>
          <w:color w:val="000000"/>
          <w:szCs w:val="20"/>
          <w:u w:val="single"/>
          <w:lang w:eastAsia="bg-BG"/>
        </w:rPr>
        <w:t>Титриране и поддържаща доза</w:t>
      </w:r>
    </w:p>
    <w:p w14:paraId="2B3672D4" w14:textId="77777777" w:rsidR="004B0F24" w:rsidRPr="004B0F24" w:rsidRDefault="004B0F24" w:rsidP="004B0F24">
      <w:pPr>
        <w:spacing w:line="240" w:lineRule="auto"/>
        <w:rPr>
          <w:rFonts w:eastAsia="Times New Roman" w:cs="Arial"/>
          <w:szCs w:val="20"/>
        </w:rPr>
      </w:pPr>
      <w:r w:rsidRPr="004B0F24">
        <w:rPr>
          <w:rFonts w:eastAsia="Times New Roman" w:cs="Arial"/>
          <w:color w:val="000000"/>
          <w:szCs w:val="20"/>
          <w:lang w:eastAsia="bg-BG"/>
        </w:rPr>
        <w:t xml:space="preserve">В зависимост от толерантността на пациента към активното вещество, дозата впоследствие се повишава. Препоръчва се удвояване на еднократната дневна доза до 2,5 </w:t>
      </w:r>
      <w:r w:rsidRPr="004B0F24">
        <w:rPr>
          <w:rFonts w:eastAsia="Times New Roman" w:cs="Arial"/>
          <w:color w:val="000000"/>
          <w:szCs w:val="20"/>
          <w:lang w:val="en-US"/>
        </w:rPr>
        <w:t>mg</w:t>
      </w:r>
      <w:r w:rsidRPr="004B0F24">
        <w:rPr>
          <w:rFonts w:eastAsia="Times New Roman" w:cs="Arial"/>
          <w:color w:val="000000"/>
          <w:szCs w:val="20"/>
          <w:lang w:val="ru-RU"/>
        </w:rPr>
        <w:t xml:space="preserve"> </w:t>
      </w:r>
      <w:r w:rsidRPr="004B0F24">
        <w:rPr>
          <w:rFonts w:eastAsia="Times New Roman" w:cs="Arial"/>
          <w:color w:val="000000"/>
          <w:szCs w:val="20"/>
          <w:lang w:eastAsia="bg-BG"/>
        </w:rPr>
        <w:t xml:space="preserve">след две седмици и до 5 </w:t>
      </w:r>
      <w:r w:rsidRPr="004B0F24">
        <w:rPr>
          <w:rFonts w:eastAsia="Times New Roman" w:cs="Arial"/>
          <w:color w:val="000000"/>
          <w:szCs w:val="20"/>
          <w:lang w:val="en-US"/>
        </w:rPr>
        <w:t>mg</w:t>
      </w:r>
      <w:r w:rsidRPr="004B0F24">
        <w:rPr>
          <w:rFonts w:eastAsia="Times New Roman" w:cs="Arial"/>
          <w:color w:val="000000"/>
          <w:szCs w:val="20"/>
          <w:lang w:val="ru-RU"/>
        </w:rPr>
        <w:t xml:space="preserve"> </w:t>
      </w:r>
      <w:r w:rsidRPr="004B0F24">
        <w:rPr>
          <w:rFonts w:eastAsia="Times New Roman" w:cs="Arial"/>
          <w:color w:val="000000"/>
          <w:szCs w:val="20"/>
          <w:lang w:eastAsia="bg-BG"/>
        </w:rPr>
        <w:t>след още две седмици.</w:t>
      </w:r>
    </w:p>
    <w:p w14:paraId="09850809" w14:textId="77777777" w:rsidR="004B0F24" w:rsidRPr="004B0F24" w:rsidRDefault="004B0F24" w:rsidP="004B0F24">
      <w:pPr>
        <w:spacing w:line="240" w:lineRule="auto"/>
        <w:rPr>
          <w:rFonts w:eastAsia="Times New Roman" w:cs="Arial"/>
          <w:i/>
          <w:iCs/>
          <w:color w:val="000000"/>
          <w:szCs w:val="20"/>
          <w:lang w:eastAsia="bg-BG"/>
        </w:rPr>
      </w:pPr>
    </w:p>
    <w:p w14:paraId="62DFEE41" w14:textId="66955259" w:rsidR="004B0F24" w:rsidRPr="004B0F24" w:rsidRDefault="004B0F24" w:rsidP="004B0F24">
      <w:pPr>
        <w:spacing w:line="240" w:lineRule="auto"/>
        <w:rPr>
          <w:rFonts w:eastAsia="Times New Roman" w:cs="Arial"/>
          <w:szCs w:val="20"/>
        </w:rPr>
      </w:pPr>
      <w:r w:rsidRPr="004B0F24">
        <w:rPr>
          <w:rFonts w:eastAsia="Times New Roman" w:cs="Arial"/>
          <w:i/>
          <w:iCs/>
          <w:color w:val="000000"/>
          <w:szCs w:val="20"/>
          <w:lang w:eastAsia="bg-BG"/>
        </w:rPr>
        <w:t>Симптоматична сърдечна недостатъчност</w:t>
      </w:r>
    </w:p>
    <w:p w14:paraId="43C41924" w14:textId="77777777" w:rsidR="004B0F24" w:rsidRPr="004B0F24" w:rsidRDefault="004B0F24" w:rsidP="004B0F24">
      <w:pPr>
        <w:spacing w:line="240" w:lineRule="auto"/>
        <w:rPr>
          <w:rFonts w:eastAsia="Times New Roman" w:cs="Arial"/>
          <w:szCs w:val="20"/>
        </w:rPr>
      </w:pPr>
      <w:r w:rsidRPr="004B0F24">
        <w:rPr>
          <w:rFonts w:eastAsia="Times New Roman" w:cs="Arial"/>
          <w:color w:val="000000"/>
          <w:szCs w:val="20"/>
          <w:u w:val="single"/>
          <w:lang w:eastAsia="bg-BG"/>
        </w:rPr>
        <w:t>Начална доза:</w:t>
      </w:r>
    </w:p>
    <w:p w14:paraId="550558A3" w14:textId="77777777" w:rsidR="004B0F24" w:rsidRPr="004B0F24" w:rsidRDefault="004B0F24" w:rsidP="004B0F24">
      <w:pPr>
        <w:spacing w:line="240" w:lineRule="auto"/>
        <w:rPr>
          <w:rFonts w:eastAsia="Times New Roman" w:cs="Arial"/>
          <w:szCs w:val="20"/>
        </w:rPr>
      </w:pPr>
      <w:r w:rsidRPr="004B0F24">
        <w:rPr>
          <w:rFonts w:eastAsia="Times New Roman" w:cs="Arial"/>
          <w:color w:val="000000"/>
          <w:szCs w:val="20"/>
          <w:lang w:eastAsia="bg-BG"/>
        </w:rPr>
        <w:t xml:space="preserve">При стабилизирани пациенти на диуретична терапия препоръчваната начална доза е 1,25 </w:t>
      </w:r>
      <w:r w:rsidRPr="004B0F24">
        <w:rPr>
          <w:rFonts w:eastAsia="Times New Roman" w:cs="Arial"/>
          <w:color w:val="000000"/>
          <w:szCs w:val="20"/>
          <w:lang w:val="en-US"/>
        </w:rPr>
        <w:t>mg</w:t>
      </w:r>
      <w:r w:rsidRPr="004B0F24">
        <w:rPr>
          <w:rFonts w:eastAsia="Times New Roman" w:cs="Arial"/>
          <w:color w:val="000000"/>
          <w:szCs w:val="20"/>
          <w:lang w:val="ru-RU"/>
        </w:rPr>
        <w:t xml:space="preserve"> </w:t>
      </w:r>
      <w:r w:rsidRPr="004B0F24">
        <w:rPr>
          <w:rFonts w:eastAsia="Times New Roman" w:cs="Arial"/>
          <w:color w:val="000000"/>
          <w:szCs w:val="20"/>
          <w:lang w:eastAsia="bg-BG"/>
        </w:rPr>
        <w:t>дневно.</w:t>
      </w:r>
    </w:p>
    <w:p w14:paraId="492647E5" w14:textId="77777777" w:rsidR="004B0F24" w:rsidRPr="004B0F24" w:rsidRDefault="004B0F24" w:rsidP="004B0F24">
      <w:pPr>
        <w:spacing w:line="240" w:lineRule="auto"/>
        <w:rPr>
          <w:rFonts w:eastAsia="Times New Roman" w:cs="Arial"/>
          <w:szCs w:val="20"/>
        </w:rPr>
      </w:pPr>
      <w:r w:rsidRPr="004B0F24">
        <w:rPr>
          <w:rFonts w:eastAsia="Times New Roman" w:cs="Arial"/>
          <w:color w:val="000000"/>
          <w:szCs w:val="20"/>
          <w:u w:val="single"/>
          <w:lang w:eastAsia="bg-BG"/>
        </w:rPr>
        <w:t>Титриране и поддържаща лоза</w:t>
      </w:r>
    </w:p>
    <w:p w14:paraId="5CA0FE7F" w14:textId="77777777" w:rsidR="004B0F24" w:rsidRPr="004B0F24" w:rsidRDefault="004B0F24" w:rsidP="004B0F24">
      <w:pPr>
        <w:spacing w:line="240" w:lineRule="auto"/>
        <w:rPr>
          <w:rFonts w:eastAsia="Times New Roman" w:cs="Arial"/>
          <w:szCs w:val="20"/>
        </w:rPr>
      </w:pPr>
      <w:r w:rsidRPr="004B0F24">
        <w:rPr>
          <w:rFonts w:eastAsia="Times New Roman" w:cs="Arial"/>
          <w:color w:val="000000"/>
          <w:szCs w:val="20"/>
          <w:lang w:eastAsia="bg-BG"/>
        </w:rPr>
        <w:t xml:space="preserve">Рамимед трябва да бъде титриран чрез удвояване на дозата на всеки една до две седмици до максимална дневна доза 10 </w:t>
      </w:r>
      <w:r w:rsidRPr="004B0F24">
        <w:rPr>
          <w:rFonts w:eastAsia="Times New Roman" w:cs="Arial"/>
          <w:color w:val="000000"/>
          <w:szCs w:val="20"/>
          <w:lang w:val="en-US"/>
        </w:rPr>
        <w:t>mg</w:t>
      </w:r>
      <w:r w:rsidRPr="004B0F24">
        <w:rPr>
          <w:rFonts w:eastAsia="Times New Roman" w:cs="Arial"/>
          <w:color w:val="000000"/>
          <w:szCs w:val="20"/>
          <w:lang w:val="ru-RU"/>
        </w:rPr>
        <w:t xml:space="preserve">. </w:t>
      </w:r>
      <w:r w:rsidRPr="004B0F24">
        <w:rPr>
          <w:rFonts w:eastAsia="Times New Roman" w:cs="Arial"/>
          <w:color w:val="000000"/>
          <w:szCs w:val="20"/>
          <w:lang w:eastAsia="bg-BG"/>
        </w:rPr>
        <w:t>Предпочита се двукратен дневен прием.</w:t>
      </w:r>
    </w:p>
    <w:p w14:paraId="2FA5FB32" w14:textId="77777777" w:rsidR="004B0F24" w:rsidRPr="004B0F24" w:rsidRDefault="004B0F24" w:rsidP="004B0F24">
      <w:pPr>
        <w:spacing w:line="240" w:lineRule="auto"/>
        <w:rPr>
          <w:rFonts w:eastAsia="Times New Roman" w:cs="Arial"/>
          <w:i/>
          <w:iCs/>
          <w:color w:val="000000"/>
          <w:szCs w:val="20"/>
          <w:lang w:eastAsia="bg-BG"/>
        </w:rPr>
      </w:pPr>
    </w:p>
    <w:p w14:paraId="275033F7" w14:textId="4F9203BB" w:rsidR="004B0F24" w:rsidRPr="004B0F24" w:rsidRDefault="004B0F24" w:rsidP="004B0F24">
      <w:pPr>
        <w:spacing w:line="240" w:lineRule="auto"/>
        <w:rPr>
          <w:rFonts w:eastAsia="Times New Roman" w:cs="Arial"/>
          <w:szCs w:val="20"/>
        </w:rPr>
      </w:pPr>
      <w:r w:rsidRPr="004B0F24">
        <w:rPr>
          <w:rFonts w:eastAsia="Times New Roman" w:cs="Arial"/>
          <w:i/>
          <w:iCs/>
          <w:color w:val="000000"/>
          <w:szCs w:val="20"/>
          <w:lang w:eastAsia="bg-BG"/>
        </w:rPr>
        <w:t xml:space="preserve">Вторична профилактика след остър миокарден инфаркт и със сърдечна недостатъчност </w:t>
      </w:r>
      <w:r w:rsidRPr="004B0F24">
        <w:rPr>
          <w:rFonts w:eastAsia="Times New Roman" w:cs="Arial"/>
          <w:color w:val="000000"/>
          <w:szCs w:val="20"/>
          <w:u w:val="single"/>
          <w:lang w:eastAsia="bg-BG"/>
        </w:rPr>
        <w:t>Начална доза:</w:t>
      </w:r>
    </w:p>
    <w:p w14:paraId="4AE65ECD" w14:textId="77777777" w:rsidR="004B0F24" w:rsidRPr="004B0F24" w:rsidRDefault="004B0F24" w:rsidP="004B0F24">
      <w:pPr>
        <w:spacing w:line="240" w:lineRule="auto"/>
        <w:rPr>
          <w:rFonts w:eastAsia="Times New Roman" w:cs="Arial"/>
          <w:szCs w:val="20"/>
        </w:rPr>
      </w:pPr>
      <w:r w:rsidRPr="004B0F24">
        <w:rPr>
          <w:rFonts w:eastAsia="Times New Roman" w:cs="Arial"/>
          <w:color w:val="000000"/>
          <w:szCs w:val="20"/>
          <w:lang w:eastAsia="bg-BG"/>
        </w:rPr>
        <w:t xml:space="preserve">48 часа след остър миокарден инфаркт при клинично и хемодинамично стабилни пациенти началната доза е 2,5 </w:t>
      </w:r>
      <w:r w:rsidRPr="004B0F24">
        <w:rPr>
          <w:rFonts w:eastAsia="Times New Roman" w:cs="Arial"/>
          <w:color w:val="000000"/>
          <w:szCs w:val="20"/>
          <w:lang w:val="en-US"/>
        </w:rPr>
        <w:t>mg</w:t>
      </w:r>
      <w:r w:rsidRPr="004B0F24">
        <w:rPr>
          <w:rFonts w:eastAsia="Times New Roman" w:cs="Arial"/>
          <w:color w:val="000000"/>
          <w:szCs w:val="20"/>
          <w:lang w:val="ru-RU"/>
        </w:rPr>
        <w:t xml:space="preserve"> </w:t>
      </w:r>
      <w:r w:rsidRPr="004B0F24">
        <w:rPr>
          <w:rFonts w:eastAsia="Times New Roman" w:cs="Arial"/>
          <w:color w:val="000000"/>
          <w:szCs w:val="20"/>
          <w:lang w:eastAsia="bg-BG"/>
        </w:rPr>
        <w:t xml:space="preserve">два пъти дневно в продължение на три дни. Ако началната доза от 2,5 </w:t>
      </w:r>
      <w:r w:rsidRPr="004B0F24">
        <w:rPr>
          <w:rFonts w:eastAsia="Times New Roman" w:cs="Arial"/>
          <w:color w:val="000000"/>
          <w:szCs w:val="20"/>
          <w:lang w:val="en-US"/>
        </w:rPr>
        <w:t>mg</w:t>
      </w:r>
      <w:r w:rsidRPr="004B0F24">
        <w:rPr>
          <w:rFonts w:eastAsia="Times New Roman" w:cs="Arial"/>
          <w:color w:val="000000"/>
          <w:szCs w:val="20"/>
          <w:lang w:val="ru-RU"/>
        </w:rPr>
        <w:t xml:space="preserve"> </w:t>
      </w:r>
      <w:r w:rsidRPr="004B0F24">
        <w:rPr>
          <w:rFonts w:eastAsia="Times New Roman" w:cs="Arial"/>
          <w:color w:val="000000"/>
          <w:szCs w:val="20"/>
          <w:lang w:eastAsia="bg-BG"/>
        </w:rPr>
        <w:t xml:space="preserve">не се толерира, доза от 1,25 </w:t>
      </w:r>
      <w:r w:rsidRPr="004B0F24">
        <w:rPr>
          <w:rFonts w:eastAsia="Times New Roman" w:cs="Arial"/>
          <w:color w:val="000000"/>
          <w:szCs w:val="20"/>
          <w:lang w:val="en-US"/>
        </w:rPr>
        <w:t>mg</w:t>
      </w:r>
      <w:r w:rsidRPr="004B0F24">
        <w:rPr>
          <w:rFonts w:eastAsia="Times New Roman" w:cs="Arial"/>
          <w:color w:val="000000"/>
          <w:szCs w:val="20"/>
          <w:lang w:val="ru-RU"/>
        </w:rPr>
        <w:t xml:space="preserve"> </w:t>
      </w:r>
      <w:r w:rsidRPr="004B0F24">
        <w:rPr>
          <w:rFonts w:eastAsia="Times New Roman" w:cs="Arial"/>
          <w:color w:val="000000"/>
          <w:szCs w:val="20"/>
          <w:lang w:eastAsia="bg-BG"/>
        </w:rPr>
        <w:t xml:space="preserve">два пъти дневно трябва да </w:t>
      </w:r>
      <w:r w:rsidRPr="004B0F24">
        <w:rPr>
          <w:rFonts w:eastAsia="Times New Roman" w:cs="Arial"/>
          <w:color w:val="000000"/>
          <w:szCs w:val="20"/>
          <w:lang w:eastAsia="bg-BG"/>
        </w:rPr>
        <w:lastRenderedPageBreak/>
        <w:t xml:space="preserve">бъде прилагана два дни преди повишаване до 2,5 </w:t>
      </w:r>
      <w:r w:rsidRPr="004B0F24">
        <w:rPr>
          <w:rFonts w:eastAsia="Times New Roman" w:cs="Arial"/>
          <w:color w:val="000000"/>
          <w:szCs w:val="20"/>
          <w:lang w:val="en-US"/>
        </w:rPr>
        <w:t>mg</w:t>
      </w:r>
      <w:r w:rsidRPr="004B0F24">
        <w:rPr>
          <w:rFonts w:eastAsia="Times New Roman" w:cs="Arial"/>
          <w:color w:val="000000"/>
          <w:szCs w:val="20"/>
          <w:lang w:val="ru-RU"/>
        </w:rPr>
        <w:t xml:space="preserve"> </w:t>
      </w:r>
      <w:r w:rsidRPr="004B0F24">
        <w:rPr>
          <w:rFonts w:eastAsia="Times New Roman" w:cs="Arial"/>
          <w:color w:val="000000"/>
          <w:szCs w:val="20"/>
          <w:lang w:eastAsia="bg-BG"/>
        </w:rPr>
        <w:t xml:space="preserve">и 5 </w:t>
      </w:r>
      <w:r w:rsidRPr="004B0F24">
        <w:rPr>
          <w:rFonts w:eastAsia="Times New Roman" w:cs="Arial"/>
          <w:color w:val="000000"/>
          <w:szCs w:val="20"/>
          <w:lang w:val="en-US"/>
        </w:rPr>
        <w:t>mg</w:t>
      </w:r>
      <w:r w:rsidRPr="004B0F24">
        <w:rPr>
          <w:rFonts w:eastAsia="Times New Roman" w:cs="Arial"/>
          <w:color w:val="000000"/>
          <w:szCs w:val="20"/>
          <w:lang w:val="ru-RU"/>
        </w:rPr>
        <w:t xml:space="preserve"> </w:t>
      </w:r>
      <w:r w:rsidRPr="004B0F24">
        <w:rPr>
          <w:rFonts w:eastAsia="Times New Roman" w:cs="Arial"/>
          <w:color w:val="000000"/>
          <w:szCs w:val="20"/>
          <w:lang w:eastAsia="bg-BG"/>
        </w:rPr>
        <w:t xml:space="preserve">два пъти дневно. Ако дозата не може да бъде повишена до 2,5 </w:t>
      </w:r>
      <w:r w:rsidRPr="004B0F24">
        <w:rPr>
          <w:rFonts w:eastAsia="Times New Roman" w:cs="Arial"/>
          <w:color w:val="000000"/>
          <w:szCs w:val="20"/>
          <w:lang w:val="en-US"/>
        </w:rPr>
        <w:t>mg</w:t>
      </w:r>
      <w:r w:rsidRPr="004B0F24">
        <w:rPr>
          <w:rFonts w:eastAsia="Times New Roman" w:cs="Arial"/>
          <w:color w:val="000000"/>
          <w:szCs w:val="20"/>
          <w:lang w:val="ru-RU"/>
        </w:rPr>
        <w:t xml:space="preserve"> </w:t>
      </w:r>
      <w:r w:rsidRPr="004B0F24">
        <w:rPr>
          <w:rFonts w:eastAsia="Times New Roman" w:cs="Arial"/>
          <w:color w:val="000000"/>
          <w:szCs w:val="20"/>
          <w:lang w:eastAsia="bg-BG"/>
        </w:rPr>
        <w:t>два пъти дневно, лечението трябва да се отмени.</w:t>
      </w:r>
    </w:p>
    <w:p w14:paraId="2C47E3E3" w14:textId="77777777" w:rsidR="004B0F24" w:rsidRPr="004B0F24" w:rsidRDefault="004B0F24" w:rsidP="004B0F24">
      <w:pPr>
        <w:spacing w:line="240" w:lineRule="auto"/>
        <w:rPr>
          <w:rFonts w:eastAsia="Times New Roman" w:cs="Arial"/>
          <w:color w:val="000000"/>
          <w:szCs w:val="20"/>
          <w:lang w:eastAsia="bg-BG"/>
        </w:rPr>
      </w:pPr>
    </w:p>
    <w:p w14:paraId="02CFB0AC" w14:textId="0DA273FA" w:rsidR="004B0F24" w:rsidRPr="004B0F24" w:rsidRDefault="004B0F24" w:rsidP="004B0F24">
      <w:pPr>
        <w:spacing w:line="240" w:lineRule="auto"/>
        <w:rPr>
          <w:rFonts w:eastAsia="Times New Roman" w:cs="Arial"/>
          <w:szCs w:val="20"/>
        </w:rPr>
      </w:pPr>
      <w:r w:rsidRPr="004B0F24">
        <w:rPr>
          <w:rFonts w:eastAsia="Times New Roman" w:cs="Arial"/>
          <w:color w:val="000000"/>
          <w:szCs w:val="20"/>
          <w:lang w:eastAsia="bg-BG"/>
        </w:rPr>
        <w:t>Вижте също по-горе дозировка при пациенти лекувани с диуретици.</w:t>
      </w:r>
    </w:p>
    <w:p w14:paraId="1FEE131F" w14:textId="77777777" w:rsidR="004B0F24" w:rsidRPr="004B0F24" w:rsidRDefault="004B0F24" w:rsidP="004B0F24">
      <w:pPr>
        <w:spacing w:line="240" w:lineRule="auto"/>
        <w:rPr>
          <w:rFonts w:eastAsia="Times New Roman" w:cs="Arial"/>
          <w:color w:val="000000"/>
          <w:szCs w:val="20"/>
          <w:u w:val="single"/>
          <w:lang w:eastAsia="bg-BG"/>
        </w:rPr>
      </w:pPr>
    </w:p>
    <w:p w14:paraId="74B973EC" w14:textId="5CFE396E" w:rsidR="004B0F24" w:rsidRPr="004B0F24" w:rsidRDefault="004B0F24" w:rsidP="004B0F24">
      <w:pPr>
        <w:spacing w:line="240" w:lineRule="auto"/>
        <w:rPr>
          <w:rFonts w:eastAsia="Times New Roman" w:cs="Arial"/>
          <w:szCs w:val="20"/>
        </w:rPr>
      </w:pPr>
      <w:r w:rsidRPr="004B0F24">
        <w:rPr>
          <w:rFonts w:eastAsia="Times New Roman" w:cs="Arial"/>
          <w:color w:val="000000"/>
          <w:szCs w:val="20"/>
          <w:u w:val="single"/>
          <w:lang w:eastAsia="bg-BG"/>
        </w:rPr>
        <w:t>Титриране и поддържаща доза</w:t>
      </w:r>
    </w:p>
    <w:p w14:paraId="5F1C369A" w14:textId="77777777" w:rsidR="004B0F24" w:rsidRPr="004B0F24" w:rsidRDefault="004B0F24" w:rsidP="004B0F24">
      <w:pPr>
        <w:spacing w:line="240" w:lineRule="auto"/>
        <w:rPr>
          <w:rFonts w:eastAsia="Times New Roman" w:cs="Arial"/>
          <w:szCs w:val="20"/>
        </w:rPr>
      </w:pPr>
      <w:r w:rsidRPr="004B0F24">
        <w:rPr>
          <w:rFonts w:eastAsia="Times New Roman" w:cs="Arial"/>
          <w:color w:val="000000"/>
          <w:szCs w:val="20"/>
          <w:lang w:eastAsia="bg-BG"/>
        </w:rPr>
        <w:t xml:space="preserve">Впоследствие дневната доза се повишава чрез удвояването й на интервали от един до три дни до достигане на таргетната поддържаща доза от 5 </w:t>
      </w:r>
      <w:r w:rsidRPr="004B0F24">
        <w:rPr>
          <w:rFonts w:eastAsia="Times New Roman" w:cs="Arial"/>
          <w:color w:val="000000"/>
          <w:szCs w:val="20"/>
          <w:lang w:val="en-US"/>
        </w:rPr>
        <w:t>mg</w:t>
      </w:r>
      <w:r w:rsidRPr="004B0F24">
        <w:rPr>
          <w:rFonts w:eastAsia="Times New Roman" w:cs="Arial"/>
          <w:color w:val="000000"/>
          <w:szCs w:val="20"/>
          <w:lang w:val="ru-RU"/>
        </w:rPr>
        <w:t xml:space="preserve"> </w:t>
      </w:r>
      <w:r w:rsidRPr="004B0F24">
        <w:rPr>
          <w:rFonts w:eastAsia="Times New Roman" w:cs="Arial"/>
          <w:color w:val="000000"/>
          <w:szCs w:val="20"/>
          <w:lang w:eastAsia="bg-BG"/>
        </w:rPr>
        <w:t>два пъти дневно.</w:t>
      </w:r>
    </w:p>
    <w:p w14:paraId="5867AD47" w14:textId="77777777" w:rsidR="004B0F24" w:rsidRPr="004B0F24" w:rsidRDefault="004B0F24" w:rsidP="004B0F24">
      <w:pPr>
        <w:spacing w:line="240" w:lineRule="auto"/>
        <w:rPr>
          <w:rFonts w:eastAsia="Times New Roman" w:cs="Arial"/>
          <w:szCs w:val="20"/>
        </w:rPr>
      </w:pPr>
      <w:r w:rsidRPr="004B0F24">
        <w:rPr>
          <w:rFonts w:eastAsia="Times New Roman" w:cs="Arial"/>
          <w:color w:val="000000"/>
          <w:szCs w:val="20"/>
          <w:lang w:eastAsia="bg-BG"/>
        </w:rPr>
        <w:t>Когато е възможно поддържащата доза се разделя на два приема дневно.</w:t>
      </w:r>
    </w:p>
    <w:p w14:paraId="1C6F55E3" w14:textId="77777777" w:rsidR="004B0F24" w:rsidRPr="004B0F24" w:rsidRDefault="004B0F24" w:rsidP="004B0F24">
      <w:pPr>
        <w:spacing w:line="240" w:lineRule="auto"/>
        <w:rPr>
          <w:rFonts w:eastAsia="Times New Roman" w:cs="Arial"/>
          <w:szCs w:val="20"/>
        </w:rPr>
      </w:pPr>
      <w:r w:rsidRPr="004B0F24">
        <w:rPr>
          <w:rFonts w:eastAsia="Times New Roman" w:cs="Arial"/>
          <w:color w:val="000000"/>
          <w:szCs w:val="20"/>
          <w:lang w:eastAsia="bg-BG"/>
        </w:rPr>
        <w:t xml:space="preserve">Ако дозата не може да се повиши до </w:t>
      </w:r>
      <w:r w:rsidRPr="004B0F24">
        <w:rPr>
          <w:rFonts w:eastAsia="Times New Roman" w:cs="Arial"/>
          <w:i/>
          <w:iCs/>
          <w:color w:val="000000"/>
          <w:szCs w:val="20"/>
          <w:lang w:eastAsia="bg-BG"/>
        </w:rPr>
        <w:t>2,5</w:t>
      </w:r>
      <w:r w:rsidRPr="004B0F24">
        <w:rPr>
          <w:rFonts w:eastAsia="Times New Roman" w:cs="Arial"/>
          <w:color w:val="000000"/>
          <w:szCs w:val="20"/>
          <w:lang w:eastAsia="bg-BG"/>
        </w:rPr>
        <w:t xml:space="preserve"> </w:t>
      </w:r>
      <w:r w:rsidRPr="004B0F24">
        <w:rPr>
          <w:rFonts w:eastAsia="Times New Roman" w:cs="Arial"/>
          <w:color w:val="000000"/>
          <w:szCs w:val="20"/>
          <w:lang w:val="en-US"/>
        </w:rPr>
        <w:t>mg</w:t>
      </w:r>
      <w:r w:rsidRPr="004B0F24">
        <w:rPr>
          <w:rFonts w:eastAsia="Times New Roman" w:cs="Arial"/>
          <w:color w:val="000000"/>
          <w:szCs w:val="20"/>
          <w:lang w:val="ru-RU"/>
        </w:rPr>
        <w:t xml:space="preserve"> </w:t>
      </w:r>
      <w:r w:rsidRPr="004B0F24">
        <w:rPr>
          <w:rFonts w:eastAsia="Times New Roman" w:cs="Arial"/>
          <w:color w:val="000000"/>
          <w:szCs w:val="20"/>
          <w:lang w:eastAsia="bg-BG"/>
        </w:rPr>
        <w:t xml:space="preserve">два пъти дневно, лечението трябва да се отмени. Все още липсва достатъчен опит при лечение на пациенти с тежка </w:t>
      </w:r>
      <w:r w:rsidRPr="004B0F24">
        <w:rPr>
          <w:rFonts w:eastAsia="Times New Roman" w:cs="Arial"/>
          <w:color w:val="000000"/>
          <w:szCs w:val="20"/>
          <w:lang w:val="ru-RU"/>
        </w:rPr>
        <w:t>(</w:t>
      </w:r>
      <w:r w:rsidRPr="004B0F24">
        <w:rPr>
          <w:rFonts w:eastAsia="Times New Roman" w:cs="Arial"/>
          <w:color w:val="000000"/>
          <w:szCs w:val="20"/>
          <w:lang w:val="en-US"/>
        </w:rPr>
        <w:t>NYHA</w:t>
      </w:r>
      <w:r w:rsidRPr="004B0F24">
        <w:rPr>
          <w:rFonts w:eastAsia="Times New Roman" w:cs="Arial"/>
          <w:color w:val="000000"/>
          <w:szCs w:val="20"/>
          <w:lang w:val="ru-RU"/>
        </w:rPr>
        <w:t xml:space="preserve"> </w:t>
      </w:r>
      <w:r w:rsidRPr="004B0F24">
        <w:rPr>
          <w:rFonts w:eastAsia="Times New Roman" w:cs="Arial"/>
          <w:color w:val="000000"/>
          <w:szCs w:val="20"/>
          <w:lang w:eastAsia="bg-BG"/>
        </w:rPr>
        <w:t xml:space="preserve">IV) сърдечна недостатъчност непосредствено след миокарден инфаркт. Ако се вземе решение за лечение на такива пациенти, препоръчва се терапията да бъде започната с 1,25 </w:t>
      </w:r>
      <w:r w:rsidRPr="004B0F24">
        <w:rPr>
          <w:rFonts w:eastAsia="Times New Roman" w:cs="Arial"/>
          <w:color w:val="000000"/>
          <w:szCs w:val="20"/>
          <w:lang w:val="en-US"/>
        </w:rPr>
        <w:t>mg</w:t>
      </w:r>
      <w:r w:rsidRPr="004B0F24">
        <w:rPr>
          <w:rFonts w:eastAsia="Times New Roman" w:cs="Arial"/>
          <w:color w:val="000000"/>
          <w:szCs w:val="20"/>
          <w:lang w:val="ru-RU"/>
        </w:rPr>
        <w:t xml:space="preserve"> </w:t>
      </w:r>
      <w:r w:rsidRPr="004B0F24">
        <w:rPr>
          <w:rFonts w:eastAsia="Times New Roman" w:cs="Arial"/>
          <w:color w:val="000000"/>
          <w:szCs w:val="20"/>
          <w:lang w:eastAsia="bg-BG"/>
        </w:rPr>
        <w:t>веднъж дневно и всяко повишаване на дозата да бъде извършвано с повишено внимание.</w:t>
      </w:r>
    </w:p>
    <w:p w14:paraId="72397D51" w14:textId="77777777" w:rsidR="004B0F24" w:rsidRPr="004B0F24" w:rsidRDefault="004B0F24" w:rsidP="004B0F24">
      <w:pPr>
        <w:spacing w:line="240" w:lineRule="auto"/>
        <w:rPr>
          <w:rFonts w:eastAsia="Times New Roman" w:cs="Arial"/>
          <w:i/>
          <w:iCs/>
          <w:color w:val="000000"/>
          <w:szCs w:val="20"/>
          <w:u w:val="single"/>
          <w:lang w:eastAsia="bg-BG"/>
        </w:rPr>
      </w:pPr>
    </w:p>
    <w:p w14:paraId="763E97D0" w14:textId="002DA5AD" w:rsidR="004B0F24" w:rsidRPr="004B0F24" w:rsidRDefault="004B0F24" w:rsidP="004B0F24">
      <w:pPr>
        <w:spacing w:line="240" w:lineRule="auto"/>
        <w:rPr>
          <w:rFonts w:eastAsia="Times New Roman" w:cs="Arial"/>
          <w:szCs w:val="20"/>
        </w:rPr>
      </w:pPr>
      <w:r w:rsidRPr="004B0F24">
        <w:rPr>
          <w:rFonts w:eastAsia="Times New Roman" w:cs="Arial"/>
          <w:i/>
          <w:iCs/>
          <w:color w:val="000000"/>
          <w:szCs w:val="20"/>
          <w:u w:val="single"/>
          <w:lang w:eastAsia="bg-BG"/>
        </w:rPr>
        <w:t>Специални популации</w:t>
      </w:r>
    </w:p>
    <w:p w14:paraId="0DCE8BB3" w14:textId="77777777" w:rsidR="004B0F24" w:rsidRPr="004B0F24" w:rsidRDefault="004B0F24" w:rsidP="004B0F24">
      <w:pPr>
        <w:spacing w:line="240" w:lineRule="auto"/>
        <w:rPr>
          <w:rFonts w:eastAsia="Times New Roman" w:cs="Arial"/>
          <w:i/>
          <w:iCs/>
          <w:color w:val="000000"/>
          <w:szCs w:val="20"/>
          <w:lang w:eastAsia="bg-BG"/>
        </w:rPr>
      </w:pPr>
    </w:p>
    <w:p w14:paraId="5A530929" w14:textId="2289715C" w:rsidR="004B0F24" w:rsidRPr="004B0F24" w:rsidRDefault="004B0F24" w:rsidP="004B0F24">
      <w:pPr>
        <w:spacing w:line="240" w:lineRule="auto"/>
        <w:rPr>
          <w:rFonts w:eastAsia="Times New Roman" w:cs="Arial"/>
          <w:szCs w:val="20"/>
        </w:rPr>
      </w:pPr>
      <w:r w:rsidRPr="004B0F24">
        <w:rPr>
          <w:rFonts w:eastAsia="Times New Roman" w:cs="Arial"/>
          <w:i/>
          <w:iCs/>
          <w:color w:val="000000"/>
          <w:szCs w:val="20"/>
          <w:lang w:eastAsia="bg-BG"/>
        </w:rPr>
        <w:t>Пациенти с бъбречно увреждане</w:t>
      </w:r>
    </w:p>
    <w:p w14:paraId="3E935AD0" w14:textId="77777777" w:rsidR="004B0F24" w:rsidRPr="004B0F24" w:rsidRDefault="004B0F24" w:rsidP="004B0F24">
      <w:pPr>
        <w:spacing w:line="240" w:lineRule="auto"/>
        <w:rPr>
          <w:rFonts w:eastAsia="Times New Roman" w:cs="Arial"/>
          <w:szCs w:val="20"/>
        </w:rPr>
      </w:pPr>
      <w:r w:rsidRPr="004B0F24">
        <w:rPr>
          <w:rFonts w:eastAsia="Times New Roman" w:cs="Arial"/>
          <w:color w:val="000000"/>
          <w:szCs w:val="20"/>
          <w:lang w:eastAsia="bg-BG"/>
        </w:rPr>
        <w:t>Дневната доза при пациенти с бъбречно увреждане трябва да се определя въз основа на креатининовия клирьнс (вж. точка 5.2):</w:t>
      </w:r>
    </w:p>
    <w:p w14:paraId="425ED523" w14:textId="77777777" w:rsidR="004B0F24" w:rsidRPr="004B0F24" w:rsidRDefault="004B0F24" w:rsidP="004B0F24">
      <w:pPr>
        <w:pStyle w:val="ListParagraph"/>
        <w:numPr>
          <w:ilvl w:val="0"/>
          <w:numId w:val="42"/>
        </w:numPr>
        <w:spacing w:line="240" w:lineRule="auto"/>
        <w:rPr>
          <w:rFonts w:eastAsia="Times New Roman" w:cs="Arial"/>
          <w:szCs w:val="20"/>
        </w:rPr>
      </w:pPr>
      <w:r w:rsidRPr="004B0F24">
        <w:rPr>
          <w:rFonts w:eastAsia="Times New Roman" w:cs="Arial"/>
          <w:color w:val="000000"/>
          <w:szCs w:val="20"/>
          <w:lang w:eastAsia="bg-BG"/>
        </w:rPr>
        <w:t xml:space="preserve">ако креатининовият клирьнс е ≥ 60 </w:t>
      </w:r>
      <w:r w:rsidRPr="004B0F24">
        <w:rPr>
          <w:rFonts w:eastAsia="Times New Roman" w:cs="Arial"/>
          <w:color w:val="000000"/>
          <w:szCs w:val="20"/>
          <w:lang w:val="en-US"/>
        </w:rPr>
        <w:t>ml</w:t>
      </w:r>
      <w:r w:rsidRPr="004B0F24">
        <w:rPr>
          <w:rFonts w:eastAsia="Times New Roman" w:cs="Arial"/>
          <w:color w:val="000000"/>
          <w:szCs w:val="20"/>
          <w:lang w:val="ru-RU"/>
        </w:rPr>
        <w:t>/</w:t>
      </w:r>
      <w:r w:rsidRPr="004B0F24">
        <w:rPr>
          <w:rFonts w:eastAsia="Times New Roman" w:cs="Arial"/>
          <w:color w:val="000000"/>
          <w:szCs w:val="20"/>
          <w:lang w:val="en-US"/>
        </w:rPr>
        <w:t>min</w:t>
      </w:r>
      <w:r w:rsidRPr="004B0F24">
        <w:rPr>
          <w:rFonts w:eastAsia="Times New Roman" w:cs="Arial"/>
          <w:color w:val="000000"/>
          <w:szCs w:val="20"/>
          <w:lang w:val="ru-RU"/>
        </w:rPr>
        <w:t xml:space="preserve">, </w:t>
      </w:r>
      <w:r w:rsidRPr="004B0F24">
        <w:rPr>
          <w:rFonts w:eastAsia="Times New Roman" w:cs="Arial"/>
          <w:color w:val="000000"/>
          <w:szCs w:val="20"/>
          <w:lang w:eastAsia="bg-BG"/>
        </w:rPr>
        <w:t xml:space="preserve">не е необходимо коригиране на началната доза (2,5 </w:t>
      </w:r>
      <w:r w:rsidRPr="004B0F24">
        <w:rPr>
          <w:rFonts w:eastAsia="Times New Roman" w:cs="Arial"/>
          <w:color w:val="000000"/>
          <w:szCs w:val="20"/>
          <w:lang w:val="en-US"/>
        </w:rPr>
        <w:t>mg</w:t>
      </w:r>
      <w:r w:rsidRPr="004B0F24">
        <w:rPr>
          <w:rFonts w:eastAsia="Times New Roman" w:cs="Arial"/>
          <w:color w:val="000000"/>
          <w:szCs w:val="20"/>
          <w:lang w:eastAsia="bg-BG"/>
        </w:rPr>
        <w:t xml:space="preserve">/дневно); максималната дневна доза е 10 </w:t>
      </w:r>
      <w:r w:rsidRPr="004B0F24">
        <w:rPr>
          <w:rFonts w:eastAsia="Times New Roman" w:cs="Arial"/>
          <w:color w:val="000000"/>
          <w:szCs w:val="20"/>
          <w:lang w:val="en-US"/>
        </w:rPr>
        <w:t>mg</w:t>
      </w:r>
      <w:r w:rsidRPr="004B0F24">
        <w:rPr>
          <w:rFonts w:eastAsia="Times New Roman" w:cs="Arial"/>
          <w:color w:val="000000"/>
          <w:szCs w:val="20"/>
          <w:lang w:val="ru-RU"/>
        </w:rPr>
        <w:t>;</w:t>
      </w:r>
    </w:p>
    <w:p w14:paraId="63285A6B" w14:textId="77777777" w:rsidR="004B0F24" w:rsidRPr="004B0F24" w:rsidRDefault="004B0F24" w:rsidP="004B0F24">
      <w:pPr>
        <w:pStyle w:val="ListParagraph"/>
        <w:numPr>
          <w:ilvl w:val="0"/>
          <w:numId w:val="42"/>
        </w:numPr>
        <w:spacing w:line="240" w:lineRule="auto"/>
        <w:rPr>
          <w:rFonts w:eastAsia="Times New Roman" w:cs="Arial"/>
          <w:szCs w:val="20"/>
        </w:rPr>
      </w:pPr>
      <w:r w:rsidRPr="004B0F24">
        <w:rPr>
          <w:rFonts w:eastAsia="Times New Roman" w:cs="Arial"/>
          <w:color w:val="000000"/>
          <w:szCs w:val="20"/>
          <w:lang w:eastAsia="bg-BG"/>
        </w:rPr>
        <w:t xml:space="preserve">ако креатининовият клирьнс е между </w:t>
      </w:r>
      <w:r w:rsidRPr="004B0F24">
        <w:rPr>
          <w:rFonts w:eastAsia="Times New Roman" w:cs="Arial"/>
          <w:color w:val="000000"/>
          <w:szCs w:val="20"/>
          <w:lang w:val="ru-RU"/>
        </w:rPr>
        <w:t>30-60</w:t>
      </w:r>
      <w:r w:rsidRPr="004B0F24">
        <w:rPr>
          <w:rFonts w:eastAsia="Times New Roman" w:cs="Arial"/>
          <w:color w:val="000000"/>
          <w:szCs w:val="20"/>
          <w:lang w:val="en-US"/>
        </w:rPr>
        <w:t>ml</w:t>
      </w:r>
      <w:r w:rsidRPr="004B0F24">
        <w:rPr>
          <w:rFonts w:eastAsia="Times New Roman" w:cs="Arial"/>
          <w:color w:val="000000"/>
          <w:szCs w:val="20"/>
          <w:lang w:val="ru-RU"/>
        </w:rPr>
        <w:t>/</w:t>
      </w:r>
      <w:r w:rsidRPr="004B0F24">
        <w:rPr>
          <w:rFonts w:eastAsia="Times New Roman" w:cs="Arial"/>
          <w:color w:val="000000"/>
          <w:szCs w:val="20"/>
          <w:lang w:val="en-US"/>
        </w:rPr>
        <w:t>min</w:t>
      </w:r>
      <w:r w:rsidRPr="004B0F24">
        <w:rPr>
          <w:rFonts w:eastAsia="Times New Roman" w:cs="Arial"/>
          <w:color w:val="000000"/>
          <w:szCs w:val="20"/>
          <w:lang w:val="ru-RU"/>
        </w:rPr>
        <w:t xml:space="preserve">, </w:t>
      </w:r>
      <w:r w:rsidRPr="004B0F24">
        <w:rPr>
          <w:rFonts w:eastAsia="Times New Roman" w:cs="Arial"/>
          <w:color w:val="000000"/>
          <w:szCs w:val="20"/>
          <w:lang w:eastAsia="bg-BG"/>
        </w:rPr>
        <w:t xml:space="preserve">не е необходимо коригиране на началната доза (2,5 </w:t>
      </w:r>
      <w:r w:rsidRPr="004B0F24">
        <w:rPr>
          <w:rFonts w:eastAsia="Times New Roman" w:cs="Arial"/>
          <w:color w:val="000000"/>
          <w:szCs w:val="20"/>
          <w:lang w:val="en-US"/>
        </w:rPr>
        <w:t>mg</w:t>
      </w:r>
      <w:r w:rsidRPr="004B0F24">
        <w:rPr>
          <w:rFonts w:eastAsia="Times New Roman" w:cs="Arial"/>
          <w:color w:val="000000"/>
          <w:szCs w:val="20"/>
          <w:lang w:val="ru-RU"/>
        </w:rPr>
        <w:t xml:space="preserve"> </w:t>
      </w:r>
      <w:r w:rsidRPr="004B0F24">
        <w:rPr>
          <w:rFonts w:eastAsia="Times New Roman" w:cs="Arial"/>
          <w:color w:val="000000"/>
          <w:szCs w:val="20"/>
          <w:lang w:eastAsia="bg-BG"/>
        </w:rPr>
        <w:t xml:space="preserve">/дневно); максималната дневна доза е 5 </w:t>
      </w:r>
      <w:r w:rsidRPr="004B0F24">
        <w:rPr>
          <w:rFonts w:eastAsia="Times New Roman" w:cs="Arial"/>
          <w:color w:val="000000"/>
          <w:szCs w:val="20"/>
          <w:lang w:val="en-US"/>
        </w:rPr>
        <w:t>mg</w:t>
      </w:r>
      <w:r w:rsidRPr="004B0F24">
        <w:rPr>
          <w:rFonts w:eastAsia="Times New Roman" w:cs="Arial"/>
          <w:color w:val="000000"/>
          <w:szCs w:val="20"/>
          <w:lang w:val="ru-RU"/>
        </w:rPr>
        <w:t>;</w:t>
      </w:r>
    </w:p>
    <w:p w14:paraId="3765E798" w14:textId="77777777" w:rsidR="004B0F24" w:rsidRPr="004B0F24" w:rsidRDefault="004B0F24" w:rsidP="004B0F24">
      <w:pPr>
        <w:pStyle w:val="ListParagraph"/>
        <w:numPr>
          <w:ilvl w:val="0"/>
          <w:numId w:val="42"/>
        </w:numPr>
        <w:spacing w:line="240" w:lineRule="auto"/>
        <w:rPr>
          <w:rFonts w:eastAsia="Times New Roman" w:cs="Arial"/>
          <w:szCs w:val="20"/>
        </w:rPr>
      </w:pPr>
      <w:r w:rsidRPr="004B0F24">
        <w:rPr>
          <w:rFonts w:eastAsia="Times New Roman" w:cs="Arial"/>
          <w:color w:val="000000"/>
          <w:szCs w:val="20"/>
          <w:lang w:eastAsia="bg-BG"/>
        </w:rPr>
        <w:t xml:space="preserve">ако креатининовият клирьнс е между </w:t>
      </w:r>
      <w:r w:rsidRPr="004B0F24">
        <w:rPr>
          <w:rFonts w:eastAsia="Times New Roman" w:cs="Arial"/>
          <w:color w:val="000000"/>
          <w:szCs w:val="20"/>
          <w:lang w:val="ru-RU"/>
        </w:rPr>
        <w:t>10-30</w:t>
      </w:r>
      <w:r w:rsidRPr="004B0F24">
        <w:rPr>
          <w:rFonts w:eastAsia="Times New Roman" w:cs="Arial"/>
          <w:color w:val="000000"/>
          <w:szCs w:val="20"/>
          <w:lang w:val="en-US"/>
        </w:rPr>
        <w:t>ml</w:t>
      </w:r>
      <w:r w:rsidRPr="004B0F24">
        <w:rPr>
          <w:rFonts w:eastAsia="Times New Roman" w:cs="Arial"/>
          <w:color w:val="000000"/>
          <w:szCs w:val="20"/>
          <w:lang w:val="ru-RU"/>
        </w:rPr>
        <w:t>/</w:t>
      </w:r>
      <w:r w:rsidRPr="004B0F24">
        <w:rPr>
          <w:rFonts w:eastAsia="Times New Roman" w:cs="Arial"/>
          <w:color w:val="000000"/>
          <w:szCs w:val="20"/>
          <w:lang w:val="en-US"/>
        </w:rPr>
        <w:t>min</w:t>
      </w:r>
      <w:r w:rsidRPr="004B0F24">
        <w:rPr>
          <w:rFonts w:eastAsia="Times New Roman" w:cs="Arial"/>
          <w:color w:val="000000"/>
          <w:szCs w:val="20"/>
          <w:lang w:val="ru-RU"/>
        </w:rPr>
        <w:t xml:space="preserve">, </w:t>
      </w:r>
      <w:r w:rsidRPr="004B0F24">
        <w:rPr>
          <w:rFonts w:eastAsia="Times New Roman" w:cs="Arial"/>
          <w:color w:val="000000"/>
          <w:szCs w:val="20"/>
          <w:lang w:eastAsia="bg-BG"/>
        </w:rPr>
        <w:t xml:space="preserve">началната доза е 1,25 </w:t>
      </w:r>
      <w:r w:rsidRPr="004B0F24">
        <w:rPr>
          <w:rFonts w:eastAsia="Times New Roman" w:cs="Arial"/>
          <w:color w:val="000000"/>
          <w:szCs w:val="20"/>
          <w:lang w:val="en-US"/>
        </w:rPr>
        <w:t>mg</w:t>
      </w:r>
      <w:r w:rsidRPr="004B0F24">
        <w:rPr>
          <w:rFonts w:eastAsia="Times New Roman" w:cs="Arial"/>
          <w:color w:val="000000"/>
          <w:szCs w:val="20"/>
          <w:lang w:val="ru-RU"/>
        </w:rPr>
        <w:t xml:space="preserve"> </w:t>
      </w:r>
      <w:r w:rsidRPr="004B0F24">
        <w:rPr>
          <w:rFonts w:eastAsia="Times New Roman" w:cs="Arial"/>
          <w:color w:val="000000"/>
          <w:szCs w:val="20"/>
          <w:lang w:eastAsia="bg-BG"/>
        </w:rPr>
        <w:t xml:space="preserve">/дневно и максималната дневна доза е 5 </w:t>
      </w:r>
      <w:r w:rsidRPr="004B0F24">
        <w:rPr>
          <w:rFonts w:eastAsia="Times New Roman" w:cs="Arial"/>
          <w:color w:val="000000"/>
          <w:szCs w:val="20"/>
          <w:lang w:val="en-US"/>
        </w:rPr>
        <w:t>mg</w:t>
      </w:r>
      <w:r w:rsidRPr="004B0F24">
        <w:rPr>
          <w:rFonts w:eastAsia="Times New Roman" w:cs="Arial"/>
          <w:color w:val="000000"/>
          <w:szCs w:val="20"/>
          <w:lang w:val="ru-RU"/>
        </w:rPr>
        <w:t>;</w:t>
      </w:r>
    </w:p>
    <w:p w14:paraId="65D25CD5" w14:textId="3595302C" w:rsidR="004B0F24" w:rsidRPr="004B0F24" w:rsidRDefault="004B0F24" w:rsidP="004B0F24">
      <w:pPr>
        <w:pStyle w:val="ListParagraph"/>
        <w:numPr>
          <w:ilvl w:val="0"/>
          <w:numId w:val="42"/>
        </w:numPr>
        <w:spacing w:line="240" w:lineRule="auto"/>
        <w:rPr>
          <w:rFonts w:eastAsia="Times New Roman" w:cs="Arial"/>
          <w:szCs w:val="20"/>
        </w:rPr>
      </w:pPr>
      <w:r w:rsidRPr="004B0F24">
        <w:rPr>
          <w:rFonts w:eastAsia="Times New Roman" w:cs="Arial"/>
          <w:color w:val="000000"/>
          <w:szCs w:val="20"/>
          <w:lang w:eastAsia="bg-BG"/>
        </w:rPr>
        <w:t xml:space="preserve">при хипертоници на хемодиализа: рамиприл се диализира слабо; началната доза е 1,25 </w:t>
      </w:r>
      <w:r w:rsidRPr="004B0F24">
        <w:rPr>
          <w:rFonts w:eastAsia="Times New Roman" w:cs="Arial"/>
          <w:color w:val="000000"/>
          <w:szCs w:val="20"/>
          <w:lang w:val="en-US"/>
        </w:rPr>
        <w:t>mg</w:t>
      </w:r>
      <w:r w:rsidRPr="004B0F24">
        <w:rPr>
          <w:rFonts w:eastAsia="Times New Roman" w:cs="Arial"/>
          <w:color w:val="000000"/>
          <w:szCs w:val="20"/>
          <w:lang w:eastAsia="bg-BG"/>
        </w:rPr>
        <w:t xml:space="preserve">/дневно и максималната дневна доза е 5 </w:t>
      </w:r>
      <w:r w:rsidRPr="004B0F24">
        <w:rPr>
          <w:rFonts w:eastAsia="Times New Roman" w:cs="Arial"/>
          <w:color w:val="000000"/>
          <w:szCs w:val="20"/>
          <w:lang w:val="en-US"/>
        </w:rPr>
        <w:t>mg</w:t>
      </w:r>
      <w:r w:rsidRPr="004B0F24">
        <w:rPr>
          <w:rFonts w:eastAsia="Times New Roman" w:cs="Arial"/>
          <w:color w:val="000000"/>
          <w:szCs w:val="20"/>
          <w:lang w:val="ru-RU"/>
        </w:rPr>
        <w:t xml:space="preserve">; </w:t>
      </w:r>
      <w:r w:rsidRPr="004B0F24">
        <w:rPr>
          <w:rFonts w:eastAsia="Times New Roman" w:cs="Arial"/>
          <w:color w:val="000000"/>
          <w:szCs w:val="20"/>
          <w:lang w:eastAsia="bg-BG"/>
        </w:rPr>
        <w:t>лекарственият продукт трябва да се приема няколко часа след хемодиализната процедура.</w:t>
      </w:r>
    </w:p>
    <w:p w14:paraId="53267C1F" w14:textId="77777777" w:rsidR="004B0F24" w:rsidRPr="004B0F24" w:rsidRDefault="004B0F24" w:rsidP="004B0F24">
      <w:pPr>
        <w:spacing w:line="240" w:lineRule="auto"/>
        <w:rPr>
          <w:rFonts w:eastAsia="Times New Roman" w:cs="Arial"/>
          <w:i/>
          <w:iCs/>
          <w:color w:val="000000"/>
          <w:szCs w:val="20"/>
          <w:lang w:eastAsia="bg-BG"/>
        </w:rPr>
      </w:pPr>
    </w:p>
    <w:p w14:paraId="5240393C" w14:textId="5B72835D" w:rsidR="004B0F24" w:rsidRPr="004B0F24" w:rsidRDefault="004B0F24" w:rsidP="004B0F24">
      <w:pPr>
        <w:spacing w:line="240" w:lineRule="auto"/>
        <w:rPr>
          <w:rFonts w:eastAsia="Times New Roman" w:cs="Arial"/>
          <w:szCs w:val="20"/>
        </w:rPr>
      </w:pPr>
      <w:r w:rsidRPr="004B0F24">
        <w:rPr>
          <w:rFonts w:eastAsia="Times New Roman" w:cs="Arial"/>
          <w:i/>
          <w:iCs/>
          <w:color w:val="000000"/>
          <w:szCs w:val="20"/>
          <w:lang w:eastAsia="bg-BG"/>
        </w:rPr>
        <w:t>Пациенти с чернодробно нарушение</w:t>
      </w:r>
      <w:r w:rsidRPr="004B0F24">
        <w:rPr>
          <w:rFonts w:eastAsia="Times New Roman" w:cs="Arial"/>
          <w:color w:val="000000"/>
          <w:szCs w:val="20"/>
          <w:lang w:eastAsia="bg-BG"/>
        </w:rPr>
        <w:t xml:space="preserve"> (вж. точка 5.2)</w:t>
      </w:r>
    </w:p>
    <w:p w14:paraId="04E0952F" w14:textId="77777777" w:rsidR="004B0F24" w:rsidRPr="004B0F24" w:rsidRDefault="004B0F24" w:rsidP="004B0F24">
      <w:pPr>
        <w:spacing w:line="240" w:lineRule="auto"/>
        <w:rPr>
          <w:rFonts w:eastAsia="Times New Roman" w:cs="Arial"/>
          <w:szCs w:val="20"/>
        </w:rPr>
      </w:pPr>
      <w:r w:rsidRPr="004B0F24">
        <w:rPr>
          <w:rFonts w:eastAsia="Times New Roman" w:cs="Arial"/>
          <w:color w:val="000000"/>
          <w:szCs w:val="20"/>
          <w:lang w:eastAsia="bg-BG"/>
        </w:rPr>
        <w:t xml:space="preserve">При пациенти с чернодробно нарушение лечението с Рамимед трябва да започне само под стриктен медицински контрол и максималната дневна доза е 2,5 </w:t>
      </w:r>
      <w:r w:rsidRPr="004B0F24">
        <w:rPr>
          <w:rFonts w:eastAsia="Times New Roman" w:cs="Arial"/>
          <w:color w:val="000000"/>
          <w:szCs w:val="20"/>
          <w:lang w:val="en-US"/>
        </w:rPr>
        <w:t>mg</w:t>
      </w:r>
      <w:r w:rsidRPr="004B0F24">
        <w:rPr>
          <w:rFonts w:eastAsia="Times New Roman" w:cs="Arial"/>
          <w:color w:val="000000"/>
          <w:szCs w:val="20"/>
          <w:lang w:val="ru-RU"/>
        </w:rPr>
        <w:t xml:space="preserve"> </w:t>
      </w:r>
      <w:r w:rsidRPr="004B0F24">
        <w:rPr>
          <w:rFonts w:eastAsia="Times New Roman" w:cs="Arial"/>
          <w:color w:val="000000"/>
          <w:szCs w:val="20"/>
          <w:lang w:eastAsia="bg-BG"/>
        </w:rPr>
        <w:t>Рамимед.</w:t>
      </w:r>
    </w:p>
    <w:p w14:paraId="429E585F" w14:textId="77777777" w:rsidR="004B0F24" w:rsidRPr="004B0F24" w:rsidRDefault="004B0F24" w:rsidP="004B0F24">
      <w:pPr>
        <w:spacing w:line="240" w:lineRule="auto"/>
        <w:rPr>
          <w:rFonts w:eastAsia="Times New Roman" w:cs="Arial"/>
          <w:i/>
          <w:iCs/>
          <w:color w:val="000000"/>
          <w:szCs w:val="20"/>
          <w:lang w:eastAsia="bg-BG"/>
        </w:rPr>
      </w:pPr>
    </w:p>
    <w:p w14:paraId="36C7CC25" w14:textId="06749C57" w:rsidR="004B0F24" w:rsidRPr="004B0F24" w:rsidRDefault="004B0F24" w:rsidP="004B0F24">
      <w:pPr>
        <w:spacing w:line="240" w:lineRule="auto"/>
        <w:rPr>
          <w:rFonts w:eastAsia="Times New Roman" w:cs="Arial"/>
          <w:szCs w:val="20"/>
        </w:rPr>
      </w:pPr>
      <w:r w:rsidRPr="004B0F24">
        <w:rPr>
          <w:rFonts w:eastAsia="Times New Roman" w:cs="Arial"/>
          <w:i/>
          <w:iCs/>
          <w:color w:val="000000"/>
          <w:szCs w:val="20"/>
          <w:lang w:eastAsia="bg-BG"/>
        </w:rPr>
        <w:t>Старческа възраст</w:t>
      </w:r>
    </w:p>
    <w:p w14:paraId="29EF7764" w14:textId="77777777" w:rsidR="004B0F24" w:rsidRPr="004B0F24" w:rsidRDefault="004B0F24" w:rsidP="004B0F24">
      <w:pPr>
        <w:spacing w:line="240" w:lineRule="auto"/>
        <w:rPr>
          <w:rFonts w:eastAsia="Times New Roman" w:cs="Arial"/>
          <w:szCs w:val="20"/>
        </w:rPr>
      </w:pPr>
      <w:r w:rsidRPr="004B0F24">
        <w:rPr>
          <w:rFonts w:eastAsia="Times New Roman" w:cs="Arial"/>
          <w:color w:val="000000"/>
          <w:szCs w:val="20"/>
          <w:lang w:eastAsia="bg-BG"/>
        </w:rPr>
        <w:t xml:space="preserve">Началните дози трябва да бъдат по-ниски и впоследствие титрирането на дозата трябва да бъде по-бавно, поради по-голямата възможност от нежелани реакции, особено при много възрастни и немощни пациенти. Трябва да се има предвид намаляване на началната доза рамиприл на 1,25 </w:t>
      </w:r>
      <w:r w:rsidRPr="004B0F24">
        <w:rPr>
          <w:rFonts w:eastAsia="Times New Roman" w:cs="Arial"/>
          <w:color w:val="000000"/>
          <w:szCs w:val="20"/>
          <w:lang w:val="en-US"/>
        </w:rPr>
        <w:t>mg</w:t>
      </w:r>
      <w:r w:rsidRPr="004B0F24">
        <w:rPr>
          <w:rFonts w:eastAsia="Times New Roman" w:cs="Arial"/>
          <w:color w:val="000000"/>
          <w:szCs w:val="20"/>
          <w:lang w:val="ru-RU"/>
        </w:rPr>
        <w:t>.</w:t>
      </w:r>
    </w:p>
    <w:p w14:paraId="581E51BE" w14:textId="77777777" w:rsidR="004B0F24" w:rsidRPr="004B0F24" w:rsidRDefault="004B0F24" w:rsidP="004B0F24">
      <w:pPr>
        <w:spacing w:line="240" w:lineRule="auto"/>
        <w:rPr>
          <w:rFonts w:eastAsia="Times New Roman" w:cs="Arial"/>
          <w:i/>
          <w:iCs/>
          <w:color w:val="000000"/>
          <w:szCs w:val="20"/>
          <w:lang w:eastAsia="bg-BG"/>
        </w:rPr>
      </w:pPr>
    </w:p>
    <w:p w14:paraId="62C409E6" w14:textId="4FB11924" w:rsidR="004B0F24" w:rsidRPr="004B0F24" w:rsidRDefault="004B0F24" w:rsidP="004B0F24">
      <w:pPr>
        <w:spacing w:line="240" w:lineRule="auto"/>
        <w:rPr>
          <w:rFonts w:eastAsia="Times New Roman" w:cs="Arial"/>
          <w:szCs w:val="20"/>
        </w:rPr>
      </w:pPr>
      <w:r w:rsidRPr="004B0F24">
        <w:rPr>
          <w:rFonts w:eastAsia="Times New Roman" w:cs="Arial"/>
          <w:i/>
          <w:iCs/>
          <w:color w:val="000000"/>
          <w:szCs w:val="20"/>
          <w:lang w:eastAsia="bg-BG"/>
        </w:rPr>
        <w:t>Педиатрична популация</w:t>
      </w:r>
    </w:p>
    <w:p w14:paraId="15BC9CD7" w14:textId="77777777" w:rsidR="004B0F24" w:rsidRPr="004B0F24" w:rsidRDefault="004B0F24" w:rsidP="004B0F24">
      <w:pPr>
        <w:spacing w:line="240" w:lineRule="auto"/>
        <w:rPr>
          <w:rFonts w:eastAsia="Times New Roman" w:cs="Arial"/>
          <w:szCs w:val="20"/>
        </w:rPr>
      </w:pPr>
      <w:r w:rsidRPr="004B0F24">
        <w:rPr>
          <w:rFonts w:eastAsia="Times New Roman" w:cs="Arial"/>
          <w:color w:val="000000"/>
          <w:szCs w:val="20"/>
          <w:lang w:eastAsia="bg-BG"/>
        </w:rPr>
        <w:t>Безопасността и ефикасността на рамиприл при деца все още не са установени.</w:t>
      </w:r>
    </w:p>
    <w:p w14:paraId="7FD9A73D" w14:textId="77777777" w:rsidR="004B0F24" w:rsidRPr="004B0F24" w:rsidRDefault="004B0F24" w:rsidP="004B0F24">
      <w:pPr>
        <w:spacing w:line="240" w:lineRule="auto"/>
        <w:rPr>
          <w:rFonts w:eastAsia="Times New Roman" w:cs="Arial"/>
          <w:szCs w:val="20"/>
        </w:rPr>
      </w:pPr>
      <w:r w:rsidRPr="004B0F24">
        <w:rPr>
          <w:rFonts w:eastAsia="Times New Roman" w:cs="Arial"/>
          <w:color w:val="000000"/>
          <w:szCs w:val="20"/>
          <w:lang w:eastAsia="bg-BG"/>
        </w:rPr>
        <w:t>Наличните към момента данни за рамиприл са описани в точки 4.8, 5.1, 5.2 и 5.3, но препоръки за дозировката не могат да бъдат дадени.</w:t>
      </w:r>
    </w:p>
    <w:p w14:paraId="1EF3F08F" w14:textId="77777777" w:rsidR="004B0F24" w:rsidRPr="004B0F24" w:rsidRDefault="004B0F24" w:rsidP="004B0F24">
      <w:pPr>
        <w:spacing w:line="240" w:lineRule="auto"/>
        <w:rPr>
          <w:rFonts w:eastAsia="Times New Roman" w:cs="Arial"/>
          <w:color w:val="000000"/>
          <w:szCs w:val="20"/>
          <w:u w:val="single"/>
          <w:lang w:eastAsia="bg-BG"/>
        </w:rPr>
      </w:pPr>
    </w:p>
    <w:p w14:paraId="5BF1C5C5" w14:textId="1E32D3CC" w:rsidR="004B0F24" w:rsidRPr="004B0F24" w:rsidRDefault="004B0F24" w:rsidP="004B0F24">
      <w:pPr>
        <w:pStyle w:val="Heading3"/>
        <w:rPr>
          <w:rFonts w:eastAsia="Times New Roman"/>
          <w:u w:val="single"/>
        </w:rPr>
      </w:pPr>
      <w:r w:rsidRPr="004B0F24">
        <w:rPr>
          <w:rFonts w:eastAsia="Times New Roman"/>
          <w:u w:val="single"/>
          <w:lang w:eastAsia="bg-BG"/>
        </w:rPr>
        <w:t>Начин на приложение</w:t>
      </w:r>
    </w:p>
    <w:p w14:paraId="653D0515" w14:textId="77777777" w:rsidR="004B0F24" w:rsidRPr="004B0F24" w:rsidRDefault="004B0F24" w:rsidP="004B0F24">
      <w:pPr>
        <w:spacing w:line="240" w:lineRule="auto"/>
        <w:rPr>
          <w:rFonts w:eastAsia="Times New Roman" w:cs="Arial"/>
          <w:szCs w:val="20"/>
        </w:rPr>
      </w:pPr>
      <w:r w:rsidRPr="004B0F24">
        <w:rPr>
          <w:rFonts w:eastAsia="Times New Roman" w:cs="Arial"/>
          <w:color w:val="000000"/>
          <w:szCs w:val="20"/>
          <w:lang w:eastAsia="bg-BG"/>
        </w:rPr>
        <w:t>Перорално приложение.</w:t>
      </w:r>
    </w:p>
    <w:p w14:paraId="7F81F8D9" w14:textId="77777777" w:rsidR="004B0F24" w:rsidRPr="004B0F24" w:rsidRDefault="004B0F24" w:rsidP="004B0F24">
      <w:pPr>
        <w:spacing w:line="240" w:lineRule="auto"/>
        <w:rPr>
          <w:rFonts w:eastAsia="Times New Roman" w:cs="Arial"/>
          <w:color w:val="000000"/>
          <w:szCs w:val="20"/>
          <w:lang w:eastAsia="bg-BG"/>
        </w:rPr>
      </w:pPr>
    </w:p>
    <w:p w14:paraId="70F8F3C2" w14:textId="0F606150" w:rsidR="004B0F24" w:rsidRPr="004B0F24" w:rsidRDefault="004B0F24" w:rsidP="004B0F24">
      <w:pPr>
        <w:spacing w:line="240" w:lineRule="auto"/>
        <w:rPr>
          <w:rFonts w:eastAsia="Times New Roman" w:cs="Arial"/>
          <w:szCs w:val="20"/>
        </w:rPr>
      </w:pPr>
      <w:r w:rsidRPr="004B0F24">
        <w:rPr>
          <w:rFonts w:eastAsia="Times New Roman" w:cs="Arial"/>
          <w:color w:val="000000"/>
          <w:szCs w:val="20"/>
          <w:lang w:eastAsia="bg-BG"/>
        </w:rPr>
        <w:lastRenderedPageBreak/>
        <w:t>Препоръчва се Рамимед да бъде приеман веднъж дневно, по едно и също време всеки ден. Тъй като приема на храна не променя бионаличността му, Рамимед може да бъде приеман преди, по време на или след хранене (вж. точка 5.2).</w:t>
      </w:r>
    </w:p>
    <w:p w14:paraId="2B7C03A5" w14:textId="19AC405B" w:rsidR="004B0F24" w:rsidRPr="004B0F24" w:rsidRDefault="004B0F24" w:rsidP="004B0F24">
      <w:pPr>
        <w:spacing w:line="240" w:lineRule="auto"/>
        <w:rPr>
          <w:rFonts w:eastAsia="Times New Roman" w:cs="Arial"/>
          <w:szCs w:val="20"/>
        </w:rPr>
      </w:pPr>
      <w:r w:rsidRPr="004B0F24">
        <w:rPr>
          <w:rFonts w:eastAsia="Times New Roman" w:cs="Arial"/>
          <w:color w:val="000000"/>
          <w:szCs w:val="20"/>
          <w:lang w:eastAsia="bg-BG"/>
        </w:rPr>
        <w:t>Рамимед трябва да се поглъща с течност. Не трябва да се дъвче или разтрошава.</w:t>
      </w:r>
    </w:p>
    <w:p w14:paraId="52CC0275" w14:textId="77777777" w:rsidR="004B0F24" w:rsidRPr="004B0F24" w:rsidRDefault="004B0F24" w:rsidP="004B0F24"/>
    <w:p w14:paraId="74903285" w14:textId="558B8205" w:rsidR="00DB32D3" w:rsidRDefault="002C50EE" w:rsidP="005726E3">
      <w:pPr>
        <w:pStyle w:val="Heading2"/>
      </w:pPr>
      <w:r>
        <w:t>4.3. Противопоказания</w:t>
      </w:r>
    </w:p>
    <w:p w14:paraId="6407E3D7" w14:textId="1DBC89C5" w:rsidR="004B0F24" w:rsidRDefault="004B0F24" w:rsidP="004B0F24"/>
    <w:p w14:paraId="4381281A" w14:textId="77777777" w:rsidR="004B0F24" w:rsidRPr="004B0F24" w:rsidRDefault="004B0F24" w:rsidP="004B0F24">
      <w:pPr>
        <w:pStyle w:val="ListParagraph"/>
        <w:numPr>
          <w:ilvl w:val="0"/>
          <w:numId w:val="2"/>
        </w:numPr>
        <w:spacing w:line="240" w:lineRule="auto"/>
        <w:rPr>
          <w:rFonts w:eastAsia="Times New Roman" w:cs="Arial"/>
          <w:color w:val="000000"/>
          <w:szCs w:val="20"/>
          <w:lang w:eastAsia="bg-BG"/>
        </w:rPr>
      </w:pPr>
      <w:r w:rsidRPr="004B0F24">
        <w:rPr>
          <w:rFonts w:eastAsia="Times New Roman" w:cs="Arial"/>
          <w:color w:val="000000"/>
          <w:szCs w:val="20"/>
          <w:lang w:eastAsia="bg-BG"/>
        </w:rPr>
        <w:t>Свръхчувствителност към активното вещество, друг АСЕ инхибитор (ангиотензин конвертиращ ензим) или към някое от помощните вещества, изброени в точка 6.1</w:t>
      </w:r>
    </w:p>
    <w:p w14:paraId="3BE56C16" w14:textId="77777777" w:rsidR="004B0F24" w:rsidRPr="004B0F24" w:rsidRDefault="004B0F24" w:rsidP="004B0F24">
      <w:pPr>
        <w:pStyle w:val="ListParagraph"/>
        <w:numPr>
          <w:ilvl w:val="0"/>
          <w:numId w:val="2"/>
        </w:numPr>
        <w:spacing w:line="240" w:lineRule="auto"/>
        <w:rPr>
          <w:rFonts w:eastAsia="Times New Roman" w:cs="Arial"/>
          <w:color w:val="000000"/>
          <w:szCs w:val="20"/>
          <w:lang w:eastAsia="bg-BG"/>
        </w:rPr>
      </w:pPr>
      <w:r w:rsidRPr="004B0F24">
        <w:rPr>
          <w:rFonts w:eastAsia="Times New Roman" w:cs="Arial"/>
          <w:color w:val="000000"/>
          <w:szCs w:val="20"/>
          <w:lang w:eastAsia="bg-BG"/>
        </w:rPr>
        <w:t xml:space="preserve">Анамнеза за ангиоедем (наследствен, идиопатичен или вследствие лечение с АСЕ инхибитори или ангиотензин  </w:t>
      </w:r>
      <w:r w:rsidRPr="004B0F24">
        <w:rPr>
          <w:rFonts w:eastAsia="Times New Roman" w:cs="Arial"/>
          <w:color w:val="000000"/>
          <w:szCs w:val="20"/>
          <w:lang w:val="en-US"/>
        </w:rPr>
        <w:t>II</w:t>
      </w:r>
      <w:r w:rsidRPr="004B0F24">
        <w:rPr>
          <w:rFonts w:eastAsia="Times New Roman" w:cs="Arial"/>
          <w:color w:val="000000"/>
          <w:szCs w:val="20"/>
          <w:lang w:val="ru-RU"/>
        </w:rPr>
        <w:t xml:space="preserve"> </w:t>
      </w:r>
      <w:r w:rsidRPr="004B0F24">
        <w:rPr>
          <w:rFonts w:eastAsia="Times New Roman" w:cs="Arial"/>
          <w:color w:val="000000"/>
          <w:szCs w:val="20"/>
          <w:lang w:eastAsia="bg-BG"/>
        </w:rPr>
        <w:t xml:space="preserve">рецепторни антагонисти </w:t>
      </w:r>
      <w:r w:rsidRPr="004B0F24">
        <w:rPr>
          <w:rFonts w:eastAsia="Times New Roman" w:cs="Arial"/>
          <w:color w:val="000000"/>
          <w:szCs w:val="20"/>
          <w:lang w:val="ru-RU"/>
        </w:rPr>
        <w:t>(</w:t>
      </w:r>
      <w:r w:rsidRPr="004B0F24">
        <w:rPr>
          <w:rFonts w:eastAsia="Times New Roman" w:cs="Arial"/>
          <w:color w:val="000000"/>
          <w:szCs w:val="20"/>
          <w:lang w:val="en-US"/>
        </w:rPr>
        <w:t>AIIRAs</w:t>
      </w:r>
      <w:r w:rsidRPr="004B0F24">
        <w:rPr>
          <w:rFonts w:eastAsia="Times New Roman" w:cs="Arial"/>
          <w:color w:val="000000"/>
          <w:szCs w:val="20"/>
          <w:lang w:val="ru-RU"/>
        </w:rPr>
        <w:t>)).</w:t>
      </w:r>
    </w:p>
    <w:p w14:paraId="16FB2F54" w14:textId="77777777" w:rsidR="004B0F24" w:rsidRPr="004B0F24" w:rsidRDefault="004B0F24" w:rsidP="004B0F24">
      <w:pPr>
        <w:pStyle w:val="ListParagraph"/>
        <w:numPr>
          <w:ilvl w:val="0"/>
          <w:numId w:val="2"/>
        </w:numPr>
        <w:spacing w:line="240" w:lineRule="auto"/>
        <w:rPr>
          <w:rFonts w:eastAsia="Times New Roman" w:cs="Arial"/>
          <w:color w:val="000000"/>
          <w:szCs w:val="20"/>
          <w:lang w:eastAsia="bg-BG"/>
        </w:rPr>
      </w:pPr>
      <w:r w:rsidRPr="004B0F24">
        <w:rPr>
          <w:rFonts w:eastAsia="Times New Roman" w:cs="Arial"/>
          <w:color w:val="000000"/>
          <w:szCs w:val="20"/>
          <w:lang w:eastAsia="bg-BG"/>
        </w:rPr>
        <w:t>Едновременна употреба със сакубтрил/валсартан терапия (вж. точки 4.4 и 4.5).</w:t>
      </w:r>
    </w:p>
    <w:p w14:paraId="75C8917D" w14:textId="77777777" w:rsidR="004B0F24" w:rsidRPr="004B0F24" w:rsidRDefault="004B0F24" w:rsidP="004B0F24">
      <w:pPr>
        <w:pStyle w:val="ListParagraph"/>
        <w:numPr>
          <w:ilvl w:val="0"/>
          <w:numId w:val="2"/>
        </w:numPr>
        <w:spacing w:line="240" w:lineRule="auto"/>
        <w:rPr>
          <w:rFonts w:eastAsia="Times New Roman" w:cs="Arial"/>
          <w:color w:val="000000"/>
          <w:szCs w:val="20"/>
          <w:lang w:eastAsia="bg-BG"/>
        </w:rPr>
      </w:pPr>
      <w:r w:rsidRPr="004B0F24">
        <w:rPr>
          <w:rFonts w:eastAsia="Times New Roman" w:cs="Arial"/>
          <w:color w:val="000000"/>
          <w:szCs w:val="20"/>
          <w:lang w:eastAsia="bg-BG"/>
        </w:rPr>
        <w:t>Екстракорпорално лечение, водещо до контакт на кръвта с отрицателно заредени повърхности (вж. точка 4.5).</w:t>
      </w:r>
    </w:p>
    <w:p w14:paraId="6403C45C" w14:textId="77777777" w:rsidR="004B0F24" w:rsidRPr="004B0F24" w:rsidRDefault="004B0F24" w:rsidP="004B0F24">
      <w:pPr>
        <w:pStyle w:val="ListParagraph"/>
        <w:numPr>
          <w:ilvl w:val="0"/>
          <w:numId w:val="2"/>
        </w:numPr>
        <w:spacing w:line="240" w:lineRule="auto"/>
        <w:rPr>
          <w:rFonts w:eastAsia="Times New Roman" w:cs="Arial"/>
          <w:color w:val="000000"/>
          <w:szCs w:val="20"/>
          <w:lang w:eastAsia="bg-BG"/>
        </w:rPr>
      </w:pPr>
      <w:r w:rsidRPr="004B0F24">
        <w:rPr>
          <w:rFonts w:eastAsia="Times New Roman" w:cs="Arial"/>
          <w:color w:val="000000"/>
          <w:szCs w:val="20"/>
          <w:lang w:eastAsia="bg-BG"/>
        </w:rPr>
        <w:t>Значима двустранна стеноза на бъбречната артерия или стеноза на бъбречна артерия на единствен функциониращ бъбрек.</w:t>
      </w:r>
    </w:p>
    <w:p w14:paraId="7A253B2A" w14:textId="77777777" w:rsidR="004B0F24" w:rsidRPr="004B0F24" w:rsidRDefault="004B0F24" w:rsidP="004B0F24">
      <w:pPr>
        <w:pStyle w:val="ListParagraph"/>
        <w:numPr>
          <w:ilvl w:val="0"/>
          <w:numId w:val="2"/>
        </w:numPr>
        <w:spacing w:line="240" w:lineRule="auto"/>
        <w:rPr>
          <w:rFonts w:eastAsia="Times New Roman" w:cs="Arial"/>
          <w:color w:val="000000"/>
          <w:szCs w:val="20"/>
          <w:lang w:eastAsia="bg-BG"/>
        </w:rPr>
      </w:pPr>
      <w:r w:rsidRPr="004B0F24">
        <w:rPr>
          <w:rFonts w:eastAsia="Times New Roman" w:cs="Arial"/>
          <w:color w:val="000000"/>
          <w:szCs w:val="20"/>
          <w:lang w:eastAsia="bg-BG"/>
        </w:rPr>
        <w:t>Втори и трети триместьр на бременността (вж. точки 4.4 и 4.6).</w:t>
      </w:r>
    </w:p>
    <w:p w14:paraId="3AF6195D" w14:textId="77777777" w:rsidR="004B0F24" w:rsidRPr="004B0F24" w:rsidRDefault="004B0F24" w:rsidP="004B0F24">
      <w:pPr>
        <w:pStyle w:val="ListParagraph"/>
        <w:numPr>
          <w:ilvl w:val="0"/>
          <w:numId w:val="2"/>
        </w:numPr>
        <w:spacing w:line="240" w:lineRule="auto"/>
        <w:rPr>
          <w:rFonts w:eastAsia="Times New Roman" w:cs="Arial"/>
          <w:color w:val="000000"/>
          <w:szCs w:val="20"/>
          <w:lang w:eastAsia="bg-BG"/>
        </w:rPr>
      </w:pPr>
      <w:r w:rsidRPr="004B0F24">
        <w:rPr>
          <w:rFonts w:eastAsia="Times New Roman" w:cs="Arial"/>
          <w:color w:val="000000"/>
          <w:szCs w:val="20"/>
          <w:lang w:eastAsia="bg-BG"/>
        </w:rPr>
        <w:t>Рамиприл не трябва да бъде прилаган при пациенти с хипотония или нестабилна хемодинамика.</w:t>
      </w:r>
    </w:p>
    <w:p w14:paraId="4523CC0A" w14:textId="29D923D0" w:rsidR="004B0F24" w:rsidRPr="004B0F24" w:rsidRDefault="004B0F24" w:rsidP="004B0F24">
      <w:pPr>
        <w:pStyle w:val="ListParagraph"/>
        <w:numPr>
          <w:ilvl w:val="0"/>
          <w:numId w:val="2"/>
        </w:numPr>
        <w:spacing w:line="240" w:lineRule="auto"/>
        <w:rPr>
          <w:rFonts w:eastAsia="Times New Roman" w:cs="Arial"/>
          <w:color w:val="000000"/>
          <w:szCs w:val="20"/>
          <w:lang w:eastAsia="bg-BG"/>
        </w:rPr>
      </w:pPr>
      <w:r w:rsidRPr="004B0F24">
        <w:rPr>
          <w:rFonts w:eastAsia="Times New Roman" w:cs="Arial"/>
          <w:color w:val="000000"/>
          <w:szCs w:val="20"/>
          <w:lang w:eastAsia="bg-BG"/>
        </w:rPr>
        <w:t xml:space="preserve">Едновременната употреба на Рамимед с алискирен-съдържащи продукти е противопоказана при пациенти със захарен диабет или бъбречно увреждане </w:t>
      </w:r>
      <w:r w:rsidRPr="004B0F24">
        <w:rPr>
          <w:rFonts w:eastAsia="Times New Roman" w:cs="Arial"/>
          <w:color w:val="000000"/>
          <w:szCs w:val="20"/>
          <w:lang w:val="ru-RU"/>
        </w:rPr>
        <w:t>(</w:t>
      </w:r>
      <w:r w:rsidRPr="004B0F24">
        <w:rPr>
          <w:rFonts w:eastAsia="Times New Roman" w:cs="Arial"/>
          <w:color w:val="000000"/>
          <w:szCs w:val="20"/>
          <w:lang w:val="en-US"/>
        </w:rPr>
        <w:t>GFR</w:t>
      </w:r>
      <w:r w:rsidRPr="004B0F24">
        <w:rPr>
          <w:rFonts w:eastAsia="Times New Roman" w:cs="Arial"/>
          <w:color w:val="000000"/>
          <w:szCs w:val="20"/>
          <w:lang w:val="ru-RU"/>
        </w:rPr>
        <w:t xml:space="preserve"> </w:t>
      </w:r>
      <w:r w:rsidRPr="004B0F24">
        <w:rPr>
          <w:rFonts w:eastAsia="Times New Roman" w:cs="Arial"/>
          <w:color w:val="000000"/>
          <w:szCs w:val="20"/>
          <w:lang w:eastAsia="bg-BG"/>
        </w:rPr>
        <w:t xml:space="preserve">&lt; 60 </w:t>
      </w:r>
      <w:r w:rsidRPr="004B0F24">
        <w:rPr>
          <w:rFonts w:eastAsia="Times New Roman" w:cs="Arial"/>
          <w:color w:val="000000"/>
          <w:szCs w:val="20"/>
          <w:lang w:val="en-US"/>
        </w:rPr>
        <w:t>ml</w:t>
      </w:r>
      <w:r w:rsidRPr="004B0F24">
        <w:rPr>
          <w:rFonts w:eastAsia="Times New Roman" w:cs="Arial"/>
          <w:color w:val="000000"/>
          <w:szCs w:val="20"/>
          <w:lang w:val="ru-RU"/>
        </w:rPr>
        <w:t>/</w:t>
      </w:r>
      <w:r w:rsidRPr="004B0F24">
        <w:rPr>
          <w:rFonts w:eastAsia="Times New Roman" w:cs="Arial"/>
          <w:color w:val="000000"/>
          <w:szCs w:val="20"/>
          <w:lang w:val="en-US"/>
        </w:rPr>
        <w:t>min</w:t>
      </w:r>
      <w:r w:rsidRPr="004B0F24">
        <w:rPr>
          <w:rFonts w:eastAsia="Times New Roman" w:cs="Arial"/>
          <w:color w:val="000000"/>
          <w:szCs w:val="20"/>
          <w:lang w:val="ru-RU"/>
        </w:rPr>
        <w:t xml:space="preserve">/1,73 </w:t>
      </w:r>
      <w:r w:rsidRPr="004B0F24">
        <w:rPr>
          <w:rFonts w:eastAsia="Times New Roman" w:cs="Arial"/>
          <w:color w:val="000000"/>
          <w:szCs w:val="20"/>
          <w:lang w:eastAsia="bg-BG"/>
        </w:rPr>
        <w:t>m2) (вж. точки 4.5 и 5.1).</w:t>
      </w:r>
    </w:p>
    <w:p w14:paraId="64FE1C29" w14:textId="77777777" w:rsidR="004B0F24" w:rsidRPr="004B0F24" w:rsidRDefault="004B0F24" w:rsidP="004B0F24"/>
    <w:p w14:paraId="76DC8E58" w14:textId="498EFC7B" w:rsidR="00DB32D3" w:rsidRDefault="002C50EE" w:rsidP="005726E3">
      <w:pPr>
        <w:pStyle w:val="Heading2"/>
      </w:pPr>
      <w:r>
        <w:t>4.4. Специални предупреждения и предпазни мерки при употреба</w:t>
      </w:r>
    </w:p>
    <w:p w14:paraId="0D78CDC8" w14:textId="6E7B35FD" w:rsidR="004B0F24" w:rsidRDefault="004B0F24" w:rsidP="004B0F24"/>
    <w:p w14:paraId="6F8FB498" w14:textId="77777777" w:rsidR="004B0F24" w:rsidRPr="004B0F24" w:rsidRDefault="004B0F24" w:rsidP="004B0F24">
      <w:pPr>
        <w:spacing w:line="240" w:lineRule="auto"/>
        <w:rPr>
          <w:rFonts w:eastAsia="Times New Roman" w:cs="Arial"/>
        </w:rPr>
      </w:pPr>
      <w:r w:rsidRPr="004B0F24">
        <w:rPr>
          <w:rFonts w:eastAsia="Times New Roman" w:cs="Arial"/>
          <w:i/>
          <w:iCs/>
          <w:color w:val="000000"/>
          <w:lang w:eastAsia="bg-BG"/>
        </w:rPr>
        <w:t>Специални популации</w:t>
      </w:r>
    </w:p>
    <w:p w14:paraId="77101337" w14:textId="77777777" w:rsidR="004B0F24" w:rsidRPr="004B0F24" w:rsidRDefault="004B0F24" w:rsidP="004B0F24">
      <w:pPr>
        <w:spacing w:line="240" w:lineRule="auto"/>
        <w:rPr>
          <w:rFonts w:eastAsia="Times New Roman" w:cs="Arial"/>
        </w:rPr>
      </w:pPr>
      <w:r w:rsidRPr="004B0F24">
        <w:rPr>
          <w:rFonts w:eastAsia="Times New Roman" w:cs="Arial"/>
          <w:i/>
          <w:iCs/>
          <w:color w:val="000000"/>
          <w:lang w:eastAsia="bg-BG"/>
        </w:rPr>
        <w:t>Бременност:</w:t>
      </w:r>
      <w:r w:rsidRPr="004B0F24">
        <w:rPr>
          <w:rFonts w:eastAsia="Times New Roman" w:cs="Arial"/>
          <w:color w:val="000000"/>
          <w:lang w:eastAsia="bg-BG"/>
        </w:rPr>
        <w:t xml:space="preserve"> Лечение с АСЕ инхибитори като рамиприл или ангиотензин И рецепторни антагонисти </w:t>
      </w:r>
      <w:r w:rsidRPr="004B0F24">
        <w:rPr>
          <w:rFonts w:eastAsia="Times New Roman" w:cs="Arial"/>
          <w:color w:val="000000"/>
          <w:lang w:val="ru-RU"/>
        </w:rPr>
        <w:t>(</w:t>
      </w:r>
      <w:r w:rsidRPr="004B0F24">
        <w:rPr>
          <w:rFonts w:eastAsia="Times New Roman" w:cs="Arial"/>
          <w:color w:val="000000"/>
          <w:lang w:val="en-US"/>
        </w:rPr>
        <w:t>AIIRAs</w:t>
      </w:r>
      <w:r w:rsidRPr="004B0F24">
        <w:rPr>
          <w:rFonts w:eastAsia="Times New Roman" w:cs="Arial"/>
          <w:color w:val="000000"/>
          <w:lang w:val="ru-RU"/>
        </w:rPr>
        <w:t xml:space="preserve">) </w:t>
      </w:r>
      <w:r w:rsidRPr="004B0F24">
        <w:rPr>
          <w:rFonts w:eastAsia="Times New Roman" w:cs="Arial"/>
          <w:color w:val="000000"/>
          <w:lang w:eastAsia="bg-BG"/>
        </w:rPr>
        <w:t xml:space="preserve">не трябва да се започва по време на бременност. При пациентките, планиращи да забременеят, терапията с АСЕ инхибитори / </w:t>
      </w:r>
      <w:proofErr w:type="spellStart"/>
      <w:r w:rsidRPr="004B0F24">
        <w:rPr>
          <w:rFonts w:eastAsia="Times New Roman" w:cs="Arial"/>
          <w:color w:val="000000"/>
          <w:lang w:val="en-US"/>
        </w:rPr>
        <w:t>AlIRAs</w:t>
      </w:r>
      <w:proofErr w:type="spellEnd"/>
      <w:r w:rsidRPr="004B0F24">
        <w:rPr>
          <w:rFonts w:eastAsia="Times New Roman" w:cs="Arial"/>
          <w:color w:val="000000"/>
          <w:lang w:val="ru-RU"/>
        </w:rPr>
        <w:t xml:space="preserve">, </w:t>
      </w:r>
      <w:r w:rsidRPr="004B0F24">
        <w:rPr>
          <w:rFonts w:eastAsia="Times New Roman" w:cs="Arial"/>
          <w:color w:val="000000"/>
          <w:lang w:eastAsia="bg-BG"/>
        </w:rPr>
        <w:t xml:space="preserve">трябва да се замени с алтернативно антихипертензивно лечение, което има установен профил на безопасност при употреба по време на бременност, освен ако не се счита за крайно необходима. При установяване на бременност, лечението с АСЕ инхибитори/ </w:t>
      </w:r>
      <w:r w:rsidRPr="004B0F24">
        <w:rPr>
          <w:rFonts w:eastAsia="Times New Roman" w:cs="Arial"/>
          <w:color w:val="000000"/>
          <w:lang w:val="en-US"/>
        </w:rPr>
        <w:t>AIIRAs</w:t>
      </w:r>
      <w:r w:rsidRPr="004B0F24">
        <w:rPr>
          <w:rFonts w:eastAsia="Times New Roman" w:cs="Arial"/>
          <w:color w:val="000000"/>
          <w:lang w:val="ru-RU"/>
        </w:rPr>
        <w:t xml:space="preserve"> </w:t>
      </w:r>
      <w:r w:rsidRPr="004B0F24">
        <w:rPr>
          <w:rFonts w:eastAsia="Times New Roman" w:cs="Arial"/>
          <w:color w:val="000000"/>
          <w:lang w:eastAsia="bg-BG"/>
        </w:rPr>
        <w:t>трябва да бъде спряно незабавно и, ако е уместно, трябва да бъде започната алтернативна терапия (вж. точки 4.3 и 4.6).</w:t>
      </w:r>
    </w:p>
    <w:p w14:paraId="1644D530" w14:textId="77777777" w:rsidR="004B0F24" w:rsidRPr="004B0F24" w:rsidRDefault="004B0F24" w:rsidP="004B0F24">
      <w:pPr>
        <w:spacing w:line="240" w:lineRule="auto"/>
        <w:rPr>
          <w:rFonts w:eastAsia="Times New Roman" w:cs="Arial"/>
          <w:color w:val="000000"/>
          <w:lang w:eastAsia="bg-BG"/>
        </w:rPr>
      </w:pPr>
    </w:p>
    <w:p w14:paraId="3EBE29AE" w14:textId="11CD911E" w:rsidR="004B0F24" w:rsidRPr="004B0F24" w:rsidRDefault="004B0F24" w:rsidP="004B0F24">
      <w:pPr>
        <w:spacing w:line="240" w:lineRule="auto"/>
        <w:rPr>
          <w:rFonts w:eastAsia="Times New Roman" w:cs="Arial"/>
        </w:rPr>
      </w:pPr>
      <w:r w:rsidRPr="004B0F24">
        <w:rPr>
          <w:rFonts w:eastAsia="Times New Roman" w:cs="Arial"/>
          <w:color w:val="000000"/>
          <w:lang w:eastAsia="bg-BG"/>
        </w:rPr>
        <w:t xml:space="preserve">о </w:t>
      </w:r>
      <w:r w:rsidRPr="004B0F24">
        <w:rPr>
          <w:rFonts w:eastAsia="Times New Roman" w:cs="Arial"/>
          <w:i/>
          <w:iCs/>
          <w:color w:val="000000"/>
          <w:u w:val="single"/>
          <w:lang w:eastAsia="bg-BG"/>
        </w:rPr>
        <w:t>Пациенти с особен риск от хипотония</w:t>
      </w:r>
    </w:p>
    <w:p w14:paraId="1E098E1F" w14:textId="77777777" w:rsidR="004B0F24" w:rsidRPr="004B0F24" w:rsidRDefault="004B0F24" w:rsidP="004B0F24">
      <w:pPr>
        <w:spacing w:line="240" w:lineRule="auto"/>
        <w:rPr>
          <w:rFonts w:eastAsia="Times New Roman" w:cs="Arial"/>
          <w:i/>
          <w:iCs/>
          <w:color w:val="000000"/>
          <w:u w:val="single"/>
          <w:lang w:eastAsia="bg-BG"/>
        </w:rPr>
      </w:pPr>
    </w:p>
    <w:p w14:paraId="2051C610" w14:textId="4C15B5AE" w:rsidR="004B0F24" w:rsidRPr="004B0F24" w:rsidRDefault="004B0F24" w:rsidP="004B0F24">
      <w:pPr>
        <w:pStyle w:val="ListParagraph"/>
        <w:numPr>
          <w:ilvl w:val="0"/>
          <w:numId w:val="2"/>
        </w:numPr>
        <w:spacing w:line="240" w:lineRule="auto"/>
        <w:rPr>
          <w:rFonts w:eastAsia="Times New Roman" w:cs="Arial"/>
          <w:i/>
          <w:iCs/>
          <w:color w:val="000000"/>
          <w:u w:val="single"/>
          <w:lang w:eastAsia="bg-BG"/>
        </w:rPr>
      </w:pPr>
      <w:r w:rsidRPr="004B0F24">
        <w:rPr>
          <w:rFonts w:eastAsia="Times New Roman" w:cs="Arial"/>
          <w:i/>
          <w:iCs/>
          <w:color w:val="000000"/>
          <w:u w:val="single"/>
          <w:lang w:eastAsia="bg-BG"/>
        </w:rPr>
        <w:t xml:space="preserve">Пациенти с повишена активност на ренин-ангиотензин-алдостеоон системата </w:t>
      </w:r>
      <w:r w:rsidRPr="004B0F24">
        <w:rPr>
          <w:rFonts w:eastAsia="Times New Roman" w:cs="Arial"/>
          <w:color w:val="000000"/>
          <w:lang w:eastAsia="bg-BG"/>
        </w:rPr>
        <w:t>Пациенти с повишена активност на ренин-ангиотензин-алдостерон системата са изложени на риск от силно изразено понижаване на кръвното налягане и влошаване на бъбречната функция, поради АСЕ инхибиране, особено когато АСЕ инхибитор или съпътстващ диуретик се приема за пръв път или при начално повишаване на дозата.</w:t>
      </w:r>
    </w:p>
    <w:p w14:paraId="7C282315" w14:textId="77777777" w:rsidR="004B0F24" w:rsidRPr="004B0F24" w:rsidRDefault="004B0F24" w:rsidP="004B0F24">
      <w:pPr>
        <w:spacing w:line="240" w:lineRule="auto"/>
        <w:rPr>
          <w:rFonts w:eastAsia="Times New Roman" w:cs="Arial"/>
        </w:rPr>
      </w:pPr>
      <w:r w:rsidRPr="004B0F24">
        <w:rPr>
          <w:rFonts w:eastAsia="Times New Roman" w:cs="Arial"/>
          <w:color w:val="000000"/>
          <w:lang w:eastAsia="bg-BG"/>
        </w:rPr>
        <w:t>Значимо активиране на ренин-ангиотензин-алдостерон системата може да се очаква и е необходимо медицинско наблюдение, включващо проследяване на кръвното налягане, например при:</w:t>
      </w:r>
    </w:p>
    <w:p w14:paraId="26F2D479" w14:textId="77777777" w:rsidR="004B0F24" w:rsidRPr="004B0F24" w:rsidRDefault="004B0F24" w:rsidP="004B0F24">
      <w:pPr>
        <w:pStyle w:val="ListParagraph"/>
        <w:numPr>
          <w:ilvl w:val="0"/>
          <w:numId w:val="2"/>
        </w:numPr>
        <w:spacing w:line="240" w:lineRule="auto"/>
        <w:rPr>
          <w:rFonts w:eastAsia="Times New Roman" w:cs="Arial"/>
          <w:color w:val="000000"/>
          <w:lang w:eastAsia="bg-BG"/>
        </w:rPr>
      </w:pPr>
      <w:r w:rsidRPr="004B0F24">
        <w:rPr>
          <w:rFonts w:eastAsia="Times New Roman" w:cs="Arial"/>
          <w:color w:val="000000"/>
          <w:lang w:eastAsia="bg-BG"/>
        </w:rPr>
        <w:lastRenderedPageBreak/>
        <w:t>пациенти с тежка хипертония</w:t>
      </w:r>
    </w:p>
    <w:p w14:paraId="356E05F6" w14:textId="77777777" w:rsidR="004B0F24" w:rsidRPr="004B0F24" w:rsidRDefault="004B0F24" w:rsidP="004B0F24">
      <w:pPr>
        <w:pStyle w:val="ListParagraph"/>
        <w:numPr>
          <w:ilvl w:val="0"/>
          <w:numId w:val="2"/>
        </w:numPr>
        <w:spacing w:line="240" w:lineRule="auto"/>
        <w:rPr>
          <w:rFonts w:eastAsia="Times New Roman" w:cs="Arial"/>
          <w:color w:val="000000"/>
          <w:lang w:eastAsia="bg-BG"/>
        </w:rPr>
      </w:pPr>
      <w:r w:rsidRPr="004B0F24">
        <w:rPr>
          <w:rFonts w:eastAsia="Times New Roman" w:cs="Arial"/>
          <w:color w:val="000000"/>
          <w:lang w:eastAsia="bg-BG"/>
        </w:rPr>
        <w:t>пациенти с декомпенсирана застойна сърдечна недостатъчност</w:t>
      </w:r>
    </w:p>
    <w:p w14:paraId="43647C5D" w14:textId="77777777" w:rsidR="004B0F24" w:rsidRPr="004B0F24" w:rsidRDefault="004B0F24" w:rsidP="004B0F24">
      <w:pPr>
        <w:pStyle w:val="ListParagraph"/>
        <w:numPr>
          <w:ilvl w:val="0"/>
          <w:numId w:val="2"/>
        </w:numPr>
        <w:spacing w:line="240" w:lineRule="auto"/>
        <w:rPr>
          <w:rFonts w:eastAsia="Times New Roman" w:cs="Arial"/>
          <w:color w:val="000000"/>
          <w:lang w:eastAsia="bg-BG"/>
        </w:rPr>
      </w:pPr>
      <w:r w:rsidRPr="004B0F24">
        <w:rPr>
          <w:rFonts w:eastAsia="Times New Roman" w:cs="Arial"/>
          <w:color w:val="000000"/>
          <w:lang w:eastAsia="bg-BG"/>
        </w:rPr>
        <w:t>пациенти с хемодинамично влошен лявокамерен изходящ или входящ кръвоток (напр. стеноза на аортата или митралната клапа)</w:t>
      </w:r>
    </w:p>
    <w:p w14:paraId="5F09F02B" w14:textId="11190EA9" w:rsidR="004B0F24" w:rsidRPr="004B0F24" w:rsidRDefault="004B0F24" w:rsidP="004B0F24">
      <w:pPr>
        <w:pStyle w:val="ListParagraph"/>
        <w:numPr>
          <w:ilvl w:val="0"/>
          <w:numId w:val="2"/>
        </w:numPr>
        <w:spacing w:line="240" w:lineRule="auto"/>
        <w:rPr>
          <w:rFonts w:eastAsia="Times New Roman" w:cs="Arial"/>
          <w:color w:val="000000"/>
          <w:lang w:eastAsia="bg-BG"/>
        </w:rPr>
      </w:pPr>
      <w:r w:rsidRPr="004B0F24">
        <w:rPr>
          <w:rFonts w:eastAsia="Times New Roman" w:cs="Arial"/>
          <w:color w:val="000000"/>
          <w:lang w:eastAsia="bg-BG"/>
        </w:rPr>
        <w:t xml:space="preserve">пациенти с едностранна стеноза на бъбречната артерия с втори функциониращ бъбрек </w:t>
      </w:r>
    </w:p>
    <w:p w14:paraId="5B8CC7FB" w14:textId="5DBE0D1D" w:rsidR="004B0F24" w:rsidRPr="004B0F24" w:rsidRDefault="004B0F24" w:rsidP="004B0F24">
      <w:pPr>
        <w:pStyle w:val="ListParagraph"/>
        <w:numPr>
          <w:ilvl w:val="0"/>
          <w:numId w:val="2"/>
        </w:numPr>
        <w:spacing w:line="240" w:lineRule="auto"/>
        <w:rPr>
          <w:rFonts w:eastAsia="Times New Roman" w:cs="Arial"/>
          <w:color w:val="000000"/>
          <w:lang w:eastAsia="bg-BG"/>
        </w:rPr>
      </w:pPr>
      <w:r w:rsidRPr="004B0F24">
        <w:rPr>
          <w:rFonts w:eastAsia="Times New Roman" w:cs="Arial"/>
          <w:color w:val="000000"/>
          <w:lang w:eastAsia="bg-BG"/>
        </w:rPr>
        <w:t>пациенти, при които има или може да настъпи намален обем на телесните течности или соли (включително пациенти, приемащи диуретици)</w:t>
      </w:r>
    </w:p>
    <w:p w14:paraId="52B7517D" w14:textId="77777777" w:rsidR="004B0F24" w:rsidRPr="004B0F24" w:rsidRDefault="004B0F24" w:rsidP="004B0F24">
      <w:pPr>
        <w:pStyle w:val="ListParagraph"/>
        <w:numPr>
          <w:ilvl w:val="0"/>
          <w:numId w:val="2"/>
        </w:numPr>
        <w:spacing w:line="240" w:lineRule="auto"/>
        <w:rPr>
          <w:rFonts w:eastAsia="Times New Roman" w:cs="Arial"/>
          <w:color w:val="000000"/>
          <w:lang w:eastAsia="bg-BG"/>
        </w:rPr>
      </w:pPr>
      <w:r w:rsidRPr="004B0F24">
        <w:rPr>
          <w:rFonts w:eastAsia="Times New Roman" w:cs="Arial"/>
          <w:color w:val="000000"/>
          <w:lang w:eastAsia="bg-BG"/>
        </w:rPr>
        <w:t>пациенти с чернодробна цироза и/или асцит</w:t>
      </w:r>
    </w:p>
    <w:p w14:paraId="78CD2F24" w14:textId="4DF1DCFA" w:rsidR="004B0F24" w:rsidRPr="004B0F24" w:rsidRDefault="004B0F24" w:rsidP="004B0F24">
      <w:pPr>
        <w:pStyle w:val="ListParagraph"/>
        <w:numPr>
          <w:ilvl w:val="0"/>
          <w:numId w:val="2"/>
        </w:numPr>
        <w:spacing w:line="240" w:lineRule="auto"/>
        <w:rPr>
          <w:rFonts w:eastAsia="Times New Roman" w:cs="Arial"/>
          <w:color w:val="000000"/>
          <w:lang w:eastAsia="bg-BG"/>
        </w:rPr>
      </w:pPr>
      <w:r w:rsidRPr="004B0F24">
        <w:rPr>
          <w:rFonts w:eastAsia="Times New Roman" w:cs="Arial"/>
          <w:color w:val="000000"/>
          <w:lang w:eastAsia="bg-BG"/>
        </w:rPr>
        <w:t>пациенти, подложени на голяма хирургична интервенция или анестезия със средства, които предизвикват хипотония.</w:t>
      </w:r>
    </w:p>
    <w:p w14:paraId="729679DA" w14:textId="77777777" w:rsidR="004B0F24" w:rsidRPr="004B0F24" w:rsidRDefault="004B0F24" w:rsidP="004B0F24">
      <w:pPr>
        <w:spacing w:line="240" w:lineRule="auto"/>
        <w:rPr>
          <w:rFonts w:eastAsia="Times New Roman" w:cs="Arial"/>
        </w:rPr>
      </w:pPr>
      <w:r w:rsidRPr="004B0F24">
        <w:rPr>
          <w:rFonts w:eastAsia="Times New Roman" w:cs="Arial"/>
          <w:color w:val="000000"/>
          <w:lang w:eastAsia="bg-BG"/>
        </w:rPr>
        <w:t>Обикновено се препоръчва коригиране на дехидратацията, хиповолемията или солевия дефицит преди началото на лечението (при пациенти със сърдечна недостатъчност, обаче корекцията трябва да бъде внимателно преценена спрямо риска от обемно натоварване).</w:t>
      </w:r>
    </w:p>
    <w:p w14:paraId="07D31DEE" w14:textId="0954171B" w:rsidR="004B0F24" w:rsidRPr="004B0F24" w:rsidRDefault="004B0F24" w:rsidP="004B0F24">
      <w:pPr>
        <w:rPr>
          <w:rFonts w:cs="Arial"/>
        </w:rPr>
      </w:pPr>
    </w:p>
    <w:p w14:paraId="556A0D34" w14:textId="77777777" w:rsidR="004B0F24" w:rsidRPr="004B0F24" w:rsidRDefault="004B0F24" w:rsidP="004B0F24">
      <w:pPr>
        <w:spacing w:line="240" w:lineRule="auto"/>
        <w:rPr>
          <w:rFonts w:eastAsia="Times New Roman" w:cs="Arial"/>
        </w:rPr>
      </w:pPr>
      <w:r w:rsidRPr="004B0F24">
        <w:rPr>
          <w:rFonts w:eastAsia="Times New Roman" w:cs="Arial"/>
          <w:i/>
          <w:iCs/>
          <w:color w:val="000000"/>
          <w:lang w:eastAsia="bg-BG"/>
        </w:rPr>
        <w:t>Двойно блокиране на ренин-ангиотензин-алдостероновата система (РААС)</w:t>
      </w:r>
    </w:p>
    <w:p w14:paraId="60897674" w14:textId="77777777" w:rsidR="004B0F24" w:rsidRPr="004B0F24" w:rsidRDefault="004B0F24" w:rsidP="004B0F24">
      <w:pPr>
        <w:spacing w:line="240" w:lineRule="auto"/>
        <w:rPr>
          <w:rFonts w:eastAsia="Times New Roman" w:cs="Arial"/>
        </w:rPr>
      </w:pPr>
      <w:r w:rsidRPr="004B0F24">
        <w:rPr>
          <w:rFonts w:eastAsia="Times New Roman" w:cs="Arial"/>
          <w:color w:val="000000"/>
          <w:lang w:eastAsia="bg-BG"/>
        </w:rPr>
        <w:t xml:space="preserve">Има данни, че едновременната употреба на АСЕ инхибитори, ангиотензин </w:t>
      </w:r>
      <w:r w:rsidRPr="004B0F24">
        <w:rPr>
          <w:rFonts w:eastAsia="Times New Roman" w:cs="Arial"/>
          <w:color w:val="000000"/>
          <w:lang w:val="en-US"/>
        </w:rPr>
        <w:t>II</w:t>
      </w:r>
      <w:r w:rsidRPr="004B0F24">
        <w:rPr>
          <w:rFonts w:eastAsia="Times New Roman" w:cs="Arial"/>
          <w:color w:val="000000"/>
          <w:lang w:eastAsia="bg-BG"/>
        </w:rPr>
        <w:t>-рецепторни блокери или алискирен повишава риска от хипотония, хиперкалиемия и намаляване на бъбречната функция (включително остра бъбречна недостатъчност). Поради това не се препоръчва двойно блокиране на РААС чрез комбинираната употреба на АСЕ инхибитори, ангиотензин П-рецепторни блокери или алискирен (вж. точки 4.5 и 5.1).</w:t>
      </w:r>
    </w:p>
    <w:p w14:paraId="149235EE" w14:textId="77777777" w:rsidR="004B0F24" w:rsidRPr="004B0F24" w:rsidRDefault="004B0F24" w:rsidP="004B0F24">
      <w:pPr>
        <w:spacing w:line="240" w:lineRule="auto"/>
        <w:rPr>
          <w:rFonts w:eastAsia="Times New Roman" w:cs="Arial"/>
        </w:rPr>
      </w:pPr>
      <w:r w:rsidRPr="004B0F24">
        <w:rPr>
          <w:rFonts w:eastAsia="Times New Roman" w:cs="Arial"/>
          <w:color w:val="000000"/>
          <w:lang w:eastAsia="bg-BG"/>
        </w:rPr>
        <w:t>Ако се прецени, че терапията с двойно блокиране е абсолютно необходима, това трябва да става само под наблюдението на специалист и при често внимателно мониториране на бъбречната функция, електролитите и кръвното налягане.</w:t>
      </w:r>
    </w:p>
    <w:p w14:paraId="482BB39E" w14:textId="77777777" w:rsidR="004B0F24" w:rsidRPr="004B0F24" w:rsidRDefault="004B0F24" w:rsidP="004B0F24">
      <w:pPr>
        <w:spacing w:line="240" w:lineRule="auto"/>
        <w:rPr>
          <w:rFonts w:eastAsia="Times New Roman" w:cs="Arial"/>
        </w:rPr>
      </w:pPr>
      <w:r w:rsidRPr="004B0F24">
        <w:rPr>
          <w:rFonts w:eastAsia="Times New Roman" w:cs="Arial"/>
          <w:color w:val="000000"/>
          <w:lang w:eastAsia="bg-BG"/>
        </w:rPr>
        <w:t xml:space="preserve">АСЕ инхибитори и ангиотензин </w:t>
      </w:r>
      <w:r w:rsidRPr="004B0F24">
        <w:rPr>
          <w:rFonts w:eastAsia="Times New Roman" w:cs="Arial"/>
          <w:color w:val="000000"/>
          <w:lang w:val="en-US"/>
        </w:rPr>
        <w:t>II</w:t>
      </w:r>
      <w:r w:rsidRPr="004B0F24">
        <w:rPr>
          <w:rFonts w:eastAsia="Times New Roman" w:cs="Arial"/>
          <w:color w:val="000000"/>
          <w:lang w:eastAsia="bg-BG"/>
        </w:rPr>
        <w:t>-рецепторни блокери не трябва да се използват едновременно при пациенти с диабетна нефропатия.</w:t>
      </w:r>
    </w:p>
    <w:p w14:paraId="3AE907C6" w14:textId="77777777" w:rsidR="004B0F24" w:rsidRPr="004B0F24" w:rsidRDefault="004B0F24" w:rsidP="004B0F24">
      <w:pPr>
        <w:spacing w:line="240" w:lineRule="auto"/>
        <w:rPr>
          <w:rFonts w:eastAsia="Times New Roman" w:cs="Arial"/>
          <w:i/>
          <w:iCs/>
          <w:color w:val="000000"/>
          <w:lang w:eastAsia="bg-BG"/>
        </w:rPr>
      </w:pPr>
    </w:p>
    <w:p w14:paraId="4F968B2A" w14:textId="0A908AEB" w:rsidR="004B0F24" w:rsidRPr="004B0F24" w:rsidRDefault="004B0F24" w:rsidP="004B0F24">
      <w:pPr>
        <w:pStyle w:val="ListParagraph"/>
        <w:numPr>
          <w:ilvl w:val="0"/>
          <w:numId w:val="43"/>
        </w:numPr>
        <w:spacing w:line="240" w:lineRule="auto"/>
        <w:rPr>
          <w:rFonts w:eastAsia="Times New Roman" w:cs="Arial"/>
        </w:rPr>
      </w:pPr>
      <w:r w:rsidRPr="004B0F24">
        <w:rPr>
          <w:rFonts w:eastAsia="Times New Roman" w:cs="Arial"/>
          <w:i/>
          <w:iCs/>
          <w:color w:val="000000"/>
          <w:lang w:eastAsia="bg-BG"/>
        </w:rPr>
        <w:t>Преходна или персистираща сърдечна недостатъчност след миокарден инфаркт</w:t>
      </w:r>
    </w:p>
    <w:p w14:paraId="134016F4" w14:textId="77777777" w:rsidR="004B0F24" w:rsidRPr="004B0F24" w:rsidRDefault="004B0F24" w:rsidP="004B0F24">
      <w:pPr>
        <w:spacing w:line="240" w:lineRule="auto"/>
        <w:rPr>
          <w:rFonts w:eastAsia="Times New Roman" w:cs="Arial"/>
          <w:i/>
          <w:iCs/>
          <w:color w:val="000000"/>
          <w:lang w:eastAsia="bg-BG"/>
        </w:rPr>
      </w:pPr>
    </w:p>
    <w:p w14:paraId="5D65B122" w14:textId="16A00081" w:rsidR="004B0F24" w:rsidRPr="004B0F24" w:rsidRDefault="004B0F24" w:rsidP="004B0F24">
      <w:pPr>
        <w:pStyle w:val="ListParagraph"/>
        <w:numPr>
          <w:ilvl w:val="0"/>
          <w:numId w:val="43"/>
        </w:numPr>
        <w:spacing w:line="240" w:lineRule="auto"/>
        <w:rPr>
          <w:rFonts w:eastAsia="Times New Roman" w:cs="Arial"/>
        </w:rPr>
      </w:pPr>
      <w:r w:rsidRPr="004B0F24">
        <w:rPr>
          <w:rFonts w:eastAsia="Times New Roman" w:cs="Arial"/>
          <w:i/>
          <w:iCs/>
          <w:color w:val="000000"/>
          <w:lang w:eastAsia="bg-BG"/>
        </w:rPr>
        <w:t>Пациенти,изложени на риск ат сърдечна или мозъчна исхемия в случай на остра хипотония</w:t>
      </w:r>
    </w:p>
    <w:p w14:paraId="21494E41" w14:textId="77777777" w:rsidR="004B0F24" w:rsidRPr="004B0F24" w:rsidRDefault="004B0F24" w:rsidP="004B0F24">
      <w:pPr>
        <w:spacing w:line="240" w:lineRule="auto"/>
        <w:rPr>
          <w:rFonts w:eastAsia="Times New Roman" w:cs="Arial"/>
        </w:rPr>
      </w:pPr>
      <w:r w:rsidRPr="004B0F24">
        <w:rPr>
          <w:rFonts w:eastAsia="Times New Roman" w:cs="Arial"/>
          <w:color w:val="000000"/>
          <w:lang w:eastAsia="bg-BG"/>
        </w:rPr>
        <w:t>Началото на терапията изисква строг медицински контрол.</w:t>
      </w:r>
    </w:p>
    <w:p w14:paraId="65C2AFCE" w14:textId="77777777" w:rsidR="004B0F24" w:rsidRPr="004B0F24" w:rsidRDefault="004B0F24" w:rsidP="004B0F24">
      <w:pPr>
        <w:spacing w:line="240" w:lineRule="auto"/>
        <w:rPr>
          <w:rFonts w:eastAsia="Times New Roman" w:cs="Arial"/>
          <w:color w:val="000000"/>
          <w:lang w:eastAsia="bg-BG"/>
        </w:rPr>
      </w:pPr>
    </w:p>
    <w:p w14:paraId="144BD27B" w14:textId="0E5B75CB" w:rsidR="004B0F24" w:rsidRPr="004B0F24" w:rsidRDefault="004B0F24" w:rsidP="004B0F24">
      <w:pPr>
        <w:spacing w:line="240" w:lineRule="auto"/>
        <w:rPr>
          <w:rFonts w:eastAsia="Times New Roman" w:cs="Arial"/>
        </w:rPr>
      </w:pPr>
      <w:r w:rsidRPr="004B0F24">
        <w:rPr>
          <w:rFonts w:eastAsia="Times New Roman" w:cs="Arial"/>
          <w:color w:val="000000"/>
          <w:lang w:eastAsia="bg-BG"/>
        </w:rPr>
        <w:t xml:space="preserve">о </w:t>
      </w:r>
      <w:r w:rsidRPr="004B0F24">
        <w:rPr>
          <w:rFonts w:eastAsia="Times New Roman" w:cs="Arial"/>
          <w:i/>
          <w:iCs/>
          <w:color w:val="000000"/>
          <w:lang w:eastAsia="bg-BG"/>
        </w:rPr>
        <w:t xml:space="preserve">Пациенти в старческа възраст </w:t>
      </w:r>
      <w:r w:rsidRPr="004B0F24">
        <w:rPr>
          <w:rFonts w:eastAsia="Times New Roman" w:cs="Arial"/>
          <w:color w:val="000000"/>
          <w:lang w:eastAsia="bg-BG"/>
        </w:rPr>
        <w:t>Вижте точка 4.2.</w:t>
      </w:r>
    </w:p>
    <w:p w14:paraId="2CAB77E3" w14:textId="77777777" w:rsidR="004B0F24" w:rsidRPr="004B0F24" w:rsidRDefault="004B0F24" w:rsidP="004B0F24">
      <w:pPr>
        <w:spacing w:line="240" w:lineRule="auto"/>
        <w:rPr>
          <w:rFonts w:eastAsia="Times New Roman" w:cs="Arial"/>
          <w:i/>
          <w:iCs/>
          <w:color w:val="000000"/>
          <w:lang w:eastAsia="bg-BG"/>
        </w:rPr>
      </w:pPr>
    </w:p>
    <w:p w14:paraId="3BD67B5F" w14:textId="78DF617A" w:rsidR="004B0F24" w:rsidRPr="004B0F24" w:rsidRDefault="004B0F24" w:rsidP="004B0F24">
      <w:pPr>
        <w:spacing w:line="240" w:lineRule="auto"/>
        <w:rPr>
          <w:rFonts w:eastAsia="Times New Roman" w:cs="Arial"/>
        </w:rPr>
      </w:pPr>
      <w:r w:rsidRPr="004B0F24">
        <w:rPr>
          <w:rFonts w:eastAsia="Times New Roman" w:cs="Arial"/>
          <w:i/>
          <w:iCs/>
          <w:color w:val="000000"/>
          <w:lang w:eastAsia="bg-BG"/>
        </w:rPr>
        <w:t>Хирургични интервенции</w:t>
      </w:r>
    </w:p>
    <w:p w14:paraId="2E47B851" w14:textId="77777777" w:rsidR="004B0F24" w:rsidRPr="004B0F24" w:rsidRDefault="004B0F24" w:rsidP="004B0F24">
      <w:pPr>
        <w:spacing w:line="240" w:lineRule="auto"/>
        <w:rPr>
          <w:rFonts w:eastAsia="Times New Roman" w:cs="Arial"/>
        </w:rPr>
      </w:pPr>
      <w:r w:rsidRPr="004B0F24">
        <w:rPr>
          <w:rFonts w:eastAsia="Times New Roman" w:cs="Arial"/>
          <w:color w:val="000000"/>
          <w:lang w:eastAsia="bg-BG"/>
        </w:rPr>
        <w:t>Препоръчва се, когато е възможно, лечението с инхибитори на ангиотензин конвертиращия ензим като рамиприл, да бъде прекъснато един ден преди хирургична процедура.</w:t>
      </w:r>
    </w:p>
    <w:p w14:paraId="6101E8DA" w14:textId="77777777" w:rsidR="004B0F24" w:rsidRPr="004B0F24" w:rsidRDefault="004B0F24" w:rsidP="004B0F24">
      <w:pPr>
        <w:spacing w:line="240" w:lineRule="auto"/>
        <w:rPr>
          <w:rFonts w:eastAsia="Times New Roman" w:cs="Arial"/>
          <w:i/>
          <w:iCs/>
          <w:color w:val="000000"/>
          <w:u w:val="single"/>
          <w:lang w:eastAsia="bg-BG"/>
        </w:rPr>
      </w:pPr>
    </w:p>
    <w:p w14:paraId="1076B5E0" w14:textId="49230EF7" w:rsidR="004B0F24" w:rsidRPr="004B0F24" w:rsidRDefault="004B0F24" w:rsidP="004B0F24">
      <w:pPr>
        <w:spacing w:line="240" w:lineRule="auto"/>
        <w:rPr>
          <w:rFonts w:eastAsia="Times New Roman" w:cs="Arial"/>
        </w:rPr>
      </w:pPr>
      <w:r w:rsidRPr="004B0F24">
        <w:rPr>
          <w:rFonts w:eastAsia="Times New Roman" w:cs="Arial"/>
          <w:i/>
          <w:iCs/>
          <w:color w:val="000000"/>
          <w:u w:val="single"/>
          <w:lang w:eastAsia="bg-BG"/>
        </w:rPr>
        <w:t>Проследяване на бъбречната функция</w:t>
      </w:r>
    </w:p>
    <w:p w14:paraId="352BF990" w14:textId="77777777" w:rsidR="004B0F24" w:rsidRPr="004B0F24" w:rsidRDefault="004B0F24" w:rsidP="004B0F24">
      <w:pPr>
        <w:spacing w:line="240" w:lineRule="auto"/>
        <w:rPr>
          <w:rFonts w:eastAsia="Times New Roman" w:cs="Arial"/>
        </w:rPr>
      </w:pPr>
      <w:r w:rsidRPr="004B0F24">
        <w:rPr>
          <w:rFonts w:eastAsia="Times New Roman" w:cs="Arial"/>
          <w:color w:val="000000"/>
          <w:lang w:eastAsia="bg-BG"/>
        </w:rPr>
        <w:t>Бъбречната функция трябва да бъде оценена преди и по време на терапията и дозата трябва да бъде коригирана особено през първите седмици от лечението. Особено внимателно проследяване се изисква при пациенти с бъбречно увреждане (вж. точка 4.2). Има риск от влошаване на бъбречната функция, особено при пациенти със застойна сърдечна недостатъчност или след бъбречна трансплантация.</w:t>
      </w:r>
    </w:p>
    <w:p w14:paraId="6BC86E24" w14:textId="77777777" w:rsidR="004B0F24" w:rsidRPr="004B0F24" w:rsidRDefault="004B0F24" w:rsidP="004B0F24">
      <w:pPr>
        <w:spacing w:line="240" w:lineRule="auto"/>
        <w:rPr>
          <w:rFonts w:eastAsia="Times New Roman" w:cs="Arial"/>
          <w:i/>
          <w:iCs/>
          <w:color w:val="000000"/>
          <w:u w:val="single"/>
          <w:lang w:eastAsia="bg-BG"/>
        </w:rPr>
      </w:pPr>
    </w:p>
    <w:p w14:paraId="7311E313" w14:textId="214EEC35" w:rsidR="004B0F24" w:rsidRPr="004B0F24" w:rsidRDefault="004B0F24" w:rsidP="004B0F24">
      <w:pPr>
        <w:spacing w:line="240" w:lineRule="auto"/>
        <w:rPr>
          <w:rFonts w:eastAsia="Times New Roman" w:cs="Arial"/>
        </w:rPr>
      </w:pPr>
      <w:r w:rsidRPr="004B0F24">
        <w:rPr>
          <w:rFonts w:eastAsia="Times New Roman" w:cs="Arial"/>
          <w:i/>
          <w:iCs/>
          <w:color w:val="000000"/>
          <w:u w:val="single"/>
          <w:lang w:eastAsia="bg-BG"/>
        </w:rPr>
        <w:lastRenderedPageBreak/>
        <w:t>Ангиоедем</w:t>
      </w:r>
    </w:p>
    <w:p w14:paraId="104140F9" w14:textId="77777777" w:rsidR="004B0F24" w:rsidRPr="004B0F24" w:rsidRDefault="004B0F24" w:rsidP="004B0F24">
      <w:pPr>
        <w:spacing w:line="240" w:lineRule="auto"/>
        <w:rPr>
          <w:rFonts w:eastAsia="Times New Roman" w:cs="Arial"/>
        </w:rPr>
      </w:pPr>
      <w:r w:rsidRPr="004B0F24">
        <w:rPr>
          <w:rFonts w:eastAsia="Times New Roman" w:cs="Arial"/>
          <w:color w:val="000000"/>
          <w:lang w:eastAsia="bg-BG"/>
        </w:rPr>
        <w:t xml:space="preserve">Ангиоедем е съобщаван при пациенти, лекувани с АСЕ инхибитори, включително рамиприл (вж. точка 4.8). Този риск от ангиоедем може да бъде увеличен при пациенти, приемащи едновременно лекарства, които могат да предизвикат ангиоедем като </w:t>
      </w:r>
      <w:proofErr w:type="spellStart"/>
      <w:r w:rsidRPr="004B0F24">
        <w:rPr>
          <w:rFonts w:eastAsia="Times New Roman" w:cs="Arial"/>
          <w:color w:val="000000"/>
          <w:lang w:val="en-US"/>
        </w:rPr>
        <w:t>mTOR</w:t>
      </w:r>
      <w:proofErr w:type="spellEnd"/>
      <w:r w:rsidRPr="004B0F24">
        <w:rPr>
          <w:rFonts w:eastAsia="Times New Roman" w:cs="Arial"/>
          <w:color w:val="000000"/>
          <w:lang w:val="ru-RU"/>
        </w:rPr>
        <w:t xml:space="preserve"> </w:t>
      </w:r>
      <w:r w:rsidRPr="004B0F24">
        <w:rPr>
          <w:rFonts w:eastAsia="Times New Roman" w:cs="Arial"/>
          <w:color w:val="000000"/>
          <w:lang w:eastAsia="bg-BG"/>
        </w:rPr>
        <w:t xml:space="preserve">(таргетни на рапамицин при бозайници) инхибитори (напр. темсиролимус, еверолимус, сиролимус); вилдаглиптин или инхибитори на неприлизин </w:t>
      </w:r>
      <w:r w:rsidRPr="004B0F24">
        <w:rPr>
          <w:rFonts w:eastAsia="Times New Roman" w:cs="Arial"/>
          <w:color w:val="000000"/>
          <w:lang w:val="ru-RU"/>
        </w:rPr>
        <w:t>(</w:t>
      </w:r>
      <w:r w:rsidRPr="004B0F24">
        <w:rPr>
          <w:rFonts w:eastAsia="Times New Roman" w:cs="Arial"/>
          <w:color w:val="000000"/>
          <w:lang w:val="en-US"/>
        </w:rPr>
        <w:t>NEP</w:t>
      </w:r>
      <w:r w:rsidRPr="004B0F24">
        <w:rPr>
          <w:rFonts w:eastAsia="Times New Roman" w:cs="Arial"/>
          <w:color w:val="000000"/>
          <w:lang w:val="ru-RU"/>
        </w:rPr>
        <w:t xml:space="preserve">) </w:t>
      </w:r>
      <w:r w:rsidRPr="004B0F24">
        <w:rPr>
          <w:rFonts w:eastAsia="Times New Roman" w:cs="Arial"/>
          <w:color w:val="000000"/>
          <w:lang w:eastAsia="bg-BG"/>
        </w:rPr>
        <w:t>(като рацекадотрил). Комбинацията рамиприл и сакубитрил/валсартан е противопоказана, поради повишения риск за ангиоедел (вж. точки 4.3 и 4.5).</w:t>
      </w:r>
    </w:p>
    <w:p w14:paraId="326647AE" w14:textId="77777777" w:rsidR="004B0F24" w:rsidRPr="004B0F24" w:rsidRDefault="004B0F24" w:rsidP="004B0F24">
      <w:pPr>
        <w:spacing w:line="240" w:lineRule="auto"/>
        <w:rPr>
          <w:rFonts w:eastAsia="Times New Roman" w:cs="Arial"/>
        </w:rPr>
      </w:pPr>
      <w:r w:rsidRPr="004B0F24">
        <w:rPr>
          <w:rFonts w:eastAsia="Times New Roman" w:cs="Arial"/>
          <w:color w:val="000000"/>
          <w:lang w:eastAsia="bg-BG"/>
        </w:rPr>
        <w:t>В случай на ангиоедем, приемът на рамиприл трябва да се прекрати.</w:t>
      </w:r>
    </w:p>
    <w:p w14:paraId="18D8B308" w14:textId="77777777" w:rsidR="004B0F24" w:rsidRPr="004B0F24" w:rsidRDefault="004B0F24" w:rsidP="004B0F24">
      <w:pPr>
        <w:spacing w:line="240" w:lineRule="auto"/>
        <w:rPr>
          <w:rFonts w:eastAsia="Times New Roman" w:cs="Arial"/>
        </w:rPr>
      </w:pPr>
      <w:r w:rsidRPr="004B0F24">
        <w:rPr>
          <w:rFonts w:eastAsia="Times New Roman" w:cs="Arial"/>
          <w:color w:val="000000"/>
          <w:lang w:eastAsia="bg-BG"/>
        </w:rPr>
        <w:t>Трябва незабавно да се назначи спешна терапия. Пациентът трябва да бъде поставен под наблюдение поне за 12 до 24 часа и изписан след напълно отшумяване на симптомите.</w:t>
      </w:r>
    </w:p>
    <w:p w14:paraId="4C59050F" w14:textId="77777777" w:rsidR="004B0F24" w:rsidRPr="004B0F24" w:rsidRDefault="004B0F24" w:rsidP="004B0F24">
      <w:pPr>
        <w:spacing w:line="240" w:lineRule="auto"/>
        <w:rPr>
          <w:rFonts w:eastAsia="Times New Roman" w:cs="Arial"/>
        </w:rPr>
      </w:pPr>
      <w:r w:rsidRPr="004B0F24">
        <w:rPr>
          <w:rFonts w:eastAsia="Times New Roman" w:cs="Arial"/>
          <w:color w:val="000000"/>
          <w:lang w:eastAsia="bg-BG"/>
        </w:rPr>
        <w:t>Интестинален ангиоедем е съобщаван прие пациенти, лекувани с АСЕ инхибитори, включително рамиприл (вижте точка 4.8). При тези пациенти се наблюдава абдоминална болка (със или без гадене и повръщане).</w:t>
      </w:r>
    </w:p>
    <w:p w14:paraId="53539933" w14:textId="77777777" w:rsidR="004B0F24" w:rsidRPr="004B0F24" w:rsidRDefault="004B0F24" w:rsidP="004B0F24">
      <w:pPr>
        <w:spacing w:line="240" w:lineRule="auto"/>
        <w:rPr>
          <w:rFonts w:eastAsia="Times New Roman" w:cs="Arial"/>
          <w:i/>
          <w:iCs/>
          <w:color w:val="000000"/>
          <w:u w:val="single"/>
          <w:lang w:eastAsia="bg-BG"/>
        </w:rPr>
      </w:pPr>
    </w:p>
    <w:p w14:paraId="0E23F169" w14:textId="03364076" w:rsidR="004B0F24" w:rsidRPr="004B0F24" w:rsidRDefault="004B0F24" w:rsidP="004B0F24">
      <w:pPr>
        <w:spacing w:line="240" w:lineRule="auto"/>
        <w:rPr>
          <w:rFonts w:eastAsia="Times New Roman" w:cs="Arial"/>
        </w:rPr>
      </w:pPr>
      <w:r w:rsidRPr="004B0F24">
        <w:rPr>
          <w:rFonts w:eastAsia="Times New Roman" w:cs="Arial"/>
          <w:i/>
          <w:iCs/>
          <w:color w:val="000000"/>
          <w:u w:val="single"/>
          <w:lang w:eastAsia="bg-BG"/>
        </w:rPr>
        <w:t>Анафилактични реакиии по време на десенсибилизиране</w:t>
      </w:r>
    </w:p>
    <w:p w14:paraId="792EA0A0" w14:textId="77777777" w:rsidR="004B0F24" w:rsidRPr="004B0F24" w:rsidRDefault="004B0F24" w:rsidP="004B0F24">
      <w:pPr>
        <w:spacing w:line="240" w:lineRule="auto"/>
        <w:rPr>
          <w:rFonts w:eastAsia="Times New Roman" w:cs="Arial"/>
        </w:rPr>
      </w:pPr>
      <w:r w:rsidRPr="004B0F24">
        <w:rPr>
          <w:rFonts w:eastAsia="Times New Roman" w:cs="Arial"/>
          <w:color w:val="000000"/>
          <w:lang w:eastAsia="bg-BG"/>
        </w:rPr>
        <w:t>Вероятността от поява и тежестта на анафилактични и анафилактоидни реакции към отровата на насекоми и други алергени са повишени при АСЕ инхибиране. Трябва да се има предвид временно прекъсване на Рамимед преди десенсибилизация.</w:t>
      </w:r>
    </w:p>
    <w:p w14:paraId="08A78826" w14:textId="77777777" w:rsidR="004B0F24" w:rsidRPr="004B0F24" w:rsidRDefault="004B0F24" w:rsidP="004B0F24">
      <w:pPr>
        <w:spacing w:line="240" w:lineRule="auto"/>
        <w:rPr>
          <w:rFonts w:eastAsia="Times New Roman" w:cs="Arial"/>
          <w:i/>
          <w:iCs/>
          <w:color w:val="000000"/>
          <w:u w:val="single"/>
          <w:lang w:eastAsia="bg-BG"/>
        </w:rPr>
      </w:pPr>
    </w:p>
    <w:p w14:paraId="0CD5153C" w14:textId="19B32538" w:rsidR="004B0F24" w:rsidRPr="004B0F24" w:rsidRDefault="004B0F24" w:rsidP="004B0F24">
      <w:pPr>
        <w:spacing w:line="240" w:lineRule="auto"/>
        <w:rPr>
          <w:rFonts w:eastAsia="Times New Roman" w:cs="Arial"/>
        </w:rPr>
      </w:pPr>
      <w:r w:rsidRPr="004B0F24">
        <w:rPr>
          <w:rFonts w:eastAsia="Times New Roman" w:cs="Arial"/>
          <w:i/>
          <w:iCs/>
          <w:color w:val="000000"/>
          <w:u w:val="single"/>
          <w:lang w:eastAsia="bg-BG"/>
        </w:rPr>
        <w:t>Проследяване на електролитите: Хиперкалиемия</w:t>
      </w:r>
    </w:p>
    <w:p w14:paraId="659C630E" w14:textId="77777777" w:rsidR="004B0F24" w:rsidRPr="004B0F24" w:rsidRDefault="004B0F24" w:rsidP="004B0F24">
      <w:pPr>
        <w:spacing w:line="240" w:lineRule="auto"/>
        <w:rPr>
          <w:rFonts w:eastAsia="Times New Roman" w:cs="Arial"/>
        </w:rPr>
      </w:pPr>
      <w:r w:rsidRPr="004B0F24">
        <w:rPr>
          <w:rFonts w:eastAsia="Times New Roman" w:cs="Arial"/>
          <w:color w:val="000000"/>
          <w:lang w:eastAsia="bg-BG"/>
        </w:rPr>
        <w:t>При някои пациенти, лекувани с АСЕ инхибитори, включително с рамиприл, се наблюдава хиперкалиемия. Риск от хиперкалиемия има при пациенти с бъбречна недостатъчност, възраст &gt; 70 години, с неконтролиран захарен диябет или такива, приемащи калиеви соли, калий-съхраняващи диуретици или други активни вещества, повишаващи плазмените нива на калия или състояния като дехидратация, остра сърдечна декомпенсация, метаболитна ацидоза. Ако едновременната употреба на посочениет средства се счита за подходяща, се препоръчва редовно проследяване на серумния калий (вж. точка 4.5).</w:t>
      </w:r>
    </w:p>
    <w:p w14:paraId="1F964ABE" w14:textId="77777777" w:rsidR="004B0F24" w:rsidRPr="004B0F24" w:rsidRDefault="004B0F24" w:rsidP="004B0F24">
      <w:pPr>
        <w:spacing w:line="240" w:lineRule="auto"/>
        <w:rPr>
          <w:rFonts w:eastAsia="Times New Roman" w:cs="Arial"/>
          <w:i/>
          <w:iCs/>
          <w:color w:val="000000"/>
          <w:lang w:eastAsia="bg-BG"/>
        </w:rPr>
      </w:pPr>
    </w:p>
    <w:p w14:paraId="3B90FC22" w14:textId="1E1ED321" w:rsidR="004B0F24" w:rsidRPr="004B0F24" w:rsidRDefault="004B0F24" w:rsidP="004B0F24">
      <w:pPr>
        <w:spacing w:line="240" w:lineRule="auto"/>
        <w:rPr>
          <w:rFonts w:eastAsia="Times New Roman" w:cs="Arial"/>
        </w:rPr>
      </w:pPr>
      <w:r w:rsidRPr="004B0F24">
        <w:rPr>
          <w:rFonts w:eastAsia="Times New Roman" w:cs="Arial"/>
          <w:i/>
          <w:iCs/>
          <w:color w:val="000000"/>
          <w:lang w:eastAsia="bg-BG"/>
        </w:rPr>
        <w:t>Проследяване на електролитите: Хипонатриемия</w:t>
      </w:r>
    </w:p>
    <w:p w14:paraId="44257B58" w14:textId="77777777" w:rsidR="004B0F24" w:rsidRPr="004B0F24" w:rsidRDefault="004B0F24" w:rsidP="004B0F24">
      <w:pPr>
        <w:spacing w:line="240" w:lineRule="auto"/>
        <w:rPr>
          <w:rFonts w:eastAsia="Times New Roman" w:cs="Arial"/>
        </w:rPr>
      </w:pPr>
      <w:r w:rsidRPr="004B0F24">
        <w:rPr>
          <w:rFonts w:eastAsia="Times New Roman" w:cs="Arial"/>
          <w:color w:val="000000"/>
          <w:lang w:eastAsia="bg-BG"/>
        </w:rPr>
        <w:t xml:space="preserve">При някои пациенти, лекувани с рамиприл е наблюдаван Синдром на неадекватната секреция на антидиуретичен хормон </w:t>
      </w:r>
      <w:r w:rsidRPr="004B0F24">
        <w:rPr>
          <w:rFonts w:eastAsia="Times New Roman" w:cs="Arial"/>
          <w:color w:val="000000"/>
          <w:lang w:val="ru-RU"/>
        </w:rPr>
        <w:t>(</w:t>
      </w:r>
      <w:r w:rsidRPr="004B0F24">
        <w:rPr>
          <w:rFonts w:eastAsia="Times New Roman" w:cs="Arial"/>
          <w:color w:val="000000"/>
          <w:lang w:val="en-US"/>
        </w:rPr>
        <w:t>SIADH</w:t>
      </w:r>
      <w:r w:rsidRPr="004B0F24">
        <w:rPr>
          <w:rFonts w:eastAsia="Times New Roman" w:cs="Arial"/>
          <w:color w:val="000000"/>
          <w:lang w:val="ru-RU"/>
        </w:rPr>
        <w:t xml:space="preserve">) </w:t>
      </w:r>
      <w:r w:rsidRPr="004B0F24">
        <w:rPr>
          <w:rFonts w:eastAsia="Times New Roman" w:cs="Arial"/>
          <w:color w:val="000000"/>
          <w:lang w:eastAsia="bg-BG"/>
        </w:rPr>
        <w:t>и последваща хипонатриемия. При пациенти в старческа възраст и други пациенти с риск от хипонатриемия се препоръчва редовно проследяване на серумните нива на натрия.</w:t>
      </w:r>
    </w:p>
    <w:p w14:paraId="10BFEDD3" w14:textId="77777777" w:rsidR="004B0F24" w:rsidRPr="004B0F24" w:rsidRDefault="004B0F24" w:rsidP="004B0F24">
      <w:pPr>
        <w:spacing w:line="240" w:lineRule="auto"/>
        <w:rPr>
          <w:rFonts w:eastAsia="Times New Roman" w:cs="Arial"/>
          <w:i/>
          <w:iCs/>
          <w:color w:val="000000"/>
          <w:u w:val="single"/>
          <w:lang w:eastAsia="bg-BG"/>
        </w:rPr>
      </w:pPr>
    </w:p>
    <w:p w14:paraId="6CF9B462" w14:textId="63BE25E0" w:rsidR="004B0F24" w:rsidRPr="004B0F24" w:rsidRDefault="004B0F24" w:rsidP="004B0F24">
      <w:pPr>
        <w:spacing w:line="240" w:lineRule="auto"/>
        <w:rPr>
          <w:rFonts w:eastAsia="Times New Roman" w:cs="Arial"/>
        </w:rPr>
      </w:pPr>
      <w:r w:rsidRPr="004B0F24">
        <w:rPr>
          <w:rFonts w:eastAsia="Times New Roman" w:cs="Arial"/>
          <w:i/>
          <w:iCs/>
          <w:color w:val="000000"/>
          <w:u w:val="single"/>
          <w:lang w:eastAsia="bg-BG"/>
        </w:rPr>
        <w:t>Неутропения/агранулоиитоза</w:t>
      </w:r>
    </w:p>
    <w:p w14:paraId="428A1680" w14:textId="77777777" w:rsidR="004B0F24" w:rsidRPr="004B0F24" w:rsidRDefault="004B0F24" w:rsidP="004B0F24">
      <w:pPr>
        <w:spacing w:line="240" w:lineRule="auto"/>
        <w:rPr>
          <w:rFonts w:eastAsia="Times New Roman" w:cs="Arial"/>
        </w:rPr>
      </w:pPr>
      <w:r w:rsidRPr="004B0F24">
        <w:rPr>
          <w:rFonts w:eastAsia="Times New Roman" w:cs="Arial"/>
          <w:color w:val="000000"/>
          <w:lang w:eastAsia="bg-BG"/>
        </w:rPr>
        <w:t>Рядко са наблюдавани неутропения/агранулоцитоза, съобщавана е също и костно-мозъчна супресия, както и тромбоцитопения и анемия. Препоръчва се проследяване на броя бели кръвни клетки, за да се установи евентуална левкопения. По-често проследяване се препоръчва в началото на лечението и при пациенти с нарушена бъбречна функция, със съпътстваща колагеноза (напр. лупус еритематодес или склеродермия), и при лекувани с други лекарствени продукти, които могат да причинят промени в кръвната картина (вж. точка 4.5 и 4.8).</w:t>
      </w:r>
    </w:p>
    <w:p w14:paraId="3CB9435D" w14:textId="77777777" w:rsidR="004B0F24" w:rsidRPr="004B0F24" w:rsidRDefault="004B0F24" w:rsidP="004B0F24">
      <w:pPr>
        <w:spacing w:line="240" w:lineRule="auto"/>
        <w:rPr>
          <w:rFonts w:eastAsia="Times New Roman" w:cs="Arial"/>
          <w:i/>
          <w:iCs/>
          <w:color w:val="000000"/>
          <w:u w:val="single"/>
          <w:lang w:eastAsia="bg-BG"/>
        </w:rPr>
      </w:pPr>
    </w:p>
    <w:p w14:paraId="468E12ED" w14:textId="2E137D43" w:rsidR="004B0F24" w:rsidRPr="004B0F24" w:rsidRDefault="004B0F24" w:rsidP="004B0F24">
      <w:pPr>
        <w:spacing w:line="240" w:lineRule="auto"/>
        <w:rPr>
          <w:rFonts w:eastAsia="Times New Roman" w:cs="Arial"/>
        </w:rPr>
      </w:pPr>
      <w:r w:rsidRPr="004B0F24">
        <w:rPr>
          <w:rFonts w:eastAsia="Times New Roman" w:cs="Arial"/>
          <w:i/>
          <w:iCs/>
          <w:color w:val="000000"/>
          <w:u w:val="single"/>
          <w:lang w:eastAsia="bg-BG"/>
        </w:rPr>
        <w:t>Етнически различия</w:t>
      </w:r>
    </w:p>
    <w:p w14:paraId="5378F38D" w14:textId="77777777" w:rsidR="004B0F24" w:rsidRPr="004B0F24" w:rsidRDefault="004B0F24" w:rsidP="004B0F24">
      <w:pPr>
        <w:spacing w:line="240" w:lineRule="auto"/>
        <w:rPr>
          <w:rFonts w:eastAsia="Times New Roman" w:cs="Arial"/>
        </w:rPr>
      </w:pPr>
      <w:r w:rsidRPr="004B0F24">
        <w:rPr>
          <w:rFonts w:eastAsia="Times New Roman" w:cs="Arial"/>
          <w:color w:val="000000"/>
          <w:lang w:eastAsia="bg-BG"/>
        </w:rPr>
        <w:t>АСЕ инхибиторите причиняват ангиоедем с по-висока честота при чернокожи пациенти, отколкото при останалите.</w:t>
      </w:r>
    </w:p>
    <w:p w14:paraId="62243FD0" w14:textId="77777777" w:rsidR="004B0F24" w:rsidRPr="004B0F24" w:rsidRDefault="004B0F24" w:rsidP="004B0F24">
      <w:pPr>
        <w:spacing w:line="240" w:lineRule="auto"/>
        <w:rPr>
          <w:rFonts w:eastAsia="Times New Roman" w:cs="Arial"/>
        </w:rPr>
      </w:pPr>
      <w:r w:rsidRPr="004B0F24">
        <w:rPr>
          <w:rFonts w:eastAsia="Times New Roman" w:cs="Arial"/>
          <w:color w:val="000000"/>
          <w:lang w:eastAsia="bg-BG"/>
        </w:rPr>
        <w:t xml:space="preserve">Както и другите АСЕ инхибитори, рамиприл може да бъде по-малко ефективен при понижаване на кръвното налягане при чернокожи пациенти, отколкото при останалите, </w:t>
      </w:r>
      <w:r w:rsidRPr="004B0F24">
        <w:rPr>
          <w:rFonts w:eastAsia="Times New Roman" w:cs="Arial"/>
          <w:color w:val="000000"/>
          <w:lang w:eastAsia="bg-BG"/>
        </w:rPr>
        <w:lastRenderedPageBreak/>
        <w:t>поради по-честото наличие на хипертония с ниски ренинови нива при чернокожата популация.</w:t>
      </w:r>
    </w:p>
    <w:p w14:paraId="5E96EC50" w14:textId="77777777" w:rsidR="004B0F24" w:rsidRPr="004B0F24" w:rsidRDefault="004B0F24" w:rsidP="004B0F24">
      <w:pPr>
        <w:spacing w:line="240" w:lineRule="auto"/>
        <w:rPr>
          <w:rFonts w:eastAsia="Times New Roman" w:cs="Arial"/>
          <w:i/>
          <w:iCs/>
          <w:color w:val="000000"/>
          <w:u w:val="single"/>
          <w:lang w:eastAsia="bg-BG"/>
        </w:rPr>
      </w:pPr>
    </w:p>
    <w:p w14:paraId="23B0F55E" w14:textId="2A5A2053" w:rsidR="004B0F24" w:rsidRPr="004B0F24" w:rsidRDefault="004B0F24" w:rsidP="004B0F24">
      <w:pPr>
        <w:spacing w:line="240" w:lineRule="auto"/>
        <w:rPr>
          <w:rFonts w:eastAsia="Times New Roman" w:cs="Arial"/>
        </w:rPr>
      </w:pPr>
      <w:r w:rsidRPr="004B0F24">
        <w:rPr>
          <w:rFonts w:eastAsia="Times New Roman" w:cs="Arial"/>
          <w:i/>
          <w:iCs/>
          <w:color w:val="000000"/>
          <w:u w:val="single"/>
          <w:lang w:eastAsia="bg-BG"/>
        </w:rPr>
        <w:t>Кашлица</w:t>
      </w:r>
    </w:p>
    <w:p w14:paraId="56C1D2B7" w14:textId="77777777" w:rsidR="004B0F24" w:rsidRPr="004B0F24" w:rsidRDefault="004B0F24" w:rsidP="004B0F24">
      <w:pPr>
        <w:spacing w:line="240" w:lineRule="auto"/>
        <w:rPr>
          <w:rFonts w:eastAsia="Times New Roman" w:cs="Arial"/>
        </w:rPr>
      </w:pPr>
      <w:r w:rsidRPr="004B0F24">
        <w:rPr>
          <w:rFonts w:eastAsia="Times New Roman" w:cs="Arial"/>
          <w:color w:val="000000"/>
          <w:lang w:eastAsia="bg-BG"/>
        </w:rPr>
        <w:t>При употребата на АСЕ инхибитори е съобщавана кашлица. Характерно е, че тя е непродуктивна, продължителна и отзвучава след прекратяване на терапията. Индуцираната от АСЕ инхибитор кашлица, трябва да се разглежда като част от диференциалната диагноза на кашлица.</w:t>
      </w:r>
    </w:p>
    <w:p w14:paraId="6A1B9DE9" w14:textId="77777777" w:rsidR="004B0F24" w:rsidRPr="004B0F24" w:rsidRDefault="004B0F24" w:rsidP="004B0F24">
      <w:pPr>
        <w:spacing w:line="240" w:lineRule="auto"/>
        <w:rPr>
          <w:rFonts w:eastAsia="Times New Roman" w:cs="Arial"/>
          <w:b/>
          <w:bCs/>
          <w:color w:val="000000"/>
          <w:lang w:eastAsia="bg-BG"/>
        </w:rPr>
      </w:pPr>
      <w:bookmarkStart w:id="1" w:name="bookmark0"/>
    </w:p>
    <w:p w14:paraId="64BD9FD4" w14:textId="5EF4A2EF" w:rsidR="004B0F24" w:rsidRPr="004B0F24" w:rsidRDefault="004B0F24" w:rsidP="004B0F24">
      <w:pPr>
        <w:spacing w:line="240" w:lineRule="auto"/>
        <w:rPr>
          <w:rFonts w:eastAsia="Times New Roman" w:cs="Arial"/>
        </w:rPr>
      </w:pPr>
      <w:r w:rsidRPr="004B0F24">
        <w:rPr>
          <w:rFonts w:eastAsia="Times New Roman" w:cs="Arial"/>
          <w:b/>
          <w:bCs/>
          <w:color w:val="000000"/>
          <w:lang w:eastAsia="bg-BG"/>
        </w:rPr>
        <w:t>Рамимед съдържа лактоза монохидрат.</w:t>
      </w:r>
      <w:bookmarkEnd w:id="1"/>
    </w:p>
    <w:p w14:paraId="59A970B0" w14:textId="77777777" w:rsidR="004B0F24" w:rsidRPr="004B0F24" w:rsidRDefault="004B0F24" w:rsidP="004B0F24">
      <w:pPr>
        <w:spacing w:line="240" w:lineRule="auto"/>
        <w:rPr>
          <w:rFonts w:eastAsia="Times New Roman" w:cs="Arial"/>
        </w:rPr>
      </w:pPr>
      <w:r w:rsidRPr="004B0F24">
        <w:rPr>
          <w:rFonts w:eastAsia="Times New Roman" w:cs="Arial"/>
          <w:color w:val="000000"/>
          <w:lang w:eastAsia="bg-BG"/>
        </w:rPr>
        <w:t>Пациентите с редки наследствени проблеми като галактозна непоносимост, пълен лактазен дефицит или глюкозно-галактозна малабсорбция не трябва да приемат това лекарство.</w:t>
      </w:r>
    </w:p>
    <w:p w14:paraId="6DE89D80" w14:textId="77777777" w:rsidR="004B0F24" w:rsidRPr="004B0F24" w:rsidRDefault="004B0F24" w:rsidP="004B0F24">
      <w:pPr>
        <w:spacing w:line="240" w:lineRule="auto"/>
        <w:rPr>
          <w:rFonts w:eastAsia="Times New Roman" w:cs="Arial"/>
          <w:color w:val="000000"/>
          <w:lang w:eastAsia="bg-BG"/>
        </w:rPr>
      </w:pPr>
    </w:p>
    <w:p w14:paraId="5455069F" w14:textId="4085F3D9" w:rsidR="004B0F24" w:rsidRPr="004B0F24" w:rsidRDefault="004B0F24" w:rsidP="004B0F24">
      <w:pPr>
        <w:spacing w:line="240" w:lineRule="auto"/>
        <w:rPr>
          <w:rFonts w:eastAsia="Times New Roman" w:cs="Arial"/>
        </w:rPr>
      </w:pPr>
      <w:r w:rsidRPr="004B0F24">
        <w:rPr>
          <w:rFonts w:eastAsia="Times New Roman" w:cs="Arial"/>
          <w:color w:val="000000"/>
          <w:lang w:eastAsia="bg-BG"/>
        </w:rPr>
        <w:t xml:space="preserve">Това лекарство съдържа по-малко от 1 </w:t>
      </w:r>
      <w:proofErr w:type="spellStart"/>
      <w:r w:rsidRPr="004B0F24">
        <w:rPr>
          <w:rFonts w:eastAsia="Times New Roman" w:cs="Arial"/>
          <w:color w:val="000000"/>
          <w:lang w:val="en-US"/>
        </w:rPr>
        <w:t>mmol</w:t>
      </w:r>
      <w:proofErr w:type="spellEnd"/>
      <w:r w:rsidRPr="004B0F24">
        <w:rPr>
          <w:rFonts w:eastAsia="Times New Roman" w:cs="Arial"/>
          <w:color w:val="000000"/>
          <w:lang w:val="ru-RU"/>
        </w:rPr>
        <w:t xml:space="preserve"> </w:t>
      </w:r>
      <w:r w:rsidRPr="004B0F24">
        <w:rPr>
          <w:rFonts w:eastAsia="Times New Roman" w:cs="Arial"/>
          <w:color w:val="000000"/>
          <w:lang w:eastAsia="bg-BG"/>
        </w:rPr>
        <w:t xml:space="preserve">натрий (23 </w:t>
      </w:r>
      <w:r w:rsidRPr="004B0F24">
        <w:rPr>
          <w:rFonts w:eastAsia="Times New Roman" w:cs="Arial"/>
          <w:color w:val="000000"/>
          <w:lang w:val="en-US"/>
        </w:rPr>
        <w:t>mg</w:t>
      </w:r>
      <w:r w:rsidRPr="004B0F24">
        <w:rPr>
          <w:rFonts w:eastAsia="Times New Roman" w:cs="Arial"/>
          <w:color w:val="000000"/>
          <w:lang w:val="ru-RU"/>
        </w:rPr>
        <w:t xml:space="preserve">) </w:t>
      </w:r>
      <w:r w:rsidRPr="004B0F24">
        <w:rPr>
          <w:rFonts w:eastAsia="Times New Roman" w:cs="Arial"/>
          <w:color w:val="000000"/>
          <w:lang w:eastAsia="bg-BG"/>
        </w:rPr>
        <w:t>в една таблетка, т.е. се счита, че не съдържа натрий.</w:t>
      </w:r>
    </w:p>
    <w:p w14:paraId="7A0712A3" w14:textId="77777777" w:rsidR="004B0F24" w:rsidRPr="004B0F24" w:rsidRDefault="004B0F24" w:rsidP="004B0F24"/>
    <w:p w14:paraId="62F27C9B" w14:textId="1020A1EB" w:rsidR="00DB32D3" w:rsidRDefault="002C50EE" w:rsidP="005726E3">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4EF065D3" w14:textId="777F24FE" w:rsidR="004B0F24" w:rsidRDefault="004B0F24" w:rsidP="004B0F24"/>
    <w:p w14:paraId="6A2C850F" w14:textId="77777777" w:rsidR="004B0F24" w:rsidRPr="004B0F24" w:rsidRDefault="004B0F24" w:rsidP="004B0F24">
      <w:pPr>
        <w:spacing w:line="240" w:lineRule="auto"/>
        <w:rPr>
          <w:rFonts w:eastAsia="Times New Roman" w:cs="Arial"/>
          <w:sz w:val="28"/>
          <w:szCs w:val="24"/>
        </w:rPr>
      </w:pPr>
      <w:r w:rsidRPr="004B0F24">
        <w:rPr>
          <w:rFonts w:eastAsia="Times New Roman" w:cs="Arial"/>
          <w:color w:val="000000"/>
          <w:szCs w:val="20"/>
          <w:lang w:eastAsia="bg-BG"/>
        </w:rPr>
        <w:t>Данни от клиничните изпитвания показват, че двойното блокиране на ренин-ангиотензин алдостероновата система (РААС) чрез комбинираната употреба на АСЕ инхибитори, ангиотензин-</w:t>
      </w:r>
      <w:r w:rsidRPr="004B0F24">
        <w:rPr>
          <w:rFonts w:eastAsia="Times New Roman" w:cs="Arial"/>
          <w:color w:val="000000"/>
          <w:szCs w:val="20"/>
          <w:lang w:val="en-US"/>
        </w:rPr>
        <w:t>II</w:t>
      </w:r>
      <w:r w:rsidRPr="004B0F24">
        <w:rPr>
          <w:rFonts w:eastAsia="Times New Roman" w:cs="Arial"/>
          <w:color w:val="000000"/>
          <w:szCs w:val="20"/>
          <w:lang w:eastAsia="bg-BG"/>
        </w:rPr>
        <w:t xml:space="preserve"> рецепторни блокери или алискирен се свързва с по-висока честота на нежелани събития като хипотония, хиперкалиемия или намалена бъбречна функция (включително остра бъбречна недостатъчност) в сравнение с приложението на едно средство, действащо върху РААС (вижте точки 4.3,4.4 и 5.1).</w:t>
      </w:r>
    </w:p>
    <w:p w14:paraId="1F3F97AB" w14:textId="77777777" w:rsidR="004B0F24" w:rsidRPr="004B0F24" w:rsidRDefault="004B0F24" w:rsidP="004B0F24">
      <w:pPr>
        <w:spacing w:line="240" w:lineRule="auto"/>
        <w:rPr>
          <w:rFonts w:eastAsia="Times New Roman" w:cs="Arial"/>
          <w:color w:val="000000"/>
          <w:szCs w:val="20"/>
          <w:u w:val="single"/>
          <w:lang w:eastAsia="bg-BG"/>
        </w:rPr>
      </w:pPr>
    </w:p>
    <w:p w14:paraId="48F992E6" w14:textId="0EE5C191" w:rsidR="004B0F24" w:rsidRPr="004B0F24" w:rsidRDefault="004B0F24" w:rsidP="004B0F24">
      <w:pPr>
        <w:spacing w:line="240" w:lineRule="auto"/>
        <w:rPr>
          <w:rFonts w:eastAsia="Times New Roman" w:cs="Arial"/>
          <w:sz w:val="28"/>
          <w:szCs w:val="24"/>
        </w:rPr>
      </w:pPr>
      <w:r w:rsidRPr="004B0F24">
        <w:rPr>
          <w:rFonts w:eastAsia="Times New Roman" w:cs="Arial"/>
          <w:color w:val="000000"/>
          <w:szCs w:val="20"/>
          <w:u w:val="single"/>
          <w:lang w:eastAsia="bg-BG"/>
        </w:rPr>
        <w:t>Противопоказани комбинации</w:t>
      </w:r>
    </w:p>
    <w:p w14:paraId="29856476" w14:textId="77777777" w:rsidR="004B0F24" w:rsidRPr="004B0F24" w:rsidRDefault="004B0F24" w:rsidP="004B0F24">
      <w:pPr>
        <w:spacing w:line="240" w:lineRule="auto"/>
        <w:rPr>
          <w:rFonts w:eastAsia="Times New Roman" w:cs="Arial"/>
          <w:sz w:val="28"/>
          <w:szCs w:val="24"/>
        </w:rPr>
      </w:pPr>
      <w:r w:rsidRPr="004B0F24">
        <w:rPr>
          <w:rFonts w:eastAsia="Times New Roman" w:cs="Arial"/>
          <w:color w:val="000000"/>
          <w:szCs w:val="20"/>
          <w:lang w:eastAsia="bg-BG"/>
        </w:rPr>
        <w:t>Едновременната употреба на АСЕ инхибитор и сакубитрил/валсартан е противопоказана поради повишен риск от ангиоедем (вж. точки 4.3 и 4.4). Лечението с рамиприл не трябва да бъде започвано преди да са изминали 36 часа от приемането на последната доза сакубитрил/валсартан. Сакубитрил/ валсартан не трябва да бъде започван преди да са имнилаи 36 часа от приема на последната доза рамиприл.</w:t>
      </w:r>
    </w:p>
    <w:p w14:paraId="4D7CAD3C" w14:textId="77777777" w:rsidR="004B0F24" w:rsidRPr="004B0F24" w:rsidRDefault="004B0F24" w:rsidP="004B0F24">
      <w:pPr>
        <w:spacing w:line="240" w:lineRule="auto"/>
        <w:rPr>
          <w:rFonts w:eastAsia="Times New Roman" w:cs="Arial"/>
          <w:color w:val="000000"/>
          <w:szCs w:val="20"/>
          <w:lang w:eastAsia="bg-BG"/>
        </w:rPr>
      </w:pPr>
    </w:p>
    <w:p w14:paraId="7D6BD3B6" w14:textId="65AA333E" w:rsidR="004B0F24" w:rsidRPr="004B0F24" w:rsidRDefault="004B0F24" w:rsidP="004B0F24">
      <w:pPr>
        <w:spacing w:line="240" w:lineRule="auto"/>
        <w:rPr>
          <w:rFonts w:eastAsia="Times New Roman" w:cs="Arial"/>
          <w:sz w:val="28"/>
          <w:szCs w:val="24"/>
        </w:rPr>
      </w:pPr>
      <w:r w:rsidRPr="004B0F24">
        <w:rPr>
          <w:rFonts w:eastAsia="Times New Roman" w:cs="Arial"/>
          <w:color w:val="000000"/>
          <w:szCs w:val="20"/>
          <w:lang w:eastAsia="bg-BG"/>
        </w:rPr>
        <w:t>Екстракорпорално лечение, водещо до контакт на кръвта с отрицателно заредени повърхности като например диализа или хемофилтрация с определени високопропускливи мембрани (напр. полиакрилонитрилни мембрани) и афереза на липопротеини с ниска плътност с декстран сулфат, поради повишен риск от тежка анафилактоидна реакция (вж. точка 4.3). Ако се изисква подобно лечение, необходимо е да се обмисли използване на различен тип диализна мембрана или различен клас антихипертензивно средство.</w:t>
      </w:r>
    </w:p>
    <w:p w14:paraId="277E1929" w14:textId="77777777" w:rsidR="004B0F24" w:rsidRPr="004B0F24" w:rsidRDefault="004B0F24" w:rsidP="004B0F24">
      <w:pPr>
        <w:spacing w:line="240" w:lineRule="auto"/>
        <w:rPr>
          <w:rFonts w:eastAsia="Times New Roman" w:cs="Arial"/>
          <w:color w:val="000000"/>
          <w:szCs w:val="20"/>
          <w:u w:val="single"/>
          <w:lang w:eastAsia="bg-BG"/>
        </w:rPr>
      </w:pPr>
    </w:p>
    <w:p w14:paraId="2CA5ECF2" w14:textId="430EBD39" w:rsidR="004B0F24" w:rsidRPr="004B0F24" w:rsidRDefault="004B0F24" w:rsidP="004B0F24">
      <w:pPr>
        <w:spacing w:line="240" w:lineRule="auto"/>
        <w:rPr>
          <w:rFonts w:eastAsia="Times New Roman" w:cs="Arial"/>
          <w:sz w:val="28"/>
          <w:szCs w:val="24"/>
        </w:rPr>
      </w:pPr>
      <w:r w:rsidRPr="004B0F24">
        <w:rPr>
          <w:rFonts w:eastAsia="Times New Roman" w:cs="Arial"/>
          <w:color w:val="000000"/>
          <w:szCs w:val="20"/>
          <w:u w:val="single"/>
          <w:lang w:eastAsia="bg-BG"/>
        </w:rPr>
        <w:t>Предпазни мерки при употреба</w:t>
      </w:r>
    </w:p>
    <w:p w14:paraId="747FD541" w14:textId="77777777" w:rsidR="004B0F24" w:rsidRPr="004B0F24" w:rsidRDefault="004B0F24" w:rsidP="004B0F24">
      <w:pPr>
        <w:spacing w:line="240" w:lineRule="auto"/>
        <w:rPr>
          <w:rFonts w:eastAsia="Times New Roman" w:cs="Arial"/>
          <w:sz w:val="28"/>
          <w:szCs w:val="24"/>
        </w:rPr>
      </w:pPr>
      <w:r w:rsidRPr="004B0F24">
        <w:rPr>
          <w:rFonts w:eastAsia="Times New Roman" w:cs="Arial"/>
          <w:i/>
          <w:iCs/>
          <w:color w:val="000000"/>
          <w:szCs w:val="20"/>
          <w:lang w:eastAsia="bg-BG"/>
        </w:rPr>
        <w:t>Калиеви соли, хепарин, калий-съхраняващи диуретици и дсруги активни вещества, повишаващи плазмените нива на калия (включително ангиотензин II антагонисти, триметоприм и фиксирана дозова комбинация със сулфометоксазол, такролимус, циклоспорин):</w:t>
      </w:r>
      <w:r w:rsidRPr="004B0F24">
        <w:rPr>
          <w:rFonts w:eastAsia="Times New Roman" w:cs="Arial"/>
          <w:color w:val="000000"/>
          <w:szCs w:val="20"/>
          <w:lang w:eastAsia="bg-BG"/>
        </w:rPr>
        <w:t xml:space="preserve"> Възможно е да се прояви хиперкалиемия, поради което се изисква стрикно проследяване на серумния калий.</w:t>
      </w:r>
    </w:p>
    <w:p w14:paraId="03E3A8DA" w14:textId="77777777" w:rsidR="004B0F24" w:rsidRPr="004B0F24" w:rsidRDefault="004B0F24" w:rsidP="004B0F24">
      <w:pPr>
        <w:spacing w:line="240" w:lineRule="auto"/>
        <w:rPr>
          <w:rFonts w:eastAsia="Times New Roman" w:cs="Arial"/>
          <w:i/>
          <w:iCs/>
          <w:color w:val="000000"/>
          <w:szCs w:val="20"/>
          <w:lang w:eastAsia="bg-BG"/>
        </w:rPr>
      </w:pPr>
    </w:p>
    <w:p w14:paraId="67251A8B" w14:textId="2B98117D" w:rsidR="004B0F24" w:rsidRPr="004B0F24" w:rsidRDefault="004B0F24" w:rsidP="004B0F24">
      <w:pPr>
        <w:spacing w:line="240" w:lineRule="auto"/>
        <w:rPr>
          <w:rFonts w:eastAsia="Times New Roman" w:cs="Arial"/>
          <w:sz w:val="28"/>
          <w:szCs w:val="24"/>
        </w:rPr>
      </w:pPr>
      <w:r w:rsidRPr="004B0F24">
        <w:rPr>
          <w:rFonts w:eastAsia="Times New Roman" w:cs="Arial"/>
          <w:i/>
          <w:iCs/>
          <w:color w:val="000000"/>
          <w:szCs w:val="20"/>
          <w:lang w:eastAsia="bg-BG"/>
        </w:rPr>
        <w:lastRenderedPageBreak/>
        <w:t>Антихипертензивни средства (напр. диуретици) и други вещества, които могат да понижат кръвното налягане (напр. нитрати, трициклични антидепресанти, анестетици, прекомерен прием на алкохол, баклофен, алфузозин, доксазозин, празоин, тамсулозин, теразозин):</w:t>
      </w:r>
      <w:r w:rsidRPr="004B0F24">
        <w:rPr>
          <w:rFonts w:eastAsia="Times New Roman" w:cs="Arial"/>
          <w:color w:val="000000"/>
          <w:szCs w:val="20"/>
          <w:lang w:eastAsia="bg-BG"/>
        </w:rPr>
        <w:t xml:space="preserve"> Може да се очаква увеличаване на риска от хипотония (вж. точка 4.2 за диуретици).</w:t>
      </w:r>
    </w:p>
    <w:p w14:paraId="30931831" w14:textId="77777777" w:rsidR="004B0F24" w:rsidRPr="004B0F24" w:rsidRDefault="004B0F24" w:rsidP="004B0F24">
      <w:pPr>
        <w:spacing w:line="240" w:lineRule="auto"/>
        <w:rPr>
          <w:rFonts w:eastAsia="Times New Roman" w:cs="Arial"/>
          <w:i/>
          <w:iCs/>
          <w:color w:val="000000"/>
          <w:szCs w:val="20"/>
          <w:lang w:eastAsia="bg-BG"/>
        </w:rPr>
      </w:pPr>
    </w:p>
    <w:p w14:paraId="1578311F" w14:textId="4FD16EC3" w:rsidR="004B0F24" w:rsidRPr="004B0F24" w:rsidRDefault="004B0F24" w:rsidP="004B0F24">
      <w:pPr>
        <w:spacing w:line="240" w:lineRule="auto"/>
        <w:rPr>
          <w:rFonts w:eastAsia="Times New Roman" w:cs="Arial"/>
          <w:sz w:val="28"/>
          <w:szCs w:val="24"/>
        </w:rPr>
      </w:pPr>
      <w:r w:rsidRPr="004B0F24">
        <w:rPr>
          <w:rFonts w:eastAsia="Times New Roman" w:cs="Arial"/>
          <w:i/>
          <w:iCs/>
          <w:color w:val="000000"/>
          <w:szCs w:val="20"/>
          <w:lang w:eastAsia="bg-BG"/>
        </w:rPr>
        <w:t>Вазопресорни симпатикомиметици и други вещества (епинефрин), които могат да намалят антихипертензивния ефект на рамиприл (напр. изопротеренол, добутамин, допамин, епинефрин):</w:t>
      </w:r>
      <w:r w:rsidRPr="004B0F24">
        <w:rPr>
          <w:rFonts w:eastAsia="Times New Roman" w:cs="Arial"/>
          <w:color w:val="000000"/>
          <w:szCs w:val="20"/>
          <w:lang w:eastAsia="bg-BG"/>
        </w:rPr>
        <w:t xml:space="preserve"> Препоръчва се мониторираие на кръвното налягане.</w:t>
      </w:r>
    </w:p>
    <w:p w14:paraId="117072DD" w14:textId="77777777" w:rsidR="004B0F24" w:rsidRPr="004B0F24" w:rsidRDefault="004B0F24" w:rsidP="004B0F24">
      <w:pPr>
        <w:spacing w:line="240" w:lineRule="auto"/>
        <w:rPr>
          <w:rFonts w:eastAsia="Times New Roman" w:cs="Arial"/>
          <w:i/>
          <w:iCs/>
          <w:color w:val="000000"/>
          <w:szCs w:val="20"/>
          <w:lang w:eastAsia="bg-BG"/>
        </w:rPr>
      </w:pPr>
    </w:p>
    <w:p w14:paraId="3F0137F2" w14:textId="1613D21D" w:rsidR="004B0F24" w:rsidRPr="004B0F24" w:rsidRDefault="004B0F24" w:rsidP="004B0F24">
      <w:pPr>
        <w:spacing w:line="240" w:lineRule="auto"/>
        <w:rPr>
          <w:rFonts w:eastAsia="Times New Roman" w:cs="Arial"/>
          <w:sz w:val="28"/>
          <w:szCs w:val="24"/>
        </w:rPr>
      </w:pPr>
      <w:r w:rsidRPr="004B0F24">
        <w:rPr>
          <w:rFonts w:eastAsia="Times New Roman" w:cs="Arial"/>
          <w:i/>
          <w:iCs/>
          <w:color w:val="000000"/>
          <w:szCs w:val="20"/>
          <w:lang w:eastAsia="bg-BG"/>
        </w:rPr>
        <w:t>Алопуринол, имуносупресори, кортикостероиди, прокаинамид, цетостатици и други вещества, които могат да променят броя на кръвните клетки:</w:t>
      </w:r>
      <w:r w:rsidRPr="004B0F24">
        <w:rPr>
          <w:rFonts w:eastAsia="Times New Roman" w:cs="Arial"/>
          <w:color w:val="000000"/>
          <w:szCs w:val="20"/>
          <w:lang w:eastAsia="bg-BG"/>
        </w:rPr>
        <w:t xml:space="preserve"> Повишена вероятност от поява на хематологичии реакции (вж. точка 4.4).</w:t>
      </w:r>
    </w:p>
    <w:p w14:paraId="09AA8C23" w14:textId="77777777" w:rsidR="004B0F24" w:rsidRPr="004B0F24" w:rsidRDefault="004B0F24" w:rsidP="004B0F24">
      <w:pPr>
        <w:spacing w:line="240" w:lineRule="auto"/>
        <w:rPr>
          <w:rFonts w:eastAsia="Times New Roman" w:cs="Arial"/>
          <w:i/>
          <w:iCs/>
          <w:color w:val="000000"/>
          <w:szCs w:val="20"/>
          <w:lang w:eastAsia="bg-BG"/>
        </w:rPr>
      </w:pPr>
    </w:p>
    <w:p w14:paraId="2CCC15E8" w14:textId="21F330F9" w:rsidR="004B0F24" w:rsidRPr="004B0F24" w:rsidRDefault="004B0F24" w:rsidP="004B0F24">
      <w:pPr>
        <w:spacing w:line="240" w:lineRule="auto"/>
        <w:rPr>
          <w:rFonts w:eastAsia="Times New Roman" w:cs="Arial"/>
          <w:sz w:val="28"/>
          <w:szCs w:val="24"/>
        </w:rPr>
      </w:pPr>
      <w:r w:rsidRPr="004B0F24">
        <w:rPr>
          <w:rFonts w:eastAsia="Times New Roman" w:cs="Arial"/>
          <w:i/>
          <w:iCs/>
          <w:color w:val="000000"/>
          <w:szCs w:val="20"/>
          <w:lang w:eastAsia="bg-BG"/>
        </w:rPr>
        <w:t>Литиеви соли:</w:t>
      </w:r>
      <w:r w:rsidRPr="004B0F24">
        <w:rPr>
          <w:rFonts w:eastAsia="Times New Roman" w:cs="Arial"/>
          <w:color w:val="000000"/>
          <w:szCs w:val="20"/>
          <w:lang w:eastAsia="bg-BG"/>
        </w:rPr>
        <w:t xml:space="preserve"> Екскрецията на лития може да бъде понижена от АСЕ инхибиторите и поради това токсичността на лития може да се увеличи. Нивата на лития трябва да се проследяват.</w:t>
      </w:r>
    </w:p>
    <w:p w14:paraId="1169A137" w14:textId="77777777" w:rsidR="004B0F24" w:rsidRPr="004B0F24" w:rsidRDefault="004B0F24" w:rsidP="004B0F24">
      <w:pPr>
        <w:rPr>
          <w:rFonts w:eastAsia="Times New Roman" w:cs="Arial"/>
          <w:i/>
          <w:iCs/>
          <w:color w:val="000000"/>
          <w:szCs w:val="20"/>
          <w:lang w:eastAsia="bg-BG"/>
        </w:rPr>
      </w:pPr>
    </w:p>
    <w:p w14:paraId="63BB2034" w14:textId="1C5A68C4" w:rsidR="004B0F24" w:rsidRPr="004B0F24" w:rsidRDefault="004B0F24" w:rsidP="004B0F24">
      <w:pPr>
        <w:rPr>
          <w:rFonts w:eastAsia="Times New Roman" w:cs="Arial"/>
          <w:color w:val="000000"/>
          <w:szCs w:val="20"/>
          <w:lang w:eastAsia="bg-BG"/>
        </w:rPr>
      </w:pPr>
      <w:r w:rsidRPr="004B0F24">
        <w:rPr>
          <w:rFonts w:eastAsia="Times New Roman" w:cs="Arial"/>
          <w:i/>
          <w:iCs/>
          <w:color w:val="000000"/>
          <w:szCs w:val="20"/>
          <w:lang w:eastAsia="bg-BG"/>
        </w:rPr>
        <w:t>Антидиабетни средства, включително инсулин:</w:t>
      </w:r>
      <w:r w:rsidRPr="004B0F24">
        <w:rPr>
          <w:rFonts w:eastAsia="Times New Roman" w:cs="Arial"/>
          <w:color w:val="000000"/>
          <w:szCs w:val="20"/>
          <w:lang w:eastAsia="bg-BG"/>
        </w:rPr>
        <w:t xml:space="preserve"> Могат да възникнат хипогликемични реакции. Препоръчва се проследвянате на нивата на кръвната захар.</w:t>
      </w:r>
    </w:p>
    <w:p w14:paraId="5371DA01" w14:textId="51C5380C" w:rsidR="004B0F24" w:rsidRPr="004B0F24" w:rsidRDefault="004B0F24" w:rsidP="004B0F24">
      <w:pPr>
        <w:rPr>
          <w:rFonts w:eastAsia="Times New Roman" w:cs="Arial"/>
          <w:color w:val="000000"/>
          <w:szCs w:val="20"/>
          <w:lang w:eastAsia="bg-BG"/>
        </w:rPr>
      </w:pPr>
    </w:p>
    <w:p w14:paraId="0E134675" w14:textId="77777777" w:rsidR="004B0F24" w:rsidRPr="004B0F24" w:rsidRDefault="004B0F24" w:rsidP="004B0F24">
      <w:pPr>
        <w:spacing w:line="240" w:lineRule="auto"/>
        <w:rPr>
          <w:rFonts w:eastAsia="Times New Roman" w:cs="Arial"/>
          <w:sz w:val="28"/>
          <w:szCs w:val="24"/>
        </w:rPr>
      </w:pPr>
      <w:r w:rsidRPr="004B0F24">
        <w:rPr>
          <w:rFonts w:eastAsia="Times New Roman" w:cs="Arial"/>
          <w:i/>
          <w:iCs/>
          <w:color w:val="000000"/>
          <w:szCs w:val="20"/>
          <w:lang w:eastAsia="bg-BG"/>
        </w:rPr>
        <w:t>Нестероидни противовъзпалителни средства и ацетилсалицилова киселина:</w:t>
      </w:r>
      <w:r w:rsidRPr="004B0F24">
        <w:rPr>
          <w:rFonts w:eastAsia="Times New Roman" w:cs="Arial"/>
          <w:color w:val="000000"/>
          <w:szCs w:val="20"/>
          <w:lang w:eastAsia="bg-BG"/>
        </w:rPr>
        <w:t xml:space="preserve"> Може да се очаква намаляване на антихипертензивния ефект на рамиприл. В допълнение, съпътстващото лечение с АСЕ инхибитори и НСПВС може да доведе до повишен риск от влошаване на бъбречната функция и да увеличи калиемията.</w:t>
      </w:r>
    </w:p>
    <w:p w14:paraId="2C642561" w14:textId="77777777" w:rsidR="004B0F24" w:rsidRPr="004B0F24" w:rsidRDefault="004B0F24" w:rsidP="004B0F24">
      <w:pPr>
        <w:spacing w:line="240" w:lineRule="auto"/>
        <w:rPr>
          <w:rFonts w:eastAsia="Times New Roman" w:cs="Arial"/>
          <w:i/>
          <w:iCs/>
          <w:color w:val="000000"/>
          <w:szCs w:val="20"/>
          <w:lang w:val="en-US"/>
        </w:rPr>
      </w:pPr>
    </w:p>
    <w:p w14:paraId="1482B9F1" w14:textId="3A1E02F4" w:rsidR="004B0F24" w:rsidRPr="004B0F24" w:rsidRDefault="004B0F24" w:rsidP="004B0F24">
      <w:pPr>
        <w:spacing w:line="240" w:lineRule="auto"/>
        <w:rPr>
          <w:rFonts w:eastAsia="Times New Roman" w:cs="Arial"/>
          <w:sz w:val="28"/>
          <w:szCs w:val="24"/>
        </w:rPr>
      </w:pPr>
      <w:proofErr w:type="spellStart"/>
      <w:proofErr w:type="gramStart"/>
      <w:r w:rsidRPr="004B0F24">
        <w:rPr>
          <w:rFonts w:eastAsia="Times New Roman" w:cs="Arial"/>
          <w:i/>
          <w:iCs/>
          <w:color w:val="000000"/>
          <w:szCs w:val="20"/>
          <w:lang w:val="en-US"/>
        </w:rPr>
        <w:t>mTOR</w:t>
      </w:r>
      <w:proofErr w:type="spellEnd"/>
      <w:proofErr w:type="gramEnd"/>
      <w:r w:rsidRPr="004B0F24">
        <w:rPr>
          <w:rFonts w:eastAsia="Times New Roman" w:cs="Arial"/>
          <w:i/>
          <w:iCs/>
          <w:color w:val="000000"/>
          <w:szCs w:val="20"/>
          <w:lang w:val="ru-RU"/>
        </w:rPr>
        <w:t xml:space="preserve"> </w:t>
      </w:r>
      <w:r w:rsidRPr="004B0F24">
        <w:rPr>
          <w:rFonts w:eastAsia="Times New Roman" w:cs="Arial"/>
          <w:i/>
          <w:iCs/>
          <w:color w:val="000000"/>
          <w:szCs w:val="20"/>
          <w:lang w:eastAsia="bg-BG"/>
        </w:rPr>
        <w:t>инхибитори или вилдаглитпин:</w:t>
      </w:r>
      <w:r w:rsidRPr="004B0F24">
        <w:rPr>
          <w:rFonts w:eastAsia="Times New Roman" w:cs="Arial"/>
          <w:color w:val="000000"/>
          <w:szCs w:val="20"/>
          <w:lang w:eastAsia="bg-BG"/>
        </w:rPr>
        <w:t xml:space="preserve"> Повишен риск от развитие на ангиоедем е възможно при пациенти, приемащи едновременно лекарства като </w:t>
      </w:r>
      <w:proofErr w:type="spellStart"/>
      <w:r w:rsidRPr="004B0F24">
        <w:rPr>
          <w:rFonts w:eastAsia="Times New Roman" w:cs="Arial"/>
          <w:color w:val="000000"/>
          <w:szCs w:val="20"/>
          <w:lang w:val="en-US"/>
        </w:rPr>
        <w:t>mTOR</w:t>
      </w:r>
      <w:proofErr w:type="spellEnd"/>
      <w:r w:rsidRPr="004B0F24">
        <w:rPr>
          <w:rFonts w:eastAsia="Times New Roman" w:cs="Arial"/>
          <w:color w:val="000000"/>
          <w:szCs w:val="20"/>
          <w:lang w:val="ru-RU"/>
        </w:rPr>
        <w:t xml:space="preserve"> </w:t>
      </w:r>
      <w:r w:rsidRPr="004B0F24">
        <w:rPr>
          <w:rFonts w:eastAsia="Times New Roman" w:cs="Arial"/>
          <w:color w:val="000000"/>
          <w:szCs w:val="20"/>
          <w:lang w:eastAsia="bg-BG"/>
        </w:rPr>
        <w:t>инхибитори (напр. темсиролимус, еверолимус, сиролимус) или виддаглиптин. Необходимо е повишено внимание при започване на лечението (вж. точка 4.4).</w:t>
      </w:r>
    </w:p>
    <w:p w14:paraId="6975F722" w14:textId="77777777" w:rsidR="004B0F24" w:rsidRPr="004B0F24" w:rsidRDefault="004B0F24" w:rsidP="004B0F24">
      <w:pPr>
        <w:spacing w:line="240" w:lineRule="auto"/>
        <w:rPr>
          <w:rFonts w:eastAsia="Times New Roman" w:cs="Arial"/>
          <w:i/>
          <w:iCs/>
          <w:color w:val="000000"/>
          <w:szCs w:val="20"/>
          <w:lang w:eastAsia="bg-BG"/>
        </w:rPr>
      </w:pPr>
    </w:p>
    <w:p w14:paraId="7624184E" w14:textId="18FAD2CE" w:rsidR="004B0F24" w:rsidRPr="004B0F24" w:rsidRDefault="004B0F24" w:rsidP="004B0F24">
      <w:pPr>
        <w:spacing w:line="240" w:lineRule="auto"/>
        <w:rPr>
          <w:rFonts w:eastAsia="Times New Roman" w:cs="Arial"/>
          <w:sz w:val="28"/>
          <w:szCs w:val="24"/>
        </w:rPr>
      </w:pPr>
      <w:r w:rsidRPr="004B0F24">
        <w:rPr>
          <w:rFonts w:eastAsia="Times New Roman" w:cs="Arial"/>
          <w:i/>
          <w:iCs/>
          <w:color w:val="000000"/>
          <w:szCs w:val="20"/>
          <w:lang w:eastAsia="bg-BG"/>
        </w:rPr>
        <w:t xml:space="preserve">Неприлизин </w:t>
      </w:r>
      <w:r w:rsidRPr="004B0F24">
        <w:rPr>
          <w:rFonts w:eastAsia="Times New Roman" w:cs="Arial"/>
          <w:i/>
          <w:iCs/>
          <w:color w:val="000000"/>
          <w:szCs w:val="20"/>
          <w:lang w:val="ru-RU"/>
        </w:rPr>
        <w:t>(</w:t>
      </w:r>
      <w:r w:rsidRPr="004B0F24">
        <w:rPr>
          <w:rFonts w:eastAsia="Times New Roman" w:cs="Arial"/>
          <w:i/>
          <w:iCs/>
          <w:color w:val="000000"/>
          <w:szCs w:val="20"/>
          <w:lang w:val="en-US"/>
        </w:rPr>
        <w:t>NEP</w:t>
      </w:r>
      <w:r w:rsidRPr="004B0F24">
        <w:rPr>
          <w:rFonts w:eastAsia="Times New Roman" w:cs="Arial"/>
          <w:i/>
          <w:iCs/>
          <w:color w:val="000000"/>
          <w:szCs w:val="20"/>
          <w:lang w:val="ru-RU"/>
        </w:rPr>
        <w:t xml:space="preserve">) </w:t>
      </w:r>
      <w:r w:rsidRPr="004B0F24">
        <w:rPr>
          <w:rFonts w:eastAsia="Times New Roman" w:cs="Arial"/>
          <w:i/>
          <w:iCs/>
          <w:color w:val="000000"/>
          <w:szCs w:val="20"/>
          <w:lang w:eastAsia="bg-BG"/>
        </w:rPr>
        <w:t>инхибитори:</w:t>
      </w:r>
      <w:r w:rsidRPr="004B0F24">
        <w:rPr>
          <w:rFonts w:eastAsia="Times New Roman" w:cs="Arial"/>
          <w:color w:val="000000"/>
          <w:szCs w:val="20"/>
          <w:lang w:eastAsia="bg-BG"/>
        </w:rPr>
        <w:t xml:space="preserve"> Повишен риск от развитие на ангиоедем е докладван при пациенти, приемащи едновременно АСЕ инхибитори и </w:t>
      </w:r>
      <w:r w:rsidRPr="004B0F24">
        <w:rPr>
          <w:rFonts w:eastAsia="Times New Roman" w:cs="Arial"/>
          <w:color w:val="000000"/>
          <w:szCs w:val="20"/>
          <w:lang w:val="en-US"/>
        </w:rPr>
        <w:t>NEP</w:t>
      </w:r>
      <w:r w:rsidRPr="004B0F24">
        <w:rPr>
          <w:rFonts w:eastAsia="Times New Roman" w:cs="Arial"/>
          <w:color w:val="000000"/>
          <w:szCs w:val="20"/>
          <w:lang w:val="ru-RU"/>
        </w:rPr>
        <w:t xml:space="preserve"> </w:t>
      </w:r>
      <w:r w:rsidRPr="004B0F24">
        <w:rPr>
          <w:rFonts w:eastAsia="Times New Roman" w:cs="Arial"/>
          <w:color w:val="000000"/>
          <w:szCs w:val="20"/>
          <w:lang w:eastAsia="bg-BG"/>
        </w:rPr>
        <w:t>инхибитори като рацекадотрил (вж. точка 4.4).</w:t>
      </w:r>
    </w:p>
    <w:p w14:paraId="4D2DAC8B" w14:textId="77777777" w:rsidR="004B0F24" w:rsidRPr="004B0F24" w:rsidRDefault="004B0F24" w:rsidP="004B0F24">
      <w:pPr>
        <w:spacing w:line="240" w:lineRule="auto"/>
        <w:rPr>
          <w:rFonts w:eastAsia="Times New Roman" w:cs="Arial"/>
          <w:i/>
          <w:iCs/>
          <w:color w:val="000000"/>
          <w:szCs w:val="20"/>
          <w:lang w:eastAsia="bg-BG"/>
        </w:rPr>
      </w:pPr>
    </w:p>
    <w:p w14:paraId="61C56CA8" w14:textId="6D96CC6F" w:rsidR="004B0F24" w:rsidRPr="004B0F24" w:rsidRDefault="004B0F24" w:rsidP="004B0F24">
      <w:pPr>
        <w:spacing w:line="240" w:lineRule="auto"/>
        <w:rPr>
          <w:rFonts w:eastAsia="Times New Roman" w:cs="Arial"/>
          <w:sz w:val="28"/>
          <w:szCs w:val="24"/>
        </w:rPr>
      </w:pPr>
      <w:r w:rsidRPr="004B0F24">
        <w:rPr>
          <w:rFonts w:eastAsia="Times New Roman" w:cs="Arial"/>
          <w:i/>
          <w:iCs/>
          <w:color w:val="000000"/>
          <w:szCs w:val="20"/>
          <w:lang w:eastAsia="bg-BG"/>
        </w:rPr>
        <w:t>Сакубитрил/валсартан</w:t>
      </w:r>
    </w:p>
    <w:p w14:paraId="1603FC7A" w14:textId="6C4131D3" w:rsidR="004B0F24" w:rsidRPr="004B0F24" w:rsidRDefault="004B0F24" w:rsidP="004B0F24">
      <w:pPr>
        <w:rPr>
          <w:rFonts w:eastAsia="Times New Roman" w:cs="Arial"/>
          <w:color w:val="000000"/>
          <w:szCs w:val="20"/>
          <w:lang w:eastAsia="bg-BG"/>
        </w:rPr>
      </w:pPr>
      <w:r w:rsidRPr="004B0F24">
        <w:rPr>
          <w:rFonts w:eastAsia="Times New Roman" w:cs="Arial"/>
          <w:color w:val="000000"/>
          <w:szCs w:val="20"/>
          <w:lang w:eastAsia="bg-BG"/>
        </w:rPr>
        <w:t>Едновременното приложение на АСЕ инхибитори със сакубитрил/валсартан е противопоказано, тъй като това повишава риска от ангиоедем.</w:t>
      </w:r>
    </w:p>
    <w:p w14:paraId="1C2169FC" w14:textId="77777777" w:rsidR="004B0F24" w:rsidRPr="004B0F24" w:rsidRDefault="004B0F24" w:rsidP="004B0F24"/>
    <w:p w14:paraId="006BE4EC" w14:textId="32B16D97" w:rsidR="00DB32D3" w:rsidRDefault="002C50EE" w:rsidP="005726E3">
      <w:pPr>
        <w:pStyle w:val="Heading2"/>
      </w:pPr>
      <w:r>
        <w:t>4.6. Фертилитет, бременност и кърмене</w:t>
      </w:r>
    </w:p>
    <w:p w14:paraId="5BC611AC" w14:textId="58A0C8D4" w:rsidR="004B0F24" w:rsidRDefault="004B0F24" w:rsidP="004B0F24"/>
    <w:p w14:paraId="41353869" w14:textId="77777777" w:rsidR="004B0F24" w:rsidRPr="004B0F24" w:rsidRDefault="004B0F24" w:rsidP="004B0F24">
      <w:pPr>
        <w:pStyle w:val="Heading3"/>
        <w:rPr>
          <w:rFonts w:eastAsia="Times New Roman"/>
          <w:sz w:val="28"/>
          <w:u w:val="single"/>
        </w:rPr>
      </w:pPr>
      <w:r w:rsidRPr="004B0F24">
        <w:rPr>
          <w:rFonts w:eastAsia="Times New Roman"/>
          <w:u w:val="single"/>
          <w:lang w:eastAsia="bg-BG"/>
        </w:rPr>
        <w:t>Бременност</w:t>
      </w:r>
    </w:p>
    <w:p w14:paraId="2B454296" w14:textId="31C1F4E1" w:rsidR="004B0F24" w:rsidRPr="004B0F24" w:rsidRDefault="004B0F24" w:rsidP="004B0F24">
      <w:pPr>
        <w:rPr>
          <w:rFonts w:cs="Arial"/>
          <w:sz w:val="24"/>
        </w:rPr>
      </w:pPr>
    </w:p>
    <w:tbl>
      <w:tblPr>
        <w:tblStyle w:val="TableGrid"/>
        <w:tblW w:w="0" w:type="auto"/>
        <w:tblLook w:val="04A0" w:firstRow="1" w:lastRow="0" w:firstColumn="1" w:lastColumn="0" w:noHBand="0" w:noVBand="1"/>
      </w:tblPr>
      <w:tblGrid>
        <w:gridCol w:w="9350"/>
      </w:tblGrid>
      <w:tr w:rsidR="004B0F24" w:rsidRPr="004B0F24" w14:paraId="2432E838" w14:textId="77777777" w:rsidTr="004B0F24">
        <w:tc>
          <w:tcPr>
            <w:tcW w:w="9576" w:type="dxa"/>
          </w:tcPr>
          <w:p w14:paraId="218C7360" w14:textId="1DF5555C" w:rsidR="004B0F24" w:rsidRPr="004B0F24" w:rsidRDefault="004B0F24" w:rsidP="004B0F24">
            <w:pPr>
              <w:spacing w:line="240" w:lineRule="auto"/>
              <w:rPr>
                <w:rFonts w:eastAsia="Times New Roman" w:cs="Arial"/>
                <w:sz w:val="28"/>
                <w:szCs w:val="24"/>
              </w:rPr>
            </w:pPr>
            <w:r w:rsidRPr="004B0F24">
              <w:rPr>
                <w:rFonts w:eastAsia="Times New Roman" w:cs="Arial"/>
                <w:color w:val="000000"/>
                <w:szCs w:val="20"/>
                <w:lang w:eastAsia="bg-BG"/>
              </w:rPr>
              <w:t>Употребата на АСЕ инхибитори не се препоръчва по време на първия триместьр на бременността (вж. точка 4.4). Употребата на АКЕ инхибитори е противопоказана по време на втория и третия триместьр на бременността (вж. точка 4.3).</w:t>
            </w:r>
          </w:p>
        </w:tc>
      </w:tr>
    </w:tbl>
    <w:p w14:paraId="78DC2251" w14:textId="67D879FE" w:rsidR="004B0F24" w:rsidRPr="004B0F24" w:rsidRDefault="004B0F24" w:rsidP="004B0F24">
      <w:pPr>
        <w:rPr>
          <w:rFonts w:cs="Arial"/>
          <w:sz w:val="24"/>
        </w:rPr>
      </w:pPr>
    </w:p>
    <w:p w14:paraId="527ABA73" w14:textId="77777777" w:rsidR="004B0F24" w:rsidRPr="004B0F24" w:rsidRDefault="004B0F24" w:rsidP="004B0F24">
      <w:pPr>
        <w:spacing w:line="240" w:lineRule="auto"/>
        <w:rPr>
          <w:rFonts w:eastAsia="Times New Roman" w:cs="Arial"/>
          <w:sz w:val="28"/>
          <w:szCs w:val="24"/>
        </w:rPr>
      </w:pPr>
      <w:r w:rsidRPr="004B0F24">
        <w:rPr>
          <w:rFonts w:eastAsia="Times New Roman" w:cs="Arial"/>
          <w:color w:val="000000"/>
          <w:szCs w:val="20"/>
          <w:lang w:eastAsia="bg-BG"/>
        </w:rPr>
        <w:t xml:space="preserve">Епидемиологични данни относно риска от тератогенност след екпозиция на АСЕ инхибитори по време на първия триместьр от бременността не са били убедителни, но </w:t>
      </w:r>
      <w:r w:rsidRPr="004B0F24">
        <w:rPr>
          <w:rFonts w:eastAsia="Times New Roman" w:cs="Arial"/>
          <w:color w:val="000000"/>
          <w:szCs w:val="20"/>
          <w:lang w:eastAsia="bg-BG"/>
        </w:rPr>
        <w:lastRenderedPageBreak/>
        <w:t>леко повишаване на риска не може да бъде изключено. При пациентките планиращи бременност, терапията с АСЕ инхибитори трябва да се замени с алтернативно антихипертензивно лечение, което има установен профил на безопасност при употреба по време на бременност, освен ако не се счита за крайно необходима. При установяване на бременност, лечението с АСЕ инхибитори трябва да бъде спряно незабавно и, ако е уместно, трябва да бъде започната алтернативна терапия.</w:t>
      </w:r>
    </w:p>
    <w:p w14:paraId="494FA54B" w14:textId="77777777" w:rsidR="004B0F24" w:rsidRPr="004B0F24" w:rsidRDefault="004B0F24" w:rsidP="004B0F24">
      <w:pPr>
        <w:spacing w:line="240" w:lineRule="auto"/>
        <w:rPr>
          <w:rFonts w:eastAsia="Times New Roman" w:cs="Arial"/>
          <w:sz w:val="28"/>
          <w:szCs w:val="24"/>
        </w:rPr>
      </w:pPr>
      <w:r w:rsidRPr="004B0F24">
        <w:rPr>
          <w:rFonts w:eastAsia="Times New Roman" w:cs="Arial"/>
          <w:color w:val="000000"/>
          <w:szCs w:val="20"/>
          <w:lang w:eastAsia="bg-BG"/>
        </w:rPr>
        <w:t xml:space="preserve">Известно е, че терапията с АСЕ инхибитор /ангиотензин II рецепторен антагонист </w:t>
      </w:r>
      <w:r w:rsidRPr="004B0F24">
        <w:rPr>
          <w:rFonts w:eastAsia="Times New Roman" w:cs="Arial"/>
          <w:color w:val="000000"/>
          <w:szCs w:val="20"/>
          <w:lang w:val="ru-RU"/>
        </w:rPr>
        <w:t>(</w:t>
      </w:r>
      <w:r w:rsidRPr="004B0F24">
        <w:rPr>
          <w:rFonts w:eastAsia="Times New Roman" w:cs="Arial"/>
          <w:color w:val="000000"/>
          <w:szCs w:val="20"/>
          <w:lang w:val="en-US"/>
        </w:rPr>
        <w:t>AIIRA</w:t>
      </w:r>
      <w:r w:rsidRPr="004B0F24">
        <w:rPr>
          <w:rFonts w:eastAsia="Times New Roman" w:cs="Arial"/>
          <w:color w:val="000000"/>
          <w:szCs w:val="20"/>
          <w:lang w:val="ru-RU"/>
        </w:rPr>
        <w:t xml:space="preserve">) </w:t>
      </w:r>
      <w:r w:rsidRPr="004B0F24">
        <w:rPr>
          <w:rFonts w:eastAsia="Times New Roman" w:cs="Arial"/>
          <w:color w:val="000000"/>
          <w:szCs w:val="20"/>
          <w:lang w:eastAsia="bg-BG"/>
        </w:rPr>
        <w:t>по време на втория и третия триместьр причинява фетотоксичност при хора (намалена бъбречна функция, олигохидрамнион, забавена осификация на черепа) и неонатална токсичност (бъбречна недостатъчност, хипотония, хиперкалиемия) (вж. също 5.3 „Предклинични данни за безопасност”). В случай на експозиция на АСЕ инхибитор през втория триместьр на бременността се препоръчва проверка на бъбречната функция и черепа чрез ултразвук. Новородени, чиито майки са приемали АСЕ инхибитори, трябва да бъдат стриктно наблюдавани за хипотония, олигурия и хиперкалиемия (вж. също точки 4.3 и 4.4).</w:t>
      </w:r>
    </w:p>
    <w:p w14:paraId="4C12A453" w14:textId="77777777" w:rsidR="004B0F24" w:rsidRPr="004B0F24" w:rsidRDefault="004B0F24" w:rsidP="004B0F24">
      <w:pPr>
        <w:spacing w:line="240" w:lineRule="auto"/>
        <w:rPr>
          <w:rFonts w:eastAsia="Times New Roman" w:cs="Arial"/>
          <w:color w:val="000000"/>
          <w:szCs w:val="20"/>
          <w:u w:val="single"/>
          <w:lang w:eastAsia="bg-BG"/>
        </w:rPr>
      </w:pPr>
    </w:p>
    <w:p w14:paraId="0F850E15" w14:textId="28AB3B67" w:rsidR="004B0F24" w:rsidRPr="004B0F24" w:rsidRDefault="004B0F24" w:rsidP="004B0F24">
      <w:pPr>
        <w:pStyle w:val="Heading3"/>
        <w:rPr>
          <w:rFonts w:eastAsia="Times New Roman"/>
          <w:sz w:val="28"/>
          <w:u w:val="single"/>
        </w:rPr>
      </w:pPr>
      <w:r w:rsidRPr="004B0F24">
        <w:rPr>
          <w:rFonts w:eastAsia="Times New Roman"/>
          <w:u w:val="single"/>
          <w:lang w:eastAsia="bg-BG"/>
        </w:rPr>
        <w:t>Кърмене</w:t>
      </w:r>
    </w:p>
    <w:p w14:paraId="7E79FB51" w14:textId="77777777" w:rsidR="004B0F24" w:rsidRPr="004B0F24" w:rsidRDefault="004B0F24" w:rsidP="004B0F24">
      <w:pPr>
        <w:spacing w:line="240" w:lineRule="auto"/>
        <w:rPr>
          <w:rFonts w:ascii="Times New Roman" w:eastAsia="Times New Roman" w:hAnsi="Times New Roman" w:cs="Times New Roman"/>
          <w:sz w:val="24"/>
          <w:szCs w:val="24"/>
        </w:rPr>
      </w:pPr>
      <w:r w:rsidRPr="004B0F24">
        <w:rPr>
          <w:rFonts w:eastAsia="Times New Roman" w:cs="Arial"/>
          <w:color w:val="000000"/>
          <w:szCs w:val="20"/>
          <w:lang w:eastAsia="bg-BG"/>
        </w:rPr>
        <w:t>Поради недостатъчна информация относно употребата на рамиприл по време на кърмене (вж. точка 5.2), за предпочине е алтернативно лечение с по-добре установен профил на безопасност по време на кърмене, особено при кърмене на новородено или недоносено кърмаче.</w:t>
      </w:r>
    </w:p>
    <w:p w14:paraId="76CD01BA" w14:textId="77777777" w:rsidR="004B0F24" w:rsidRPr="004B0F24" w:rsidRDefault="004B0F24" w:rsidP="004B0F24"/>
    <w:p w14:paraId="128BA3A8" w14:textId="7B990EF4" w:rsidR="00DB32D3" w:rsidRDefault="002C50EE" w:rsidP="005726E3">
      <w:pPr>
        <w:pStyle w:val="Heading2"/>
      </w:pPr>
      <w:r>
        <w:t>4.7. Ефекти върху способността за шофиране и работа с машини</w:t>
      </w:r>
    </w:p>
    <w:p w14:paraId="39DF996E" w14:textId="520DF54A" w:rsidR="004B0F24" w:rsidRDefault="004B0F24" w:rsidP="004B0F24"/>
    <w:p w14:paraId="538448CA" w14:textId="77777777" w:rsidR="004B0F24" w:rsidRPr="004B0F24" w:rsidRDefault="004B0F24" w:rsidP="004B0F24">
      <w:pPr>
        <w:rPr>
          <w:sz w:val="24"/>
          <w:szCs w:val="24"/>
        </w:rPr>
      </w:pPr>
      <w:r w:rsidRPr="004B0F24">
        <w:rPr>
          <w:lang w:eastAsia="bg-BG"/>
        </w:rPr>
        <w:t>Някои нежелани ефекти (напр. симптоми на понижаване на кръвното налягане като замайване) могат да нарушат способността на пациента за концентрация и реакция, ето защо представлява риск в ситуации, при които тези способности са от особено значение (напр. шофиране и работа с машини).</w:t>
      </w:r>
    </w:p>
    <w:p w14:paraId="7C87FA09" w14:textId="61074002" w:rsidR="004B0F24" w:rsidRDefault="004B0F24" w:rsidP="004B0F24">
      <w:pPr>
        <w:rPr>
          <w:lang w:eastAsia="bg-BG"/>
        </w:rPr>
      </w:pPr>
      <w:r w:rsidRPr="004B0F24">
        <w:rPr>
          <w:lang w:eastAsia="bg-BG"/>
        </w:rPr>
        <w:t>Това може да се случи особено при начало на лечението или при преминаване от други лекарствени продукти. След първата доза или последващо повишаване на дозата не е препоръчително шофиране или работа с машини за няколко часа.</w:t>
      </w:r>
    </w:p>
    <w:p w14:paraId="6E2F6B35" w14:textId="77777777" w:rsidR="004B0F24" w:rsidRPr="004B0F24" w:rsidRDefault="004B0F24" w:rsidP="004B0F24"/>
    <w:p w14:paraId="44CE30A3" w14:textId="53F0EC4B" w:rsidR="007122AD" w:rsidRDefault="002C50EE" w:rsidP="00936AD0">
      <w:pPr>
        <w:pStyle w:val="Heading2"/>
      </w:pPr>
      <w:r>
        <w:t>4.8. Нежелани лекарствени реакции</w:t>
      </w:r>
    </w:p>
    <w:p w14:paraId="5CA5D5C8" w14:textId="2C30D255" w:rsidR="004B0F24" w:rsidRDefault="004B0F24" w:rsidP="004B0F24"/>
    <w:p w14:paraId="2396969D" w14:textId="77777777" w:rsidR="004B0F24" w:rsidRPr="004B0F24" w:rsidRDefault="004B0F24" w:rsidP="004B0F24">
      <w:pPr>
        <w:spacing w:line="240" w:lineRule="auto"/>
        <w:rPr>
          <w:rFonts w:eastAsia="Times New Roman" w:cs="Arial"/>
          <w:sz w:val="28"/>
          <w:szCs w:val="24"/>
        </w:rPr>
      </w:pPr>
      <w:r w:rsidRPr="004B0F24">
        <w:rPr>
          <w:rFonts w:eastAsia="Times New Roman" w:cs="Arial"/>
          <w:color w:val="000000"/>
          <w:szCs w:val="20"/>
          <w:lang w:eastAsia="bg-BG"/>
        </w:rPr>
        <w:t>Профилът на безопасност на рамиприл включва упорита суха кашлица и реакции, свързани с хипотония. Сериозните нежелани лекарствени реакции, включват ангиоедем, хиперкалиемия, бъбречно или чернодробно увреждане, панкреатит, тежки кожни реакции и неутропения/ агранулоцитоза.</w:t>
      </w:r>
    </w:p>
    <w:p w14:paraId="631CCF23" w14:textId="77777777" w:rsidR="004B0F24" w:rsidRPr="004B0F24" w:rsidRDefault="004B0F24" w:rsidP="004B0F24">
      <w:pPr>
        <w:spacing w:line="240" w:lineRule="auto"/>
        <w:rPr>
          <w:rFonts w:eastAsia="Times New Roman" w:cs="Arial"/>
          <w:sz w:val="28"/>
          <w:szCs w:val="24"/>
        </w:rPr>
      </w:pPr>
      <w:r w:rsidRPr="004B0F24">
        <w:rPr>
          <w:rFonts w:eastAsia="Times New Roman" w:cs="Arial"/>
          <w:color w:val="000000"/>
          <w:szCs w:val="20"/>
          <w:lang w:eastAsia="bg-BG"/>
        </w:rPr>
        <w:t>Честотата на нежеланите реакции се определя, чрез използване на следната конвенция: Много чести (≥ 1/10); чести ((≥1/100 до &lt;1/10); нечести (≥ 1/1000 до &lt; 1/100); редки (≥ 1/10 000 до &lt; 1/1 000); много редки (&lt; 1/10 000), с неизвестна честота (от наличните данни не може да бъде направена оценка).</w:t>
      </w:r>
    </w:p>
    <w:p w14:paraId="63436434" w14:textId="77777777" w:rsidR="004B0F24" w:rsidRPr="004B0F24" w:rsidRDefault="004B0F24" w:rsidP="004B0F24">
      <w:pPr>
        <w:spacing w:line="240" w:lineRule="auto"/>
        <w:rPr>
          <w:rFonts w:eastAsia="Times New Roman" w:cs="Arial"/>
          <w:sz w:val="28"/>
          <w:szCs w:val="24"/>
        </w:rPr>
      </w:pPr>
      <w:r w:rsidRPr="004B0F24">
        <w:rPr>
          <w:rFonts w:eastAsia="Times New Roman" w:cs="Arial"/>
          <w:color w:val="000000"/>
          <w:szCs w:val="20"/>
          <w:lang w:eastAsia="bg-BG"/>
        </w:rPr>
        <w:t>При всяко групиране в зависимост от честотата, нежеланите лекарствени реакции се изброяват в низходящ ред по отношение на тяхната сериозност.</w:t>
      </w:r>
    </w:p>
    <w:p w14:paraId="6801C6F1" w14:textId="04A1B816" w:rsidR="004B0F24" w:rsidRDefault="004B0F24" w:rsidP="004B0F24"/>
    <w:tbl>
      <w:tblPr>
        <w:tblStyle w:val="TableGrid"/>
        <w:tblW w:w="0" w:type="auto"/>
        <w:tblLook w:val="04A0" w:firstRow="1" w:lastRow="0" w:firstColumn="1" w:lastColumn="0" w:noHBand="0" w:noVBand="1"/>
      </w:tblPr>
      <w:tblGrid>
        <w:gridCol w:w="1487"/>
        <w:gridCol w:w="1334"/>
        <w:gridCol w:w="1556"/>
        <w:gridCol w:w="1492"/>
        <w:gridCol w:w="1894"/>
        <w:gridCol w:w="1587"/>
      </w:tblGrid>
      <w:tr w:rsidR="004B0F24" w14:paraId="3A17CAA3" w14:textId="77777777" w:rsidTr="004B0F24">
        <w:tc>
          <w:tcPr>
            <w:tcW w:w="1522" w:type="dxa"/>
          </w:tcPr>
          <w:p w14:paraId="6BD3FEE0" w14:textId="77777777" w:rsidR="004B0F24" w:rsidRPr="004B0F24" w:rsidRDefault="004B0F24" w:rsidP="004B0F24">
            <w:pPr>
              <w:rPr>
                <w:rFonts w:cs="Arial"/>
              </w:rPr>
            </w:pPr>
          </w:p>
        </w:tc>
        <w:tc>
          <w:tcPr>
            <w:tcW w:w="1365" w:type="dxa"/>
          </w:tcPr>
          <w:p w14:paraId="3EE5D5C8" w14:textId="593FC7F0" w:rsidR="004B0F24" w:rsidRPr="004B0F24" w:rsidRDefault="004B0F24" w:rsidP="004B0F24">
            <w:pPr>
              <w:rPr>
                <w:rFonts w:cs="Arial"/>
              </w:rPr>
            </w:pPr>
            <w:r w:rsidRPr="004B0F24">
              <w:rPr>
                <w:rFonts w:cs="Arial"/>
                <w:i/>
                <w:iCs/>
              </w:rPr>
              <w:t>чести</w:t>
            </w:r>
          </w:p>
        </w:tc>
        <w:tc>
          <w:tcPr>
            <w:tcW w:w="1594" w:type="dxa"/>
          </w:tcPr>
          <w:p w14:paraId="12471D9F" w14:textId="7EE637D2" w:rsidR="004B0F24" w:rsidRPr="004B0F24" w:rsidRDefault="004B0F24" w:rsidP="004B0F24">
            <w:pPr>
              <w:rPr>
                <w:rFonts w:cs="Arial"/>
              </w:rPr>
            </w:pPr>
            <w:r w:rsidRPr="004B0F24">
              <w:rPr>
                <w:rFonts w:cs="Arial"/>
                <w:i/>
                <w:iCs/>
              </w:rPr>
              <w:t>нечести</w:t>
            </w:r>
          </w:p>
        </w:tc>
        <w:tc>
          <w:tcPr>
            <w:tcW w:w="1527" w:type="dxa"/>
          </w:tcPr>
          <w:p w14:paraId="4D480692" w14:textId="60F87A3C" w:rsidR="004B0F24" w:rsidRPr="004B0F24" w:rsidRDefault="004B0F24" w:rsidP="004B0F24">
            <w:pPr>
              <w:rPr>
                <w:rFonts w:cs="Arial"/>
              </w:rPr>
            </w:pPr>
            <w:r w:rsidRPr="004B0F24">
              <w:rPr>
                <w:rFonts w:cs="Arial"/>
                <w:i/>
                <w:iCs/>
              </w:rPr>
              <w:t>редки</w:t>
            </w:r>
          </w:p>
        </w:tc>
        <w:tc>
          <w:tcPr>
            <w:tcW w:w="1942" w:type="dxa"/>
          </w:tcPr>
          <w:p w14:paraId="5F30F683" w14:textId="37762EE2" w:rsidR="004B0F24" w:rsidRPr="004B0F24" w:rsidRDefault="004B0F24" w:rsidP="004B0F24">
            <w:pPr>
              <w:rPr>
                <w:rFonts w:cs="Arial"/>
              </w:rPr>
            </w:pPr>
            <w:r w:rsidRPr="004B0F24">
              <w:rPr>
                <w:rFonts w:cs="Arial"/>
                <w:i/>
                <w:iCs/>
              </w:rPr>
              <w:t>много редки</w:t>
            </w:r>
          </w:p>
        </w:tc>
        <w:tc>
          <w:tcPr>
            <w:tcW w:w="1626" w:type="dxa"/>
          </w:tcPr>
          <w:p w14:paraId="4BF15AD5" w14:textId="7BCD0627" w:rsidR="004B0F24" w:rsidRPr="004B0F24" w:rsidRDefault="004B0F24" w:rsidP="004B0F24">
            <w:pPr>
              <w:rPr>
                <w:rFonts w:cs="Arial"/>
              </w:rPr>
            </w:pPr>
            <w:r w:rsidRPr="004B0F24">
              <w:rPr>
                <w:rFonts w:cs="Arial"/>
                <w:i/>
                <w:iCs/>
              </w:rPr>
              <w:t>С неизвестна</w:t>
            </w:r>
          </w:p>
          <w:p w14:paraId="746DF9DF" w14:textId="05368934" w:rsidR="004B0F24" w:rsidRPr="004B0F24" w:rsidRDefault="004B0F24" w:rsidP="004B0F24">
            <w:pPr>
              <w:rPr>
                <w:rFonts w:cs="Arial"/>
              </w:rPr>
            </w:pPr>
            <w:r w:rsidRPr="004B0F24">
              <w:rPr>
                <w:rFonts w:cs="Arial"/>
                <w:i/>
                <w:iCs/>
              </w:rPr>
              <w:t>честота</w:t>
            </w:r>
          </w:p>
        </w:tc>
      </w:tr>
      <w:tr w:rsidR="004B0F24" w14:paraId="7008D838" w14:textId="77777777" w:rsidTr="004B0F24">
        <w:tc>
          <w:tcPr>
            <w:tcW w:w="1522" w:type="dxa"/>
          </w:tcPr>
          <w:p w14:paraId="183A51FB" w14:textId="1BABD93B" w:rsidR="004B0F24" w:rsidRPr="004B0F24" w:rsidRDefault="004B0F24" w:rsidP="004B0F24">
            <w:pPr>
              <w:rPr>
                <w:rFonts w:cs="Arial"/>
              </w:rPr>
            </w:pPr>
            <w:r w:rsidRPr="004B0F24">
              <w:rPr>
                <w:rFonts w:cs="Arial"/>
                <w:i/>
                <w:iCs/>
              </w:rPr>
              <w:lastRenderedPageBreak/>
              <w:t>Нарушения на кръвта и</w:t>
            </w:r>
          </w:p>
          <w:p w14:paraId="3DC594F9" w14:textId="1067C59B" w:rsidR="004B0F24" w:rsidRPr="004B0F24" w:rsidRDefault="004B0F24" w:rsidP="004B0F24">
            <w:pPr>
              <w:rPr>
                <w:rFonts w:cs="Arial"/>
              </w:rPr>
            </w:pPr>
            <w:r w:rsidRPr="004B0F24">
              <w:rPr>
                <w:rFonts w:cs="Arial"/>
                <w:i/>
                <w:iCs/>
              </w:rPr>
              <w:t>лимфната система</w:t>
            </w:r>
          </w:p>
        </w:tc>
        <w:tc>
          <w:tcPr>
            <w:tcW w:w="1365" w:type="dxa"/>
          </w:tcPr>
          <w:p w14:paraId="5FF0F26A" w14:textId="77777777" w:rsidR="004B0F24" w:rsidRPr="004B0F24" w:rsidRDefault="004B0F24" w:rsidP="004B0F24">
            <w:pPr>
              <w:rPr>
                <w:rFonts w:cs="Arial"/>
              </w:rPr>
            </w:pPr>
          </w:p>
        </w:tc>
        <w:tc>
          <w:tcPr>
            <w:tcW w:w="1594" w:type="dxa"/>
          </w:tcPr>
          <w:p w14:paraId="3990C42B" w14:textId="7814805B" w:rsidR="004B0F24" w:rsidRPr="004B0F24" w:rsidRDefault="004B0F24" w:rsidP="004B0F24">
            <w:pPr>
              <w:rPr>
                <w:rFonts w:cs="Arial"/>
              </w:rPr>
            </w:pPr>
            <w:r w:rsidRPr="004B0F24">
              <w:rPr>
                <w:rFonts w:cs="Arial"/>
              </w:rPr>
              <w:t>Еозинофилия</w:t>
            </w:r>
          </w:p>
        </w:tc>
        <w:tc>
          <w:tcPr>
            <w:tcW w:w="1527" w:type="dxa"/>
          </w:tcPr>
          <w:p w14:paraId="458D13FA" w14:textId="159AA861" w:rsidR="004B0F24" w:rsidRPr="004B0F24" w:rsidRDefault="004B0F24" w:rsidP="004B0F24">
            <w:pPr>
              <w:rPr>
                <w:rFonts w:cs="Arial"/>
              </w:rPr>
            </w:pPr>
            <w:r w:rsidRPr="004B0F24">
              <w:rPr>
                <w:rFonts w:cs="Arial"/>
              </w:rPr>
              <w:t>Понижен брой на белите</w:t>
            </w:r>
          </w:p>
          <w:p w14:paraId="01C28289" w14:textId="50442D78" w:rsidR="004B0F24" w:rsidRPr="004B0F24" w:rsidRDefault="004B0F24" w:rsidP="004B0F24">
            <w:pPr>
              <w:rPr>
                <w:rFonts w:cs="Arial"/>
              </w:rPr>
            </w:pPr>
            <w:r w:rsidRPr="004B0F24">
              <w:rPr>
                <w:rFonts w:cs="Arial"/>
              </w:rPr>
              <w:t>кръвни клетки (включително неутропения или агрануло</w:t>
            </w:r>
            <w:r w:rsidRPr="004B0F24">
              <w:rPr>
                <w:rFonts w:cs="Arial"/>
              </w:rPr>
              <w:softHyphen/>
              <w:t>цитоза), понижен брой червени кръвни клетки, намален хемоглобин, намален брой тромбоцити</w:t>
            </w:r>
          </w:p>
        </w:tc>
        <w:tc>
          <w:tcPr>
            <w:tcW w:w="1942" w:type="dxa"/>
          </w:tcPr>
          <w:p w14:paraId="1E167E3D" w14:textId="77777777" w:rsidR="004B0F24" w:rsidRPr="004B0F24" w:rsidRDefault="004B0F24" w:rsidP="004B0F24">
            <w:pPr>
              <w:rPr>
                <w:rFonts w:cs="Arial"/>
              </w:rPr>
            </w:pPr>
          </w:p>
        </w:tc>
        <w:tc>
          <w:tcPr>
            <w:tcW w:w="1626" w:type="dxa"/>
          </w:tcPr>
          <w:p w14:paraId="629131A7" w14:textId="77777777" w:rsidR="004B0F24" w:rsidRPr="004B0F24" w:rsidRDefault="004B0F24" w:rsidP="004B0F24">
            <w:pPr>
              <w:rPr>
                <w:rFonts w:cs="Arial"/>
              </w:rPr>
            </w:pPr>
            <w:r w:rsidRPr="004B0F24">
              <w:rPr>
                <w:rFonts w:cs="Arial"/>
              </w:rPr>
              <w:t>Костно-</w:t>
            </w:r>
            <w:r w:rsidRPr="004B0F24">
              <w:rPr>
                <w:rFonts w:cs="Arial"/>
              </w:rPr>
              <w:tab/>
              <w:t>мозъчна</w:t>
            </w:r>
          </w:p>
          <w:p w14:paraId="5FF5B40A" w14:textId="772AC46F" w:rsidR="004B0F24" w:rsidRPr="004B0F24" w:rsidRDefault="004B0F24" w:rsidP="004B0F24">
            <w:pPr>
              <w:rPr>
                <w:rFonts w:cs="Arial"/>
              </w:rPr>
            </w:pPr>
            <w:r w:rsidRPr="004B0F24">
              <w:rPr>
                <w:rFonts w:cs="Arial"/>
              </w:rPr>
              <w:t>супресия, панцитопения, хемолитична анемия</w:t>
            </w:r>
          </w:p>
        </w:tc>
      </w:tr>
      <w:tr w:rsidR="004B0F24" w14:paraId="4FE277DC" w14:textId="77777777" w:rsidTr="004B0F24">
        <w:tc>
          <w:tcPr>
            <w:tcW w:w="1522" w:type="dxa"/>
          </w:tcPr>
          <w:p w14:paraId="1E5BCE76" w14:textId="3EBEBE53" w:rsidR="004B0F24" w:rsidRPr="004B0F24" w:rsidRDefault="004B0F24" w:rsidP="004B0F24">
            <w:pPr>
              <w:rPr>
                <w:rFonts w:cs="Arial"/>
              </w:rPr>
            </w:pPr>
            <w:r w:rsidRPr="004B0F24">
              <w:rPr>
                <w:rFonts w:cs="Arial"/>
                <w:i/>
                <w:iCs/>
              </w:rPr>
              <w:t>Нарушения на имунната система</w:t>
            </w:r>
          </w:p>
        </w:tc>
        <w:tc>
          <w:tcPr>
            <w:tcW w:w="1365" w:type="dxa"/>
          </w:tcPr>
          <w:p w14:paraId="430C50EB" w14:textId="77777777" w:rsidR="004B0F24" w:rsidRPr="004B0F24" w:rsidRDefault="004B0F24" w:rsidP="004B0F24">
            <w:pPr>
              <w:rPr>
                <w:rFonts w:cs="Arial"/>
              </w:rPr>
            </w:pPr>
          </w:p>
        </w:tc>
        <w:tc>
          <w:tcPr>
            <w:tcW w:w="1594" w:type="dxa"/>
          </w:tcPr>
          <w:p w14:paraId="4A892F39" w14:textId="77777777" w:rsidR="004B0F24" w:rsidRPr="004B0F24" w:rsidRDefault="004B0F24" w:rsidP="004B0F24">
            <w:pPr>
              <w:rPr>
                <w:rFonts w:cs="Arial"/>
              </w:rPr>
            </w:pPr>
          </w:p>
        </w:tc>
        <w:tc>
          <w:tcPr>
            <w:tcW w:w="1527" w:type="dxa"/>
          </w:tcPr>
          <w:p w14:paraId="0BE56E1C" w14:textId="77777777" w:rsidR="004B0F24" w:rsidRPr="004B0F24" w:rsidRDefault="004B0F24" w:rsidP="004B0F24">
            <w:pPr>
              <w:rPr>
                <w:rFonts w:cs="Arial"/>
              </w:rPr>
            </w:pPr>
          </w:p>
        </w:tc>
        <w:tc>
          <w:tcPr>
            <w:tcW w:w="1942" w:type="dxa"/>
          </w:tcPr>
          <w:p w14:paraId="7BBDD7D3" w14:textId="77777777" w:rsidR="004B0F24" w:rsidRPr="004B0F24" w:rsidRDefault="004B0F24" w:rsidP="004B0F24">
            <w:pPr>
              <w:rPr>
                <w:rFonts w:cs="Arial"/>
              </w:rPr>
            </w:pPr>
          </w:p>
        </w:tc>
        <w:tc>
          <w:tcPr>
            <w:tcW w:w="1626" w:type="dxa"/>
          </w:tcPr>
          <w:p w14:paraId="3D0DA793" w14:textId="3698547D" w:rsidR="004B0F24" w:rsidRPr="004B0F24" w:rsidRDefault="004B0F24" w:rsidP="004B0F24">
            <w:pPr>
              <w:rPr>
                <w:rFonts w:cs="Arial"/>
              </w:rPr>
            </w:pPr>
            <w:r w:rsidRPr="004B0F24">
              <w:rPr>
                <w:rFonts w:cs="Arial"/>
              </w:rPr>
              <w:t>Анафилактични или анафилактоидни реакции, повишени антинуклеарни антитела</w:t>
            </w:r>
          </w:p>
        </w:tc>
      </w:tr>
      <w:tr w:rsidR="004B0F24" w14:paraId="1D251569" w14:textId="77777777" w:rsidTr="004B0F24">
        <w:tc>
          <w:tcPr>
            <w:tcW w:w="1522" w:type="dxa"/>
          </w:tcPr>
          <w:p w14:paraId="3E1D1B5F" w14:textId="0CEE0D30" w:rsidR="004B0F24" w:rsidRPr="004B0F24" w:rsidRDefault="004B0F24" w:rsidP="004B0F24">
            <w:pPr>
              <w:rPr>
                <w:rFonts w:cs="Arial"/>
              </w:rPr>
            </w:pPr>
            <w:r w:rsidRPr="004B0F24">
              <w:rPr>
                <w:rFonts w:cs="Arial"/>
                <w:i/>
                <w:iCs/>
              </w:rPr>
              <w:t>Ендокринни нарушения</w:t>
            </w:r>
          </w:p>
        </w:tc>
        <w:tc>
          <w:tcPr>
            <w:tcW w:w="1365" w:type="dxa"/>
          </w:tcPr>
          <w:p w14:paraId="7DAFED4A" w14:textId="77777777" w:rsidR="004B0F24" w:rsidRPr="004B0F24" w:rsidRDefault="004B0F24" w:rsidP="004B0F24">
            <w:pPr>
              <w:rPr>
                <w:rFonts w:cs="Arial"/>
              </w:rPr>
            </w:pPr>
          </w:p>
        </w:tc>
        <w:tc>
          <w:tcPr>
            <w:tcW w:w="1594" w:type="dxa"/>
          </w:tcPr>
          <w:p w14:paraId="612F31A8" w14:textId="77777777" w:rsidR="004B0F24" w:rsidRPr="004B0F24" w:rsidRDefault="004B0F24" w:rsidP="004B0F24">
            <w:pPr>
              <w:rPr>
                <w:rFonts w:cs="Arial"/>
              </w:rPr>
            </w:pPr>
          </w:p>
        </w:tc>
        <w:tc>
          <w:tcPr>
            <w:tcW w:w="1527" w:type="dxa"/>
          </w:tcPr>
          <w:p w14:paraId="6A90EAF2" w14:textId="77777777" w:rsidR="004B0F24" w:rsidRPr="004B0F24" w:rsidRDefault="004B0F24" w:rsidP="004B0F24">
            <w:pPr>
              <w:rPr>
                <w:rFonts w:cs="Arial"/>
              </w:rPr>
            </w:pPr>
          </w:p>
        </w:tc>
        <w:tc>
          <w:tcPr>
            <w:tcW w:w="1942" w:type="dxa"/>
          </w:tcPr>
          <w:p w14:paraId="54923BDA" w14:textId="77777777" w:rsidR="004B0F24" w:rsidRPr="004B0F24" w:rsidRDefault="004B0F24" w:rsidP="004B0F24">
            <w:pPr>
              <w:rPr>
                <w:rFonts w:cs="Arial"/>
              </w:rPr>
            </w:pPr>
          </w:p>
        </w:tc>
        <w:tc>
          <w:tcPr>
            <w:tcW w:w="1626" w:type="dxa"/>
          </w:tcPr>
          <w:p w14:paraId="237CB2BF" w14:textId="77777777" w:rsidR="004B0F24" w:rsidRPr="004B0F24" w:rsidRDefault="004B0F24" w:rsidP="004B0F24">
            <w:pPr>
              <w:rPr>
                <w:rFonts w:cs="Arial"/>
              </w:rPr>
            </w:pPr>
            <w:r w:rsidRPr="004B0F24">
              <w:rPr>
                <w:rFonts w:cs="Arial"/>
              </w:rPr>
              <w:t>Синдром</w:t>
            </w:r>
            <w:r w:rsidRPr="004B0F24">
              <w:rPr>
                <w:rFonts w:cs="Arial"/>
              </w:rPr>
              <w:tab/>
              <w:t>на</w:t>
            </w:r>
          </w:p>
          <w:p w14:paraId="090EF04B" w14:textId="01E207BB" w:rsidR="004B0F24" w:rsidRPr="004B0F24" w:rsidRDefault="004B0F24" w:rsidP="004B0F24">
            <w:pPr>
              <w:rPr>
                <w:rFonts w:cs="Arial"/>
              </w:rPr>
            </w:pPr>
            <w:r w:rsidRPr="004B0F24">
              <w:rPr>
                <w:rFonts w:cs="Arial"/>
              </w:rPr>
              <w:t>неадекватна секреция на антидиуретичен хормон (СНСАДХ)</w:t>
            </w:r>
          </w:p>
        </w:tc>
      </w:tr>
      <w:tr w:rsidR="004B0F24" w14:paraId="6A55F431" w14:textId="77777777" w:rsidTr="004B0F24">
        <w:tc>
          <w:tcPr>
            <w:tcW w:w="1522" w:type="dxa"/>
          </w:tcPr>
          <w:p w14:paraId="32B31E69" w14:textId="5F045F93" w:rsidR="004B0F24" w:rsidRPr="004B0F24" w:rsidRDefault="004B0F24" w:rsidP="004B0F24">
            <w:pPr>
              <w:rPr>
                <w:rFonts w:cs="Arial"/>
              </w:rPr>
            </w:pPr>
            <w:r w:rsidRPr="004B0F24">
              <w:rPr>
                <w:rFonts w:cs="Arial"/>
                <w:i/>
                <w:iCs/>
              </w:rPr>
              <w:t>Нарушения на метаболизма и храненето</w:t>
            </w:r>
          </w:p>
        </w:tc>
        <w:tc>
          <w:tcPr>
            <w:tcW w:w="1365" w:type="dxa"/>
          </w:tcPr>
          <w:p w14:paraId="5DC35485" w14:textId="77777777" w:rsidR="004B0F24" w:rsidRPr="004B0F24" w:rsidRDefault="004B0F24" w:rsidP="004B0F24">
            <w:pPr>
              <w:rPr>
                <w:rFonts w:eastAsia="Times New Roman" w:cs="Arial"/>
              </w:rPr>
            </w:pPr>
            <w:r w:rsidRPr="004B0F24">
              <w:rPr>
                <w:rFonts w:cs="Arial"/>
              </w:rPr>
              <w:t xml:space="preserve">Повишено ниво на </w:t>
            </w:r>
            <w:r w:rsidRPr="004B0F24">
              <w:rPr>
                <w:rFonts w:eastAsia="Times New Roman" w:cs="Arial"/>
                <w:color w:val="000000"/>
                <w:lang w:eastAsia="bg-BG"/>
              </w:rPr>
              <w:t>калий</w:t>
            </w:r>
            <w:r w:rsidRPr="004B0F24">
              <w:rPr>
                <w:rFonts w:eastAsia="Times New Roman" w:cs="Arial"/>
                <w:color w:val="000000"/>
                <w:lang w:eastAsia="bg-BG"/>
              </w:rPr>
              <w:tab/>
              <w:t>в</w:t>
            </w:r>
          </w:p>
          <w:p w14:paraId="1CA25DA4" w14:textId="298E4ACF" w:rsidR="004B0F24" w:rsidRPr="004B0F24" w:rsidRDefault="004B0F24" w:rsidP="004B0F24">
            <w:pPr>
              <w:rPr>
                <w:rFonts w:cs="Arial"/>
              </w:rPr>
            </w:pPr>
            <w:r w:rsidRPr="004B0F24">
              <w:rPr>
                <w:rFonts w:eastAsia="Times New Roman" w:cs="Arial"/>
                <w:color w:val="000000"/>
                <w:lang w:eastAsia="bg-BG"/>
              </w:rPr>
              <w:t>кръвта</w:t>
            </w:r>
          </w:p>
        </w:tc>
        <w:tc>
          <w:tcPr>
            <w:tcW w:w="1594" w:type="dxa"/>
          </w:tcPr>
          <w:p w14:paraId="1BEF1899" w14:textId="11845853" w:rsidR="004B0F24" w:rsidRPr="004B0F24" w:rsidRDefault="004B0F24" w:rsidP="004B0F24">
            <w:pPr>
              <w:rPr>
                <w:rFonts w:cs="Arial"/>
              </w:rPr>
            </w:pPr>
            <w:r w:rsidRPr="004B0F24">
              <w:rPr>
                <w:rFonts w:cs="Arial"/>
              </w:rPr>
              <w:t>Анорексия, понижен апетит</w:t>
            </w:r>
          </w:p>
        </w:tc>
        <w:tc>
          <w:tcPr>
            <w:tcW w:w="1527" w:type="dxa"/>
          </w:tcPr>
          <w:p w14:paraId="3E8F6C04" w14:textId="77777777" w:rsidR="004B0F24" w:rsidRPr="004B0F24" w:rsidRDefault="004B0F24" w:rsidP="004B0F24">
            <w:pPr>
              <w:rPr>
                <w:rFonts w:cs="Arial"/>
              </w:rPr>
            </w:pPr>
          </w:p>
        </w:tc>
        <w:tc>
          <w:tcPr>
            <w:tcW w:w="1942" w:type="dxa"/>
          </w:tcPr>
          <w:p w14:paraId="1F2FA567" w14:textId="77777777" w:rsidR="004B0F24" w:rsidRPr="004B0F24" w:rsidRDefault="004B0F24" w:rsidP="004B0F24">
            <w:pPr>
              <w:rPr>
                <w:rFonts w:cs="Arial"/>
              </w:rPr>
            </w:pPr>
          </w:p>
        </w:tc>
        <w:tc>
          <w:tcPr>
            <w:tcW w:w="1626" w:type="dxa"/>
          </w:tcPr>
          <w:p w14:paraId="01E932FE" w14:textId="2790BC74" w:rsidR="004B0F24" w:rsidRPr="004B0F24" w:rsidRDefault="004B0F24" w:rsidP="004B0F24">
            <w:pPr>
              <w:rPr>
                <w:rFonts w:cs="Arial"/>
              </w:rPr>
            </w:pPr>
            <w:r w:rsidRPr="004B0F24">
              <w:rPr>
                <w:rFonts w:cs="Arial"/>
              </w:rPr>
              <w:t>Понижено ниво на натрия в кръвта</w:t>
            </w:r>
          </w:p>
        </w:tc>
      </w:tr>
      <w:tr w:rsidR="004B0F24" w14:paraId="51CF40C3" w14:textId="77777777" w:rsidTr="004B0F24">
        <w:tc>
          <w:tcPr>
            <w:tcW w:w="1522" w:type="dxa"/>
          </w:tcPr>
          <w:p w14:paraId="7E85E54C" w14:textId="1F564131" w:rsidR="004B0F24" w:rsidRPr="004B0F24" w:rsidRDefault="004B0F24" w:rsidP="004B0F24">
            <w:pPr>
              <w:rPr>
                <w:rFonts w:cs="Arial"/>
              </w:rPr>
            </w:pPr>
            <w:r w:rsidRPr="004B0F24">
              <w:rPr>
                <w:rFonts w:cs="Arial"/>
                <w:i/>
                <w:iCs/>
              </w:rPr>
              <w:t>Психични нарушения</w:t>
            </w:r>
          </w:p>
        </w:tc>
        <w:tc>
          <w:tcPr>
            <w:tcW w:w="1365" w:type="dxa"/>
          </w:tcPr>
          <w:p w14:paraId="71BAA239" w14:textId="77777777" w:rsidR="004B0F24" w:rsidRPr="004B0F24" w:rsidRDefault="004B0F24" w:rsidP="004B0F24">
            <w:pPr>
              <w:rPr>
                <w:rFonts w:cs="Arial"/>
              </w:rPr>
            </w:pPr>
          </w:p>
        </w:tc>
        <w:tc>
          <w:tcPr>
            <w:tcW w:w="1594" w:type="dxa"/>
          </w:tcPr>
          <w:p w14:paraId="1FEE4A3D" w14:textId="4B0FA594" w:rsidR="004B0F24" w:rsidRPr="004B0F24" w:rsidRDefault="004B0F24" w:rsidP="004B0F24">
            <w:pPr>
              <w:rPr>
                <w:rFonts w:cs="Arial"/>
              </w:rPr>
            </w:pPr>
            <w:r w:rsidRPr="004B0F24">
              <w:rPr>
                <w:rFonts w:cs="Arial"/>
              </w:rPr>
              <w:t xml:space="preserve">Понижено настроение, тревожност, нервност, безпокойство, нарушение </w:t>
            </w:r>
            <w:r w:rsidRPr="004B0F24">
              <w:rPr>
                <w:rFonts w:cs="Arial"/>
              </w:rPr>
              <w:lastRenderedPageBreak/>
              <w:t>на съня, включително сънливост</w:t>
            </w:r>
          </w:p>
        </w:tc>
        <w:tc>
          <w:tcPr>
            <w:tcW w:w="1527" w:type="dxa"/>
          </w:tcPr>
          <w:p w14:paraId="13A2BE6F" w14:textId="3250021F" w:rsidR="004B0F24" w:rsidRPr="004B0F24" w:rsidRDefault="004B0F24" w:rsidP="004B0F24">
            <w:pPr>
              <w:rPr>
                <w:rFonts w:cs="Arial"/>
              </w:rPr>
            </w:pPr>
            <w:r w:rsidRPr="004B0F24">
              <w:rPr>
                <w:rFonts w:cs="Arial"/>
              </w:rPr>
              <w:lastRenderedPageBreak/>
              <w:t>Състояние на обърканост</w:t>
            </w:r>
          </w:p>
        </w:tc>
        <w:tc>
          <w:tcPr>
            <w:tcW w:w="1942" w:type="dxa"/>
          </w:tcPr>
          <w:p w14:paraId="65706B9C" w14:textId="77777777" w:rsidR="004B0F24" w:rsidRPr="004B0F24" w:rsidRDefault="004B0F24" w:rsidP="004B0F24">
            <w:pPr>
              <w:rPr>
                <w:rFonts w:cs="Arial"/>
              </w:rPr>
            </w:pPr>
          </w:p>
        </w:tc>
        <w:tc>
          <w:tcPr>
            <w:tcW w:w="1626" w:type="dxa"/>
          </w:tcPr>
          <w:p w14:paraId="24DD1DDC" w14:textId="426E338E" w:rsidR="004B0F24" w:rsidRPr="004B0F24" w:rsidRDefault="004B0F24" w:rsidP="004B0F24">
            <w:pPr>
              <w:rPr>
                <w:rFonts w:cs="Arial"/>
              </w:rPr>
            </w:pPr>
            <w:r w:rsidRPr="004B0F24">
              <w:rPr>
                <w:rFonts w:cs="Arial"/>
              </w:rPr>
              <w:t>Нарушено внимание</w:t>
            </w:r>
          </w:p>
        </w:tc>
      </w:tr>
      <w:tr w:rsidR="004B0F24" w14:paraId="6B35683C" w14:textId="77777777" w:rsidTr="004B0F24">
        <w:tc>
          <w:tcPr>
            <w:tcW w:w="1522" w:type="dxa"/>
          </w:tcPr>
          <w:p w14:paraId="16F44964" w14:textId="18BCB5B1" w:rsidR="004B0F24" w:rsidRPr="004B0F24" w:rsidRDefault="004B0F24" w:rsidP="004B0F24">
            <w:pPr>
              <w:rPr>
                <w:rFonts w:cs="Arial"/>
              </w:rPr>
            </w:pPr>
            <w:r w:rsidRPr="004B0F24">
              <w:rPr>
                <w:rFonts w:cs="Arial"/>
                <w:i/>
                <w:iCs/>
              </w:rPr>
              <w:t>Нарушения на нервната система</w:t>
            </w:r>
          </w:p>
        </w:tc>
        <w:tc>
          <w:tcPr>
            <w:tcW w:w="1365" w:type="dxa"/>
          </w:tcPr>
          <w:p w14:paraId="34B03EEC" w14:textId="1A92F862" w:rsidR="004B0F24" w:rsidRPr="004B0F24" w:rsidRDefault="004B0F24" w:rsidP="004B0F24">
            <w:pPr>
              <w:rPr>
                <w:rFonts w:cs="Arial"/>
              </w:rPr>
            </w:pPr>
            <w:r w:rsidRPr="004B0F24">
              <w:rPr>
                <w:rFonts w:cs="Arial"/>
              </w:rPr>
              <w:t>Главоболие, замайване</w:t>
            </w:r>
          </w:p>
        </w:tc>
        <w:tc>
          <w:tcPr>
            <w:tcW w:w="1594" w:type="dxa"/>
          </w:tcPr>
          <w:p w14:paraId="686AA30C" w14:textId="134F7A1B" w:rsidR="004B0F24" w:rsidRPr="004B0F24" w:rsidRDefault="004B0F24" w:rsidP="004B0F24">
            <w:pPr>
              <w:rPr>
                <w:rFonts w:cs="Arial"/>
              </w:rPr>
            </w:pPr>
            <w:r w:rsidRPr="004B0F24">
              <w:rPr>
                <w:rFonts w:cs="Arial"/>
              </w:rPr>
              <w:t>Световъртеж, парестезия, агеузия, дисгецзия</w:t>
            </w:r>
          </w:p>
        </w:tc>
        <w:tc>
          <w:tcPr>
            <w:tcW w:w="1527" w:type="dxa"/>
          </w:tcPr>
          <w:p w14:paraId="5DFDEFDB" w14:textId="6B0C219E" w:rsidR="004B0F24" w:rsidRPr="004B0F24" w:rsidRDefault="004B0F24" w:rsidP="004B0F24">
            <w:pPr>
              <w:rPr>
                <w:rFonts w:cs="Arial"/>
              </w:rPr>
            </w:pPr>
            <w:r w:rsidRPr="004B0F24">
              <w:rPr>
                <w:rFonts w:cs="Arial"/>
              </w:rPr>
              <w:t>Тремор, нарушено равновесие</w:t>
            </w:r>
          </w:p>
        </w:tc>
        <w:tc>
          <w:tcPr>
            <w:tcW w:w="1942" w:type="dxa"/>
          </w:tcPr>
          <w:p w14:paraId="71E77EFF" w14:textId="77777777" w:rsidR="004B0F24" w:rsidRPr="004B0F24" w:rsidRDefault="004B0F24" w:rsidP="004B0F24">
            <w:pPr>
              <w:rPr>
                <w:rFonts w:cs="Arial"/>
              </w:rPr>
            </w:pPr>
          </w:p>
        </w:tc>
        <w:tc>
          <w:tcPr>
            <w:tcW w:w="1626" w:type="dxa"/>
            <w:vAlign w:val="bottom"/>
          </w:tcPr>
          <w:p w14:paraId="58FFDFB1" w14:textId="4B7292FF" w:rsidR="004B0F24" w:rsidRPr="004B0F24" w:rsidRDefault="004B0F24" w:rsidP="004B0F24">
            <w:pPr>
              <w:rPr>
                <w:rFonts w:cs="Arial"/>
              </w:rPr>
            </w:pPr>
            <w:r w:rsidRPr="004B0F24">
              <w:rPr>
                <w:rFonts w:cs="Arial"/>
              </w:rPr>
              <w:t>Мозъчна исхемия, включително исхемичен инсулт и транзиторна исхемична атака, психомоторни нарушения, усещане за парене, паросмия</w:t>
            </w:r>
          </w:p>
        </w:tc>
      </w:tr>
      <w:tr w:rsidR="004B0F24" w14:paraId="7C80B74F" w14:textId="77777777" w:rsidTr="004B0F24">
        <w:tc>
          <w:tcPr>
            <w:tcW w:w="1522" w:type="dxa"/>
          </w:tcPr>
          <w:p w14:paraId="7AECA4F4" w14:textId="057E305C" w:rsidR="004B0F24" w:rsidRPr="004B0F24" w:rsidRDefault="004B0F24" w:rsidP="004B0F24">
            <w:pPr>
              <w:rPr>
                <w:rFonts w:cs="Arial"/>
              </w:rPr>
            </w:pPr>
            <w:r w:rsidRPr="004B0F24">
              <w:rPr>
                <w:rFonts w:cs="Arial"/>
                <w:i/>
                <w:iCs/>
              </w:rPr>
              <w:t>Нарушения на очите</w:t>
            </w:r>
          </w:p>
        </w:tc>
        <w:tc>
          <w:tcPr>
            <w:tcW w:w="1365" w:type="dxa"/>
          </w:tcPr>
          <w:p w14:paraId="638118DA" w14:textId="77777777" w:rsidR="004B0F24" w:rsidRPr="004B0F24" w:rsidRDefault="004B0F24" w:rsidP="004B0F24">
            <w:pPr>
              <w:rPr>
                <w:rFonts w:cs="Arial"/>
              </w:rPr>
            </w:pPr>
          </w:p>
        </w:tc>
        <w:tc>
          <w:tcPr>
            <w:tcW w:w="1594" w:type="dxa"/>
            <w:vAlign w:val="bottom"/>
          </w:tcPr>
          <w:p w14:paraId="6AA358E8" w14:textId="5511E63A" w:rsidR="004B0F24" w:rsidRPr="004B0F24" w:rsidRDefault="004B0F24" w:rsidP="004B0F24">
            <w:pPr>
              <w:rPr>
                <w:rFonts w:cs="Arial"/>
              </w:rPr>
            </w:pPr>
            <w:r w:rsidRPr="004B0F24">
              <w:rPr>
                <w:rFonts w:cs="Arial"/>
              </w:rPr>
              <w:t>Зрителни смущения, включително замъглено виждане</w:t>
            </w:r>
          </w:p>
        </w:tc>
        <w:tc>
          <w:tcPr>
            <w:tcW w:w="1527" w:type="dxa"/>
          </w:tcPr>
          <w:p w14:paraId="1796A3D6" w14:textId="2ABA30BD" w:rsidR="004B0F24" w:rsidRPr="004B0F24" w:rsidRDefault="004B0F24" w:rsidP="004B0F24">
            <w:pPr>
              <w:rPr>
                <w:rFonts w:cs="Arial"/>
              </w:rPr>
            </w:pPr>
            <w:r w:rsidRPr="004B0F24">
              <w:rPr>
                <w:rFonts w:cs="Arial"/>
              </w:rPr>
              <w:t>Конюнктивит</w:t>
            </w:r>
          </w:p>
        </w:tc>
        <w:tc>
          <w:tcPr>
            <w:tcW w:w="1942" w:type="dxa"/>
          </w:tcPr>
          <w:p w14:paraId="0917FD45" w14:textId="77777777" w:rsidR="004B0F24" w:rsidRPr="004B0F24" w:rsidRDefault="004B0F24" w:rsidP="004B0F24">
            <w:pPr>
              <w:rPr>
                <w:rFonts w:cs="Arial"/>
              </w:rPr>
            </w:pPr>
          </w:p>
        </w:tc>
        <w:tc>
          <w:tcPr>
            <w:tcW w:w="1626" w:type="dxa"/>
          </w:tcPr>
          <w:p w14:paraId="785C0034" w14:textId="77777777" w:rsidR="004B0F24" w:rsidRPr="004B0F24" w:rsidRDefault="004B0F24" w:rsidP="004B0F24">
            <w:pPr>
              <w:rPr>
                <w:rFonts w:cs="Arial"/>
              </w:rPr>
            </w:pPr>
          </w:p>
        </w:tc>
      </w:tr>
      <w:tr w:rsidR="004B0F24" w14:paraId="06B17F34" w14:textId="77777777" w:rsidTr="004B0F24">
        <w:tc>
          <w:tcPr>
            <w:tcW w:w="1522" w:type="dxa"/>
            <w:vAlign w:val="bottom"/>
          </w:tcPr>
          <w:p w14:paraId="43EC8B31" w14:textId="77777777" w:rsidR="004B0F24" w:rsidRPr="004B0F24" w:rsidRDefault="004B0F24" w:rsidP="004B0F24">
            <w:pPr>
              <w:rPr>
                <w:rFonts w:cs="Arial"/>
              </w:rPr>
            </w:pPr>
            <w:r w:rsidRPr="004B0F24">
              <w:rPr>
                <w:rFonts w:cs="Arial"/>
                <w:i/>
                <w:iCs/>
              </w:rPr>
              <w:t>Нарушения на ухото</w:t>
            </w:r>
            <w:r w:rsidRPr="004B0F24">
              <w:rPr>
                <w:rFonts w:cs="Arial"/>
                <w:i/>
                <w:iCs/>
              </w:rPr>
              <w:tab/>
              <w:t>и</w:t>
            </w:r>
          </w:p>
          <w:p w14:paraId="71054B9B" w14:textId="64A4AA0B" w:rsidR="004B0F24" w:rsidRPr="004B0F24" w:rsidRDefault="004B0F24" w:rsidP="004B0F24">
            <w:pPr>
              <w:rPr>
                <w:rFonts w:cs="Arial"/>
              </w:rPr>
            </w:pPr>
            <w:r w:rsidRPr="004B0F24">
              <w:rPr>
                <w:rFonts w:cs="Arial"/>
                <w:i/>
                <w:iCs/>
              </w:rPr>
              <w:t>лабиринта</w:t>
            </w:r>
          </w:p>
        </w:tc>
        <w:tc>
          <w:tcPr>
            <w:tcW w:w="1365" w:type="dxa"/>
          </w:tcPr>
          <w:p w14:paraId="73326786" w14:textId="77777777" w:rsidR="004B0F24" w:rsidRPr="004B0F24" w:rsidRDefault="004B0F24" w:rsidP="004B0F24">
            <w:pPr>
              <w:rPr>
                <w:rFonts w:cs="Arial"/>
              </w:rPr>
            </w:pPr>
          </w:p>
        </w:tc>
        <w:tc>
          <w:tcPr>
            <w:tcW w:w="1594" w:type="dxa"/>
          </w:tcPr>
          <w:p w14:paraId="6FBA875F" w14:textId="77777777" w:rsidR="004B0F24" w:rsidRPr="004B0F24" w:rsidRDefault="004B0F24" w:rsidP="004B0F24">
            <w:pPr>
              <w:rPr>
                <w:rFonts w:cs="Arial"/>
              </w:rPr>
            </w:pPr>
          </w:p>
        </w:tc>
        <w:tc>
          <w:tcPr>
            <w:tcW w:w="1527" w:type="dxa"/>
          </w:tcPr>
          <w:p w14:paraId="61E845EA" w14:textId="1C1C60A2" w:rsidR="004B0F24" w:rsidRPr="004B0F24" w:rsidRDefault="004B0F24" w:rsidP="004B0F24">
            <w:pPr>
              <w:rPr>
                <w:rFonts w:cs="Arial"/>
              </w:rPr>
            </w:pPr>
            <w:r w:rsidRPr="004B0F24">
              <w:rPr>
                <w:rFonts w:cs="Arial"/>
              </w:rPr>
              <w:t>Увреждане на слуха, тинитус</w:t>
            </w:r>
          </w:p>
        </w:tc>
        <w:tc>
          <w:tcPr>
            <w:tcW w:w="1942" w:type="dxa"/>
          </w:tcPr>
          <w:p w14:paraId="26CF0C55" w14:textId="77777777" w:rsidR="004B0F24" w:rsidRPr="004B0F24" w:rsidRDefault="004B0F24" w:rsidP="004B0F24">
            <w:pPr>
              <w:rPr>
                <w:rFonts w:cs="Arial"/>
              </w:rPr>
            </w:pPr>
          </w:p>
        </w:tc>
        <w:tc>
          <w:tcPr>
            <w:tcW w:w="1626" w:type="dxa"/>
          </w:tcPr>
          <w:p w14:paraId="7018E90D" w14:textId="77777777" w:rsidR="004B0F24" w:rsidRPr="004B0F24" w:rsidRDefault="004B0F24" w:rsidP="004B0F24">
            <w:pPr>
              <w:rPr>
                <w:rFonts w:cs="Arial"/>
              </w:rPr>
            </w:pPr>
          </w:p>
        </w:tc>
      </w:tr>
      <w:tr w:rsidR="004B0F24" w14:paraId="58C39E60" w14:textId="77777777" w:rsidTr="004B0F24">
        <w:tc>
          <w:tcPr>
            <w:tcW w:w="1522" w:type="dxa"/>
          </w:tcPr>
          <w:p w14:paraId="62699B85" w14:textId="07B3EB44" w:rsidR="004B0F24" w:rsidRPr="004B0F24" w:rsidRDefault="004B0F24" w:rsidP="004B0F24">
            <w:pPr>
              <w:rPr>
                <w:rFonts w:cs="Arial"/>
              </w:rPr>
            </w:pPr>
            <w:r w:rsidRPr="004B0F24">
              <w:rPr>
                <w:rFonts w:cs="Arial"/>
                <w:i/>
                <w:iCs/>
              </w:rPr>
              <w:t>Сърдечни нарушения</w:t>
            </w:r>
          </w:p>
        </w:tc>
        <w:tc>
          <w:tcPr>
            <w:tcW w:w="1365" w:type="dxa"/>
          </w:tcPr>
          <w:p w14:paraId="08802EE9" w14:textId="77777777" w:rsidR="004B0F24" w:rsidRPr="004B0F24" w:rsidRDefault="004B0F24" w:rsidP="004B0F24">
            <w:pPr>
              <w:rPr>
                <w:rFonts w:cs="Arial"/>
              </w:rPr>
            </w:pPr>
          </w:p>
        </w:tc>
        <w:tc>
          <w:tcPr>
            <w:tcW w:w="1594" w:type="dxa"/>
            <w:vAlign w:val="bottom"/>
          </w:tcPr>
          <w:p w14:paraId="38946235" w14:textId="1C553CF6" w:rsidR="004B0F24" w:rsidRPr="004B0F24" w:rsidRDefault="004B0F24" w:rsidP="004B0F24">
            <w:pPr>
              <w:rPr>
                <w:rFonts w:cs="Arial"/>
              </w:rPr>
            </w:pPr>
            <w:r w:rsidRPr="004B0F24">
              <w:rPr>
                <w:rFonts w:cs="Arial"/>
              </w:rPr>
              <w:t>Миокардна исхемия, включително ангина пекторис или миокарден инфаркт, тахикардия, аритмия, палпитации, периферен едем</w:t>
            </w:r>
          </w:p>
        </w:tc>
        <w:tc>
          <w:tcPr>
            <w:tcW w:w="1527" w:type="dxa"/>
          </w:tcPr>
          <w:p w14:paraId="2F88629F" w14:textId="77777777" w:rsidR="004B0F24" w:rsidRPr="004B0F24" w:rsidRDefault="004B0F24" w:rsidP="004B0F24">
            <w:pPr>
              <w:rPr>
                <w:rFonts w:cs="Arial"/>
              </w:rPr>
            </w:pPr>
          </w:p>
        </w:tc>
        <w:tc>
          <w:tcPr>
            <w:tcW w:w="1942" w:type="dxa"/>
          </w:tcPr>
          <w:p w14:paraId="1E3C3FA9" w14:textId="77777777" w:rsidR="004B0F24" w:rsidRPr="004B0F24" w:rsidRDefault="004B0F24" w:rsidP="004B0F24">
            <w:pPr>
              <w:rPr>
                <w:rFonts w:cs="Arial"/>
              </w:rPr>
            </w:pPr>
          </w:p>
        </w:tc>
        <w:tc>
          <w:tcPr>
            <w:tcW w:w="1626" w:type="dxa"/>
          </w:tcPr>
          <w:p w14:paraId="0862FE54" w14:textId="77777777" w:rsidR="004B0F24" w:rsidRPr="004B0F24" w:rsidRDefault="004B0F24" w:rsidP="004B0F24">
            <w:pPr>
              <w:rPr>
                <w:rFonts w:cs="Arial"/>
              </w:rPr>
            </w:pPr>
          </w:p>
        </w:tc>
      </w:tr>
      <w:tr w:rsidR="004B0F24" w14:paraId="329D0CEA" w14:textId="77777777" w:rsidTr="004B0F24">
        <w:tc>
          <w:tcPr>
            <w:tcW w:w="1522" w:type="dxa"/>
          </w:tcPr>
          <w:p w14:paraId="639FBC1D" w14:textId="0D10781F" w:rsidR="004B0F24" w:rsidRPr="004B0F24" w:rsidRDefault="004B0F24" w:rsidP="004B0F24">
            <w:pPr>
              <w:rPr>
                <w:rFonts w:cs="Arial"/>
              </w:rPr>
            </w:pPr>
            <w:r w:rsidRPr="004B0F24">
              <w:rPr>
                <w:rFonts w:cs="Arial"/>
                <w:i/>
                <w:iCs/>
              </w:rPr>
              <w:t>Съдови нарушения</w:t>
            </w:r>
          </w:p>
        </w:tc>
        <w:tc>
          <w:tcPr>
            <w:tcW w:w="1365" w:type="dxa"/>
          </w:tcPr>
          <w:p w14:paraId="02008C51" w14:textId="4BDCED11" w:rsidR="004B0F24" w:rsidRPr="004B0F24" w:rsidRDefault="004B0F24" w:rsidP="004B0F24">
            <w:pPr>
              <w:rPr>
                <w:rFonts w:cs="Arial"/>
              </w:rPr>
            </w:pPr>
            <w:r w:rsidRPr="004B0F24">
              <w:rPr>
                <w:rFonts w:cs="Arial"/>
              </w:rPr>
              <w:t>Хипотония, ортостатизъм , синкоп</w:t>
            </w:r>
          </w:p>
        </w:tc>
        <w:tc>
          <w:tcPr>
            <w:tcW w:w="1594" w:type="dxa"/>
          </w:tcPr>
          <w:p w14:paraId="6A13A27D" w14:textId="757F7AAB" w:rsidR="004B0F24" w:rsidRPr="004B0F24" w:rsidRDefault="004B0F24" w:rsidP="004B0F24">
            <w:pPr>
              <w:rPr>
                <w:rFonts w:cs="Arial"/>
              </w:rPr>
            </w:pPr>
            <w:r w:rsidRPr="004B0F24">
              <w:rPr>
                <w:rFonts w:cs="Arial"/>
              </w:rPr>
              <w:t>зачервяване</w:t>
            </w:r>
          </w:p>
        </w:tc>
        <w:tc>
          <w:tcPr>
            <w:tcW w:w="1527" w:type="dxa"/>
            <w:vAlign w:val="bottom"/>
          </w:tcPr>
          <w:p w14:paraId="0E4D95EB" w14:textId="3691D5A0" w:rsidR="004B0F24" w:rsidRPr="004B0F24" w:rsidRDefault="004B0F24" w:rsidP="004B0F24">
            <w:pPr>
              <w:rPr>
                <w:rFonts w:cs="Arial"/>
              </w:rPr>
            </w:pPr>
            <w:r w:rsidRPr="004B0F24">
              <w:rPr>
                <w:rFonts w:cs="Arial"/>
              </w:rPr>
              <w:t>Стесняване на съдовете, хипоперфузия, васкулит</w:t>
            </w:r>
          </w:p>
        </w:tc>
        <w:tc>
          <w:tcPr>
            <w:tcW w:w="1942" w:type="dxa"/>
          </w:tcPr>
          <w:p w14:paraId="517D1031" w14:textId="77777777" w:rsidR="004B0F24" w:rsidRPr="004B0F24" w:rsidRDefault="004B0F24" w:rsidP="004B0F24">
            <w:pPr>
              <w:rPr>
                <w:rFonts w:cs="Arial"/>
              </w:rPr>
            </w:pPr>
          </w:p>
        </w:tc>
        <w:tc>
          <w:tcPr>
            <w:tcW w:w="1626" w:type="dxa"/>
          </w:tcPr>
          <w:p w14:paraId="45E30E01" w14:textId="13BD3D5C" w:rsidR="004B0F24" w:rsidRPr="004B0F24" w:rsidRDefault="004B0F24" w:rsidP="004B0F24">
            <w:pPr>
              <w:rPr>
                <w:rFonts w:cs="Arial"/>
              </w:rPr>
            </w:pPr>
            <w:r w:rsidRPr="004B0F24">
              <w:rPr>
                <w:rFonts w:cs="Arial"/>
              </w:rPr>
              <w:t xml:space="preserve">Феномен на </w:t>
            </w:r>
            <w:r w:rsidRPr="004B0F24">
              <w:rPr>
                <w:rFonts w:cs="Arial"/>
                <w:lang w:val="en-US"/>
              </w:rPr>
              <w:t>Raynaud</w:t>
            </w:r>
          </w:p>
        </w:tc>
      </w:tr>
      <w:tr w:rsidR="004B0F24" w14:paraId="0D154936" w14:textId="77777777" w:rsidTr="004B0F24">
        <w:tc>
          <w:tcPr>
            <w:tcW w:w="1522" w:type="dxa"/>
          </w:tcPr>
          <w:p w14:paraId="5DE7AAEB" w14:textId="77777777" w:rsidR="004B0F24" w:rsidRPr="004B0F24" w:rsidRDefault="004B0F24" w:rsidP="004B0F24">
            <w:pPr>
              <w:rPr>
                <w:rFonts w:cs="Arial"/>
              </w:rPr>
            </w:pPr>
            <w:r w:rsidRPr="004B0F24">
              <w:rPr>
                <w:rFonts w:cs="Arial"/>
                <w:i/>
                <w:iCs/>
              </w:rPr>
              <w:t>Респираторни, гръдни</w:t>
            </w:r>
            <w:r w:rsidRPr="004B0F24">
              <w:rPr>
                <w:rFonts w:cs="Arial"/>
                <w:i/>
                <w:iCs/>
              </w:rPr>
              <w:tab/>
              <w:t>и</w:t>
            </w:r>
          </w:p>
          <w:p w14:paraId="1B94D190" w14:textId="77777777" w:rsidR="004B0F24" w:rsidRPr="004B0F24" w:rsidRDefault="004B0F24" w:rsidP="004B0F24">
            <w:pPr>
              <w:rPr>
                <w:rFonts w:cs="Arial"/>
              </w:rPr>
            </w:pPr>
            <w:r w:rsidRPr="004B0F24">
              <w:rPr>
                <w:rFonts w:cs="Arial"/>
                <w:i/>
                <w:iCs/>
              </w:rPr>
              <w:lastRenderedPageBreak/>
              <w:t>медиастиналн</w:t>
            </w:r>
          </w:p>
          <w:p w14:paraId="4E052A99" w14:textId="37385323" w:rsidR="004B0F24" w:rsidRPr="004B0F24" w:rsidRDefault="004B0F24" w:rsidP="004B0F24">
            <w:pPr>
              <w:rPr>
                <w:rFonts w:cs="Arial"/>
              </w:rPr>
            </w:pPr>
            <w:r w:rsidRPr="004B0F24">
              <w:rPr>
                <w:rFonts w:cs="Arial"/>
                <w:i/>
                <w:iCs/>
              </w:rPr>
              <w:t>и нарушения</w:t>
            </w:r>
          </w:p>
        </w:tc>
        <w:tc>
          <w:tcPr>
            <w:tcW w:w="1365" w:type="dxa"/>
            <w:vAlign w:val="bottom"/>
          </w:tcPr>
          <w:p w14:paraId="37401543" w14:textId="06DA26AE" w:rsidR="004B0F24" w:rsidRPr="004B0F24" w:rsidRDefault="004B0F24" w:rsidP="004B0F24">
            <w:pPr>
              <w:rPr>
                <w:rFonts w:cs="Arial"/>
              </w:rPr>
            </w:pPr>
            <w:r w:rsidRPr="004B0F24">
              <w:rPr>
                <w:rFonts w:cs="Arial"/>
              </w:rPr>
              <w:lastRenderedPageBreak/>
              <w:t xml:space="preserve">Непродуктив на дразнеща </w:t>
            </w:r>
            <w:r w:rsidRPr="004B0F24">
              <w:rPr>
                <w:rFonts w:cs="Arial"/>
              </w:rPr>
              <w:lastRenderedPageBreak/>
              <w:t>кашлица, бронхит, синузит, диспнея</w:t>
            </w:r>
          </w:p>
        </w:tc>
        <w:tc>
          <w:tcPr>
            <w:tcW w:w="1594" w:type="dxa"/>
          </w:tcPr>
          <w:p w14:paraId="307C7179" w14:textId="7A0AA731" w:rsidR="004B0F24" w:rsidRPr="004B0F24" w:rsidRDefault="004B0F24" w:rsidP="004B0F24">
            <w:pPr>
              <w:rPr>
                <w:rFonts w:cs="Arial"/>
              </w:rPr>
            </w:pPr>
            <w:r w:rsidRPr="004B0F24">
              <w:rPr>
                <w:rFonts w:cs="Arial"/>
              </w:rPr>
              <w:lastRenderedPageBreak/>
              <w:t xml:space="preserve">Бронхоспазъм, включително </w:t>
            </w:r>
            <w:r w:rsidRPr="004B0F24">
              <w:rPr>
                <w:rFonts w:cs="Arial"/>
              </w:rPr>
              <w:lastRenderedPageBreak/>
              <w:t>обострена астма, запушен нос</w:t>
            </w:r>
          </w:p>
        </w:tc>
        <w:tc>
          <w:tcPr>
            <w:tcW w:w="1527" w:type="dxa"/>
          </w:tcPr>
          <w:p w14:paraId="311A0966" w14:textId="77777777" w:rsidR="004B0F24" w:rsidRPr="004B0F24" w:rsidRDefault="004B0F24" w:rsidP="004B0F24">
            <w:pPr>
              <w:rPr>
                <w:rFonts w:cs="Arial"/>
              </w:rPr>
            </w:pPr>
          </w:p>
        </w:tc>
        <w:tc>
          <w:tcPr>
            <w:tcW w:w="1942" w:type="dxa"/>
          </w:tcPr>
          <w:p w14:paraId="4EE74ABF" w14:textId="77777777" w:rsidR="004B0F24" w:rsidRPr="004B0F24" w:rsidRDefault="004B0F24" w:rsidP="004B0F24">
            <w:pPr>
              <w:rPr>
                <w:rFonts w:cs="Arial"/>
              </w:rPr>
            </w:pPr>
          </w:p>
        </w:tc>
        <w:tc>
          <w:tcPr>
            <w:tcW w:w="1626" w:type="dxa"/>
          </w:tcPr>
          <w:p w14:paraId="1A2B602C" w14:textId="77777777" w:rsidR="004B0F24" w:rsidRPr="004B0F24" w:rsidRDefault="004B0F24" w:rsidP="004B0F24">
            <w:pPr>
              <w:rPr>
                <w:rFonts w:cs="Arial"/>
              </w:rPr>
            </w:pPr>
          </w:p>
        </w:tc>
      </w:tr>
      <w:tr w:rsidR="004B0F24" w14:paraId="00B1A2C4" w14:textId="77777777" w:rsidTr="004B0F24">
        <w:tc>
          <w:tcPr>
            <w:tcW w:w="1522" w:type="dxa"/>
          </w:tcPr>
          <w:p w14:paraId="04A64C33" w14:textId="71E5D393" w:rsidR="004B0F24" w:rsidRPr="004B0F24" w:rsidRDefault="004B0F24" w:rsidP="004B0F24">
            <w:pPr>
              <w:rPr>
                <w:rFonts w:cs="Arial"/>
              </w:rPr>
            </w:pPr>
            <w:r w:rsidRPr="004B0F24">
              <w:rPr>
                <w:rFonts w:cs="Arial"/>
                <w:i/>
                <w:iCs/>
              </w:rPr>
              <w:t>Стомашно- чревни нарушения</w:t>
            </w:r>
          </w:p>
        </w:tc>
        <w:tc>
          <w:tcPr>
            <w:tcW w:w="1365" w:type="dxa"/>
          </w:tcPr>
          <w:p w14:paraId="7AC6011D" w14:textId="4F9F1739" w:rsidR="004B0F24" w:rsidRPr="004B0F24" w:rsidRDefault="004B0F24" w:rsidP="004B0F24">
            <w:pPr>
              <w:rPr>
                <w:rFonts w:eastAsia="Times New Roman" w:cs="Arial"/>
              </w:rPr>
            </w:pPr>
            <w:r w:rsidRPr="004B0F24">
              <w:rPr>
                <w:rFonts w:cs="Arial"/>
              </w:rPr>
              <w:t xml:space="preserve">Стомашно- чревно </w:t>
            </w:r>
            <w:r w:rsidRPr="004B0F24">
              <w:rPr>
                <w:rFonts w:eastAsia="Times New Roman" w:cs="Arial"/>
                <w:color w:val="000000"/>
                <w:lang w:eastAsia="bg-BG"/>
              </w:rPr>
              <w:t>възпаление, храносмилат елни смущения, коремен дискомфорт, диспепсия, диария, гадене, повръщане</w:t>
            </w:r>
          </w:p>
        </w:tc>
        <w:tc>
          <w:tcPr>
            <w:tcW w:w="1594" w:type="dxa"/>
          </w:tcPr>
          <w:p w14:paraId="7F6B02B0" w14:textId="63A478A0" w:rsidR="004B0F24" w:rsidRPr="004B0F24" w:rsidRDefault="004B0F24" w:rsidP="004B0F24">
            <w:pPr>
              <w:rPr>
                <w:rFonts w:eastAsia="Times New Roman" w:cs="Arial"/>
              </w:rPr>
            </w:pPr>
            <w:r>
              <w:rPr>
                <w:rFonts w:cs="Arial"/>
              </w:rPr>
              <w:t>Панкреатит (случаи</w:t>
            </w:r>
            <w:r w:rsidRPr="004B0F24">
              <w:rPr>
                <w:rFonts w:cs="Arial"/>
              </w:rPr>
              <w:t xml:space="preserve"> с </w:t>
            </w:r>
            <w:r w:rsidRPr="004B0F24">
              <w:rPr>
                <w:rFonts w:eastAsia="Times New Roman" w:cs="Arial"/>
                <w:color w:val="000000"/>
                <w:lang w:eastAsia="bg-BG"/>
              </w:rPr>
              <w:t>фатален изход са бил</w:t>
            </w:r>
            <w:r>
              <w:rPr>
                <w:rFonts w:eastAsia="Times New Roman" w:cs="Arial"/>
                <w:color w:val="000000"/>
                <w:lang w:eastAsia="bg-BG"/>
              </w:rPr>
              <w:t xml:space="preserve">и съобщавани изключително рядко </w:t>
            </w:r>
            <w:r w:rsidRPr="004B0F24">
              <w:rPr>
                <w:rFonts w:eastAsia="Times New Roman" w:cs="Arial"/>
                <w:color w:val="000000"/>
                <w:lang w:eastAsia="bg-BG"/>
              </w:rPr>
              <w:t>при</w:t>
            </w:r>
          </w:p>
          <w:p w14:paraId="1925A568" w14:textId="5517D04E" w:rsidR="004B0F24" w:rsidRPr="004B0F24" w:rsidRDefault="004B0F24" w:rsidP="004B0F24">
            <w:pPr>
              <w:spacing w:line="240" w:lineRule="auto"/>
              <w:rPr>
                <w:rFonts w:eastAsia="Times New Roman" w:cs="Arial"/>
              </w:rPr>
            </w:pPr>
            <w:r w:rsidRPr="004B0F24">
              <w:rPr>
                <w:rFonts w:eastAsia="Times New Roman" w:cs="Arial"/>
                <w:color w:val="000000"/>
                <w:lang w:eastAsia="bg-BG"/>
              </w:rPr>
              <w:t>лечение с АСЕ инхибитори), повишаване на панкреасните ензими, ангиоедем на тънкото черво, висока коремна болка в горната част на корема, запек, сухота в устата</w:t>
            </w:r>
          </w:p>
        </w:tc>
        <w:tc>
          <w:tcPr>
            <w:tcW w:w="1527" w:type="dxa"/>
          </w:tcPr>
          <w:p w14:paraId="54474199" w14:textId="4640B86B" w:rsidR="004B0F24" w:rsidRPr="004B0F24" w:rsidRDefault="004B0F24" w:rsidP="004B0F24">
            <w:pPr>
              <w:rPr>
                <w:rFonts w:cs="Arial"/>
              </w:rPr>
            </w:pPr>
            <w:r w:rsidRPr="004B0F24">
              <w:rPr>
                <w:rFonts w:cs="Arial"/>
              </w:rPr>
              <w:t>Глосит</w:t>
            </w:r>
          </w:p>
        </w:tc>
        <w:tc>
          <w:tcPr>
            <w:tcW w:w="1942" w:type="dxa"/>
          </w:tcPr>
          <w:p w14:paraId="4CAC7AF9" w14:textId="77777777" w:rsidR="004B0F24" w:rsidRPr="004B0F24" w:rsidRDefault="004B0F24" w:rsidP="004B0F24">
            <w:pPr>
              <w:rPr>
                <w:rFonts w:cs="Arial"/>
              </w:rPr>
            </w:pPr>
          </w:p>
        </w:tc>
        <w:tc>
          <w:tcPr>
            <w:tcW w:w="1626" w:type="dxa"/>
          </w:tcPr>
          <w:p w14:paraId="0FF68DFB" w14:textId="3BEFBA1C" w:rsidR="004B0F24" w:rsidRPr="004B0F24" w:rsidRDefault="004B0F24" w:rsidP="004B0F24">
            <w:pPr>
              <w:rPr>
                <w:rFonts w:cs="Arial"/>
              </w:rPr>
            </w:pPr>
            <w:r w:rsidRPr="004B0F24">
              <w:rPr>
                <w:rFonts w:cs="Arial"/>
              </w:rPr>
              <w:t>Афтозен стоматит</w:t>
            </w:r>
          </w:p>
        </w:tc>
      </w:tr>
      <w:tr w:rsidR="004B0F24" w14:paraId="471F9FF8" w14:textId="77777777" w:rsidTr="004B0F24">
        <w:tc>
          <w:tcPr>
            <w:tcW w:w="1522" w:type="dxa"/>
          </w:tcPr>
          <w:p w14:paraId="39BDDEBE" w14:textId="2A41C264" w:rsidR="004B0F24" w:rsidRPr="004B0F24" w:rsidRDefault="004B0F24" w:rsidP="004B0F24">
            <w:pPr>
              <w:rPr>
                <w:rFonts w:cs="Arial"/>
              </w:rPr>
            </w:pPr>
            <w:r w:rsidRPr="004B0F24">
              <w:rPr>
                <w:rFonts w:cs="Arial"/>
                <w:i/>
                <w:iCs/>
              </w:rPr>
              <w:t>Хепато- билиарни нарушения</w:t>
            </w:r>
          </w:p>
        </w:tc>
        <w:tc>
          <w:tcPr>
            <w:tcW w:w="1365" w:type="dxa"/>
          </w:tcPr>
          <w:p w14:paraId="4416F8F0" w14:textId="77777777" w:rsidR="004B0F24" w:rsidRPr="004B0F24" w:rsidRDefault="004B0F24" w:rsidP="004B0F24">
            <w:pPr>
              <w:rPr>
                <w:rFonts w:cs="Arial"/>
              </w:rPr>
            </w:pPr>
          </w:p>
        </w:tc>
        <w:tc>
          <w:tcPr>
            <w:tcW w:w="1594" w:type="dxa"/>
          </w:tcPr>
          <w:p w14:paraId="4058F34B" w14:textId="37CB30D9" w:rsidR="004B0F24" w:rsidRPr="004B0F24" w:rsidRDefault="004B0F24" w:rsidP="004B0F24">
            <w:pPr>
              <w:rPr>
                <w:rFonts w:cs="Arial"/>
              </w:rPr>
            </w:pPr>
            <w:r w:rsidRPr="004B0F24">
              <w:rPr>
                <w:rFonts w:cs="Arial"/>
              </w:rPr>
              <w:t>Повишени нива на чернодробните ензими и/ или конюгирания билирубин</w:t>
            </w:r>
          </w:p>
        </w:tc>
        <w:tc>
          <w:tcPr>
            <w:tcW w:w="1527" w:type="dxa"/>
          </w:tcPr>
          <w:p w14:paraId="2F7A5180" w14:textId="091DC95B" w:rsidR="004B0F24" w:rsidRPr="004B0F24" w:rsidRDefault="004B0F24" w:rsidP="004B0F24">
            <w:pPr>
              <w:rPr>
                <w:rFonts w:cs="Arial"/>
              </w:rPr>
            </w:pPr>
            <w:r w:rsidRPr="004B0F24">
              <w:rPr>
                <w:rFonts w:cs="Arial"/>
              </w:rPr>
              <w:t>Жълтеница, холестатичио хепатоцелулар но увреждане</w:t>
            </w:r>
          </w:p>
        </w:tc>
        <w:tc>
          <w:tcPr>
            <w:tcW w:w="1942" w:type="dxa"/>
          </w:tcPr>
          <w:p w14:paraId="02955965" w14:textId="77777777" w:rsidR="004B0F24" w:rsidRPr="004B0F24" w:rsidRDefault="004B0F24" w:rsidP="004B0F24">
            <w:pPr>
              <w:rPr>
                <w:rFonts w:cs="Arial"/>
              </w:rPr>
            </w:pPr>
          </w:p>
        </w:tc>
        <w:tc>
          <w:tcPr>
            <w:tcW w:w="1626" w:type="dxa"/>
          </w:tcPr>
          <w:p w14:paraId="36932C84" w14:textId="56C25756" w:rsidR="004B0F24" w:rsidRPr="004B0F24" w:rsidRDefault="004B0F24" w:rsidP="004B0F24">
            <w:pPr>
              <w:rPr>
                <w:rFonts w:cs="Arial"/>
              </w:rPr>
            </w:pPr>
            <w:r w:rsidRPr="004B0F24">
              <w:rPr>
                <w:rFonts w:cs="Arial"/>
              </w:rPr>
              <w:t>Остра чернодробна недостатъчност, холестатичен или цитолитичен хепатит (изключително рядко с фатален изход)</w:t>
            </w:r>
          </w:p>
        </w:tc>
      </w:tr>
      <w:tr w:rsidR="004B0F24" w14:paraId="7462CA3E" w14:textId="77777777" w:rsidTr="004B0F24">
        <w:tc>
          <w:tcPr>
            <w:tcW w:w="1522" w:type="dxa"/>
          </w:tcPr>
          <w:p w14:paraId="789D6FAE" w14:textId="2146879C" w:rsidR="004B0F24" w:rsidRPr="004B0F24" w:rsidRDefault="004B0F24" w:rsidP="004B0F24">
            <w:pPr>
              <w:rPr>
                <w:rFonts w:cs="Arial"/>
              </w:rPr>
            </w:pPr>
            <w:r w:rsidRPr="004B0F24">
              <w:rPr>
                <w:rFonts w:cs="Arial"/>
                <w:i/>
                <w:iCs/>
              </w:rPr>
              <w:t>Нарушения на кожата и</w:t>
            </w:r>
          </w:p>
          <w:p w14:paraId="2348B9AC" w14:textId="4AD26690" w:rsidR="004B0F24" w:rsidRPr="004B0F24" w:rsidRDefault="004B0F24" w:rsidP="004B0F24">
            <w:pPr>
              <w:rPr>
                <w:rFonts w:cs="Arial"/>
              </w:rPr>
            </w:pPr>
            <w:r w:rsidRPr="004B0F24">
              <w:rPr>
                <w:rFonts w:cs="Arial"/>
                <w:i/>
                <w:iCs/>
              </w:rPr>
              <w:t>подкожната тъкан</w:t>
            </w:r>
          </w:p>
        </w:tc>
        <w:tc>
          <w:tcPr>
            <w:tcW w:w="1365" w:type="dxa"/>
          </w:tcPr>
          <w:p w14:paraId="3807C763" w14:textId="04B58200" w:rsidR="004B0F24" w:rsidRPr="004B0F24" w:rsidRDefault="004B0F24" w:rsidP="004B0F24">
            <w:pPr>
              <w:rPr>
                <w:rFonts w:cs="Arial"/>
              </w:rPr>
            </w:pPr>
            <w:r w:rsidRPr="004B0F24">
              <w:rPr>
                <w:rFonts w:cs="Arial"/>
              </w:rPr>
              <w:t>Обрив обикновено макуло- папулозен</w:t>
            </w:r>
          </w:p>
        </w:tc>
        <w:tc>
          <w:tcPr>
            <w:tcW w:w="1594" w:type="dxa"/>
          </w:tcPr>
          <w:p w14:paraId="4248EBC1" w14:textId="04875E29" w:rsidR="004B0F24" w:rsidRPr="004B0F24" w:rsidRDefault="004B0F24" w:rsidP="004B0F24">
            <w:pPr>
              <w:rPr>
                <w:rFonts w:cs="Arial"/>
              </w:rPr>
            </w:pPr>
            <w:r w:rsidRPr="004B0F24">
              <w:rPr>
                <w:rFonts w:cs="Arial"/>
              </w:rPr>
              <w:t>Ангиоедем; изключително рядко обструкция на въздухоносн</w:t>
            </w:r>
            <w:r w:rsidRPr="004B0F24">
              <w:rPr>
                <w:rFonts w:cs="Arial"/>
              </w:rPr>
              <w:lastRenderedPageBreak/>
              <w:t>ите пътища в</w:t>
            </w:r>
          </w:p>
          <w:p w14:paraId="028915F9" w14:textId="7DDF4B31" w:rsidR="004B0F24" w:rsidRPr="004B0F24" w:rsidRDefault="004B0F24" w:rsidP="004B0F24">
            <w:pPr>
              <w:rPr>
                <w:rFonts w:cs="Arial"/>
              </w:rPr>
            </w:pPr>
            <w:r w:rsidRPr="004B0F24">
              <w:rPr>
                <w:rFonts w:cs="Arial"/>
              </w:rPr>
              <w:t>Резултат от</w:t>
            </w:r>
          </w:p>
          <w:p w14:paraId="1D78FAE2" w14:textId="601C902D" w:rsidR="004B0F24" w:rsidRPr="004B0F24" w:rsidRDefault="004B0F24" w:rsidP="004B0F24">
            <w:pPr>
              <w:rPr>
                <w:rFonts w:cs="Arial"/>
              </w:rPr>
            </w:pPr>
            <w:r w:rsidRPr="004B0F24">
              <w:rPr>
                <w:rFonts w:cs="Arial"/>
              </w:rPr>
              <w:t>ангиоедем може да има фатален изход; сърбеж, хиперхидроза</w:t>
            </w:r>
          </w:p>
        </w:tc>
        <w:tc>
          <w:tcPr>
            <w:tcW w:w="1527" w:type="dxa"/>
          </w:tcPr>
          <w:p w14:paraId="453D6261" w14:textId="42D3FA52" w:rsidR="004B0F24" w:rsidRPr="004B0F24" w:rsidRDefault="004B0F24" w:rsidP="004B0F24">
            <w:pPr>
              <w:rPr>
                <w:rFonts w:cs="Arial"/>
              </w:rPr>
            </w:pPr>
            <w:r w:rsidRPr="004B0F24">
              <w:rPr>
                <w:rFonts w:cs="Arial"/>
              </w:rPr>
              <w:lastRenderedPageBreak/>
              <w:t>Ексфолиативен дерматит, уртикария, онихолиза</w:t>
            </w:r>
          </w:p>
        </w:tc>
        <w:tc>
          <w:tcPr>
            <w:tcW w:w="1942" w:type="dxa"/>
          </w:tcPr>
          <w:p w14:paraId="5EF3F881" w14:textId="3ED4093B" w:rsidR="004B0F24" w:rsidRPr="004B0F24" w:rsidRDefault="004B0F24" w:rsidP="004B0F24">
            <w:pPr>
              <w:rPr>
                <w:rFonts w:cs="Arial"/>
              </w:rPr>
            </w:pPr>
            <w:r w:rsidRPr="004B0F24">
              <w:rPr>
                <w:rFonts w:cs="Arial"/>
              </w:rPr>
              <w:t>Реакция на фоточувствителност</w:t>
            </w:r>
          </w:p>
        </w:tc>
        <w:tc>
          <w:tcPr>
            <w:tcW w:w="1626" w:type="dxa"/>
            <w:vAlign w:val="bottom"/>
          </w:tcPr>
          <w:p w14:paraId="509161D3" w14:textId="2E73DC66" w:rsidR="004B0F24" w:rsidRPr="004B0F24" w:rsidRDefault="004B0F24" w:rsidP="004B0F24">
            <w:pPr>
              <w:rPr>
                <w:rFonts w:cs="Arial"/>
              </w:rPr>
            </w:pPr>
            <w:r w:rsidRPr="004B0F24">
              <w:rPr>
                <w:rFonts w:cs="Arial"/>
              </w:rPr>
              <w:t xml:space="preserve">Токсична епидермална некролиза, синдром на Стивънс-Джонсън, </w:t>
            </w:r>
            <w:r w:rsidRPr="004B0F24">
              <w:rPr>
                <w:rFonts w:cs="Arial"/>
              </w:rPr>
              <w:lastRenderedPageBreak/>
              <w:t>еритема мултиформе, пемфитус, обострен псориазис, псориатичен дерматит, пемфигоиден или лихеноиден екзантем или енантем, алопеция</w:t>
            </w:r>
          </w:p>
        </w:tc>
      </w:tr>
      <w:tr w:rsidR="004B0F24" w14:paraId="49675159" w14:textId="77777777" w:rsidTr="004B0F24">
        <w:tc>
          <w:tcPr>
            <w:tcW w:w="1522" w:type="dxa"/>
            <w:vAlign w:val="bottom"/>
          </w:tcPr>
          <w:p w14:paraId="2DDB120B" w14:textId="63C2F992" w:rsidR="004B0F24" w:rsidRPr="004B0F24" w:rsidRDefault="004B0F24" w:rsidP="004B0F24">
            <w:pPr>
              <w:rPr>
                <w:rFonts w:cs="Arial"/>
              </w:rPr>
            </w:pPr>
            <w:r w:rsidRPr="004B0F24">
              <w:rPr>
                <w:rFonts w:cs="Arial"/>
                <w:i/>
                <w:iCs/>
              </w:rPr>
              <w:lastRenderedPageBreak/>
              <w:t>Нарушения на мускулно- скелетната система и</w:t>
            </w:r>
          </w:p>
          <w:p w14:paraId="0CF5B0A0" w14:textId="484FF36E" w:rsidR="004B0F24" w:rsidRPr="004B0F24" w:rsidRDefault="004B0F24" w:rsidP="004B0F24">
            <w:pPr>
              <w:rPr>
                <w:rFonts w:cs="Arial"/>
              </w:rPr>
            </w:pPr>
            <w:r w:rsidRPr="004B0F24">
              <w:rPr>
                <w:rFonts w:cs="Arial"/>
                <w:i/>
                <w:iCs/>
              </w:rPr>
              <w:t>съединителна та тъкан</w:t>
            </w:r>
          </w:p>
        </w:tc>
        <w:tc>
          <w:tcPr>
            <w:tcW w:w="1365" w:type="dxa"/>
          </w:tcPr>
          <w:p w14:paraId="4885A698" w14:textId="3E3AAF15" w:rsidR="004B0F24" w:rsidRPr="004B0F24" w:rsidRDefault="004B0F24" w:rsidP="004B0F24">
            <w:pPr>
              <w:rPr>
                <w:rFonts w:cs="Arial"/>
              </w:rPr>
            </w:pPr>
            <w:r w:rsidRPr="004B0F24">
              <w:rPr>
                <w:rFonts w:cs="Arial"/>
              </w:rPr>
              <w:t>Мускулни спазми, миалгия</w:t>
            </w:r>
          </w:p>
        </w:tc>
        <w:tc>
          <w:tcPr>
            <w:tcW w:w="1594" w:type="dxa"/>
          </w:tcPr>
          <w:p w14:paraId="4A54DF19" w14:textId="6C5B9696" w:rsidR="004B0F24" w:rsidRPr="004B0F24" w:rsidRDefault="004B0F24" w:rsidP="004B0F24">
            <w:pPr>
              <w:rPr>
                <w:rFonts w:cs="Arial"/>
              </w:rPr>
            </w:pPr>
            <w:r w:rsidRPr="004B0F24">
              <w:rPr>
                <w:rFonts w:cs="Arial"/>
              </w:rPr>
              <w:t>Артралгия</w:t>
            </w:r>
          </w:p>
        </w:tc>
        <w:tc>
          <w:tcPr>
            <w:tcW w:w="1527" w:type="dxa"/>
          </w:tcPr>
          <w:p w14:paraId="34FF9FAB" w14:textId="77777777" w:rsidR="004B0F24" w:rsidRPr="004B0F24" w:rsidRDefault="004B0F24" w:rsidP="004B0F24">
            <w:pPr>
              <w:rPr>
                <w:rFonts w:cs="Arial"/>
              </w:rPr>
            </w:pPr>
          </w:p>
        </w:tc>
        <w:tc>
          <w:tcPr>
            <w:tcW w:w="1942" w:type="dxa"/>
          </w:tcPr>
          <w:p w14:paraId="4D9D37F0" w14:textId="77777777" w:rsidR="004B0F24" w:rsidRPr="004B0F24" w:rsidRDefault="004B0F24" w:rsidP="004B0F24">
            <w:pPr>
              <w:rPr>
                <w:rFonts w:cs="Arial"/>
              </w:rPr>
            </w:pPr>
          </w:p>
        </w:tc>
        <w:tc>
          <w:tcPr>
            <w:tcW w:w="1626" w:type="dxa"/>
          </w:tcPr>
          <w:p w14:paraId="2377E3B5" w14:textId="77777777" w:rsidR="004B0F24" w:rsidRPr="004B0F24" w:rsidRDefault="004B0F24" w:rsidP="004B0F24">
            <w:pPr>
              <w:rPr>
                <w:rFonts w:cs="Arial"/>
              </w:rPr>
            </w:pPr>
          </w:p>
        </w:tc>
      </w:tr>
      <w:tr w:rsidR="004B0F24" w14:paraId="2AA584E3" w14:textId="77777777" w:rsidTr="004B0F24">
        <w:tc>
          <w:tcPr>
            <w:tcW w:w="1522" w:type="dxa"/>
          </w:tcPr>
          <w:p w14:paraId="1BA89ED2" w14:textId="10ACF028" w:rsidR="004B0F24" w:rsidRPr="004B0F24" w:rsidRDefault="004B0F24" w:rsidP="004B0F24">
            <w:pPr>
              <w:rPr>
                <w:rFonts w:cs="Arial"/>
              </w:rPr>
            </w:pPr>
            <w:r w:rsidRPr="004B0F24">
              <w:rPr>
                <w:rFonts w:cs="Arial"/>
                <w:i/>
                <w:iCs/>
              </w:rPr>
              <w:t>Нарушения на бъбреците и пикочните пътища</w:t>
            </w:r>
          </w:p>
        </w:tc>
        <w:tc>
          <w:tcPr>
            <w:tcW w:w="1365" w:type="dxa"/>
          </w:tcPr>
          <w:p w14:paraId="2EE1AFD0" w14:textId="77777777" w:rsidR="004B0F24" w:rsidRPr="004B0F24" w:rsidRDefault="004B0F24" w:rsidP="004B0F24">
            <w:pPr>
              <w:rPr>
                <w:rFonts w:cs="Arial"/>
              </w:rPr>
            </w:pPr>
          </w:p>
        </w:tc>
        <w:tc>
          <w:tcPr>
            <w:tcW w:w="1594" w:type="dxa"/>
            <w:vAlign w:val="bottom"/>
          </w:tcPr>
          <w:p w14:paraId="33A88406" w14:textId="20B0B527" w:rsidR="004B0F24" w:rsidRPr="004B0F24" w:rsidRDefault="004B0F24" w:rsidP="004B0F24">
            <w:pPr>
              <w:rPr>
                <w:rFonts w:eastAsia="Times New Roman" w:cs="Arial"/>
              </w:rPr>
            </w:pPr>
            <w:r w:rsidRPr="004B0F24">
              <w:rPr>
                <w:rFonts w:cs="Arial"/>
              </w:rPr>
              <w:t xml:space="preserve">Бъбречно увреждане, включително остра бъбречна недостатъчност, </w:t>
            </w:r>
            <w:r w:rsidRPr="004B0F24">
              <w:rPr>
                <w:rFonts w:eastAsia="Times New Roman" w:cs="Arial"/>
                <w:color w:val="000000"/>
                <w:lang w:eastAsia="bg-BG"/>
              </w:rPr>
              <w:t>полиурия, влошаване на съществуваща протеинурия, повишена урея в кръвта, повишен креатинин в</w:t>
            </w:r>
          </w:p>
          <w:p w14:paraId="23228A04" w14:textId="7D33582E" w:rsidR="004B0F24" w:rsidRPr="004B0F24" w:rsidRDefault="004B0F24" w:rsidP="004B0F24">
            <w:pPr>
              <w:spacing w:line="240" w:lineRule="auto"/>
              <w:rPr>
                <w:rFonts w:eastAsia="Times New Roman" w:cs="Arial"/>
              </w:rPr>
            </w:pPr>
            <w:r w:rsidRPr="004B0F24">
              <w:rPr>
                <w:rFonts w:eastAsia="Times New Roman" w:cs="Arial"/>
                <w:color w:val="000000"/>
                <w:lang w:eastAsia="bg-BG"/>
              </w:rPr>
              <w:t>кръвта</w:t>
            </w:r>
          </w:p>
        </w:tc>
        <w:tc>
          <w:tcPr>
            <w:tcW w:w="1527" w:type="dxa"/>
          </w:tcPr>
          <w:p w14:paraId="7F1591EB" w14:textId="77777777" w:rsidR="004B0F24" w:rsidRPr="004B0F24" w:rsidRDefault="004B0F24" w:rsidP="004B0F24">
            <w:pPr>
              <w:rPr>
                <w:rFonts w:cs="Arial"/>
              </w:rPr>
            </w:pPr>
          </w:p>
        </w:tc>
        <w:tc>
          <w:tcPr>
            <w:tcW w:w="1942" w:type="dxa"/>
          </w:tcPr>
          <w:p w14:paraId="798BD5BC" w14:textId="77777777" w:rsidR="004B0F24" w:rsidRPr="004B0F24" w:rsidRDefault="004B0F24" w:rsidP="004B0F24">
            <w:pPr>
              <w:rPr>
                <w:rFonts w:cs="Arial"/>
              </w:rPr>
            </w:pPr>
          </w:p>
        </w:tc>
        <w:tc>
          <w:tcPr>
            <w:tcW w:w="1626" w:type="dxa"/>
          </w:tcPr>
          <w:p w14:paraId="049386C2" w14:textId="77777777" w:rsidR="004B0F24" w:rsidRPr="004B0F24" w:rsidRDefault="004B0F24" w:rsidP="004B0F24">
            <w:pPr>
              <w:rPr>
                <w:rFonts w:cs="Arial"/>
              </w:rPr>
            </w:pPr>
          </w:p>
        </w:tc>
      </w:tr>
      <w:tr w:rsidR="004B0F24" w14:paraId="3A21A50B" w14:textId="77777777" w:rsidTr="004B0F24">
        <w:tc>
          <w:tcPr>
            <w:tcW w:w="1522" w:type="dxa"/>
          </w:tcPr>
          <w:p w14:paraId="2AE7CC16" w14:textId="2D206051" w:rsidR="004B0F24" w:rsidRPr="004B0F24" w:rsidRDefault="004B0F24" w:rsidP="004B0F24">
            <w:pPr>
              <w:rPr>
                <w:rFonts w:cs="Arial"/>
              </w:rPr>
            </w:pPr>
            <w:r w:rsidRPr="004B0F24">
              <w:rPr>
                <w:rFonts w:cs="Arial"/>
                <w:i/>
                <w:iCs/>
              </w:rPr>
              <w:t>Нарушения на възпризводите лната система и гърдата</w:t>
            </w:r>
          </w:p>
        </w:tc>
        <w:tc>
          <w:tcPr>
            <w:tcW w:w="1365" w:type="dxa"/>
          </w:tcPr>
          <w:p w14:paraId="198D36BF" w14:textId="77777777" w:rsidR="004B0F24" w:rsidRPr="004B0F24" w:rsidRDefault="004B0F24" w:rsidP="004B0F24">
            <w:pPr>
              <w:rPr>
                <w:rFonts w:cs="Arial"/>
              </w:rPr>
            </w:pPr>
          </w:p>
        </w:tc>
        <w:tc>
          <w:tcPr>
            <w:tcW w:w="1594" w:type="dxa"/>
          </w:tcPr>
          <w:p w14:paraId="5979ED31" w14:textId="4E1BBEFE" w:rsidR="004B0F24" w:rsidRPr="004B0F24" w:rsidRDefault="004B0F24" w:rsidP="004B0F24">
            <w:pPr>
              <w:rPr>
                <w:rFonts w:cs="Arial"/>
              </w:rPr>
            </w:pPr>
            <w:r w:rsidRPr="004B0F24">
              <w:rPr>
                <w:rFonts w:cs="Arial"/>
              </w:rPr>
              <w:t>Преходна еректилна импотенция, понижено либидо</w:t>
            </w:r>
          </w:p>
        </w:tc>
        <w:tc>
          <w:tcPr>
            <w:tcW w:w="1527" w:type="dxa"/>
          </w:tcPr>
          <w:p w14:paraId="358D464C" w14:textId="77777777" w:rsidR="004B0F24" w:rsidRPr="004B0F24" w:rsidRDefault="004B0F24" w:rsidP="004B0F24">
            <w:pPr>
              <w:rPr>
                <w:rFonts w:cs="Arial"/>
              </w:rPr>
            </w:pPr>
          </w:p>
        </w:tc>
        <w:tc>
          <w:tcPr>
            <w:tcW w:w="1942" w:type="dxa"/>
          </w:tcPr>
          <w:p w14:paraId="07CE8EC1" w14:textId="77777777" w:rsidR="004B0F24" w:rsidRPr="004B0F24" w:rsidRDefault="004B0F24" w:rsidP="004B0F24">
            <w:pPr>
              <w:rPr>
                <w:rFonts w:cs="Arial"/>
              </w:rPr>
            </w:pPr>
          </w:p>
        </w:tc>
        <w:tc>
          <w:tcPr>
            <w:tcW w:w="1626" w:type="dxa"/>
          </w:tcPr>
          <w:p w14:paraId="1A473DFC" w14:textId="197AFFA0" w:rsidR="004B0F24" w:rsidRPr="004B0F24" w:rsidRDefault="004B0F24" w:rsidP="004B0F24">
            <w:pPr>
              <w:rPr>
                <w:rFonts w:cs="Arial"/>
              </w:rPr>
            </w:pPr>
            <w:r w:rsidRPr="004B0F24">
              <w:rPr>
                <w:rFonts w:cs="Arial"/>
              </w:rPr>
              <w:t>Гинекомастия</w:t>
            </w:r>
          </w:p>
        </w:tc>
      </w:tr>
      <w:tr w:rsidR="004B0F24" w14:paraId="1D31499E" w14:textId="77777777" w:rsidTr="004B0F24">
        <w:tc>
          <w:tcPr>
            <w:tcW w:w="1522" w:type="dxa"/>
          </w:tcPr>
          <w:p w14:paraId="1EAD5F70" w14:textId="6E1BC947" w:rsidR="004B0F24" w:rsidRPr="004B0F24" w:rsidRDefault="004B0F24" w:rsidP="004B0F24">
            <w:pPr>
              <w:rPr>
                <w:rFonts w:cs="Arial"/>
              </w:rPr>
            </w:pPr>
            <w:r w:rsidRPr="004B0F24">
              <w:rPr>
                <w:rFonts w:cs="Arial"/>
                <w:i/>
                <w:iCs/>
              </w:rPr>
              <w:lastRenderedPageBreak/>
              <w:t xml:space="preserve">Общи нарушения </w:t>
            </w:r>
            <w:r>
              <w:rPr>
                <w:rFonts w:cs="Arial"/>
                <w:i/>
                <w:iCs/>
              </w:rPr>
              <w:t xml:space="preserve">и ефекти </w:t>
            </w:r>
            <w:r w:rsidRPr="004B0F24">
              <w:rPr>
                <w:rFonts w:cs="Arial"/>
                <w:i/>
                <w:iCs/>
              </w:rPr>
              <w:t>на</w:t>
            </w:r>
          </w:p>
          <w:p w14:paraId="37C56F30" w14:textId="7C331C02" w:rsidR="004B0F24" w:rsidRPr="004B0F24" w:rsidRDefault="004B0F24" w:rsidP="004B0F24">
            <w:pPr>
              <w:rPr>
                <w:rFonts w:cs="Arial"/>
              </w:rPr>
            </w:pPr>
            <w:r w:rsidRPr="004B0F24">
              <w:rPr>
                <w:rFonts w:cs="Arial"/>
                <w:i/>
                <w:iCs/>
              </w:rPr>
              <w:t>мястото на приложение</w:t>
            </w:r>
          </w:p>
        </w:tc>
        <w:tc>
          <w:tcPr>
            <w:tcW w:w="1365" w:type="dxa"/>
          </w:tcPr>
          <w:p w14:paraId="2C475643" w14:textId="4FC66E23" w:rsidR="004B0F24" w:rsidRPr="004B0F24" w:rsidRDefault="004B0F24" w:rsidP="004B0F24">
            <w:pPr>
              <w:rPr>
                <w:rFonts w:cs="Arial"/>
              </w:rPr>
            </w:pPr>
            <w:r w:rsidRPr="004B0F24">
              <w:rPr>
                <w:rFonts w:cs="Arial"/>
              </w:rPr>
              <w:t>Гръдна болка, умора</w:t>
            </w:r>
          </w:p>
        </w:tc>
        <w:tc>
          <w:tcPr>
            <w:tcW w:w="1594" w:type="dxa"/>
          </w:tcPr>
          <w:p w14:paraId="47C5094D" w14:textId="0A7C26D6" w:rsidR="004B0F24" w:rsidRPr="004B0F24" w:rsidRDefault="004B0F24" w:rsidP="004B0F24">
            <w:pPr>
              <w:rPr>
                <w:rFonts w:cs="Arial"/>
              </w:rPr>
            </w:pPr>
            <w:r w:rsidRPr="004B0F24">
              <w:rPr>
                <w:rFonts w:cs="Arial"/>
              </w:rPr>
              <w:t>Пирексия</w:t>
            </w:r>
          </w:p>
        </w:tc>
        <w:tc>
          <w:tcPr>
            <w:tcW w:w="1527" w:type="dxa"/>
          </w:tcPr>
          <w:p w14:paraId="6D02BB51" w14:textId="57EA855B" w:rsidR="004B0F24" w:rsidRPr="004B0F24" w:rsidRDefault="004B0F24" w:rsidP="004B0F24">
            <w:pPr>
              <w:rPr>
                <w:rFonts w:cs="Arial"/>
              </w:rPr>
            </w:pPr>
            <w:r w:rsidRPr="004B0F24">
              <w:rPr>
                <w:rFonts w:cs="Arial"/>
              </w:rPr>
              <w:t>Астения</w:t>
            </w:r>
          </w:p>
        </w:tc>
        <w:tc>
          <w:tcPr>
            <w:tcW w:w="1942" w:type="dxa"/>
          </w:tcPr>
          <w:p w14:paraId="1CD9054B" w14:textId="77777777" w:rsidR="004B0F24" w:rsidRPr="004B0F24" w:rsidRDefault="004B0F24" w:rsidP="004B0F24">
            <w:pPr>
              <w:rPr>
                <w:rFonts w:cs="Arial"/>
              </w:rPr>
            </w:pPr>
          </w:p>
        </w:tc>
        <w:tc>
          <w:tcPr>
            <w:tcW w:w="1626" w:type="dxa"/>
          </w:tcPr>
          <w:p w14:paraId="4CACD341" w14:textId="77777777" w:rsidR="004B0F24" w:rsidRPr="004B0F24" w:rsidRDefault="004B0F24" w:rsidP="004B0F24">
            <w:pPr>
              <w:rPr>
                <w:rFonts w:cs="Arial"/>
              </w:rPr>
            </w:pPr>
          </w:p>
        </w:tc>
      </w:tr>
    </w:tbl>
    <w:p w14:paraId="18B41150" w14:textId="77777777" w:rsidR="004B0F24" w:rsidRDefault="004B0F24" w:rsidP="004B0F24">
      <w:pPr>
        <w:spacing w:line="240" w:lineRule="auto"/>
        <w:rPr>
          <w:rFonts w:ascii="Times New Roman" w:eastAsia="Times New Roman" w:hAnsi="Times New Roman" w:cs="Times New Roman"/>
          <w:color w:val="000000"/>
          <w:sz w:val="20"/>
          <w:szCs w:val="20"/>
          <w:u w:val="single"/>
          <w:lang w:eastAsia="bg-BG"/>
        </w:rPr>
      </w:pPr>
    </w:p>
    <w:p w14:paraId="37064C20" w14:textId="1A1452AA" w:rsidR="004B0F24" w:rsidRPr="004B0F24" w:rsidRDefault="004B0F24" w:rsidP="004B0F24">
      <w:pPr>
        <w:spacing w:line="240" w:lineRule="auto"/>
        <w:rPr>
          <w:rFonts w:eastAsia="Times New Roman" w:cs="Arial"/>
        </w:rPr>
      </w:pPr>
      <w:r w:rsidRPr="004B0F24">
        <w:rPr>
          <w:rFonts w:eastAsia="Times New Roman" w:cs="Arial"/>
          <w:color w:val="000000"/>
          <w:u w:val="single"/>
          <w:lang w:eastAsia="bg-BG"/>
        </w:rPr>
        <w:t>Педиатрична популация</w:t>
      </w:r>
    </w:p>
    <w:p w14:paraId="07A34883" w14:textId="6EBB14A8" w:rsidR="004B0F24" w:rsidRPr="004B0F24" w:rsidRDefault="004B0F24" w:rsidP="004B0F24">
      <w:pPr>
        <w:spacing w:line="240" w:lineRule="auto"/>
        <w:rPr>
          <w:rFonts w:eastAsia="Times New Roman" w:cs="Arial"/>
        </w:rPr>
      </w:pPr>
      <w:r w:rsidRPr="004B0F24">
        <w:rPr>
          <w:rFonts w:eastAsia="Times New Roman" w:cs="Arial"/>
          <w:color w:val="000000"/>
          <w:lang w:eastAsia="bg-BG"/>
        </w:rPr>
        <w:t>Безопасността на рамиприл е наблюдавана при 325 деца и юноши на възраст 2-16 години по време на 2 клинични изпитвания. Въпреки че естеството и тежестта на нежеланите събития са сходни с тези при възрастни, честотата на следните е по-висока при деца:</w:t>
      </w:r>
    </w:p>
    <w:p w14:paraId="53867A31" w14:textId="77777777" w:rsidR="004B0F24" w:rsidRPr="004B0F24" w:rsidRDefault="004B0F24" w:rsidP="004B0F24">
      <w:pPr>
        <w:pStyle w:val="ListParagraph"/>
        <w:numPr>
          <w:ilvl w:val="0"/>
          <w:numId w:val="43"/>
        </w:numPr>
        <w:spacing w:line="240" w:lineRule="auto"/>
        <w:rPr>
          <w:rFonts w:eastAsia="Times New Roman" w:cs="Arial"/>
        </w:rPr>
      </w:pPr>
      <w:r w:rsidRPr="004B0F24">
        <w:rPr>
          <w:rFonts w:eastAsia="Times New Roman" w:cs="Arial"/>
          <w:color w:val="000000"/>
          <w:lang w:eastAsia="bg-BG"/>
        </w:rPr>
        <w:t>Тахикардия, назална конгестия и ринит, „чести" (т.е. ≥1/100 до &lt;1/10) при педиатричните пациенти, а „нечести** (т.е. ≥1/1 000 до &lt;1/100) в популацията при възрастни.</w:t>
      </w:r>
    </w:p>
    <w:p w14:paraId="69CE3F49" w14:textId="77777777" w:rsidR="004B0F24" w:rsidRPr="004B0F24" w:rsidRDefault="004B0F24" w:rsidP="004B0F24">
      <w:pPr>
        <w:pStyle w:val="ListParagraph"/>
        <w:numPr>
          <w:ilvl w:val="0"/>
          <w:numId w:val="43"/>
        </w:numPr>
        <w:spacing w:line="240" w:lineRule="auto"/>
        <w:rPr>
          <w:rFonts w:eastAsia="Times New Roman" w:cs="Arial"/>
        </w:rPr>
      </w:pPr>
      <w:r w:rsidRPr="004B0F24">
        <w:rPr>
          <w:rFonts w:eastAsia="Times New Roman" w:cs="Arial"/>
          <w:color w:val="000000"/>
          <w:lang w:eastAsia="bg-BG"/>
        </w:rPr>
        <w:t>Конюнктивит, „чести“ (т.е. ≥1/100 до &lt;1/10) при педиатричните пациенти, но „редки“ (т.е. ≥1/10 000 до &lt;1/1 000) в популацията при възрастни.</w:t>
      </w:r>
    </w:p>
    <w:p w14:paraId="469CEDFC" w14:textId="5AA0E717" w:rsidR="004B0F24" w:rsidRPr="004B0F24" w:rsidRDefault="004B0F24" w:rsidP="004B0F24">
      <w:pPr>
        <w:pStyle w:val="ListParagraph"/>
        <w:numPr>
          <w:ilvl w:val="0"/>
          <w:numId w:val="43"/>
        </w:numPr>
        <w:spacing w:line="240" w:lineRule="auto"/>
        <w:rPr>
          <w:rFonts w:eastAsia="Times New Roman" w:cs="Arial"/>
        </w:rPr>
      </w:pPr>
      <w:r w:rsidRPr="004B0F24">
        <w:rPr>
          <w:rFonts w:eastAsia="Times New Roman" w:cs="Arial"/>
          <w:color w:val="000000"/>
          <w:lang w:eastAsia="bg-BG"/>
        </w:rPr>
        <w:t>Тремор и уртикария, „нечести“ (т.е. ≥1/1 000 до &lt;1/100) при педиатричните пациенти, но „редки" (т.е. ≥1/10 000 до &lt;1/1 000) в популацията при възрастни.</w:t>
      </w:r>
    </w:p>
    <w:p w14:paraId="0D62B68A" w14:textId="77777777" w:rsidR="004B0F24" w:rsidRPr="004B0F24" w:rsidRDefault="004B0F24" w:rsidP="004B0F24">
      <w:pPr>
        <w:spacing w:line="240" w:lineRule="auto"/>
        <w:rPr>
          <w:rFonts w:eastAsia="Times New Roman" w:cs="Arial"/>
        </w:rPr>
      </w:pPr>
      <w:r w:rsidRPr="004B0F24">
        <w:rPr>
          <w:rFonts w:eastAsia="Times New Roman" w:cs="Arial"/>
          <w:color w:val="000000"/>
          <w:lang w:eastAsia="bg-BG"/>
        </w:rPr>
        <w:t>Общият профил на безопасност на рамиприл при педиатрични пациенти не се различава значително от профила на безопасност при възрастни.</w:t>
      </w:r>
    </w:p>
    <w:p w14:paraId="55807953" w14:textId="77777777" w:rsidR="004B0F24" w:rsidRPr="004B0F24" w:rsidRDefault="004B0F24" w:rsidP="004B0F24">
      <w:pPr>
        <w:spacing w:line="240" w:lineRule="auto"/>
        <w:rPr>
          <w:rFonts w:eastAsia="Times New Roman" w:cs="Arial"/>
          <w:color w:val="000000"/>
          <w:u w:val="single"/>
          <w:lang w:eastAsia="bg-BG"/>
        </w:rPr>
      </w:pPr>
    </w:p>
    <w:p w14:paraId="1F018561" w14:textId="285EBCDF" w:rsidR="004B0F24" w:rsidRPr="004B0F24" w:rsidRDefault="004B0F24" w:rsidP="004B0F24">
      <w:pPr>
        <w:spacing w:line="240" w:lineRule="auto"/>
        <w:rPr>
          <w:rFonts w:eastAsia="Times New Roman" w:cs="Arial"/>
        </w:rPr>
      </w:pPr>
      <w:r w:rsidRPr="004B0F24">
        <w:rPr>
          <w:rFonts w:eastAsia="Times New Roman" w:cs="Arial"/>
          <w:color w:val="000000"/>
          <w:u w:val="single"/>
          <w:lang w:eastAsia="bg-BG"/>
        </w:rPr>
        <w:t>Съобщаване на подозирани нежелани реакции</w:t>
      </w:r>
    </w:p>
    <w:p w14:paraId="1866AB63" w14:textId="77777777" w:rsidR="004B0F24" w:rsidRPr="004B0F24" w:rsidRDefault="004B0F24" w:rsidP="004B0F24">
      <w:pPr>
        <w:spacing w:line="240" w:lineRule="auto"/>
        <w:rPr>
          <w:rFonts w:eastAsia="Times New Roman" w:cs="Arial"/>
        </w:rPr>
      </w:pPr>
      <w:r w:rsidRPr="004B0F24">
        <w:rPr>
          <w:rFonts w:eastAsia="Times New Roman" w:cs="Arial"/>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 риск за лекарствения продукт. От медицинските специалисти се изисква да съобщават всяка подозирана нежелана реакция чрез националната система за съобщаване:</w:t>
      </w:r>
    </w:p>
    <w:p w14:paraId="35C9C3F1" w14:textId="77777777" w:rsidR="004B0F24" w:rsidRPr="004B0F24" w:rsidRDefault="004B0F24" w:rsidP="004B0F24">
      <w:pPr>
        <w:spacing w:line="240" w:lineRule="auto"/>
        <w:rPr>
          <w:rFonts w:eastAsia="Times New Roman" w:cs="Arial"/>
        </w:rPr>
      </w:pPr>
      <w:r w:rsidRPr="004B0F24">
        <w:rPr>
          <w:rFonts w:eastAsia="Times New Roman" w:cs="Arial"/>
          <w:color w:val="000000"/>
          <w:lang w:eastAsia="bg-BG"/>
        </w:rPr>
        <w:t>Изпълнителна агенция по лекарствата</w:t>
      </w:r>
    </w:p>
    <w:p w14:paraId="186EB943" w14:textId="77777777" w:rsidR="004B0F24" w:rsidRPr="004B0F24" w:rsidRDefault="004B0F24" w:rsidP="004B0F24">
      <w:pPr>
        <w:spacing w:line="240" w:lineRule="auto"/>
        <w:rPr>
          <w:rFonts w:eastAsia="Times New Roman" w:cs="Arial"/>
        </w:rPr>
      </w:pPr>
      <w:r w:rsidRPr="004B0F24">
        <w:rPr>
          <w:rFonts w:eastAsia="Times New Roman" w:cs="Arial"/>
          <w:color w:val="000000"/>
          <w:lang w:eastAsia="bg-BG"/>
        </w:rPr>
        <w:t>ул.,Дамян Груев” № 8</w:t>
      </w:r>
    </w:p>
    <w:p w14:paraId="6AC60878" w14:textId="77777777" w:rsidR="004B0F24" w:rsidRPr="004B0F24" w:rsidRDefault="004B0F24" w:rsidP="004B0F24">
      <w:pPr>
        <w:spacing w:line="240" w:lineRule="auto"/>
        <w:rPr>
          <w:rFonts w:eastAsia="Times New Roman" w:cs="Arial"/>
        </w:rPr>
      </w:pPr>
      <w:r w:rsidRPr="004B0F24">
        <w:rPr>
          <w:rFonts w:eastAsia="Times New Roman" w:cs="Arial"/>
          <w:color w:val="000000"/>
          <w:lang w:eastAsia="bg-BG"/>
        </w:rPr>
        <w:t>1303 София</w:t>
      </w:r>
    </w:p>
    <w:p w14:paraId="4A3FC839" w14:textId="77777777" w:rsidR="004B0F24" w:rsidRPr="004B0F24" w:rsidRDefault="004B0F24" w:rsidP="004B0F24">
      <w:pPr>
        <w:spacing w:line="240" w:lineRule="auto"/>
        <w:rPr>
          <w:rFonts w:eastAsia="Times New Roman" w:cs="Arial"/>
        </w:rPr>
      </w:pPr>
      <w:r w:rsidRPr="004B0F24">
        <w:rPr>
          <w:rFonts w:eastAsia="Times New Roman" w:cs="Arial"/>
          <w:color w:val="000000"/>
          <w:lang w:eastAsia="bg-BG"/>
        </w:rPr>
        <w:t>Тел.:+35 928903417</w:t>
      </w:r>
    </w:p>
    <w:p w14:paraId="0BF10A74" w14:textId="77777777" w:rsidR="004B0F24" w:rsidRPr="004B0F24" w:rsidRDefault="004B0F24" w:rsidP="004B0F24">
      <w:pPr>
        <w:spacing w:line="240" w:lineRule="auto"/>
        <w:rPr>
          <w:rFonts w:eastAsia="Times New Roman" w:cs="Arial"/>
        </w:rPr>
      </w:pPr>
      <w:r w:rsidRPr="004B0F24">
        <w:rPr>
          <w:rFonts w:eastAsia="Times New Roman" w:cs="Arial"/>
          <w:color w:val="000000"/>
          <w:lang w:eastAsia="bg-BG"/>
        </w:rPr>
        <w:t xml:space="preserve">уебсайт: </w:t>
      </w:r>
      <w:r w:rsidRPr="004B0F24">
        <w:rPr>
          <w:rFonts w:eastAsia="Times New Roman" w:cs="Arial"/>
        </w:rPr>
        <w:fldChar w:fldCharType="begin"/>
      </w:r>
      <w:r w:rsidRPr="004B0F24">
        <w:rPr>
          <w:rFonts w:eastAsia="Times New Roman" w:cs="Arial"/>
        </w:rPr>
        <w:instrText xml:space="preserve"> HYPERLINK "http://www.bda.bg" </w:instrText>
      </w:r>
      <w:r w:rsidRPr="004B0F24">
        <w:rPr>
          <w:rFonts w:eastAsia="Times New Roman" w:cs="Arial"/>
        </w:rPr>
      </w:r>
      <w:r w:rsidRPr="004B0F24">
        <w:rPr>
          <w:rFonts w:eastAsia="Times New Roman" w:cs="Arial"/>
        </w:rPr>
        <w:fldChar w:fldCharType="separate"/>
      </w:r>
      <w:r w:rsidRPr="004B0F24">
        <w:rPr>
          <w:rFonts w:eastAsia="Times New Roman" w:cs="Arial"/>
          <w:color w:val="000000"/>
          <w:u w:val="single"/>
          <w:lang w:val="en-US"/>
        </w:rPr>
        <w:t>www</w:t>
      </w:r>
      <w:r w:rsidRPr="004B0F24">
        <w:rPr>
          <w:rFonts w:eastAsia="Times New Roman" w:cs="Arial"/>
          <w:color w:val="000000"/>
          <w:u w:val="single"/>
          <w:lang w:val="ru-RU"/>
        </w:rPr>
        <w:t>.</w:t>
      </w:r>
      <w:proofErr w:type="spellStart"/>
      <w:r w:rsidRPr="004B0F24">
        <w:rPr>
          <w:rFonts w:eastAsia="Times New Roman" w:cs="Arial"/>
          <w:color w:val="000000"/>
          <w:u w:val="single"/>
          <w:lang w:val="en-US"/>
        </w:rPr>
        <w:t>bda</w:t>
      </w:r>
      <w:proofErr w:type="spellEnd"/>
      <w:r w:rsidRPr="004B0F24">
        <w:rPr>
          <w:rFonts w:eastAsia="Times New Roman" w:cs="Arial"/>
          <w:color w:val="000000"/>
          <w:u w:val="single"/>
          <w:lang w:val="ru-RU"/>
        </w:rPr>
        <w:t>.</w:t>
      </w:r>
      <w:proofErr w:type="spellStart"/>
      <w:r w:rsidRPr="004B0F24">
        <w:rPr>
          <w:rFonts w:eastAsia="Times New Roman" w:cs="Arial"/>
          <w:color w:val="000000"/>
          <w:u w:val="single"/>
          <w:lang w:val="en-US"/>
        </w:rPr>
        <w:t>bg</w:t>
      </w:r>
      <w:proofErr w:type="spellEnd"/>
      <w:r w:rsidRPr="004B0F24">
        <w:rPr>
          <w:rFonts w:eastAsia="Times New Roman" w:cs="Arial"/>
        </w:rPr>
        <w:fldChar w:fldCharType="end"/>
      </w:r>
    </w:p>
    <w:p w14:paraId="4B1FE807" w14:textId="77777777" w:rsidR="004B0F24" w:rsidRPr="004B0F24" w:rsidRDefault="004B0F24" w:rsidP="004B0F24"/>
    <w:p w14:paraId="5A87DBA3" w14:textId="405AC3A3" w:rsidR="007122AD" w:rsidRDefault="002C50EE" w:rsidP="00936AD0">
      <w:pPr>
        <w:pStyle w:val="Heading2"/>
      </w:pPr>
      <w:r>
        <w:t>4.9. Предозиране</w:t>
      </w:r>
    </w:p>
    <w:p w14:paraId="75100ED7" w14:textId="04164B04" w:rsidR="004B0F24" w:rsidRDefault="004B0F24" w:rsidP="004B0F24"/>
    <w:p w14:paraId="7E2AAF0B" w14:textId="77777777" w:rsidR="004B0F24" w:rsidRPr="004B0F24" w:rsidRDefault="004B0F24" w:rsidP="004B0F24">
      <w:pPr>
        <w:pStyle w:val="Heading3"/>
        <w:rPr>
          <w:rFonts w:eastAsia="Times New Roman"/>
          <w:sz w:val="28"/>
          <w:u w:val="single"/>
        </w:rPr>
      </w:pPr>
      <w:r w:rsidRPr="004B0F24">
        <w:rPr>
          <w:rFonts w:eastAsia="Times New Roman"/>
          <w:u w:val="single"/>
          <w:lang w:eastAsia="bg-BG"/>
        </w:rPr>
        <w:t>Сипмтоми</w:t>
      </w:r>
    </w:p>
    <w:p w14:paraId="66488422" w14:textId="3C5FF247" w:rsidR="004B0F24" w:rsidRPr="004B0F24" w:rsidRDefault="004B0F24" w:rsidP="004B0F24">
      <w:pPr>
        <w:rPr>
          <w:rFonts w:eastAsia="Times New Roman" w:cs="Arial"/>
          <w:color w:val="000000"/>
          <w:szCs w:val="20"/>
          <w:lang w:eastAsia="bg-BG"/>
        </w:rPr>
      </w:pPr>
      <w:r w:rsidRPr="004B0F24">
        <w:rPr>
          <w:rFonts w:eastAsia="Times New Roman" w:cs="Arial"/>
          <w:color w:val="000000"/>
          <w:szCs w:val="20"/>
          <w:lang w:eastAsia="bg-BG"/>
        </w:rPr>
        <w:t>Симптомите, свързани с предозиране на АСЕ инхибитори, могат да включват прекомерна периферна вазодилатация (с подчертана хипотония, шок), брадикардия, електролитни нарушения и бъбречна недостатъчност.</w:t>
      </w:r>
    </w:p>
    <w:p w14:paraId="47DE5B92" w14:textId="386BB858" w:rsidR="004B0F24" w:rsidRPr="004B0F24" w:rsidRDefault="004B0F24" w:rsidP="004B0F24">
      <w:pPr>
        <w:rPr>
          <w:rFonts w:eastAsia="Times New Roman" w:cs="Arial"/>
          <w:color w:val="000000"/>
          <w:szCs w:val="20"/>
          <w:lang w:eastAsia="bg-BG"/>
        </w:rPr>
      </w:pPr>
    </w:p>
    <w:p w14:paraId="462445D7" w14:textId="77777777" w:rsidR="004B0F24" w:rsidRPr="004B0F24" w:rsidRDefault="004B0F24" w:rsidP="004B0F24">
      <w:pPr>
        <w:pStyle w:val="Heading3"/>
        <w:rPr>
          <w:rFonts w:eastAsia="Times New Roman"/>
          <w:sz w:val="28"/>
          <w:u w:val="single"/>
        </w:rPr>
      </w:pPr>
      <w:r w:rsidRPr="004B0F24">
        <w:rPr>
          <w:rFonts w:eastAsia="Times New Roman"/>
          <w:u w:val="single"/>
          <w:lang w:eastAsia="bg-BG"/>
        </w:rPr>
        <w:t>Овладяване на симптомите</w:t>
      </w:r>
    </w:p>
    <w:p w14:paraId="178BECAD" w14:textId="78983021" w:rsidR="004B0F24" w:rsidRPr="004B0F24" w:rsidRDefault="004B0F24" w:rsidP="004B0F24">
      <w:pPr>
        <w:rPr>
          <w:rFonts w:cs="Arial"/>
          <w:sz w:val="24"/>
        </w:rPr>
      </w:pPr>
      <w:r w:rsidRPr="004B0F24">
        <w:rPr>
          <w:rFonts w:eastAsia="Times New Roman" w:cs="Arial"/>
          <w:color w:val="000000"/>
          <w:szCs w:val="20"/>
          <w:lang w:eastAsia="bg-BG"/>
        </w:rPr>
        <w:t xml:space="preserve">Пациентът трябва да бъде стриктно наблюдаван, лечението трябва да бъде симптоматично и поддържащо. Предлаганите мерки включват първоначална детоксикация (стомашна промивка, прилагане на адсорбенти) и мерки за възстановяване на хемодинамичната стабилност, включително прилагане на алфа 1-адренергични агонисти или ангиотензин II (ангиотензинамид). Рамиприлат, активният метаболит на </w:t>
      </w:r>
      <w:r w:rsidRPr="004B0F24">
        <w:rPr>
          <w:rFonts w:eastAsia="Times New Roman" w:cs="Arial"/>
          <w:color w:val="000000"/>
          <w:szCs w:val="20"/>
          <w:lang w:eastAsia="bg-BG"/>
        </w:rPr>
        <w:lastRenderedPageBreak/>
        <w:t>рамиприл, се отстранява незадоволително чрез хемодиализа от общото крьвообръщение.</w:t>
      </w:r>
    </w:p>
    <w:p w14:paraId="02081B24" w14:textId="36FE76F4" w:rsidR="00395555" w:rsidRPr="00395555" w:rsidRDefault="002C50EE" w:rsidP="008A6AF2">
      <w:pPr>
        <w:pStyle w:val="Heading1"/>
      </w:pPr>
      <w:r>
        <w:t>5. ФАРМАКОЛОГИЧНИ СВОЙСТВА</w:t>
      </w:r>
    </w:p>
    <w:p w14:paraId="6339E404" w14:textId="7665DDC1" w:rsidR="00875EEC" w:rsidRDefault="002C50EE" w:rsidP="005726E3">
      <w:pPr>
        <w:pStyle w:val="Heading2"/>
      </w:pPr>
      <w:r>
        <w:t>5.1. Фармакодинамични свойства</w:t>
      </w:r>
    </w:p>
    <w:p w14:paraId="3CF92488" w14:textId="3CFB5324" w:rsidR="004B0F24" w:rsidRDefault="004B0F24" w:rsidP="004B0F24"/>
    <w:p w14:paraId="61F79A19" w14:textId="77777777" w:rsidR="004B0F24" w:rsidRPr="004B0F24" w:rsidRDefault="004B0F24" w:rsidP="004B0F24">
      <w:pPr>
        <w:spacing w:line="240" w:lineRule="auto"/>
        <w:rPr>
          <w:rFonts w:eastAsia="Times New Roman" w:cs="Arial"/>
          <w:sz w:val="28"/>
          <w:szCs w:val="24"/>
        </w:rPr>
      </w:pPr>
      <w:r w:rsidRPr="004B0F24">
        <w:rPr>
          <w:rFonts w:eastAsia="Times New Roman" w:cs="Arial"/>
          <w:color w:val="000000"/>
          <w:szCs w:val="20"/>
          <w:lang w:eastAsia="bg-BG"/>
        </w:rPr>
        <w:t>Фармакотерапевтична група: АСЕ инхибитори, АТС код: С09А А05</w:t>
      </w:r>
    </w:p>
    <w:p w14:paraId="7F09EE26" w14:textId="77777777" w:rsidR="004B0F24" w:rsidRPr="004B0F24" w:rsidRDefault="004B0F24" w:rsidP="004B0F24">
      <w:pPr>
        <w:spacing w:line="240" w:lineRule="auto"/>
        <w:rPr>
          <w:rFonts w:eastAsia="Times New Roman" w:cs="Arial"/>
          <w:i/>
          <w:iCs/>
          <w:color w:val="000000"/>
          <w:szCs w:val="20"/>
          <w:u w:val="single"/>
          <w:lang w:eastAsia="bg-BG"/>
        </w:rPr>
      </w:pPr>
    </w:p>
    <w:p w14:paraId="72DF9569" w14:textId="6965BCD4" w:rsidR="004B0F24" w:rsidRPr="004B0F24" w:rsidRDefault="004B0F24" w:rsidP="004B0F24">
      <w:pPr>
        <w:spacing w:line="240" w:lineRule="auto"/>
        <w:rPr>
          <w:rFonts w:eastAsia="Times New Roman" w:cs="Arial"/>
          <w:sz w:val="28"/>
          <w:szCs w:val="24"/>
        </w:rPr>
      </w:pPr>
      <w:r w:rsidRPr="004B0F24">
        <w:rPr>
          <w:rFonts w:eastAsia="Times New Roman" w:cs="Arial"/>
          <w:i/>
          <w:iCs/>
          <w:color w:val="000000"/>
          <w:szCs w:val="20"/>
          <w:u w:val="single"/>
          <w:lang w:eastAsia="bg-BG"/>
        </w:rPr>
        <w:t>Механизъм на действие</w:t>
      </w:r>
    </w:p>
    <w:p w14:paraId="0673BF4E" w14:textId="77777777" w:rsidR="004B0F24" w:rsidRPr="004B0F24" w:rsidRDefault="004B0F24" w:rsidP="004B0F24">
      <w:pPr>
        <w:spacing w:line="240" w:lineRule="auto"/>
        <w:rPr>
          <w:rFonts w:eastAsia="Times New Roman" w:cs="Arial"/>
          <w:sz w:val="28"/>
          <w:szCs w:val="24"/>
        </w:rPr>
      </w:pPr>
      <w:r w:rsidRPr="004B0F24">
        <w:rPr>
          <w:rFonts w:eastAsia="Times New Roman" w:cs="Arial"/>
          <w:color w:val="000000"/>
          <w:szCs w:val="20"/>
          <w:lang w:eastAsia="bg-BG"/>
        </w:rPr>
        <w:t>Рамиприлат, активният метаболит на предлекарството рамиприл, инхибира ензима дипептидилкарбоксипептидаза I (синоними: ангиотензин-конвертиращ ензим; кининаза II). В плазмата и тъканите този ензим катализира конвертирането на ангиотензин I до активния вазоконстриктор ангиотензин II, както и инхибира разграждането на активния вазодилататор бради кинин. Пониженото образуване на ангиотензин II и инхибиране на разграждането на брадикинин, водят до вазодилатация.</w:t>
      </w:r>
    </w:p>
    <w:p w14:paraId="217EC504" w14:textId="77777777" w:rsidR="004B0F24" w:rsidRPr="004B0F24" w:rsidRDefault="004B0F24" w:rsidP="004B0F24">
      <w:pPr>
        <w:spacing w:line="240" w:lineRule="auto"/>
        <w:rPr>
          <w:rFonts w:eastAsia="Times New Roman" w:cs="Arial"/>
          <w:sz w:val="28"/>
          <w:szCs w:val="24"/>
        </w:rPr>
      </w:pPr>
      <w:r w:rsidRPr="004B0F24">
        <w:rPr>
          <w:rFonts w:eastAsia="Times New Roman" w:cs="Arial"/>
          <w:color w:val="000000"/>
          <w:szCs w:val="20"/>
          <w:lang w:eastAsia="bg-BG"/>
        </w:rPr>
        <w:t>Тъй като ангиотензин II стимулира освобождаването на алдостерон, рамиприлат води до намаляване на алдостероновата секреция. Средностатистически повлияването от монотерапия с АСЕ инхибитор е по-слабо при чернокожи (афро-карибска раса) хипертонични пациенти (обикновено популация с хипертония с нисък ренин), отколкото при нечернокожи пациенти.</w:t>
      </w:r>
    </w:p>
    <w:p w14:paraId="5B80D529" w14:textId="77777777" w:rsidR="004B0F24" w:rsidRPr="004B0F24" w:rsidRDefault="004B0F24" w:rsidP="004B0F24">
      <w:pPr>
        <w:spacing w:line="240" w:lineRule="auto"/>
        <w:rPr>
          <w:rFonts w:eastAsia="Times New Roman" w:cs="Arial"/>
          <w:i/>
          <w:iCs/>
          <w:color w:val="000000"/>
          <w:szCs w:val="20"/>
          <w:u w:val="single"/>
          <w:lang w:eastAsia="bg-BG"/>
        </w:rPr>
      </w:pPr>
    </w:p>
    <w:p w14:paraId="1758EE57" w14:textId="3B021F8A" w:rsidR="004B0F24" w:rsidRPr="004B0F24" w:rsidRDefault="004B0F24" w:rsidP="004B0F24">
      <w:pPr>
        <w:spacing w:line="240" w:lineRule="auto"/>
        <w:rPr>
          <w:rFonts w:eastAsia="Times New Roman" w:cs="Arial"/>
          <w:sz w:val="28"/>
          <w:szCs w:val="24"/>
        </w:rPr>
      </w:pPr>
      <w:r w:rsidRPr="004B0F24">
        <w:rPr>
          <w:rFonts w:eastAsia="Times New Roman" w:cs="Arial"/>
          <w:i/>
          <w:iCs/>
          <w:color w:val="000000"/>
          <w:szCs w:val="20"/>
          <w:u w:val="single"/>
          <w:lang w:eastAsia="bg-BG"/>
        </w:rPr>
        <w:t>Фармакодинамични ефекти</w:t>
      </w:r>
    </w:p>
    <w:p w14:paraId="49BC48CF" w14:textId="77777777" w:rsidR="004B0F24" w:rsidRPr="004B0F24" w:rsidRDefault="004B0F24" w:rsidP="004B0F24">
      <w:pPr>
        <w:spacing w:line="240" w:lineRule="auto"/>
        <w:rPr>
          <w:rFonts w:eastAsia="Times New Roman" w:cs="Arial"/>
          <w:sz w:val="28"/>
          <w:szCs w:val="24"/>
        </w:rPr>
      </w:pPr>
      <w:r w:rsidRPr="004B0F24">
        <w:rPr>
          <w:rFonts w:eastAsia="Times New Roman" w:cs="Arial"/>
          <w:color w:val="000000"/>
          <w:szCs w:val="20"/>
          <w:lang w:eastAsia="bg-BG"/>
        </w:rPr>
        <w:t>Антихипертензивни свойства:</w:t>
      </w:r>
    </w:p>
    <w:p w14:paraId="574218CC" w14:textId="77777777" w:rsidR="004B0F24" w:rsidRPr="004B0F24" w:rsidRDefault="004B0F24" w:rsidP="004B0F24">
      <w:pPr>
        <w:spacing w:line="240" w:lineRule="auto"/>
        <w:rPr>
          <w:rFonts w:eastAsia="Times New Roman" w:cs="Arial"/>
          <w:sz w:val="28"/>
          <w:szCs w:val="24"/>
        </w:rPr>
      </w:pPr>
      <w:r w:rsidRPr="004B0F24">
        <w:rPr>
          <w:rFonts w:eastAsia="Times New Roman" w:cs="Arial"/>
          <w:color w:val="000000"/>
          <w:szCs w:val="20"/>
          <w:lang w:eastAsia="bg-BG"/>
        </w:rPr>
        <w:t>Прилагането на рамиприл води до значително понижаване на периферната артериална резистентност. В повечето случаи няма значими промени в бъбречния крьвоток и скоростта на гломерулната филтрация. Прилагането на рамиприл при пациенти с хипертония води до понижаване на кръвното налягане в изправено и легнало положение, без компенсаторно повишаване на сърдечната честота.</w:t>
      </w:r>
    </w:p>
    <w:p w14:paraId="1DBE1DA8" w14:textId="77777777" w:rsidR="004B0F24" w:rsidRPr="004B0F24" w:rsidRDefault="004B0F24" w:rsidP="004B0F24">
      <w:pPr>
        <w:spacing w:line="240" w:lineRule="auto"/>
        <w:rPr>
          <w:rFonts w:eastAsia="Times New Roman" w:cs="Arial"/>
          <w:sz w:val="28"/>
          <w:szCs w:val="24"/>
        </w:rPr>
      </w:pPr>
      <w:r w:rsidRPr="004B0F24">
        <w:rPr>
          <w:rFonts w:eastAsia="Times New Roman" w:cs="Arial"/>
          <w:color w:val="000000"/>
          <w:szCs w:val="20"/>
          <w:lang w:eastAsia="bg-BG"/>
        </w:rPr>
        <w:t>При повечето пациенти началото на антихипертензивния ефект на еднократната доза се проявява 1 до 2 часа след перорално приложение. Пиковият ефект на еднократната доза , обикновено се достига 3 до б часа след перорално приложение. Антихипертензивният ефект на еднократна доза обикновено продължава 24 часа.</w:t>
      </w:r>
    </w:p>
    <w:p w14:paraId="21847DD1" w14:textId="77777777" w:rsidR="004B0F24" w:rsidRPr="004B0F24" w:rsidRDefault="004B0F24" w:rsidP="004B0F24">
      <w:pPr>
        <w:spacing w:line="240" w:lineRule="auto"/>
        <w:rPr>
          <w:rFonts w:eastAsia="Times New Roman" w:cs="Arial"/>
          <w:sz w:val="28"/>
          <w:szCs w:val="24"/>
        </w:rPr>
      </w:pPr>
      <w:r w:rsidRPr="004B0F24">
        <w:rPr>
          <w:rFonts w:eastAsia="Times New Roman" w:cs="Arial"/>
          <w:color w:val="000000"/>
          <w:szCs w:val="20"/>
          <w:lang w:eastAsia="bg-BG"/>
        </w:rPr>
        <w:t>Максималният антихипертензивен ефект на продължително лечение с рамиприл обикновено настъпва след 3 до 4 седмици. Доказано е, че антихипертензивният ефект е постоянен при дълготрайна терапия продължаваща 2 години.</w:t>
      </w:r>
    </w:p>
    <w:p w14:paraId="72DB6ED9" w14:textId="77777777" w:rsidR="004B0F24" w:rsidRPr="004B0F24" w:rsidRDefault="004B0F24" w:rsidP="004B0F24">
      <w:pPr>
        <w:spacing w:line="240" w:lineRule="auto"/>
        <w:rPr>
          <w:rFonts w:eastAsia="Times New Roman" w:cs="Arial"/>
          <w:sz w:val="28"/>
          <w:szCs w:val="24"/>
        </w:rPr>
      </w:pPr>
      <w:r w:rsidRPr="004B0F24">
        <w:rPr>
          <w:rFonts w:eastAsia="Times New Roman" w:cs="Arial"/>
          <w:color w:val="000000"/>
          <w:szCs w:val="20"/>
          <w:lang w:eastAsia="bg-BG"/>
        </w:rPr>
        <w:t>Рязкото прекъсване приема на рамиприл не води до бърз и прекомерен ребаунд ефект на повишаване на кръвното налягане.</w:t>
      </w:r>
    </w:p>
    <w:p w14:paraId="25FD0083" w14:textId="77777777" w:rsidR="004B0F24" w:rsidRPr="004B0F24" w:rsidRDefault="004B0F24" w:rsidP="004B0F24">
      <w:pPr>
        <w:spacing w:line="240" w:lineRule="auto"/>
        <w:rPr>
          <w:rFonts w:eastAsia="Times New Roman" w:cs="Arial"/>
          <w:color w:val="000000"/>
          <w:szCs w:val="20"/>
          <w:lang w:eastAsia="bg-BG"/>
        </w:rPr>
      </w:pPr>
    </w:p>
    <w:p w14:paraId="67387650" w14:textId="787E728A" w:rsidR="004B0F24" w:rsidRPr="004B0F24" w:rsidRDefault="004B0F24" w:rsidP="004B0F24">
      <w:pPr>
        <w:spacing w:line="240" w:lineRule="auto"/>
        <w:rPr>
          <w:rFonts w:eastAsia="Times New Roman" w:cs="Arial"/>
          <w:sz w:val="28"/>
          <w:szCs w:val="24"/>
        </w:rPr>
      </w:pPr>
      <w:r w:rsidRPr="004B0F24">
        <w:rPr>
          <w:rFonts w:eastAsia="Times New Roman" w:cs="Arial"/>
          <w:color w:val="000000"/>
          <w:szCs w:val="20"/>
          <w:lang w:eastAsia="bg-BG"/>
        </w:rPr>
        <w:t>Сърдечна недостатъчност:</w:t>
      </w:r>
    </w:p>
    <w:p w14:paraId="6767BC4B" w14:textId="77777777" w:rsidR="004B0F24" w:rsidRPr="004B0F24" w:rsidRDefault="004B0F24" w:rsidP="004B0F24">
      <w:pPr>
        <w:rPr>
          <w:rFonts w:eastAsia="Times New Roman" w:cs="Arial"/>
          <w:sz w:val="28"/>
          <w:szCs w:val="24"/>
        </w:rPr>
      </w:pPr>
      <w:r w:rsidRPr="004B0F24">
        <w:rPr>
          <w:rFonts w:eastAsia="Times New Roman" w:cs="Arial"/>
          <w:color w:val="000000"/>
          <w:szCs w:val="20"/>
          <w:lang w:eastAsia="bg-BG"/>
        </w:rPr>
        <w:t xml:space="preserve">Като добавка към конвенционалната терапия с диуретици и изборно със сърдечни гликозиди, рамиприл показва ефективност при пациенти с функционален клас </w:t>
      </w:r>
      <w:r w:rsidRPr="004B0F24">
        <w:rPr>
          <w:rFonts w:eastAsia="Times New Roman" w:cs="Arial"/>
          <w:color w:val="000000"/>
          <w:szCs w:val="20"/>
          <w:lang w:val="en-US"/>
        </w:rPr>
        <w:t>II</w:t>
      </w:r>
      <w:r w:rsidRPr="004B0F24">
        <w:rPr>
          <w:rFonts w:eastAsia="Times New Roman" w:cs="Arial"/>
          <w:color w:val="000000"/>
          <w:szCs w:val="20"/>
          <w:lang w:val="ru-RU"/>
        </w:rPr>
        <w:t>-</w:t>
      </w:r>
      <w:r w:rsidRPr="004B0F24">
        <w:rPr>
          <w:rFonts w:eastAsia="Times New Roman" w:cs="Arial"/>
          <w:color w:val="000000"/>
          <w:szCs w:val="20"/>
          <w:lang w:val="en-US"/>
        </w:rPr>
        <w:t>IV</w:t>
      </w:r>
      <w:r w:rsidRPr="004B0F24">
        <w:rPr>
          <w:rFonts w:eastAsia="Times New Roman" w:cs="Arial"/>
          <w:color w:val="000000"/>
          <w:szCs w:val="20"/>
          <w:lang w:val="ru-RU"/>
        </w:rPr>
        <w:t xml:space="preserve"> </w:t>
      </w:r>
      <w:r w:rsidRPr="004B0F24">
        <w:rPr>
          <w:rFonts w:eastAsia="Times New Roman" w:cs="Arial"/>
          <w:color w:val="000000"/>
          <w:szCs w:val="20"/>
          <w:lang w:eastAsia="bg-BG"/>
        </w:rPr>
        <w:t xml:space="preserve">по </w:t>
      </w:r>
      <w:r w:rsidRPr="004B0F24">
        <w:rPr>
          <w:rFonts w:eastAsia="Times New Roman" w:cs="Arial"/>
          <w:color w:val="000000"/>
          <w:szCs w:val="20"/>
          <w:lang w:val="en-US"/>
        </w:rPr>
        <w:t>New</w:t>
      </w:r>
      <w:r w:rsidRPr="004B0F24">
        <w:rPr>
          <w:rFonts w:eastAsia="Times New Roman" w:cs="Arial"/>
          <w:color w:val="000000"/>
          <w:szCs w:val="20"/>
          <w:lang w:val="ru-RU"/>
        </w:rPr>
        <w:t>-</w:t>
      </w:r>
      <w:r w:rsidRPr="004B0F24">
        <w:rPr>
          <w:rFonts w:eastAsia="Times New Roman" w:cs="Arial"/>
          <w:color w:val="000000"/>
          <w:szCs w:val="20"/>
          <w:lang w:val="en-US"/>
        </w:rPr>
        <w:t>York</w:t>
      </w:r>
      <w:r w:rsidRPr="004B0F24">
        <w:rPr>
          <w:rFonts w:eastAsia="Times New Roman" w:cs="Arial"/>
          <w:color w:val="000000"/>
          <w:szCs w:val="20"/>
          <w:lang w:val="ru-RU"/>
        </w:rPr>
        <w:t xml:space="preserve"> </w:t>
      </w:r>
      <w:r w:rsidRPr="004B0F24">
        <w:rPr>
          <w:rFonts w:eastAsia="Times New Roman" w:cs="Arial"/>
          <w:color w:val="000000"/>
          <w:szCs w:val="20"/>
          <w:lang w:val="en-US"/>
        </w:rPr>
        <w:t>Heart</w:t>
      </w:r>
      <w:r w:rsidRPr="004B0F24">
        <w:rPr>
          <w:rFonts w:eastAsia="Times New Roman" w:cs="Arial"/>
          <w:color w:val="000000"/>
          <w:szCs w:val="20"/>
          <w:lang w:val="ru-RU"/>
        </w:rPr>
        <w:t xml:space="preserve"> </w:t>
      </w:r>
      <w:r w:rsidRPr="004B0F24">
        <w:rPr>
          <w:rFonts w:eastAsia="Times New Roman" w:cs="Arial"/>
          <w:color w:val="000000"/>
          <w:szCs w:val="20"/>
          <w:lang w:val="en-US"/>
        </w:rPr>
        <w:t>Association</w:t>
      </w:r>
      <w:r w:rsidRPr="004B0F24">
        <w:rPr>
          <w:rFonts w:eastAsia="Times New Roman" w:cs="Arial"/>
          <w:color w:val="000000"/>
          <w:szCs w:val="20"/>
          <w:lang w:val="ru-RU"/>
        </w:rPr>
        <w:t xml:space="preserve">. </w:t>
      </w:r>
      <w:r w:rsidRPr="004B0F24">
        <w:rPr>
          <w:rFonts w:eastAsia="Times New Roman" w:cs="Arial"/>
          <w:color w:val="000000"/>
          <w:szCs w:val="20"/>
          <w:lang w:eastAsia="bg-BG"/>
        </w:rPr>
        <w:t>Лекарството има ползотворни ефекти върху сърдечната хемодинамика (намаляване на налягането на пълнене на лява и дясна камера намаляване на общата периферна съдова резистентност, повишаване на изходящия сърдечен дебит и подобрен сърдечен индекс). Понижава също невроендокринната активация.</w:t>
      </w:r>
    </w:p>
    <w:p w14:paraId="74C4E162" w14:textId="77777777" w:rsidR="004B0F24" w:rsidRPr="004B0F24" w:rsidRDefault="004B0F24" w:rsidP="004B0F24">
      <w:pPr>
        <w:spacing w:line="240" w:lineRule="auto"/>
        <w:rPr>
          <w:rFonts w:eastAsia="Times New Roman" w:cs="Arial"/>
          <w:i/>
          <w:iCs/>
          <w:color w:val="000000"/>
          <w:szCs w:val="20"/>
          <w:u w:val="single"/>
          <w:lang w:eastAsia="bg-BG"/>
        </w:rPr>
      </w:pPr>
    </w:p>
    <w:p w14:paraId="11AF87F4" w14:textId="1CFB6E58" w:rsidR="004B0F24" w:rsidRPr="004B0F24" w:rsidRDefault="004B0F24" w:rsidP="004B0F24">
      <w:pPr>
        <w:spacing w:line="240" w:lineRule="auto"/>
        <w:rPr>
          <w:rFonts w:eastAsia="Times New Roman" w:cs="Arial"/>
          <w:sz w:val="28"/>
          <w:szCs w:val="24"/>
        </w:rPr>
      </w:pPr>
      <w:r w:rsidRPr="004B0F24">
        <w:rPr>
          <w:rFonts w:eastAsia="Times New Roman" w:cs="Arial"/>
          <w:i/>
          <w:iCs/>
          <w:color w:val="000000"/>
          <w:szCs w:val="20"/>
          <w:u w:val="single"/>
          <w:lang w:eastAsia="bg-BG"/>
        </w:rPr>
        <w:t>Клинична ефикасност и безопасност</w:t>
      </w:r>
    </w:p>
    <w:p w14:paraId="15FF550A" w14:textId="77777777" w:rsidR="004B0F24" w:rsidRPr="004B0F24" w:rsidRDefault="004B0F24" w:rsidP="004B0F24">
      <w:pPr>
        <w:spacing w:line="240" w:lineRule="auto"/>
        <w:rPr>
          <w:rFonts w:eastAsia="Times New Roman" w:cs="Arial"/>
          <w:sz w:val="28"/>
          <w:szCs w:val="24"/>
        </w:rPr>
      </w:pPr>
      <w:r w:rsidRPr="004B0F24">
        <w:rPr>
          <w:rFonts w:eastAsia="Times New Roman" w:cs="Arial"/>
          <w:color w:val="000000"/>
          <w:szCs w:val="20"/>
          <w:u w:val="single"/>
          <w:lang w:eastAsia="bg-BG"/>
        </w:rPr>
        <w:t>Сърдечно-съдова превенпия/нефрошхугекция:</w:t>
      </w:r>
    </w:p>
    <w:p w14:paraId="7F6E195A" w14:textId="77777777" w:rsidR="004B0F24" w:rsidRPr="004B0F24" w:rsidRDefault="004B0F24" w:rsidP="004B0F24">
      <w:pPr>
        <w:spacing w:line="240" w:lineRule="auto"/>
        <w:rPr>
          <w:rFonts w:eastAsia="Times New Roman" w:cs="Arial"/>
          <w:sz w:val="28"/>
          <w:szCs w:val="24"/>
        </w:rPr>
      </w:pPr>
      <w:r w:rsidRPr="004B0F24">
        <w:rPr>
          <w:rFonts w:eastAsia="Times New Roman" w:cs="Arial"/>
          <w:color w:val="000000"/>
          <w:szCs w:val="20"/>
          <w:lang w:eastAsia="bg-BG"/>
        </w:rPr>
        <w:lastRenderedPageBreak/>
        <w:t>Проведено е плацебо контролирано проучване за превенция (проучването НОРЕ), при което рамиприл е бил добавен към стандартната терапия при повече от 9 200 пациенти. Пациентите с повишен риск от сърдечно-съдово заболяване, атеротромботична кардиоваскуларна болест (анамнеза за коронарна болест на сърцето, инсулт или периферно съдово заболяване) или захарен диабет с поне един съпътстващ рисков фактор (доказана микроалбуминурия, хипертония, повишени нива на общия холестерол, ниско ниво на липопротеините с висока плътност или тютюнопушене) са били включени в изпитването.</w:t>
      </w:r>
    </w:p>
    <w:p w14:paraId="3DCF7ECB" w14:textId="77777777" w:rsidR="004B0F24" w:rsidRPr="004B0F24" w:rsidRDefault="004B0F24" w:rsidP="004B0F24">
      <w:pPr>
        <w:spacing w:line="240" w:lineRule="auto"/>
        <w:rPr>
          <w:rFonts w:eastAsia="Times New Roman" w:cs="Arial"/>
          <w:sz w:val="28"/>
          <w:szCs w:val="24"/>
        </w:rPr>
      </w:pPr>
      <w:r w:rsidRPr="004B0F24">
        <w:rPr>
          <w:rFonts w:eastAsia="Times New Roman" w:cs="Arial"/>
          <w:color w:val="000000"/>
          <w:szCs w:val="20"/>
          <w:lang w:eastAsia="bg-BG"/>
        </w:rPr>
        <w:t>Изпитването показва, че рамиприл статистически значимо понижава честотата на миокарден инфаркт, сърдечно-съдова смърт и инсулт, самостоятелно или в комбинация (първично комбинирани събития).</w:t>
      </w:r>
    </w:p>
    <w:p w14:paraId="782249CA" w14:textId="77777777" w:rsidR="004B0F24" w:rsidRPr="004B0F24" w:rsidRDefault="004B0F24" w:rsidP="004B0F24">
      <w:pPr>
        <w:spacing w:line="240" w:lineRule="auto"/>
        <w:rPr>
          <w:rFonts w:eastAsia="Times New Roman" w:cs="Arial"/>
          <w:b/>
          <w:bCs/>
          <w:color w:val="000000"/>
          <w:szCs w:val="20"/>
          <w:lang w:eastAsia="bg-BG"/>
        </w:rPr>
      </w:pPr>
    </w:p>
    <w:p w14:paraId="5C3FF734" w14:textId="3F226F5E" w:rsidR="004B0F24" w:rsidRDefault="004B0F24" w:rsidP="004B0F24">
      <w:pPr>
        <w:spacing w:line="240" w:lineRule="auto"/>
        <w:rPr>
          <w:rFonts w:eastAsia="Times New Roman" w:cs="Arial"/>
          <w:b/>
          <w:bCs/>
          <w:color w:val="000000"/>
          <w:szCs w:val="20"/>
          <w:lang w:eastAsia="bg-BG"/>
        </w:rPr>
      </w:pPr>
      <w:r w:rsidRPr="004B0F24">
        <w:rPr>
          <w:rFonts w:eastAsia="Times New Roman" w:cs="Arial"/>
          <w:b/>
          <w:bCs/>
          <w:color w:val="000000"/>
          <w:szCs w:val="20"/>
          <w:lang w:eastAsia="bg-BG"/>
        </w:rPr>
        <w:t>Осиовни резултати от изпитването НОРЕ</w:t>
      </w:r>
    </w:p>
    <w:tbl>
      <w:tblPr>
        <w:tblStyle w:val="TableGrid"/>
        <w:tblW w:w="0" w:type="auto"/>
        <w:tblLook w:val="04A0" w:firstRow="1" w:lastRow="0" w:firstColumn="1" w:lastColumn="0" w:noHBand="0" w:noVBand="1"/>
      </w:tblPr>
      <w:tblGrid>
        <w:gridCol w:w="2105"/>
        <w:gridCol w:w="1809"/>
        <w:gridCol w:w="1788"/>
        <w:gridCol w:w="1858"/>
        <w:gridCol w:w="1790"/>
      </w:tblGrid>
      <w:tr w:rsidR="004B5C36" w14:paraId="3A6B6EFB" w14:textId="77777777" w:rsidTr="004B5C36">
        <w:tc>
          <w:tcPr>
            <w:tcW w:w="1915" w:type="dxa"/>
          </w:tcPr>
          <w:p w14:paraId="77F357AB" w14:textId="77777777" w:rsidR="004B5C36" w:rsidRPr="004B5C36" w:rsidRDefault="004B5C36" w:rsidP="004B5C36">
            <w:pPr>
              <w:spacing w:line="240" w:lineRule="auto"/>
              <w:rPr>
                <w:rFonts w:eastAsia="Times New Roman" w:cs="Arial"/>
                <w:szCs w:val="24"/>
              </w:rPr>
            </w:pPr>
          </w:p>
        </w:tc>
        <w:tc>
          <w:tcPr>
            <w:tcW w:w="1915" w:type="dxa"/>
          </w:tcPr>
          <w:p w14:paraId="4D773421" w14:textId="35F5DD5E" w:rsidR="004B5C36" w:rsidRPr="004B5C36" w:rsidRDefault="004B5C36" w:rsidP="004B5C36">
            <w:pPr>
              <w:spacing w:line="240" w:lineRule="auto"/>
              <w:rPr>
                <w:rFonts w:eastAsia="Times New Roman" w:cs="Arial"/>
                <w:szCs w:val="24"/>
              </w:rPr>
            </w:pPr>
            <w:r w:rsidRPr="004B5C36">
              <w:rPr>
                <w:szCs w:val="20"/>
              </w:rPr>
              <w:t>Рамиприл</w:t>
            </w:r>
          </w:p>
        </w:tc>
        <w:tc>
          <w:tcPr>
            <w:tcW w:w="1915" w:type="dxa"/>
          </w:tcPr>
          <w:p w14:paraId="7117BD50" w14:textId="343A2608" w:rsidR="004B5C36" w:rsidRPr="004B5C36" w:rsidRDefault="004B5C36" w:rsidP="004B5C36">
            <w:pPr>
              <w:spacing w:line="240" w:lineRule="auto"/>
              <w:rPr>
                <w:rFonts w:eastAsia="Times New Roman" w:cs="Arial"/>
                <w:szCs w:val="24"/>
              </w:rPr>
            </w:pPr>
            <w:r w:rsidRPr="004B5C36">
              <w:rPr>
                <w:szCs w:val="20"/>
              </w:rPr>
              <w:t>Плацебо</w:t>
            </w:r>
          </w:p>
        </w:tc>
        <w:tc>
          <w:tcPr>
            <w:tcW w:w="1915" w:type="dxa"/>
          </w:tcPr>
          <w:p w14:paraId="36C69269" w14:textId="35D1E2B0" w:rsidR="004B5C36" w:rsidRPr="004B5C36" w:rsidRDefault="004B5C36" w:rsidP="004B5C36">
            <w:pPr>
              <w:spacing w:line="240" w:lineRule="auto"/>
              <w:rPr>
                <w:rFonts w:eastAsia="Times New Roman" w:cs="Arial"/>
                <w:szCs w:val="24"/>
              </w:rPr>
            </w:pPr>
            <w:r w:rsidRPr="004B5C36">
              <w:rPr>
                <w:szCs w:val="20"/>
              </w:rPr>
              <w:t>Относителен риск (95% доверителен интервал)</w:t>
            </w:r>
          </w:p>
        </w:tc>
        <w:tc>
          <w:tcPr>
            <w:tcW w:w="1916" w:type="dxa"/>
          </w:tcPr>
          <w:p w14:paraId="7AEB92CB" w14:textId="4FF25559" w:rsidR="004B5C36" w:rsidRPr="004B5C36" w:rsidRDefault="004B5C36" w:rsidP="004B5C36">
            <w:pPr>
              <w:spacing w:line="240" w:lineRule="auto"/>
              <w:rPr>
                <w:rFonts w:eastAsia="Times New Roman" w:cs="Arial"/>
                <w:szCs w:val="24"/>
              </w:rPr>
            </w:pPr>
            <w:r w:rsidRPr="004B5C36">
              <w:rPr>
                <w:szCs w:val="20"/>
              </w:rPr>
              <w:t>р-стойност</w:t>
            </w:r>
          </w:p>
        </w:tc>
      </w:tr>
      <w:tr w:rsidR="004B5C36" w14:paraId="75A8B46C" w14:textId="77777777" w:rsidTr="004B5C36">
        <w:tc>
          <w:tcPr>
            <w:tcW w:w="1915" w:type="dxa"/>
          </w:tcPr>
          <w:p w14:paraId="468D6920" w14:textId="77777777" w:rsidR="004B5C36" w:rsidRPr="004B5C36" w:rsidRDefault="004B5C36" w:rsidP="004B5C36">
            <w:pPr>
              <w:spacing w:line="240" w:lineRule="auto"/>
              <w:rPr>
                <w:rFonts w:eastAsia="Times New Roman" w:cs="Arial"/>
                <w:szCs w:val="24"/>
              </w:rPr>
            </w:pPr>
          </w:p>
        </w:tc>
        <w:tc>
          <w:tcPr>
            <w:tcW w:w="1915" w:type="dxa"/>
          </w:tcPr>
          <w:p w14:paraId="3A06D794" w14:textId="1EC12840" w:rsidR="004B5C36" w:rsidRPr="004B5C36" w:rsidRDefault="004B5C36" w:rsidP="004B5C36">
            <w:pPr>
              <w:spacing w:line="240" w:lineRule="auto"/>
              <w:rPr>
                <w:rFonts w:eastAsia="Times New Roman" w:cs="Arial"/>
                <w:szCs w:val="24"/>
              </w:rPr>
            </w:pPr>
            <w:r w:rsidRPr="004B5C36">
              <w:rPr>
                <w:b/>
                <w:bCs/>
                <w:szCs w:val="20"/>
              </w:rPr>
              <w:t>%</w:t>
            </w:r>
          </w:p>
        </w:tc>
        <w:tc>
          <w:tcPr>
            <w:tcW w:w="1915" w:type="dxa"/>
          </w:tcPr>
          <w:p w14:paraId="33891245" w14:textId="7331EED2" w:rsidR="004B5C36" w:rsidRPr="004B5C36" w:rsidRDefault="004B5C36" w:rsidP="004B5C36">
            <w:pPr>
              <w:spacing w:line="240" w:lineRule="auto"/>
              <w:rPr>
                <w:rFonts w:eastAsia="Times New Roman" w:cs="Arial"/>
                <w:szCs w:val="24"/>
              </w:rPr>
            </w:pPr>
            <w:r w:rsidRPr="004B5C36">
              <w:rPr>
                <w:b/>
                <w:bCs/>
                <w:szCs w:val="20"/>
              </w:rPr>
              <w:t>%</w:t>
            </w:r>
          </w:p>
        </w:tc>
        <w:tc>
          <w:tcPr>
            <w:tcW w:w="1915" w:type="dxa"/>
          </w:tcPr>
          <w:p w14:paraId="2C8EC22D" w14:textId="77777777" w:rsidR="004B5C36" w:rsidRPr="004B5C36" w:rsidRDefault="004B5C36" w:rsidP="004B5C36">
            <w:pPr>
              <w:spacing w:line="240" w:lineRule="auto"/>
              <w:rPr>
                <w:rFonts w:eastAsia="Times New Roman" w:cs="Arial"/>
                <w:szCs w:val="24"/>
              </w:rPr>
            </w:pPr>
          </w:p>
        </w:tc>
        <w:tc>
          <w:tcPr>
            <w:tcW w:w="1916" w:type="dxa"/>
          </w:tcPr>
          <w:p w14:paraId="7BBBFB68" w14:textId="77777777" w:rsidR="004B5C36" w:rsidRPr="004B5C36" w:rsidRDefault="004B5C36" w:rsidP="004B5C36">
            <w:pPr>
              <w:spacing w:line="240" w:lineRule="auto"/>
              <w:rPr>
                <w:rFonts w:eastAsia="Times New Roman" w:cs="Arial"/>
                <w:szCs w:val="24"/>
              </w:rPr>
            </w:pPr>
          </w:p>
        </w:tc>
      </w:tr>
      <w:tr w:rsidR="004B5C36" w14:paraId="4A3CF833" w14:textId="77777777" w:rsidTr="004B5C36">
        <w:tc>
          <w:tcPr>
            <w:tcW w:w="1915" w:type="dxa"/>
          </w:tcPr>
          <w:p w14:paraId="641E85F3" w14:textId="5DA3EABE" w:rsidR="004B5C36" w:rsidRPr="004B5C36" w:rsidRDefault="004B5C36" w:rsidP="004B5C36">
            <w:pPr>
              <w:spacing w:line="240" w:lineRule="auto"/>
              <w:rPr>
                <w:rFonts w:eastAsia="Times New Roman" w:cs="Arial"/>
                <w:szCs w:val="24"/>
              </w:rPr>
            </w:pPr>
            <w:r w:rsidRPr="004B5C36">
              <w:rPr>
                <w:b/>
                <w:bCs/>
                <w:szCs w:val="20"/>
              </w:rPr>
              <w:t>Всички пациенти</w:t>
            </w:r>
          </w:p>
        </w:tc>
        <w:tc>
          <w:tcPr>
            <w:tcW w:w="1915" w:type="dxa"/>
          </w:tcPr>
          <w:p w14:paraId="020598B8" w14:textId="05816DE3" w:rsidR="004B5C36" w:rsidRPr="004B5C36" w:rsidRDefault="004B5C36" w:rsidP="004B5C36">
            <w:pPr>
              <w:spacing w:line="240" w:lineRule="auto"/>
              <w:rPr>
                <w:rFonts w:eastAsia="Times New Roman" w:cs="Arial"/>
                <w:szCs w:val="24"/>
              </w:rPr>
            </w:pPr>
            <w:r>
              <w:rPr>
                <w:b/>
                <w:bCs/>
                <w:szCs w:val="20"/>
                <w:lang w:val="en-US"/>
              </w:rPr>
              <w:t>N</w:t>
            </w:r>
            <w:r w:rsidRPr="004B5C36">
              <w:rPr>
                <w:b/>
                <w:bCs/>
                <w:szCs w:val="20"/>
              </w:rPr>
              <w:t>=4,645</w:t>
            </w:r>
          </w:p>
        </w:tc>
        <w:tc>
          <w:tcPr>
            <w:tcW w:w="1915" w:type="dxa"/>
          </w:tcPr>
          <w:p w14:paraId="2BC06B5D" w14:textId="3EE20524" w:rsidR="004B5C36" w:rsidRPr="004B5C36" w:rsidRDefault="004B5C36" w:rsidP="004B5C36">
            <w:pPr>
              <w:spacing w:line="240" w:lineRule="auto"/>
              <w:rPr>
                <w:rFonts w:eastAsia="Times New Roman" w:cs="Arial"/>
                <w:szCs w:val="24"/>
              </w:rPr>
            </w:pPr>
            <w:r w:rsidRPr="004B5C36">
              <w:rPr>
                <w:b/>
                <w:bCs/>
                <w:szCs w:val="20"/>
                <w:lang w:val="en-US"/>
              </w:rPr>
              <w:t>N</w:t>
            </w:r>
            <w:r w:rsidRPr="004B5C36">
              <w:rPr>
                <w:b/>
                <w:bCs/>
                <w:szCs w:val="20"/>
              </w:rPr>
              <w:t>=4,652</w:t>
            </w:r>
          </w:p>
        </w:tc>
        <w:tc>
          <w:tcPr>
            <w:tcW w:w="1915" w:type="dxa"/>
          </w:tcPr>
          <w:p w14:paraId="0FE3A230" w14:textId="77777777" w:rsidR="004B5C36" w:rsidRPr="004B5C36" w:rsidRDefault="004B5C36" w:rsidP="004B5C36">
            <w:pPr>
              <w:spacing w:line="240" w:lineRule="auto"/>
              <w:rPr>
                <w:rFonts w:eastAsia="Times New Roman" w:cs="Arial"/>
                <w:szCs w:val="24"/>
              </w:rPr>
            </w:pPr>
          </w:p>
        </w:tc>
        <w:tc>
          <w:tcPr>
            <w:tcW w:w="1916" w:type="dxa"/>
          </w:tcPr>
          <w:p w14:paraId="2AD1B5EC" w14:textId="77777777" w:rsidR="004B5C36" w:rsidRPr="004B5C36" w:rsidRDefault="004B5C36" w:rsidP="004B5C36">
            <w:pPr>
              <w:spacing w:line="240" w:lineRule="auto"/>
              <w:rPr>
                <w:rFonts w:eastAsia="Times New Roman" w:cs="Arial"/>
                <w:szCs w:val="24"/>
              </w:rPr>
            </w:pPr>
          </w:p>
        </w:tc>
      </w:tr>
      <w:tr w:rsidR="004B5C36" w14:paraId="56B5FDD4" w14:textId="77777777" w:rsidTr="004B5C36">
        <w:tc>
          <w:tcPr>
            <w:tcW w:w="1915" w:type="dxa"/>
          </w:tcPr>
          <w:p w14:paraId="200A91B9" w14:textId="7FEC13CF" w:rsidR="004B5C36" w:rsidRPr="004B5C36" w:rsidRDefault="004B5C36" w:rsidP="004B5C36">
            <w:pPr>
              <w:spacing w:line="240" w:lineRule="auto"/>
              <w:rPr>
                <w:rFonts w:eastAsia="Times New Roman" w:cs="Arial"/>
                <w:szCs w:val="24"/>
              </w:rPr>
            </w:pPr>
            <w:r w:rsidRPr="004B5C36">
              <w:rPr>
                <w:b/>
                <w:bCs/>
                <w:szCs w:val="20"/>
              </w:rPr>
              <w:t>Първично комбинирани събития</w:t>
            </w:r>
          </w:p>
        </w:tc>
        <w:tc>
          <w:tcPr>
            <w:tcW w:w="1915" w:type="dxa"/>
          </w:tcPr>
          <w:p w14:paraId="50852DD6" w14:textId="1EC0F552" w:rsidR="004B5C36" w:rsidRPr="004B5C36" w:rsidRDefault="004B5C36" w:rsidP="004B5C36">
            <w:pPr>
              <w:spacing w:line="240" w:lineRule="auto"/>
              <w:rPr>
                <w:rFonts w:eastAsia="Times New Roman" w:cs="Arial"/>
                <w:szCs w:val="24"/>
              </w:rPr>
            </w:pPr>
            <w:r w:rsidRPr="004B5C36">
              <w:rPr>
                <w:b/>
                <w:bCs/>
                <w:szCs w:val="20"/>
              </w:rPr>
              <w:t>14.0</w:t>
            </w:r>
          </w:p>
        </w:tc>
        <w:tc>
          <w:tcPr>
            <w:tcW w:w="1915" w:type="dxa"/>
          </w:tcPr>
          <w:p w14:paraId="203C5D76" w14:textId="6B900DD9" w:rsidR="004B5C36" w:rsidRPr="004B5C36" w:rsidRDefault="004B5C36" w:rsidP="004B5C36">
            <w:pPr>
              <w:spacing w:line="240" w:lineRule="auto"/>
              <w:rPr>
                <w:rFonts w:eastAsia="Times New Roman" w:cs="Arial"/>
                <w:szCs w:val="24"/>
              </w:rPr>
            </w:pPr>
            <w:r w:rsidRPr="004B5C36">
              <w:rPr>
                <w:b/>
                <w:bCs/>
                <w:szCs w:val="20"/>
              </w:rPr>
              <w:t>17.8</w:t>
            </w:r>
          </w:p>
        </w:tc>
        <w:tc>
          <w:tcPr>
            <w:tcW w:w="1915" w:type="dxa"/>
          </w:tcPr>
          <w:p w14:paraId="46DA2EDD" w14:textId="10702D7A" w:rsidR="004B5C36" w:rsidRPr="004B5C36" w:rsidRDefault="004B5C36" w:rsidP="004B5C36">
            <w:pPr>
              <w:spacing w:line="240" w:lineRule="auto"/>
              <w:rPr>
                <w:rFonts w:eastAsia="Times New Roman" w:cs="Arial"/>
                <w:szCs w:val="24"/>
              </w:rPr>
            </w:pPr>
            <w:r w:rsidRPr="004B5C36">
              <w:rPr>
                <w:b/>
                <w:bCs/>
                <w:szCs w:val="20"/>
              </w:rPr>
              <w:t>0.78 (0.70-0.86)</w:t>
            </w:r>
          </w:p>
        </w:tc>
        <w:tc>
          <w:tcPr>
            <w:tcW w:w="1916" w:type="dxa"/>
          </w:tcPr>
          <w:p w14:paraId="3B44BA90" w14:textId="3A8D6DAC" w:rsidR="004B5C36" w:rsidRPr="004B5C36" w:rsidRDefault="004B5C36" w:rsidP="004B5C36">
            <w:pPr>
              <w:spacing w:line="240" w:lineRule="auto"/>
              <w:rPr>
                <w:rFonts w:eastAsia="Times New Roman" w:cs="Arial"/>
                <w:szCs w:val="24"/>
              </w:rPr>
            </w:pPr>
            <w:r w:rsidRPr="004B5C36">
              <w:rPr>
                <w:b/>
                <w:bCs/>
                <w:szCs w:val="20"/>
              </w:rPr>
              <w:t>&lt;0.001</w:t>
            </w:r>
          </w:p>
        </w:tc>
      </w:tr>
      <w:tr w:rsidR="004B5C36" w14:paraId="44787744" w14:textId="77777777" w:rsidTr="004B5C36">
        <w:tc>
          <w:tcPr>
            <w:tcW w:w="1915" w:type="dxa"/>
          </w:tcPr>
          <w:p w14:paraId="1ED78DDA" w14:textId="5EB53CD8" w:rsidR="004B5C36" w:rsidRPr="004B5C36" w:rsidRDefault="004B5C36" w:rsidP="004B5C36">
            <w:pPr>
              <w:spacing w:line="240" w:lineRule="auto"/>
              <w:rPr>
                <w:rFonts w:eastAsia="Times New Roman" w:cs="Arial"/>
                <w:szCs w:val="24"/>
              </w:rPr>
            </w:pPr>
            <w:r w:rsidRPr="004B5C36">
              <w:rPr>
                <w:i/>
                <w:iCs/>
                <w:szCs w:val="20"/>
              </w:rPr>
              <w:t>Миокарден инфаркт</w:t>
            </w:r>
          </w:p>
        </w:tc>
        <w:tc>
          <w:tcPr>
            <w:tcW w:w="1915" w:type="dxa"/>
          </w:tcPr>
          <w:p w14:paraId="4E69A3E2" w14:textId="69EC10BE" w:rsidR="004B5C36" w:rsidRPr="004B5C36" w:rsidRDefault="004B5C36" w:rsidP="004B5C36">
            <w:pPr>
              <w:spacing w:line="240" w:lineRule="auto"/>
              <w:rPr>
                <w:rFonts w:eastAsia="Times New Roman" w:cs="Arial"/>
                <w:szCs w:val="24"/>
              </w:rPr>
            </w:pPr>
            <w:r w:rsidRPr="004B5C36">
              <w:rPr>
                <w:i/>
                <w:iCs/>
                <w:szCs w:val="20"/>
              </w:rPr>
              <w:t>9.9</w:t>
            </w:r>
          </w:p>
        </w:tc>
        <w:tc>
          <w:tcPr>
            <w:tcW w:w="1915" w:type="dxa"/>
          </w:tcPr>
          <w:p w14:paraId="45C0FE13" w14:textId="204B46E8" w:rsidR="004B5C36" w:rsidRPr="004B5C36" w:rsidRDefault="004B5C36" w:rsidP="004B5C36">
            <w:pPr>
              <w:spacing w:line="240" w:lineRule="auto"/>
              <w:rPr>
                <w:rFonts w:eastAsia="Times New Roman" w:cs="Arial"/>
                <w:szCs w:val="24"/>
              </w:rPr>
            </w:pPr>
            <w:r w:rsidRPr="004B5C36">
              <w:rPr>
                <w:i/>
                <w:iCs/>
                <w:szCs w:val="20"/>
              </w:rPr>
              <w:t>12.3</w:t>
            </w:r>
          </w:p>
        </w:tc>
        <w:tc>
          <w:tcPr>
            <w:tcW w:w="1915" w:type="dxa"/>
          </w:tcPr>
          <w:p w14:paraId="17E00B1A" w14:textId="02EBEBC1" w:rsidR="004B5C36" w:rsidRPr="004B5C36" w:rsidRDefault="004B5C36" w:rsidP="004B5C36">
            <w:pPr>
              <w:spacing w:line="240" w:lineRule="auto"/>
              <w:rPr>
                <w:rFonts w:eastAsia="Times New Roman" w:cs="Arial"/>
                <w:szCs w:val="24"/>
              </w:rPr>
            </w:pPr>
            <w:r w:rsidRPr="004B5C36">
              <w:rPr>
                <w:i/>
                <w:iCs/>
                <w:szCs w:val="20"/>
              </w:rPr>
              <w:t>0.80(0.70-0.90)</w:t>
            </w:r>
          </w:p>
        </w:tc>
        <w:tc>
          <w:tcPr>
            <w:tcW w:w="1916" w:type="dxa"/>
          </w:tcPr>
          <w:p w14:paraId="0916A304" w14:textId="2FC00ACE" w:rsidR="004B5C36" w:rsidRPr="004B5C36" w:rsidRDefault="004B5C36" w:rsidP="004B5C36">
            <w:pPr>
              <w:spacing w:line="240" w:lineRule="auto"/>
              <w:rPr>
                <w:rFonts w:eastAsia="Times New Roman" w:cs="Arial"/>
                <w:szCs w:val="24"/>
              </w:rPr>
            </w:pPr>
            <w:r w:rsidRPr="004B5C36">
              <w:rPr>
                <w:i/>
                <w:iCs/>
                <w:szCs w:val="20"/>
              </w:rPr>
              <w:t>&lt;0.001</w:t>
            </w:r>
          </w:p>
        </w:tc>
      </w:tr>
      <w:tr w:rsidR="004B5C36" w14:paraId="38BC7063" w14:textId="77777777" w:rsidTr="004B5C36">
        <w:tc>
          <w:tcPr>
            <w:tcW w:w="1915" w:type="dxa"/>
          </w:tcPr>
          <w:p w14:paraId="5C8448FD" w14:textId="756B4372" w:rsidR="004B5C36" w:rsidRPr="004B5C36" w:rsidRDefault="004B5C36" w:rsidP="004B5C36">
            <w:pPr>
              <w:spacing w:line="240" w:lineRule="auto"/>
              <w:rPr>
                <w:rFonts w:eastAsia="Times New Roman" w:cs="Arial"/>
                <w:szCs w:val="24"/>
              </w:rPr>
            </w:pPr>
            <w:r w:rsidRPr="004B5C36">
              <w:rPr>
                <w:i/>
                <w:iCs/>
                <w:szCs w:val="20"/>
              </w:rPr>
              <w:t>Сърдечно-съдова смърт</w:t>
            </w:r>
          </w:p>
        </w:tc>
        <w:tc>
          <w:tcPr>
            <w:tcW w:w="1915" w:type="dxa"/>
          </w:tcPr>
          <w:p w14:paraId="59F0F138" w14:textId="2F076F9D" w:rsidR="004B5C36" w:rsidRPr="004B5C36" w:rsidRDefault="004B5C36" w:rsidP="004B5C36">
            <w:pPr>
              <w:spacing w:line="240" w:lineRule="auto"/>
              <w:rPr>
                <w:rFonts w:eastAsia="Times New Roman" w:cs="Arial"/>
                <w:szCs w:val="24"/>
              </w:rPr>
            </w:pPr>
            <w:r w:rsidRPr="004B5C36">
              <w:rPr>
                <w:i/>
                <w:iCs/>
                <w:szCs w:val="20"/>
              </w:rPr>
              <w:t>6.1</w:t>
            </w:r>
          </w:p>
        </w:tc>
        <w:tc>
          <w:tcPr>
            <w:tcW w:w="1915" w:type="dxa"/>
          </w:tcPr>
          <w:p w14:paraId="0B62CCFC" w14:textId="4B51B5F9" w:rsidR="004B5C36" w:rsidRPr="004B5C36" w:rsidRDefault="004B5C36" w:rsidP="004B5C36">
            <w:pPr>
              <w:spacing w:line="240" w:lineRule="auto"/>
              <w:rPr>
                <w:rFonts w:eastAsia="Times New Roman" w:cs="Arial"/>
                <w:szCs w:val="24"/>
              </w:rPr>
            </w:pPr>
            <w:r w:rsidRPr="004B5C36">
              <w:rPr>
                <w:i/>
                <w:iCs/>
                <w:szCs w:val="20"/>
              </w:rPr>
              <w:t>8.1</w:t>
            </w:r>
          </w:p>
        </w:tc>
        <w:tc>
          <w:tcPr>
            <w:tcW w:w="1915" w:type="dxa"/>
          </w:tcPr>
          <w:p w14:paraId="685E98A4" w14:textId="18BEE66E" w:rsidR="004B5C36" w:rsidRPr="004B5C36" w:rsidRDefault="004B5C36" w:rsidP="004B5C36">
            <w:pPr>
              <w:spacing w:line="240" w:lineRule="auto"/>
              <w:rPr>
                <w:rFonts w:eastAsia="Times New Roman" w:cs="Arial"/>
                <w:szCs w:val="24"/>
              </w:rPr>
            </w:pPr>
            <w:r w:rsidRPr="004B5C36">
              <w:rPr>
                <w:i/>
                <w:iCs/>
                <w:szCs w:val="20"/>
              </w:rPr>
              <w:t>0.74(0.64-0.87)</w:t>
            </w:r>
          </w:p>
        </w:tc>
        <w:tc>
          <w:tcPr>
            <w:tcW w:w="1916" w:type="dxa"/>
          </w:tcPr>
          <w:p w14:paraId="1012B528" w14:textId="6E9ABCAF" w:rsidR="004B5C36" w:rsidRPr="004B5C36" w:rsidRDefault="004B5C36" w:rsidP="004B5C36">
            <w:pPr>
              <w:spacing w:line="240" w:lineRule="auto"/>
              <w:rPr>
                <w:rFonts w:eastAsia="Times New Roman" w:cs="Arial"/>
                <w:szCs w:val="24"/>
              </w:rPr>
            </w:pPr>
            <w:r w:rsidRPr="004B5C36">
              <w:rPr>
                <w:i/>
                <w:iCs/>
                <w:szCs w:val="20"/>
              </w:rPr>
              <w:t>&lt;0.001</w:t>
            </w:r>
          </w:p>
        </w:tc>
      </w:tr>
      <w:tr w:rsidR="004B5C36" w14:paraId="57DF9E1C" w14:textId="77777777" w:rsidTr="004B5C36">
        <w:tc>
          <w:tcPr>
            <w:tcW w:w="1915" w:type="dxa"/>
          </w:tcPr>
          <w:p w14:paraId="303049ED" w14:textId="414584A7" w:rsidR="004B5C36" w:rsidRPr="004B5C36" w:rsidRDefault="004B5C36" w:rsidP="004B5C36">
            <w:pPr>
              <w:spacing w:line="240" w:lineRule="auto"/>
              <w:rPr>
                <w:rFonts w:eastAsia="Times New Roman" w:cs="Arial"/>
                <w:szCs w:val="24"/>
              </w:rPr>
            </w:pPr>
            <w:r w:rsidRPr="004B5C36">
              <w:rPr>
                <w:i/>
                <w:iCs/>
                <w:szCs w:val="20"/>
              </w:rPr>
              <w:t>Инсулт</w:t>
            </w:r>
          </w:p>
        </w:tc>
        <w:tc>
          <w:tcPr>
            <w:tcW w:w="1915" w:type="dxa"/>
          </w:tcPr>
          <w:p w14:paraId="4790D945" w14:textId="22FED6E8" w:rsidR="004B5C36" w:rsidRPr="004B5C36" w:rsidRDefault="004B5C36" w:rsidP="004B5C36">
            <w:pPr>
              <w:spacing w:line="240" w:lineRule="auto"/>
              <w:rPr>
                <w:rFonts w:eastAsia="Times New Roman" w:cs="Arial"/>
                <w:szCs w:val="24"/>
              </w:rPr>
            </w:pPr>
            <w:r w:rsidRPr="004B5C36">
              <w:rPr>
                <w:i/>
                <w:iCs/>
                <w:szCs w:val="20"/>
              </w:rPr>
              <w:t>3.4</w:t>
            </w:r>
          </w:p>
        </w:tc>
        <w:tc>
          <w:tcPr>
            <w:tcW w:w="1915" w:type="dxa"/>
          </w:tcPr>
          <w:p w14:paraId="1AEC138C" w14:textId="25874CC3" w:rsidR="004B5C36" w:rsidRPr="004B5C36" w:rsidRDefault="004B5C36" w:rsidP="004B5C36">
            <w:pPr>
              <w:spacing w:line="240" w:lineRule="auto"/>
              <w:rPr>
                <w:rFonts w:eastAsia="Times New Roman" w:cs="Arial"/>
                <w:szCs w:val="24"/>
              </w:rPr>
            </w:pPr>
            <w:r w:rsidRPr="004B5C36">
              <w:rPr>
                <w:i/>
                <w:iCs/>
                <w:szCs w:val="20"/>
              </w:rPr>
              <w:t>4.9</w:t>
            </w:r>
          </w:p>
        </w:tc>
        <w:tc>
          <w:tcPr>
            <w:tcW w:w="1915" w:type="dxa"/>
          </w:tcPr>
          <w:p w14:paraId="6DB68F6A" w14:textId="52989D72" w:rsidR="004B5C36" w:rsidRPr="004B5C36" w:rsidRDefault="004B5C36" w:rsidP="004B5C36">
            <w:pPr>
              <w:spacing w:line="240" w:lineRule="auto"/>
              <w:rPr>
                <w:rFonts w:eastAsia="Times New Roman" w:cs="Arial"/>
                <w:szCs w:val="24"/>
              </w:rPr>
            </w:pPr>
            <w:r w:rsidRPr="004B5C36">
              <w:rPr>
                <w:i/>
                <w:iCs/>
                <w:szCs w:val="20"/>
              </w:rPr>
              <w:t>0,68 (0,56-0,84)</w:t>
            </w:r>
          </w:p>
        </w:tc>
        <w:tc>
          <w:tcPr>
            <w:tcW w:w="1916" w:type="dxa"/>
          </w:tcPr>
          <w:p w14:paraId="0FA8C022" w14:textId="43DCF8A1" w:rsidR="004B5C36" w:rsidRPr="004B5C36" w:rsidRDefault="004B5C36" w:rsidP="004B5C36">
            <w:pPr>
              <w:spacing w:line="240" w:lineRule="auto"/>
              <w:rPr>
                <w:rFonts w:eastAsia="Times New Roman" w:cs="Arial"/>
                <w:szCs w:val="24"/>
              </w:rPr>
            </w:pPr>
            <w:r w:rsidRPr="004B5C36">
              <w:rPr>
                <w:i/>
                <w:iCs/>
                <w:szCs w:val="20"/>
              </w:rPr>
              <w:t>&lt;0.001</w:t>
            </w:r>
          </w:p>
        </w:tc>
      </w:tr>
      <w:tr w:rsidR="004B5C36" w14:paraId="472F15A3" w14:textId="77777777" w:rsidTr="004B5C36">
        <w:tc>
          <w:tcPr>
            <w:tcW w:w="1915" w:type="dxa"/>
          </w:tcPr>
          <w:p w14:paraId="38C17622" w14:textId="77777777" w:rsidR="004B5C36" w:rsidRDefault="004B5C36" w:rsidP="004B0F24">
            <w:pPr>
              <w:spacing w:line="240" w:lineRule="auto"/>
              <w:rPr>
                <w:rFonts w:eastAsia="Times New Roman" w:cs="Arial"/>
                <w:sz w:val="28"/>
                <w:szCs w:val="24"/>
              </w:rPr>
            </w:pPr>
          </w:p>
        </w:tc>
        <w:tc>
          <w:tcPr>
            <w:tcW w:w="1915" w:type="dxa"/>
          </w:tcPr>
          <w:p w14:paraId="70DDC7A5" w14:textId="77777777" w:rsidR="004B5C36" w:rsidRDefault="004B5C36" w:rsidP="004B0F24">
            <w:pPr>
              <w:spacing w:line="240" w:lineRule="auto"/>
              <w:rPr>
                <w:rFonts w:eastAsia="Times New Roman" w:cs="Arial"/>
                <w:sz w:val="28"/>
                <w:szCs w:val="24"/>
              </w:rPr>
            </w:pPr>
          </w:p>
        </w:tc>
        <w:tc>
          <w:tcPr>
            <w:tcW w:w="1915" w:type="dxa"/>
          </w:tcPr>
          <w:p w14:paraId="07410838" w14:textId="77777777" w:rsidR="004B5C36" w:rsidRDefault="004B5C36" w:rsidP="004B0F24">
            <w:pPr>
              <w:spacing w:line="240" w:lineRule="auto"/>
              <w:rPr>
                <w:rFonts w:eastAsia="Times New Roman" w:cs="Arial"/>
                <w:sz w:val="28"/>
                <w:szCs w:val="24"/>
              </w:rPr>
            </w:pPr>
          </w:p>
        </w:tc>
        <w:tc>
          <w:tcPr>
            <w:tcW w:w="1915" w:type="dxa"/>
          </w:tcPr>
          <w:p w14:paraId="64E508CF" w14:textId="77777777" w:rsidR="004B5C36" w:rsidRDefault="004B5C36" w:rsidP="004B0F24">
            <w:pPr>
              <w:spacing w:line="240" w:lineRule="auto"/>
              <w:rPr>
                <w:rFonts w:eastAsia="Times New Roman" w:cs="Arial"/>
                <w:sz w:val="28"/>
                <w:szCs w:val="24"/>
              </w:rPr>
            </w:pPr>
          </w:p>
        </w:tc>
        <w:tc>
          <w:tcPr>
            <w:tcW w:w="1916" w:type="dxa"/>
          </w:tcPr>
          <w:p w14:paraId="418FDD71" w14:textId="77777777" w:rsidR="004B5C36" w:rsidRDefault="004B5C36" w:rsidP="004B0F24">
            <w:pPr>
              <w:spacing w:line="240" w:lineRule="auto"/>
              <w:rPr>
                <w:rFonts w:eastAsia="Times New Roman" w:cs="Arial"/>
                <w:sz w:val="28"/>
                <w:szCs w:val="24"/>
              </w:rPr>
            </w:pPr>
          </w:p>
        </w:tc>
      </w:tr>
      <w:tr w:rsidR="004B5C36" w14:paraId="66C2DF6F" w14:textId="77777777" w:rsidTr="00516998">
        <w:tc>
          <w:tcPr>
            <w:tcW w:w="9576" w:type="dxa"/>
            <w:gridSpan w:val="5"/>
          </w:tcPr>
          <w:p w14:paraId="744A704B" w14:textId="19DC0EB7" w:rsidR="004B5C36" w:rsidRDefault="004B5C36" w:rsidP="004B0F24">
            <w:pPr>
              <w:spacing w:line="240" w:lineRule="auto"/>
              <w:rPr>
                <w:rFonts w:eastAsia="Times New Roman" w:cs="Arial"/>
                <w:sz w:val="28"/>
                <w:szCs w:val="24"/>
              </w:rPr>
            </w:pPr>
            <w:r>
              <w:rPr>
                <w:b/>
                <w:bCs/>
                <w:sz w:val="20"/>
                <w:szCs w:val="20"/>
              </w:rPr>
              <w:t>Вторични крайни точки</w:t>
            </w:r>
          </w:p>
        </w:tc>
      </w:tr>
      <w:tr w:rsidR="004B5C36" w14:paraId="2E604B98" w14:textId="77777777" w:rsidTr="004B5C36">
        <w:tc>
          <w:tcPr>
            <w:tcW w:w="1915" w:type="dxa"/>
          </w:tcPr>
          <w:p w14:paraId="5D029EA2" w14:textId="3C7C4907" w:rsidR="004B5C36" w:rsidRPr="004B5C36" w:rsidRDefault="004B5C36" w:rsidP="004B5C36">
            <w:pPr>
              <w:spacing w:line="240" w:lineRule="auto"/>
              <w:rPr>
                <w:rFonts w:eastAsia="Times New Roman" w:cs="Arial"/>
                <w:szCs w:val="24"/>
              </w:rPr>
            </w:pPr>
            <w:r w:rsidRPr="004B5C36">
              <w:rPr>
                <w:i/>
                <w:iCs/>
                <w:szCs w:val="20"/>
              </w:rPr>
              <w:t>Смърт по всякаква причина</w:t>
            </w:r>
          </w:p>
        </w:tc>
        <w:tc>
          <w:tcPr>
            <w:tcW w:w="1915" w:type="dxa"/>
          </w:tcPr>
          <w:p w14:paraId="488C899D" w14:textId="070A720E" w:rsidR="004B5C36" w:rsidRPr="004B5C36" w:rsidRDefault="004B5C36" w:rsidP="004B5C36">
            <w:pPr>
              <w:spacing w:line="240" w:lineRule="auto"/>
              <w:rPr>
                <w:rFonts w:eastAsia="Times New Roman" w:cs="Arial"/>
                <w:szCs w:val="24"/>
              </w:rPr>
            </w:pPr>
            <w:r w:rsidRPr="004B5C36">
              <w:rPr>
                <w:i/>
                <w:iCs/>
                <w:szCs w:val="20"/>
              </w:rPr>
              <w:t>10.4</w:t>
            </w:r>
          </w:p>
        </w:tc>
        <w:tc>
          <w:tcPr>
            <w:tcW w:w="1915" w:type="dxa"/>
          </w:tcPr>
          <w:p w14:paraId="528820EE" w14:textId="36C634C4" w:rsidR="004B5C36" w:rsidRPr="004B5C36" w:rsidRDefault="004B5C36" w:rsidP="004B5C36">
            <w:pPr>
              <w:spacing w:line="240" w:lineRule="auto"/>
              <w:rPr>
                <w:rFonts w:eastAsia="Times New Roman" w:cs="Arial"/>
                <w:szCs w:val="24"/>
              </w:rPr>
            </w:pPr>
            <w:r w:rsidRPr="004B5C36">
              <w:rPr>
                <w:i/>
                <w:iCs/>
                <w:szCs w:val="20"/>
              </w:rPr>
              <w:t>12.2</w:t>
            </w:r>
          </w:p>
        </w:tc>
        <w:tc>
          <w:tcPr>
            <w:tcW w:w="1915" w:type="dxa"/>
          </w:tcPr>
          <w:p w14:paraId="4B641C95" w14:textId="6CE30716" w:rsidR="004B5C36" w:rsidRPr="004B5C36" w:rsidRDefault="004B5C36" w:rsidP="004B5C36">
            <w:pPr>
              <w:spacing w:line="240" w:lineRule="auto"/>
              <w:rPr>
                <w:rFonts w:eastAsia="Times New Roman" w:cs="Arial"/>
                <w:szCs w:val="24"/>
              </w:rPr>
            </w:pPr>
            <w:r w:rsidRPr="004B5C36">
              <w:rPr>
                <w:i/>
                <w:iCs/>
                <w:szCs w:val="20"/>
              </w:rPr>
              <w:t>0.84(0.75-0.95)</w:t>
            </w:r>
          </w:p>
        </w:tc>
        <w:tc>
          <w:tcPr>
            <w:tcW w:w="1916" w:type="dxa"/>
          </w:tcPr>
          <w:p w14:paraId="5AA95CF7" w14:textId="5C93C68F" w:rsidR="004B5C36" w:rsidRPr="004B5C36" w:rsidRDefault="004B5C36" w:rsidP="004B5C36">
            <w:pPr>
              <w:spacing w:line="240" w:lineRule="auto"/>
              <w:rPr>
                <w:rFonts w:eastAsia="Times New Roman" w:cs="Arial"/>
                <w:szCs w:val="24"/>
              </w:rPr>
            </w:pPr>
            <w:r w:rsidRPr="004B5C36">
              <w:rPr>
                <w:i/>
                <w:iCs/>
                <w:szCs w:val="20"/>
              </w:rPr>
              <w:t>0.005</w:t>
            </w:r>
          </w:p>
        </w:tc>
      </w:tr>
      <w:tr w:rsidR="004B5C36" w14:paraId="7B0B1BAC" w14:textId="77777777" w:rsidTr="004B5C36">
        <w:tc>
          <w:tcPr>
            <w:tcW w:w="1915" w:type="dxa"/>
          </w:tcPr>
          <w:p w14:paraId="3F40D438" w14:textId="2C35479F" w:rsidR="004B5C36" w:rsidRPr="004B5C36" w:rsidRDefault="004B5C36" w:rsidP="004B5C36">
            <w:pPr>
              <w:spacing w:line="240" w:lineRule="auto"/>
              <w:rPr>
                <w:rFonts w:eastAsia="Times New Roman" w:cs="Arial"/>
                <w:szCs w:val="24"/>
              </w:rPr>
            </w:pPr>
            <w:r w:rsidRPr="004B5C36">
              <w:rPr>
                <w:i/>
                <w:iCs/>
                <w:szCs w:val="20"/>
              </w:rPr>
              <w:t>Необходимост от реваскуларизация</w:t>
            </w:r>
          </w:p>
        </w:tc>
        <w:tc>
          <w:tcPr>
            <w:tcW w:w="1915" w:type="dxa"/>
          </w:tcPr>
          <w:p w14:paraId="351A458E" w14:textId="13097947" w:rsidR="004B5C36" w:rsidRPr="004B5C36" w:rsidRDefault="004B5C36" w:rsidP="004B5C36">
            <w:pPr>
              <w:spacing w:line="240" w:lineRule="auto"/>
              <w:rPr>
                <w:rFonts w:eastAsia="Times New Roman" w:cs="Arial"/>
                <w:szCs w:val="24"/>
              </w:rPr>
            </w:pPr>
            <w:r w:rsidRPr="004B5C36">
              <w:rPr>
                <w:i/>
                <w:iCs/>
                <w:szCs w:val="20"/>
              </w:rPr>
              <w:t>16.0</w:t>
            </w:r>
          </w:p>
        </w:tc>
        <w:tc>
          <w:tcPr>
            <w:tcW w:w="1915" w:type="dxa"/>
          </w:tcPr>
          <w:p w14:paraId="4BEB30ED" w14:textId="6D7E5C73" w:rsidR="004B5C36" w:rsidRPr="004B5C36" w:rsidRDefault="004B5C36" w:rsidP="004B5C36">
            <w:pPr>
              <w:spacing w:line="240" w:lineRule="auto"/>
              <w:rPr>
                <w:rFonts w:eastAsia="Times New Roman" w:cs="Arial"/>
                <w:szCs w:val="24"/>
              </w:rPr>
            </w:pPr>
            <w:r w:rsidRPr="004B5C36">
              <w:rPr>
                <w:i/>
                <w:iCs/>
                <w:szCs w:val="20"/>
              </w:rPr>
              <w:t>18.3</w:t>
            </w:r>
          </w:p>
        </w:tc>
        <w:tc>
          <w:tcPr>
            <w:tcW w:w="1915" w:type="dxa"/>
          </w:tcPr>
          <w:p w14:paraId="18C0D3DC" w14:textId="23ADA8CE" w:rsidR="004B5C36" w:rsidRPr="004B5C36" w:rsidRDefault="004B5C36" w:rsidP="004B5C36">
            <w:pPr>
              <w:spacing w:line="240" w:lineRule="auto"/>
              <w:rPr>
                <w:rFonts w:eastAsia="Times New Roman" w:cs="Arial"/>
                <w:szCs w:val="24"/>
              </w:rPr>
            </w:pPr>
            <w:r w:rsidRPr="004B5C36">
              <w:rPr>
                <w:i/>
                <w:iCs/>
                <w:szCs w:val="20"/>
              </w:rPr>
              <w:t>0.85(0.77-0.94)</w:t>
            </w:r>
          </w:p>
        </w:tc>
        <w:tc>
          <w:tcPr>
            <w:tcW w:w="1916" w:type="dxa"/>
          </w:tcPr>
          <w:p w14:paraId="388C57A5" w14:textId="5831B895" w:rsidR="004B5C36" w:rsidRPr="004B5C36" w:rsidRDefault="004B5C36" w:rsidP="004B5C36">
            <w:pPr>
              <w:spacing w:line="240" w:lineRule="auto"/>
              <w:rPr>
                <w:rFonts w:eastAsia="Times New Roman" w:cs="Arial"/>
                <w:szCs w:val="24"/>
              </w:rPr>
            </w:pPr>
            <w:r w:rsidRPr="004B5C36">
              <w:rPr>
                <w:i/>
                <w:iCs/>
                <w:szCs w:val="20"/>
              </w:rPr>
              <w:t>0.002</w:t>
            </w:r>
          </w:p>
        </w:tc>
      </w:tr>
      <w:tr w:rsidR="004B5C36" w14:paraId="6416D9F6" w14:textId="77777777" w:rsidTr="004B5C36">
        <w:tc>
          <w:tcPr>
            <w:tcW w:w="1915" w:type="dxa"/>
          </w:tcPr>
          <w:p w14:paraId="7431814E" w14:textId="06830C7E" w:rsidR="004B5C36" w:rsidRPr="004B5C36" w:rsidRDefault="004B5C36" w:rsidP="004B5C36">
            <w:pPr>
              <w:spacing w:line="240" w:lineRule="auto"/>
              <w:rPr>
                <w:rFonts w:eastAsia="Times New Roman" w:cs="Arial"/>
                <w:szCs w:val="24"/>
              </w:rPr>
            </w:pPr>
            <w:r w:rsidRPr="004B5C36">
              <w:rPr>
                <w:i/>
                <w:iCs/>
                <w:szCs w:val="20"/>
              </w:rPr>
              <w:t>Хоспитализация поради нестабилна ангина</w:t>
            </w:r>
          </w:p>
        </w:tc>
        <w:tc>
          <w:tcPr>
            <w:tcW w:w="1915" w:type="dxa"/>
          </w:tcPr>
          <w:p w14:paraId="2A3A75DD" w14:textId="6C82E183" w:rsidR="004B5C36" w:rsidRPr="004B5C36" w:rsidRDefault="004B5C36" w:rsidP="004B5C36">
            <w:pPr>
              <w:spacing w:line="240" w:lineRule="auto"/>
              <w:rPr>
                <w:rFonts w:eastAsia="Times New Roman" w:cs="Arial"/>
                <w:szCs w:val="24"/>
              </w:rPr>
            </w:pPr>
            <w:r w:rsidRPr="004B5C36">
              <w:rPr>
                <w:i/>
                <w:iCs/>
                <w:szCs w:val="20"/>
              </w:rPr>
              <w:t>12.1</w:t>
            </w:r>
          </w:p>
        </w:tc>
        <w:tc>
          <w:tcPr>
            <w:tcW w:w="1915" w:type="dxa"/>
          </w:tcPr>
          <w:p w14:paraId="1FC861C0" w14:textId="74125114" w:rsidR="004B5C36" w:rsidRPr="004B5C36" w:rsidRDefault="004B5C36" w:rsidP="004B5C36">
            <w:pPr>
              <w:spacing w:line="240" w:lineRule="auto"/>
              <w:rPr>
                <w:rFonts w:eastAsia="Times New Roman" w:cs="Arial"/>
                <w:szCs w:val="24"/>
              </w:rPr>
            </w:pPr>
            <w:r w:rsidRPr="004B5C36">
              <w:rPr>
                <w:i/>
                <w:iCs/>
                <w:szCs w:val="20"/>
              </w:rPr>
              <w:t>12.3</w:t>
            </w:r>
          </w:p>
        </w:tc>
        <w:tc>
          <w:tcPr>
            <w:tcW w:w="1915" w:type="dxa"/>
          </w:tcPr>
          <w:p w14:paraId="655ABAA5" w14:textId="7DBD5B15" w:rsidR="004B5C36" w:rsidRPr="004B5C36" w:rsidRDefault="004B5C36" w:rsidP="004B5C36">
            <w:pPr>
              <w:spacing w:line="240" w:lineRule="auto"/>
              <w:rPr>
                <w:rFonts w:eastAsia="Times New Roman" w:cs="Arial"/>
                <w:szCs w:val="24"/>
              </w:rPr>
            </w:pPr>
            <w:r w:rsidRPr="004B5C36">
              <w:rPr>
                <w:i/>
                <w:iCs/>
                <w:szCs w:val="20"/>
              </w:rPr>
              <w:t>0.98(0.87-1.10)</w:t>
            </w:r>
          </w:p>
        </w:tc>
        <w:tc>
          <w:tcPr>
            <w:tcW w:w="1916" w:type="dxa"/>
          </w:tcPr>
          <w:p w14:paraId="64B7391C" w14:textId="645C2758" w:rsidR="004B5C36" w:rsidRPr="004B5C36" w:rsidRDefault="004B5C36" w:rsidP="004B5C36">
            <w:pPr>
              <w:spacing w:line="240" w:lineRule="auto"/>
              <w:rPr>
                <w:rFonts w:eastAsia="Times New Roman" w:cs="Arial"/>
                <w:szCs w:val="24"/>
              </w:rPr>
            </w:pPr>
            <w:r w:rsidRPr="004B5C36">
              <w:rPr>
                <w:i/>
                <w:iCs/>
                <w:szCs w:val="20"/>
                <w:lang w:val="en-US"/>
              </w:rPr>
              <w:t>NS</w:t>
            </w:r>
          </w:p>
        </w:tc>
      </w:tr>
      <w:tr w:rsidR="004B5C36" w14:paraId="336B44F9" w14:textId="77777777" w:rsidTr="004B5C36">
        <w:tc>
          <w:tcPr>
            <w:tcW w:w="1915" w:type="dxa"/>
          </w:tcPr>
          <w:p w14:paraId="5BB496B2" w14:textId="3E5E3868" w:rsidR="004B5C36" w:rsidRPr="004B5C36" w:rsidRDefault="004B5C36" w:rsidP="004B5C36">
            <w:pPr>
              <w:spacing w:line="240" w:lineRule="auto"/>
              <w:rPr>
                <w:rFonts w:eastAsia="Times New Roman" w:cs="Arial"/>
                <w:szCs w:val="24"/>
              </w:rPr>
            </w:pPr>
            <w:r w:rsidRPr="004B5C36">
              <w:rPr>
                <w:i/>
                <w:iCs/>
                <w:szCs w:val="20"/>
              </w:rPr>
              <w:t>Хоспитализация поради сърдечна недостатъчност</w:t>
            </w:r>
          </w:p>
        </w:tc>
        <w:tc>
          <w:tcPr>
            <w:tcW w:w="1915" w:type="dxa"/>
          </w:tcPr>
          <w:p w14:paraId="3A060CD2" w14:textId="3FA6B4AA" w:rsidR="004B5C36" w:rsidRPr="004B5C36" w:rsidRDefault="004B5C36" w:rsidP="004B5C36">
            <w:pPr>
              <w:spacing w:line="240" w:lineRule="auto"/>
              <w:rPr>
                <w:rFonts w:eastAsia="Times New Roman" w:cs="Arial"/>
                <w:szCs w:val="24"/>
              </w:rPr>
            </w:pPr>
            <w:r w:rsidRPr="004B5C36">
              <w:rPr>
                <w:i/>
                <w:iCs/>
                <w:szCs w:val="20"/>
              </w:rPr>
              <w:t>3.2</w:t>
            </w:r>
          </w:p>
        </w:tc>
        <w:tc>
          <w:tcPr>
            <w:tcW w:w="1915" w:type="dxa"/>
          </w:tcPr>
          <w:p w14:paraId="1526AC2F" w14:textId="796DB126" w:rsidR="004B5C36" w:rsidRPr="004B5C36" w:rsidRDefault="004B5C36" w:rsidP="004B5C36">
            <w:pPr>
              <w:spacing w:line="240" w:lineRule="auto"/>
              <w:rPr>
                <w:rFonts w:eastAsia="Times New Roman" w:cs="Arial"/>
                <w:szCs w:val="24"/>
              </w:rPr>
            </w:pPr>
            <w:r w:rsidRPr="004B5C36">
              <w:rPr>
                <w:i/>
                <w:iCs/>
                <w:szCs w:val="20"/>
              </w:rPr>
              <w:t>3.5</w:t>
            </w:r>
          </w:p>
        </w:tc>
        <w:tc>
          <w:tcPr>
            <w:tcW w:w="1915" w:type="dxa"/>
          </w:tcPr>
          <w:p w14:paraId="07A83D07" w14:textId="00320561" w:rsidR="004B5C36" w:rsidRPr="004B5C36" w:rsidRDefault="004B5C36" w:rsidP="004B5C36">
            <w:pPr>
              <w:spacing w:line="240" w:lineRule="auto"/>
              <w:rPr>
                <w:rFonts w:eastAsia="Times New Roman" w:cs="Arial"/>
                <w:szCs w:val="24"/>
              </w:rPr>
            </w:pPr>
            <w:r w:rsidRPr="004B5C36">
              <w:rPr>
                <w:i/>
                <w:iCs/>
                <w:szCs w:val="20"/>
              </w:rPr>
              <w:t>0.88(0.70-1.10)</w:t>
            </w:r>
          </w:p>
        </w:tc>
        <w:tc>
          <w:tcPr>
            <w:tcW w:w="1916" w:type="dxa"/>
          </w:tcPr>
          <w:p w14:paraId="5C39E0A0" w14:textId="1A051669" w:rsidR="004B5C36" w:rsidRPr="004B5C36" w:rsidRDefault="004B5C36" w:rsidP="004B5C36">
            <w:pPr>
              <w:spacing w:line="240" w:lineRule="auto"/>
              <w:rPr>
                <w:rFonts w:eastAsia="Times New Roman" w:cs="Arial"/>
                <w:szCs w:val="24"/>
              </w:rPr>
            </w:pPr>
            <w:r w:rsidRPr="004B5C36">
              <w:rPr>
                <w:i/>
                <w:iCs/>
                <w:szCs w:val="20"/>
              </w:rPr>
              <w:t>0.25</w:t>
            </w:r>
          </w:p>
        </w:tc>
      </w:tr>
      <w:tr w:rsidR="004B5C36" w14:paraId="4242EE2C" w14:textId="77777777" w:rsidTr="004B5C36">
        <w:tc>
          <w:tcPr>
            <w:tcW w:w="1915" w:type="dxa"/>
          </w:tcPr>
          <w:p w14:paraId="3541DF0C" w14:textId="50396827" w:rsidR="004B5C36" w:rsidRPr="004B5C36" w:rsidRDefault="004B5C36" w:rsidP="004B5C36">
            <w:pPr>
              <w:spacing w:line="240" w:lineRule="auto"/>
              <w:rPr>
                <w:rFonts w:eastAsia="Times New Roman" w:cs="Arial"/>
                <w:szCs w:val="24"/>
              </w:rPr>
            </w:pPr>
            <w:r w:rsidRPr="004B5C36">
              <w:rPr>
                <w:i/>
                <w:iCs/>
                <w:szCs w:val="20"/>
              </w:rPr>
              <w:t>Усложнения, свързани с диабета</w:t>
            </w:r>
          </w:p>
        </w:tc>
        <w:tc>
          <w:tcPr>
            <w:tcW w:w="1915" w:type="dxa"/>
          </w:tcPr>
          <w:p w14:paraId="3B1699FD" w14:textId="455D763E" w:rsidR="004B5C36" w:rsidRPr="004B5C36" w:rsidRDefault="004B5C36" w:rsidP="004B5C36">
            <w:pPr>
              <w:spacing w:line="240" w:lineRule="auto"/>
              <w:rPr>
                <w:rFonts w:eastAsia="Times New Roman" w:cs="Arial"/>
                <w:szCs w:val="24"/>
              </w:rPr>
            </w:pPr>
            <w:r w:rsidRPr="004B5C36">
              <w:rPr>
                <w:i/>
                <w:iCs/>
                <w:szCs w:val="20"/>
              </w:rPr>
              <w:t>6.4</w:t>
            </w:r>
          </w:p>
        </w:tc>
        <w:tc>
          <w:tcPr>
            <w:tcW w:w="1915" w:type="dxa"/>
          </w:tcPr>
          <w:p w14:paraId="6D1E5573" w14:textId="2D8DFEEB" w:rsidR="004B5C36" w:rsidRPr="004B5C36" w:rsidRDefault="004B5C36" w:rsidP="004B5C36">
            <w:pPr>
              <w:spacing w:line="240" w:lineRule="auto"/>
              <w:rPr>
                <w:rFonts w:eastAsia="Times New Roman" w:cs="Arial"/>
                <w:szCs w:val="24"/>
              </w:rPr>
            </w:pPr>
            <w:r w:rsidRPr="004B5C36">
              <w:rPr>
                <w:i/>
                <w:iCs/>
                <w:szCs w:val="20"/>
              </w:rPr>
              <w:t>7.6</w:t>
            </w:r>
          </w:p>
        </w:tc>
        <w:tc>
          <w:tcPr>
            <w:tcW w:w="1915" w:type="dxa"/>
          </w:tcPr>
          <w:p w14:paraId="3FC1151D" w14:textId="3B794168" w:rsidR="004B5C36" w:rsidRPr="004B5C36" w:rsidRDefault="004B5C36" w:rsidP="004B5C36">
            <w:pPr>
              <w:spacing w:line="240" w:lineRule="auto"/>
              <w:rPr>
                <w:rFonts w:eastAsia="Times New Roman" w:cs="Arial"/>
                <w:szCs w:val="24"/>
              </w:rPr>
            </w:pPr>
            <w:r w:rsidRPr="004B5C36">
              <w:rPr>
                <w:i/>
                <w:iCs/>
                <w:szCs w:val="20"/>
              </w:rPr>
              <w:t>0.84(0.72-0.98)</w:t>
            </w:r>
          </w:p>
        </w:tc>
        <w:tc>
          <w:tcPr>
            <w:tcW w:w="1916" w:type="dxa"/>
          </w:tcPr>
          <w:p w14:paraId="6D53C895" w14:textId="35CF09EC" w:rsidR="004B5C36" w:rsidRPr="004B5C36" w:rsidRDefault="004B5C36" w:rsidP="004B5C36">
            <w:pPr>
              <w:spacing w:line="240" w:lineRule="auto"/>
              <w:rPr>
                <w:rFonts w:eastAsia="Times New Roman" w:cs="Arial"/>
                <w:szCs w:val="24"/>
              </w:rPr>
            </w:pPr>
            <w:r w:rsidRPr="004B5C36">
              <w:rPr>
                <w:i/>
                <w:iCs/>
                <w:szCs w:val="20"/>
              </w:rPr>
              <w:t>0.03</w:t>
            </w:r>
          </w:p>
        </w:tc>
      </w:tr>
    </w:tbl>
    <w:p w14:paraId="0B8C8A8E" w14:textId="77777777" w:rsidR="004B5C36" w:rsidRDefault="004B5C36" w:rsidP="004B5C36">
      <w:pPr>
        <w:spacing w:line="240" w:lineRule="auto"/>
        <w:rPr>
          <w:rFonts w:eastAsia="Times New Roman" w:cs="Arial"/>
          <w:sz w:val="28"/>
          <w:szCs w:val="24"/>
        </w:rPr>
      </w:pPr>
    </w:p>
    <w:p w14:paraId="49C3E24A" w14:textId="4DDBFD2D" w:rsidR="004B5C36" w:rsidRPr="004B5C36" w:rsidRDefault="004B5C36" w:rsidP="004B5C36">
      <w:pPr>
        <w:spacing w:line="240" w:lineRule="auto"/>
        <w:rPr>
          <w:rFonts w:eastAsia="Times New Roman" w:cs="Arial"/>
          <w:sz w:val="28"/>
          <w:szCs w:val="24"/>
        </w:rPr>
      </w:pPr>
      <w:r w:rsidRPr="004B5C36">
        <w:rPr>
          <w:rFonts w:eastAsia="Times New Roman" w:cs="Arial"/>
          <w:color w:val="000000"/>
          <w:szCs w:val="20"/>
          <w:lang w:eastAsia="bg-BG"/>
        </w:rPr>
        <w:t xml:space="preserve">Изпитването </w:t>
      </w:r>
      <w:r w:rsidRPr="004B5C36">
        <w:rPr>
          <w:rFonts w:eastAsia="Times New Roman" w:cs="Arial"/>
          <w:color w:val="000000"/>
          <w:szCs w:val="20"/>
          <w:lang w:val="en-US"/>
        </w:rPr>
        <w:t>MICRO</w:t>
      </w:r>
      <w:r w:rsidRPr="004B5C36">
        <w:rPr>
          <w:rFonts w:eastAsia="Times New Roman" w:cs="Arial"/>
          <w:color w:val="000000"/>
          <w:szCs w:val="20"/>
          <w:lang w:val="ru-RU"/>
        </w:rPr>
        <w:t>-</w:t>
      </w:r>
      <w:r w:rsidRPr="004B5C36">
        <w:rPr>
          <w:rFonts w:eastAsia="Times New Roman" w:cs="Arial"/>
          <w:color w:val="000000"/>
          <w:szCs w:val="20"/>
          <w:lang w:val="en-US"/>
        </w:rPr>
        <w:t>HOPE</w:t>
      </w:r>
      <w:r w:rsidRPr="004B5C36">
        <w:rPr>
          <w:rFonts w:eastAsia="Times New Roman" w:cs="Arial"/>
          <w:color w:val="000000"/>
          <w:szCs w:val="20"/>
          <w:lang w:val="ru-RU"/>
        </w:rPr>
        <w:t xml:space="preserve">, </w:t>
      </w:r>
      <w:r w:rsidRPr="004B5C36">
        <w:rPr>
          <w:rFonts w:eastAsia="Times New Roman" w:cs="Arial"/>
          <w:color w:val="000000"/>
          <w:szCs w:val="20"/>
          <w:lang w:eastAsia="bg-BG"/>
        </w:rPr>
        <w:t xml:space="preserve">предварително определено подизпитване от НОРЕ, изследва ефекта от добавянето на рамиприл 10 </w:t>
      </w:r>
      <w:r w:rsidRPr="004B5C36">
        <w:rPr>
          <w:rFonts w:eastAsia="Times New Roman" w:cs="Arial"/>
          <w:color w:val="000000"/>
          <w:szCs w:val="20"/>
          <w:lang w:val="en-US"/>
        </w:rPr>
        <w:t>mg</w:t>
      </w:r>
      <w:r w:rsidRPr="004B5C36">
        <w:rPr>
          <w:rFonts w:eastAsia="Times New Roman" w:cs="Arial"/>
          <w:color w:val="000000"/>
          <w:szCs w:val="20"/>
          <w:lang w:val="ru-RU"/>
        </w:rPr>
        <w:t xml:space="preserve"> </w:t>
      </w:r>
      <w:r w:rsidRPr="004B5C36">
        <w:rPr>
          <w:rFonts w:eastAsia="Times New Roman" w:cs="Arial"/>
          <w:color w:val="000000"/>
          <w:szCs w:val="20"/>
          <w:lang w:eastAsia="bg-BG"/>
        </w:rPr>
        <w:t>към текущата схема на лечение спрямо плацебо при 3 577 пациенти на поне 55 годишна възраст и по-възрастни (без горна граница на възрастта), като мнозинството са с диабет тип 2 (и поне един сърдечно-съдов рисков фактор), с нормално артериално налягане или хипертоници.</w:t>
      </w:r>
    </w:p>
    <w:p w14:paraId="7ACCFFA1" w14:textId="77777777" w:rsidR="004B5C36" w:rsidRPr="004B5C36" w:rsidRDefault="004B5C36" w:rsidP="004B5C36">
      <w:pPr>
        <w:spacing w:line="240" w:lineRule="auto"/>
        <w:rPr>
          <w:rFonts w:eastAsia="Times New Roman" w:cs="Arial"/>
          <w:sz w:val="28"/>
          <w:szCs w:val="24"/>
        </w:rPr>
      </w:pPr>
      <w:r w:rsidRPr="004B5C36">
        <w:rPr>
          <w:rFonts w:eastAsia="Times New Roman" w:cs="Arial"/>
          <w:color w:val="000000"/>
          <w:szCs w:val="20"/>
          <w:lang w:eastAsia="bg-BG"/>
        </w:rPr>
        <w:lastRenderedPageBreak/>
        <w:t xml:space="preserve">Първичният анализ показва, че 117 (6,5%) от участниците на рамиприл и 149 (8,4%) от тези на плацебо развиват доказана нефропатия, което съответства на </w:t>
      </w:r>
      <w:r w:rsidRPr="004B5C36">
        <w:rPr>
          <w:rFonts w:eastAsia="Times New Roman" w:cs="Arial"/>
          <w:color w:val="000000"/>
          <w:szCs w:val="20"/>
          <w:lang w:val="en-US"/>
        </w:rPr>
        <w:t>RRR</w:t>
      </w:r>
      <w:r w:rsidRPr="004B5C36">
        <w:rPr>
          <w:rFonts w:eastAsia="Times New Roman" w:cs="Arial"/>
          <w:color w:val="000000"/>
          <w:szCs w:val="20"/>
          <w:lang w:val="ru-RU"/>
        </w:rPr>
        <w:t xml:space="preserve"> </w:t>
      </w:r>
      <w:r w:rsidRPr="004B5C36">
        <w:rPr>
          <w:rFonts w:eastAsia="Times New Roman" w:cs="Arial"/>
          <w:color w:val="000000"/>
          <w:szCs w:val="20"/>
          <w:lang w:eastAsia="bg-BG"/>
        </w:rPr>
        <w:t xml:space="preserve">24%,95% </w:t>
      </w:r>
      <w:r w:rsidRPr="004B5C36">
        <w:rPr>
          <w:rFonts w:eastAsia="Times New Roman" w:cs="Arial"/>
          <w:color w:val="000000"/>
          <w:szCs w:val="20"/>
          <w:lang w:val="en-US"/>
        </w:rPr>
        <w:t>CI</w:t>
      </w:r>
      <w:r w:rsidRPr="004B5C36">
        <w:rPr>
          <w:rFonts w:eastAsia="Times New Roman" w:cs="Arial"/>
          <w:color w:val="000000"/>
          <w:szCs w:val="20"/>
          <w:lang w:val="ru-RU"/>
        </w:rPr>
        <w:t xml:space="preserve"> </w:t>
      </w:r>
      <w:r w:rsidRPr="004B5C36">
        <w:rPr>
          <w:rFonts w:eastAsia="Times New Roman" w:cs="Arial"/>
          <w:color w:val="000000"/>
          <w:szCs w:val="20"/>
          <w:lang w:eastAsia="bg-BG"/>
        </w:rPr>
        <w:t>[3-40], р=0,027.</w:t>
      </w:r>
    </w:p>
    <w:p w14:paraId="2577C005" w14:textId="77777777" w:rsidR="004B5C36" w:rsidRPr="004B5C36" w:rsidRDefault="004B5C36" w:rsidP="004B5C36">
      <w:pPr>
        <w:spacing w:line="240" w:lineRule="auto"/>
        <w:rPr>
          <w:rFonts w:eastAsia="Times New Roman" w:cs="Arial"/>
          <w:sz w:val="28"/>
          <w:szCs w:val="24"/>
        </w:rPr>
      </w:pPr>
      <w:r w:rsidRPr="004B5C36">
        <w:rPr>
          <w:rFonts w:eastAsia="Times New Roman" w:cs="Arial"/>
          <w:color w:val="000000"/>
          <w:szCs w:val="20"/>
          <w:lang w:eastAsia="bg-BG"/>
        </w:rPr>
        <w:t xml:space="preserve">Изпитването </w:t>
      </w:r>
      <w:r w:rsidRPr="004B5C36">
        <w:rPr>
          <w:rFonts w:eastAsia="Times New Roman" w:cs="Arial"/>
          <w:color w:val="000000"/>
          <w:szCs w:val="20"/>
          <w:lang w:val="en-US"/>
        </w:rPr>
        <w:t>REIN</w:t>
      </w:r>
      <w:r w:rsidRPr="004B5C36">
        <w:rPr>
          <w:rFonts w:eastAsia="Times New Roman" w:cs="Arial"/>
          <w:color w:val="000000"/>
          <w:szCs w:val="20"/>
          <w:lang w:val="ru-RU"/>
        </w:rPr>
        <w:t xml:space="preserve"> </w:t>
      </w:r>
      <w:r w:rsidRPr="004B5C36">
        <w:rPr>
          <w:rFonts w:eastAsia="Times New Roman" w:cs="Arial"/>
          <w:color w:val="000000"/>
          <w:szCs w:val="20"/>
          <w:lang w:eastAsia="bg-BG"/>
        </w:rPr>
        <w:t xml:space="preserve">е многоцентрово рандомизирано, двойно-сляпо, плацебо контролирано изпитване с паралелни групи, целящо оценяване на ефекта от лечението с рамиприл върху честотата на влошаване на степента на гломерулна филтрация (СГФ) при 352 пациенти с нормално артериално налягане или хипертоници (18-70 годишна възраст), страдащи от лека (т.е. средна екскреция на протеин в урина &gt; 1 и &lt; 3 </w:t>
      </w:r>
      <w:r w:rsidRPr="004B5C36">
        <w:rPr>
          <w:rFonts w:eastAsia="Times New Roman" w:cs="Arial"/>
          <w:color w:val="000000"/>
          <w:szCs w:val="20"/>
          <w:lang w:val="en-US"/>
        </w:rPr>
        <w:t>g</w:t>
      </w:r>
      <w:r w:rsidRPr="004B5C36">
        <w:rPr>
          <w:rFonts w:eastAsia="Times New Roman" w:cs="Arial"/>
          <w:color w:val="000000"/>
          <w:szCs w:val="20"/>
          <w:lang w:val="ru-RU"/>
        </w:rPr>
        <w:t xml:space="preserve">/24 </w:t>
      </w:r>
      <w:r w:rsidRPr="004B5C36">
        <w:rPr>
          <w:rFonts w:eastAsia="Times New Roman" w:cs="Arial"/>
          <w:color w:val="000000"/>
          <w:szCs w:val="20"/>
          <w:lang w:eastAsia="bg-BG"/>
        </w:rPr>
        <w:t xml:space="preserve">часа) или тежка протеинурия (≥ 3 </w:t>
      </w:r>
      <w:r w:rsidRPr="004B5C36">
        <w:rPr>
          <w:rFonts w:eastAsia="Times New Roman" w:cs="Arial"/>
          <w:color w:val="000000"/>
          <w:szCs w:val="20"/>
          <w:lang w:val="en-US"/>
        </w:rPr>
        <w:t>g</w:t>
      </w:r>
      <w:r w:rsidRPr="004B5C36">
        <w:rPr>
          <w:rFonts w:eastAsia="Times New Roman" w:cs="Arial"/>
          <w:color w:val="000000"/>
          <w:szCs w:val="20"/>
          <w:lang w:val="ru-RU"/>
        </w:rPr>
        <w:t xml:space="preserve">/24 </w:t>
      </w:r>
      <w:r w:rsidRPr="004B5C36">
        <w:rPr>
          <w:rFonts w:eastAsia="Times New Roman" w:cs="Arial"/>
          <w:color w:val="000000"/>
          <w:szCs w:val="20"/>
          <w:lang w:eastAsia="bg-BG"/>
        </w:rPr>
        <w:t>часа) поради хронична недиабетна нефропатия. И двете субпопулации са били проспективно стратифицирани.</w:t>
      </w:r>
    </w:p>
    <w:p w14:paraId="4DB81FE5" w14:textId="77777777" w:rsidR="004B5C36" w:rsidRPr="004B5C36" w:rsidRDefault="004B5C36" w:rsidP="004B5C36">
      <w:pPr>
        <w:spacing w:line="240" w:lineRule="auto"/>
        <w:rPr>
          <w:rFonts w:eastAsia="Times New Roman" w:cs="Arial"/>
          <w:color w:val="000000"/>
          <w:szCs w:val="20"/>
          <w:lang w:eastAsia="bg-BG"/>
        </w:rPr>
      </w:pPr>
    </w:p>
    <w:p w14:paraId="7E0E5575" w14:textId="29AC2FF2" w:rsidR="004B5C36" w:rsidRPr="004B5C36" w:rsidRDefault="004B5C36" w:rsidP="004B5C36">
      <w:pPr>
        <w:spacing w:line="240" w:lineRule="auto"/>
        <w:rPr>
          <w:rFonts w:eastAsia="Times New Roman" w:cs="Arial"/>
          <w:sz w:val="28"/>
          <w:szCs w:val="24"/>
        </w:rPr>
      </w:pPr>
      <w:r w:rsidRPr="004B5C36">
        <w:rPr>
          <w:rFonts w:eastAsia="Times New Roman" w:cs="Arial"/>
          <w:color w:val="000000"/>
          <w:szCs w:val="20"/>
          <w:lang w:eastAsia="bg-BG"/>
        </w:rPr>
        <w:t xml:space="preserve">Основният анализ на пациентите с най-тежка протеинурия (частта от пациенти преждевременно отстранена, поради предимствата при групата на рамиприл) показва, че средната честота на влошаване на СГФ за месец е била по-ниска при рамиприл, отколкото при плацебо; -0,54 (0,66) спрямо -0,88 (1,03) </w:t>
      </w:r>
      <w:r w:rsidRPr="004B5C36">
        <w:rPr>
          <w:rFonts w:eastAsia="Times New Roman" w:cs="Arial"/>
          <w:color w:val="000000"/>
          <w:szCs w:val="20"/>
          <w:lang w:val="en-US"/>
        </w:rPr>
        <w:t>ml</w:t>
      </w:r>
      <w:r w:rsidRPr="004B5C36">
        <w:rPr>
          <w:rFonts w:eastAsia="Times New Roman" w:cs="Arial"/>
          <w:color w:val="000000"/>
          <w:szCs w:val="20"/>
          <w:lang w:val="ru-RU"/>
        </w:rPr>
        <w:t>/</w:t>
      </w:r>
      <w:r w:rsidRPr="004B5C36">
        <w:rPr>
          <w:rFonts w:eastAsia="Times New Roman" w:cs="Arial"/>
          <w:color w:val="000000"/>
          <w:szCs w:val="20"/>
          <w:lang w:val="en-US"/>
        </w:rPr>
        <w:t>min</w:t>
      </w:r>
      <w:r w:rsidRPr="004B5C36">
        <w:rPr>
          <w:rFonts w:eastAsia="Times New Roman" w:cs="Arial"/>
          <w:color w:val="000000"/>
          <w:szCs w:val="20"/>
          <w:lang w:val="ru-RU"/>
        </w:rPr>
        <w:t xml:space="preserve"> </w:t>
      </w:r>
      <w:r w:rsidRPr="004B5C36">
        <w:rPr>
          <w:rFonts w:eastAsia="Times New Roman" w:cs="Arial"/>
          <w:color w:val="000000"/>
          <w:szCs w:val="20"/>
          <w:lang w:eastAsia="bg-BG"/>
        </w:rPr>
        <w:t xml:space="preserve">/месец, р = 0,038. Вътрегруповата разлика е била 0,34 [0,03-0,65] за месец, и около 4 </w:t>
      </w:r>
      <w:r w:rsidRPr="004B5C36">
        <w:rPr>
          <w:rFonts w:eastAsia="Times New Roman" w:cs="Arial"/>
          <w:color w:val="000000"/>
          <w:szCs w:val="20"/>
          <w:lang w:val="en-US"/>
        </w:rPr>
        <w:t>ml</w:t>
      </w:r>
      <w:r w:rsidRPr="004B5C36">
        <w:rPr>
          <w:rFonts w:eastAsia="Times New Roman" w:cs="Arial"/>
          <w:color w:val="000000"/>
          <w:szCs w:val="20"/>
          <w:lang w:val="ru-RU"/>
        </w:rPr>
        <w:t xml:space="preserve">/ </w:t>
      </w:r>
      <w:r w:rsidRPr="004B5C36">
        <w:rPr>
          <w:rFonts w:eastAsia="Times New Roman" w:cs="Arial"/>
          <w:color w:val="000000"/>
          <w:szCs w:val="20"/>
          <w:lang w:val="en-US"/>
        </w:rPr>
        <w:t>min</w:t>
      </w:r>
      <w:r w:rsidRPr="004B5C36">
        <w:rPr>
          <w:rFonts w:eastAsia="Times New Roman" w:cs="Arial"/>
          <w:color w:val="000000"/>
          <w:szCs w:val="20"/>
          <w:lang w:val="ru-RU"/>
        </w:rPr>
        <w:t xml:space="preserve"> </w:t>
      </w:r>
      <w:r w:rsidRPr="004B5C36">
        <w:rPr>
          <w:rFonts w:eastAsia="Times New Roman" w:cs="Arial"/>
          <w:color w:val="000000"/>
          <w:szCs w:val="20"/>
          <w:lang w:eastAsia="bg-BG"/>
        </w:rPr>
        <w:t>/година; 23,1% от пациентите в групата на рамиприл достигат комбинираните вторични крайни точки на удвояване концентрацията на изходния серумен креатинин и/или терминална бъбречна недостатъчност (необходимост от диализа или бъбречна трансплантация) спрямо 45,5 % в групата на плацебо (р = 0,02).</w:t>
      </w:r>
    </w:p>
    <w:p w14:paraId="108D4003" w14:textId="77777777" w:rsidR="004B5C36" w:rsidRPr="004B5C36" w:rsidRDefault="004B5C36" w:rsidP="004B5C36">
      <w:pPr>
        <w:spacing w:line="240" w:lineRule="auto"/>
        <w:rPr>
          <w:rFonts w:eastAsia="Times New Roman" w:cs="Arial"/>
          <w:i/>
          <w:iCs/>
          <w:color w:val="000000"/>
          <w:szCs w:val="20"/>
          <w:lang w:eastAsia="bg-BG"/>
        </w:rPr>
      </w:pPr>
    </w:p>
    <w:p w14:paraId="06F15AF3" w14:textId="2BAC6AE3" w:rsidR="004B5C36" w:rsidRPr="004B5C36" w:rsidRDefault="004B5C36" w:rsidP="004B5C36">
      <w:pPr>
        <w:spacing w:line="240" w:lineRule="auto"/>
        <w:rPr>
          <w:rFonts w:eastAsia="Times New Roman" w:cs="Arial"/>
          <w:sz w:val="28"/>
          <w:szCs w:val="24"/>
        </w:rPr>
      </w:pPr>
      <w:r w:rsidRPr="004B5C36">
        <w:rPr>
          <w:rFonts w:eastAsia="Times New Roman" w:cs="Arial"/>
          <w:i/>
          <w:iCs/>
          <w:color w:val="000000"/>
          <w:szCs w:val="20"/>
          <w:lang w:eastAsia="bg-BG"/>
        </w:rPr>
        <w:t>Двойна блокада на ренин-ангиотензин-алдостерон системата (РААС)</w:t>
      </w:r>
    </w:p>
    <w:p w14:paraId="743AD00D" w14:textId="77777777" w:rsidR="004B5C36" w:rsidRPr="004B5C36" w:rsidRDefault="004B5C36" w:rsidP="004B5C36">
      <w:pPr>
        <w:spacing w:line="240" w:lineRule="auto"/>
        <w:rPr>
          <w:rFonts w:eastAsia="Times New Roman" w:cs="Arial"/>
          <w:sz w:val="28"/>
          <w:szCs w:val="24"/>
        </w:rPr>
      </w:pPr>
      <w:r w:rsidRPr="004B5C36">
        <w:rPr>
          <w:rFonts w:eastAsia="Times New Roman" w:cs="Arial"/>
          <w:i/>
          <w:iCs/>
          <w:color w:val="000000"/>
          <w:szCs w:val="20"/>
          <w:lang w:eastAsia="bg-BG"/>
        </w:rPr>
        <w:t>Две</w:t>
      </w:r>
      <w:r w:rsidRPr="004B5C36">
        <w:rPr>
          <w:rFonts w:eastAsia="Times New Roman" w:cs="Arial"/>
          <w:color w:val="000000"/>
          <w:szCs w:val="20"/>
          <w:lang w:eastAsia="bg-BG"/>
        </w:rPr>
        <w:t xml:space="preserve"> големи рандомизирани контролирани проучвания - </w:t>
      </w:r>
      <w:r w:rsidRPr="004B5C36">
        <w:rPr>
          <w:rFonts w:eastAsia="Times New Roman" w:cs="Arial"/>
          <w:color w:val="000000"/>
          <w:szCs w:val="20"/>
          <w:lang w:val="en-US"/>
        </w:rPr>
        <w:t>ONTARGET</w:t>
      </w:r>
      <w:r w:rsidRPr="004B5C36">
        <w:rPr>
          <w:rFonts w:eastAsia="Times New Roman" w:cs="Arial"/>
          <w:color w:val="000000"/>
          <w:szCs w:val="20"/>
        </w:rPr>
        <w:t xml:space="preserve"> (</w:t>
      </w:r>
      <w:proofErr w:type="spellStart"/>
      <w:r w:rsidRPr="004B5C36">
        <w:rPr>
          <w:rFonts w:eastAsia="Times New Roman" w:cs="Arial"/>
          <w:color w:val="000000"/>
          <w:szCs w:val="20"/>
          <w:lang w:val="en-US"/>
        </w:rPr>
        <w:t>ONgoing</w:t>
      </w:r>
      <w:proofErr w:type="spellEnd"/>
      <w:r w:rsidRPr="004B5C36">
        <w:rPr>
          <w:rFonts w:eastAsia="Times New Roman" w:cs="Arial"/>
          <w:color w:val="000000"/>
          <w:szCs w:val="20"/>
        </w:rPr>
        <w:t xml:space="preserve"> </w:t>
      </w:r>
      <w:proofErr w:type="spellStart"/>
      <w:r w:rsidRPr="004B5C36">
        <w:rPr>
          <w:rFonts w:eastAsia="Times New Roman" w:cs="Arial"/>
          <w:color w:val="000000"/>
          <w:szCs w:val="20"/>
          <w:lang w:val="en-US"/>
        </w:rPr>
        <w:t>Telmisartan</w:t>
      </w:r>
      <w:proofErr w:type="spellEnd"/>
      <w:r w:rsidRPr="004B5C36">
        <w:rPr>
          <w:rFonts w:eastAsia="Times New Roman" w:cs="Arial"/>
          <w:color w:val="000000"/>
          <w:szCs w:val="20"/>
        </w:rPr>
        <w:t xml:space="preserve"> </w:t>
      </w:r>
      <w:r w:rsidRPr="004B5C36">
        <w:rPr>
          <w:rFonts w:eastAsia="Times New Roman" w:cs="Arial"/>
          <w:color w:val="000000"/>
          <w:szCs w:val="20"/>
          <w:lang w:val="en-US"/>
        </w:rPr>
        <w:t>Alone</w:t>
      </w:r>
      <w:r w:rsidRPr="004B5C36">
        <w:rPr>
          <w:rFonts w:eastAsia="Times New Roman" w:cs="Arial"/>
          <w:color w:val="000000"/>
          <w:szCs w:val="20"/>
        </w:rPr>
        <w:t xml:space="preserve"> </w:t>
      </w:r>
      <w:r w:rsidRPr="004B5C36">
        <w:rPr>
          <w:rFonts w:eastAsia="Times New Roman" w:cs="Arial"/>
          <w:color w:val="000000"/>
          <w:szCs w:val="20"/>
          <w:lang w:val="en-US"/>
        </w:rPr>
        <w:t>and</w:t>
      </w:r>
      <w:r w:rsidRPr="004B5C36">
        <w:rPr>
          <w:rFonts w:eastAsia="Times New Roman" w:cs="Arial"/>
          <w:color w:val="000000"/>
          <w:szCs w:val="20"/>
        </w:rPr>
        <w:t xml:space="preserve"> </w:t>
      </w:r>
      <w:r w:rsidRPr="004B5C36">
        <w:rPr>
          <w:rFonts w:eastAsia="Times New Roman" w:cs="Arial"/>
          <w:color w:val="000000"/>
          <w:szCs w:val="20"/>
          <w:lang w:val="en-US"/>
        </w:rPr>
        <w:t>in</w:t>
      </w:r>
      <w:r w:rsidRPr="004B5C36">
        <w:rPr>
          <w:rFonts w:eastAsia="Times New Roman" w:cs="Arial"/>
          <w:color w:val="000000"/>
          <w:szCs w:val="20"/>
        </w:rPr>
        <w:t xml:space="preserve"> </w:t>
      </w:r>
      <w:r w:rsidRPr="004B5C36">
        <w:rPr>
          <w:rFonts w:eastAsia="Times New Roman" w:cs="Arial"/>
          <w:color w:val="000000"/>
          <w:szCs w:val="20"/>
          <w:lang w:val="en-US"/>
        </w:rPr>
        <w:t>combination</w:t>
      </w:r>
      <w:r w:rsidRPr="004B5C36">
        <w:rPr>
          <w:rFonts w:eastAsia="Times New Roman" w:cs="Arial"/>
          <w:color w:val="000000"/>
          <w:szCs w:val="20"/>
        </w:rPr>
        <w:t xml:space="preserve"> </w:t>
      </w:r>
      <w:r w:rsidRPr="004B5C36">
        <w:rPr>
          <w:rFonts w:eastAsia="Times New Roman" w:cs="Arial"/>
          <w:color w:val="000000"/>
          <w:szCs w:val="20"/>
          <w:lang w:val="en-US"/>
        </w:rPr>
        <w:t>with</w:t>
      </w:r>
      <w:r w:rsidRPr="004B5C36">
        <w:rPr>
          <w:rFonts w:eastAsia="Times New Roman" w:cs="Arial"/>
          <w:color w:val="000000"/>
          <w:szCs w:val="20"/>
        </w:rPr>
        <w:t xml:space="preserve"> </w:t>
      </w:r>
      <w:r w:rsidRPr="004B5C36">
        <w:rPr>
          <w:rFonts w:eastAsia="Times New Roman" w:cs="Arial"/>
          <w:color w:val="000000"/>
          <w:szCs w:val="20"/>
          <w:lang w:val="en-US"/>
        </w:rPr>
        <w:t>Ramipril</w:t>
      </w:r>
      <w:r w:rsidRPr="004B5C36">
        <w:rPr>
          <w:rFonts w:eastAsia="Times New Roman" w:cs="Arial"/>
          <w:color w:val="000000"/>
          <w:szCs w:val="20"/>
        </w:rPr>
        <w:t xml:space="preserve"> </w:t>
      </w:r>
      <w:r w:rsidRPr="004B5C36">
        <w:rPr>
          <w:rFonts w:eastAsia="Times New Roman" w:cs="Arial"/>
          <w:color w:val="000000"/>
          <w:szCs w:val="20"/>
          <w:lang w:val="en-US"/>
        </w:rPr>
        <w:t>Global</w:t>
      </w:r>
      <w:r w:rsidRPr="004B5C36">
        <w:rPr>
          <w:rFonts w:eastAsia="Times New Roman" w:cs="Arial"/>
          <w:color w:val="000000"/>
          <w:szCs w:val="20"/>
        </w:rPr>
        <w:t xml:space="preserve"> </w:t>
      </w:r>
      <w:r w:rsidRPr="004B5C36">
        <w:rPr>
          <w:rFonts w:eastAsia="Times New Roman" w:cs="Arial"/>
          <w:color w:val="000000"/>
          <w:szCs w:val="20"/>
          <w:lang w:val="en-US"/>
        </w:rPr>
        <w:t>Endpoint</w:t>
      </w:r>
      <w:r w:rsidRPr="004B5C36">
        <w:rPr>
          <w:rFonts w:eastAsia="Times New Roman" w:cs="Arial"/>
          <w:color w:val="000000"/>
          <w:szCs w:val="20"/>
        </w:rPr>
        <w:t xml:space="preserve"> </w:t>
      </w:r>
      <w:r w:rsidRPr="004B5C36">
        <w:rPr>
          <w:rFonts w:eastAsia="Times New Roman" w:cs="Arial"/>
          <w:color w:val="000000"/>
          <w:szCs w:val="20"/>
          <w:lang w:val="en-US"/>
        </w:rPr>
        <w:t>Trial</w:t>
      </w:r>
      <w:r w:rsidRPr="004B5C36">
        <w:rPr>
          <w:rFonts w:eastAsia="Times New Roman" w:cs="Arial"/>
          <w:color w:val="000000"/>
          <w:szCs w:val="20"/>
        </w:rPr>
        <w:t xml:space="preserve"> - </w:t>
      </w:r>
      <w:r w:rsidRPr="004B5C36">
        <w:rPr>
          <w:rFonts w:eastAsia="Times New Roman" w:cs="Arial"/>
          <w:color w:val="000000"/>
          <w:szCs w:val="20"/>
          <w:lang w:eastAsia="bg-BG"/>
        </w:rPr>
        <w:t xml:space="preserve">текущо глобално изпитване за крайни точки на телмисартан, самостоятелно и в комбинация с рамиприл) и </w:t>
      </w:r>
      <w:r w:rsidRPr="004B5C36">
        <w:rPr>
          <w:rFonts w:eastAsia="Times New Roman" w:cs="Arial"/>
          <w:color w:val="000000"/>
          <w:szCs w:val="20"/>
          <w:lang w:val="en-US"/>
        </w:rPr>
        <w:t>VA</w:t>
      </w:r>
      <w:r w:rsidRPr="004B5C36">
        <w:rPr>
          <w:rFonts w:eastAsia="Times New Roman" w:cs="Arial"/>
          <w:color w:val="000000"/>
          <w:szCs w:val="20"/>
        </w:rPr>
        <w:t xml:space="preserve"> </w:t>
      </w:r>
      <w:r w:rsidRPr="004B5C36">
        <w:rPr>
          <w:rFonts w:eastAsia="Times New Roman" w:cs="Arial"/>
          <w:color w:val="000000"/>
          <w:szCs w:val="20"/>
          <w:lang w:val="en-US"/>
        </w:rPr>
        <w:t>NEPHRON</w:t>
      </w:r>
      <w:r w:rsidRPr="004B5C36">
        <w:rPr>
          <w:rFonts w:eastAsia="Times New Roman" w:cs="Arial"/>
          <w:color w:val="000000"/>
          <w:szCs w:val="20"/>
        </w:rPr>
        <w:t>-</w:t>
      </w:r>
      <w:r w:rsidRPr="004B5C36">
        <w:rPr>
          <w:rFonts w:eastAsia="Times New Roman" w:cs="Arial"/>
          <w:color w:val="000000"/>
          <w:szCs w:val="20"/>
          <w:lang w:val="en-US"/>
        </w:rPr>
        <w:t>D</w:t>
      </w:r>
      <w:r w:rsidRPr="004B5C36">
        <w:rPr>
          <w:rFonts w:eastAsia="Times New Roman" w:cs="Arial"/>
          <w:color w:val="000000"/>
          <w:szCs w:val="20"/>
        </w:rPr>
        <w:t xml:space="preserve"> </w:t>
      </w:r>
      <w:r w:rsidRPr="004B5C36">
        <w:rPr>
          <w:rFonts w:eastAsia="Times New Roman" w:cs="Arial"/>
          <w:color w:val="000000"/>
          <w:szCs w:val="20"/>
          <w:lang w:eastAsia="bg-BG"/>
        </w:rPr>
        <w:t>(Клинично проучване, свързано с развитие на нефропатия при диабет, проведено от Министерство по въпросите на ветераните) - проучват употребата на комбинацията от АСЕ инхибитор и ангиотензин П-рецепторен блокер.</w:t>
      </w:r>
    </w:p>
    <w:p w14:paraId="0F4C7045" w14:textId="77777777" w:rsidR="004B5C36" w:rsidRPr="004B5C36" w:rsidRDefault="004B5C36" w:rsidP="004B5C36">
      <w:pPr>
        <w:spacing w:line="240" w:lineRule="auto"/>
        <w:rPr>
          <w:rFonts w:eastAsia="Times New Roman" w:cs="Arial"/>
          <w:sz w:val="28"/>
          <w:szCs w:val="24"/>
        </w:rPr>
      </w:pPr>
      <w:r w:rsidRPr="004B5C36">
        <w:rPr>
          <w:rFonts w:eastAsia="Times New Roman" w:cs="Arial"/>
          <w:color w:val="000000"/>
          <w:szCs w:val="20"/>
          <w:lang w:val="en-US"/>
        </w:rPr>
        <w:t>ONTARGET</w:t>
      </w:r>
      <w:r w:rsidRPr="004B5C36">
        <w:rPr>
          <w:rFonts w:eastAsia="Times New Roman" w:cs="Arial"/>
          <w:color w:val="000000"/>
          <w:szCs w:val="20"/>
          <w:lang w:val="ru-RU"/>
        </w:rPr>
        <w:t xml:space="preserve"> </w:t>
      </w:r>
      <w:r w:rsidRPr="004B5C36">
        <w:rPr>
          <w:rFonts w:eastAsia="Times New Roman" w:cs="Arial"/>
          <w:color w:val="000000"/>
          <w:szCs w:val="20"/>
          <w:lang w:eastAsia="bg-BG"/>
        </w:rPr>
        <w:t xml:space="preserve">е проучване, проведено при пациенти с анамнеза за сърдечно-съдова или мозъчносъдова болест, или захарен диабет тип 2, придружени с данни за увреждане на ефекторни органи. </w:t>
      </w:r>
      <w:r w:rsidRPr="004B5C36">
        <w:rPr>
          <w:rFonts w:eastAsia="Times New Roman" w:cs="Arial"/>
          <w:color w:val="000000"/>
          <w:szCs w:val="20"/>
          <w:lang w:val="en-US"/>
        </w:rPr>
        <w:t>VA</w:t>
      </w:r>
      <w:r w:rsidRPr="004B5C36">
        <w:rPr>
          <w:rFonts w:eastAsia="Times New Roman" w:cs="Arial"/>
          <w:color w:val="000000"/>
          <w:szCs w:val="20"/>
          <w:lang w:val="ru-RU"/>
        </w:rPr>
        <w:t xml:space="preserve"> </w:t>
      </w:r>
      <w:r w:rsidRPr="004B5C36">
        <w:rPr>
          <w:rFonts w:eastAsia="Times New Roman" w:cs="Arial"/>
          <w:color w:val="000000"/>
          <w:szCs w:val="20"/>
          <w:lang w:val="en-US"/>
        </w:rPr>
        <w:t>NEPHRON</w:t>
      </w:r>
      <w:r w:rsidRPr="004B5C36">
        <w:rPr>
          <w:rFonts w:eastAsia="Times New Roman" w:cs="Arial"/>
          <w:color w:val="000000"/>
          <w:szCs w:val="20"/>
          <w:lang w:val="ru-RU"/>
        </w:rPr>
        <w:t>-</w:t>
      </w:r>
      <w:r w:rsidRPr="004B5C36">
        <w:rPr>
          <w:rFonts w:eastAsia="Times New Roman" w:cs="Arial"/>
          <w:color w:val="000000"/>
          <w:szCs w:val="20"/>
          <w:lang w:val="en-US"/>
        </w:rPr>
        <w:t>D</w:t>
      </w:r>
      <w:r w:rsidRPr="004B5C36">
        <w:rPr>
          <w:rFonts w:eastAsia="Times New Roman" w:cs="Arial"/>
          <w:color w:val="000000"/>
          <w:szCs w:val="20"/>
          <w:lang w:val="ru-RU"/>
        </w:rPr>
        <w:t xml:space="preserve"> </w:t>
      </w:r>
      <w:r w:rsidRPr="004B5C36">
        <w:rPr>
          <w:rFonts w:eastAsia="Times New Roman" w:cs="Arial"/>
          <w:color w:val="000000"/>
          <w:szCs w:val="20"/>
          <w:lang w:eastAsia="bg-BG"/>
        </w:rPr>
        <w:t>е проучване при пациенти със захарен диабет тип 2 и диабетна нефропатия.</w:t>
      </w:r>
    </w:p>
    <w:p w14:paraId="027BD020" w14:textId="77777777" w:rsidR="004B5C36" w:rsidRPr="004B5C36" w:rsidRDefault="004B5C36" w:rsidP="004B5C36">
      <w:pPr>
        <w:spacing w:line="240" w:lineRule="auto"/>
        <w:rPr>
          <w:rFonts w:eastAsia="Times New Roman" w:cs="Arial"/>
          <w:sz w:val="28"/>
          <w:szCs w:val="24"/>
        </w:rPr>
      </w:pPr>
      <w:r w:rsidRPr="004B5C36">
        <w:rPr>
          <w:rFonts w:eastAsia="Times New Roman" w:cs="Arial"/>
          <w:color w:val="000000"/>
          <w:szCs w:val="20"/>
          <w:lang w:eastAsia="bg-BG"/>
        </w:rPr>
        <w:t xml:space="preserve">Тези проучвания не показват значим благоприятен ефект върху бъбречните и/или сърдечно-съдовите последици и смъртност, като същевременно са наблюдавани повишен риск от хиперкалиемия, остро увреждане на бъбреците и/или хипотония в сравнение с монотерапията. Като се имат предвид сходните им фармакодинамични свойства, тези резултати са приложими и за други АСЕ инхибитори и ангиотензин </w:t>
      </w:r>
      <w:r w:rsidRPr="004B5C36">
        <w:rPr>
          <w:rFonts w:eastAsia="Times New Roman" w:cs="Arial"/>
          <w:color w:val="000000"/>
          <w:szCs w:val="20"/>
          <w:lang w:val="en-US"/>
        </w:rPr>
        <w:t>II</w:t>
      </w:r>
      <w:r w:rsidRPr="004B5C36">
        <w:rPr>
          <w:rFonts w:eastAsia="Times New Roman" w:cs="Arial"/>
          <w:color w:val="000000"/>
          <w:szCs w:val="20"/>
          <w:lang w:eastAsia="bg-BG"/>
        </w:rPr>
        <w:t xml:space="preserve">-рецепторни блокери. АСЕ инхибитори и ангиотензин </w:t>
      </w:r>
      <w:r w:rsidRPr="004B5C36">
        <w:rPr>
          <w:rFonts w:eastAsia="Times New Roman" w:cs="Arial"/>
          <w:color w:val="000000"/>
          <w:szCs w:val="20"/>
          <w:lang w:val="en-US"/>
        </w:rPr>
        <w:t>II</w:t>
      </w:r>
      <w:r w:rsidRPr="004B5C36">
        <w:rPr>
          <w:rFonts w:eastAsia="Times New Roman" w:cs="Arial"/>
          <w:color w:val="000000"/>
          <w:szCs w:val="20"/>
          <w:lang w:eastAsia="bg-BG"/>
        </w:rPr>
        <w:t>-рецепторни блокери следователно не трябва да се използват едновременно при пациенти с диабетна нефропатия.</w:t>
      </w:r>
    </w:p>
    <w:p w14:paraId="3B37879D" w14:textId="77777777" w:rsidR="004B5C36" w:rsidRPr="004B5C36" w:rsidRDefault="004B5C36" w:rsidP="004B5C36">
      <w:pPr>
        <w:rPr>
          <w:rFonts w:eastAsia="Times New Roman" w:cs="Arial"/>
          <w:sz w:val="28"/>
          <w:szCs w:val="24"/>
        </w:rPr>
      </w:pPr>
      <w:proofErr w:type="gramStart"/>
      <w:r w:rsidRPr="004B5C36">
        <w:rPr>
          <w:rFonts w:eastAsia="Times New Roman" w:cs="Arial"/>
          <w:color w:val="000000"/>
          <w:szCs w:val="20"/>
          <w:lang w:val="en-US"/>
        </w:rPr>
        <w:t>ALTITUDE</w:t>
      </w:r>
      <w:r w:rsidRPr="004B5C36">
        <w:rPr>
          <w:rFonts w:eastAsia="Times New Roman" w:cs="Arial"/>
          <w:color w:val="000000"/>
          <w:szCs w:val="20"/>
          <w:lang w:val="ru-RU"/>
        </w:rPr>
        <w:t xml:space="preserve"> </w:t>
      </w:r>
      <w:r w:rsidRPr="004B5C36">
        <w:rPr>
          <w:rFonts w:eastAsia="Times New Roman" w:cs="Arial"/>
          <w:color w:val="000000"/>
          <w:szCs w:val="20"/>
          <w:lang w:eastAsia="bg-BG"/>
        </w:rPr>
        <w:t xml:space="preserve">(Клинично проучване проведено с алискирен при пациенти със захарен диабет тип 2 с използване на сърдечно-съдови и бъбречни заболявания като крайни точки) е проучване, предназначено да изследва ползата от добавянето на алискирен към стандартна терапия с АСЕ инхибитор или ангиотензин </w:t>
      </w:r>
      <w:r w:rsidRPr="004B5C36">
        <w:rPr>
          <w:rFonts w:eastAsia="Times New Roman" w:cs="Arial"/>
          <w:color w:val="000000"/>
          <w:szCs w:val="20"/>
          <w:lang w:val="en-US"/>
        </w:rPr>
        <w:t>II</w:t>
      </w:r>
      <w:r w:rsidRPr="004B5C36">
        <w:rPr>
          <w:rFonts w:eastAsia="Times New Roman" w:cs="Arial"/>
          <w:color w:val="000000"/>
          <w:szCs w:val="20"/>
          <w:lang w:eastAsia="bg-BG"/>
        </w:rPr>
        <w:t>-рецепторен блокер при пациенти със захарен диабет тип 2 и хронично бъбречно заболяване, сърдечно-съдово заболяване</w:t>
      </w:r>
      <w:r w:rsidRPr="004B5C36">
        <w:rPr>
          <w:rFonts w:eastAsia="Times New Roman" w:cs="Arial"/>
          <w:color w:val="000000"/>
          <w:szCs w:val="20"/>
          <w:lang w:val="ru-RU"/>
        </w:rPr>
        <w:t xml:space="preserve"> </w:t>
      </w:r>
      <w:r w:rsidRPr="004B5C36">
        <w:rPr>
          <w:rFonts w:eastAsia="Times New Roman" w:cs="Arial"/>
          <w:color w:val="000000"/>
          <w:szCs w:val="20"/>
          <w:lang w:eastAsia="bg-BG"/>
        </w:rPr>
        <w:t>или и двете Проучването е прекратено преждевременно поради повишен риск от неблагоприятни</w:t>
      </w:r>
      <w:r w:rsidRPr="004B5C36">
        <w:rPr>
          <w:rFonts w:eastAsia="Times New Roman" w:cs="Arial"/>
          <w:sz w:val="28"/>
          <w:szCs w:val="24"/>
          <w:lang w:val="ru-RU"/>
        </w:rPr>
        <w:t xml:space="preserve"> </w:t>
      </w:r>
      <w:r w:rsidRPr="004B5C36">
        <w:rPr>
          <w:rFonts w:eastAsia="Times New Roman" w:cs="Arial"/>
          <w:color w:val="000000"/>
          <w:szCs w:val="20"/>
          <w:lang w:eastAsia="bg-BG"/>
        </w:rPr>
        <w:t>последици.</w:t>
      </w:r>
      <w:proofErr w:type="gramEnd"/>
      <w:r w:rsidRPr="004B5C36">
        <w:rPr>
          <w:rFonts w:eastAsia="Times New Roman" w:cs="Arial"/>
          <w:color w:val="000000"/>
          <w:szCs w:val="20"/>
          <w:lang w:eastAsia="bg-BG"/>
        </w:rPr>
        <w:t xml:space="preserve"> Както сърдечно-съдовата смърт, така и инсултът са по-чести в групата на</w:t>
      </w:r>
      <w:r w:rsidRPr="004B5C36">
        <w:rPr>
          <w:rFonts w:eastAsia="Times New Roman" w:cs="Arial"/>
          <w:color w:val="000000"/>
          <w:szCs w:val="20"/>
          <w:lang w:val="ru-RU" w:eastAsia="bg-BG"/>
        </w:rPr>
        <w:t xml:space="preserve"> </w:t>
      </w:r>
      <w:r w:rsidRPr="004B5C36">
        <w:rPr>
          <w:rFonts w:eastAsia="Times New Roman" w:cs="Arial"/>
          <w:color w:val="000000"/>
          <w:szCs w:val="20"/>
          <w:lang w:eastAsia="bg-BG"/>
        </w:rPr>
        <w:t>алискирен, отколкото в групата на плацебо, а представляващите интерес нежелани събития и сериозни нежелани събития (хиперкалиемия, хипотония и бъбречна дисфункция) се съобщават по-често в групата на алискирен, отколкото в групата на плацебо.</w:t>
      </w:r>
    </w:p>
    <w:p w14:paraId="06DEBE6F" w14:textId="77777777" w:rsidR="004B5C36" w:rsidRPr="004B5C36" w:rsidRDefault="004B5C36" w:rsidP="004B5C36">
      <w:pPr>
        <w:spacing w:line="240" w:lineRule="auto"/>
        <w:rPr>
          <w:rFonts w:eastAsia="Times New Roman" w:cs="Arial"/>
          <w:color w:val="000000"/>
          <w:szCs w:val="20"/>
          <w:u w:val="single"/>
          <w:lang w:eastAsia="bg-BG"/>
        </w:rPr>
      </w:pPr>
    </w:p>
    <w:p w14:paraId="5C5A62CE" w14:textId="3E34B3B3" w:rsidR="004B5C36" w:rsidRPr="004B5C36" w:rsidRDefault="004B5C36" w:rsidP="004B5C36">
      <w:pPr>
        <w:spacing w:line="240" w:lineRule="auto"/>
        <w:rPr>
          <w:rFonts w:eastAsia="Times New Roman" w:cs="Arial"/>
          <w:sz w:val="28"/>
          <w:szCs w:val="24"/>
        </w:rPr>
      </w:pPr>
      <w:r w:rsidRPr="004B5C36">
        <w:rPr>
          <w:rFonts w:eastAsia="Times New Roman" w:cs="Arial"/>
          <w:color w:val="000000"/>
          <w:szCs w:val="20"/>
          <w:u w:val="single"/>
          <w:lang w:eastAsia="bg-BG"/>
        </w:rPr>
        <w:t>Вторична превенция след остър миокарден инфаркт</w:t>
      </w:r>
    </w:p>
    <w:p w14:paraId="128D71B3" w14:textId="77777777" w:rsidR="004B5C36" w:rsidRPr="004B5C36" w:rsidRDefault="004B5C36" w:rsidP="004B5C36">
      <w:pPr>
        <w:spacing w:line="240" w:lineRule="auto"/>
        <w:rPr>
          <w:rFonts w:eastAsia="Times New Roman" w:cs="Arial"/>
          <w:sz w:val="28"/>
          <w:szCs w:val="24"/>
        </w:rPr>
      </w:pPr>
      <w:r w:rsidRPr="004B5C36">
        <w:rPr>
          <w:rFonts w:eastAsia="Times New Roman" w:cs="Arial"/>
          <w:color w:val="000000"/>
          <w:szCs w:val="20"/>
          <w:lang w:eastAsia="bg-BG"/>
        </w:rPr>
        <w:t xml:space="preserve">Изпитването </w:t>
      </w:r>
      <w:r w:rsidRPr="004B5C36">
        <w:rPr>
          <w:rFonts w:eastAsia="Times New Roman" w:cs="Arial"/>
          <w:color w:val="000000"/>
          <w:szCs w:val="20"/>
          <w:lang w:val="en-US"/>
        </w:rPr>
        <w:t>AIRE</w:t>
      </w:r>
      <w:r w:rsidRPr="004B5C36">
        <w:rPr>
          <w:rFonts w:eastAsia="Times New Roman" w:cs="Arial"/>
          <w:color w:val="000000"/>
          <w:szCs w:val="20"/>
          <w:lang w:val="ru-RU"/>
        </w:rPr>
        <w:t xml:space="preserve"> </w:t>
      </w:r>
      <w:r w:rsidRPr="004B5C36">
        <w:rPr>
          <w:rFonts w:eastAsia="Times New Roman" w:cs="Arial"/>
          <w:color w:val="000000"/>
          <w:szCs w:val="20"/>
          <w:lang w:eastAsia="bg-BG"/>
        </w:rPr>
        <w:t xml:space="preserve">включва повече от 2 000 пациенти с преходни/персистиращи клинични признаци на сърдечна недостатъчност след доказан миокарден инфаркт. Лечението с рамиприл е започнато 3 до 10 дни след острия миокарден инфаркт. Изпитването показва, че след средно време на проследяване от 15 месеца, смъртността при пациентите лекувани с рамиприл е била 16,9 %, а при пациентите на плацебо -22,6 %. Това означава несъмнено намаляване на смъртността с 5,7 % и намаляване на относителния риск с 27 % (95 % </w:t>
      </w:r>
      <w:r w:rsidRPr="004B5C36">
        <w:rPr>
          <w:rFonts w:eastAsia="Times New Roman" w:cs="Arial"/>
          <w:color w:val="000000"/>
          <w:szCs w:val="20"/>
          <w:lang w:val="en-US"/>
        </w:rPr>
        <w:t>CI</w:t>
      </w:r>
      <w:r w:rsidRPr="004B5C36">
        <w:rPr>
          <w:rFonts w:eastAsia="Times New Roman" w:cs="Arial"/>
          <w:color w:val="000000"/>
          <w:szCs w:val="20"/>
          <w:lang w:val="ru-RU"/>
        </w:rPr>
        <w:t xml:space="preserve"> </w:t>
      </w:r>
      <w:r w:rsidRPr="004B5C36">
        <w:rPr>
          <w:rFonts w:eastAsia="Times New Roman" w:cs="Arial"/>
          <w:color w:val="000000"/>
          <w:szCs w:val="20"/>
          <w:lang w:eastAsia="bg-BG"/>
        </w:rPr>
        <w:t>[11-40%]),</w:t>
      </w:r>
    </w:p>
    <w:p w14:paraId="6AE4FEC2" w14:textId="77777777" w:rsidR="004B5C36" w:rsidRPr="004B5C36" w:rsidRDefault="004B5C36" w:rsidP="004B5C36">
      <w:pPr>
        <w:spacing w:line="240" w:lineRule="auto"/>
        <w:rPr>
          <w:rFonts w:eastAsia="Times New Roman" w:cs="Arial"/>
          <w:color w:val="000000"/>
          <w:szCs w:val="20"/>
          <w:u w:val="single"/>
          <w:lang w:eastAsia="bg-BG"/>
        </w:rPr>
      </w:pPr>
    </w:p>
    <w:p w14:paraId="574F92FA" w14:textId="2A3C6B16" w:rsidR="004B5C36" w:rsidRPr="004B5C36" w:rsidRDefault="004B5C36" w:rsidP="004B5C36">
      <w:pPr>
        <w:spacing w:line="240" w:lineRule="auto"/>
        <w:rPr>
          <w:rFonts w:eastAsia="Times New Roman" w:cs="Arial"/>
          <w:sz w:val="28"/>
          <w:szCs w:val="24"/>
        </w:rPr>
      </w:pPr>
      <w:r w:rsidRPr="004B5C36">
        <w:rPr>
          <w:rFonts w:eastAsia="Times New Roman" w:cs="Arial"/>
          <w:color w:val="000000"/>
          <w:szCs w:val="20"/>
          <w:u w:val="single"/>
          <w:lang w:eastAsia="bg-BG"/>
        </w:rPr>
        <w:t>Педиатрична популация</w:t>
      </w:r>
    </w:p>
    <w:p w14:paraId="22C66E71" w14:textId="77777777" w:rsidR="004B5C36" w:rsidRPr="004B5C36" w:rsidRDefault="004B5C36" w:rsidP="004B5C36">
      <w:pPr>
        <w:spacing w:line="240" w:lineRule="auto"/>
        <w:rPr>
          <w:rFonts w:eastAsia="Times New Roman" w:cs="Arial"/>
          <w:sz w:val="28"/>
          <w:szCs w:val="24"/>
        </w:rPr>
      </w:pPr>
      <w:r w:rsidRPr="004B5C36">
        <w:rPr>
          <w:rFonts w:eastAsia="Times New Roman" w:cs="Arial"/>
          <w:color w:val="000000"/>
          <w:szCs w:val="20"/>
          <w:lang w:eastAsia="bg-BG"/>
        </w:rPr>
        <w:t xml:space="preserve">При рандомизирано, двойносляпо, плацебо контролирано клинично проучване, включващо 244 педиатрични пациенти с хипертония (73% първична хипертония), на възраст 6-16 години, пациентите са получили ниска доза, средна доза или висока доза рамиприл, за достигане на плазмени концентрации на рамиприлат, отговарящи на дозовия диапазон за възрастни от 1,25 </w:t>
      </w:r>
      <w:r w:rsidRPr="004B5C36">
        <w:rPr>
          <w:rFonts w:eastAsia="Times New Roman" w:cs="Arial"/>
          <w:color w:val="000000"/>
          <w:szCs w:val="20"/>
          <w:lang w:val="en-US"/>
        </w:rPr>
        <w:t>mg</w:t>
      </w:r>
      <w:r w:rsidRPr="004B5C36">
        <w:rPr>
          <w:rFonts w:eastAsia="Times New Roman" w:cs="Arial"/>
          <w:color w:val="000000"/>
          <w:szCs w:val="20"/>
          <w:lang w:val="ru-RU"/>
        </w:rPr>
        <w:t xml:space="preserve">, </w:t>
      </w:r>
      <w:r w:rsidRPr="004B5C36">
        <w:rPr>
          <w:rFonts w:eastAsia="Times New Roman" w:cs="Arial"/>
          <w:color w:val="000000"/>
          <w:szCs w:val="20"/>
          <w:lang w:eastAsia="bg-BG"/>
        </w:rPr>
        <w:t xml:space="preserve">5 </w:t>
      </w:r>
      <w:r w:rsidRPr="004B5C36">
        <w:rPr>
          <w:rFonts w:eastAsia="Times New Roman" w:cs="Arial"/>
          <w:color w:val="000000"/>
          <w:szCs w:val="20"/>
          <w:lang w:val="en-US"/>
        </w:rPr>
        <w:t>mg</w:t>
      </w:r>
      <w:r w:rsidRPr="004B5C36">
        <w:rPr>
          <w:rFonts w:eastAsia="Times New Roman" w:cs="Arial"/>
          <w:color w:val="000000"/>
          <w:szCs w:val="20"/>
          <w:lang w:val="ru-RU"/>
        </w:rPr>
        <w:t xml:space="preserve"> </w:t>
      </w:r>
      <w:r w:rsidRPr="004B5C36">
        <w:rPr>
          <w:rFonts w:eastAsia="Times New Roman" w:cs="Arial"/>
          <w:color w:val="000000"/>
          <w:szCs w:val="20"/>
          <w:lang w:eastAsia="bg-BG"/>
        </w:rPr>
        <w:t xml:space="preserve">и 20 </w:t>
      </w:r>
      <w:r w:rsidRPr="004B5C36">
        <w:rPr>
          <w:rFonts w:eastAsia="Times New Roman" w:cs="Arial"/>
          <w:color w:val="000000"/>
          <w:szCs w:val="20"/>
          <w:lang w:val="en-US"/>
        </w:rPr>
        <w:t>mg</w:t>
      </w:r>
      <w:r w:rsidRPr="004B5C36">
        <w:rPr>
          <w:rFonts w:eastAsia="Times New Roman" w:cs="Arial"/>
          <w:color w:val="000000"/>
          <w:szCs w:val="20"/>
          <w:lang w:val="ru-RU"/>
        </w:rPr>
        <w:t xml:space="preserve"> </w:t>
      </w:r>
      <w:r w:rsidRPr="004B5C36">
        <w:rPr>
          <w:rFonts w:eastAsia="Times New Roman" w:cs="Arial"/>
          <w:color w:val="000000"/>
          <w:szCs w:val="20"/>
          <w:lang w:eastAsia="bg-BG"/>
        </w:rPr>
        <w:t>въз основа на телесното тегло. В края на четвъртата седмица рамиприл е бил неефективен за постигане на крайната цел за намаляване на систолното кръвно налягане, но при най-високата доза понижава диастолното кръвно налягане. При деца с потвърдена хипертония при средни и високи дози рамиприл показва значително понижаване на диастолното и систолното кръвно налягане.</w:t>
      </w:r>
    </w:p>
    <w:p w14:paraId="37DA180B" w14:textId="77777777" w:rsidR="004B5C36" w:rsidRPr="004B5C36" w:rsidRDefault="004B5C36" w:rsidP="004B5C36">
      <w:pPr>
        <w:spacing w:line="240" w:lineRule="auto"/>
        <w:rPr>
          <w:rFonts w:eastAsia="Times New Roman" w:cs="Arial"/>
          <w:color w:val="000000"/>
          <w:szCs w:val="20"/>
          <w:lang w:eastAsia="bg-BG"/>
        </w:rPr>
      </w:pPr>
    </w:p>
    <w:p w14:paraId="7570F4A6" w14:textId="44D93B48" w:rsidR="004B5C36" w:rsidRPr="004B5C36" w:rsidRDefault="004B5C36" w:rsidP="004B5C36">
      <w:pPr>
        <w:spacing w:line="240" w:lineRule="auto"/>
        <w:rPr>
          <w:rFonts w:eastAsia="Times New Roman" w:cs="Arial"/>
          <w:color w:val="000000"/>
          <w:szCs w:val="20"/>
          <w:lang w:eastAsia="bg-BG"/>
        </w:rPr>
      </w:pPr>
      <w:r w:rsidRPr="004B5C36">
        <w:rPr>
          <w:rFonts w:eastAsia="Times New Roman" w:cs="Arial"/>
          <w:color w:val="000000"/>
          <w:szCs w:val="20"/>
          <w:lang w:eastAsia="bg-BG"/>
        </w:rPr>
        <w:t xml:space="preserve">Този ефект не е наблюдаван в 4-седмично, с повишаване на дозата, рандомизирано, двойносляпо, отнемащо изпитване при 218 педиатрични пациенти на възраст 6-16 години (75% първична хипертония), където и диастолното, и систолното кръвно налягане са демонстрирали слабо, но не статистически значимо връщане към началното ниво при всички три изпитвани дозови нива ниска доза (0,625 </w:t>
      </w:r>
      <w:r w:rsidRPr="004B5C36">
        <w:rPr>
          <w:rFonts w:eastAsia="Times New Roman" w:cs="Arial"/>
          <w:color w:val="000000"/>
          <w:szCs w:val="20"/>
          <w:lang w:val="en-US"/>
        </w:rPr>
        <w:t>mg</w:t>
      </w:r>
      <w:r w:rsidRPr="004B5C36">
        <w:rPr>
          <w:rFonts w:eastAsia="Times New Roman" w:cs="Arial"/>
          <w:color w:val="000000"/>
          <w:szCs w:val="20"/>
          <w:lang w:val="ru-RU"/>
        </w:rPr>
        <w:t xml:space="preserve"> </w:t>
      </w:r>
      <w:r w:rsidRPr="004B5C36">
        <w:rPr>
          <w:rFonts w:eastAsia="Times New Roman" w:cs="Arial"/>
          <w:color w:val="000000"/>
          <w:szCs w:val="20"/>
          <w:lang w:eastAsia="bg-BG"/>
        </w:rPr>
        <w:t xml:space="preserve">- 2,5 </w:t>
      </w:r>
      <w:r w:rsidRPr="004B5C36">
        <w:rPr>
          <w:rFonts w:eastAsia="Times New Roman" w:cs="Arial"/>
          <w:color w:val="000000"/>
          <w:szCs w:val="20"/>
          <w:lang w:val="en-US"/>
        </w:rPr>
        <w:t>mg</w:t>
      </w:r>
      <w:r w:rsidRPr="004B5C36">
        <w:rPr>
          <w:rFonts w:eastAsia="Times New Roman" w:cs="Arial"/>
          <w:color w:val="000000"/>
          <w:szCs w:val="20"/>
          <w:lang w:val="ru-RU"/>
        </w:rPr>
        <w:t xml:space="preserve">), </w:t>
      </w:r>
      <w:r w:rsidRPr="004B5C36">
        <w:rPr>
          <w:rFonts w:eastAsia="Times New Roman" w:cs="Arial"/>
          <w:color w:val="000000"/>
          <w:szCs w:val="20"/>
          <w:lang w:eastAsia="bg-BG"/>
        </w:rPr>
        <w:t xml:space="preserve">средна доза (2,5 </w:t>
      </w:r>
      <w:r w:rsidRPr="004B5C36">
        <w:rPr>
          <w:rFonts w:eastAsia="Times New Roman" w:cs="Arial"/>
          <w:color w:val="000000"/>
          <w:szCs w:val="20"/>
          <w:lang w:val="en-US"/>
        </w:rPr>
        <w:t>mg</w:t>
      </w:r>
      <w:r w:rsidRPr="004B5C36">
        <w:rPr>
          <w:rFonts w:eastAsia="Times New Roman" w:cs="Arial"/>
          <w:color w:val="000000"/>
          <w:szCs w:val="20"/>
          <w:lang w:val="ru-RU"/>
        </w:rPr>
        <w:t xml:space="preserve"> </w:t>
      </w:r>
      <w:r w:rsidRPr="004B5C36">
        <w:rPr>
          <w:rFonts w:eastAsia="Times New Roman" w:cs="Arial"/>
          <w:color w:val="000000"/>
          <w:szCs w:val="20"/>
          <w:lang w:eastAsia="bg-BG"/>
        </w:rPr>
        <w:t xml:space="preserve">- 10 </w:t>
      </w:r>
      <w:r w:rsidRPr="004B5C36">
        <w:rPr>
          <w:rFonts w:eastAsia="Times New Roman" w:cs="Arial"/>
          <w:color w:val="000000"/>
          <w:szCs w:val="20"/>
          <w:lang w:val="en-US"/>
        </w:rPr>
        <w:t>mg</w:t>
      </w:r>
      <w:r w:rsidRPr="004B5C36">
        <w:rPr>
          <w:rFonts w:eastAsia="Times New Roman" w:cs="Arial"/>
          <w:color w:val="000000"/>
          <w:szCs w:val="20"/>
          <w:lang w:val="ru-RU"/>
        </w:rPr>
        <w:t xml:space="preserve">) </w:t>
      </w:r>
      <w:r w:rsidRPr="004B5C36">
        <w:rPr>
          <w:rFonts w:eastAsia="Times New Roman" w:cs="Arial"/>
          <w:color w:val="000000"/>
          <w:szCs w:val="20"/>
          <w:lang w:eastAsia="bg-BG"/>
        </w:rPr>
        <w:t xml:space="preserve">или висока доза (5 </w:t>
      </w:r>
      <w:r w:rsidRPr="004B5C36">
        <w:rPr>
          <w:rFonts w:eastAsia="Times New Roman" w:cs="Arial"/>
          <w:color w:val="000000"/>
          <w:szCs w:val="20"/>
          <w:lang w:val="en-US"/>
        </w:rPr>
        <w:t>mg</w:t>
      </w:r>
      <w:r w:rsidRPr="004B5C36">
        <w:rPr>
          <w:rFonts w:eastAsia="Times New Roman" w:cs="Arial"/>
          <w:color w:val="000000"/>
          <w:szCs w:val="20"/>
          <w:lang w:val="ru-RU"/>
        </w:rPr>
        <w:t xml:space="preserve"> </w:t>
      </w:r>
      <w:r w:rsidRPr="004B5C36">
        <w:rPr>
          <w:rFonts w:eastAsia="Times New Roman" w:cs="Arial"/>
          <w:color w:val="000000"/>
          <w:szCs w:val="20"/>
          <w:lang w:eastAsia="bg-BG"/>
        </w:rPr>
        <w:t xml:space="preserve">- 20 </w:t>
      </w:r>
      <w:r w:rsidRPr="004B5C36">
        <w:rPr>
          <w:rFonts w:eastAsia="Times New Roman" w:cs="Arial"/>
          <w:color w:val="000000"/>
          <w:szCs w:val="20"/>
          <w:lang w:val="en-US"/>
        </w:rPr>
        <w:t>mg</w:t>
      </w:r>
      <w:r w:rsidRPr="004B5C36">
        <w:rPr>
          <w:rFonts w:eastAsia="Times New Roman" w:cs="Arial"/>
          <w:color w:val="000000"/>
          <w:szCs w:val="20"/>
          <w:lang w:val="ru-RU"/>
        </w:rPr>
        <w:t xml:space="preserve">) </w:t>
      </w:r>
      <w:r w:rsidRPr="004B5C36">
        <w:rPr>
          <w:rFonts w:eastAsia="Times New Roman" w:cs="Arial"/>
          <w:color w:val="000000"/>
          <w:szCs w:val="20"/>
          <w:lang w:eastAsia="bg-BG"/>
        </w:rPr>
        <w:t>рамиприл на база теглото. Рамиприл не е показал линеен дозов отговор при изпитваната педиатрична популация.</w:t>
      </w:r>
    </w:p>
    <w:p w14:paraId="35CDDE80" w14:textId="35DD9C95" w:rsidR="004B5C36" w:rsidRPr="004B5C36" w:rsidRDefault="004B5C36" w:rsidP="004B5C36">
      <w:pPr>
        <w:spacing w:line="240" w:lineRule="auto"/>
        <w:rPr>
          <w:rFonts w:ascii="Times New Roman" w:eastAsia="Times New Roman" w:hAnsi="Times New Roman" w:cs="Times New Roman"/>
          <w:sz w:val="24"/>
          <w:szCs w:val="24"/>
          <w:lang w:val="ru-RU"/>
        </w:rPr>
      </w:pPr>
    </w:p>
    <w:p w14:paraId="346B622B" w14:textId="11CCCFEE" w:rsidR="00875EEC" w:rsidRDefault="002C50EE" w:rsidP="005726E3">
      <w:pPr>
        <w:pStyle w:val="Heading2"/>
      </w:pPr>
      <w:r>
        <w:t>5.2. Фармакокинетични свойства</w:t>
      </w:r>
    </w:p>
    <w:p w14:paraId="7951A218" w14:textId="4BC45B3E" w:rsidR="004B5C36" w:rsidRDefault="004B5C36" w:rsidP="004B5C36"/>
    <w:p w14:paraId="71B121A3" w14:textId="77777777" w:rsidR="004B5C36" w:rsidRPr="004B5C36" w:rsidRDefault="004B5C36" w:rsidP="004B5C36">
      <w:pPr>
        <w:pStyle w:val="Heading3"/>
        <w:rPr>
          <w:rFonts w:eastAsia="Times New Roman"/>
          <w:sz w:val="28"/>
          <w:u w:val="single"/>
        </w:rPr>
      </w:pPr>
      <w:r w:rsidRPr="004B5C36">
        <w:rPr>
          <w:rFonts w:eastAsia="Times New Roman"/>
          <w:u w:val="single"/>
          <w:lang w:eastAsia="bg-BG"/>
        </w:rPr>
        <w:t>Абсорбция</w:t>
      </w:r>
    </w:p>
    <w:p w14:paraId="3364621A" w14:textId="77777777" w:rsidR="004B5C36" w:rsidRPr="004B5C36" w:rsidRDefault="004B5C36" w:rsidP="004B5C36">
      <w:pPr>
        <w:spacing w:line="240" w:lineRule="auto"/>
        <w:rPr>
          <w:rFonts w:eastAsia="Times New Roman" w:cs="Arial"/>
          <w:sz w:val="28"/>
          <w:szCs w:val="24"/>
        </w:rPr>
      </w:pPr>
      <w:r w:rsidRPr="004B5C36">
        <w:rPr>
          <w:rFonts w:eastAsia="Times New Roman" w:cs="Arial"/>
          <w:color w:val="000000"/>
          <w:szCs w:val="20"/>
          <w:lang w:eastAsia="bg-BG"/>
        </w:rPr>
        <w:t xml:space="preserve">След перорално приложение рамиприл се абсорбира бързо в стомашно-чревния тракт: пикова плазмена концентрация на рамиприл се достига в рамките на един час. Въз основа на възстановяване в урината, степента на абсорбция е поне 56% и не се повлиява значимо от присъствието на храна в стомашно-чревния тракт. Бионаличността на активния метаболит рамиприлат след перорално приложение на 2,5 </w:t>
      </w:r>
      <w:r w:rsidRPr="004B5C36">
        <w:rPr>
          <w:rFonts w:eastAsia="Times New Roman" w:cs="Arial"/>
          <w:color w:val="000000"/>
          <w:szCs w:val="20"/>
          <w:lang w:val="en-US"/>
        </w:rPr>
        <w:t>mg</w:t>
      </w:r>
      <w:r w:rsidRPr="004B5C36">
        <w:rPr>
          <w:rFonts w:eastAsia="Times New Roman" w:cs="Arial"/>
          <w:color w:val="000000"/>
          <w:szCs w:val="20"/>
          <w:lang w:val="ru-RU"/>
        </w:rPr>
        <w:t xml:space="preserve"> </w:t>
      </w:r>
      <w:r w:rsidRPr="004B5C36">
        <w:rPr>
          <w:rFonts w:eastAsia="Times New Roman" w:cs="Arial"/>
          <w:color w:val="000000"/>
          <w:szCs w:val="20"/>
          <w:lang w:eastAsia="bg-BG"/>
        </w:rPr>
        <w:t xml:space="preserve">и 5 </w:t>
      </w:r>
      <w:r w:rsidRPr="004B5C36">
        <w:rPr>
          <w:rFonts w:eastAsia="Times New Roman" w:cs="Arial"/>
          <w:color w:val="000000"/>
          <w:szCs w:val="20"/>
          <w:lang w:val="en-US"/>
        </w:rPr>
        <w:t>mg</w:t>
      </w:r>
      <w:r w:rsidRPr="004B5C36">
        <w:rPr>
          <w:rFonts w:eastAsia="Times New Roman" w:cs="Arial"/>
          <w:color w:val="000000"/>
          <w:szCs w:val="20"/>
          <w:lang w:val="ru-RU"/>
        </w:rPr>
        <w:t xml:space="preserve"> </w:t>
      </w:r>
      <w:r w:rsidRPr="004B5C36">
        <w:rPr>
          <w:rFonts w:eastAsia="Times New Roman" w:cs="Arial"/>
          <w:color w:val="000000"/>
          <w:szCs w:val="20"/>
          <w:lang w:eastAsia="bg-BG"/>
        </w:rPr>
        <w:t>рамиприл е 45 %. Пикова плазмена концентрация на рамиприлат, единствения активен метаболит на рамиприл, се достига 2-4 часа след приема на рамиприл. Стационарните плазмени концентрации на рамиприлат след прилагане веднъж дневно на обичайни дози рамиприл се достигат след около четири дни лечение.</w:t>
      </w:r>
    </w:p>
    <w:p w14:paraId="5E0442EC" w14:textId="77777777" w:rsidR="004B5C36" w:rsidRPr="004B5C36" w:rsidRDefault="004B5C36" w:rsidP="004B5C36">
      <w:pPr>
        <w:spacing w:line="240" w:lineRule="auto"/>
        <w:rPr>
          <w:rFonts w:eastAsia="Times New Roman" w:cs="Arial"/>
          <w:color w:val="000000"/>
          <w:szCs w:val="20"/>
          <w:u w:val="single"/>
          <w:lang w:eastAsia="bg-BG"/>
        </w:rPr>
      </w:pPr>
    </w:p>
    <w:p w14:paraId="2D144AE6" w14:textId="64F67570" w:rsidR="004B5C36" w:rsidRPr="004B5C36" w:rsidRDefault="004B5C36" w:rsidP="004B5C36">
      <w:pPr>
        <w:pStyle w:val="Heading3"/>
        <w:rPr>
          <w:rFonts w:eastAsia="Times New Roman"/>
          <w:sz w:val="28"/>
          <w:u w:val="single"/>
        </w:rPr>
      </w:pPr>
      <w:r w:rsidRPr="004B5C36">
        <w:rPr>
          <w:rFonts w:eastAsia="Times New Roman"/>
          <w:u w:val="single"/>
          <w:lang w:eastAsia="bg-BG"/>
        </w:rPr>
        <w:t>Разпределение</w:t>
      </w:r>
    </w:p>
    <w:p w14:paraId="7E8A3005" w14:textId="77777777" w:rsidR="004B5C36" w:rsidRPr="004B5C36" w:rsidRDefault="004B5C36" w:rsidP="004B5C36">
      <w:pPr>
        <w:spacing w:line="240" w:lineRule="auto"/>
        <w:rPr>
          <w:rFonts w:eastAsia="Times New Roman" w:cs="Arial"/>
          <w:sz w:val="28"/>
          <w:szCs w:val="24"/>
        </w:rPr>
      </w:pPr>
      <w:r w:rsidRPr="004B5C36">
        <w:rPr>
          <w:rFonts w:eastAsia="Times New Roman" w:cs="Arial"/>
          <w:color w:val="000000"/>
          <w:szCs w:val="20"/>
          <w:lang w:eastAsia="bg-BG"/>
        </w:rPr>
        <w:t>Свързването с плазмените протеини на рамиприл е около 73 %, а това на рамиприлат около 56 %.</w:t>
      </w:r>
    </w:p>
    <w:p w14:paraId="4ADEEB52" w14:textId="77777777" w:rsidR="004B5C36" w:rsidRPr="004B5C36" w:rsidRDefault="004B5C36" w:rsidP="004B5C36">
      <w:pPr>
        <w:spacing w:line="240" w:lineRule="auto"/>
        <w:rPr>
          <w:rFonts w:eastAsia="Times New Roman" w:cs="Arial"/>
          <w:color w:val="000000"/>
          <w:szCs w:val="20"/>
          <w:u w:val="single"/>
          <w:lang w:eastAsia="bg-BG"/>
        </w:rPr>
      </w:pPr>
    </w:p>
    <w:p w14:paraId="16612130" w14:textId="2742DB2C" w:rsidR="004B5C36" w:rsidRPr="004B5C36" w:rsidRDefault="004B5C36" w:rsidP="004B5C36">
      <w:pPr>
        <w:pStyle w:val="Heading3"/>
        <w:rPr>
          <w:rFonts w:eastAsia="Times New Roman"/>
          <w:sz w:val="28"/>
          <w:u w:val="single"/>
        </w:rPr>
      </w:pPr>
      <w:r w:rsidRPr="004B5C36">
        <w:rPr>
          <w:rFonts w:eastAsia="Times New Roman"/>
          <w:u w:val="single"/>
          <w:lang w:eastAsia="bg-BG"/>
        </w:rPr>
        <w:lastRenderedPageBreak/>
        <w:t>Биотрансформация</w:t>
      </w:r>
    </w:p>
    <w:p w14:paraId="3F6997AE" w14:textId="77777777" w:rsidR="004B5C36" w:rsidRPr="004B5C36" w:rsidRDefault="004B5C36" w:rsidP="004B5C36">
      <w:pPr>
        <w:spacing w:line="240" w:lineRule="auto"/>
        <w:rPr>
          <w:rFonts w:eastAsia="Times New Roman" w:cs="Arial"/>
          <w:sz w:val="28"/>
          <w:szCs w:val="24"/>
        </w:rPr>
      </w:pPr>
      <w:r w:rsidRPr="004B5C36">
        <w:rPr>
          <w:rFonts w:eastAsia="Times New Roman" w:cs="Arial"/>
          <w:color w:val="000000"/>
          <w:szCs w:val="20"/>
          <w:lang w:eastAsia="bg-BG"/>
        </w:rPr>
        <w:t>Рамиприл почти напълно се метаболизира до рамиприлат, и до дикетопиперазинов естер, дикетопиперазинова киселина, и глюкуронидите на рамиприл и рамиприлат.</w:t>
      </w:r>
    </w:p>
    <w:p w14:paraId="7764BB3A" w14:textId="77777777" w:rsidR="004B5C36" w:rsidRPr="004B5C36" w:rsidRDefault="004B5C36" w:rsidP="004B5C36">
      <w:pPr>
        <w:spacing w:line="240" w:lineRule="auto"/>
        <w:rPr>
          <w:rFonts w:eastAsia="Times New Roman" w:cs="Arial"/>
          <w:color w:val="000000"/>
          <w:szCs w:val="20"/>
          <w:u w:val="single"/>
          <w:lang w:eastAsia="bg-BG"/>
        </w:rPr>
      </w:pPr>
    </w:p>
    <w:p w14:paraId="50ECBEE8" w14:textId="46BA6295" w:rsidR="004B5C36" w:rsidRPr="004B5C36" w:rsidRDefault="004B5C36" w:rsidP="004B5C36">
      <w:pPr>
        <w:pStyle w:val="Heading3"/>
        <w:rPr>
          <w:rFonts w:eastAsia="Times New Roman"/>
          <w:sz w:val="28"/>
          <w:u w:val="single"/>
        </w:rPr>
      </w:pPr>
      <w:r w:rsidRPr="004B5C36">
        <w:rPr>
          <w:rFonts w:eastAsia="Times New Roman"/>
          <w:u w:val="single"/>
          <w:lang w:eastAsia="bg-BG"/>
        </w:rPr>
        <w:t>Елиминиране</w:t>
      </w:r>
    </w:p>
    <w:p w14:paraId="2564BC2D" w14:textId="77777777" w:rsidR="004B5C36" w:rsidRPr="004B5C36" w:rsidRDefault="004B5C36" w:rsidP="004B5C36">
      <w:pPr>
        <w:spacing w:line="240" w:lineRule="auto"/>
        <w:rPr>
          <w:rFonts w:eastAsia="Times New Roman" w:cs="Arial"/>
          <w:sz w:val="28"/>
          <w:szCs w:val="24"/>
        </w:rPr>
      </w:pPr>
      <w:r w:rsidRPr="004B5C36">
        <w:rPr>
          <w:rFonts w:eastAsia="Times New Roman" w:cs="Arial"/>
          <w:color w:val="000000"/>
          <w:szCs w:val="20"/>
          <w:lang w:eastAsia="bg-BG"/>
        </w:rPr>
        <w:t>Екскрецията на метаболитите е предимно бъбречна. Плазмената концентрация на рамиприлат намалява по полифазов начин. Поради неговото силно, насищащо свързване с АСЕ и бавното разделяне от ензима, рамиприлат показва удължена терминална елиминационна фаза при много ниски плазмени концентрации.</w:t>
      </w:r>
    </w:p>
    <w:p w14:paraId="2493C16C" w14:textId="77777777" w:rsidR="004B5C36" w:rsidRPr="004B5C36" w:rsidRDefault="004B5C36" w:rsidP="004B5C36">
      <w:pPr>
        <w:spacing w:line="240" w:lineRule="auto"/>
        <w:rPr>
          <w:rFonts w:eastAsia="Times New Roman" w:cs="Arial"/>
          <w:sz w:val="28"/>
          <w:szCs w:val="24"/>
        </w:rPr>
      </w:pPr>
      <w:r w:rsidRPr="004B5C36">
        <w:rPr>
          <w:rFonts w:eastAsia="Times New Roman" w:cs="Arial"/>
          <w:color w:val="000000"/>
          <w:szCs w:val="20"/>
          <w:lang w:eastAsia="bg-BG"/>
        </w:rPr>
        <w:t xml:space="preserve">След многократно прилагане на дози рамиприл, веднъж дневно, ефективният полуживот на рамиприлат е 13-17 часа за дози от 5-10 </w:t>
      </w:r>
      <w:r w:rsidRPr="004B5C36">
        <w:rPr>
          <w:rFonts w:eastAsia="Times New Roman" w:cs="Arial"/>
          <w:color w:val="000000"/>
          <w:szCs w:val="20"/>
          <w:lang w:val="en-US"/>
        </w:rPr>
        <w:t>mg</w:t>
      </w:r>
      <w:r w:rsidRPr="004B5C36">
        <w:rPr>
          <w:rFonts w:eastAsia="Times New Roman" w:cs="Arial"/>
          <w:color w:val="000000"/>
          <w:szCs w:val="20"/>
          <w:lang w:val="ru-RU"/>
        </w:rPr>
        <w:t xml:space="preserve"> </w:t>
      </w:r>
      <w:r w:rsidRPr="004B5C36">
        <w:rPr>
          <w:rFonts w:eastAsia="Times New Roman" w:cs="Arial"/>
          <w:color w:val="000000"/>
          <w:szCs w:val="20"/>
          <w:lang w:eastAsia="bg-BG"/>
        </w:rPr>
        <w:t xml:space="preserve">и по-дълъг за по-ниските дози 1,25-2,5 </w:t>
      </w:r>
      <w:r w:rsidRPr="004B5C36">
        <w:rPr>
          <w:rFonts w:eastAsia="Times New Roman" w:cs="Arial"/>
          <w:color w:val="000000"/>
          <w:szCs w:val="20"/>
          <w:lang w:val="en-US"/>
        </w:rPr>
        <w:t>mg</w:t>
      </w:r>
      <w:r w:rsidRPr="004B5C36">
        <w:rPr>
          <w:rFonts w:eastAsia="Times New Roman" w:cs="Arial"/>
          <w:color w:val="000000"/>
          <w:szCs w:val="20"/>
          <w:lang w:val="ru-RU"/>
        </w:rPr>
        <w:t xml:space="preserve">. </w:t>
      </w:r>
      <w:r w:rsidRPr="004B5C36">
        <w:rPr>
          <w:rFonts w:eastAsia="Times New Roman" w:cs="Arial"/>
          <w:color w:val="000000"/>
          <w:szCs w:val="20"/>
          <w:lang w:eastAsia="bg-BG"/>
        </w:rPr>
        <w:t>Тази разлика е свързана с капацитета за насищане на ензима чрез свързване с рамиприлат.</w:t>
      </w:r>
    </w:p>
    <w:p w14:paraId="4ADD552E" w14:textId="77777777" w:rsidR="004B5C36" w:rsidRPr="004B5C36" w:rsidRDefault="004B5C36" w:rsidP="004B5C36">
      <w:pPr>
        <w:spacing w:line="240" w:lineRule="auto"/>
        <w:rPr>
          <w:rFonts w:eastAsia="Times New Roman" w:cs="Arial"/>
          <w:i/>
          <w:iCs/>
          <w:color w:val="000000"/>
          <w:szCs w:val="20"/>
          <w:lang w:eastAsia="bg-BG"/>
        </w:rPr>
      </w:pPr>
    </w:p>
    <w:p w14:paraId="5370131E" w14:textId="6E6F9CC0" w:rsidR="004B5C36" w:rsidRPr="004B5C36" w:rsidRDefault="004B5C36" w:rsidP="004B5C36">
      <w:pPr>
        <w:spacing w:line="240" w:lineRule="auto"/>
        <w:rPr>
          <w:rFonts w:eastAsia="Times New Roman" w:cs="Arial"/>
          <w:sz w:val="28"/>
          <w:szCs w:val="24"/>
        </w:rPr>
      </w:pPr>
      <w:r w:rsidRPr="004B5C36">
        <w:rPr>
          <w:rFonts w:eastAsia="Times New Roman" w:cs="Arial"/>
          <w:i/>
          <w:iCs/>
          <w:color w:val="000000"/>
          <w:szCs w:val="20"/>
          <w:lang w:eastAsia="bg-BG"/>
        </w:rPr>
        <w:t>Кърмене</w:t>
      </w:r>
    </w:p>
    <w:p w14:paraId="0D9A394C" w14:textId="77777777" w:rsidR="004B5C36" w:rsidRPr="004B5C36" w:rsidRDefault="004B5C36" w:rsidP="004B5C36">
      <w:pPr>
        <w:spacing w:line="240" w:lineRule="auto"/>
        <w:rPr>
          <w:rFonts w:eastAsia="Times New Roman" w:cs="Arial"/>
          <w:sz w:val="28"/>
          <w:szCs w:val="24"/>
        </w:rPr>
      </w:pPr>
      <w:r w:rsidRPr="004B5C36">
        <w:rPr>
          <w:rFonts w:eastAsia="Times New Roman" w:cs="Arial"/>
          <w:color w:val="000000"/>
          <w:szCs w:val="20"/>
          <w:lang w:eastAsia="bg-BG"/>
        </w:rPr>
        <w:t>Еднократна перорална доза рамиприл дава неоткриваемо ниво на рамиприл и неговите метаболити в кърмата. Обаче ефектът при многократно прилагане е неизвестен.</w:t>
      </w:r>
    </w:p>
    <w:p w14:paraId="7A44334E" w14:textId="77777777" w:rsidR="004B5C36" w:rsidRPr="004B5C36" w:rsidRDefault="004B5C36" w:rsidP="004B5C36">
      <w:pPr>
        <w:spacing w:line="240" w:lineRule="auto"/>
        <w:rPr>
          <w:rFonts w:eastAsia="Times New Roman" w:cs="Arial"/>
          <w:color w:val="000000"/>
          <w:szCs w:val="20"/>
          <w:lang w:eastAsia="bg-BG"/>
        </w:rPr>
      </w:pPr>
    </w:p>
    <w:p w14:paraId="7094D274" w14:textId="2819A10D" w:rsidR="004B5C36" w:rsidRPr="004B5C36" w:rsidRDefault="004B5C36" w:rsidP="004B5C36">
      <w:pPr>
        <w:spacing w:line="240" w:lineRule="auto"/>
        <w:rPr>
          <w:rFonts w:eastAsia="Times New Roman" w:cs="Arial"/>
          <w:sz w:val="28"/>
          <w:szCs w:val="24"/>
        </w:rPr>
      </w:pPr>
      <w:r w:rsidRPr="004B5C36">
        <w:rPr>
          <w:rFonts w:eastAsia="Times New Roman" w:cs="Arial"/>
          <w:color w:val="000000"/>
          <w:szCs w:val="20"/>
          <w:lang w:eastAsia="bg-BG"/>
        </w:rPr>
        <w:t>Пациенти с бъбречно увреждане (вж. точка 4.2)</w:t>
      </w:r>
    </w:p>
    <w:p w14:paraId="185A8EAD" w14:textId="77777777" w:rsidR="004B5C36" w:rsidRPr="004B5C36" w:rsidRDefault="004B5C36" w:rsidP="004B5C36">
      <w:pPr>
        <w:spacing w:line="240" w:lineRule="auto"/>
        <w:rPr>
          <w:rFonts w:eastAsia="Times New Roman" w:cs="Arial"/>
          <w:sz w:val="28"/>
          <w:szCs w:val="24"/>
        </w:rPr>
      </w:pPr>
      <w:r w:rsidRPr="004B5C36">
        <w:rPr>
          <w:rFonts w:eastAsia="Times New Roman" w:cs="Arial"/>
          <w:color w:val="000000"/>
          <w:szCs w:val="20"/>
          <w:lang w:eastAsia="bg-BG"/>
        </w:rPr>
        <w:t>Бъбречната екскреция на рамиприлат е намалена при пациенти с нарушена бъбречна функция, и бъбречният клирънс на рамиприлат е пропорционално свързан с креатининовия клирънс. Това води до повишена плазмена концентрация на рамиприлат, която намалява по-бавно отколкото при индивиди с нормална бъбречна функция.</w:t>
      </w:r>
    </w:p>
    <w:p w14:paraId="0280C57D" w14:textId="77777777" w:rsidR="004B5C36" w:rsidRPr="004B5C36" w:rsidRDefault="004B5C36" w:rsidP="004B5C36">
      <w:pPr>
        <w:spacing w:line="240" w:lineRule="auto"/>
        <w:rPr>
          <w:rFonts w:eastAsia="Times New Roman" w:cs="Arial"/>
          <w:color w:val="000000"/>
          <w:szCs w:val="20"/>
          <w:lang w:eastAsia="bg-BG"/>
        </w:rPr>
      </w:pPr>
    </w:p>
    <w:p w14:paraId="652030ED" w14:textId="25713165" w:rsidR="004B5C36" w:rsidRPr="004B5C36" w:rsidRDefault="004B5C36" w:rsidP="004B5C36">
      <w:pPr>
        <w:spacing w:line="240" w:lineRule="auto"/>
        <w:rPr>
          <w:rFonts w:eastAsia="Times New Roman" w:cs="Arial"/>
          <w:sz w:val="28"/>
          <w:szCs w:val="24"/>
        </w:rPr>
      </w:pPr>
      <w:r w:rsidRPr="004B5C36">
        <w:rPr>
          <w:rFonts w:eastAsia="Times New Roman" w:cs="Arial"/>
          <w:color w:val="000000"/>
          <w:szCs w:val="20"/>
          <w:lang w:eastAsia="bg-BG"/>
        </w:rPr>
        <w:t>Пациенти с чернодробно увреждане (вж. точка 4.2)</w:t>
      </w:r>
    </w:p>
    <w:p w14:paraId="1F01E923" w14:textId="77777777" w:rsidR="004B5C36" w:rsidRPr="004B5C36" w:rsidRDefault="004B5C36" w:rsidP="004B5C36">
      <w:pPr>
        <w:spacing w:line="240" w:lineRule="auto"/>
        <w:rPr>
          <w:rFonts w:eastAsia="Times New Roman" w:cs="Arial"/>
          <w:sz w:val="28"/>
          <w:szCs w:val="24"/>
        </w:rPr>
      </w:pPr>
      <w:r w:rsidRPr="004B5C36">
        <w:rPr>
          <w:rFonts w:eastAsia="Times New Roman" w:cs="Arial"/>
          <w:color w:val="000000"/>
          <w:szCs w:val="20"/>
          <w:lang w:eastAsia="bg-BG"/>
        </w:rPr>
        <w:t>При пациенти с нарушена чернодробна функция, метаболизирането на рамиприл до рамиприлат е забавено, поради намалената активност на чернодробните естерази и плазмените нива на рамиприл при тези пациенти са повишени. Пиковите концентрации на рамиприлат при тези пациенти, обаче не се различават от тези наблюдавани при индивиди с нормална чернодробна функция.</w:t>
      </w:r>
    </w:p>
    <w:p w14:paraId="2359DA90" w14:textId="77777777" w:rsidR="004B5C36" w:rsidRPr="004B5C36" w:rsidRDefault="004B5C36" w:rsidP="004B5C36">
      <w:pPr>
        <w:spacing w:line="240" w:lineRule="auto"/>
        <w:rPr>
          <w:rFonts w:eastAsia="Times New Roman" w:cs="Arial"/>
          <w:i/>
          <w:iCs/>
          <w:color w:val="000000"/>
          <w:szCs w:val="20"/>
          <w:lang w:eastAsia="bg-BG"/>
        </w:rPr>
      </w:pPr>
    </w:p>
    <w:p w14:paraId="2759B2EA" w14:textId="2124FF10" w:rsidR="004B5C36" w:rsidRPr="004B5C36" w:rsidRDefault="004B5C36" w:rsidP="004B5C36">
      <w:pPr>
        <w:spacing w:line="240" w:lineRule="auto"/>
        <w:rPr>
          <w:rFonts w:eastAsia="Times New Roman" w:cs="Arial"/>
          <w:sz w:val="28"/>
          <w:szCs w:val="24"/>
        </w:rPr>
      </w:pPr>
      <w:r w:rsidRPr="004B5C36">
        <w:rPr>
          <w:rFonts w:eastAsia="Times New Roman" w:cs="Arial"/>
          <w:i/>
          <w:iCs/>
          <w:color w:val="000000"/>
          <w:szCs w:val="20"/>
          <w:lang w:eastAsia="bg-BG"/>
        </w:rPr>
        <w:t>Педиатрична популация</w:t>
      </w:r>
    </w:p>
    <w:p w14:paraId="4F13991A" w14:textId="77777777" w:rsidR="004B5C36" w:rsidRPr="004B5C36" w:rsidRDefault="004B5C36" w:rsidP="004B5C36">
      <w:pPr>
        <w:spacing w:line="240" w:lineRule="auto"/>
        <w:rPr>
          <w:rFonts w:eastAsia="Times New Roman" w:cs="Arial"/>
          <w:color w:val="000000"/>
          <w:szCs w:val="20"/>
          <w:lang w:eastAsia="bg-BG"/>
        </w:rPr>
      </w:pPr>
      <w:r w:rsidRPr="004B5C36">
        <w:rPr>
          <w:rFonts w:eastAsia="Times New Roman" w:cs="Arial"/>
          <w:color w:val="000000"/>
          <w:szCs w:val="20"/>
          <w:lang w:eastAsia="bg-BG"/>
        </w:rPr>
        <w:t xml:space="preserve">Фармакокинетичният профил на рамиприл е бил изследван при 30 педиатрични пациенти с хипертония, на възраст 2-16 години, с тегло &gt;10 </w:t>
      </w:r>
      <w:r w:rsidRPr="004B5C36">
        <w:rPr>
          <w:rFonts w:eastAsia="Times New Roman" w:cs="Arial"/>
          <w:color w:val="000000"/>
          <w:szCs w:val="20"/>
          <w:lang w:val="en-US"/>
        </w:rPr>
        <w:t>kg</w:t>
      </w:r>
      <w:r w:rsidRPr="004B5C36">
        <w:rPr>
          <w:rFonts w:eastAsia="Times New Roman" w:cs="Arial"/>
          <w:color w:val="000000"/>
          <w:szCs w:val="20"/>
          <w:lang w:val="ru-RU"/>
        </w:rPr>
        <w:t xml:space="preserve">. </w:t>
      </w:r>
      <w:r w:rsidRPr="004B5C36">
        <w:rPr>
          <w:rFonts w:eastAsia="Times New Roman" w:cs="Arial"/>
          <w:color w:val="000000"/>
          <w:szCs w:val="20"/>
          <w:lang w:eastAsia="bg-BG"/>
        </w:rPr>
        <w:t xml:space="preserve">След дози от 0,05 </w:t>
      </w:r>
      <w:r w:rsidRPr="004B5C36">
        <w:rPr>
          <w:rFonts w:eastAsia="Times New Roman" w:cs="Arial"/>
          <w:color w:val="000000"/>
          <w:szCs w:val="20"/>
          <w:lang w:val="en-US"/>
        </w:rPr>
        <w:t>mg</w:t>
      </w:r>
      <w:r w:rsidRPr="004B5C36">
        <w:rPr>
          <w:rFonts w:eastAsia="Times New Roman" w:cs="Arial"/>
          <w:color w:val="000000"/>
          <w:szCs w:val="20"/>
          <w:lang w:val="ru-RU"/>
        </w:rPr>
        <w:t xml:space="preserve"> </w:t>
      </w:r>
      <w:r w:rsidRPr="004B5C36">
        <w:rPr>
          <w:rFonts w:eastAsia="Times New Roman" w:cs="Arial"/>
          <w:color w:val="000000"/>
          <w:szCs w:val="20"/>
          <w:lang w:eastAsia="bg-BG"/>
        </w:rPr>
        <w:t xml:space="preserve">до 0,2 </w:t>
      </w:r>
      <w:r w:rsidRPr="004B5C36">
        <w:rPr>
          <w:rFonts w:eastAsia="Times New Roman" w:cs="Arial"/>
          <w:color w:val="000000"/>
          <w:szCs w:val="20"/>
          <w:lang w:val="en-US"/>
        </w:rPr>
        <w:t>mg</w:t>
      </w:r>
      <w:r w:rsidRPr="004B5C36">
        <w:rPr>
          <w:rFonts w:eastAsia="Times New Roman" w:cs="Arial"/>
          <w:color w:val="000000"/>
          <w:szCs w:val="20"/>
          <w:lang w:val="ru-RU"/>
        </w:rPr>
        <w:t>/</w:t>
      </w:r>
      <w:r w:rsidRPr="004B5C36">
        <w:rPr>
          <w:rFonts w:eastAsia="Times New Roman" w:cs="Arial"/>
          <w:color w:val="000000"/>
          <w:szCs w:val="20"/>
          <w:lang w:val="en-US"/>
        </w:rPr>
        <w:t>kg</w:t>
      </w:r>
      <w:r w:rsidRPr="004B5C36">
        <w:rPr>
          <w:rFonts w:eastAsia="Times New Roman" w:cs="Arial"/>
          <w:color w:val="000000"/>
          <w:szCs w:val="20"/>
          <w:lang w:val="ru-RU"/>
        </w:rPr>
        <w:t xml:space="preserve"> </w:t>
      </w:r>
      <w:r w:rsidRPr="004B5C36">
        <w:rPr>
          <w:rFonts w:eastAsia="Times New Roman" w:cs="Arial"/>
          <w:color w:val="000000"/>
          <w:szCs w:val="20"/>
          <w:lang w:eastAsia="bg-BG"/>
        </w:rPr>
        <w:t xml:space="preserve">рамиприл се метаболизира бързо и екстензивно до рамиприлат. Максимални плазмени концентрации на рамиприлат се достигат в рамките на 2-3 часа. Клирънсът на рамиприлат е тясно свързан с дневника на телесното тегло (р&lt;0,01), също и с дозата (р&lt;0,001). Клирънсът и обемът на разпределение се увеличават с увеличаване на възрастта на децата във </w:t>
      </w:r>
    </w:p>
    <w:p w14:paraId="3731949F" w14:textId="4922974F" w:rsidR="004B5C36" w:rsidRPr="004B5C36" w:rsidRDefault="004B5C36" w:rsidP="004B5C36">
      <w:pPr>
        <w:spacing w:line="240" w:lineRule="auto"/>
        <w:rPr>
          <w:rFonts w:eastAsia="Times New Roman" w:cs="Arial"/>
          <w:sz w:val="28"/>
          <w:szCs w:val="24"/>
        </w:rPr>
      </w:pPr>
      <w:r w:rsidRPr="004B5C36">
        <w:rPr>
          <w:rFonts w:eastAsia="Times New Roman" w:cs="Arial"/>
          <w:color w:val="000000"/>
          <w:szCs w:val="20"/>
          <w:lang w:eastAsia="bg-BG"/>
        </w:rPr>
        <w:t>всяка дозова група.</w:t>
      </w:r>
    </w:p>
    <w:p w14:paraId="1FF0DC70" w14:textId="77777777" w:rsidR="004B5C36" w:rsidRPr="004B5C36" w:rsidRDefault="004B5C36" w:rsidP="004B5C36">
      <w:pPr>
        <w:rPr>
          <w:rFonts w:eastAsia="Times New Roman" w:cs="Arial"/>
          <w:color w:val="000000"/>
          <w:szCs w:val="20"/>
          <w:lang w:eastAsia="bg-BG"/>
        </w:rPr>
      </w:pPr>
    </w:p>
    <w:p w14:paraId="46ED4259" w14:textId="764579FE" w:rsidR="004B5C36" w:rsidRPr="004B5C36" w:rsidRDefault="004B5C36" w:rsidP="004B5C36">
      <w:pPr>
        <w:rPr>
          <w:rFonts w:eastAsia="Times New Roman" w:cs="Arial"/>
          <w:color w:val="000000"/>
          <w:szCs w:val="20"/>
          <w:lang w:eastAsia="bg-BG"/>
        </w:rPr>
      </w:pPr>
      <w:r w:rsidRPr="004B5C36">
        <w:rPr>
          <w:rFonts w:eastAsia="Times New Roman" w:cs="Arial"/>
          <w:color w:val="000000"/>
          <w:szCs w:val="20"/>
          <w:lang w:eastAsia="bg-BG"/>
        </w:rPr>
        <w:t xml:space="preserve">Дозата от 0,05 </w:t>
      </w:r>
      <w:r w:rsidRPr="004B5C36">
        <w:rPr>
          <w:rFonts w:eastAsia="Times New Roman" w:cs="Arial"/>
          <w:color w:val="000000"/>
          <w:szCs w:val="20"/>
          <w:lang w:val="en-US"/>
        </w:rPr>
        <w:t>mg</w:t>
      </w:r>
      <w:r w:rsidRPr="004B5C36">
        <w:rPr>
          <w:rFonts w:eastAsia="Times New Roman" w:cs="Arial"/>
          <w:color w:val="000000"/>
          <w:szCs w:val="20"/>
          <w:lang w:val="ru-RU"/>
        </w:rPr>
        <w:t>/</w:t>
      </w:r>
      <w:r w:rsidRPr="004B5C36">
        <w:rPr>
          <w:rFonts w:eastAsia="Times New Roman" w:cs="Arial"/>
          <w:color w:val="000000"/>
          <w:szCs w:val="20"/>
          <w:lang w:val="en-US"/>
        </w:rPr>
        <w:t>kg</w:t>
      </w:r>
      <w:r w:rsidRPr="004B5C36">
        <w:rPr>
          <w:rFonts w:eastAsia="Times New Roman" w:cs="Arial"/>
          <w:color w:val="000000"/>
          <w:szCs w:val="20"/>
          <w:lang w:val="ru-RU"/>
        </w:rPr>
        <w:t xml:space="preserve"> </w:t>
      </w:r>
      <w:r w:rsidRPr="004B5C36">
        <w:rPr>
          <w:rFonts w:eastAsia="Times New Roman" w:cs="Arial"/>
          <w:color w:val="000000"/>
          <w:szCs w:val="20"/>
          <w:lang w:eastAsia="bg-BG"/>
        </w:rPr>
        <w:t xml:space="preserve">при деца достига нива на експозиция, сравними с тези при възрастни, лекувани с рамиприл 5 </w:t>
      </w:r>
      <w:r w:rsidRPr="004B5C36">
        <w:rPr>
          <w:rFonts w:eastAsia="Times New Roman" w:cs="Arial"/>
          <w:color w:val="000000"/>
          <w:szCs w:val="20"/>
          <w:lang w:val="en-US"/>
        </w:rPr>
        <w:t>mg</w:t>
      </w:r>
      <w:r w:rsidRPr="004B5C36">
        <w:rPr>
          <w:rFonts w:eastAsia="Times New Roman" w:cs="Arial"/>
          <w:color w:val="000000"/>
          <w:szCs w:val="20"/>
          <w:lang w:val="ru-RU"/>
        </w:rPr>
        <w:t xml:space="preserve">. </w:t>
      </w:r>
      <w:r w:rsidRPr="004B5C36">
        <w:rPr>
          <w:rFonts w:eastAsia="Times New Roman" w:cs="Arial"/>
          <w:color w:val="000000"/>
          <w:szCs w:val="20"/>
          <w:lang w:eastAsia="bg-BG"/>
        </w:rPr>
        <w:t xml:space="preserve">Дозата от 0,2 </w:t>
      </w:r>
      <w:r w:rsidRPr="004B5C36">
        <w:rPr>
          <w:rFonts w:eastAsia="Times New Roman" w:cs="Arial"/>
          <w:color w:val="000000"/>
          <w:szCs w:val="20"/>
          <w:lang w:val="en-US"/>
        </w:rPr>
        <w:t>mg</w:t>
      </w:r>
      <w:r w:rsidRPr="004B5C36">
        <w:rPr>
          <w:rFonts w:eastAsia="Times New Roman" w:cs="Arial"/>
          <w:color w:val="000000"/>
          <w:szCs w:val="20"/>
          <w:lang w:val="ru-RU"/>
        </w:rPr>
        <w:t>/</w:t>
      </w:r>
      <w:r w:rsidRPr="004B5C36">
        <w:rPr>
          <w:rFonts w:eastAsia="Times New Roman" w:cs="Arial"/>
          <w:color w:val="000000"/>
          <w:szCs w:val="20"/>
          <w:lang w:val="en-US"/>
        </w:rPr>
        <w:t>kg</w:t>
      </w:r>
      <w:r w:rsidRPr="004B5C36">
        <w:rPr>
          <w:rFonts w:eastAsia="Times New Roman" w:cs="Arial"/>
          <w:color w:val="000000"/>
          <w:szCs w:val="20"/>
          <w:lang w:val="ru-RU"/>
        </w:rPr>
        <w:t xml:space="preserve"> </w:t>
      </w:r>
      <w:r w:rsidRPr="004B5C36">
        <w:rPr>
          <w:rFonts w:eastAsia="Times New Roman" w:cs="Arial"/>
          <w:color w:val="000000"/>
          <w:szCs w:val="20"/>
          <w:lang w:eastAsia="bg-BG"/>
        </w:rPr>
        <w:t xml:space="preserve">при деца води до нива на експозиция по- високи от максималната препоръчителна дневна доза от 10 </w:t>
      </w:r>
      <w:r w:rsidRPr="004B5C36">
        <w:rPr>
          <w:rFonts w:eastAsia="Times New Roman" w:cs="Arial"/>
          <w:color w:val="000000"/>
          <w:szCs w:val="20"/>
          <w:lang w:val="en-US"/>
        </w:rPr>
        <w:t>mg</w:t>
      </w:r>
      <w:r w:rsidRPr="004B5C36">
        <w:rPr>
          <w:rFonts w:eastAsia="Times New Roman" w:cs="Arial"/>
          <w:color w:val="000000"/>
          <w:szCs w:val="20"/>
          <w:lang w:val="ru-RU"/>
        </w:rPr>
        <w:t xml:space="preserve"> </w:t>
      </w:r>
      <w:r w:rsidRPr="004B5C36">
        <w:rPr>
          <w:rFonts w:eastAsia="Times New Roman" w:cs="Arial"/>
          <w:color w:val="000000"/>
          <w:szCs w:val="20"/>
          <w:lang w:eastAsia="bg-BG"/>
        </w:rPr>
        <w:t>при възрастни.</w:t>
      </w:r>
    </w:p>
    <w:p w14:paraId="62660626" w14:textId="77777777" w:rsidR="004B5C36" w:rsidRPr="004B5C36" w:rsidRDefault="004B5C36" w:rsidP="004B5C36"/>
    <w:p w14:paraId="4F31844C" w14:textId="4FAF78F5" w:rsidR="00875EEC" w:rsidRDefault="002C50EE" w:rsidP="005726E3">
      <w:pPr>
        <w:pStyle w:val="Heading2"/>
      </w:pPr>
      <w:r>
        <w:t>5.3. Предклинични данни за безопасност</w:t>
      </w:r>
    </w:p>
    <w:p w14:paraId="19C02F5D" w14:textId="7CE5CCE3" w:rsidR="004B5C36" w:rsidRDefault="004B5C36" w:rsidP="004B5C36"/>
    <w:p w14:paraId="146095E2" w14:textId="77777777" w:rsidR="004B5C36" w:rsidRPr="004B5C36" w:rsidRDefault="004B5C36" w:rsidP="004B5C36">
      <w:pPr>
        <w:rPr>
          <w:sz w:val="24"/>
          <w:szCs w:val="24"/>
        </w:rPr>
      </w:pPr>
      <w:r w:rsidRPr="004B5C36">
        <w:rPr>
          <w:lang w:eastAsia="bg-BG"/>
        </w:rPr>
        <w:lastRenderedPageBreak/>
        <w:t>Пероралното приложение на рамиприл не показва остра токсичност при гризачи и кучета. Проучвания, включващи продължително лерорално приложение са били провеждани при плъхове, кучета и маймуни. Промени в плазмените електролити и кръвната картина са били установени при трите вида.</w:t>
      </w:r>
    </w:p>
    <w:p w14:paraId="70447053" w14:textId="77777777" w:rsidR="004B5C36" w:rsidRPr="004B5C36" w:rsidRDefault="004B5C36" w:rsidP="004B5C36">
      <w:pPr>
        <w:rPr>
          <w:sz w:val="24"/>
          <w:szCs w:val="24"/>
        </w:rPr>
      </w:pPr>
      <w:r w:rsidRPr="004B5C36">
        <w:rPr>
          <w:lang w:eastAsia="bg-BG"/>
        </w:rPr>
        <w:t xml:space="preserve">При кучета и маймуни при дневни дози от 250 </w:t>
      </w:r>
      <w:r w:rsidRPr="004B5C36">
        <w:rPr>
          <w:lang w:val="en-US"/>
        </w:rPr>
        <w:t>mg</w:t>
      </w:r>
      <w:r w:rsidRPr="004B5C36">
        <w:rPr>
          <w:lang w:val="ru-RU"/>
        </w:rPr>
        <w:t>/</w:t>
      </w:r>
      <w:r w:rsidRPr="004B5C36">
        <w:rPr>
          <w:lang w:val="en-US"/>
        </w:rPr>
        <w:t>kg</w:t>
      </w:r>
      <w:r w:rsidRPr="004B5C36">
        <w:rPr>
          <w:lang w:eastAsia="bg-BG"/>
        </w:rPr>
        <w:t>/ден е било наблюдавано значително уголемяване на юкстагломеруларния апарат вследствие фармакодинамичната активност на</w:t>
      </w:r>
      <w:r w:rsidRPr="004B5C36">
        <w:rPr>
          <w:lang w:val="ru-RU" w:eastAsia="bg-BG"/>
        </w:rPr>
        <w:t xml:space="preserve"> </w:t>
      </w:r>
      <w:r w:rsidRPr="004B5C36">
        <w:rPr>
          <w:lang w:eastAsia="bg-BG"/>
        </w:rPr>
        <w:t xml:space="preserve">рамиприл. Плъхове, кучета </w:t>
      </w:r>
      <w:r w:rsidRPr="004B5C36">
        <w:rPr>
          <w:i/>
          <w:iCs/>
          <w:lang w:eastAsia="bg-BG"/>
        </w:rPr>
        <w:t>и</w:t>
      </w:r>
      <w:r w:rsidRPr="004B5C36">
        <w:rPr>
          <w:lang w:eastAsia="bg-BG"/>
        </w:rPr>
        <w:t xml:space="preserve"> маймуни понасят дневни дози съответно от 2, 2,5 и 8 </w:t>
      </w:r>
      <w:r w:rsidRPr="004B5C36">
        <w:rPr>
          <w:lang w:val="en-US"/>
        </w:rPr>
        <w:t>mg</w:t>
      </w:r>
      <w:r w:rsidRPr="004B5C36">
        <w:rPr>
          <w:lang w:val="ru-RU"/>
        </w:rPr>
        <w:t>/</w:t>
      </w:r>
      <w:r w:rsidRPr="004B5C36">
        <w:rPr>
          <w:lang w:val="en-US"/>
        </w:rPr>
        <w:t>kg</w:t>
      </w:r>
      <w:r w:rsidRPr="004B5C36">
        <w:rPr>
          <w:lang w:eastAsia="bg-BG"/>
        </w:rPr>
        <w:t>/дневно без вредни ефекти.</w:t>
      </w:r>
    </w:p>
    <w:p w14:paraId="0C961831" w14:textId="77777777" w:rsidR="004B5C36" w:rsidRPr="004B5C36" w:rsidRDefault="004B5C36" w:rsidP="004B5C36">
      <w:pPr>
        <w:rPr>
          <w:sz w:val="24"/>
          <w:szCs w:val="24"/>
        </w:rPr>
      </w:pPr>
      <w:r w:rsidRPr="004B5C36">
        <w:rPr>
          <w:lang w:eastAsia="bg-BG"/>
        </w:rPr>
        <w:t>Изпитванията за репродуктивна токсичност при плъхове, зайци и маймуни не показват тератогенни свойства.</w:t>
      </w:r>
    </w:p>
    <w:p w14:paraId="752AC2F9" w14:textId="77777777" w:rsidR="004B5C36" w:rsidRPr="004B5C36" w:rsidRDefault="004B5C36" w:rsidP="004B5C36">
      <w:pPr>
        <w:rPr>
          <w:sz w:val="24"/>
          <w:szCs w:val="24"/>
        </w:rPr>
      </w:pPr>
      <w:r w:rsidRPr="004B5C36">
        <w:rPr>
          <w:lang w:eastAsia="bg-BG"/>
        </w:rPr>
        <w:t>Фертилитетьт не се повлиява нито при мъжки, нито при женски плъхове.</w:t>
      </w:r>
    </w:p>
    <w:p w14:paraId="0486CCFC" w14:textId="77777777" w:rsidR="004B5C36" w:rsidRPr="004B5C36" w:rsidRDefault="004B5C36" w:rsidP="004B5C36">
      <w:pPr>
        <w:rPr>
          <w:sz w:val="24"/>
          <w:szCs w:val="24"/>
        </w:rPr>
      </w:pPr>
      <w:r w:rsidRPr="004B5C36">
        <w:rPr>
          <w:lang w:eastAsia="bg-BG"/>
        </w:rPr>
        <w:t xml:space="preserve">Прилагането на рамиприл върху женски плъхове по време на феталния период и лактацията причинява необратимо бъбречно увреждане (дилатация на бъбречното легенче) в потомството при дневни дози от 50 </w:t>
      </w:r>
      <w:r w:rsidRPr="004B5C36">
        <w:rPr>
          <w:lang w:val="en-US"/>
        </w:rPr>
        <w:t>mg</w:t>
      </w:r>
      <w:r w:rsidRPr="004B5C36">
        <w:rPr>
          <w:lang w:val="ru-RU"/>
        </w:rPr>
        <w:t>/</w:t>
      </w:r>
      <w:r w:rsidRPr="004B5C36">
        <w:rPr>
          <w:lang w:val="en-US"/>
        </w:rPr>
        <w:t>kg</w:t>
      </w:r>
      <w:r w:rsidRPr="004B5C36">
        <w:rPr>
          <w:lang w:val="ru-RU"/>
        </w:rPr>
        <w:t xml:space="preserve"> </w:t>
      </w:r>
      <w:r w:rsidRPr="004B5C36">
        <w:rPr>
          <w:lang w:eastAsia="bg-BG"/>
        </w:rPr>
        <w:t>телесно тегло или по-високи.</w:t>
      </w:r>
    </w:p>
    <w:p w14:paraId="4272A335" w14:textId="77777777" w:rsidR="004B5C36" w:rsidRPr="004B5C36" w:rsidRDefault="004B5C36" w:rsidP="004B5C36">
      <w:pPr>
        <w:rPr>
          <w:sz w:val="24"/>
          <w:szCs w:val="24"/>
        </w:rPr>
      </w:pPr>
      <w:r w:rsidRPr="004B5C36">
        <w:rPr>
          <w:lang w:eastAsia="bg-BG"/>
        </w:rPr>
        <w:t>Разширено изследване за мутагенност, чрез използване на няколко системи за изследване, не показва, че рамиприл притежава мутагенни или генотоксични свойства.</w:t>
      </w:r>
    </w:p>
    <w:p w14:paraId="16F212F5" w14:textId="639C7683" w:rsidR="004B5C36" w:rsidRPr="004B5C36" w:rsidRDefault="004B5C36" w:rsidP="004B5C36">
      <w:pPr>
        <w:rPr>
          <w:sz w:val="24"/>
          <w:szCs w:val="24"/>
        </w:rPr>
      </w:pPr>
      <w:r w:rsidRPr="004B5C36">
        <w:rPr>
          <w:lang w:eastAsia="bg-BG"/>
        </w:rPr>
        <w:t>Необратимо бъбречно увреждане е наблюдавано при много млади плъхове при приложение на единична доза рамиприл.</w:t>
      </w:r>
    </w:p>
    <w:p w14:paraId="1BA6531D" w14:textId="047B784E" w:rsidR="00B6672E" w:rsidRDefault="002C50EE" w:rsidP="00936AD0">
      <w:pPr>
        <w:pStyle w:val="Heading1"/>
      </w:pPr>
      <w:r>
        <w:t>7. ПРИТЕЖАТЕЛ НА РАЗРЕШЕНИЕТО ЗА УПОТРЕБА</w:t>
      </w:r>
    </w:p>
    <w:p w14:paraId="0FC2ED5B" w14:textId="44186532" w:rsidR="004B5C36" w:rsidRDefault="004B5C36" w:rsidP="004B5C36"/>
    <w:p w14:paraId="76EEFE49" w14:textId="502BB3ED" w:rsidR="004B5C36" w:rsidRPr="004B5C36" w:rsidRDefault="004B5C36" w:rsidP="004B5C36">
      <w:pPr>
        <w:rPr>
          <w:sz w:val="24"/>
          <w:szCs w:val="24"/>
          <w:lang w:val="en-US"/>
        </w:rPr>
      </w:pPr>
      <w:proofErr w:type="spellStart"/>
      <w:r w:rsidRPr="004B5C36">
        <w:rPr>
          <w:lang w:val="en-US"/>
        </w:rPr>
        <w:t>Medochemie</w:t>
      </w:r>
      <w:proofErr w:type="spellEnd"/>
      <w:r w:rsidRPr="004B5C36">
        <w:rPr>
          <w:lang w:val="en-US"/>
        </w:rPr>
        <w:t xml:space="preserve"> Ltd., </w:t>
      </w:r>
      <w:r w:rsidRPr="004B5C36">
        <w:rPr>
          <w:lang w:eastAsia="bg-BG"/>
        </w:rPr>
        <w:t xml:space="preserve">1-10 </w:t>
      </w:r>
      <w:proofErr w:type="spellStart"/>
      <w:r w:rsidRPr="004B5C36">
        <w:rPr>
          <w:lang w:val="en-US"/>
        </w:rPr>
        <w:t>Constantinopeoleous</w:t>
      </w:r>
      <w:proofErr w:type="spellEnd"/>
      <w:r w:rsidRPr="004B5C36">
        <w:rPr>
          <w:lang w:val="en-US"/>
        </w:rPr>
        <w:t xml:space="preserve"> </w:t>
      </w:r>
      <w:proofErr w:type="spellStart"/>
      <w:r w:rsidRPr="004B5C36">
        <w:rPr>
          <w:lang w:val="en-US"/>
        </w:rPr>
        <w:t>Steet</w:t>
      </w:r>
      <w:proofErr w:type="spellEnd"/>
      <w:r w:rsidRPr="004B5C36">
        <w:rPr>
          <w:lang w:val="en-US"/>
        </w:rPr>
        <w:t xml:space="preserve">, 3011, Limassol, </w:t>
      </w:r>
      <w:r w:rsidRPr="004B5C36">
        <w:rPr>
          <w:lang w:eastAsia="bg-BG"/>
        </w:rPr>
        <w:t>Кипър</w:t>
      </w:r>
    </w:p>
    <w:p w14:paraId="508F3A54" w14:textId="37A26DDB" w:rsidR="00B6672E" w:rsidRDefault="00936AD0" w:rsidP="00936AD0">
      <w:pPr>
        <w:pStyle w:val="Heading1"/>
      </w:pPr>
      <w:r>
        <w:t>8.</w:t>
      </w:r>
      <w:r w:rsidR="002C50EE">
        <w:t>НОМЕР НА РАЗРЕШЕНИЕТО ЗА УПОТРЕБА</w:t>
      </w:r>
    </w:p>
    <w:p w14:paraId="6D5D2D78" w14:textId="2AA6364D" w:rsidR="004B5C36" w:rsidRDefault="004B5C36" w:rsidP="004B5C36"/>
    <w:p w14:paraId="39286071" w14:textId="77777777" w:rsidR="004B5C36" w:rsidRPr="004B5C36" w:rsidRDefault="004B5C36" w:rsidP="004B5C36">
      <w:pPr>
        <w:rPr>
          <w:sz w:val="24"/>
          <w:szCs w:val="24"/>
        </w:rPr>
      </w:pPr>
      <w:r w:rsidRPr="004B5C36">
        <w:rPr>
          <w:lang w:eastAsia="bg-BG"/>
        </w:rPr>
        <w:t xml:space="preserve">Рамимед 5 </w:t>
      </w:r>
      <w:r w:rsidRPr="004B5C36">
        <w:rPr>
          <w:lang w:val="en-US"/>
        </w:rPr>
        <w:t>mg</w:t>
      </w:r>
    </w:p>
    <w:p w14:paraId="5D08AD29" w14:textId="77777777" w:rsidR="004B5C36" w:rsidRPr="004B5C36" w:rsidRDefault="004B5C36" w:rsidP="004B5C36">
      <w:pPr>
        <w:rPr>
          <w:sz w:val="24"/>
          <w:szCs w:val="24"/>
        </w:rPr>
      </w:pPr>
      <w:r w:rsidRPr="004B5C36">
        <w:rPr>
          <w:lang w:eastAsia="bg-BG"/>
        </w:rPr>
        <w:t>Рег№: 20080205</w:t>
      </w:r>
    </w:p>
    <w:p w14:paraId="30E7DD21" w14:textId="77777777" w:rsidR="004B5C36" w:rsidRPr="004B5C36" w:rsidRDefault="004B5C36" w:rsidP="004B5C36">
      <w:pPr>
        <w:rPr>
          <w:sz w:val="24"/>
          <w:szCs w:val="24"/>
        </w:rPr>
      </w:pPr>
      <w:r w:rsidRPr="004B5C36">
        <w:rPr>
          <w:lang w:eastAsia="bg-BG"/>
        </w:rPr>
        <w:t xml:space="preserve">Рамимед 10 </w:t>
      </w:r>
      <w:r w:rsidRPr="004B5C36">
        <w:rPr>
          <w:lang w:val="en-US"/>
        </w:rPr>
        <w:t>mg</w:t>
      </w:r>
    </w:p>
    <w:p w14:paraId="457DFC6B" w14:textId="4A1B0FA8" w:rsidR="004B5C36" w:rsidRPr="004B5C36" w:rsidRDefault="004B5C36" w:rsidP="004B5C36">
      <w:r w:rsidRPr="004B5C36">
        <w:rPr>
          <w:lang w:val="en-US"/>
        </w:rPr>
        <w:t>Per</w:t>
      </w:r>
      <w:r w:rsidRPr="004B5C36">
        <w:rPr>
          <w:lang w:val="ru-RU"/>
        </w:rPr>
        <w:t xml:space="preserve">. </w:t>
      </w:r>
      <w:r w:rsidRPr="004B5C36">
        <w:rPr>
          <w:lang w:eastAsia="bg-BG"/>
        </w:rPr>
        <w:t>№: 20080206</w:t>
      </w:r>
    </w:p>
    <w:p w14:paraId="3BC5EC53" w14:textId="0B34839D" w:rsidR="00875EEC" w:rsidRDefault="002C50EE" w:rsidP="005726E3">
      <w:pPr>
        <w:pStyle w:val="Heading1"/>
      </w:pPr>
      <w:r>
        <w:t>9. ДАТА НА ПЪРВО РАЗРЕШАВАНЕ/ПОДНОВЯВАНЕ НА РАЗРЕШЕНИЕТО ЗА УПОТРЕБА</w:t>
      </w:r>
    </w:p>
    <w:p w14:paraId="78A9E0DE" w14:textId="2824A5C0" w:rsidR="004B5C36" w:rsidRDefault="004B5C36" w:rsidP="004B5C36"/>
    <w:p w14:paraId="1A2EA98D" w14:textId="77777777" w:rsidR="004B5C36" w:rsidRPr="004B5C36" w:rsidRDefault="004B5C36" w:rsidP="004B5C36">
      <w:pPr>
        <w:rPr>
          <w:sz w:val="24"/>
          <w:szCs w:val="24"/>
        </w:rPr>
      </w:pPr>
      <w:r w:rsidRPr="004B5C36">
        <w:rPr>
          <w:lang w:eastAsia="bg-BG"/>
        </w:rPr>
        <w:t>Д ата на първо разрешение: 20 октомври 2008 г.</w:t>
      </w:r>
    </w:p>
    <w:p w14:paraId="20F78F64" w14:textId="0B2B4817" w:rsidR="004B5C36" w:rsidRPr="004B5C36" w:rsidRDefault="004B5C36" w:rsidP="004B5C36">
      <w:r w:rsidRPr="004B5C36">
        <w:rPr>
          <w:lang w:eastAsia="bg-BG"/>
        </w:rPr>
        <w:t>Дата на последно подновяване: 03 декември 2009 г.</w:t>
      </w:r>
    </w:p>
    <w:p w14:paraId="43FB38A2" w14:textId="167940DF" w:rsidR="007C605B" w:rsidRDefault="002C50EE" w:rsidP="005726E3">
      <w:pPr>
        <w:pStyle w:val="Heading1"/>
      </w:pPr>
      <w:r>
        <w:t>10. ДАТА НА АКТУАЛИЗИРАНЕ НА ТЕКСТА</w:t>
      </w:r>
      <w:bookmarkEnd w:id="0"/>
    </w:p>
    <w:p w14:paraId="44BA6C6D" w14:textId="5639569D" w:rsidR="004B5C36" w:rsidRPr="004B5C36" w:rsidRDefault="004B5C36" w:rsidP="004B5C36">
      <w:r>
        <w:t>01.04.2021</w:t>
      </w:r>
      <w:bookmarkStart w:id="2" w:name="_GoBack"/>
      <w:bookmarkEnd w:id="2"/>
    </w:p>
    <w:sectPr w:rsidR="004B5C36" w:rsidRPr="004B5C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210FFC"/>
    <w:multiLevelType w:val="hybridMultilevel"/>
    <w:tmpl w:val="B0E61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8"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3"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8ED3AD6"/>
    <w:multiLevelType w:val="hybridMultilevel"/>
    <w:tmpl w:val="B63CA424"/>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9"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4"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534499"/>
    <w:multiLevelType w:val="hybridMultilevel"/>
    <w:tmpl w:val="AB961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171401"/>
    <w:multiLevelType w:val="hybridMultilevel"/>
    <w:tmpl w:val="2AA2C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2D0EA7"/>
    <w:multiLevelType w:val="hybridMultilevel"/>
    <w:tmpl w:val="397A499C"/>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DE551A"/>
    <w:multiLevelType w:val="hybridMultilevel"/>
    <w:tmpl w:val="F6D4D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2C70EB"/>
    <w:multiLevelType w:val="hybridMultilevel"/>
    <w:tmpl w:val="4B64A44C"/>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32"/>
  </w:num>
  <w:num w:numId="2">
    <w:abstractNumId w:val="0"/>
  </w:num>
  <w:num w:numId="3">
    <w:abstractNumId w:val="16"/>
  </w:num>
  <w:num w:numId="4">
    <w:abstractNumId w:val="3"/>
  </w:num>
  <w:num w:numId="5">
    <w:abstractNumId w:val="1"/>
  </w:num>
  <w:num w:numId="6">
    <w:abstractNumId w:val="19"/>
  </w:num>
  <w:num w:numId="7">
    <w:abstractNumId w:val="13"/>
  </w:num>
  <w:num w:numId="8">
    <w:abstractNumId w:val="18"/>
  </w:num>
  <w:num w:numId="9">
    <w:abstractNumId w:val="2"/>
  </w:num>
  <w:num w:numId="10">
    <w:abstractNumId w:val="5"/>
  </w:num>
  <w:num w:numId="11">
    <w:abstractNumId w:val="35"/>
  </w:num>
  <w:num w:numId="12">
    <w:abstractNumId w:val="17"/>
  </w:num>
  <w:num w:numId="13">
    <w:abstractNumId w:val="22"/>
  </w:num>
  <w:num w:numId="14">
    <w:abstractNumId w:val="15"/>
  </w:num>
  <w:num w:numId="15">
    <w:abstractNumId w:val="34"/>
  </w:num>
  <w:num w:numId="16">
    <w:abstractNumId w:val="12"/>
  </w:num>
  <w:num w:numId="17">
    <w:abstractNumId w:val="28"/>
  </w:num>
  <w:num w:numId="18">
    <w:abstractNumId w:val="9"/>
  </w:num>
  <w:num w:numId="19">
    <w:abstractNumId w:val="31"/>
  </w:num>
  <w:num w:numId="20">
    <w:abstractNumId w:val="27"/>
  </w:num>
  <w:num w:numId="21">
    <w:abstractNumId w:val="20"/>
  </w:num>
  <w:num w:numId="22">
    <w:abstractNumId w:val="29"/>
  </w:num>
  <w:num w:numId="23">
    <w:abstractNumId w:val="21"/>
  </w:num>
  <w:num w:numId="24">
    <w:abstractNumId w:val="10"/>
  </w:num>
  <w:num w:numId="25">
    <w:abstractNumId w:val="26"/>
  </w:num>
  <w:num w:numId="26">
    <w:abstractNumId w:val="24"/>
  </w:num>
  <w:num w:numId="27">
    <w:abstractNumId w:val="38"/>
  </w:num>
  <w:num w:numId="28">
    <w:abstractNumId w:val="7"/>
  </w:num>
  <w:num w:numId="29">
    <w:abstractNumId w:val="23"/>
  </w:num>
  <w:num w:numId="30">
    <w:abstractNumId w:val="42"/>
  </w:num>
  <w:num w:numId="31">
    <w:abstractNumId w:val="6"/>
  </w:num>
  <w:num w:numId="32">
    <w:abstractNumId w:val="41"/>
  </w:num>
  <w:num w:numId="33">
    <w:abstractNumId w:val="33"/>
  </w:num>
  <w:num w:numId="34">
    <w:abstractNumId w:val="39"/>
  </w:num>
  <w:num w:numId="35">
    <w:abstractNumId w:val="8"/>
  </w:num>
  <w:num w:numId="36">
    <w:abstractNumId w:val="11"/>
  </w:num>
  <w:num w:numId="37">
    <w:abstractNumId w:val="25"/>
  </w:num>
  <w:num w:numId="38">
    <w:abstractNumId w:val="37"/>
  </w:num>
  <w:num w:numId="39">
    <w:abstractNumId w:val="40"/>
  </w:num>
  <w:num w:numId="40">
    <w:abstractNumId w:val="30"/>
  </w:num>
  <w:num w:numId="41">
    <w:abstractNumId w:val="4"/>
  </w:num>
  <w:num w:numId="42">
    <w:abstractNumId w:val="14"/>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26E5F"/>
    <w:rsid w:val="004A448E"/>
    <w:rsid w:val="004B0F24"/>
    <w:rsid w:val="004B5C36"/>
    <w:rsid w:val="004D4D6B"/>
    <w:rsid w:val="004F1CE7"/>
    <w:rsid w:val="004F498A"/>
    <w:rsid w:val="00517A5B"/>
    <w:rsid w:val="005726E3"/>
    <w:rsid w:val="00593A00"/>
    <w:rsid w:val="005A66D9"/>
    <w:rsid w:val="00605BCA"/>
    <w:rsid w:val="006158A1"/>
    <w:rsid w:val="00617B1F"/>
    <w:rsid w:val="00672487"/>
    <w:rsid w:val="00672600"/>
    <w:rsid w:val="00681D4A"/>
    <w:rsid w:val="00685882"/>
    <w:rsid w:val="007122AD"/>
    <w:rsid w:val="0075649D"/>
    <w:rsid w:val="007C605B"/>
    <w:rsid w:val="008134C8"/>
    <w:rsid w:val="00814073"/>
    <w:rsid w:val="00826F0D"/>
    <w:rsid w:val="00875EEC"/>
    <w:rsid w:val="00893B92"/>
    <w:rsid w:val="008A6AF2"/>
    <w:rsid w:val="008C70A2"/>
    <w:rsid w:val="00936AD0"/>
    <w:rsid w:val="009773E4"/>
    <w:rsid w:val="009B171C"/>
    <w:rsid w:val="009F1313"/>
    <w:rsid w:val="00A20351"/>
    <w:rsid w:val="00A65A81"/>
    <w:rsid w:val="00AA23EC"/>
    <w:rsid w:val="00AC63CE"/>
    <w:rsid w:val="00AE2107"/>
    <w:rsid w:val="00B275A8"/>
    <w:rsid w:val="00B6672E"/>
    <w:rsid w:val="00BF2600"/>
    <w:rsid w:val="00C0049F"/>
    <w:rsid w:val="00C07B84"/>
    <w:rsid w:val="00C33464"/>
    <w:rsid w:val="00C40420"/>
    <w:rsid w:val="00C809A7"/>
    <w:rsid w:val="00C83063"/>
    <w:rsid w:val="00C87E90"/>
    <w:rsid w:val="00CA1B57"/>
    <w:rsid w:val="00CF77F7"/>
    <w:rsid w:val="00D86297"/>
    <w:rsid w:val="00DB32D3"/>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6647</Words>
  <Characters>37891</Characters>
  <Application>Microsoft Office Word</Application>
  <DocSecurity>0</DocSecurity>
  <Lines>315</Lines>
  <Paragraphs>88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2022-10-30T16:12:00Z</dcterms:created>
  <dcterms:modified xsi:type="dcterms:W3CDTF">2022-10-30T16:12:00Z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