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6F8D5E0" w:rsidR="00DB32D3" w:rsidRDefault="00DD466D" w:rsidP="005726E3">
      <w:pPr>
        <w:pStyle w:val="Heading1"/>
      </w:pPr>
      <w:r>
        <w:t>1.ИМЕ НА ЛЕКАРСТВЕНИЯ ПРОДУКТ</w:t>
      </w:r>
    </w:p>
    <w:p w14:paraId="4331E670" w14:textId="6C623E76" w:rsidR="00546307" w:rsidRDefault="00546307" w:rsidP="00546307"/>
    <w:p w14:paraId="49C486C2" w14:textId="77777777" w:rsidR="00546307" w:rsidRPr="00546307" w:rsidRDefault="00546307" w:rsidP="00546307">
      <w:pPr>
        <w:rPr>
          <w:sz w:val="24"/>
          <w:szCs w:val="24"/>
          <w:lang w:val="en-US" w:eastAsia="bg-BG"/>
        </w:rPr>
      </w:pPr>
      <w:r w:rsidRPr="00546307">
        <w:rPr>
          <w:lang w:eastAsia="bg-BG"/>
        </w:rPr>
        <w:t xml:space="preserve">Рамимед НСТ 2.5 </w:t>
      </w:r>
      <w:r w:rsidRPr="00546307">
        <w:rPr>
          <w:lang w:val="en-US"/>
        </w:rPr>
        <w:t xml:space="preserve">mg/12.5 mg </w:t>
      </w:r>
      <w:r w:rsidRPr="00546307">
        <w:rPr>
          <w:lang w:eastAsia="bg-BG"/>
        </w:rPr>
        <w:t>таблетки</w:t>
      </w:r>
    </w:p>
    <w:p w14:paraId="1372961F" w14:textId="77777777" w:rsidR="00546307" w:rsidRPr="00546307" w:rsidRDefault="00546307" w:rsidP="00546307">
      <w:pPr>
        <w:rPr>
          <w:sz w:val="24"/>
          <w:szCs w:val="24"/>
          <w:lang w:val="en-US" w:eastAsia="bg-BG"/>
        </w:rPr>
      </w:pPr>
      <w:proofErr w:type="spellStart"/>
      <w:r w:rsidRPr="00546307">
        <w:rPr>
          <w:lang w:val="en-US"/>
        </w:rPr>
        <w:t>Ramimed</w:t>
      </w:r>
      <w:proofErr w:type="spellEnd"/>
      <w:r w:rsidRPr="00546307">
        <w:rPr>
          <w:lang w:val="en-US"/>
        </w:rPr>
        <w:t xml:space="preserve"> </w:t>
      </w:r>
      <w:r w:rsidRPr="00546307">
        <w:rPr>
          <w:lang w:eastAsia="bg-BG"/>
        </w:rPr>
        <w:t xml:space="preserve">НСТ 2.5 </w:t>
      </w:r>
      <w:r w:rsidRPr="00546307">
        <w:rPr>
          <w:lang w:val="en-US"/>
        </w:rPr>
        <w:t>mg/12.5 mg tablets</w:t>
      </w:r>
    </w:p>
    <w:p w14:paraId="2DF5EE57" w14:textId="77777777" w:rsidR="00546307" w:rsidRPr="00546307" w:rsidRDefault="00546307" w:rsidP="00546307">
      <w:pPr>
        <w:rPr>
          <w:sz w:val="24"/>
          <w:szCs w:val="24"/>
          <w:lang w:val="en-US" w:eastAsia="bg-BG"/>
        </w:rPr>
      </w:pPr>
      <w:r w:rsidRPr="00546307">
        <w:rPr>
          <w:lang w:eastAsia="bg-BG"/>
        </w:rPr>
        <w:t xml:space="preserve">Рамимед НСТ 5 </w:t>
      </w:r>
      <w:r w:rsidRPr="00546307">
        <w:rPr>
          <w:lang w:val="en-US"/>
        </w:rPr>
        <w:t xml:space="preserve">mg/25 mg </w:t>
      </w:r>
      <w:r w:rsidRPr="00546307">
        <w:rPr>
          <w:lang w:eastAsia="bg-BG"/>
        </w:rPr>
        <w:t>таблетки</w:t>
      </w:r>
    </w:p>
    <w:p w14:paraId="100324AA" w14:textId="4EC55998" w:rsidR="00546307" w:rsidRPr="00546307" w:rsidRDefault="00546307" w:rsidP="00546307">
      <w:proofErr w:type="spellStart"/>
      <w:r w:rsidRPr="00546307">
        <w:rPr>
          <w:lang w:val="en-US"/>
        </w:rPr>
        <w:t>Ramimed</w:t>
      </w:r>
      <w:proofErr w:type="spellEnd"/>
      <w:r w:rsidRPr="00546307">
        <w:rPr>
          <w:lang w:val="en-US"/>
        </w:rPr>
        <w:t xml:space="preserve"> </w:t>
      </w:r>
      <w:r w:rsidRPr="00546307">
        <w:rPr>
          <w:lang w:eastAsia="bg-BG"/>
        </w:rPr>
        <w:t xml:space="preserve">НСТ </w:t>
      </w:r>
      <w:r w:rsidRPr="00546307">
        <w:rPr>
          <w:lang w:val="en-US"/>
        </w:rPr>
        <w:t>5 mg/25 mg tablets</w:t>
      </w:r>
    </w:p>
    <w:p w14:paraId="48E6CABE" w14:textId="5E7D9B0B" w:rsidR="00DB32D3" w:rsidRDefault="00DD466D" w:rsidP="005726E3">
      <w:pPr>
        <w:pStyle w:val="Heading1"/>
      </w:pPr>
      <w:r>
        <w:t>2. КАЧЕСТВЕН И КОЛИЧЕСТВЕН СЪСТАВ</w:t>
      </w:r>
    </w:p>
    <w:p w14:paraId="13B1F0B5" w14:textId="2C6BFEF6" w:rsidR="00546307" w:rsidRDefault="00546307" w:rsidP="00546307"/>
    <w:p w14:paraId="6DC0F0EA"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Всяка таблетка Рамимед 2,5 </w:t>
      </w:r>
      <w:r w:rsidRPr="00546307">
        <w:rPr>
          <w:rFonts w:eastAsia="Times New Roman" w:cs="Arial"/>
          <w:color w:val="000000"/>
          <w:lang w:val="en-US"/>
        </w:rPr>
        <w:t>mg/</w:t>
      </w:r>
      <w:r w:rsidRPr="00546307">
        <w:rPr>
          <w:rFonts w:eastAsia="Times New Roman" w:cs="Arial"/>
          <w:color w:val="000000"/>
          <w:lang w:eastAsia="bg-BG"/>
        </w:rPr>
        <w:t xml:space="preserve">12,5 </w:t>
      </w:r>
      <w:r w:rsidRPr="00546307">
        <w:rPr>
          <w:rFonts w:eastAsia="Times New Roman" w:cs="Arial"/>
          <w:color w:val="000000"/>
          <w:lang w:val="en-US"/>
        </w:rPr>
        <w:t xml:space="preserve">mg </w:t>
      </w:r>
      <w:r w:rsidRPr="00546307">
        <w:rPr>
          <w:rFonts w:eastAsia="Times New Roman" w:cs="Arial"/>
          <w:color w:val="000000"/>
          <w:lang w:eastAsia="bg-BG"/>
        </w:rPr>
        <w:t xml:space="preserve">съдържа 2,5 </w:t>
      </w:r>
      <w:r w:rsidRPr="00546307">
        <w:rPr>
          <w:rFonts w:eastAsia="Times New Roman" w:cs="Arial"/>
          <w:color w:val="000000"/>
          <w:lang w:val="en-US"/>
        </w:rPr>
        <w:t xml:space="preserve">mg </w:t>
      </w:r>
      <w:r w:rsidRPr="00546307">
        <w:rPr>
          <w:rFonts w:eastAsia="Times New Roman" w:cs="Arial"/>
          <w:color w:val="000000"/>
          <w:lang w:eastAsia="bg-BG"/>
        </w:rPr>
        <w:t>рамиприл (</w:t>
      </w:r>
      <w:r w:rsidRPr="00546307">
        <w:rPr>
          <w:rFonts w:eastAsia="Times New Roman" w:cs="Arial"/>
          <w:i/>
          <w:iCs/>
          <w:color w:val="000000"/>
          <w:lang w:val="en-US"/>
        </w:rPr>
        <w:t>ramipril)</w:t>
      </w:r>
      <w:r w:rsidRPr="00546307">
        <w:rPr>
          <w:rFonts w:eastAsia="Times New Roman" w:cs="Arial"/>
          <w:color w:val="000000"/>
          <w:lang w:val="en-US"/>
        </w:rPr>
        <w:t xml:space="preserve"> </w:t>
      </w:r>
      <w:r w:rsidRPr="00546307">
        <w:rPr>
          <w:rFonts w:eastAsia="Times New Roman" w:cs="Arial"/>
          <w:color w:val="000000"/>
          <w:lang w:eastAsia="bg-BG"/>
        </w:rPr>
        <w:t xml:space="preserve">и 12,5 </w:t>
      </w:r>
      <w:r w:rsidRPr="00546307">
        <w:rPr>
          <w:rFonts w:eastAsia="Times New Roman" w:cs="Arial"/>
          <w:color w:val="000000"/>
          <w:lang w:val="en-US"/>
        </w:rPr>
        <w:t xml:space="preserve">mg </w:t>
      </w:r>
      <w:r w:rsidRPr="00546307">
        <w:rPr>
          <w:rFonts w:eastAsia="Times New Roman" w:cs="Arial"/>
          <w:color w:val="000000"/>
          <w:lang w:eastAsia="bg-BG"/>
        </w:rPr>
        <w:t>хидрохлоротиазид (</w:t>
      </w:r>
      <w:r w:rsidRPr="00546307">
        <w:rPr>
          <w:rFonts w:eastAsia="Times New Roman" w:cs="Arial"/>
          <w:i/>
          <w:iCs/>
          <w:color w:val="000000"/>
          <w:lang w:val="en-US"/>
        </w:rPr>
        <w:t>hydrochlorothiazide).</w:t>
      </w:r>
    </w:p>
    <w:p w14:paraId="1DE7366C"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Всяка таблетка Рамимед 5 </w:t>
      </w:r>
      <w:r w:rsidRPr="00546307">
        <w:rPr>
          <w:rFonts w:eastAsia="Times New Roman" w:cs="Arial"/>
          <w:color w:val="000000"/>
          <w:lang w:val="en-US"/>
        </w:rPr>
        <w:t xml:space="preserve">mg/25 mg </w:t>
      </w:r>
      <w:r w:rsidRPr="00546307">
        <w:rPr>
          <w:rFonts w:eastAsia="Times New Roman" w:cs="Arial"/>
          <w:color w:val="000000"/>
          <w:lang w:eastAsia="bg-BG"/>
        </w:rPr>
        <w:t xml:space="preserve">съдържа 5 </w:t>
      </w:r>
      <w:r w:rsidRPr="00546307">
        <w:rPr>
          <w:rFonts w:eastAsia="Times New Roman" w:cs="Arial"/>
          <w:color w:val="000000"/>
          <w:lang w:val="en-US"/>
        </w:rPr>
        <w:t xml:space="preserve">mg </w:t>
      </w:r>
      <w:r w:rsidRPr="00546307">
        <w:rPr>
          <w:rFonts w:eastAsia="Times New Roman" w:cs="Arial"/>
          <w:color w:val="000000"/>
          <w:lang w:eastAsia="bg-BG"/>
        </w:rPr>
        <w:t>рамиприл (</w:t>
      </w:r>
      <w:r w:rsidRPr="00546307">
        <w:rPr>
          <w:rFonts w:eastAsia="Times New Roman" w:cs="Arial"/>
          <w:i/>
          <w:iCs/>
          <w:color w:val="000000"/>
          <w:lang w:val="en-US"/>
        </w:rPr>
        <w:t>ramipril)</w:t>
      </w:r>
      <w:r w:rsidRPr="00546307">
        <w:rPr>
          <w:rFonts w:eastAsia="Times New Roman" w:cs="Arial"/>
          <w:color w:val="000000"/>
          <w:lang w:val="en-US"/>
        </w:rPr>
        <w:t xml:space="preserve"> </w:t>
      </w:r>
      <w:r w:rsidRPr="00546307">
        <w:rPr>
          <w:rFonts w:eastAsia="Times New Roman" w:cs="Arial"/>
          <w:color w:val="000000"/>
          <w:lang w:eastAsia="bg-BG"/>
        </w:rPr>
        <w:t xml:space="preserve">и 25 </w:t>
      </w:r>
      <w:r w:rsidRPr="00546307">
        <w:rPr>
          <w:rFonts w:eastAsia="Times New Roman" w:cs="Arial"/>
          <w:color w:val="000000"/>
          <w:lang w:val="en-US"/>
        </w:rPr>
        <w:t xml:space="preserve">mg </w:t>
      </w:r>
      <w:r w:rsidRPr="00546307">
        <w:rPr>
          <w:rFonts w:eastAsia="Times New Roman" w:cs="Arial"/>
          <w:color w:val="000000"/>
          <w:lang w:eastAsia="bg-BG"/>
        </w:rPr>
        <w:t>хидрохлоротиазид (</w:t>
      </w:r>
      <w:r w:rsidRPr="00546307">
        <w:rPr>
          <w:rFonts w:eastAsia="Times New Roman" w:cs="Arial"/>
          <w:i/>
          <w:iCs/>
          <w:color w:val="000000"/>
          <w:lang w:val="en-US"/>
        </w:rPr>
        <w:t>hydrochlorothiazide).</w:t>
      </w:r>
    </w:p>
    <w:p w14:paraId="5DDF33CF" w14:textId="77777777" w:rsidR="00546307" w:rsidRPr="00546307" w:rsidRDefault="00546307" w:rsidP="00546307">
      <w:pPr>
        <w:spacing w:line="240" w:lineRule="auto"/>
        <w:rPr>
          <w:rFonts w:eastAsia="Times New Roman" w:cs="Arial"/>
          <w:color w:val="000000"/>
          <w:lang w:eastAsia="bg-BG"/>
        </w:rPr>
      </w:pPr>
    </w:p>
    <w:p w14:paraId="4A1F98FD" w14:textId="6C2EE39F"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Помощни вещества с известно действие: лактоза монохидрат.</w:t>
      </w:r>
    </w:p>
    <w:p w14:paraId="393CEDE3"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Всяка таблетка Рамимед 2,5 </w:t>
      </w:r>
      <w:r w:rsidRPr="00546307">
        <w:rPr>
          <w:rFonts w:eastAsia="Times New Roman" w:cs="Arial"/>
          <w:color w:val="000000"/>
          <w:lang w:val="en-US"/>
        </w:rPr>
        <w:t>mg/</w:t>
      </w:r>
      <w:r w:rsidRPr="00546307">
        <w:rPr>
          <w:rFonts w:eastAsia="Times New Roman" w:cs="Arial"/>
          <w:color w:val="000000"/>
          <w:lang w:eastAsia="bg-BG"/>
        </w:rPr>
        <w:t xml:space="preserve">12,5 </w:t>
      </w:r>
      <w:r w:rsidRPr="00546307">
        <w:rPr>
          <w:rFonts w:eastAsia="Times New Roman" w:cs="Arial"/>
          <w:color w:val="000000"/>
          <w:lang w:val="en-US"/>
        </w:rPr>
        <w:t xml:space="preserve">mg </w:t>
      </w:r>
      <w:r w:rsidRPr="00546307">
        <w:rPr>
          <w:rFonts w:eastAsia="Times New Roman" w:cs="Arial"/>
          <w:color w:val="000000"/>
          <w:lang w:eastAsia="bg-BG"/>
        </w:rPr>
        <w:t xml:space="preserve">съдържа лактоза монохидрат 64.5 </w:t>
      </w:r>
      <w:r w:rsidRPr="00546307">
        <w:rPr>
          <w:rFonts w:eastAsia="Times New Roman" w:cs="Arial"/>
          <w:color w:val="000000"/>
          <w:lang w:val="en-US"/>
        </w:rPr>
        <w:t>mg.</w:t>
      </w:r>
    </w:p>
    <w:p w14:paraId="717EFE58"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Всяка таблетка Рамимед 5 </w:t>
      </w:r>
      <w:r w:rsidRPr="00546307">
        <w:rPr>
          <w:rFonts w:eastAsia="Times New Roman" w:cs="Arial"/>
          <w:color w:val="000000"/>
          <w:lang w:val="en-US"/>
        </w:rPr>
        <w:t xml:space="preserve">mg/25 mg </w:t>
      </w:r>
      <w:r w:rsidRPr="00546307">
        <w:rPr>
          <w:rFonts w:eastAsia="Times New Roman" w:cs="Arial"/>
          <w:color w:val="000000"/>
          <w:lang w:eastAsia="bg-BG"/>
        </w:rPr>
        <w:t xml:space="preserve">съдържа лактоза монохидрат 129 </w:t>
      </w:r>
      <w:r w:rsidRPr="00546307">
        <w:rPr>
          <w:rFonts w:eastAsia="Times New Roman" w:cs="Arial"/>
          <w:color w:val="000000"/>
          <w:lang w:val="en-US"/>
        </w:rPr>
        <w:t>mg.</w:t>
      </w:r>
    </w:p>
    <w:p w14:paraId="4620E77A" w14:textId="77777777" w:rsidR="00546307" w:rsidRPr="00546307" w:rsidRDefault="00546307" w:rsidP="00546307"/>
    <w:p w14:paraId="763B21BA" w14:textId="128E688A" w:rsidR="001A6EBD" w:rsidRDefault="00DD466D" w:rsidP="00471F10">
      <w:pPr>
        <w:pStyle w:val="Heading1"/>
      </w:pPr>
      <w:r>
        <w:t>3. ЛЕКАРСТВЕНА ФОРМА</w:t>
      </w:r>
    </w:p>
    <w:p w14:paraId="7C4D2C74" w14:textId="37AF526E" w:rsidR="00546307" w:rsidRDefault="00546307" w:rsidP="00546307"/>
    <w:p w14:paraId="3380CFB2" w14:textId="77777777" w:rsidR="00546307" w:rsidRPr="00546307" w:rsidRDefault="00546307" w:rsidP="00546307">
      <w:pPr>
        <w:rPr>
          <w:sz w:val="24"/>
          <w:szCs w:val="24"/>
          <w:lang w:eastAsia="bg-BG"/>
        </w:rPr>
      </w:pPr>
      <w:r w:rsidRPr="00546307">
        <w:rPr>
          <w:lang w:eastAsia="bg-BG"/>
        </w:rPr>
        <w:t>Таблетка.</w:t>
      </w:r>
    </w:p>
    <w:p w14:paraId="17D4FE13" w14:textId="77777777" w:rsidR="00546307" w:rsidRDefault="00546307" w:rsidP="00546307">
      <w:pPr>
        <w:rPr>
          <w:lang w:eastAsia="bg-BG"/>
        </w:rPr>
      </w:pPr>
    </w:p>
    <w:p w14:paraId="6FACC185" w14:textId="2C92D3D3" w:rsidR="00546307" w:rsidRPr="00546307" w:rsidRDefault="00546307" w:rsidP="00546307">
      <w:pPr>
        <w:rPr>
          <w:sz w:val="24"/>
          <w:szCs w:val="24"/>
          <w:lang w:eastAsia="bg-BG"/>
        </w:rPr>
      </w:pPr>
      <w:r w:rsidRPr="00546307">
        <w:rPr>
          <w:lang w:eastAsia="bg-BG"/>
        </w:rPr>
        <w:t xml:space="preserve">Рамимед НСТ 2.5 </w:t>
      </w:r>
      <w:r w:rsidRPr="00546307">
        <w:rPr>
          <w:lang w:val="en-US"/>
        </w:rPr>
        <w:t>mg/</w:t>
      </w:r>
      <w:r w:rsidRPr="00546307">
        <w:rPr>
          <w:lang w:eastAsia="bg-BG"/>
        </w:rPr>
        <w:t xml:space="preserve">12.5 </w:t>
      </w:r>
      <w:r w:rsidRPr="00546307">
        <w:rPr>
          <w:lang w:val="en-US"/>
        </w:rPr>
        <w:t xml:space="preserve">mg </w:t>
      </w:r>
      <w:r w:rsidRPr="00546307">
        <w:rPr>
          <w:lang w:eastAsia="bg-BG"/>
        </w:rPr>
        <w:t xml:space="preserve">таблетки: бели до белезникаво бели, с форма на капсули, необвити плоски таблетки, </w:t>
      </w:r>
      <w:r w:rsidRPr="00546307">
        <w:rPr>
          <w:lang w:val="en-US"/>
        </w:rPr>
        <w:t xml:space="preserve">4x8 mm, </w:t>
      </w:r>
      <w:r w:rsidRPr="00546307">
        <w:rPr>
          <w:lang w:eastAsia="bg-BG"/>
        </w:rPr>
        <w:t>с делителна черта едностранно. От другата страна са щамповани с “12.5”.</w:t>
      </w:r>
    </w:p>
    <w:p w14:paraId="5188EDB2" w14:textId="77777777" w:rsidR="00546307" w:rsidRPr="00546307" w:rsidRDefault="00546307" w:rsidP="00546307">
      <w:pPr>
        <w:rPr>
          <w:sz w:val="24"/>
          <w:szCs w:val="24"/>
          <w:lang w:eastAsia="bg-BG"/>
        </w:rPr>
      </w:pPr>
      <w:r w:rsidRPr="00546307">
        <w:rPr>
          <w:lang w:eastAsia="bg-BG"/>
        </w:rPr>
        <w:t>Делителната черта е за подпомагане на счупването, за да се улесни поглъщането, а не, за да разделя на равни дози.</w:t>
      </w:r>
    </w:p>
    <w:p w14:paraId="6B22AEA5" w14:textId="77777777" w:rsidR="00546307" w:rsidRDefault="00546307" w:rsidP="00546307">
      <w:pPr>
        <w:rPr>
          <w:lang w:eastAsia="bg-BG"/>
        </w:rPr>
      </w:pPr>
    </w:p>
    <w:p w14:paraId="0D13B28A" w14:textId="317831FE" w:rsidR="00546307" w:rsidRPr="00546307" w:rsidRDefault="00546307" w:rsidP="00546307">
      <w:pPr>
        <w:rPr>
          <w:sz w:val="24"/>
          <w:szCs w:val="24"/>
          <w:lang w:eastAsia="bg-BG"/>
        </w:rPr>
      </w:pPr>
      <w:r w:rsidRPr="00546307">
        <w:rPr>
          <w:lang w:eastAsia="bg-BG"/>
        </w:rPr>
        <w:t xml:space="preserve">Рамимед НСТ 5 </w:t>
      </w:r>
      <w:r w:rsidRPr="00546307">
        <w:rPr>
          <w:lang w:val="en-US"/>
        </w:rPr>
        <w:t xml:space="preserve">mg/25 mg </w:t>
      </w:r>
      <w:r w:rsidRPr="00546307">
        <w:rPr>
          <w:lang w:eastAsia="bg-BG"/>
        </w:rPr>
        <w:t xml:space="preserve">таблетки: бели до белезникаво бели, с форма на капсули, необвити плоски таблетки, </w:t>
      </w:r>
      <w:r w:rsidRPr="00546307">
        <w:rPr>
          <w:lang w:val="en-US"/>
        </w:rPr>
        <w:t xml:space="preserve">5x10 mm, </w:t>
      </w:r>
      <w:r w:rsidRPr="00546307">
        <w:rPr>
          <w:lang w:eastAsia="bg-BG"/>
        </w:rPr>
        <w:t>едностранно с делителна черта и заострени в двата края. От другата страна са щамповани с “25”.</w:t>
      </w:r>
    </w:p>
    <w:p w14:paraId="47B508B0" w14:textId="77777777" w:rsidR="00546307" w:rsidRPr="00546307" w:rsidRDefault="00546307" w:rsidP="00546307">
      <w:pPr>
        <w:rPr>
          <w:sz w:val="24"/>
          <w:szCs w:val="24"/>
          <w:lang w:eastAsia="bg-BG"/>
        </w:rPr>
      </w:pPr>
      <w:r w:rsidRPr="00546307">
        <w:rPr>
          <w:lang w:eastAsia="bg-BG"/>
        </w:rPr>
        <w:t>Таблетката може да бъде разделена на две равни половини.</w:t>
      </w:r>
    </w:p>
    <w:p w14:paraId="5BFA1C34" w14:textId="77777777" w:rsidR="00546307" w:rsidRPr="00546307" w:rsidRDefault="00546307" w:rsidP="00546307"/>
    <w:p w14:paraId="490FC2C4" w14:textId="6899DE43" w:rsidR="002C50EE" w:rsidRDefault="002C50EE" w:rsidP="002C50EE">
      <w:pPr>
        <w:pStyle w:val="Heading1"/>
      </w:pPr>
      <w:r>
        <w:t>4. КЛИНИЧНИ ДАННИ</w:t>
      </w:r>
    </w:p>
    <w:p w14:paraId="25C765CE" w14:textId="48311718" w:rsidR="001A6EBD" w:rsidRDefault="002C50EE" w:rsidP="00471F10">
      <w:pPr>
        <w:pStyle w:val="Heading2"/>
      </w:pPr>
      <w:r>
        <w:t>4.1. Терапевтични показания</w:t>
      </w:r>
    </w:p>
    <w:p w14:paraId="1E4FD640" w14:textId="77DB299E" w:rsidR="00546307" w:rsidRDefault="00546307" w:rsidP="00546307"/>
    <w:p w14:paraId="24E3C323" w14:textId="77777777" w:rsidR="00546307" w:rsidRPr="00546307" w:rsidRDefault="00546307" w:rsidP="00546307">
      <w:pPr>
        <w:rPr>
          <w:sz w:val="24"/>
          <w:szCs w:val="24"/>
          <w:lang w:eastAsia="bg-BG"/>
        </w:rPr>
      </w:pPr>
      <w:r w:rsidRPr="00546307">
        <w:rPr>
          <w:lang w:eastAsia="bg-BG"/>
        </w:rPr>
        <w:t>Лечение на хипертония.</w:t>
      </w:r>
    </w:p>
    <w:p w14:paraId="2CD5858F" w14:textId="77777777" w:rsidR="00546307" w:rsidRDefault="00546307" w:rsidP="00546307">
      <w:pPr>
        <w:rPr>
          <w:lang w:eastAsia="bg-BG"/>
        </w:rPr>
      </w:pPr>
    </w:p>
    <w:p w14:paraId="50C1DF98" w14:textId="6B6F6DD5" w:rsidR="00546307" w:rsidRPr="00546307" w:rsidRDefault="00546307" w:rsidP="00546307">
      <w:pPr>
        <w:rPr>
          <w:sz w:val="24"/>
          <w:szCs w:val="24"/>
          <w:lang w:eastAsia="bg-BG"/>
        </w:rPr>
      </w:pPr>
      <w:r w:rsidRPr="00546307">
        <w:rPr>
          <w:lang w:eastAsia="bg-BG"/>
        </w:rPr>
        <w:t>Комбинацията с фиксирани дози е показана при пациенти, чието кръвно налягане не е достатъчно добре контролирано при самостоятелното прилагане на рамиприл или хидрохлоротиазид.</w:t>
      </w:r>
    </w:p>
    <w:p w14:paraId="2DD88078" w14:textId="77777777" w:rsidR="00546307" w:rsidRPr="00546307" w:rsidRDefault="00546307" w:rsidP="00546307"/>
    <w:p w14:paraId="19026639" w14:textId="1671781F" w:rsidR="001A6EBD" w:rsidRDefault="002C50EE" w:rsidP="00471F10">
      <w:pPr>
        <w:pStyle w:val="Heading2"/>
      </w:pPr>
      <w:r>
        <w:t>4.2. Дозировка и начин на приложение</w:t>
      </w:r>
    </w:p>
    <w:p w14:paraId="1A1A0772" w14:textId="739C4D25" w:rsidR="00546307" w:rsidRDefault="00546307" w:rsidP="00546307"/>
    <w:p w14:paraId="200B5E6C" w14:textId="77777777" w:rsidR="00546307" w:rsidRPr="00546307" w:rsidRDefault="00546307" w:rsidP="00546307">
      <w:pPr>
        <w:pStyle w:val="Heading3"/>
        <w:rPr>
          <w:rFonts w:eastAsia="Times New Roman"/>
          <w:sz w:val="28"/>
          <w:szCs w:val="28"/>
          <w:u w:val="single"/>
          <w:lang w:eastAsia="bg-BG"/>
        </w:rPr>
      </w:pPr>
      <w:r w:rsidRPr="00546307">
        <w:rPr>
          <w:rFonts w:eastAsia="Times New Roman"/>
          <w:u w:val="single"/>
          <w:lang w:eastAsia="bg-BG"/>
        </w:rPr>
        <w:t>Дозировка</w:t>
      </w:r>
    </w:p>
    <w:p w14:paraId="6F322A33"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u w:val="single"/>
          <w:lang w:eastAsia="bg-BG"/>
        </w:rPr>
        <w:t>Възрастни</w:t>
      </w:r>
    </w:p>
    <w:p w14:paraId="4E486F24" w14:textId="427C8D51" w:rsidR="00546307" w:rsidRPr="00546307" w:rsidRDefault="00546307" w:rsidP="00546307">
      <w:pPr>
        <w:rPr>
          <w:rFonts w:cs="Arial"/>
          <w:sz w:val="24"/>
          <w:szCs w:val="24"/>
        </w:rPr>
      </w:pPr>
    </w:p>
    <w:p w14:paraId="2F7D38E0"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Дозата трябва да бъде индивидуализирана според профила на пациента (вж. точка 4.4) и контрола на кръвното налягане. Прилагането на фиксираната комбинация от рамиприл и хидрохлоротиазид обикновено се препоръчва след титрация на дозата с един от отделните компоненти.</w:t>
      </w:r>
    </w:p>
    <w:p w14:paraId="179F305A" w14:textId="77777777" w:rsidR="00546307" w:rsidRPr="00546307" w:rsidRDefault="00546307" w:rsidP="00546307">
      <w:pPr>
        <w:spacing w:line="240" w:lineRule="auto"/>
        <w:rPr>
          <w:rFonts w:eastAsia="Times New Roman" w:cs="Arial"/>
          <w:color w:val="000000"/>
          <w:lang w:eastAsia="bg-BG"/>
        </w:rPr>
      </w:pPr>
    </w:p>
    <w:p w14:paraId="71FBAFF4" w14:textId="29FE30B4"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Рамимед НСТ трябва да бъде започван с най-ниската възможна доза. Ако е необходимо, дозата може да бъде прогресивно увеличавана до достигане на желаното кръвно налягане; максимално допустимите дози са 10 </w:t>
      </w:r>
      <w:r w:rsidRPr="00546307">
        <w:rPr>
          <w:rFonts w:eastAsia="Times New Roman" w:cs="Arial"/>
          <w:color w:val="000000"/>
          <w:lang w:val="en-US"/>
        </w:rPr>
        <w:t xml:space="preserve">mg </w:t>
      </w:r>
      <w:r w:rsidRPr="00546307">
        <w:rPr>
          <w:rFonts w:eastAsia="Times New Roman" w:cs="Arial"/>
          <w:color w:val="000000"/>
          <w:lang w:eastAsia="bg-BG"/>
        </w:rPr>
        <w:t xml:space="preserve">рамиприл и 25 </w:t>
      </w:r>
      <w:r w:rsidRPr="00546307">
        <w:rPr>
          <w:rFonts w:eastAsia="Times New Roman" w:cs="Arial"/>
          <w:color w:val="000000"/>
          <w:lang w:val="en-US"/>
        </w:rPr>
        <w:t xml:space="preserve">mg </w:t>
      </w:r>
      <w:r w:rsidRPr="00546307">
        <w:rPr>
          <w:rFonts w:eastAsia="Times New Roman" w:cs="Arial"/>
          <w:color w:val="000000"/>
          <w:lang w:eastAsia="bg-BG"/>
        </w:rPr>
        <w:t>хидрохлоротиазид дневно.</w:t>
      </w:r>
    </w:p>
    <w:p w14:paraId="7FC45502" w14:textId="77777777" w:rsidR="00546307" w:rsidRPr="00546307" w:rsidRDefault="00546307" w:rsidP="00546307">
      <w:pPr>
        <w:spacing w:line="240" w:lineRule="auto"/>
        <w:rPr>
          <w:rFonts w:eastAsia="Times New Roman" w:cs="Arial"/>
          <w:i/>
          <w:iCs/>
          <w:color w:val="000000"/>
          <w:u w:val="single"/>
          <w:lang w:eastAsia="bg-BG"/>
        </w:rPr>
      </w:pPr>
    </w:p>
    <w:p w14:paraId="5F9A27E3" w14:textId="5C854567"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u w:val="single"/>
          <w:lang w:eastAsia="bg-BG"/>
        </w:rPr>
        <w:t>Спеииални популаиии</w:t>
      </w:r>
    </w:p>
    <w:p w14:paraId="3937A8C0" w14:textId="77777777" w:rsidR="00546307" w:rsidRPr="00546307" w:rsidRDefault="00546307" w:rsidP="00546307">
      <w:pPr>
        <w:spacing w:line="240" w:lineRule="auto"/>
        <w:rPr>
          <w:rFonts w:eastAsia="Times New Roman" w:cs="Arial"/>
          <w:i/>
          <w:iCs/>
          <w:color w:val="000000"/>
          <w:lang w:eastAsia="bg-BG"/>
        </w:rPr>
      </w:pPr>
    </w:p>
    <w:p w14:paraId="37F9203C" w14:textId="510EA0B2"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lang w:eastAsia="bg-BG"/>
        </w:rPr>
        <w:t>Пациенти, лекувани с диуретици</w:t>
      </w:r>
    </w:p>
    <w:p w14:paraId="6B565F6F"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При пациенти, едновременно лекувани с диуретици се препоръчва повишено внимание, тъй като може да възникне хипотония след започване на лечението. Трябва да се има предвид намаляване на дозата на диуретика или спирането му, преди започване на лечение с Рамимед НСТ.</w:t>
      </w:r>
    </w:p>
    <w:p w14:paraId="03F2EDE2" w14:textId="77777777" w:rsidR="00546307" w:rsidRPr="00546307" w:rsidRDefault="00546307" w:rsidP="00546307">
      <w:pPr>
        <w:spacing w:line="240" w:lineRule="auto"/>
        <w:rPr>
          <w:rFonts w:eastAsia="Times New Roman" w:cs="Arial"/>
          <w:color w:val="000000"/>
          <w:lang w:eastAsia="bg-BG"/>
        </w:rPr>
      </w:pPr>
    </w:p>
    <w:p w14:paraId="6B9803A8" w14:textId="2751B0A8"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Ако преустановяването на лечението не е възможно се препоръчва лечението да бъде започнато с възможно най-ниската доза рамиприл (1.25 </w:t>
      </w:r>
      <w:r w:rsidRPr="00546307">
        <w:rPr>
          <w:rFonts w:eastAsia="Times New Roman" w:cs="Arial"/>
          <w:color w:val="000000"/>
          <w:lang w:val="en-US"/>
        </w:rPr>
        <w:t xml:space="preserve">mg </w:t>
      </w:r>
      <w:r w:rsidRPr="00546307">
        <w:rPr>
          <w:rFonts w:eastAsia="Times New Roman" w:cs="Arial"/>
          <w:color w:val="000000"/>
          <w:lang w:eastAsia="bg-BG"/>
        </w:rPr>
        <w:t xml:space="preserve">дневно) в свободна комбинация. Последващо се препоръчва да бъде направен преход към начална доза от не повече от 2.5 </w:t>
      </w:r>
      <w:r w:rsidRPr="00546307">
        <w:rPr>
          <w:rFonts w:eastAsia="Times New Roman" w:cs="Arial"/>
          <w:color w:val="000000"/>
          <w:lang w:val="en-US"/>
        </w:rPr>
        <w:t xml:space="preserve">mg </w:t>
      </w:r>
      <w:r w:rsidRPr="00546307">
        <w:rPr>
          <w:rFonts w:eastAsia="Times New Roman" w:cs="Arial"/>
          <w:color w:val="000000"/>
          <w:lang w:eastAsia="bg-BG"/>
        </w:rPr>
        <w:t xml:space="preserve">рамиприл/12.5 </w:t>
      </w:r>
      <w:r w:rsidRPr="00546307">
        <w:rPr>
          <w:rFonts w:eastAsia="Times New Roman" w:cs="Arial"/>
          <w:color w:val="000000"/>
          <w:lang w:val="en-US"/>
        </w:rPr>
        <w:t xml:space="preserve">mg </w:t>
      </w:r>
      <w:r w:rsidRPr="00546307">
        <w:rPr>
          <w:rFonts w:eastAsia="Times New Roman" w:cs="Arial"/>
          <w:color w:val="000000"/>
          <w:lang w:eastAsia="bg-BG"/>
        </w:rPr>
        <w:t>хидрохлоротиазид.</w:t>
      </w:r>
    </w:p>
    <w:p w14:paraId="2A3A6216" w14:textId="77777777" w:rsidR="00546307" w:rsidRPr="00546307" w:rsidRDefault="00546307" w:rsidP="00546307">
      <w:pPr>
        <w:spacing w:line="240" w:lineRule="auto"/>
        <w:rPr>
          <w:rFonts w:eastAsia="Times New Roman" w:cs="Arial"/>
          <w:i/>
          <w:iCs/>
          <w:color w:val="000000"/>
          <w:lang w:eastAsia="bg-BG"/>
        </w:rPr>
      </w:pPr>
    </w:p>
    <w:p w14:paraId="41D1383F" w14:textId="199CAA35"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lang w:eastAsia="bg-BG"/>
        </w:rPr>
        <w:t>Пациенти с бъбречно увреждане</w:t>
      </w:r>
    </w:p>
    <w:p w14:paraId="1267983D"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Рамимед НСТ е противопоказан при тежко бъбречно увреждане, поради хидрохлоротиазидната компонента (креатининов клирънс &lt; </w:t>
      </w:r>
      <w:r w:rsidRPr="00546307">
        <w:rPr>
          <w:rFonts w:eastAsia="Times New Roman" w:cs="Arial"/>
          <w:color w:val="000000"/>
          <w:lang w:val="en-US"/>
        </w:rPr>
        <w:t xml:space="preserve">30ml/min) </w:t>
      </w:r>
      <w:r w:rsidRPr="00546307">
        <w:rPr>
          <w:rFonts w:eastAsia="Times New Roman" w:cs="Arial"/>
          <w:color w:val="000000"/>
          <w:lang w:eastAsia="bg-BG"/>
        </w:rPr>
        <w:t>(вж. точка 4.3).</w:t>
      </w:r>
    </w:p>
    <w:p w14:paraId="2B481D59"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Пациенти с нарушение на бъбречната функция могат да изискват намалени дози Рамимед НСТ. Пациенти с нива на креатининов клирънс между 30 и 60 </w:t>
      </w:r>
      <w:r w:rsidRPr="00546307">
        <w:rPr>
          <w:rFonts w:eastAsia="Times New Roman" w:cs="Arial"/>
          <w:color w:val="000000"/>
          <w:lang w:val="en-US"/>
        </w:rPr>
        <w:t xml:space="preserve">ml/min </w:t>
      </w:r>
      <w:r w:rsidRPr="00546307">
        <w:rPr>
          <w:rFonts w:eastAsia="Times New Roman" w:cs="Arial"/>
          <w:color w:val="000000"/>
          <w:lang w:eastAsia="bg-BG"/>
        </w:rPr>
        <w:t xml:space="preserve">могат да бъдат лекувани само с най-ниските дози на фиксираната комбинация рамиприл и хидрохлоротиазид, след самостоятелно прилагане на рамиприл. Максималните допустими дози са 5 </w:t>
      </w:r>
      <w:r w:rsidRPr="00546307">
        <w:rPr>
          <w:rFonts w:eastAsia="Times New Roman" w:cs="Arial"/>
          <w:color w:val="000000"/>
          <w:lang w:val="en-US"/>
        </w:rPr>
        <w:t xml:space="preserve">mg </w:t>
      </w:r>
      <w:r w:rsidRPr="00546307">
        <w:rPr>
          <w:rFonts w:eastAsia="Times New Roman" w:cs="Arial"/>
          <w:color w:val="000000"/>
          <w:lang w:eastAsia="bg-BG"/>
        </w:rPr>
        <w:t xml:space="preserve">рамиприл и 25 </w:t>
      </w:r>
      <w:r w:rsidRPr="00546307">
        <w:rPr>
          <w:rFonts w:eastAsia="Times New Roman" w:cs="Arial"/>
          <w:color w:val="000000"/>
          <w:lang w:val="en-US"/>
        </w:rPr>
        <w:t xml:space="preserve">mg </w:t>
      </w:r>
      <w:r w:rsidRPr="00546307">
        <w:rPr>
          <w:rFonts w:eastAsia="Times New Roman" w:cs="Arial"/>
          <w:color w:val="000000"/>
          <w:lang w:eastAsia="bg-BG"/>
        </w:rPr>
        <w:t>хидрохлоротиазид дневно.</w:t>
      </w:r>
    </w:p>
    <w:p w14:paraId="32FE9F7A" w14:textId="77777777" w:rsidR="00546307" w:rsidRPr="00546307" w:rsidRDefault="00546307" w:rsidP="00546307">
      <w:pPr>
        <w:spacing w:line="240" w:lineRule="auto"/>
        <w:rPr>
          <w:rFonts w:eastAsia="Times New Roman" w:cs="Arial"/>
          <w:i/>
          <w:iCs/>
          <w:color w:val="000000"/>
          <w:lang w:eastAsia="bg-BG"/>
        </w:rPr>
      </w:pPr>
    </w:p>
    <w:p w14:paraId="089ABA39" w14:textId="1CD1ADA0"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lang w:eastAsia="bg-BG"/>
        </w:rPr>
        <w:t>Пациенти с чернодробно увреждане</w:t>
      </w:r>
    </w:p>
    <w:p w14:paraId="32E6DCD9"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 xml:space="preserve">При пациенти с леко до умерено чернодробно увреждане лечението с Рамимед НСТ трябва да бъде започнато само под стриктно медицинско наблюдение и максималните дневни дози са 2,5 </w:t>
      </w:r>
      <w:r w:rsidRPr="00546307">
        <w:rPr>
          <w:rFonts w:eastAsia="Times New Roman" w:cs="Arial"/>
          <w:color w:val="000000"/>
          <w:lang w:val="en-US"/>
        </w:rPr>
        <w:t xml:space="preserve">mg </w:t>
      </w:r>
      <w:r w:rsidRPr="00546307">
        <w:rPr>
          <w:rFonts w:eastAsia="Times New Roman" w:cs="Arial"/>
          <w:color w:val="000000"/>
          <w:lang w:eastAsia="bg-BG"/>
        </w:rPr>
        <w:t xml:space="preserve">рамиприл и 12,5 </w:t>
      </w:r>
      <w:r w:rsidRPr="00546307">
        <w:rPr>
          <w:rFonts w:eastAsia="Times New Roman" w:cs="Arial"/>
          <w:color w:val="000000"/>
          <w:lang w:val="en-US"/>
        </w:rPr>
        <w:t xml:space="preserve">mg </w:t>
      </w:r>
      <w:r w:rsidRPr="00546307">
        <w:rPr>
          <w:rFonts w:eastAsia="Times New Roman" w:cs="Arial"/>
          <w:color w:val="000000"/>
          <w:lang w:eastAsia="bg-BG"/>
        </w:rPr>
        <w:t>хидрохлоротиазид.</w:t>
      </w:r>
    </w:p>
    <w:p w14:paraId="5DB336E3"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Рамимед НСТ е противопоказан при тежко чернодробно увреждане (вж. точка 4.3).</w:t>
      </w:r>
    </w:p>
    <w:p w14:paraId="3B43417D" w14:textId="77777777" w:rsidR="00546307" w:rsidRPr="00546307" w:rsidRDefault="00546307" w:rsidP="00546307">
      <w:pPr>
        <w:spacing w:line="240" w:lineRule="auto"/>
        <w:rPr>
          <w:rFonts w:eastAsia="Times New Roman" w:cs="Arial"/>
          <w:i/>
          <w:iCs/>
          <w:color w:val="000000"/>
          <w:lang w:eastAsia="bg-BG"/>
        </w:rPr>
      </w:pPr>
    </w:p>
    <w:p w14:paraId="3F4D9C4C" w14:textId="6D38E8AE"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lang w:eastAsia="bg-BG"/>
        </w:rPr>
        <w:t>Старческа възраст</w:t>
      </w:r>
    </w:p>
    <w:p w14:paraId="1F71F6CA"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Началните дози трябва да бъдат по-ниски и последващото титриране на дозата трябва да бъде по-бавно, поради по-голямата възможност от нежелани реакции, особено при много възрастни и немощни пациенти.</w:t>
      </w:r>
    </w:p>
    <w:p w14:paraId="532256CD" w14:textId="77777777" w:rsidR="00546307" w:rsidRPr="00546307" w:rsidRDefault="00546307" w:rsidP="00546307">
      <w:pPr>
        <w:spacing w:line="240" w:lineRule="auto"/>
        <w:rPr>
          <w:rFonts w:eastAsia="Times New Roman" w:cs="Arial"/>
          <w:i/>
          <w:iCs/>
          <w:color w:val="000000"/>
          <w:lang w:eastAsia="bg-BG"/>
        </w:rPr>
      </w:pPr>
    </w:p>
    <w:p w14:paraId="72155B6D" w14:textId="1E343001" w:rsidR="00546307" w:rsidRPr="00546307" w:rsidRDefault="00546307" w:rsidP="00546307">
      <w:pPr>
        <w:spacing w:line="240" w:lineRule="auto"/>
        <w:rPr>
          <w:rFonts w:eastAsia="Times New Roman" w:cs="Arial"/>
          <w:sz w:val="28"/>
          <w:szCs w:val="28"/>
          <w:lang w:eastAsia="bg-BG"/>
        </w:rPr>
      </w:pPr>
      <w:r w:rsidRPr="00546307">
        <w:rPr>
          <w:rFonts w:eastAsia="Times New Roman" w:cs="Arial"/>
          <w:i/>
          <w:iCs/>
          <w:color w:val="000000"/>
          <w:lang w:eastAsia="bg-BG"/>
        </w:rPr>
        <w:t>Педиатрична популация</w:t>
      </w:r>
    </w:p>
    <w:p w14:paraId="38615FB5"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lastRenderedPageBreak/>
        <w:t>Рамимед НСТ не се препоръчва за употреба при деца и юноши до 18 години, поради недостатъчни данни за безопасност и ефикасност.</w:t>
      </w:r>
    </w:p>
    <w:p w14:paraId="3C42D0C5" w14:textId="77777777" w:rsidR="00546307" w:rsidRPr="00546307" w:rsidRDefault="00546307" w:rsidP="00546307">
      <w:pPr>
        <w:spacing w:line="240" w:lineRule="auto"/>
        <w:rPr>
          <w:rFonts w:eastAsia="Times New Roman" w:cs="Arial"/>
          <w:color w:val="000000"/>
          <w:u w:val="single"/>
          <w:lang w:eastAsia="bg-BG"/>
        </w:rPr>
      </w:pPr>
    </w:p>
    <w:p w14:paraId="0AA16704" w14:textId="6768D867" w:rsidR="00546307" w:rsidRPr="00546307" w:rsidRDefault="00546307" w:rsidP="00546307">
      <w:pPr>
        <w:pStyle w:val="Heading3"/>
        <w:rPr>
          <w:rFonts w:eastAsia="Times New Roman"/>
          <w:sz w:val="28"/>
          <w:szCs w:val="28"/>
          <w:u w:val="single"/>
          <w:lang w:eastAsia="bg-BG"/>
        </w:rPr>
      </w:pPr>
      <w:r w:rsidRPr="00546307">
        <w:rPr>
          <w:rFonts w:eastAsia="Times New Roman"/>
          <w:u w:val="single"/>
          <w:lang w:eastAsia="bg-BG"/>
        </w:rPr>
        <w:t>Начин на приложение</w:t>
      </w:r>
    </w:p>
    <w:p w14:paraId="6CF9CA22" w14:textId="77777777" w:rsidR="00546307" w:rsidRPr="00546307" w:rsidRDefault="00546307" w:rsidP="00546307">
      <w:pPr>
        <w:spacing w:line="240" w:lineRule="auto"/>
        <w:rPr>
          <w:rFonts w:eastAsia="Times New Roman" w:cs="Arial"/>
          <w:sz w:val="28"/>
          <w:szCs w:val="28"/>
          <w:lang w:eastAsia="bg-BG"/>
        </w:rPr>
      </w:pPr>
      <w:r w:rsidRPr="00546307">
        <w:rPr>
          <w:rFonts w:eastAsia="Times New Roman" w:cs="Arial"/>
          <w:color w:val="000000"/>
          <w:lang w:eastAsia="bg-BG"/>
        </w:rPr>
        <w:t>Перорално приложение.</w:t>
      </w:r>
    </w:p>
    <w:p w14:paraId="7E99E047" w14:textId="77777777" w:rsidR="00546307" w:rsidRPr="00546307" w:rsidRDefault="00546307" w:rsidP="00546307">
      <w:pPr>
        <w:rPr>
          <w:rFonts w:eastAsia="Times New Roman" w:cs="Arial"/>
          <w:color w:val="000000"/>
          <w:lang w:eastAsia="bg-BG"/>
        </w:rPr>
      </w:pPr>
    </w:p>
    <w:p w14:paraId="3F464600" w14:textId="703DF8D4" w:rsidR="00546307" w:rsidRDefault="00546307" w:rsidP="00546307">
      <w:pPr>
        <w:rPr>
          <w:rFonts w:eastAsia="Times New Roman" w:cs="Arial"/>
          <w:color w:val="000000"/>
          <w:lang w:eastAsia="bg-BG"/>
        </w:rPr>
      </w:pPr>
      <w:r w:rsidRPr="00546307">
        <w:rPr>
          <w:rFonts w:eastAsia="Times New Roman" w:cs="Arial"/>
          <w:color w:val="000000"/>
          <w:lang w:eastAsia="bg-BG"/>
        </w:rPr>
        <w:t>Препоръчва се Рамимед НСТ да бъде приеман веднъж дневно, по едно и също време на деня, обикновено сутрин.</w:t>
      </w:r>
    </w:p>
    <w:p w14:paraId="147FD2BB" w14:textId="06C41133" w:rsidR="00546307" w:rsidRDefault="00546307" w:rsidP="00546307">
      <w:pPr>
        <w:rPr>
          <w:rFonts w:eastAsia="Times New Roman" w:cs="Arial"/>
          <w:color w:val="000000"/>
          <w:lang w:eastAsia="bg-BG"/>
        </w:rPr>
      </w:pPr>
    </w:p>
    <w:p w14:paraId="46834C80" w14:textId="77777777" w:rsidR="00546307" w:rsidRPr="00546307" w:rsidRDefault="00546307" w:rsidP="00546307">
      <w:pPr>
        <w:rPr>
          <w:sz w:val="24"/>
          <w:szCs w:val="24"/>
          <w:lang w:eastAsia="bg-BG"/>
        </w:rPr>
      </w:pPr>
      <w:r w:rsidRPr="00546307">
        <w:rPr>
          <w:lang w:eastAsia="bg-BG"/>
        </w:rPr>
        <w:t>Рамимед НСТ може да се приема преди, по време на или след хранене, тъй като храната не променя неговата бионаличност (вж. точка 5.2).</w:t>
      </w:r>
    </w:p>
    <w:p w14:paraId="361AA0E5" w14:textId="77777777" w:rsidR="00546307" w:rsidRPr="00546307" w:rsidRDefault="00546307" w:rsidP="00546307">
      <w:pPr>
        <w:rPr>
          <w:sz w:val="24"/>
          <w:szCs w:val="24"/>
          <w:lang w:eastAsia="bg-BG"/>
        </w:rPr>
      </w:pPr>
      <w:r w:rsidRPr="00546307">
        <w:rPr>
          <w:lang w:eastAsia="bg-BG"/>
        </w:rPr>
        <w:t>Рамимед НСТ трябва да се поглъща с течност. Таблетката не трябва да се дъвче или разтрошава.</w:t>
      </w:r>
    </w:p>
    <w:p w14:paraId="2AD48D06" w14:textId="77777777" w:rsidR="00546307" w:rsidRPr="00546307" w:rsidRDefault="00546307" w:rsidP="00546307">
      <w:pPr>
        <w:rPr>
          <w:rFonts w:cs="Arial"/>
          <w:sz w:val="24"/>
          <w:szCs w:val="24"/>
        </w:rPr>
      </w:pPr>
    </w:p>
    <w:p w14:paraId="1BF2EFF4" w14:textId="4EA40B48" w:rsidR="001A6EBD" w:rsidRDefault="002C50EE" w:rsidP="00471F10">
      <w:pPr>
        <w:pStyle w:val="Heading2"/>
      </w:pPr>
      <w:r>
        <w:t>4.3. Противопоказания</w:t>
      </w:r>
    </w:p>
    <w:p w14:paraId="0651A938" w14:textId="05D57794" w:rsidR="00546307" w:rsidRDefault="00546307" w:rsidP="00546307"/>
    <w:p w14:paraId="230F0171"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Свръхчувствителност към активното вещество или към друг АСЕ инхибитор (инхибитор на ангиотензин конвертиращия ензим), хидрохлоротиазид, друг тиазиден диуретик, сулфонамиди или някое от помощните вещества (изброени в точка 6.1).</w:t>
      </w:r>
    </w:p>
    <w:p w14:paraId="76AD99A0"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 xml:space="preserve">Анамнеза за ангиоедем (наследствен, идиопатичен или вследствие лечение с АСЕ инхибитори или ангиотензин II рецепторни антагонисти </w:t>
      </w:r>
      <w:r w:rsidRPr="00546307">
        <w:rPr>
          <w:rFonts w:eastAsia="Times New Roman" w:cs="Arial"/>
          <w:color w:val="000000"/>
          <w:lang w:val="en-US"/>
        </w:rPr>
        <w:t>(AIIRAs))</w:t>
      </w:r>
    </w:p>
    <w:p w14:paraId="5DA548BF"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Екстракорпорално лечение, водещо до контакт на кръвта с отрицателно заредени повърхности (вж. точка 4.5)</w:t>
      </w:r>
    </w:p>
    <w:p w14:paraId="7C7EBFB7"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Значима двустранна стеноза на бъбречната артерия или стеноза на бъбречна артерия на единствен функциониращ бъбрек</w:t>
      </w:r>
    </w:p>
    <w:p w14:paraId="7280A646"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Втори или трети триместър на бременността (вж. точки 4.4 и 4.6)</w:t>
      </w:r>
    </w:p>
    <w:p w14:paraId="7E07BE9B"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Кърмене (вж. точка 4.6)</w:t>
      </w:r>
    </w:p>
    <w:p w14:paraId="7962B508"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 xml:space="preserve">Тежко увреждане на бъбречната функция с креатининов клирънс под 30 </w:t>
      </w:r>
      <w:r w:rsidRPr="00546307">
        <w:rPr>
          <w:rFonts w:eastAsia="Times New Roman" w:cs="Arial"/>
          <w:color w:val="000000"/>
          <w:lang w:val="en-US"/>
        </w:rPr>
        <w:t xml:space="preserve">ml/min </w:t>
      </w:r>
      <w:r w:rsidRPr="00546307">
        <w:rPr>
          <w:rFonts w:eastAsia="Times New Roman" w:cs="Arial"/>
          <w:color w:val="000000"/>
          <w:lang w:eastAsia="bg-BG"/>
        </w:rPr>
        <w:t>при недиализирани пациенти</w:t>
      </w:r>
    </w:p>
    <w:p w14:paraId="00936233"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Клинично значими електролитни нарушения, които могат да се влошат след лечение с Рамимед НСТ (вж. точка 4.4)</w:t>
      </w:r>
    </w:p>
    <w:p w14:paraId="4F02A6F0"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Тежко увреждане на чернодробната функция, чернодробна енцефалопатия.</w:t>
      </w:r>
    </w:p>
    <w:p w14:paraId="5129358D" w14:textId="77777777"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 xml:space="preserve">Едновременната употреба на Рамимед НСТ с алискирен-съдържащи продукти е противопоказана при пациенти със захарен диабет или бъбречно увреждане </w:t>
      </w:r>
      <w:r w:rsidRPr="00546307">
        <w:rPr>
          <w:rFonts w:eastAsia="Times New Roman" w:cs="Arial"/>
          <w:color w:val="000000"/>
          <w:lang w:val="en-US"/>
        </w:rPr>
        <w:t xml:space="preserve">(GFR </w:t>
      </w:r>
      <w:r w:rsidRPr="00546307">
        <w:rPr>
          <w:rFonts w:eastAsia="Times New Roman" w:cs="Arial"/>
          <w:color w:val="000000"/>
          <w:lang w:eastAsia="bg-BG"/>
        </w:rPr>
        <w:t xml:space="preserve">&lt; 60 </w:t>
      </w:r>
      <w:r w:rsidRPr="00546307">
        <w:rPr>
          <w:rFonts w:eastAsia="Times New Roman" w:cs="Arial"/>
          <w:color w:val="000000"/>
          <w:lang w:val="en-US"/>
        </w:rPr>
        <w:t xml:space="preserve">ml/min/1,73 </w:t>
      </w:r>
      <w:r w:rsidRPr="00546307">
        <w:rPr>
          <w:rFonts w:eastAsia="Times New Roman" w:cs="Arial"/>
          <w:color w:val="000000"/>
          <w:lang w:eastAsia="bg-BG"/>
        </w:rPr>
        <w:t>m2) (вж. точки 4.5 и 5.1).</w:t>
      </w:r>
    </w:p>
    <w:p w14:paraId="7994992F" w14:textId="1D61EF62" w:rsidR="00546307" w:rsidRPr="00546307" w:rsidRDefault="00546307" w:rsidP="00546307">
      <w:pPr>
        <w:pStyle w:val="ListParagraph"/>
        <w:numPr>
          <w:ilvl w:val="0"/>
          <w:numId w:val="38"/>
        </w:numPr>
        <w:spacing w:line="240" w:lineRule="auto"/>
        <w:rPr>
          <w:rFonts w:eastAsia="Times New Roman" w:cs="Arial"/>
          <w:sz w:val="28"/>
          <w:szCs w:val="28"/>
          <w:lang w:eastAsia="bg-BG"/>
        </w:rPr>
      </w:pPr>
      <w:r w:rsidRPr="00546307">
        <w:rPr>
          <w:rFonts w:eastAsia="Times New Roman" w:cs="Arial"/>
          <w:color w:val="000000"/>
          <w:lang w:eastAsia="bg-BG"/>
        </w:rPr>
        <w:t>Едновременна употреба със сакубтрил/валсартан терапия. Лечение с рамиприл не трябва да се започва по-рано от 36 часа след последната доза сакубтрил/ валсартан (вижте също точки 4.4 и 4.5).</w:t>
      </w:r>
    </w:p>
    <w:p w14:paraId="69591F03" w14:textId="77777777" w:rsidR="00546307" w:rsidRPr="00546307" w:rsidRDefault="00546307" w:rsidP="00546307"/>
    <w:p w14:paraId="0C106098" w14:textId="7A328F3D" w:rsidR="001A6EBD" w:rsidRDefault="002C50EE" w:rsidP="00471F10">
      <w:pPr>
        <w:pStyle w:val="Heading2"/>
      </w:pPr>
      <w:r>
        <w:t>4.4. Специални предупреждения и предпазни мерки при употреба</w:t>
      </w:r>
    </w:p>
    <w:p w14:paraId="00AE1DBC" w14:textId="32B77177" w:rsidR="00546307" w:rsidRDefault="00546307" w:rsidP="00546307"/>
    <w:p w14:paraId="1E573EDE" w14:textId="77777777"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Спеииални популаиии</w:t>
      </w:r>
    </w:p>
    <w:p w14:paraId="560ACBEC" w14:textId="77777777" w:rsidR="00546307" w:rsidRPr="00546307" w:rsidRDefault="00546307" w:rsidP="00546307">
      <w:pPr>
        <w:spacing w:line="240" w:lineRule="auto"/>
        <w:rPr>
          <w:rFonts w:eastAsia="Times New Roman" w:cs="Arial"/>
          <w:lang w:eastAsia="bg-BG"/>
        </w:rPr>
      </w:pPr>
      <w:r w:rsidRPr="00546307">
        <w:rPr>
          <w:rFonts w:eastAsia="Times New Roman" w:cs="Arial"/>
          <w:i/>
          <w:iCs/>
          <w:color w:val="000000"/>
          <w:lang w:eastAsia="bg-BG"/>
        </w:rPr>
        <w:t>Бременност:</w:t>
      </w:r>
      <w:r w:rsidRPr="00546307">
        <w:rPr>
          <w:rFonts w:eastAsia="Times New Roman" w:cs="Arial"/>
          <w:color w:val="000000"/>
          <w:lang w:eastAsia="bg-BG"/>
        </w:rPr>
        <w:t xml:space="preserve"> Лечение с АСЕ инхибитори като рамиприл или ангиотензин II рецепторни антагонисти </w:t>
      </w:r>
      <w:r w:rsidRPr="00546307">
        <w:rPr>
          <w:rFonts w:eastAsia="Times New Roman" w:cs="Arial"/>
          <w:color w:val="000000"/>
          <w:lang w:val="en-US"/>
        </w:rPr>
        <w:t xml:space="preserve">(AIIRAs) </w:t>
      </w:r>
      <w:r w:rsidRPr="00546307">
        <w:rPr>
          <w:rFonts w:eastAsia="Times New Roman" w:cs="Arial"/>
          <w:color w:val="000000"/>
          <w:lang w:eastAsia="bg-BG"/>
        </w:rPr>
        <w:t xml:space="preserve">не трябва да се започва по време бременност. При пациентките, </w:t>
      </w:r>
      <w:r w:rsidRPr="00546307">
        <w:rPr>
          <w:rFonts w:eastAsia="Times New Roman" w:cs="Arial"/>
          <w:color w:val="000000"/>
          <w:lang w:eastAsia="bg-BG"/>
        </w:rPr>
        <w:lastRenderedPageBreak/>
        <w:t xml:space="preserve">планиращи да забременеят, терапията с АСЕ инхибитори </w:t>
      </w:r>
      <w:r w:rsidRPr="00546307">
        <w:rPr>
          <w:rFonts w:eastAsia="Times New Roman" w:cs="Arial"/>
          <w:color w:val="000000"/>
          <w:lang w:val="en-US"/>
        </w:rPr>
        <w:t xml:space="preserve">/AIIRAs </w:t>
      </w:r>
      <w:r w:rsidRPr="00546307">
        <w:rPr>
          <w:rFonts w:eastAsia="Times New Roman" w:cs="Arial"/>
          <w:color w:val="000000"/>
          <w:lang w:eastAsia="bg-BG"/>
        </w:rPr>
        <w:t xml:space="preserve">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w:t>
      </w:r>
      <w:r w:rsidRPr="00546307">
        <w:rPr>
          <w:rFonts w:eastAsia="Times New Roman" w:cs="Arial"/>
          <w:color w:val="000000"/>
          <w:lang w:val="en-US"/>
        </w:rPr>
        <w:t xml:space="preserve">AIIRAs </w:t>
      </w:r>
      <w:r w:rsidRPr="00546307">
        <w:rPr>
          <w:rFonts w:eastAsia="Times New Roman" w:cs="Arial"/>
          <w:color w:val="000000"/>
          <w:lang w:eastAsia="bg-BG"/>
        </w:rPr>
        <w:t>трябва да бъде спряно незабавно и, ако е уместно, трябва да бъде започната алтернативна терапия (вж. точки 4.3 и 4.6).</w:t>
      </w:r>
    </w:p>
    <w:p w14:paraId="237EC528" w14:textId="77777777" w:rsidR="00546307" w:rsidRPr="00546307" w:rsidRDefault="00546307" w:rsidP="00546307">
      <w:pPr>
        <w:spacing w:line="240" w:lineRule="auto"/>
        <w:rPr>
          <w:rFonts w:eastAsia="Times New Roman" w:cs="Arial"/>
          <w:lang w:eastAsia="bg-BG"/>
        </w:rPr>
      </w:pPr>
    </w:p>
    <w:p w14:paraId="4CE58BC2" w14:textId="773E137E" w:rsidR="00546307" w:rsidRPr="00546307" w:rsidRDefault="00546307" w:rsidP="00546307">
      <w:pPr>
        <w:pStyle w:val="ListParagraph"/>
        <w:numPr>
          <w:ilvl w:val="0"/>
          <w:numId w:val="39"/>
        </w:numPr>
        <w:spacing w:line="240" w:lineRule="auto"/>
        <w:rPr>
          <w:rFonts w:eastAsia="Times New Roman" w:cs="Arial"/>
          <w:lang w:eastAsia="bg-BG"/>
        </w:rPr>
      </w:pPr>
      <w:r w:rsidRPr="00546307">
        <w:rPr>
          <w:rFonts w:eastAsia="Times New Roman" w:cs="Arial"/>
          <w:i/>
          <w:iCs/>
          <w:color w:val="000000"/>
          <w:lang w:eastAsia="bg-BG"/>
        </w:rPr>
        <w:t>Пациенти с особен риск от хипотония</w:t>
      </w:r>
    </w:p>
    <w:p w14:paraId="782C51B2" w14:textId="77777777" w:rsidR="00546307" w:rsidRDefault="00546307" w:rsidP="00546307">
      <w:pPr>
        <w:rPr>
          <w:rFonts w:eastAsia="Times New Roman" w:cs="Arial"/>
          <w:color w:val="000000"/>
          <w:lang w:eastAsia="bg-BG"/>
        </w:rPr>
      </w:pPr>
      <w:r w:rsidRPr="00546307">
        <w:rPr>
          <w:rFonts w:eastAsia="Times New Roman" w:cs="Arial"/>
          <w:i/>
          <w:iCs/>
          <w:color w:val="000000"/>
          <w:lang w:eastAsia="bg-BG"/>
        </w:rPr>
        <w:t xml:space="preserve">Пациенти с повишена активност на ренин-ангиотензин-алдостерон системата </w:t>
      </w:r>
      <w:r w:rsidRPr="00546307">
        <w:rPr>
          <w:rFonts w:eastAsia="Times New Roman" w:cs="Arial"/>
          <w:color w:val="000000"/>
          <w:lang w:eastAsia="bg-BG"/>
        </w:rPr>
        <w:t>Пациенти с повишена активност на ренин-ангиотензин-алдостерон системата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съпътвстващ</w:t>
      </w:r>
      <w:r w:rsidRPr="00546307">
        <w:rPr>
          <w:rFonts w:eastAsia="Times New Roman" w:cs="Arial"/>
          <w:color w:val="000000"/>
          <w:lang w:val="en-US" w:eastAsia="bg-BG"/>
        </w:rPr>
        <w:t xml:space="preserve"> </w:t>
      </w:r>
      <w:r w:rsidRPr="00546307">
        <w:rPr>
          <w:rFonts w:eastAsia="Times New Roman" w:cs="Arial"/>
          <w:color w:val="000000"/>
          <w:lang w:eastAsia="bg-BG"/>
        </w:rPr>
        <w:t>диуретик се приема за пръв път или при начално повишаване на дозата. Значима активност</w:t>
      </w:r>
      <w:r w:rsidRPr="00546307">
        <w:rPr>
          <w:rFonts w:eastAsia="Times New Roman" w:cs="Arial"/>
          <w:color w:val="000000"/>
          <w:lang w:val="en-US" w:eastAsia="bg-BG"/>
        </w:rPr>
        <w:t xml:space="preserve"> </w:t>
      </w:r>
      <w:r w:rsidRPr="00546307">
        <w:rPr>
          <w:rFonts w:eastAsia="Times New Roman" w:cs="Arial"/>
          <w:color w:val="000000"/>
          <w:lang w:eastAsia="bg-BG"/>
        </w:rPr>
        <w:t>на ренин-ангиотензин-алдостерон системата може да се очаква и е необходимо медицинско наблюдение, включващо проследяване на кръвното налягане, например при:</w:t>
      </w:r>
    </w:p>
    <w:p w14:paraId="614F70CC" w14:textId="63B3245D" w:rsidR="00546307" w:rsidRPr="00546307" w:rsidRDefault="00546307" w:rsidP="00546307">
      <w:pPr>
        <w:pStyle w:val="ListParagraph"/>
        <w:numPr>
          <w:ilvl w:val="0"/>
          <w:numId w:val="41"/>
        </w:numPr>
        <w:rPr>
          <w:rFonts w:eastAsia="Times New Roman" w:cs="Arial"/>
          <w:lang w:eastAsia="bg-BG"/>
        </w:rPr>
      </w:pPr>
      <w:r w:rsidRPr="00546307">
        <w:rPr>
          <w:rFonts w:eastAsia="Times New Roman" w:cs="Arial"/>
          <w:color w:val="000000"/>
          <w:lang w:eastAsia="bg-BG"/>
        </w:rPr>
        <w:t>пациенти с тежка хипертония</w:t>
      </w:r>
    </w:p>
    <w:p w14:paraId="4FEFB7AB" w14:textId="77777777"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color w:val="000000"/>
          <w:lang w:eastAsia="bg-BG"/>
        </w:rPr>
        <w:t>пациенти с декомпенсирана застойна сърдечна недостатъчност</w:t>
      </w:r>
    </w:p>
    <w:p w14:paraId="42C4E9BD" w14:textId="77777777"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color w:val="000000"/>
          <w:lang w:eastAsia="bg-BG"/>
        </w:rPr>
        <w:t>пациенти с хемодинамично влошен лявокамерен изходящ или входящ кръвоток (напр. стеноза на аортата или митралната клапа)</w:t>
      </w:r>
    </w:p>
    <w:p w14:paraId="58AD4277" w14:textId="77777777"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color w:val="000000"/>
          <w:lang w:eastAsia="bg-BG"/>
        </w:rPr>
        <w:t>пациенти с едностранна стеноза на бъбречната артерия с втори функциониращ бъбрек</w:t>
      </w:r>
    </w:p>
    <w:p w14:paraId="059759C2" w14:textId="77777777"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color w:val="000000"/>
          <w:lang w:eastAsia="bg-BG"/>
        </w:rPr>
        <w:t>пациенти, при които има или може да настъпи намален обем на телесните течности или соли (включително пациенти, приемащи диуретици)</w:t>
      </w:r>
    </w:p>
    <w:p w14:paraId="5E02B642" w14:textId="77777777"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color w:val="000000"/>
          <w:lang w:eastAsia="bg-BG"/>
        </w:rPr>
        <w:t>пациенти с чернодробна цироза и/или асцит</w:t>
      </w:r>
    </w:p>
    <w:p w14:paraId="480593F4" w14:textId="6283312F"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6ED5FD42" w14:textId="77777777" w:rsidR="00546307" w:rsidRPr="00546307" w:rsidRDefault="00546307" w:rsidP="00546307">
      <w:pPr>
        <w:spacing w:line="240" w:lineRule="auto"/>
        <w:rPr>
          <w:rFonts w:eastAsia="Times New Roman" w:cs="Arial"/>
          <w:color w:val="000000"/>
          <w:lang w:eastAsia="bg-BG"/>
        </w:rPr>
      </w:pPr>
    </w:p>
    <w:p w14:paraId="1909D8FA" w14:textId="2916E82E"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натоварване).</w:t>
      </w:r>
    </w:p>
    <w:p w14:paraId="3076E4D7" w14:textId="77777777" w:rsidR="00546307" w:rsidRPr="00546307" w:rsidRDefault="00546307" w:rsidP="00546307">
      <w:pPr>
        <w:spacing w:line="240" w:lineRule="auto"/>
        <w:rPr>
          <w:rFonts w:eastAsia="Times New Roman" w:cs="Arial"/>
          <w:i/>
          <w:iCs/>
          <w:color w:val="000000"/>
          <w:lang w:eastAsia="bg-BG"/>
        </w:rPr>
      </w:pPr>
    </w:p>
    <w:p w14:paraId="29D5A06D" w14:textId="0E38FD53" w:rsidR="00546307" w:rsidRPr="00546307" w:rsidRDefault="00546307" w:rsidP="00546307">
      <w:pPr>
        <w:pStyle w:val="ListParagraph"/>
        <w:numPr>
          <w:ilvl w:val="0"/>
          <w:numId w:val="41"/>
        </w:numPr>
        <w:spacing w:line="240" w:lineRule="auto"/>
        <w:rPr>
          <w:rFonts w:eastAsia="Times New Roman" w:cs="Arial"/>
          <w:lang w:eastAsia="bg-BG"/>
        </w:rPr>
      </w:pPr>
      <w:r w:rsidRPr="00546307">
        <w:rPr>
          <w:rFonts w:eastAsia="Times New Roman" w:cs="Arial"/>
          <w:i/>
          <w:iCs/>
          <w:color w:val="000000"/>
          <w:lang w:eastAsia="bg-BG"/>
        </w:rPr>
        <w:t>Пациенти, изложени на риск от сърдечна или мозъчна исхемия в случай на остра хипотония</w:t>
      </w:r>
    </w:p>
    <w:p w14:paraId="03783285"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Началото на терапията изисква строг медицински контрол.</w:t>
      </w:r>
    </w:p>
    <w:p w14:paraId="4734C215" w14:textId="77777777" w:rsidR="00546307" w:rsidRPr="00546307" w:rsidRDefault="00546307" w:rsidP="00546307">
      <w:pPr>
        <w:spacing w:line="240" w:lineRule="auto"/>
        <w:rPr>
          <w:rFonts w:eastAsia="Times New Roman" w:cs="Arial"/>
          <w:i/>
          <w:iCs/>
          <w:color w:val="000000"/>
          <w:lang w:eastAsia="bg-BG"/>
        </w:rPr>
      </w:pPr>
    </w:p>
    <w:p w14:paraId="3536BF48" w14:textId="54AE8BC4" w:rsidR="00546307" w:rsidRPr="00546307" w:rsidRDefault="00546307" w:rsidP="00546307">
      <w:pPr>
        <w:pStyle w:val="ListParagraph"/>
        <w:numPr>
          <w:ilvl w:val="0"/>
          <w:numId w:val="39"/>
        </w:numPr>
        <w:spacing w:line="240" w:lineRule="auto"/>
        <w:rPr>
          <w:rFonts w:eastAsia="Times New Roman" w:cs="Arial"/>
          <w:lang w:eastAsia="bg-BG"/>
        </w:rPr>
      </w:pPr>
      <w:r w:rsidRPr="00546307">
        <w:rPr>
          <w:rFonts w:eastAsia="Times New Roman" w:cs="Arial"/>
          <w:i/>
          <w:iCs/>
          <w:color w:val="000000"/>
          <w:lang w:eastAsia="bg-BG"/>
        </w:rPr>
        <w:t>Първичен хипералдостеронизъм</w:t>
      </w:r>
    </w:p>
    <w:p w14:paraId="1054F205"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Комбинацията рамиприл + хидрохлоротиазид не е избор за лечение при първичен хипералдостеронизъм. Ако рамиприл + хидрохлоротиазид се използва при пациенти с първичен хипералдостеронизъм се изисква внимателно проследяване на плазмените нива на калия.</w:t>
      </w:r>
    </w:p>
    <w:p w14:paraId="772813D7" w14:textId="77777777" w:rsidR="00546307" w:rsidRPr="00546307" w:rsidRDefault="00546307" w:rsidP="00546307">
      <w:pPr>
        <w:spacing w:line="240" w:lineRule="auto"/>
        <w:rPr>
          <w:rFonts w:eastAsia="Times New Roman" w:cs="Arial"/>
          <w:i/>
          <w:iCs/>
          <w:color w:val="000000"/>
          <w:lang w:eastAsia="bg-BG"/>
        </w:rPr>
      </w:pPr>
    </w:p>
    <w:p w14:paraId="25D55A86" w14:textId="724C60BC" w:rsidR="00546307" w:rsidRPr="00546307" w:rsidRDefault="00546307" w:rsidP="00546307">
      <w:pPr>
        <w:pStyle w:val="ListParagraph"/>
        <w:numPr>
          <w:ilvl w:val="0"/>
          <w:numId w:val="39"/>
        </w:numPr>
        <w:spacing w:line="240" w:lineRule="auto"/>
        <w:rPr>
          <w:rFonts w:eastAsia="Times New Roman" w:cs="Arial"/>
          <w:lang w:eastAsia="bg-BG"/>
        </w:rPr>
      </w:pPr>
      <w:r w:rsidRPr="00546307">
        <w:rPr>
          <w:rFonts w:eastAsia="Times New Roman" w:cs="Arial"/>
          <w:i/>
          <w:iCs/>
          <w:color w:val="000000"/>
          <w:lang w:eastAsia="bg-BG"/>
        </w:rPr>
        <w:t>Пациенти в старческа възраст</w:t>
      </w:r>
    </w:p>
    <w:p w14:paraId="04FE7CB5"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Вижте точка 4.2.</w:t>
      </w:r>
    </w:p>
    <w:p w14:paraId="61360B86" w14:textId="77777777" w:rsidR="00546307" w:rsidRPr="00546307" w:rsidRDefault="00546307" w:rsidP="00546307">
      <w:pPr>
        <w:spacing w:line="240" w:lineRule="auto"/>
        <w:rPr>
          <w:rFonts w:eastAsia="Times New Roman" w:cs="Arial"/>
          <w:i/>
          <w:iCs/>
          <w:color w:val="000000"/>
          <w:lang w:eastAsia="bg-BG"/>
        </w:rPr>
      </w:pPr>
    </w:p>
    <w:p w14:paraId="3202DDCF" w14:textId="64B725E7" w:rsidR="00546307" w:rsidRPr="00546307" w:rsidRDefault="00546307" w:rsidP="00546307">
      <w:pPr>
        <w:pStyle w:val="ListParagraph"/>
        <w:numPr>
          <w:ilvl w:val="0"/>
          <w:numId w:val="39"/>
        </w:numPr>
        <w:spacing w:line="240" w:lineRule="auto"/>
        <w:rPr>
          <w:rFonts w:eastAsia="Times New Roman" w:cs="Arial"/>
          <w:lang w:eastAsia="bg-BG"/>
        </w:rPr>
      </w:pPr>
      <w:r w:rsidRPr="00546307">
        <w:rPr>
          <w:rFonts w:eastAsia="Times New Roman" w:cs="Arial"/>
          <w:i/>
          <w:iCs/>
          <w:color w:val="000000"/>
          <w:lang w:eastAsia="bg-BG"/>
        </w:rPr>
        <w:t>Пациенти с чернодробно заболяване</w:t>
      </w:r>
    </w:p>
    <w:p w14:paraId="33040E90"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w:t>
      </w:r>
    </w:p>
    <w:p w14:paraId="289FEF96" w14:textId="77777777" w:rsidR="00546307" w:rsidRPr="00546307" w:rsidRDefault="00546307" w:rsidP="00546307">
      <w:pPr>
        <w:spacing w:line="240" w:lineRule="auto"/>
        <w:rPr>
          <w:rFonts w:eastAsia="Times New Roman" w:cs="Arial"/>
          <w:i/>
          <w:iCs/>
          <w:color w:val="000000"/>
          <w:lang w:eastAsia="bg-BG"/>
        </w:rPr>
      </w:pPr>
    </w:p>
    <w:p w14:paraId="3DAF8547" w14:textId="0FB1874B" w:rsidR="00546307" w:rsidRPr="00546307" w:rsidRDefault="00546307" w:rsidP="00546307">
      <w:pPr>
        <w:spacing w:line="240" w:lineRule="auto"/>
        <w:rPr>
          <w:rFonts w:eastAsia="Times New Roman" w:cs="Arial"/>
          <w:lang w:eastAsia="bg-BG"/>
        </w:rPr>
      </w:pPr>
      <w:r w:rsidRPr="00546307">
        <w:rPr>
          <w:rFonts w:eastAsia="Times New Roman" w:cs="Arial"/>
          <w:i/>
          <w:iCs/>
          <w:color w:val="000000"/>
          <w:lang w:eastAsia="bg-BG"/>
        </w:rPr>
        <w:lastRenderedPageBreak/>
        <w:t>Хирургични интервенции</w:t>
      </w:r>
    </w:p>
    <w:p w14:paraId="1198BBE7"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7BC0C3D6" w14:textId="77777777" w:rsidR="00546307" w:rsidRPr="00546307" w:rsidRDefault="00546307" w:rsidP="00546307">
      <w:pPr>
        <w:spacing w:line="240" w:lineRule="auto"/>
        <w:rPr>
          <w:rFonts w:eastAsia="Times New Roman" w:cs="Arial"/>
          <w:i/>
          <w:iCs/>
          <w:color w:val="000000"/>
          <w:u w:val="single"/>
          <w:lang w:eastAsia="bg-BG"/>
        </w:rPr>
      </w:pPr>
    </w:p>
    <w:p w14:paraId="2B6D4EDB" w14:textId="1AB70ED5"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Проследяване на бъбречната функиия</w:t>
      </w:r>
    </w:p>
    <w:p w14:paraId="1B76FB68"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Бъбречната функция трябва да бъде оценена преди и по време на терапията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пациенти със застойна сърдечна недостатъчност или след бъбречна трансплантация, или с реноваскуларно заболяване, включително пациенти с хемодинамично значима едностранна стеноза на бъбречната артерия.</w:t>
      </w:r>
    </w:p>
    <w:p w14:paraId="230FF61C" w14:textId="77777777" w:rsidR="00546307" w:rsidRPr="00546307" w:rsidRDefault="00546307" w:rsidP="00546307">
      <w:pPr>
        <w:spacing w:line="240" w:lineRule="auto"/>
        <w:rPr>
          <w:rFonts w:eastAsia="Times New Roman" w:cs="Arial"/>
          <w:i/>
          <w:iCs/>
          <w:color w:val="000000"/>
          <w:u w:val="single"/>
          <w:lang w:eastAsia="bg-BG"/>
        </w:rPr>
      </w:pPr>
    </w:p>
    <w:p w14:paraId="7CBD8CDC" w14:textId="77777777"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Бъбречни увреждания</w:t>
      </w:r>
    </w:p>
    <w:p w14:paraId="33A2F714" w14:textId="77777777" w:rsidR="00546307" w:rsidRPr="00546307" w:rsidRDefault="00546307" w:rsidP="00546307">
      <w:pPr>
        <w:rPr>
          <w:rFonts w:eastAsia="Times New Roman" w:cs="Arial"/>
          <w:lang w:eastAsia="bg-BG"/>
        </w:rPr>
      </w:pPr>
      <w:r w:rsidRPr="00546307">
        <w:rPr>
          <w:rFonts w:eastAsia="Times New Roman" w:cs="Arial"/>
          <w:color w:val="000000"/>
          <w:lang w:eastAsia="bg-BG"/>
        </w:rPr>
        <w:t>При пациенти с бъбречно заболяване тиазидите могат да предизвикат уремия Кумулативни ефекти на активните вещества могат да се проявят при пациенти с нарушена</w:t>
      </w:r>
      <w:r w:rsidRPr="00546307">
        <w:rPr>
          <w:rFonts w:eastAsia="Times New Roman" w:cs="Arial"/>
          <w:color w:val="000000"/>
          <w:lang w:val="en-US" w:eastAsia="bg-BG"/>
        </w:rPr>
        <w:t xml:space="preserve"> </w:t>
      </w:r>
      <w:r w:rsidRPr="00546307">
        <w:rPr>
          <w:rFonts w:eastAsia="Times New Roman" w:cs="Arial"/>
          <w:color w:val="000000"/>
          <w:lang w:eastAsia="bg-BG"/>
        </w:rPr>
        <w:t>бъбречна функция. Ако настъпи прогресия на бъбречното увреждане, установено чрез повишен небелтъчен азот е необходима внимателна преоценка на терапията с оглед на преустановяване на диуретичната терапия (вж. точка 4.3).</w:t>
      </w:r>
    </w:p>
    <w:p w14:paraId="336D4303" w14:textId="77777777" w:rsidR="00546307" w:rsidRPr="00546307" w:rsidRDefault="00546307" w:rsidP="00546307">
      <w:pPr>
        <w:spacing w:line="240" w:lineRule="auto"/>
        <w:rPr>
          <w:rFonts w:eastAsia="Times New Roman" w:cs="Arial"/>
          <w:i/>
          <w:iCs/>
          <w:color w:val="000000"/>
          <w:u w:val="single"/>
          <w:lang w:eastAsia="bg-BG"/>
        </w:rPr>
      </w:pPr>
    </w:p>
    <w:p w14:paraId="0DED85A6" w14:textId="15E5FED1"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Електролитен дисбаланс</w:t>
      </w:r>
    </w:p>
    <w:p w14:paraId="6C2CDA70"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Необходимо е да се извършва периодично изследване на серумните електролити през подходящи интервали, както при всеки пациент, приемащ диуретична терапия. Тиазидите, включително хидрохлоротиазид, могат да причинят дисбаланс на телесните течности или електролитен дисбаланс (хипокалиемия, хипонатриемия и хипохлоремична алкалоза). Въпреки че хипокалиемия може да се развие при употребата на тиазидни диуретици, съпътстващата терапия с рамиприл може да намали диуретик-индуцираната хипокалиемия. Рискът от хипокалиемия е най-голям при пациенти с чернодробна цироза, при пациенти с форсирана диуреза, при пациенти, приемащи неподходящи електролити, и при пациенти, приемащи съпътстваща терапия с кортикостероиди или АКТХ (вж. точка 4.5). Първото определяне на плазмените нива на калия трябва да се извърши през първата седмица след започване на лечението. Препоръчва се коригиране, ако се установи ниско ниво на калия. Може да настъпи дилутационна хипонатриемия. В началото пониженото ниво на натрия може да бъде асимптомно и поради това е важно редовното му изследване. Изследването трябва да е по-често при пациенти в старческа възраст и циротични пациенти. Тиазидите водят до повишена екскреция на магнезий в урината, което може да доведе до хипомагнезиемия.</w:t>
      </w:r>
    </w:p>
    <w:p w14:paraId="6D5A77FD" w14:textId="77777777" w:rsidR="00546307" w:rsidRPr="00546307" w:rsidRDefault="00546307" w:rsidP="00546307">
      <w:pPr>
        <w:spacing w:line="240" w:lineRule="auto"/>
        <w:rPr>
          <w:rFonts w:eastAsia="Times New Roman" w:cs="Arial"/>
          <w:i/>
          <w:iCs/>
          <w:color w:val="000000"/>
          <w:u w:val="single"/>
          <w:lang w:eastAsia="bg-BG"/>
        </w:rPr>
      </w:pPr>
    </w:p>
    <w:p w14:paraId="0FC4F02E" w14:textId="01B08E94"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Серумен калий</w:t>
      </w:r>
    </w:p>
    <w:p w14:paraId="113EC0FF"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АСЕ инхибиторите могат да причинят хиперкалиемия, тъй като инхибират освобождаването на алдостерон. Ефектът обикновено не е значим при пациенти с нормална бъбречна функция. Въпреки това, при пациенти с увредена бъбречна функция, захарен диабет и/или при пациенти, които приемат калиеви добавки (включително заместители на солта), калий-съхраняващи диуретици, хепарин, триметоприм или ко- тримоксазол, известен също като триметоприм/ сулфаметоксазол, и особено алдостеронови антагонисти или ангиотензин-рецепторни блокери, може да се появи хиперкалиемия. Калий-съхраняващите диуретици и ангиотензин-рецепторните блокери трябва да бъдат използвани с внимание при пациенти, които получават АСЕ инхибитори, </w:t>
      </w:r>
      <w:r w:rsidRPr="00546307">
        <w:rPr>
          <w:rFonts w:eastAsia="Times New Roman" w:cs="Arial"/>
          <w:color w:val="000000"/>
          <w:lang w:eastAsia="bg-BG"/>
        </w:rPr>
        <w:lastRenderedPageBreak/>
        <w:t>а серумният калий и бъбречната функция трябва да бъдат проследявани (вижте точка 4.5).</w:t>
      </w:r>
    </w:p>
    <w:p w14:paraId="12E96A7B" w14:textId="77777777" w:rsidR="00546307" w:rsidRPr="00546307" w:rsidRDefault="00546307" w:rsidP="00546307">
      <w:pPr>
        <w:spacing w:line="240" w:lineRule="auto"/>
        <w:rPr>
          <w:rFonts w:eastAsia="Times New Roman" w:cs="Arial"/>
          <w:i/>
          <w:iCs/>
          <w:color w:val="000000"/>
          <w:u w:val="single"/>
          <w:lang w:eastAsia="bg-BG"/>
        </w:rPr>
      </w:pPr>
    </w:p>
    <w:p w14:paraId="2F7EB787" w14:textId="7AA47A01"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Хипонатриемия</w:t>
      </w:r>
    </w:p>
    <w:p w14:paraId="2B53750F" w14:textId="42BA15E8"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Синдром на неподходяща секреция на антидиуретичен хормон </w:t>
      </w:r>
      <w:r w:rsidRPr="00546307">
        <w:rPr>
          <w:rFonts w:eastAsia="Times New Roman" w:cs="Arial"/>
          <w:color w:val="000000"/>
          <w:lang w:val="en-US"/>
        </w:rPr>
        <w:t xml:space="preserve">(SIADH) </w:t>
      </w:r>
      <w:r w:rsidRPr="00546307">
        <w:rPr>
          <w:rFonts w:eastAsia="Times New Roman" w:cs="Arial"/>
          <w:color w:val="000000"/>
          <w:lang w:eastAsia="bg-BG"/>
        </w:rPr>
        <w:t>и последваща хипонатриемия са наблюдавани при някои пациенти, лекувани с рамиприл. Препоръчва се нивата на натрий да бъдат проследявани регулярно при пациенти в старческа възраст и други пациенти с риск от хипонатриемия.</w:t>
      </w:r>
    </w:p>
    <w:p w14:paraId="5AA36025" w14:textId="77777777" w:rsidR="00546307" w:rsidRPr="00546307" w:rsidRDefault="00546307" w:rsidP="00546307">
      <w:pPr>
        <w:spacing w:line="240" w:lineRule="auto"/>
        <w:rPr>
          <w:rFonts w:eastAsia="Times New Roman" w:cs="Arial"/>
          <w:i/>
          <w:iCs/>
          <w:color w:val="000000"/>
          <w:u w:val="single"/>
          <w:lang w:eastAsia="bg-BG"/>
        </w:rPr>
      </w:pPr>
    </w:p>
    <w:p w14:paraId="3BBE9113" w14:textId="1FA6BCBD"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Чернодробна ениефалопатия</w:t>
      </w:r>
    </w:p>
    <w:p w14:paraId="18D04A77"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Електролитни нарушения поради диуретична терапия, включително хидрохлоротиазид, могат да причинят чернодробна енцефалопатия при пациенти с чернодробно заболяване. В случай на чернодробна енцефалопатия лечението трябва да се прекрати незабавно.</w:t>
      </w:r>
    </w:p>
    <w:p w14:paraId="18403AE9" w14:textId="77777777" w:rsidR="00546307" w:rsidRPr="00546307" w:rsidRDefault="00546307" w:rsidP="00546307">
      <w:pPr>
        <w:spacing w:line="240" w:lineRule="auto"/>
        <w:rPr>
          <w:rFonts w:eastAsia="Times New Roman" w:cs="Arial"/>
          <w:i/>
          <w:iCs/>
          <w:color w:val="000000"/>
          <w:u w:val="single"/>
          <w:lang w:eastAsia="bg-BG"/>
        </w:rPr>
      </w:pPr>
    </w:p>
    <w:p w14:paraId="09C5726D" w14:textId="48AC6234"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Хиперкалииемия</w:t>
      </w:r>
    </w:p>
    <w:p w14:paraId="76C3861A"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Хидрохлоротиазидът стимулира бъбречната реабсорбция на калция и може да причини хиперкалциемия. Това може да попречи при изследване на паратиреоидната функци</w:t>
      </w:r>
      <w:r w:rsidRPr="00546307">
        <w:rPr>
          <w:rFonts w:eastAsia="Times New Roman" w:cs="Arial"/>
          <w:color w:val="000000"/>
          <w:u w:val="single"/>
          <w:lang w:eastAsia="bg-BG"/>
        </w:rPr>
        <w:t>я.</w:t>
      </w:r>
    </w:p>
    <w:p w14:paraId="4B13C446" w14:textId="77777777" w:rsidR="00546307" w:rsidRPr="00546307" w:rsidRDefault="00546307" w:rsidP="00546307">
      <w:pPr>
        <w:spacing w:line="240" w:lineRule="auto"/>
        <w:rPr>
          <w:rFonts w:eastAsia="Times New Roman" w:cs="Arial"/>
          <w:i/>
          <w:iCs/>
          <w:color w:val="000000"/>
          <w:u w:val="single"/>
          <w:lang w:eastAsia="bg-BG"/>
        </w:rPr>
      </w:pPr>
    </w:p>
    <w:p w14:paraId="45FC90BA" w14:textId="7320C433"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Свръхчувствителност/ ангиоедем</w:t>
      </w:r>
    </w:p>
    <w:p w14:paraId="2731A59C"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Съвместната употреба на АСЕ инхибитори със сакубтрил/валсартан е противопоказана поради повишен риск от ангиоедем. Лечението със сакубтрил/валсартан не трябва да бъде започвано по-рано от </w:t>
      </w:r>
      <w:r w:rsidRPr="00546307">
        <w:rPr>
          <w:rFonts w:eastAsia="Times New Roman" w:cs="Arial"/>
          <w:i/>
          <w:iCs/>
          <w:color w:val="000000"/>
          <w:lang w:eastAsia="bg-BG"/>
        </w:rPr>
        <w:t>36</w:t>
      </w:r>
      <w:r w:rsidRPr="00546307">
        <w:rPr>
          <w:rFonts w:eastAsia="Times New Roman" w:cs="Arial"/>
          <w:color w:val="000000"/>
          <w:lang w:eastAsia="bg-BG"/>
        </w:rPr>
        <w:t xml:space="preserve"> часа след последната доза рамиприл. Лечението с рамиприл не трябва да бъде започвано по-рано от 36 часа след последната доза сакубтрил/валсартан (вижте точки 4.3 и 4.5).</w:t>
      </w:r>
    </w:p>
    <w:p w14:paraId="0B534A76" w14:textId="77777777" w:rsidR="00546307" w:rsidRPr="00546307" w:rsidRDefault="00546307" w:rsidP="00546307">
      <w:pPr>
        <w:spacing w:line="240" w:lineRule="auto"/>
        <w:rPr>
          <w:rFonts w:eastAsia="Times New Roman" w:cs="Arial"/>
          <w:color w:val="000000"/>
          <w:lang w:eastAsia="bg-BG"/>
        </w:rPr>
      </w:pPr>
    </w:p>
    <w:p w14:paraId="36AB1209" w14:textId="11FBFE31"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Съвместната употреба на АСЕ инхибитори с рацекадотрил, </w:t>
      </w:r>
      <w:r w:rsidRPr="00546307">
        <w:rPr>
          <w:rFonts w:eastAsia="Times New Roman" w:cs="Arial"/>
          <w:color w:val="000000"/>
          <w:lang w:val="en-US"/>
        </w:rPr>
        <w:t xml:space="preserve">mTOR </w:t>
      </w:r>
      <w:r w:rsidRPr="00546307">
        <w:rPr>
          <w:rFonts w:eastAsia="Times New Roman" w:cs="Arial"/>
          <w:color w:val="000000"/>
          <w:lang w:eastAsia="bg-BG"/>
        </w:rPr>
        <w:t xml:space="preserve">инхибитори (като сиролимус, еверолимус, темзиролимус) и вилдаглиптин може да доведе до повишен риск от ангиоедем (например, оток на дихателните пътища или езика, със или без дихателно увреждане) (вижте точка 4.5). Необходимо е внимание при започване на инхибитори на неприлизин </w:t>
      </w:r>
      <w:r w:rsidRPr="00546307">
        <w:rPr>
          <w:rFonts w:eastAsia="Times New Roman" w:cs="Arial"/>
          <w:color w:val="000000"/>
          <w:lang w:val="en-US"/>
        </w:rPr>
        <w:t xml:space="preserve">(NEP) </w:t>
      </w:r>
      <w:r w:rsidRPr="00546307">
        <w:rPr>
          <w:rFonts w:eastAsia="Times New Roman" w:cs="Arial"/>
          <w:color w:val="000000"/>
          <w:lang w:eastAsia="bg-BG"/>
        </w:rPr>
        <w:t xml:space="preserve">(напр. рацекадотрил), </w:t>
      </w:r>
      <w:r w:rsidRPr="00546307">
        <w:rPr>
          <w:rFonts w:eastAsia="Times New Roman" w:cs="Arial"/>
          <w:color w:val="000000"/>
          <w:lang w:val="en-US"/>
        </w:rPr>
        <w:t xml:space="preserve">mTOR </w:t>
      </w:r>
      <w:r w:rsidRPr="00546307">
        <w:rPr>
          <w:rFonts w:eastAsia="Times New Roman" w:cs="Arial"/>
          <w:color w:val="000000"/>
          <w:lang w:eastAsia="bg-BG"/>
        </w:rPr>
        <w:t>инхибитори (като сиролимус, еверолимус, темзиролимус) и вилдаглиптин при пациенти, които вече приемат АСЕ инхибитор.</w:t>
      </w:r>
    </w:p>
    <w:p w14:paraId="11322493" w14:textId="77777777" w:rsidR="00546307" w:rsidRPr="00546307" w:rsidRDefault="00546307" w:rsidP="00546307">
      <w:pPr>
        <w:spacing w:line="240" w:lineRule="auto"/>
        <w:rPr>
          <w:rFonts w:eastAsia="Times New Roman" w:cs="Arial"/>
          <w:color w:val="000000"/>
          <w:lang w:eastAsia="bg-BG"/>
        </w:rPr>
      </w:pPr>
    </w:p>
    <w:p w14:paraId="5BDFBE3B" w14:textId="155C4E3D"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В случай на ангиоедем приемът на Рамимед НСТ трябва да се прекрати.</w:t>
      </w:r>
    </w:p>
    <w:p w14:paraId="3191CAE8"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7E40AC15" w14:textId="77777777" w:rsidR="00546307" w:rsidRPr="00546307" w:rsidRDefault="00546307" w:rsidP="00546307">
      <w:pPr>
        <w:spacing w:line="240" w:lineRule="auto"/>
        <w:rPr>
          <w:rFonts w:eastAsia="Times New Roman" w:cs="Arial"/>
          <w:color w:val="000000"/>
          <w:lang w:eastAsia="bg-BG"/>
        </w:rPr>
      </w:pPr>
    </w:p>
    <w:p w14:paraId="4121E838" w14:textId="4BB1C789"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Интестинален ангиоедем е съобщаван при пациенти, лекувани с АСЕ инхибитори, включително Рамимед НСТ (вж. точка 4.8). При тези пациенти се наблюдава абдоминална болка (с или без гадене и повръщане).</w:t>
      </w:r>
    </w:p>
    <w:p w14:paraId="4CD68030"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Чревните симптоми на ангиоедем изчезват след преустановяване приема на АСЕ инхибитор.</w:t>
      </w:r>
    </w:p>
    <w:p w14:paraId="06825A34" w14:textId="77777777" w:rsidR="00546307" w:rsidRPr="00546307" w:rsidRDefault="00546307" w:rsidP="00546307">
      <w:pPr>
        <w:spacing w:line="240" w:lineRule="auto"/>
        <w:rPr>
          <w:rFonts w:eastAsia="Times New Roman" w:cs="Arial"/>
          <w:i/>
          <w:iCs/>
          <w:color w:val="000000"/>
          <w:u w:val="single"/>
          <w:lang w:eastAsia="bg-BG"/>
        </w:rPr>
      </w:pPr>
    </w:p>
    <w:p w14:paraId="5C009517" w14:textId="12168F41"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Анафилактични реакиии по време на десенсибилизиране</w:t>
      </w:r>
    </w:p>
    <w:p w14:paraId="1D648387"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са повишени при АСЕ инхибиране. Трябва да се има предвид временно прекъсване на Рамимед НСТ преди десенсибилизация.</w:t>
      </w:r>
    </w:p>
    <w:p w14:paraId="79F4845D" w14:textId="77777777" w:rsidR="00546307" w:rsidRPr="00546307" w:rsidRDefault="00546307" w:rsidP="00546307">
      <w:pPr>
        <w:spacing w:line="240" w:lineRule="auto"/>
        <w:rPr>
          <w:rFonts w:eastAsia="Times New Roman" w:cs="Arial"/>
          <w:i/>
          <w:iCs/>
          <w:color w:val="000000"/>
          <w:u w:val="single"/>
          <w:lang w:eastAsia="bg-BG"/>
        </w:rPr>
      </w:pPr>
    </w:p>
    <w:p w14:paraId="3416824C" w14:textId="51CB2919"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Неутропения/агранулоиитоза</w:t>
      </w:r>
    </w:p>
    <w:p w14:paraId="5E91768C"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Рядко са наблюдавани неутропения/агранулоцитоза, съобщавана е също и костно-мозъчна супресия. Препоръчва се проследяване на броя бели кръвни клетки, за да се </w:t>
      </w:r>
      <w:r w:rsidRPr="00546307">
        <w:rPr>
          <w:rFonts w:eastAsia="Times New Roman" w:cs="Arial"/>
          <w:color w:val="000000"/>
          <w:lang w:eastAsia="bg-BG"/>
        </w:rPr>
        <w:lastRenderedPageBreak/>
        <w:t xml:space="preserve">установи евентуална левкопения. По-често проследяване се препоръчва в началото на лечението и при пациенти с нарушена бъбречна функция, при такива със съпътстваща колагеноза (напр. лупус еритематодес или склеродермия) и при лекувани </w:t>
      </w:r>
      <w:r w:rsidRPr="00546307">
        <w:rPr>
          <w:rFonts w:eastAsia="Times New Roman" w:cs="Arial"/>
          <w:i/>
          <w:iCs/>
          <w:color w:val="000000"/>
          <w:lang w:eastAsia="bg-BG"/>
        </w:rPr>
        <w:t>с</w:t>
      </w:r>
      <w:r w:rsidRPr="00546307">
        <w:rPr>
          <w:rFonts w:eastAsia="Times New Roman" w:cs="Arial"/>
          <w:color w:val="000000"/>
          <w:lang w:eastAsia="bg-BG"/>
        </w:rPr>
        <w:t xml:space="preserve"> други лекарствени продукти, които могат да причинят промени в кръвната картина (вж. точка 4.5 </w:t>
      </w:r>
      <w:r w:rsidRPr="00546307">
        <w:rPr>
          <w:rFonts w:eastAsia="Times New Roman" w:cs="Arial"/>
          <w:i/>
          <w:iCs/>
          <w:color w:val="000000"/>
          <w:lang w:eastAsia="bg-BG"/>
        </w:rPr>
        <w:t>и</w:t>
      </w:r>
      <w:r w:rsidRPr="00546307">
        <w:rPr>
          <w:rFonts w:eastAsia="Times New Roman" w:cs="Arial"/>
          <w:color w:val="000000"/>
          <w:lang w:eastAsia="bg-BG"/>
        </w:rPr>
        <w:t xml:space="preserve"> 4.8).</w:t>
      </w:r>
    </w:p>
    <w:p w14:paraId="327E39C5" w14:textId="77777777" w:rsidR="00546307" w:rsidRPr="00546307" w:rsidRDefault="00546307" w:rsidP="00546307">
      <w:pPr>
        <w:spacing w:line="240" w:lineRule="auto"/>
        <w:rPr>
          <w:rFonts w:eastAsia="Times New Roman" w:cs="Arial"/>
          <w:i/>
          <w:iCs/>
          <w:color w:val="000000"/>
          <w:u w:val="single"/>
          <w:lang w:eastAsia="bg-BG"/>
        </w:rPr>
      </w:pPr>
    </w:p>
    <w:p w14:paraId="0D7DCA01" w14:textId="3486CD49"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Хороидален излив, остра миопатия и закритоъгълна глаукома</w:t>
      </w:r>
    </w:p>
    <w:p w14:paraId="2DBB467B"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Хидрохлоротиазид, като сулфонамид, може да причини идиосинкратична реакция, която да доведе до хороидален излив с дефект на зрителното поле, остра преходна миопатия и остра закритоъгълна глаукома. Симптомите включват остро начало на намалена зрителна острота или очна болка и обикновено се проявяват в рамките на първите часове до седмици от започване на лечението. Нелекувана острата закритоъгълна глаукома може да доведе до постоянна загуба на зрението. Първичното лечение е да се преустанови приемът на хидрохлоротиазид възможно най-бързо. Може да се наложи обмисляне на незабавно медицинско или хирургично лечение, ако вътреочното налягане остане неконтролирано. Рисковите фактори за развиване на закритоъгълна глаукома могат да включват анамнеза за алергии към сулфонамид или пеницилин.</w:t>
      </w:r>
    </w:p>
    <w:p w14:paraId="1D216A1B" w14:textId="77777777" w:rsidR="00546307" w:rsidRPr="00546307" w:rsidRDefault="00546307" w:rsidP="00546307">
      <w:pPr>
        <w:spacing w:line="240" w:lineRule="auto"/>
        <w:rPr>
          <w:rFonts w:eastAsia="Times New Roman" w:cs="Arial"/>
          <w:i/>
          <w:iCs/>
          <w:color w:val="000000"/>
          <w:u w:val="single"/>
          <w:lang w:eastAsia="bg-BG"/>
        </w:rPr>
      </w:pPr>
    </w:p>
    <w:p w14:paraId="048BA66B" w14:textId="2F7B02A6"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Етнически различия</w:t>
      </w:r>
    </w:p>
    <w:p w14:paraId="30DF9A4A" w14:textId="25F05272" w:rsidR="00546307" w:rsidRPr="00546307" w:rsidRDefault="00546307" w:rsidP="00546307">
      <w:pPr>
        <w:spacing w:line="240" w:lineRule="auto"/>
        <w:rPr>
          <w:rFonts w:eastAsia="Times New Roman" w:cs="Arial"/>
          <w:color w:val="000000"/>
          <w:lang w:eastAsia="bg-BG"/>
        </w:rPr>
      </w:pPr>
      <w:r w:rsidRPr="00546307">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0F97A194" w14:textId="471E6D27" w:rsidR="00546307" w:rsidRPr="00546307" w:rsidRDefault="00546307" w:rsidP="00546307">
      <w:pPr>
        <w:spacing w:line="240" w:lineRule="auto"/>
        <w:rPr>
          <w:rFonts w:eastAsia="Times New Roman" w:cs="Arial"/>
          <w:color w:val="000000"/>
          <w:lang w:eastAsia="bg-BG"/>
        </w:rPr>
      </w:pPr>
    </w:p>
    <w:p w14:paraId="3AC9591B"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1C309A08" w14:textId="77777777" w:rsidR="00546307" w:rsidRPr="00546307" w:rsidRDefault="00546307" w:rsidP="00546307">
      <w:pPr>
        <w:spacing w:line="240" w:lineRule="auto"/>
        <w:rPr>
          <w:rFonts w:eastAsia="Times New Roman" w:cs="Arial"/>
          <w:i/>
          <w:iCs/>
          <w:color w:val="000000"/>
          <w:u w:val="single"/>
          <w:lang w:eastAsia="bg-BG"/>
        </w:rPr>
      </w:pPr>
    </w:p>
    <w:p w14:paraId="596C25D1" w14:textId="601EE47E"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Спортисти</w:t>
      </w:r>
    </w:p>
    <w:p w14:paraId="24F3A7EE"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Хидрохлоротиазид може да даде положителен аналитичен резултат при антидопинг тестовете.</w:t>
      </w:r>
    </w:p>
    <w:p w14:paraId="695AB6F1" w14:textId="77777777" w:rsidR="00546307" w:rsidRPr="00546307" w:rsidRDefault="00546307" w:rsidP="00546307">
      <w:pPr>
        <w:spacing w:line="240" w:lineRule="auto"/>
        <w:rPr>
          <w:rFonts w:eastAsia="Times New Roman" w:cs="Arial"/>
          <w:i/>
          <w:iCs/>
          <w:color w:val="000000"/>
          <w:u w:val="single"/>
          <w:lang w:eastAsia="bg-BG"/>
        </w:rPr>
      </w:pPr>
    </w:p>
    <w:p w14:paraId="327E299B" w14:textId="0F91D9BC"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Метаболитни и ендокринни ефекти</w:t>
      </w:r>
    </w:p>
    <w:p w14:paraId="2D0EF87A"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Тиазидната терапия може да наруши глюкозния толеранс. При пациенти с диабет може да се наложи коригиране на дозата на инсулина или пероралните антидиабетни средства. Латентен захарен диабет може да се прояви по време на тиазидната терапия.</w:t>
      </w:r>
    </w:p>
    <w:p w14:paraId="325F19A4"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Повишени нива на холестерола и триглицеридите се свързват с тиазидна диуретична терапия. Може да настъпи хиперурикемия или да се ускори възникването на подагра при някои пациенти, приемащи тиазидна терапия.</w:t>
      </w:r>
    </w:p>
    <w:p w14:paraId="4136A92A" w14:textId="77777777" w:rsidR="00546307" w:rsidRPr="00546307" w:rsidRDefault="00546307" w:rsidP="00546307">
      <w:pPr>
        <w:spacing w:line="240" w:lineRule="auto"/>
        <w:rPr>
          <w:rFonts w:eastAsia="Times New Roman" w:cs="Arial"/>
          <w:i/>
          <w:iCs/>
          <w:color w:val="000000"/>
          <w:u w:val="single"/>
          <w:lang w:eastAsia="bg-BG"/>
        </w:rPr>
      </w:pPr>
    </w:p>
    <w:p w14:paraId="056780B3" w14:textId="58293DDA"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Кашлииа</w:t>
      </w:r>
    </w:p>
    <w:p w14:paraId="6EC0F784"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w:t>
      </w:r>
    </w:p>
    <w:p w14:paraId="6E15F40B" w14:textId="77777777" w:rsidR="00546307" w:rsidRPr="00546307" w:rsidRDefault="00546307" w:rsidP="00546307">
      <w:pPr>
        <w:spacing w:line="240" w:lineRule="auto"/>
        <w:rPr>
          <w:rFonts w:eastAsia="Times New Roman" w:cs="Arial"/>
          <w:i/>
          <w:iCs/>
          <w:color w:val="000000"/>
          <w:u w:val="single"/>
          <w:lang w:eastAsia="bg-BG"/>
        </w:rPr>
      </w:pPr>
    </w:p>
    <w:p w14:paraId="7BE46E66" w14:textId="69048958"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Други</w:t>
      </w:r>
    </w:p>
    <w:p w14:paraId="056C2B2E"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Реакции на сенсибилизация могат да се проявят при пациенти с или без анамнеза за алергия или бронхиална астма. Съобщава се за възможност от обостряне или активиране на системен еритематозен лупус.</w:t>
      </w:r>
    </w:p>
    <w:p w14:paraId="4CC75423" w14:textId="77777777" w:rsidR="00546307" w:rsidRPr="00546307" w:rsidRDefault="00546307" w:rsidP="00546307">
      <w:pPr>
        <w:spacing w:line="240" w:lineRule="auto"/>
        <w:rPr>
          <w:rFonts w:eastAsia="Times New Roman" w:cs="Arial"/>
          <w:i/>
          <w:iCs/>
          <w:color w:val="000000"/>
          <w:u w:val="single"/>
          <w:lang w:eastAsia="bg-BG"/>
        </w:rPr>
      </w:pPr>
    </w:p>
    <w:p w14:paraId="21C13B63" w14:textId="5B404C98"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Двойна блокада наренин-ангиотензин-алдостерон системата (РААС)</w:t>
      </w:r>
    </w:p>
    <w:p w14:paraId="0D0FF6DF"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lastRenderedPageBreak/>
        <w:t>При чувствителни пациенти, като резултат от инхибирането на ренин-ангиотензин- алдостерон системата, особено ако са комбинирани лекарствени продукти, които повлияват тази система, са докладвани хипотония, синкоп, хиперкалиемия и промени в бъбречната функция (включително остра бъбречна недостатъчност). Поради тази причина не се препоръчва двойна блокада на ренин-ангиотензин-алдостерон системата (например чрез прием на рамиприл с други блокери на ренин-ангиотензин-алдостерон системата). Ако съвместното приложение се счита за необходимо се препоръчва проследяване на бъбречната функция.</w:t>
      </w:r>
    </w:p>
    <w:p w14:paraId="387E7B70"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Има данни, че едновременната употреба на АСЕ инхибитори, ангиотензин </w:t>
      </w:r>
      <w:r w:rsidRPr="00546307">
        <w:rPr>
          <w:rFonts w:eastAsia="Times New Roman" w:cs="Arial"/>
          <w:color w:val="000000"/>
          <w:lang w:val="en-US"/>
        </w:rPr>
        <w:t>II</w:t>
      </w:r>
      <w:r w:rsidRPr="00546307">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546307">
        <w:rPr>
          <w:rFonts w:eastAsia="Times New Roman" w:cs="Arial"/>
          <w:color w:val="000000"/>
          <w:lang w:val="en-US"/>
        </w:rPr>
        <w:t>II</w:t>
      </w:r>
      <w:r w:rsidRPr="00546307">
        <w:rPr>
          <w:rFonts w:eastAsia="Times New Roman" w:cs="Arial"/>
          <w:color w:val="000000"/>
          <w:lang w:eastAsia="bg-BG"/>
        </w:rPr>
        <w:t>-рецепторни блокери или алискирен (вж. точки 4.5 и 5.1).</w:t>
      </w:r>
    </w:p>
    <w:p w14:paraId="67525AE4"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5D75C98C"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АСЕ инхибитори и ангиотензин </w:t>
      </w:r>
      <w:r w:rsidRPr="00546307">
        <w:rPr>
          <w:rFonts w:eastAsia="Times New Roman" w:cs="Arial"/>
          <w:color w:val="000000"/>
          <w:lang w:val="en-US"/>
        </w:rPr>
        <w:t>II</w:t>
      </w:r>
      <w:r w:rsidRPr="00546307">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3C3FF6FA" w14:textId="77777777" w:rsidR="00546307" w:rsidRPr="00546307" w:rsidRDefault="00546307" w:rsidP="00546307">
      <w:pPr>
        <w:spacing w:line="240" w:lineRule="auto"/>
        <w:rPr>
          <w:rFonts w:eastAsia="Times New Roman" w:cs="Arial"/>
          <w:i/>
          <w:iCs/>
          <w:color w:val="000000"/>
          <w:u w:val="single"/>
          <w:lang w:eastAsia="bg-BG"/>
        </w:rPr>
      </w:pPr>
    </w:p>
    <w:p w14:paraId="0AC1EF35" w14:textId="15F3924B" w:rsidR="00546307" w:rsidRPr="00546307" w:rsidRDefault="00546307" w:rsidP="00546307">
      <w:pPr>
        <w:spacing w:line="240" w:lineRule="auto"/>
        <w:rPr>
          <w:rFonts w:eastAsia="Times New Roman" w:cs="Arial"/>
          <w:lang w:eastAsia="bg-BG"/>
        </w:rPr>
      </w:pPr>
      <w:r w:rsidRPr="00546307">
        <w:rPr>
          <w:rFonts w:eastAsia="Times New Roman" w:cs="Arial"/>
          <w:i/>
          <w:iCs/>
          <w:color w:val="000000"/>
          <w:u w:val="single"/>
          <w:lang w:eastAsia="bg-BG"/>
        </w:rPr>
        <w:t>Немеланомен рак на кожата</w:t>
      </w:r>
    </w:p>
    <w:p w14:paraId="47AF4776" w14:textId="77777777" w:rsidR="00546307" w:rsidRPr="00546307" w:rsidRDefault="00546307" w:rsidP="00546307">
      <w:pPr>
        <w:rPr>
          <w:rFonts w:eastAsia="Times New Roman" w:cs="Arial"/>
          <w:lang w:eastAsia="bg-BG"/>
        </w:rPr>
      </w:pPr>
      <w:r w:rsidRPr="00546307">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w:t>
      </w:r>
      <w:r w:rsidRPr="00546307">
        <w:rPr>
          <w:rFonts w:eastAsia="Times New Roman" w:cs="Arial"/>
          <w:color w:val="000000"/>
          <w:lang w:val="en-US" w:eastAsia="bg-BG"/>
        </w:rPr>
        <w:t xml:space="preserve"> </w:t>
      </w:r>
      <w:r w:rsidRPr="00546307">
        <w:rPr>
          <w:rFonts w:eastAsia="Times New Roman" w:cs="Arial"/>
          <w:color w:val="000000"/>
          <w:lang w:eastAsia="bg-BG"/>
        </w:rPr>
        <w:t xml:space="preserve">карцином (БКК) </w:t>
      </w:r>
      <w:r w:rsidRPr="00546307">
        <w:rPr>
          <w:rFonts w:eastAsia="Times New Roman" w:cs="Arial"/>
          <w:i/>
          <w:iCs/>
          <w:color w:val="000000"/>
          <w:lang w:eastAsia="bg-BG"/>
        </w:rPr>
        <w:t>и</w:t>
      </w:r>
      <w:r w:rsidRPr="00546307">
        <w:rPr>
          <w:rFonts w:eastAsia="Times New Roman" w:cs="Arial"/>
          <w:color w:val="000000"/>
          <w:lang w:eastAsia="bg-BG"/>
        </w:rPr>
        <w:t xml:space="preserve"> сквамозноклетъчен карцином (СКК)] при нарастваща експозиция на кумулативна доза хидрохлоротиазид (ХХТЗ). Фотосенсибилизиращите ефекти на ХХЗТ могат да действат като вероятен механизъм на развитие на НМРК.</w:t>
      </w:r>
    </w:p>
    <w:p w14:paraId="2A556790"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попдозрителни кожни лезии. На пациентите трябва да се препоръчат възможни превантирни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w:t>
      </w:r>
    </w:p>
    <w:p w14:paraId="2972D628"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Подозрителните кожни лезии трябва да бъдат попдложени на незабавно изследване, потенциално включващо хистологични изследванияна биопсични материали. Преразглеждане на употребата на ХХТЗ може да се наложи и при пациенти, които са имали предходен НМРК (вж. също точка 4.8).</w:t>
      </w:r>
    </w:p>
    <w:p w14:paraId="21DA8642" w14:textId="77777777" w:rsidR="00546307" w:rsidRPr="00546307" w:rsidRDefault="00546307" w:rsidP="00546307">
      <w:pPr>
        <w:spacing w:line="240" w:lineRule="auto"/>
        <w:rPr>
          <w:rFonts w:eastAsia="Times New Roman" w:cs="Arial"/>
          <w:color w:val="000000"/>
          <w:lang w:eastAsia="bg-BG"/>
        </w:rPr>
      </w:pPr>
    </w:p>
    <w:p w14:paraId="358E8404" w14:textId="464D62F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Този лекарствен продукт съдържа лактоза монохидрат.</w:t>
      </w:r>
    </w:p>
    <w:p w14:paraId="376B4BDF" w14:textId="77777777"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Пациентите с редки наследствени проблеми като галактозна непоносимост, </w:t>
      </w:r>
      <w:r w:rsidRPr="00546307">
        <w:rPr>
          <w:rFonts w:eastAsia="Times New Roman" w:cs="Arial"/>
          <w:color w:val="000000"/>
          <w:lang w:val="en-US"/>
        </w:rPr>
        <w:t>L</w:t>
      </w:r>
      <w:r w:rsidRPr="00546307">
        <w:rPr>
          <w:rFonts w:eastAsia="Times New Roman" w:cs="Arial"/>
          <w:color w:val="000000"/>
          <w:lang w:eastAsia="bg-BG"/>
        </w:rPr>
        <w:t>арр-лактазен дефицит или глюкозно-галактозна малабсорбция не трябва да приемат този лекарствен продукт.</w:t>
      </w:r>
    </w:p>
    <w:p w14:paraId="327A4B14" w14:textId="77777777" w:rsidR="00546307" w:rsidRPr="00546307" w:rsidRDefault="00546307" w:rsidP="00546307">
      <w:pPr>
        <w:spacing w:line="240" w:lineRule="auto"/>
        <w:rPr>
          <w:rFonts w:eastAsia="Times New Roman" w:cs="Arial"/>
          <w:color w:val="000000"/>
          <w:lang w:eastAsia="bg-BG"/>
        </w:rPr>
      </w:pPr>
    </w:p>
    <w:p w14:paraId="2A4A6941" w14:textId="575D545D" w:rsidR="00546307" w:rsidRPr="00546307" w:rsidRDefault="00546307" w:rsidP="00546307">
      <w:pPr>
        <w:spacing w:line="240" w:lineRule="auto"/>
        <w:rPr>
          <w:rFonts w:eastAsia="Times New Roman" w:cs="Arial"/>
          <w:lang w:eastAsia="bg-BG"/>
        </w:rPr>
      </w:pPr>
      <w:r w:rsidRPr="00546307">
        <w:rPr>
          <w:rFonts w:eastAsia="Times New Roman" w:cs="Arial"/>
          <w:color w:val="000000"/>
          <w:lang w:eastAsia="bg-BG"/>
        </w:rPr>
        <w:t xml:space="preserve">Това лекарство съдържа по-малко от 1 </w:t>
      </w:r>
      <w:r w:rsidRPr="00546307">
        <w:rPr>
          <w:rFonts w:eastAsia="Times New Roman" w:cs="Arial"/>
          <w:color w:val="000000"/>
          <w:lang w:val="en-US"/>
        </w:rPr>
        <w:t xml:space="preserve">mmol </w:t>
      </w:r>
      <w:r w:rsidRPr="00546307">
        <w:rPr>
          <w:rFonts w:eastAsia="Times New Roman" w:cs="Arial"/>
          <w:color w:val="000000"/>
          <w:lang w:eastAsia="bg-BG"/>
        </w:rPr>
        <w:t xml:space="preserve">натрий (23 </w:t>
      </w:r>
      <w:r w:rsidRPr="00546307">
        <w:rPr>
          <w:rFonts w:eastAsia="Times New Roman" w:cs="Arial"/>
          <w:color w:val="000000"/>
          <w:lang w:val="en-US"/>
        </w:rPr>
        <w:t xml:space="preserve">mg) </w:t>
      </w:r>
      <w:r w:rsidRPr="00546307">
        <w:rPr>
          <w:rFonts w:eastAsia="Times New Roman" w:cs="Arial"/>
          <w:color w:val="000000"/>
          <w:lang w:eastAsia="bg-BG"/>
        </w:rPr>
        <w:t>на таблетка, т.е. се счита, че не съдържа натрий.</w:t>
      </w:r>
    </w:p>
    <w:p w14:paraId="754E4875" w14:textId="03B4A1C8" w:rsidR="00546307" w:rsidRPr="00546307" w:rsidRDefault="00546307" w:rsidP="00546307">
      <w:pPr>
        <w:spacing w:line="240" w:lineRule="auto"/>
        <w:rPr>
          <w:rFonts w:ascii="Times New Roman" w:eastAsia="Times New Roman" w:hAnsi="Times New Roman" w:cs="Times New Roman"/>
          <w:sz w:val="24"/>
          <w:szCs w:val="24"/>
          <w:lang w:val="en-US" w:eastAsia="bg-BG"/>
        </w:rPr>
      </w:pPr>
    </w:p>
    <w:p w14:paraId="524AC966" w14:textId="6B61419A" w:rsidR="001A6EBD" w:rsidRDefault="002C50EE" w:rsidP="00471F1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0D1EA430" w14:textId="6B8D86FF" w:rsidR="001B3322" w:rsidRDefault="001B3322" w:rsidP="001B3322"/>
    <w:p w14:paraId="388C5D80"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u w:val="single"/>
          <w:lang w:eastAsia="bg-BG"/>
        </w:rPr>
        <w:t>Противопоказани комбинации</w:t>
      </w:r>
    </w:p>
    <w:p w14:paraId="5E330BAC" w14:textId="77777777" w:rsidR="001B3322" w:rsidRPr="001B3322" w:rsidRDefault="001B3322" w:rsidP="001B3322">
      <w:pPr>
        <w:spacing w:line="240" w:lineRule="auto"/>
        <w:rPr>
          <w:rFonts w:eastAsia="Times New Roman" w:cs="Arial"/>
          <w:color w:val="000000"/>
          <w:lang w:eastAsia="bg-BG"/>
        </w:rPr>
      </w:pPr>
    </w:p>
    <w:p w14:paraId="7BEBC0B4" w14:textId="702F35E2"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lastRenderedPageBreak/>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0F3937A3" w14:textId="77777777" w:rsidR="001B3322" w:rsidRPr="001B3322" w:rsidRDefault="001B3322" w:rsidP="001B3322">
      <w:pPr>
        <w:spacing w:line="240" w:lineRule="auto"/>
        <w:rPr>
          <w:rFonts w:eastAsia="Times New Roman" w:cs="Arial"/>
          <w:i/>
          <w:iCs/>
          <w:color w:val="000000"/>
          <w:lang w:eastAsia="bg-BG"/>
        </w:rPr>
      </w:pPr>
    </w:p>
    <w:p w14:paraId="1E4CA4FD" w14:textId="6753A6F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Лекарства, повишаващи риска от ангиоедем</w:t>
      </w:r>
    </w:p>
    <w:p w14:paraId="7D625174"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Съвместната употреба на АСЕ инхибитори със сакубтрил/валсартан е противопоказана, поради повишен риск от ангиоедем (вижте точки 4.3 и 4.4).</w:t>
      </w:r>
    </w:p>
    <w:p w14:paraId="3FDBBD49"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 xml:space="preserve">Съвместната употреба на АСЕ инхибитори с инхибитори на неприлизин </w:t>
      </w:r>
      <w:r w:rsidRPr="001B3322">
        <w:rPr>
          <w:rFonts w:eastAsia="Times New Roman" w:cs="Arial"/>
          <w:color w:val="000000"/>
          <w:lang w:val="en-US"/>
        </w:rPr>
        <w:t xml:space="preserve">(NEP) </w:t>
      </w:r>
      <w:r w:rsidRPr="001B3322">
        <w:rPr>
          <w:rFonts w:eastAsia="Times New Roman" w:cs="Arial"/>
          <w:color w:val="000000"/>
          <w:lang w:eastAsia="bg-BG"/>
        </w:rPr>
        <w:t xml:space="preserve">(напр. рацекадотрил), </w:t>
      </w:r>
      <w:r w:rsidRPr="001B3322">
        <w:rPr>
          <w:rFonts w:eastAsia="Times New Roman" w:cs="Arial"/>
          <w:color w:val="000000"/>
          <w:lang w:val="en-US"/>
        </w:rPr>
        <w:t xml:space="preserve">mTOR </w:t>
      </w:r>
      <w:r w:rsidRPr="001B3322">
        <w:rPr>
          <w:rFonts w:eastAsia="Times New Roman" w:cs="Arial"/>
          <w:color w:val="000000"/>
          <w:lang w:eastAsia="bg-BG"/>
        </w:rPr>
        <w:t>инхибитори (като сиролимус, еверолимус, темзиролимус) и вилдаглиптин може да доведе до повишен риск от ангиоедем (вижте точка 4.4).</w:t>
      </w:r>
    </w:p>
    <w:p w14:paraId="351924E8" w14:textId="77777777" w:rsidR="001B3322" w:rsidRPr="001B3322" w:rsidRDefault="001B3322" w:rsidP="001B3322">
      <w:pPr>
        <w:spacing w:line="240" w:lineRule="auto"/>
        <w:rPr>
          <w:rFonts w:eastAsia="Times New Roman" w:cs="Arial"/>
          <w:color w:val="000000"/>
          <w:u w:val="single"/>
          <w:lang w:eastAsia="bg-BG"/>
        </w:rPr>
      </w:pPr>
    </w:p>
    <w:p w14:paraId="6BF973F5" w14:textId="21181CE4" w:rsidR="001B3322" w:rsidRPr="001B3322" w:rsidRDefault="001B3322" w:rsidP="001B3322">
      <w:pPr>
        <w:spacing w:line="240" w:lineRule="auto"/>
        <w:rPr>
          <w:rFonts w:eastAsia="Times New Roman" w:cs="Arial"/>
          <w:lang w:eastAsia="bg-BG"/>
        </w:rPr>
      </w:pPr>
      <w:r w:rsidRPr="001B3322">
        <w:rPr>
          <w:rFonts w:eastAsia="Times New Roman" w:cs="Arial"/>
          <w:color w:val="000000"/>
          <w:u w:val="single"/>
          <w:lang w:eastAsia="bg-BG"/>
        </w:rPr>
        <w:t>Предпазни мерки при употреба</w:t>
      </w:r>
    </w:p>
    <w:p w14:paraId="24F0114E" w14:textId="77777777" w:rsidR="001B3322" w:rsidRPr="001B3322" w:rsidRDefault="001B3322" w:rsidP="001B3322">
      <w:pPr>
        <w:spacing w:line="240" w:lineRule="auto"/>
        <w:rPr>
          <w:rFonts w:eastAsia="Times New Roman" w:cs="Arial"/>
          <w:i/>
          <w:iCs/>
          <w:color w:val="000000"/>
          <w:lang w:eastAsia="bg-BG"/>
        </w:rPr>
      </w:pPr>
    </w:p>
    <w:p w14:paraId="5BE2610F" w14:textId="20A99619"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Калий-съхраняващи диуретици, калиеви добавки или съдържащи калий заместители на солта:</w:t>
      </w:r>
    </w:p>
    <w:p w14:paraId="1D8E4210" w14:textId="77777777" w:rsidR="001B3322" w:rsidRPr="001B3322" w:rsidRDefault="001B3322" w:rsidP="001B3322">
      <w:pPr>
        <w:rPr>
          <w:rFonts w:eastAsia="Times New Roman" w:cs="Arial"/>
          <w:lang w:eastAsia="bg-BG"/>
        </w:rPr>
      </w:pPr>
      <w:r w:rsidRPr="001B3322">
        <w:rPr>
          <w:rFonts w:eastAsia="Times New Roman" w:cs="Arial"/>
          <w:color w:val="000000"/>
          <w:lang w:eastAsia="bg-BG"/>
        </w:rPr>
        <w:t>Въпреки че серумният калий обичайно остава в нормални граници, при някои пациенти, лекувани с рамиприл, може да се появи хиперкалиемия. Калий-съхраняващите диуретици (като спиронолактон, триамтерен или амилорид), калиевите добавки или съдържащите калий заместители на солта могат да доведат до значими повишения в нивата</w:t>
      </w:r>
      <w:r w:rsidRPr="001B3322">
        <w:rPr>
          <w:rFonts w:eastAsia="Times New Roman" w:cs="Arial"/>
          <w:color w:val="000000"/>
          <w:lang w:val="en-US"/>
        </w:rPr>
        <w:t xml:space="preserve"> </w:t>
      </w:r>
      <w:r w:rsidRPr="001B3322">
        <w:rPr>
          <w:rFonts w:eastAsia="Times New Roman" w:cs="Arial"/>
          <w:color w:val="000000"/>
          <w:lang w:eastAsia="bg-BG"/>
        </w:rPr>
        <w:t>на серумен калий. Необходимо е внимание и, когато рамиприл се приема съвместно с други агенти които повишават серумния калий, като триметоприм и котримоксазол/(триметоприм/сулфаметоксазол), тъй като е известно, че триметоприм действа като калий-съхраняващ диуретик като амилорид. Поради това, комбинирането на рамиприл и горепосочените лекарства не се препоръчва. Ако съвместната употреба е показана, те трябва да бъдат прилагани с внимание и при често проследяване на серумния калий.</w:t>
      </w:r>
    </w:p>
    <w:p w14:paraId="27FCBFDE" w14:textId="77777777" w:rsidR="001B3322" w:rsidRPr="001B3322" w:rsidRDefault="001B3322" w:rsidP="001B3322">
      <w:pPr>
        <w:spacing w:line="240" w:lineRule="auto"/>
        <w:rPr>
          <w:rFonts w:eastAsia="Times New Roman" w:cs="Arial"/>
          <w:i/>
          <w:iCs/>
          <w:color w:val="000000"/>
          <w:lang w:eastAsia="bg-BG"/>
        </w:rPr>
      </w:pPr>
    </w:p>
    <w:p w14:paraId="758915D6" w14:textId="1401E6B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Циклоспорин</w:t>
      </w:r>
    </w:p>
    <w:p w14:paraId="2717A22A"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Хиперкалиемия може да се появи при съвместна употреба на АСЕ инхибитори и циклоспорин. Препоръчва се проследяване на серумният калий.</w:t>
      </w:r>
    </w:p>
    <w:p w14:paraId="4E2EDF1B" w14:textId="77777777" w:rsidR="001B3322" w:rsidRPr="001B3322" w:rsidRDefault="001B3322" w:rsidP="001B3322">
      <w:pPr>
        <w:spacing w:line="240" w:lineRule="auto"/>
        <w:rPr>
          <w:rFonts w:eastAsia="Times New Roman" w:cs="Arial"/>
          <w:i/>
          <w:iCs/>
          <w:color w:val="000000"/>
          <w:lang w:eastAsia="bg-BG"/>
        </w:rPr>
      </w:pPr>
    </w:p>
    <w:p w14:paraId="50B4DCA1" w14:textId="265962C5"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Хепарин</w:t>
      </w:r>
    </w:p>
    <w:p w14:paraId="4580EF3E"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Хиперкалиемия може да се появи при съвместна употреба на АСЕ инхибитори и хепарин. Препоръчва се проследяване на серумният калий.</w:t>
      </w:r>
    </w:p>
    <w:p w14:paraId="50E4F7E8" w14:textId="77777777" w:rsidR="001B3322" w:rsidRPr="001B3322" w:rsidRDefault="001B3322" w:rsidP="001B3322">
      <w:pPr>
        <w:spacing w:line="240" w:lineRule="auto"/>
        <w:rPr>
          <w:rFonts w:eastAsia="Times New Roman" w:cs="Arial"/>
          <w:i/>
          <w:iCs/>
          <w:color w:val="000000"/>
          <w:lang w:eastAsia="bg-BG"/>
        </w:rPr>
      </w:pPr>
    </w:p>
    <w:p w14:paraId="7E6706CB" w14:textId="7731E9D8"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Триметоприм и ко-тримоксазол (триметоприм / сулфаметоксазол):</w:t>
      </w:r>
      <w:r w:rsidRPr="001B3322">
        <w:rPr>
          <w:rFonts w:eastAsia="Times New Roman" w:cs="Arial"/>
          <w:color w:val="000000"/>
          <w:lang w:eastAsia="bg-BG"/>
        </w:rPr>
        <w:t xml:space="preserve"> Пациенти, пприемащи съпътстващо АСЕ инхибитори и триметоприм и ко-тримоксазол (триметоприм/ сулфаметоксазол), може да бъдат изложени на повишен риск от хиперкалиемия (вж. точка 4.4).</w:t>
      </w:r>
    </w:p>
    <w:p w14:paraId="658539D3" w14:textId="77777777" w:rsidR="001B3322" w:rsidRPr="001B3322" w:rsidRDefault="001B3322" w:rsidP="001B3322">
      <w:pPr>
        <w:spacing w:line="240" w:lineRule="auto"/>
        <w:rPr>
          <w:rFonts w:eastAsia="Times New Roman" w:cs="Arial"/>
          <w:i/>
          <w:iCs/>
          <w:color w:val="000000"/>
          <w:lang w:eastAsia="bg-BG"/>
        </w:rPr>
      </w:pPr>
    </w:p>
    <w:p w14:paraId="517CA1D1" w14:textId="7B07639B"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Двойна блокада на ренин-ангиотензин-алдостерон системата (РААС) чрез комбинирана употреба на АСЕ-инхибитори, ангиотензин II рецепторни блокери или алискирен:</w:t>
      </w:r>
      <w:r w:rsidRPr="001B3322">
        <w:rPr>
          <w:rFonts w:eastAsia="Times New Roman" w:cs="Arial"/>
          <w:color w:val="000000"/>
          <w:lang w:eastAsia="bg-BG"/>
        </w:rPr>
        <w:t xml:space="preserve"> 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П-рецепторни блокери или алискирен се свързва с по-висока честота на нежелани събития, като например хипотония, хиперкалиемия и намаляване на </w:t>
      </w:r>
      <w:r w:rsidRPr="001B3322">
        <w:rPr>
          <w:rFonts w:eastAsia="Times New Roman" w:cs="Arial"/>
          <w:color w:val="000000"/>
          <w:lang w:eastAsia="bg-BG"/>
        </w:rPr>
        <w:lastRenderedPageBreak/>
        <w:t>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3140CD56" w14:textId="77777777" w:rsidR="001B3322" w:rsidRPr="001B3322" w:rsidRDefault="001B3322" w:rsidP="001B3322">
      <w:pPr>
        <w:spacing w:line="240" w:lineRule="auto"/>
        <w:rPr>
          <w:rFonts w:eastAsia="Times New Roman" w:cs="Arial"/>
          <w:i/>
          <w:iCs/>
          <w:color w:val="000000"/>
          <w:lang w:eastAsia="bg-BG"/>
        </w:rPr>
      </w:pPr>
    </w:p>
    <w:p w14:paraId="3558A35F" w14:textId="4308520E"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(напр.нитрати, трициклични антидепресанти, анестетици, прекомерен прием на алкохол, баклофен, алфузозин, доксазозин, празозин, тамсулозин, тетразозин):</w:t>
      </w:r>
      <w:r w:rsidRPr="001B3322">
        <w:rPr>
          <w:rFonts w:eastAsia="Times New Roman" w:cs="Arial"/>
          <w:color w:val="000000"/>
          <w:lang w:eastAsia="bg-BG"/>
        </w:rPr>
        <w:t xml:space="preserve"> може да се очаква увеличаване на риска от хипотония (вж. точка 4.2 за диуретици)</w:t>
      </w:r>
    </w:p>
    <w:p w14:paraId="39337203" w14:textId="77777777" w:rsidR="001B3322" w:rsidRPr="001B3322" w:rsidRDefault="001B3322" w:rsidP="001B3322">
      <w:pPr>
        <w:spacing w:line="240" w:lineRule="auto"/>
        <w:rPr>
          <w:rFonts w:eastAsia="Times New Roman" w:cs="Arial"/>
          <w:i/>
          <w:iCs/>
          <w:color w:val="000000"/>
          <w:lang w:eastAsia="bg-BG"/>
        </w:rPr>
      </w:pPr>
    </w:p>
    <w:p w14:paraId="24804230" w14:textId="1E122573"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Вазопресорни симпатикомиметици и други вещества (епинефрин), които могат да намалят антихипертензивния ефект на рамиприл:</w:t>
      </w:r>
      <w:r w:rsidRPr="001B3322">
        <w:rPr>
          <w:rFonts w:eastAsia="Times New Roman" w:cs="Arial"/>
          <w:color w:val="000000"/>
          <w:lang w:eastAsia="bg-BG"/>
        </w:rPr>
        <w:t xml:space="preserve"> препоръчва се стриктно проследяване на кръвното налягане.</w:t>
      </w:r>
    </w:p>
    <w:p w14:paraId="6777FAA2"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В допълнение ефектът на вазопресорните сипатикомиметици може да бъде отслабен от хидрохлоротиазид.</w:t>
      </w:r>
    </w:p>
    <w:p w14:paraId="40072333" w14:textId="77777777" w:rsidR="001B3322" w:rsidRPr="001B3322" w:rsidRDefault="001B3322" w:rsidP="001B3322">
      <w:pPr>
        <w:spacing w:line="240" w:lineRule="auto"/>
        <w:rPr>
          <w:rFonts w:eastAsia="Times New Roman" w:cs="Arial"/>
          <w:i/>
          <w:iCs/>
          <w:color w:val="000000"/>
          <w:lang w:eastAsia="bg-BG"/>
        </w:rPr>
      </w:pPr>
    </w:p>
    <w:p w14:paraId="62876D37" w14:textId="0075BE03" w:rsidR="001B3322" w:rsidRPr="001B3322" w:rsidRDefault="001B3322" w:rsidP="001B3322">
      <w:pPr>
        <w:spacing w:line="240" w:lineRule="auto"/>
        <w:rPr>
          <w:rFonts w:eastAsia="Times New Roman" w:cs="Arial"/>
          <w:i/>
          <w:iCs/>
          <w:color w:val="000000"/>
          <w:lang w:eastAsia="bg-BG"/>
        </w:rPr>
      </w:pPr>
      <w:r w:rsidRPr="001B3322">
        <w:rPr>
          <w:rFonts w:eastAsia="Times New Roman" w:cs="Arial"/>
          <w:i/>
          <w:iCs/>
          <w:color w:val="000000"/>
          <w:lang w:eastAsia="bg-BG"/>
        </w:rPr>
        <w:t xml:space="preserve">Алопуринол, имуносупресори, кортикостероиди, прокаинамид, цитостатици и други вещества, които </w:t>
      </w:r>
    </w:p>
    <w:p w14:paraId="00D718D5" w14:textId="069A24EE"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могат да променят броя на кръвните клетки:</w:t>
      </w:r>
      <w:r w:rsidRPr="001B3322">
        <w:rPr>
          <w:rFonts w:eastAsia="Times New Roman" w:cs="Arial"/>
          <w:color w:val="000000"/>
          <w:lang w:eastAsia="bg-BG"/>
        </w:rPr>
        <w:t xml:space="preserve"> повишена вероятност от поява на хематологични реакции (вж. точка 4.4).</w:t>
      </w:r>
    </w:p>
    <w:p w14:paraId="59EA24FF" w14:textId="77777777" w:rsidR="001B3322" w:rsidRPr="001B3322" w:rsidRDefault="001B3322" w:rsidP="001B3322">
      <w:pPr>
        <w:spacing w:line="240" w:lineRule="auto"/>
        <w:rPr>
          <w:rFonts w:eastAsia="Times New Roman" w:cs="Arial"/>
          <w:i/>
          <w:iCs/>
          <w:color w:val="000000"/>
          <w:lang w:eastAsia="bg-BG"/>
        </w:rPr>
      </w:pPr>
    </w:p>
    <w:p w14:paraId="56E06025" w14:textId="05A9B0A4"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Литиеви соли:</w:t>
      </w:r>
      <w:r w:rsidRPr="001B3322">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 Едновременната употреба на тиазидни диуретици може да повиши риска от литиева токсичност и да усили вече повишения от АСЕ инхибитора риск от литиева токсичност. Поради това комбинацията от рамиприл и хидрохлоротиазид с лити</w:t>
      </w:r>
      <w:r w:rsidRPr="001B3322">
        <w:rPr>
          <w:rFonts w:eastAsia="Times New Roman" w:cs="Arial"/>
          <w:color w:val="000000"/>
          <w:u w:val="single"/>
          <w:lang w:eastAsia="bg-BG"/>
        </w:rPr>
        <w:t xml:space="preserve">й не се </w:t>
      </w:r>
      <w:r w:rsidRPr="001B3322">
        <w:rPr>
          <w:rFonts w:eastAsia="Times New Roman" w:cs="Arial"/>
          <w:color w:val="000000"/>
          <w:lang w:eastAsia="bg-BG"/>
        </w:rPr>
        <w:t>препоръчва.</w:t>
      </w:r>
    </w:p>
    <w:p w14:paraId="2F80E25E" w14:textId="6CDE3883" w:rsidR="001B3322" w:rsidRPr="001B3322" w:rsidRDefault="001B3322" w:rsidP="001B3322">
      <w:pPr>
        <w:rPr>
          <w:rFonts w:cs="Arial"/>
        </w:rPr>
      </w:pPr>
    </w:p>
    <w:p w14:paraId="102D1581" w14:textId="7777777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Антидиабетни средства, включително инсулин:</w:t>
      </w:r>
      <w:r w:rsidRPr="001B3322">
        <w:rPr>
          <w:rFonts w:eastAsia="Times New Roman" w:cs="Arial"/>
          <w:color w:val="000000"/>
          <w:lang w:eastAsia="bg-BG"/>
        </w:rPr>
        <w:t xml:space="preserve"> могат да възникнат хипогликемични реакции. Хидрохлоротиазидът може да отслаби ефекта на антидиабетните лекарства. Поради това се препоръчва особено стриктно проследяване на нивата на кръвната захар през началния период на едновременното прилагане.</w:t>
      </w:r>
    </w:p>
    <w:p w14:paraId="79C1EE50" w14:textId="77777777" w:rsidR="001B3322" w:rsidRPr="001B3322" w:rsidRDefault="001B3322" w:rsidP="001B3322">
      <w:pPr>
        <w:spacing w:line="240" w:lineRule="auto"/>
        <w:rPr>
          <w:rFonts w:eastAsia="Times New Roman" w:cs="Arial"/>
          <w:i/>
          <w:iCs/>
          <w:color w:val="000000"/>
          <w:lang w:eastAsia="bg-BG"/>
        </w:rPr>
      </w:pPr>
    </w:p>
    <w:p w14:paraId="2C9EA4C5" w14:textId="221E26C4"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Нестероидни противовъзпалителни средства и ацетилсалицилова киселина:</w:t>
      </w:r>
      <w:r w:rsidRPr="001B3322">
        <w:rPr>
          <w:rFonts w:eastAsia="Times New Roman" w:cs="Arial"/>
          <w:color w:val="000000"/>
          <w:lang w:eastAsia="bg-BG"/>
        </w:rPr>
        <w:t xml:space="preserve"> може да се очаква намаляване на антихипертензивния ефект на Рамимед НСТ.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7FCFB397" w14:textId="77777777" w:rsidR="001B3322" w:rsidRPr="001B3322" w:rsidRDefault="001B3322" w:rsidP="001B3322">
      <w:pPr>
        <w:spacing w:line="240" w:lineRule="auto"/>
        <w:rPr>
          <w:rFonts w:eastAsia="Times New Roman" w:cs="Arial"/>
          <w:i/>
          <w:iCs/>
          <w:color w:val="000000"/>
          <w:lang w:eastAsia="bg-BG"/>
        </w:rPr>
      </w:pPr>
    </w:p>
    <w:p w14:paraId="5D23E82A" w14:textId="1FE06D59"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Перорални антикоагуланти:</w:t>
      </w:r>
      <w:r w:rsidRPr="001B3322">
        <w:rPr>
          <w:rFonts w:eastAsia="Times New Roman" w:cs="Arial"/>
          <w:color w:val="000000"/>
          <w:lang w:eastAsia="bg-BG"/>
        </w:rPr>
        <w:t xml:space="preserve"> антикоагулантният ефект може да бъде намален поради едновременната употреба на хидрохлоротиазид.</w:t>
      </w:r>
    </w:p>
    <w:p w14:paraId="7C1BDC0E" w14:textId="77777777" w:rsidR="001B3322" w:rsidRPr="001B3322" w:rsidRDefault="001B3322" w:rsidP="001B3322">
      <w:pPr>
        <w:spacing w:line="240" w:lineRule="auto"/>
        <w:rPr>
          <w:rFonts w:eastAsia="Times New Roman" w:cs="Arial"/>
          <w:i/>
          <w:iCs/>
          <w:color w:val="000000"/>
          <w:lang w:eastAsia="bg-BG"/>
        </w:rPr>
      </w:pPr>
    </w:p>
    <w:p w14:paraId="458E81DA" w14:textId="5E2993E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Кортикостероиди, АКТХ, амфотерицин В, карбеноксолон, големи количества сладък корен, лаксативи (в</w:t>
      </w:r>
      <w:r w:rsidRPr="001B3322">
        <w:rPr>
          <w:rFonts w:eastAsia="Times New Roman" w:cs="Arial"/>
          <w:color w:val="000000"/>
          <w:lang w:eastAsia="bg-BG"/>
        </w:rPr>
        <w:t xml:space="preserve"> случай на продължителна употреба) и други средства, които увеличават уринната екскреция на </w:t>
      </w:r>
      <w:r w:rsidRPr="001B3322">
        <w:rPr>
          <w:rFonts w:eastAsia="Times New Roman" w:cs="Arial"/>
          <w:i/>
          <w:iCs/>
          <w:color w:val="000000"/>
          <w:lang w:eastAsia="bg-BG"/>
        </w:rPr>
        <w:t>калий или намаляват плазмения калий:</w:t>
      </w:r>
      <w:r w:rsidRPr="001B3322">
        <w:rPr>
          <w:rFonts w:eastAsia="Times New Roman" w:cs="Arial"/>
          <w:color w:val="000000"/>
          <w:lang w:eastAsia="bg-BG"/>
        </w:rPr>
        <w:t xml:space="preserve"> повишен риск от хипокалиемия.</w:t>
      </w:r>
    </w:p>
    <w:p w14:paraId="5602C947" w14:textId="77777777" w:rsidR="001B3322" w:rsidRPr="001B3322" w:rsidRDefault="001B3322" w:rsidP="001B3322">
      <w:pPr>
        <w:spacing w:line="240" w:lineRule="auto"/>
        <w:rPr>
          <w:rFonts w:eastAsia="Times New Roman" w:cs="Arial"/>
          <w:i/>
          <w:iCs/>
          <w:color w:val="000000"/>
          <w:lang w:eastAsia="bg-BG"/>
        </w:rPr>
      </w:pPr>
    </w:p>
    <w:p w14:paraId="071865EF" w14:textId="53D60ECE"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 xml:space="preserve">Дигиталисови препарати, активни вещества, за които е известно, че удължат </w:t>
      </w:r>
      <w:r w:rsidRPr="001B3322">
        <w:rPr>
          <w:rFonts w:eastAsia="Times New Roman" w:cs="Arial"/>
          <w:i/>
          <w:iCs/>
          <w:color w:val="000000"/>
          <w:lang w:val="en-US"/>
        </w:rPr>
        <w:t xml:space="preserve">QT </w:t>
      </w:r>
      <w:r w:rsidRPr="001B3322">
        <w:rPr>
          <w:rFonts w:eastAsia="Times New Roman" w:cs="Arial"/>
          <w:i/>
          <w:iCs/>
          <w:color w:val="000000"/>
          <w:lang w:eastAsia="bg-BG"/>
        </w:rPr>
        <w:t>интервала и антиаритмици:</w:t>
      </w:r>
      <w:r w:rsidRPr="001B3322">
        <w:rPr>
          <w:rFonts w:eastAsia="Times New Roman" w:cs="Arial"/>
          <w:color w:val="000000"/>
          <w:lang w:eastAsia="bg-BG"/>
        </w:rPr>
        <w:t xml:space="preserve"> тяхната проаритмична токсичност може да се повиши или антиаритмичният им ефект да намалее при наличие на електролитни нарушения (напр. хипокалиемия, хипомагнезиемия).</w:t>
      </w:r>
    </w:p>
    <w:p w14:paraId="00E3C395" w14:textId="77777777" w:rsidR="001B3322" w:rsidRPr="001B3322" w:rsidRDefault="001B3322" w:rsidP="001B3322">
      <w:pPr>
        <w:spacing w:line="240" w:lineRule="auto"/>
        <w:rPr>
          <w:rFonts w:eastAsia="Times New Roman" w:cs="Arial"/>
          <w:i/>
          <w:iCs/>
          <w:color w:val="000000"/>
          <w:lang w:eastAsia="bg-BG"/>
        </w:rPr>
      </w:pPr>
    </w:p>
    <w:p w14:paraId="4E0B3E37" w14:textId="43F09DD5"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Метилдопа:</w:t>
      </w:r>
      <w:r w:rsidRPr="001B3322">
        <w:rPr>
          <w:rFonts w:eastAsia="Times New Roman" w:cs="Arial"/>
          <w:color w:val="000000"/>
          <w:lang w:eastAsia="bg-BG"/>
        </w:rPr>
        <w:t xml:space="preserve"> възможна е хемолиза.</w:t>
      </w:r>
    </w:p>
    <w:p w14:paraId="00AA1260" w14:textId="77777777" w:rsidR="001B3322" w:rsidRPr="001B3322" w:rsidRDefault="001B3322" w:rsidP="001B3322">
      <w:pPr>
        <w:spacing w:line="240" w:lineRule="auto"/>
        <w:rPr>
          <w:rFonts w:eastAsia="Times New Roman" w:cs="Arial"/>
          <w:i/>
          <w:iCs/>
          <w:color w:val="000000"/>
          <w:lang w:eastAsia="bg-BG"/>
        </w:rPr>
      </w:pPr>
    </w:p>
    <w:p w14:paraId="205EAD42" w14:textId="3CD2DE61"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Холестирамин или други перорално прилагани йонообменни вещества:</w:t>
      </w:r>
      <w:r w:rsidRPr="001B3322">
        <w:rPr>
          <w:rFonts w:eastAsia="Times New Roman" w:cs="Arial"/>
          <w:color w:val="000000"/>
          <w:lang w:eastAsia="bg-BG"/>
        </w:rPr>
        <w:t xml:space="preserve"> намалена абсорбция на хидрохлоротиазид. Сулфонамидните диуретици трябва да бъдат вземани поне един час преди или четири до шест часа след тези лекарства.</w:t>
      </w:r>
    </w:p>
    <w:p w14:paraId="518A4111" w14:textId="77777777" w:rsidR="001B3322" w:rsidRPr="001B3322" w:rsidRDefault="001B3322" w:rsidP="001B3322">
      <w:pPr>
        <w:spacing w:line="240" w:lineRule="auto"/>
        <w:rPr>
          <w:rFonts w:eastAsia="Times New Roman" w:cs="Arial"/>
          <w:i/>
          <w:iCs/>
          <w:color w:val="000000"/>
          <w:lang w:eastAsia="bg-BG"/>
        </w:rPr>
      </w:pPr>
    </w:p>
    <w:p w14:paraId="6B297851" w14:textId="1D1F36E9"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Кураре-подобни миорелаксанти:</w:t>
      </w:r>
      <w:r w:rsidRPr="001B3322">
        <w:rPr>
          <w:rFonts w:eastAsia="Times New Roman" w:cs="Arial"/>
          <w:color w:val="000000"/>
          <w:lang w:eastAsia="bg-BG"/>
        </w:rPr>
        <w:t xml:space="preserve"> възможен е усилен и удължен миорелаксиращ ефект.</w:t>
      </w:r>
    </w:p>
    <w:p w14:paraId="79C8883B" w14:textId="77777777" w:rsidR="001B3322" w:rsidRPr="001B3322" w:rsidRDefault="001B3322" w:rsidP="001B3322">
      <w:pPr>
        <w:spacing w:line="240" w:lineRule="auto"/>
        <w:rPr>
          <w:rFonts w:eastAsia="Times New Roman" w:cs="Arial"/>
          <w:i/>
          <w:iCs/>
          <w:color w:val="000000"/>
          <w:lang w:eastAsia="bg-BG"/>
        </w:rPr>
      </w:pPr>
    </w:p>
    <w:p w14:paraId="30F9B63C" w14:textId="178F915E"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Калциеви соли и повишаващи плазмения калций лекарствени продукти:</w:t>
      </w:r>
      <w:r w:rsidRPr="001B3322">
        <w:rPr>
          <w:rFonts w:eastAsia="Times New Roman" w:cs="Arial"/>
          <w:color w:val="000000"/>
          <w:lang w:eastAsia="bg-BG"/>
        </w:rPr>
        <w:t xml:space="preserve"> в случай на едновременно прилагане с хидрохлоротиазид може да се очаква повишена серумна концентрация на калция, поради което се изисква стриктно проследяване на серумния калций.</w:t>
      </w:r>
    </w:p>
    <w:p w14:paraId="0137635D" w14:textId="77777777" w:rsidR="001B3322" w:rsidRPr="001B3322" w:rsidRDefault="001B3322" w:rsidP="001B3322">
      <w:pPr>
        <w:spacing w:line="240" w:lineRule="auto"/>
        <w:rPr>
          <w:rFonts w:eastAsia="Times New Roman" w:cs="Arial"/>
          <w:i/>
          <w:iCs/>
          <w:color w:val="000000"/>
          <w:lang w:eastAsia="bg-BG"/>
        </w:rPr>
      </w:pPr>
    </w:p>
    <w:p w14:paraId="76D0EA8B" w14:textId="48124D9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Карбамазепин:</w:t>
      </w:r>
      <w:r w:rsidRPr="001B3322">
        <w:rPr>
          <w:rFonts w:eastAsia="Times New Roman" w:cs="Arial"/>
          <w:color w:val="000000"/>
          <w:lang w:eastAsia="bg-BG"/>
        </w:rPr>
        <w:t xml:space="preserve"> риск от хипонатриемия поради адитивния ефект с хидрохлоротиазид.</w:t>
      </w:r>
    </w:p>
    <w:p w14:paraId="4E08F0FF" w14:textId="77777777" w:rsidR="001B3322" w:rsidRPr="001B3322" w:rsidRDefault="001B3322" w:rsidP="001B3322">
      <w:pPr>
        <w:spacing w:line="240" w:lineRule="auto"/>
        <w:rPr>
          <w:rFonts w:eastAsia="Times New Roman" w:cs="Arial"/>
          <w:i/>
          <w:iCs/>
          <w:color w:val="000000"/>
          <w:lang w:eastAsia="bg-BG"/>
        </w:rPr>
      </w:pPr>
    </w:p>
    <w:p w14:paraId="47C2D307" w14:textId="3FEEFA66"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Йод-съдържащо контрастно вещество:</w:t>
      </w:r>
      <w:r w:rsidRPr="001B3322">
        <w:rPr>
          <w:rFonts w:eastAsia="Times New Roman" w:cs="Arial"/>
          <w:color w:val="000000"/>
          <w:lang w:eastAsia="bg-BG"/>
        </w:rPr>
        <w:t xml:space="preserve"> в случай на дехидратация, предизвикана от диуретици, включително хидрохлоротиазид, има повишен риск от остро бъбречно увреждане, особено при употреба на значими дози йод-съдържащо контрастно вещество.</w:t>
      </w:r>
    </w:p>
    <w:p w14:paraId="1EA0A178" w14:textId="77777777" w:rsidR="001B3322" w:rsidRPr="001B3322" w:rsidRDefault="001B3322" w:rsidP="001B3322">
      <w:pPr>
        <w:spacing w:line="240" w:lineRule="auto"/>
        <w:rPr>
          <w:rFonts w:eastAsia="Times New Roman" w:cs="Arial"/>
          <w:i/>
          <w:iCs/>
          <w:color w:val="000000"/>
          <w:lang w:eastAsia="bg-BG"/>
        </w:rPr>
      </w:pPr>
    </w:p>
    <w:p w14:paraId="18268930" w14:textId="44EBA18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Пеницилин:</w:t>
      </w:r>
      <w:r w:rsidRPr="001B3322">
        <w:rPr>
          <w:rFonts w:eastAsia="Times New Roman" w:cs="Arial"/>
          <w:color w:val="000000"/>
          <w:lang w:eastAsia="bg-BG"/>
        </w:rPr>
        <w:t xml:space="preserve"> хидрохлоротиазид се екскретира в дисталните тубули и намалява екскрецията на пеницилина.</w:t>
      </w:r>
    </w:p>
    <w:p w14:paraId="4A26C6CA" w14:textId="77777777" w:rsidR="001B3322" w:rsidRPr="001B3322" w:rsidRDefault="001B3322" w:rsidP="001B3322">
      <w:pPr>
        <w:spacing w:line="240" w:lineRule="auto"/>
        <w:rPr>
          <w:rFonts w:eastAsia="Times New Roman" w:cs="Arial"/>
          <w:i/>
          <w:iCs/>
          <w:color w:val="000000"/>
          <w:lang w:eastAsia="bg-BG"/>
        </w:rPr>
      </w:pPr>
    </w:p>
    <w:p w14:paraId="1969C185" w14:textId="135F4D57" w:rsidR="001B3322" w:rsidRPr="001B3322" w:rsidRDefault="001B3322" w:rsidP="001B3322">
      <w:pPr>
        <w:spacing w:line="240" w:lineRule="auto"/>
        <w:rPr>
          <w:rFonts w:eastAsia="Times New Roman" w:cs="Arial"/>
          <w:lang w:eastAsia="bg-BG"/>
        </w:rPr>
      </w:pPr>
      <w:r w:rsidRPr="001B3322">
        <w:rPr>
          <w:rFonts w:eastAsia="Times New Roman" w:cs="Arial"/>
          <w:i/>
          <w:iCs/>
          <w:color w:val="000000"/>
          <w:lang w:eastAsia="bg-BG"/>
        </w:rPr>
        <w:t>Хинин:</w:t>
      </w:r>
      <w:r w:rsidRPr="001B3322">
        <w:rPr>
          <w:rFonts w:eastAsia="Times New Roman" w:cs="Arial"/>
          <w:color w:val="000000"/>
          <w:lang w:eastAsia="bg-BG"/>
        </w:rPr>
        <w:t xml:space="preserve"> хидрохлоротиазид намалява екскрецията на хинин.</w:t>
      </w:r>
    </w:p>
    <w:p w14:paraId="242AEEDB" w14:textId="77777777" w:rsidR="001B3322" w:rsidRPr="001B3322" w:rsidRDefault="001B3322" w:rsidP="001B3322"/>
    <w:p w14:paraId="4762A32B" w14:textId="35C9EE9C" w:rsidR="001A6EBD" w:rsidRDefault="002C50EE" w:rsidP="00471F10">
      <w:pPr>
        <w:pStyle w:val="Heading2"/>
      </w:pPr>
      <w:r>
        <w:t>4.6. Фертилитет, бременност и кърмене</w:t>
      </w:r>
    </w:p>
    <w:p w14:paraId="1ED39F0E" w14:textId="3789A165" w:rsidR="001B3322" w:rsidRDefault="001B3322" w:rsidP="001B3322"/>
    <w:p w14:paraId="14FD5245" w14:textId="77777777" w:rsidR="001B3322" w:rsidRPr="001B3322" w:rsidRDefault="001B3322" w:rsidP="001B3322">
      <w:pPr>
        <w:pStyle w:val="Heading3"/>
        <w:rPr>
          <w:rFonts w:eastAsia="Times New Roman"/>
          <w:sz w:val="28"/>
          <w:szCs w:val="28"/>
          <w:u w:val="single"/>
          <w:lang w:eastAsia="bg-BG"/>
        </w:rPr>
      </w:pPr>
      <w:r w:rsidRPr="001B3322">
        <w:rPr>
          <w:rFonts w:eastAsia="Times New Roman"/>
          <w:u w:val="single"/>
          <w:lang w:eastAsia="bg-BG"/>
        </w:rPr>
        <w:t>Бременност</w:t>
      </w:r>
    </w:p>
    <w:p w14:paraId="2903E87C"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Рамимед НСТ не се препоръчва по време на първия триместър на бременност (вж. точка 4.4) и е противопоказан по време на втория и третия триместър на бременността (вж. точка 4.3).</w:t>
      </w:r>
    </w:p>
    <w:p w14:paraId="15FAA3D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Епидемиологичните данни относно риска от тератогенност след експозиция на АСЕ инхибитори по време на първия триместър от бременността не са убедителни, но леко повишаване на риска не може да бъде изключено. При пациентките, планиращи бременност, терапията с АСЕ инхибитори трябва да се замени с алтернативно антихинертензивно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4B6CD4FC"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Известно е, че терапията с АСЕ инхибитор/ ангиотензин II рецепторен антагонист </w:t>
      </w:r>
      <w:r w:rsidRPr="001B3322">
        <w:rPr>
          <w:rFonts w:eastAsia="Times New Roman" w:cs="Arial"/>
          <w:color w:val="000000"/>
          <w:lang w:val="en-US"/>
        </w:rPr>
        <w:t xml:space="preserve">(AIIRA) </w:t>
      </w:r>
      <w:r w:rsidRPr="001B3322">
        <w:rPr>
          <w:rFonts w:eastAsia="Times New Roman" w:cs="Arial"/>
          <w:color w:val="000000"/>
          <w:lang w:eastAsia="bg-BG"/>
        </w:rPr>
        <w:t>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5.3 „Предклинични данни за безопасност”). В случай на експозиция на АСЕ инхибитор през втория триместър на бременността се препоръчва проверка на бъбречната функция и черепа чрез ултразвук. Новородени, чиито майки са приемали АСЕ инхибитори, трябва да бъдат стриктно наблюдавани за хипотония, олигурия и хиперкалиемия (вж. също точки 4.3 и 4.4).</w:t>
      </w:r>
    </w:p>
    <w:p w14:paraId="0D911443" w14:textId="77777777" w:rsidR="001B3322" w:rsidRPr="001B3322" w:rsidRDefault="001B3322" w:rsidP="001B3322">
      <w:pPr>
        <w:spacing w:line="240" w:lineRule="auto"/>
        <w:rPr>
          <w:rFonts w:eastAsia="Times New Roman" w:cs="Arial"/>
          <w:color w:val="000000"/>
          <w:lang w:eastAsia="bg-BG"/>
        </w:rPr>
      </w:pPr>
    </w:p>
    <w:p w14:paraId="2933ABE1" w14:textId="27629F96"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Хидрохлоротиазид, в случай на продължителна експозиция през третия триместър от бременността, може да причини фето-плацентарна исхемия и риск от забавяне на растежа. Освен това, при екзпозиция непосредствено преди раждане са докладвани </w:t>
      </w:r>
      <w:r w:rsidRPr="001B3322">
        <w:rPr>
          <w:rFonts w:eastAsia="Times New Roman" w:cs="Arial"/>
          <w:color w:val="000000"/>
          <w:lang w:eastAsia="bg-BG"/>
        </w:rPr>
        <w:lastRenderedPageBreak/>
        <w:t>редки случаи на хипогликемия и тромбоцитопения при новородените. Хидрохлоротиазид може да намали плазмения обем, както и утеро-плацентарния кръвоток.</w:t>
      </w:r>
    </w:p>
    <w:p w14:paraId="3E559288"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Хидрохлоротиазид не трябва да се използва при гестационен оток, гестационна хипертония или прееклампсия поради риск от намален плазмен обем и плацентарна хипоперфузия, без полезен ефект по отношение на хода на заболяването.</w:t>
      </w:r>
    </w:p>
    <w:p w14:paraId="73E3434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Хидрохлоротиазидът не трябва да се използва за есенциална хипертония при бременни жени, с изключение на редки случаи, при които не са показани други лечения.</w:t>
      </w:r>
    </w:p>
    <w:p w14:paraId="2675734C" w14:textId="77777777" w:rsidR="001B3322" w:rsidRPr="001B3322" w:rsidRDefault="001B3322" w:rsidP="001B3322">
      <w:pPr>
        <w:spacing w:line="240" w:lineRule="auto"/>
        <w:rPr>
          <w:rFonts w:eastAsia="Times New Roman" w:cs="Arial"/>
          <w:color w:val="000000"/>
          <w:u w:val="single"/>
          <w:lang w:eastAsia="bg-BG"/>
        </w:rPr>
      </w:pPr>
    </w:p>
    <w:p w14:paraId="709996EB" w14:textId="212BC01A" w:rsidR="001B3322" w:rsidRPr="001B3322" w:rsidRDefault="001B3322" w:rsidP="001B3322">
      <w:pPr>
        <w:pStyle w:val="Heading3"/>
        <w:rPr>
          <w:rFonts w:eastAsia="Times New Roman"/>
          <w:sz w:val="28"/>
          <w:szCs w:val="28"/>
          <w:u w:val="single"/>
          <w:lang w:eastAsia="bg-BG"/>
        </w:rPr>
      </w:pPr>
      <w:r w:rsidRPr="001B3322">
        <w:rPr>
          <w:rFonts w:eastAsia="Times New Roman"/>
          <w:u w:val="single"/>
          <w:lang w:eastAsia="bg-BG"/>
        </w:rPr>
        <w:t>Кърмене</w:t>
      </w:r>
    </w:p>
    <w:p w14:paraId="4F3FAD2E"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Рамимед НСТ е противопоказан по време на кърмене.</w:t>
      </w:r>
    </w:p>
    <w:p w14:paraId="58E3A8A2"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При прилагането на терапевтични дози рамиприл и хидрохлоротиазид на кърмещи жени е възможно рамиприл и хидрохлоротиазид да се екскретират в кърмата в такова количество, което да оказва ефект върху кърмачето. Поради недостатъчна информация относно употребата на рамиприл по време на кърмене (вж. точка 5.2) за предпочитане е алтернативно лечение с по-добре установен профил на безопасност по време на кърмене, особено при кърмене на новородено или недоносено кърмаче. Хидрохлоротиазид се екскретира в кърма. Тиазидите, приемани от майки кърмачки се свързват с намаляване или дори потискане на лактацията. Може да се прояви свръхчувствителност към активните вещества - деривати на сулфонамидите, хипокалиемия и иктер. Поради възможността за сериозни реакции при кърмачетата и от двете активни вещества, трябва да бъде взето решение дали да бъде прекратено кърменето или да бъде прекратена терапията, като се вземе предвид значението на терапията за майката.</w:t>
      </w:r>
    </w:p>
    <w:p w14:paraId="36017A35" w14:textId="77777777" w:rsidR="001B3322" w:rsidRPr="001B3322" w:rsidRDefault="001B3322" w:rsidP="001B3322"/>
    <w:p w14:paraId="188B33B4" w14:textId="219A1EE6" w:rsidR="001A6EBD" w:rsidRDefault="002C50EE" w:rsidP="00471F10">
      <w:pPr>
        <w:pStyle w:val="Heading2"/>
      </w:pPr>
      <w:r>
        <w:t>4.7. Ефекти върху способността за шофиране и работа с машини</w:t>
      </w:r>
    </w:p>
    <w:p w14:paraId="30A011A2" w14:textId="07D1308C" w:rsidR="001B3322" w:rsidRDefault="001B3322" w:rsidP="001B3322"/>
    <w:p w14:paraId="46EAF329" w14:textId="77777777" w:rsidR="001B3322" w:rsidRPr="001B3322" w:rsidRDefault="001B3322" w:rsidP="001B3322">
      <w:pPr>
        <w:rPr>
          <w:rFonts w:eastAsia="Times New Roman" w:cs="Arial"/>
          <w:sz w:val="28"/>
          <w:szCs w:val="28"/>
          <w:lang w:eastAsia="bg-BG"/>
        </w:rPr>
      </w:pPr>
      <w:r w:rsidRPr="001B3322">
        <w:rPr>
          <w:rFonts w:cs="Arial"/>
        </w:rPr>
        <w:t>Някои странични ефекти (напр. симптоми на понижаване на кръвното налягане като замайване) могат да нарушат способността на пациента за концентрация и реакция ето</w:t>
      </w:r>
      <w:r w:rsidRPr="001B3322">
        <w:rPr>
          <w:rFonts w:cs="Arial"/>
          <w:lang w:val="en-US"/>
        </w:rPr>
        <w:t xml:space="preserve"> </w:t>
      </w:r>
      <w:r w:rsidRPr="001B3322">
        <w:rPr>
          <w:rFonts w:eastAsia="Times New Roman" w:cs="Arial"/>
          <w:color w:val="000000"/>
          <w:lang w:eastAsia="bg-BG"/>
        </w:rPr>
        <w:t>защо представлява риск в ситуации, при които тези способности са от особено значение (напр. шофиране и работа с машини).</w:t>
      </w:r>
    </w:p>
    <w:p w14:paraId="7F402347" w14:textId="3E7F364C" w:rsidR="001B3322" w:rsidRPr="001B3322" w:rsidRDefault="001B3322" w:rsidP="001B3322">
      <w:pPr>
        <w:rPr>
          <w:rFonts w:cs="Arial"/>
          <w:lang w:val="en-US"/>
        </w:rPr>
      </w:pPr>
      <w:r w:rsidRPr="001B3322">
        <w:rPr>
          <w:rFonts w:eastAsia="Times New Roman" w:cs="Arial"/>
          <w:color w:val="000000"/>
          <w:lang w:eastAsia="bg-BG"/>
        </w:rPr>
        <w:t>Това може да се случи особено при начало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2D599450" w14:textId="77777777" w:rsidR="001B3322" w:rsidRPr="001B3322" w:rsidRDefault="001B3322" w:rsidP="001B3322"/>
    <w:p w14:paraId="44CE30A3" w14:textId="11B83E7E" w:rsidR="007122AD" w:rsidRDefault="002C50EE" w:rsidP="00936AD0">
      <w:pPr>
        <w:pStyle w:val="Heading2"/>
      </w:pPr>
      <w:r>
        <w:t>4.8. Нежелани лекарствени реакции</w:t>
      </w:r>
    </w:p>
    <w:p w14:paraId="644226B6" w14:textId="58D40422" w:rsidR="001B3322" w:rsidRDefault="001B3322" w:rsidP="001B3322"/>
    <w:p w14:paraId="75A283E6"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Резюме на профила на безопасност</w:t>
      </w:r>
    </w:p>
    <w:p w14:paraId="76AAFF2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Профилът на безопасност на рамиприл и хидрохлоротиазид включва нежелани лекарствени реакции, проявяващи се във връзка с хипотония и/или с намаляване на телесните течности поради повишена диуреза. Активното вещество рамиприл може да причини упорита суха кашлица, докато активното вещество хидрохлоротиазид може да доведе до влошаване метаболизма на глюкозата, липидите и пикочната киселина. Двете активни вещества имат противоположни ефекти върху плазмения калий. Сериозните нежелани лекарствени реакции включват ангиоедем или анафилактична реакция, бъбречно или чернодробно увреждане, панкреатит, тежки кожни реакции и неутропения/агранулоцитоза.</w:t>
      </w:r>
    </w:p>
    <w:p w14:paraId="623D38C9" w14:textId="77777777" w:rsidR="001B3322" w:rsidRPr="001B3322" w:rsidRDefault="001B3322" w:rsidP="001B3322">
      <w:pPr>
        <w:spacing w:line="240" w:lineRule="auto"/>
        <w:rPr>
          <w:rFonts w:eastAsia="Times New Roman" w:cs="Arial"/>
          <w:color w:val="000000"/>
          <w:u w:val="single"/>
          <w:lang w:eastAsia="bg-BG"/>
        </w:rPr>
      </w:pPr>
    </w:p>
    <w:p w14:paraId="190C1520" w14:textId="6D9402D3"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Табличен списък на нежеланите реакции</w:t>
      </w:r>
    </w:p>
    <w:p w14:paraId="7F9333E1"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lastRenderedPageBreak/>
        <w:t>Честотата на нежеланите реакции се определя чрез използване на следната конвенция: Много чести (≥1/10); чести (</w:t>
      </w:r>
      <w:r w:rsidRPr="001B3322">
        <w:rPr>
          <w:rFonts w:eastAsia="Times New Roman" w:cs="Arial"/>
          <w:i/>
          <w:iCs/>
          <w:color w:val="000000"/>
          <w:lang w:eastAsia="bg-BG"/>
        </w:rPr>
        <w:t>≥1/100 до &lt;1/10);</w:t>
      </w:r>
      <w:r w:rsidRPr="001B3322">
        <w:rPr>
          <w:rFonts w:eastAsia="Times New Roman" w:cs="Arial"/>
          <w:color w:val="000000"/>
          <w:lang w:eastAsia="bg-BG"/>
        </w:rPr>
        <w:t xml:space="preserve"> нечести (≥1/1 000 до &lt; 1/100); редки (≥1/10 000 до &lt; 1/1 000); много редки (&lt; 1/10 000), с неизвестна честота (от наличните данни не може да бъде направена оценка).</w:t>
      </w:r>
    </w:p>
    <w:p w14:paraId="7747D67D" w14:textId="77777777" w:rsidR="001B3322" w:rsidRPr="001B3322" w:rsidRDefault="001B3322" w:rsidP="001B3322">
      <w:pPr>
        <w:rPr>
          <w:rFonts w:eastAsia="Times New Roman" w:cs="Arial"/>
          <w:color w:val="000000"/>
          <w:lang w:eastAsia="bg-BG"/>
        </w:rPr>
      </w:pPr>
    </w:p>
    <w:p w14:paraId="58AF7B65" w14:textId="19FC62FD" w:rsidR="001B3322" w:rsidRPr="001B3322" w:rsidRDefault="001B3322" w:rsidP="001B3322">
      <w:pPr>
        <w:rPr>
          <w:rFonts w:eastAsia="Times New Roman" w:cs="Arial"/>
          <w:color w:val="000000"/>
          <w:lang w:eastAsia="bg-BG"/>
        </w:rPr>
      </w:pPr>
      <w:r w:rsidRPr="001B3322">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tbl>
      <w:tblPr>
        <w:tblStyle w:val="TableGrid"/>
        <w:tblW w:w="0" w:type="auto"/>
        <w:tblLook w:val="04A0" w:firstRow="1" w:lastRow="0" w:firstColumn="1" w:lastColumn="0" w:noHBand="0" w:noVBand="1"/>
      </w:tblPr>
      <w:tblGrid>
        <w:gridCol w:w="2097"/>
        <w:gridCol w:w="1691"/>
        <w:gridCol w:w="2037"/>
        <w:gridCol w:w="1350"/>
        <w:gridCol w:w="2175"/>
      </w:tblGrid>
      <w:tr w:rsidR="001B3322" w14:paraId="0C2EDD54" w14:textId="77777777" w:rsidTr="001B3322">
        <w:tc>
          <w:tcPr>
            <w:tcW w:w="1830" w:type="dxa"/>
          </w:tcPr>
          <w:p w14:paraId="5C747675" w14:textId="77777777" w:rsidR="001B3322" w:rsidRPr="001B3322" w:rsidRDefault="001B3322" w:rsidP="001B3322">
            <w:pPr>
              <w:rPr>
                <w:rFonts w:cs="Arial"/>
              </w:rPr>
            </w:pPr>
          </w:p>
        </w:tc>
        <w:tc>
          <w:tcPr>
            <w:tcW w:w="1826" w:type="dxa"/>
          </w:tcPr>
          <w:p w14:paraId="7AF1462F" w14:textId="04A1134B" w:rsidR="001B3322" w:rsidRPr="001B3322" w:rsidRDefault="001B3322" w:rsidP="001B3322">
            <w:pPr>
              <w:rPr>
                <w:rFonts w:cs="Arial"/>
              </w:rPr>
            </w:pPr>
            <w:r w:rsidRPr="001B3322">
              <w:rPr>
                <w:rFonts w:cs="Arial"/>
                <w:i/>
                <w:iCs/>
              </w:rPr>
              <w:t>Чести</w:t>
            </w:r>
          </w:p>
        </w:tc>
        <w:tc>
          <w:tcPr>
            <w:tcW w:w="1952" w:type="dxa"/>
          </w:tcPr>
          <w:p w14:paraId="151E778E" w14:textId="326DC9DC" w:rsidR="001B3322" w:rsidRPr="001B3322" w:rsidRDefault="001B3322" w:rsidP="001B3322">
            <w:pPr>
              <w:rPr>
                <w:rFonts w:cs="Arial"/>
              </w:rPr>
            </w:pPr>
            <w:r w:rsidRPr="001B3322">
              <w:rPr>
                <w:rFonts w:cs="Arial"/>
                <w:i/>
                <w:iCs/>
              </w:rPr>
              <w:t>Нечести</w:t>
            </w:r>
          </w:p>
        </w:tc>
        <w:tc>
          <w:tcPr>
            <w:tcW w:w="1761" w:type="dxa"/>
          </w:tcPr>
          <w:p w14:paraId="4CDD4D70" w14:textId="38E5DDCE" w:rsidR="001B3322" w:rsidRPr="001B3322" w:rsidRDefault="001B3322" w:rsidP="001B3322">
            <w:pPr>
              <w:rPr>
                <w:rFonts w:cs="Arial"/>
              </w:rPr>
            </w:pPr>
            <w:r w:rsidRPr="001B3322">
              <w:rPr>
                <w:rFonts w:cs="Arial"/>
                <w:i/>
                <w:iCs/>
              </w:rPr>
              <w:t>Много редки</w:t>
            </w:r>
          </w:p>
        </w:tc>
        <w:tc>
          <w:tcPr>
            <w:tcW w:w="2207" w:type="dxa"/>
          </w:tcPr>
          <w:p w14:paraId="60F0AD22" w14:textId="657AFC5A" w:rsidR="001B3322" w:rsidRPr="001B3322" w:rsidRDefault="001B3322" w:rsidP="001B3322">
            <w:pPr>
              <w:rPr>
                <w:rFonts w:cs="Arial"/>
              </w:rPr>
            </w:pPr>
            <w:r w:rsidRPr="001B3322">
              <w:rPr>
                <w:rFonts w:cs="Arial"/>
              </w:rPr>
              <w:t xml:space="preserve">С </w:t>
            </w:r>
            <w:r w:rsidRPr="001B3322">
              <w:rPr>
                <w:rFonts w:cs="Arial"/>
                <w:i/>
                <w:iCs/>
              </w:rPr>
              <w:t>неизвестна честота</w:t>
            </w:r>
          </w:p>
        </w:tc>
      </w:tr>
      <w:tr w:rsidR="001B3322" w14:paraId="5ADBA59C" w14:textId="77777777" w:rsidTr="001B3322">
        <w:tc>
          <w:tcPr>
            <w:tcW w:w="1830" w:type="dxa"/>
          </w:tcPr>
          <w:p w14:paraId="3A3004B4" w14:textId="77777777" w:rsidR="001B3322" w:rsidRPr="001B3322" w:rsidRDefault="001B3322" w:rsidP="001B3322">
            <w:pPr>
              <w:rPr>
                <w:rFonts w:cs="Arial"/>
              </w:rPr>
            </w:pPr>
            <w:r w:rsidRPr="001B3322">
              <w:rPr>
                <w:rFonts w:cs="Arial"/>
                <w:i/>
                <w:iCs/>
              </w:rPr>
              <w:t>Нарушения</w:t>
            </w:r>
            <w:r w:rsidRPr="001B3322">
              <w:rPr>
                <w:rFonts w:cs="Arial"/>
                <w:i/>
                <w:iCs/>
              </w:rPr>
              <w:tab/>
              <w:t>на</w:t>
            </w:r>
          </w:p>
          <w:p w14:paraId="5F313878" w14:textId="77777777" w:rsidR="001B3322" w:rsidRPr="001B3322" w:rsidRDefault="001B3322" w:rsidP="001B3322">
            <w:pPr>
              <w:rPr>
                <w:rFonts w:cs="Arial"/>
              </w:rPr>
            </w:pPr>
            <w:r w:rsidRPr="001B3322">
              <w:rPr>
                <w:rFonts w:cs="Arial"/>
                <w:i/>
                <w:iCs/>
              </w:rPr>
              <w:t>кръвта</w:t>
            </w:r>
            <w:r w:rsidRPr="001B3322">
              <w:rPr>
                <w:rFonts w:cs="Arial"/>
                <w:i/>
                <w:iCs/>
              </w:rPr>
              <w:tab/>
              <w:t>и</w:t>
            </w:r>
          </w:p>
          <w:p w14:paraId="7CED892C" w14:textId="7E502D94" w:rsidR="001B3322" w:rsidRPr="001B3322" w:rsidRDefault="001B3322" w:rsidP="001B3322">
            <w:pPr>
              <w:rPr>
                <w:rFonts w:cs="Arial"/>
              </w:rPr>
            </w:pPr>
            <w:r w:rsidRPr="001B3322">
              <w:rPr>
                <w:rFonts w:cs="Arial"/>
                <w:i/>
                <w:iCs/>
              </w:rPr>
              <w:t>лимфната система</w:t>
            </w:r>
          </w:p>
        </w:tc>
        <w:tc>
          <w:tcPr>
            <w:tcW w:w="1826" w:type="dxa"/>
          </w:tcPr>
          <w:p w14:paraId="3FB45CE3" w14:textId="77777777" w:rsidR="001B3322" w:rsidRPr="001B3322" w:rsidRDefault="001B3322" w:rsidP="001B3322">
            <w:pPr>
              <w:rPr>
                <w:rFonts w:cs="Arial"/>
              </w:rPr>
            </w:pPr>
          </w:p>
        </w:tc>
        <w:tc>
          <w:tcPr>
            <w:tcW w:w="1952" w:type="dxa"/>
          </w:tcPr>
          <w:p w14:paraId="21B0FFCF" w14:textId="2342620F" w:rsidR="001B3322" w:rsidRPr="001B3322" w:rsidRDefault="001B3322" w:rsidP="001B3322">
            <w:pPr>
              <w:rPr>
                <w:rFonts w:cs="Arial"/>
              </w:rPr>
            </w:pPr>
            <w:r w:rsidRPr="001B3322">
              <w:rPr>
                <w:rFonts w:cs="Arial"/>
              </w:rPr>
              <w:t>Понижен</w:t>
            </w:r>
            <w:r w:rsidRPr="001B3322">
              <w:rPr>
                <w:rFonts w:cs="Arial"/>
                <w:lang w:val="en-US"/>
              </w:rPr>
              <w:t xml:space="preserve"> </w:t>
            </w:r>
            <w:r w:rsidRPr="001B3322">
              <w:rPr>
                <w:rFonts w:cs="Arial"/>
              </w:rPr>
              <w:t>брой на</w:t>
            </w:r>
            <w:r w:rsidRPr="001B3322">
              <w:rPr>
                <w:rFonts w:cs="Arial"/>
                <w:lang w:val="en-US"/>
              </w:rPr>
              <w:t xml:space="preserve"> </w:t>
            </w:r>
            <w:r w:rsidRPr="001B3322">
              <w:rPr>
                <w:rFonts w:cs="Arial"/>
              </w:rPr>
              <w:t>Белите</w:t>
            </w:r>
            <w:r w:rsidRPr="001B3322">
              <w:rPr>
                <w:rFonts w:cs="Arial"/>
                <w:lang w:val="en-US"/>
              </w:rPr>
              <w:t xml:space="preserve"> </w:t>
            </w:r>
            <w:r w:rsidRPr="001B3322">
              <w:rPr>
                <w:rFonts w:cs="Arial"/>
              </w:rPr>
              <w:t>кръвни</w:t>
            </w:r>
          </w:p>
          <w:p w14:paraId="1E52772D" w14:textId="7AE5C505" w:rsidR="001B3322" w:rsidRPr="001B3322" w:rsidRDefault="001B3322" w:rsidP="001B3322">
            <w:pPr>
              <w:rPr>
                <w:rFonts w:cs="Arial"/>
              </w:rPr>
            </w:pPr>
            <w:r w:rsidRPr="001B3322">
              <w:rPr>
                <w:rFonts w:cs="Arial"/>
              </w:rPr>
              <w:t>клетки,</w:t>
            </w:r>
            <w:r w:rsidRPr="001B3322">
              <w:rPr>
                <w:rFonts w:cs="Arial"/>
                <w:lang w:val="en-US"/>
              </w:rPr>
              <w:t xml:space="preserve"> </w:t>
            </w:r>
            <w:r w:rsidRPr="001B3322">
              <w:rPr>
                <w:rFonts w:cs="Arial"/>
              </w:rPr>
              <w:t>понижен</w:t>
            </w:r>
          </w:p>
          <w:p w14:paraId="5CB2BE0E" w14:textId="145C8A77" w:rsidR="001B3322" w:rsidRPr="001B3322" w:rsidRDefault="001B3322" w:rsidP="001B3322">
            <w:pPr>
              <w:rPr>
                <w:rFonts w:cs="Arial"/>
              </w:rPr>
            </w:pPr>
            <w:r w:rsidRPr="001B3322">
              <w:rPr>
                <w:rFonts w:cs="Arial"/>
              </w:rPr>
              <w:t>брой</w:t>
            </w:r>
            <w:r w:rsidRPr="001B3322">
              <w:rPr>
                <w:rFonts w:cs="Arial"/>
                <w:lang w:val="en-US"/>
              </w:rPr>
              <w:t xml:space="preserve"> </w:t>
            </w:r>
            <w:r w:rsidRPr="001B3322">
              <w:rPr>
                <w:rFonts w:cs="Arial"/>
              </w:rPr>
              <w:t>червени</w:t>
            </w:r>
          </w:p>
          <w:p w14:paraId="50320E94" w14:textId="77777777" w:rsidR="001B3322" w:rsidRPr="001B3322" w:rsidRDefault="001B3322" w:rsidP="001B3322">
            <w:pPr>
              <w:rPr>
                <w:rFonts w:cs="Arial"/>
              </w:rPr>
            </w:pPr>
            <w:r w:rsidRPr="001B3322">
              <w:rPr>
                <w:rFonts w:cs="Arial"/>
              </w:rPr>
              <w:t>кръвни</w:t>
            </w:r>
            <w:r w:rsidRPr="001B3322">
              <w:rPr>
                <w:rFonts w:cs="Arial"/>
              </w:rPr>
              <w:tab/>
              <w:t>клетки,</w:t>
            </w:r>
          </w:p>
          <w:p w14:paraId="055C4CB5" w14:textId="2B662865" w:rsidR="001B3322" w:rsidRPr="001B3322" w:rsidRDefault="001B3322" w:rsidP="001B3322">
            <w:pPr>
              <w:rPr>
                <w:rFonts w:cs="Arial"/>
              </w:rPr>
            </w:pPr>
            <w:r w:rsidRPr="001B3322">
              <w:rPr>
                <w:rFonts w:cs="Arial"/>
              </w:rPr>
              <w:t>намален хемоглобин, хемолитична анемия, намален брой тромбоцити</w:t>
            </w:r>
          </w:p>
        </w:tc>
        <w:tc>
          <w:tcPr>
            <w:tcW w:w="1761" w:type="dxa"/>
          </w:tcPr>
          <w:p w14:paraId="40F75FDF" w14:textId="77777777" w:rsidR="001B3322" w:rsidRPr="001B3322" w:rsidRDefault="001B3322" w:rsidP="001B3322">
            <w:pPr>
              <w:rPr>
                <w:rFonts w:cs="Arial"/>
              </w:rPr>
            </w:pPr>
          </w:p>
        </w:tc>
        <w:tc>
          <w:tcPr>
            <w:tcW w:w="2207" w:type="dxa"/>
          </w:tcPr>
          <w:p w14:paraId="0928825C" w14:textId="158D6B8C" w:rsidR="001B3322" w:rsidRPr="001B3322" w:rsidRDefault="001B3322" w:rsidP="001B3322">
            <w:pPr>
              <w:rPr>
                <w:rFonts w:cs="Arial"/>
              </w:rPr>
            </w:pPr>
            <w:r w:rsidRPr="001B3322">
              <w:rPr>
                <w:rFonts w:cs="Arial"/>
              </w:rPr>
              <w:t>Костно-мозъчна</w:t>
            </w:r>
          </w:p>
          <w:p w14:paraId="6D25B69D" w14:textId="721DCAD3" w:rsidR="001B3322" w:rsidRPr="001B3322" w:rsidRDefault="001B3322" w:rsidP="001B3322">
            <w:pPr>
              <w:rPr>
                <w:rFonts w:cs="Arial"/>
              </w:rPr>
            </w:pPr>
            <w:r w:rsidRPr="001B3322">
              <w:rPr>
                <w:rFonts w:cs="Arial"/>
              </w:rPr>
              <w:t>супресия, неутропения, влючително агранулоцитоза, панцитопения, еозинофилия, хемоконцентрация, свързана с намаляване на телесни течности</w:t>
            </w:r>
          </w:p>
        </w:tc>
      </w:tr>
      <w:tr w:rsidR="001B3322" w14:paraId="4BE6E5DD" w14:textId="77777777" w:rsidTr="001B3322">
        <w:tc>
          <w:tcPr>
            <w:tcW w:w="1830" w:type="dxa"/>
          </w:tcPr>
          <w:p w14:paraId="7BFB04D3" w14:textId="77777777" w:rsidR="001B3322" w:rsidRPr="001B3322" w:rsidRDefault="001B3322" w:rsidP="001B3322">
            <w:pPr>
              <w:rPr>
                <w:rFonts w:cs="Arial"/>
              </w:rPr>
            </w:pPr>
            <w:r w:rsidRPr="001B3322">
              <w:rPr>
                <w:rFonts w:cs="Arial"/>
                <w:i/>
                <w:iCs/>
              </w:rPr>
              <w:t>Нарушения</w:t>
            </w:r>
            <w:r w:rsidRPr="001B3322">
              <w:rPr>
                <w:rFonts w:cs="Arial"/>
                <w:i/>
                <w:iCs/>
              </w:rPr>
              <w:tab/>
              <w:t>на</w:t>
            </w:r>
          </w:p>
          <w:p w14:paraId="376D4630" w14:textId="67F4FC60" w:rsidR="001B3322" w:rsidRPr="001B3322" w:rsidRDefault="001B3322" w:rsidP="001B3322">
            <w:pPr>
              <w:rPr>
                <w:rFonts w:cs="Arial"/>
              </w:rPr>
            </w:pPr>
            <w:r w:rsidRPr="001B3322">
              <w:rPr>
                <w:rFonts w:cs="Arial"/>
                <w:i/>
                <w:iCs/>
              </w:rPr>
              <w:t>имунната система</w:t>
            </w:r>
          </w:p>
        </w:tc>
        <w:tc>
          <w:tcPr>
            <w:tcW w:w="1826" w:type="dxa"/>
          </w:tcPr>
          <w:p w14:paraId="762A6438" w14:textId="77777777" w:rsidR="001B3322" w:rsidRPr="001B3322" w:rsidRDefault="001B3322" w:rsidP="001B3322">
            <w:pPr>
              <w:rPr>
                <w:rFonts w:cs="Arial"/>
              </w:rPr>
            </w:pPr>
          </w:p>
        </w:tc>
        <w:tc>
          <w:tcPr>
            <w:tcW w:w="1952" w:type="dxa"/>
          </w:tcPr>
          <w:p w14:paraId="5353AECE" w14:textId="77777777" w:rsidR="001B3322" w:rsidRPr="001B3322" w:rsidRDefault="001B3322" w:rsidP="001B3322">
            <w:pPr>
              <w:rPr>
                <w:rFonts w:cs="Arial"/>
              </w:rPr>
            </w:pPr>
          </w:p>
        </w:tc>
        <w:tc>
          <w:tcPr>
            <w:tcW w:w="1761" w:type="dxa"/>
          </w:tcPr>
          <w:p w14:paraId="4C65F56B" w14:textId="77777777" w:rsidR="001B3322" w:rsidRPr="001B3322" w:rsidRDefault="001B3322" w:rsidP="001B3322">
            <w:pPr>
              <w:rPr>
                <w:rFonts w:cs="Arial"/>
              </w:rPr>
            </w:pPr>
          </w:p>
        </w:tc>
        <w:tc>
          <w:tcPr>
            <w:tcW w:w="2207" w:type="dxa"/>
          </w:tcPr>
          <w:p w14:paraId="3C82D41B" w14:textId="42474FEF" w:rsidR="001B3322" w:rsidRPr="001B3322" w:rsidRDefault="001B3322" w:rsidP="001B3322">
            <w:pPr>
              <w:rPr>
                <w:rFonts w:cs="Arial"/>
              </w:rPr>
            </w:pPr>
            <w:r w:rsidRPr="001B3322">
              <w:rPr>
                <w:rFonts w:cs="Arial"/>
              </w:rPr>
              <w:t>Анафилактични</w:t>
            </w:r>
            <w:r w:rsidRPr="001B3322">
              <w:rPr>
                <w:rFonts w:cs="Arial"/>
                <w:lang w:val="en-US"/>
              </w:rPr>
              <w:t xml:space="preserve"> </w:t>
            </w:r>
            <w:r w:rsidRPr="001B3322">
              <w:rPr>
                <w:rFonts w:cs="Arial"/>
              </w:rPr>
              <w:t>или</w:t>
            </w:r>
          </w:p>
          <w:p w14:paraId="7E84E8E0" w14:textId="020FD280" w:rsidR="001B3322" w:rsidRPr="001B3322" w:rsidRDefault="001B3322" w:rsidP="001B3322">
            <w:pPr>
              <w:rPr>
                <w:rFonts w:cs="Arial"/>
              </w:rPr>
            </w:pPr>
            <w:r w:rsidRPr="001B3322">
              <w:rPr>
                <w:rFonts w:cs="Arial"/>
              </w:rPr>
              <w:t>анафилактоидни реакции, свързани както с рамиприл, така и с хидрохлоротиазид, повишени антинуклеарни антитела</w:t>
            </w:r>
          </w:p>
        </w:tc>
      </w:tr>
      <w:tr w:rsidR="001B3322" w14:paraId="485A4415" w14:textId="77777777" w:rsidTr="001B3322">
        <w:tc>
          <w:tcPr>
            <w:tcW w:w="1830" w:type="dxa"/>
          </w:tcPr>
          <w:p w14:paraId="740D3F4D" w14:textId="340B1EF0" w:rsidR="001B3322" w:rsidRPr="001B3322" w:rsidRDefault="001B3322" w:rsidP="001B3322">
            <w:pPr>
              <w:rPr>
                <w:rFonts w:cs="Arial"/>
              </w:rPr>
            </w:pPr>
            <w:r w:rsidRPr="001B3322">
              <w:rPr>
                <w:rFonts w:cs="Arial"/>
                <w:i/>
                <w:iCs/>
              </w:rPr>
              <w:t>Ендокринни нарушения</w:t>
            </w:r>
          </w:p>
        </w:tc>
        <w:tc>
          <w:tcPr>
            <w:tcW w:w="1826" w:type="dxa"/>
          </w:tcPr>
          <w:p w14:paraId="3B425C04" w14:textId="77777777" w:rsidR="001B3322" w:rsidRPr="001B3322" w:rsidRDefault="001B3322" w:rsidP="001B3322">
            <w:pPr>
              <w:rPr>
                <w:rFonts w:cs="Arial"/>
              </w:rPr>
            </w:pPr>
          </w:p>
        </w:tc>
        <w:tc>
          <w:tcPr>
            <w:tcW w:w="1952" w:type="dxa"/>
          </w:tcPr>
          <w:p w14:paraId="7BD0E6C8" w14:textId="77777777" w:rsidR="001B3322" w:rsidRPr="001B3322" w:rsidRDefault="001B3322" w:rsidP="001B3322">
            <w:pPr>
              <w:rPr>
                <w:rFonts w:cs="Arial"/>
              </w:rPr>
            </w:pPr>
          </w:p>
        </w:tc>
        <w:tc>
          <w:tcPr>
            <w:tcW w:w="1761" w:type="dxa"/>
          </w:tcPr>
          <w:p w14:paraId="183284FD" w14:textId="77777777" w:rsidR="001B3322" w:rsidRPr="001B3322" w:rsidRDefault="001B3322" w:rsidP="001B3322">
            <w:pPr>
              <w:rPr>
                <w:rFonts w:cs="Arial"/>
              </w:rPr>
            </w:pPr>
          </w:p>
        </w:tc>
        <w:tc>
          <w:tcPr>
            <w:tcW w:w="2207" w:type="dxa"/>
          </w:tcPr>
          <w:p w14:paraId="29AEBE00" w14:textId="77777777" w:rsidR="001B3322" w:rsidRPr="001B3322" w:rsidRDefault="001B3322" w:rsidP="001B3322">
            <w:pPr>
              <w:rPr>
                <w:rFonts w:cs="Arial"/>
              </w:rPr>
            </w:pPr>
            <w:r w:rsidRPr="001B3322">
              <w:rPr>
                <w:rFonts w:cs="Arial"/>
              </w:rPr>
              <w:t xml:space="preserve">Синдром на неподходящата секреция на </w:t>
            </w:r>
            <w:r w:rsidRPr="001B3322">
              <w:rPr>
                <w:rFonts w:cs="Arial"/>
                <w:u w:val="single"/>
              </w:rPr>
              <w:t>антид</w:t>
            </w:r>
            <w:r w:rsidRPr="001B3322">
              <w:rPr>
                <w:rFonts w:cs="Arial"/>
              </w:rPr>
              <w:t>иуретичен</w:t>
            </w:r>
          </w:p>
          <w:p w14:paraId="65249AFA" w14:textId="2FBBC431" w:rsidR="001B3322" w:rsidRPr="001B3322" w:rsidRDefault="001B3322" w:rsidP="001B3322">
            <w:pPr>
              <w:rPr>
                <w:rFonts w:cs="Arial"/>
              </w:rPr>
            </w:pPr>
            <w:r w:rsidRPr="001B3322">
              <w:rPr>
                <w:rFonts w:cs="Arial"/>
              </w:rPr>
              <w:t>хормон (</w:t>
            </w:r>
            <w:r w:rsidRPr="001B3322">
              <w:rPr>
                <w:rFonts w:cs="Arial"/>
                <w:lang w:val="en-US"/>
              </w:rPr>
              <w:t>SIADH)</w:t>
            </w:r>
          </w:p>
        </w:tc>
      </w:tr>
      <w:tr w:rsidR="001B3322" w14:paraId="054C04DC" w14:textId="77777777" w:rsidTr="001B3322">
        <w:tc>
          <w:tcPr>
            <w:tcW w:w="1830" w:type="dxa"/>
          </w:tcPr>
          <w:p w14:paraId="49F2BC9C" w14:textId="2A41647E" w:rsidR="001B3322" w:rsidRPr="001B3322" w:rsidRDefault="001B3322" w:rsidP="001B3322">
            <w:pPr>
              <w:rPr>
                <w:rFonts w:cs="Arial"/>
                <w:lang w:val="en-US"/>
              </w:rPr>
            </w:pPr>
            <w:r w:rsidRPr="001B3322">
              <w:rPr>
                <w:rFonts w:cs="Arial"/>
                <w:i/>
                <w:iCs/>
              </w:rPr>
              <w:t>Нарушения</w:t>
            </w:r>
            <w:r w:rsidRPr="001B3322">
              <w:rPr>
                <w:rFonts w:cs="Arial"/>
                <w:i/>
                <w:iCs/>
                <w:lang w:val="en-US"/>
              </w:rPr>
              <w:t xml:space="preserve"> </w:t>
            </w:r>
            <w:r w:rsidRPr="001B3322">
              <w:rPr>
                <w:rFonts w:cs="Arial"/>
                <w:i/>
                <w:iCs/>
              </w:rPr>
              <w:t>на</w:t>
            </w:r>
            <w:r w:rsidRPr="001B3322">
              <w:rPr>
                <w:rFonts w:cs="Arial"/>
                <w:i/>
                <w:iCs/>
                <w:lang w:val="en-US"/>
              </w:rPr>
              <w:t xml:space="preserve"> </w:t>
            </w:r>
            <w:r w:rsidRPr="001B3322">
              <w:rPr>
                <w:rFonts w:cs="Arial"/>
                <w:i/>
                <w:iCs/>
              </w:rPr>
              <w:t>метаболизма и храненето</w:t>
            </w:r>
          </w:p>
        </w:tc>
        <w:tc>
          <w:tcPr>
            <w:tcW w:w="1826" w:type="dxa"/>
          </w:tcPr>
          <w:p w14:paraId="77FDF74C" w14:textId="50A36D1A" w:rsidR="001B3322" w:rsidRPr="001B3322" w:rsidRDefault="001B3322" w:rsidP="001B3322">
            <w:pPr>
              <w:rPr>
                <w:rFonts w:eastAsia="Times New Roman" w:cs="Arial"/>
                <w:lang w:eastAsia="bg-BG"/>
              </w:rPr>
            </w:pPr>
            <w:r w:rsidRPr="001B3322">
              <w:rPr>
                <w:rFonts w:cs="Arial"/>
              </w:rPr>
              <w:t>Недобре</w:t>
            </w:r>
            <w:r w:rsidRPr="001B3322">
              <w:rPr>
                <w:rFonts w:cs="Arial"/>
                <w:lang w:val="en-US"/>
              </w:rPr>
              <w:t xml:space="preserve"> </w:t>
            </w:r>
            <w:r w:rsidRPr="001B3322">
              <w:rPr>
                <w:rFonts w:eastAsia="Times New Roman" w:cs="Arial"/>
                <w:color w:val="000000"/>
                <w:lang w:eastAsia="bg-BG"/>
              </w:rPr>
              <w:t>контролиран захарен диабет, намален глюкозен толеранс, повишено ниво</w:t>
            </w:r>
            <w:r w:rsidRPr="001B3322">
              <w:rPr>
                <w:rFonts w:eastAsia="Times New Roman" w:cs="Arial"/>
                <w:color w:val="000000"/>
                <w:lang w:val="en-US" w:eastAsia="bg-BG"/>
              </w:rPr>
              <w:t xml:space="preserve"> </w:t>
            </w:r>
            <w:r w:rsidRPr="001B3322">
              <w:rPr>
                <w:rFonts w:eastAsia="Times New Roman" w:cs="Arial"/>
                <w:color w:val="000000"/>
                <w:lang w:eastAsia="bg-BG"/>
              </w:rPr>
              <w:t>на</w:t>
            </w:r>
          </w:p>
          <w:p w14:paraId="65050FC0" w14:textId="37A6F650"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кръвната захар, повишено ниво</w:t>
            </w:r>
            <w:r w:rsidRPr="001B3322">
              <w:rPr>
                <w:rFonts w:eastAsia="Times New Roman" w:cs="Arial"/>
                <w:color w:val="000000"/>
                <w:lang w:val="en-US" w:eastAsia="bg-BG"/>
              </w:rPr>
              <w:t xml:space="preserve"> </w:t>
            </w:r>
            <w:r w:rsidRPr="001B3322">
              <w:rPr>
                <w:rFonts w:eastAsia="Times New Roman" w:cs="Arial"/>
                <w:color w:val="000000"/>
                <w:lang w:eastAsia="bg-BG"/>
              </w:rPr>
              <w:t>на</w:t>
            </w:r>
          </w:p>
          <w:p w14:paraId="0E3A1D62" w14:textId="2155631C"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lastRenderedPageBreak/>
              <w:t>пикочната киселина в кръвта, обострена подагра, повишени кръвни нива на холестерола и/</w:t>
            </w:r>
            <w:r w:rsidRPr="001B3322">
              <w:rPr>
                <w:rFonts w:eastAsia="Times New Roman" w:cs="Arial"/>
                <w:color w:val="000000"/>
                <w:lang w:val="en-US" w:eastAsia="bg-BG"/>
              </w:rPr>
              <w:t xml:space="preserve"> </w:t>
            </w:r>
            <w:r w:rsidRPr="001B3322">
              <w:rPr>
                <w:rFonts w:eastAsia="Times New Roman" w:cs="Arial"/>
                <w:color w:val="000000"/>
                <w:lang w:eastAsia="bg-BG"/>
              </w:rPr>
              <w:t>или</w:t>
            </w:r>
          </w:p>
          <w:p w14:paraId="6685E9E7" w14:textId="71477C01"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триглицеридите</w:t>
            </w:r>
            <w:r w:rsidRPr="001B3322">
              <w:rPr>
                <w:rFonts w:eastAsia="Times New Roman" w:cs="Arial"/>
                <w:color w:val="000000"/>
                <w:lang w:val="en-US" w:eastAsia="bg-BG"/>
              </w:rPr>
              <w:t xml:space="preserve"> </w:t>
            </w:r>
            <w:r w:rsidRPr="001B3322">
              <w:rPr>
                <w:rFonts w:eastAsia="Times New Roman" w:cs="Arial"/>
                <w:color w:val="000000"/>
                <w:lang w:eastAsia="bg-BG"/>
              </w:rPr>
              <w:t>поради</w:t>
            </w:r>
          </w:p>
          <w:p w14:paraId="3A6B30B0"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хидрохлороти азида</w:t>
            </w:r>
          </w:p>
          <w:p w14:paraId="003A847E" w14:textId="3D37ADC0" w:rsidR="001B3322" w:rsidRPr="001B3322" w:rsidRDefault="001B3322" w:rsidP="001B3322">
            <w:pPr>
              <w:rPr>
                <w:rFonts w:cs="Arial"/>
                <w:lang w:val="en-US"/>
              </w:rPr>
            </w:pPr>
          </w:p>
        </w:tc>
        <w:tc>
          <w:tcPr>
            <w:tcW w:w="1952" w:type="dxa"/>
          </w:tcPr>
          <w:p w14:paraId="12056310" w14:textId="77777777" w:rsidR="001B3322" w:rsidRPr="001B3322" w:rsidRDefault="001B3322" w:rsidP="001B3322">
            <w:pPr>
              <w:rPr>
                <w:rFonts w:eastAsia="Times New Roman" w:cs="Arial"/>
                <w:lang w:eastAsia="bg-BG"/>
              </w:rPr>
            </w:pPr>
            <w:r w:rsidRPr="001B3322">
              <w:rPr>
                <w:rFonts w:cs="Arial"/>
              </w:rPr>
              <w:lastRenderedPageBreak/>
              <w:t>Анорексия,</w:t>
            </w:r>
            <w:r w:rsidRPr="001B3322">
              <w:rPr>
                <w:rFonts w:cs="Arial"/>
                <w:lang w:val="en-US"/>
              </w:rPr>
              <w:t xml:space="preserve"> </w:t>
            </w:r>
            <w:r w:rsidRPr="001B3322">
              <w:rPr>
                <w:rFonts w:eastAsia="Times New Roman" w:cs="Arial"/>
                <w:color w:val="000000"/>
                <w:lang w:eastAsia="bg-BG"/>
              </w:rPr>
              <w:t>понижен апетит</w:t>
            </w:r>
          </w:p>
          <w:p w14:paraId="73B61CA6"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Намален калий в кръвта,</w:t>
            </w:r>
            <w:r w:rsidRPr="001B3322">
              <w:rPr>
                <w:rFonts w:eastAsia="Times New Roman" w:cs="Arial"/>
                <w:color w:val="000000"/>
                <w:lang w:eastAsia="bg-BG"/>
              </w:rPr>
              <w:tab/>
              <w:t>жажда</w:t>
            </w:r>
          </w:p>
          <w:p w14:paraId="5FF984C0" w14:textId="2C760338" w:rsidR="001B3322" w:rsidRPr="001B3322" w:rsidRDefault="001B3322" w:rsidP="001B3322">
            <w:pPr>
              <w:rPr>
                <w:rFonts w:cs="Arial"/>
                <w:lang w:val="en-US"/>
              </w:rPr>
            </w:pPr>
            <w:r w:rsidRPr="001B3322">
              <w:rPr>
                <w:rFonts w:eastAsia="Times New Roman" w:cs="Arial"/>
                <w:color w:val="000000"/>
                <w:lang w:eastAsia="bg-BG"/>
              </w:rPr>
              <w:t>поради хидрохлоротиазид а</w:t>
            </w:r>
          </w:p>
        </w:tc>
        <w:tc>
          <w:tcPr>
            <w:tcW w:w="1761" w:type="dxa"/>
          </w:tcPr>
          <w:p w14:paraId="0266B5B0" w14:textId="7D1AC0B7" w:rsidR="001B3322" w:rsidRPr="001B3322" w:rsidRDefault="001B3322" w:rsidP="001B3322">
            <w:pPr>
              <w:rPr>
                <w:rFonts w:cs="Arial"/>
                <w:lang w:val="en-US"/>
              </w:rPr>
            </w:pPr>
            <w:r w:rsidRPr="001B3322">
              <w:rPr>
                <w:rFonts w:cs="Arial"/>
              </w:rPr>
              <w:t>Повишено ниво</w:t>
            </w:r>
            <w:r w:rsidRPr="001B3322">
              <w:rPr>
                <w:rFonts w:cs="Arial"/>
                <w:lang w:val="en-US"/>
              </w:rPr>
              <w:t xml:space="preserve"> </w:t>
            </w:r>
            <w:r w:rsidRPr="001B3322">
              <w:rPr>
                <w:rFonts w:cs="Arial"/>
              </w:rPr>
              <w:t>на калий в кръвта поради рамиприл</w:t>
            </w:r>
          </w:p>
        </w:tc>
        <w:tc>
          <w:tcPr>
            <w:tcW w:w="2207" w:type="dxa"/>
          </w:tcPr>
          <w:p w14:paraId="5F8ADECF" w14:textId="77777777" w:rsidR="001B3322" w:rsidRPr="001B3322" w:rsidRDefault="001B3322" w:rsidP="001B3322">
            <w:pPr>
              <w:rPr>
                <w:rFonts w:eastAsia="Times New Roman" w:cs="Arial"/>
                <w:lang w:eastAsia="bg-BG"/>
              </w:rPr>
            </w:pPr>
            <w:r w:rsidRPr="001B3322">
              <w:rPr>
                <w:rFonts w:cs="Arial"/>
              </w:rPr>
              <w:t>Понижено ниво на</w:t>
            </w:r>
            <w:r w:rsidRPr="001B3322">
              <w:rPr>
                <w:rFonts w:cs="Arial"/>
                <w:lang w:val="en-US"/>
              </w:rPr>
              <w:t xml:space="preserve"> </w:t>
            </w:r>
            <w:r w:rsidRPr="001B3322">
              <w:rPr>
                <w:rFonts w:eastAsia="Times New Roman" w:cs="Arial"/>
                <w:color w:val="000000"/>
                <w:lang w:eastAsia="bg-BG"/>
              </w:rPr>
              <w:t>натрия в кръвта</w:t>
            </w:r>
          </w:p>
          <w:p w14:paraId="6D92888F"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Глюкозурия, метаболитна алкалоза, хипохлоремия, хипомагнезиемия, хиперкалциемия, дехидратация поради хидрохлоротиазида</w:t>
            </w:r>
          </w:p>
          <w:p w14:paraId="3954CD12" w14:textId="298DBC3A" w:rsidR="001B3322" w:rsidRPr="001B3322" w:rsidRDefault="001B3322" w:rsidP="001B3322">
            <w:pPr>
              <w:rPr>
                <w:rFonts w:cs="Arial"/>
                <w:lang w:val="en-US"/>
              </w:rPr>
            </w:pPr>
          </w:p>
        </w:tc>
      </w:tr>
      <w:tr w:rsidR="001B3322" w14:paraId="011739CA" w14:textId="77777777" w:rsidTr="001B3322">
        <w:tc>
          <w:tcPr>
            <w:tcW w:w="1830" w:type="dxa"/>
          </w:tcPr>
          <w:p w14:paraId="506323D1" w14:textId="7001D350" w:rsidR="001B3322" w:rsidRPr="001B3322" w:rsidRDefault="001B3322" w:rsidP="001B3322">
            <w:pPr>
              <w:rPr>
                <w:rFonts w:cs="Arial"/>
              </w:rPr>
            </w:pPr>
            <w:r w:rsidRPr="001B3322">
              <w:rPr>
                <w:rFonts w:cs="Arial"/>
                <w:i/>
                <w:iCs/>
              </w:rPr>
              <w:t>Психични нарушения</w:t>
            </w:r>
          </w:p>
        </w:tc>
        <w:tc>
          <w:tcPr>
            <w:tcW w:w="1826" w:type="dxa"/>
          </w:tcPr>
          <w:p w14:paraId="0661F61A" w14:textId="77777777" w:rsidR="001B3322" w:rsidRPr="001B3322" w:rsidRDefault="001B3322" w:rsidP="001B3322">
            <w:pPr>
              <w:rPr>
                <w:rFonts w:cs="Arial"/>
              </w:rPr>
            </w:pPr>
          </w:p>
        </w:tc>
        <w:tc>
          <w:tcPr>
            <w:tcW w:w="1952" w:type="dxa"/>
            <w:vAlign w:val="bottom"/>
          </w:tcPr>
          <w:p w14:paraId="1114A518" w14:textId="77777777" w:rsidR="001B3322" w:rsidRPr="001B3322" w:rsidRDefault="001B3322" w:rsidP="001B3322">
            <w:pPr>
              <w:rPr>
                <w:rFonts w:cs="Arial"/>
              </w:rPr>
            </w:pPr>
            <w:r w:rsidRPr="001B3322">
              <w:rPr>
                <w:rFonts w:cs="Arial"/>
              </w:rPr>
              <w:t>Понижено настроение, апатия, тревожност, нервност, нарушение</w:t>
            </w:r>
            <w:r w:rsidRPr="001B3322">
              <w:rPr>
                <w:rFonts w:cs="Arial"/>
              </w:rPr>
              <w:tab/>
              <w:t>на</w:t>
            </w:r>
          </w:p>
          <w:p w14:paraId="772AE981" w14:textId="600E351A" w:rsidR="001B3322" w:rsidRPr="001B3322" w:rsidRDefault="001B3322" w:rsidP="001B3322">
            <w:pPr>
              <w:rPr>
                <w:rFonts w:cs="Arial"/>
              </w:rPr>
            </w:pPr>
            <w:r w:rsidRPr="001B3322">
              <w:rPr>
                <w:rFonts w:cs="Arial"/>
              </w:rPr>
              <w:t>съня, включително сънливост</w:t>
            </w:r>
          </w:p>
        </w:tc>
        <w:tc>
          <w:tcPr>
            <w:tcW w:w="1761" w:type="dxa"/>
          </w:tcPr>
          <w:p w14:paraId="444D048E" w14:textId="77777777" w:rsidR="001B3322" w:rsidRPr="001B3322" w:rsidRDefault="001B3322" w:rsidP="001B3322">
            <w:pPr>
              <w:rPr>
                <w:rFonts w:cs="Arial"/>
              </w:rPr>
            </w:pPr>
          </w:p>
        </w:tc>
        <w:tc>
          <w:tcPr>
            <w:tcW w:w="2207" w:type="dxa"/>
          </w:tcPr>
          <w:p w14:paraId="1C1806CE" w14:textId="6958EB06" w:rsidR="001B3322" w:rsidRPr="001B3322" w:rsidRDefault="001B3322" w:rsidP="001B3322">
            <w:pPr>
              <w:rPr>
                <w:rFonts w:cs="Arial"/>
              </w:rPr>
            </w:pPr>
            <w:r w:rsidRPr="001B3322">
              <w:rPr>
                <w:rFonts w:cs="Arial"/>
              </w:rPr>
              <w:t>Състояние</w:t>
            </w:r>
            <w:r w:rsidRPr="001B3322">
              <w:rPr>
                <w:rFonts w:cs="Arial"/>
                <w:lang w:val="en-US"/>
              </w:rPr>
              <w:t xml:space="preserve"> </w:t>
            </w:r>
            <w:r w:rsidRPr="001B3322">
              <w:rPr>
                <w:rFonts w:cs="Arial"/>
              </w:rPr>
              <w:t>на</w:t>
            </w:r>
          </w:p>
          <w:p w14:paraId="59B49DD1" w14:textId="60C9D6F0" w:rsidR="001B3322" w:rsidRPr="001B3322" w:rsidRDefault="001B3322" w:rsidP="001B3322">
            <w:pPr>
              <w:rPr>
                <w:rFonts w:cs="Arial"/>
              </w:rPr>
            </w:pPr>
            <w:r w:rsidRPr="001B3322">
              <w:rPr>
                <w:rFonts w:cs="Arial"/>
              </w:rPr>
              <w:t>обърканост, безпокойство, нарушено внимание</w:t>
            </w:r>
          </w:p>
        </w:tc>
      </w:tr>
      <w:tr w:rsidR="001B3322" w14:paraId="6E20F909" w14:textId="77777777" w:rsidTr="001B3322">
        <w:tc>
          <w:tcPr>
            <w:tcW w:w="1830" w:type="dxa"/>
          </w:tcPr>
          <w:p w14:paraId="3A47A7AE" w14:textId="77777777" w:rsidR="001B3322" w:rsidRPr="001B3322" w:rsidRDefault="001B3322" w:rsidP="001B3322">
            <w:pPr>
              <w:rPr>
                <w:rFonts w:cs="Arial"/>
              </w:rPr>
            </w:pPr>
            <w:r w:rsidRPr="001B3322">
              <w:rPr>
                <w:rFonts w:cs="Arial"/>
                <w:i/>
                <w:iCs/>
              </w:rPr>
              <w:t>Нарушения</w:t>
            </w:r>
            <w:r w:rsidRPr="001B3322">
              <w:rPr>
                <w:rFonts w:cs="Arial"/>
                <w:i/>
                <w:iCs/>
              </w:rPr>
              <w:tab/>
              <w:t>на</w:t>
            </w:r>
          </w:p>
          <w:p w14:paraId="7310AC35" w14:textId="69F886AA" w:rsidR="001B3322" w:rsidRPr="001B3322" w:rsidRDefault="001B3322" w:rsidP="001B3322">
            <w:pPr>
              <w:rPr>
                <w:rFonts w:cs="Arial"/>
              </w:rPr>
            </w:pPr>
            <w:r w:rsidRPr="001B3322">
              <w:rPr>
                <w:rFonts w:cs="Arial"/>
                <w:i/>
                <w:iCs/>
              </w:rPr>
              <w:t>нервната система</w:t>
            </w:r>
          </w:p>
        </w:tc>
        <w:tc>
          <w:tcPr>
            <w:tcW w:w="1826" w:type="dxa"/>
          </w:tcPr>
          <w:p w14:paraId="61AB6570" w14:textId="7E531A65" w:rsidR="001B3322" w:rsidRPr="001B3322" w:rsidRDefault="001B3322" w:rsidP="001B3322">
            <w:pPr>
              <w:rPr>
                <w:rFonts w:cs="Arial"/>
              </w:rPr>
            </w:pPr>
            <w:r w:rsidRPr="001B3322">
              <w:rPr>
                <w:rFonts w:cs="Arial"/>
              </w:rPr>
              <w:t>Главоболие, замайване</w:t>
            </w:r>
          </w:p>
        </w:tc>
        <w:tc>
          <w:tcPr>
            <w:tcW w:w="1952" w:type="dxa"/>
            <w:vAlign w:val="bottom"/>
          </w:tcPr>
          <w:p w14:paraId="075F6C8E" w14:textId="55289172" w:rsidR="001B3322" w:rsidRPr="001B3322" w:rsidRDefault="001B3322" w:rsidP="001B3322">
            <w:pPr>
              <w:rPr>
                <w:rFonts w:cs="Arial"/>
              </w:rPr>
            </w:pPr>
            <w:r w:rsidRPr="001B3322">
              <w:rPr>
                <w:rFonts w:cs="Arial"/>
              </w:rPr>
              <w:t>Световъртеж, парестезия, тремор, нарушено равновесие, усещане за парене, дисгеузия, агеузия</w:t>
            </w:r>
          </w:p>
        </w:tc>
        <w:tc>
          <w:tcPr>
            <w:tcW w:w="1761" w:type="dxa"/>
          </w:tcPr>
          <w:p w14:paraId="72D44884" w14:textId="77777777" w:rsidR="001B3322" w:rsidRPr="001B3322" w:rsidRDefault="001B3322" w:rsidP="001B3322">
            <w:pPr>
              <w:rPr>
                <w:rFonts w:cs="Arial"/>
              </w:rPr>
            </w:pPr>
          </w:p>
        </w:tc>
        <w:tc>
          <w:tcPr>
            <w:tcW w:w="2207" w:type="dxa"/>
            <w:vAlign w:val="bottom"/>
          </w:tcPr>
          <w:p w14:paraId="1060ACE4" w14:textId="58473155" w:rsidR="001B3322" w:rsidRPr="001B3322" w:rsidRDefault="001B3322" w:rsidP="001B3322">
            <w:pPr>
              <w:rPr>
                <w:rFonts w:cs="Arial"/>
              </w:rPr>
            </w:pPr>
            <w:r w:rsidRPr="001B3322">
              <w:rPr>
                <w:rFonts w:cs="Arial"/>
              </w:rPr>
              <w:t>Мозъчна</w:t>
            </w:r>
            <w:r w:rsidRPr="001B3322">
              <w:rPr>
                <w:rFonts w:cs="Arial"/>
                <w:lang w:val="en-US"/>
              </w:rPr>
              <w:t xml:space="preserve"> </w:t>
            </w:r>
            <w:r w:rsidRPr="001B3322">
              <w:rPr>
                <w:rFonts w:cs="Arial"/>
              </w:rPr>
              <w:t>исхемия,</w:t>
            </w:r>
          </w:p>
          <w:p w14:paraId="67D55E93" w14:textId="3128B4B8" w:rsidR="001B3322" w:rsidRPr="001B3322" w:rsidRDefault="001B3322" w:rsidP="001B3322">
            <w:pPr>
              <w:rPr>
                <w:rFonts w:cs="Arial"/>
              </w:rPr>
            </w:pPr>
            <w:r w:rsidRPr="001B3322">
              <w:rPr>
                <w:rFonts w:cs="Arial"/>
              </w:rPr>
              <w:t>включително исхемичен инсулт и транзиторна исхемична</w:t>
            </w:r>
            <w:r w:rsidRPr="001B3322">
              <w:rPr>
                <w:rFonts w:cs="Arial"/>
                <w:lang w:val="en-US"/>
              </w:rPr>
              <w:t xml:space="preserve"> </w:t>
            </w:r>
            <w:r w:rsidRPr="001B3322">
              <w:rPr>
                <w:rFonts w:cs="Arial"/>
              </w:rPr>
              <w:t>атака,</w:t>
            </w:r>
          </w:p>
          <w:p w14:paraId="54EEF45A" w14:textId="7F9A0CA2" w:rsidR="001B3322" w:rsidRPr="001B3322" w:rsidRDefault="001B3322" w:rsidP="001B3322">
            <w:pPr>
              <w:rPr>
                <w:rFonts w:cs="Arial"/>
              </w:rPr>
            </w:pPr>
            <w:r w:rsidRPr="001B3322">
              <w:rPr>
                <w:rFonts w:cs="Arial"/>
              </w:rPr>
              <w:t>психомоторни нарушения, паросмия</w:t>
            </w:r>
          </w:p>
        </w:tc>
      </w:tr>
      <w:tr w:rsidR="001B3322" w14:paraId="3BDB77B5" w14:textId="77777777" w:rsidTr="001B3322">
        <w:tc>
          <w:tcPr>
            <w:tcW w:w="1830" w:type="dxa"/>
          </w:tcPr>
          <w:p w14:paraId="53E39DE2" w14:textId="736F7B78" w:rsidR="001B3322" w:rsidRPr="001B3322" w:rsidRDefault="001B3322" w:rsidP="001B3322">
            <w:pPr>
              <w:rPr>
                <w:rFonts w:cs="Arial"/>
              </w:rPr>
            </w:pPr>
            <w:r w:rsidRPr="001B3322">
              <w:rPr>
                <w:rFonts w:cs="Arial"/>
                <w:i/>
                <w:iCs/>
              </w:rPr>
              <w:t>Нарушения</w:t>
            </w:r>
            <w:r w:rsidRPr="001B3322">
              <w:rPr>
                <w:rFonts w:cs="Arial"/>
                <w:i/>
                <w:iCs/>
                <w:lang w:val="en-US"/>
              </w:rPr>
              <w:t xml:space="preserve"> </w:t>
            </w:r>
            <w:r w:rsidRPr="001B3322">
              <w:rPr>
                <w:rFonts w:cs="Arial"/>
                <w:i/>
                <w:iCs/>
              </w:rPr>
              <w:t>на</w:t>
            </w:r>
          </w:p>
          <w:p w14:paraId="01FEAE08" w14:textId="5E2CCAD4" w:rsidR="001B3322" w:rsidRPr="001B3322" w:rsidRDefault="001B3322" w:rsidP="001B3322">
            <w:pPr>
              <w:rPr>
                <w:rFonts w:cs="Arial"/>
              </w:rPr>
            </w:pPr>
            <w:r w:rsidRPr="001B3322">
              <w:rPr>
                <w:rFonts w:cs="Arial"/>
                <w:i/>
                <w:iCs/>
              </w:rPr>
              <w:t>очите</w:t>
            </w:r>
          </w:p>
        </w:tc>
        <w:tc>
          <w:tcPr>
            <w:tcW w:w="1826" w:type="dxa"/>
          </w:tcPr>
          <w:p w14:paraId="226721C7" w14:textId="77777777" w:rsidR="001B3322" w:rsidRPr="001B3322" w:rsidRDefault="001B3322" w:rsidP="001B3322">
            <w:pPr>
              <w:rPr>
                <w:rFonts w:cs="Arial"/>
              </w:rPr>
            </w:pPr>
          </w:p>
        </w:tc>
        <w:tc>
          <w:tcPr>
            <w:tcW w:w="1952" w:type="dxa"/>
          </w:tcPr>
          <w:p w14:paraId="6987A3F6" w14:textId="776E1E26" w:rsidR="001B3322" w:rsidRPr="001B3322" w:rsidRDefault="001B3322" w:rsidP="001B3322">
            <w:pPr>
              <w:rPr>
                <w:rFonts w:cs="Arial"/>
              </w:rPr>
            </w:pPr>
            <w:r w:rsidRPr="001B3322">
              <w:rPr>
                <w:rFonts w:cs="Arial"/>
              </w:rPr>
              <w:t>Зрителни смущения, включително замъглено виждане, конюктивит</w:t>
            </w:r>
          </w:p>
        </w:tc>
        <w:tc>
          <w:tcPr>
            <w:tcW w:w="1761" w:type="dxa"/>
          </w:tcPr>
          <w:p w14:paraId="13AA0EF4" w14:textId="77777777" w:rsidR="001B3322" w:rsidRPr="001B3322" w:rsidRDefault="001B3322" w:rsidP="001B3322">
            <w:pPr>
              <w:rPr>
                <w:rFonts w:cs="Arial"/>
              </w:rPr>
            </w:pPr>
          </w:p>
        </w:tc>
        <w:tc>
          <w:tcPr>
            <w:tcW w:w="2207" w:type="dxa"/>
            <w:vAlign w:val="bottom"/>
          </w:tcPr>
          <w:p w14:paraId="568790AA" w14:textId="0243C5D6" w:rsidR="001B3322" w:rsidRPr="001B3322" w:rsidRDefault="001B3322" w:rsidP="001B3322">
            <w:pPr>
              <w:rPr>
                <w:rFonts w:cs="Arial"/>
              </w:rPr>
            </w:pPr>
            <w:r w:rsidRPr="001B3322">
              <w:rPr>
                <w:rFonts w:cs="Arial"/>
              </w:rPr>
              <w:t>Ксантопсия,</w:t>
            </w:r>
            <w:r w:rsidRPr="001B3322">
              <w:rPr>
                <w:rFonts w:cs="Arial"/>
                <w:lang w:val="en-US"/>
              </w:rPr>
              <w:t xml:space="preserve"> </w:t>
            </w:r>
            <w:r w:rsidRPr="001B3322">
              <w:rPr>
                <w:rFonts w:cs="Arial"/>
              </w:rPr>
              <w:t>намалена</w:t>
            </w:r>
          </w:p>
          <w:p w14:paraId="29C5A326" w14:textId="579E0472" w:rsidR="001B3322" w:rsidRPr="001B3322" w:rsidRDefault="001B3322" w:rsidP="001B3322">
            <w:pPr>
              <w:rPr>
                <w:rFonts w:cs="Arial"/>
              </w:rPr>
            </w:pPr>
            <w:r w:rsidRPr="001B3322">
              <w:rPr>
                <w:rFonts w:cs="Arial"/>
              </w:rPr>
              <w:t>Лакримация</w:t>
            </w:r>
            <w:r w:rsidRPr="001B3322">
              <w:rPr>
                <w:rFonts w:cs="Arial"/>
                <w:lang w:val="en-US"/>
              </w:rPr>
              <w:t xml:space="preserve"> </w:t>
            </w:r>
            <w:r w:rsidRPr="001B3322">
              <w:rPr>
                <w:rFonts w:cs="Arial"/>
              </w:rPr>
              <w:t>поради</w:t>
            </w:r>
          </w:p>
          <w:p w14:paraId="7E0C6068" w14:textId="1E10B708" w:rsidR="001B3322" w:rsidRPr="001B3322" w:rsidRDefault="001B3322" w:rsidP="001B3322">
            <w:pPr>
              <w:rPr>
                <w:rFonts w:cs="Arial"/>
              </w:rPr>
            </w:pPr>
            <w:r w:rsidRPr="001B3322">
              <w:rPr>
                <w:rFonts w:cs="Arial"/>
              </w:rPr>
              <w:t>хидрохлоротиазида Хороидален излив, остра закритоъгълна глаукома поради хидрохлоротиазида</w:t>
            </w:r>
          </w:p>
        </w:tc>
      </w:tr>
      <w:tr w:rsidR="001B3322" w14:paraId="164CB7A1" w14:textId="77777777" w:rsidTr="001B3322">
        <w:tc>
          <w:tcPr>
            <w:tcW w:w="1830" w:type="dxa"/>
            <w:vAlign w:val="bottom"/>
          </w:tcPr>
          <w:p w14:paraId="024A79AA" w14:textId="3FA9D809" w:rsidR="001B3322" w:rsidRPr="001B3322" w:rsidRDefault="001B3322" w:rsidP="001B3322">
            <w:pPr>
              <w:rPr>
                <w:rFonts w:cs="Arial"/>
              </w:rPr>
            </w:pPr>
            <w:r w:rsidRPr="001B3322">
              <w:rPr>
                <w:rFonts w:cs="Arial"/>
                <w:i/>
                <w:iCs/>
              </w:rPr>
              <w:t>Нарушения</w:t>
            </w:r>
            <w:r w:rsidRPr="001B3322">
              <w:rPr>
                <w:rFonts w:cs="Arial"/>
                <w:i/>
                <w:iCs/>
                <w:lang w:val="en-US"/>
              </w:rPr>
              <w:t xml:space="preserve"> </w:t>
            </w:r>
            <w:r w:rsidRPr="001B3322">
              <w:rPr>
                <w:rFonts w:cs="Arial"/>
                <w:i/>
                <w:iCs/>
              </w:rPr>
              <w:t>на</w:t>
            </w:r>
          </w:p>
          <w:p w14:paraId="6D8C3364" w14:textId="7E2A145E" w:rsidR="001B3322" w:rsidRPr="001B3322" w:rsidRDefault="001B3322" w:rsidP="001B3322">
            <w:pPr>
              <w:rPr>
                <w:rFonts w:cs="Arial"/>
              </w:rPr>
            </w:pPr>
            <w:r w:rsidRPr="001B3322">
              <w:rPr>
                <w:rFonts w:cs="Arial"/>
                <w:i/>
                <w:iCs/>
              </w:rPr>
              <w:t>ухото и лабиринта</w:t>
            </w:r>
          </w:p>
        </w:tc>
        <w:tc>
          <w:tcPr>
            <w:tcW w:w="1826" w:type="dxa"/>
          </w:tcPr>
          <w:p w14:paraId="369C7EF6" w14:textId="77777777" w:rsidR="001B3322" w:rsidRPr="001B3322" w:rsidRDefault="001B3322" w:rsidP="001B3322">
            <w:pPr>
              <w:rPr>
                <w:rFonts w:cs="Arial"/>
              </w:rPr>
            </w:pPr>
          </w:p>
        </w:tc>
        <w:tc>
          <w:tcPr>
            <w:tcW w:w="1952" w:type="dxa"/>
          </w:tcPr>
          <w:p w14:paraId="2CBF721E" w14:textId="2F5C6166" w:rsidR="001B3322" w:rsidRPr="001B3322" w:rsidRDefault="001B3322" w:rsidP="001B3322">
            <w:pPr>
              <w:rPr>
                <w:rFonts w:cs="Arial"/>
              </w:rPr>
            </w:pPr>
            <w:r w:rsidRPr="001B3322">
              <w:rPr>
                <w:rFonts w:cs="Arial"/>
              </w:rPr>
              <w:t>Тинитус</w:t>
            </w:r>
          </w:p>
        </w:tc>
        <w:tc>
          <w:tcPr>
            <w:tcW w:w="1761" w:type="dxa"/>
          </w:tcPr>
          <w:p w14:paraId="4789BF11" w14:textId="77777777" w:rsidR="001B3322" w:rsidRPr="001B3322" w:rsidRDefault="001B3322" w:rsidP="001B3322">
            <w:pPr>
              <w:rPr>
                <w:rFonts w:cs="Arial"/>
              </w:rPr>
            </w:pPr>
          </w:p>
        </w:tc>
        <w:tc>
          <w:tcPr>
            <w:tcW w:w="2207" w:type="dxa"/>
          </w:tcPr>
          <w:p w14:paraId="0A73C4AC" w14:textId="06114B38" w:rsidR="001B3322" w:rsidRPr="001B3322" w:rsidRDefault="001B3322" w:rsidP="001B3322">
            <w:pPr>
              <w:rPr>
                <w:rFonts w:cs="Arial"/>
              </w:rPr>
            </w:pPr>
            <w:r w:rsidRPr="001B3322">
              <w:rPr>
                <w:rFonts w:cs="Arial"/>
              </w:rPr>
              <w:t>Увреждане на слуха</w:t>
            </w:r>
          </w:p>
        </w:tc>
      </w:tr>
      <w:tr w:rsidR="001B3322" w14:paraId="14EAB932" w14:textId="77777777" w:rsidTr="001B3322">
        <w:tc>
          <w:tcPr>
            <w:tcW w:w="1830" w:type="dxa"/>
            <w:vAlign w:val="bottom"/>
          </w:tcPr>
          <w:p w14:paraId="182D575C" w14:textId="58436378" w:rsidR="001B3322" w:rsidRPr="001B3322" w:rsidRDefault="001B3322" w:rsidP="001B3322">
            <w:pPr>
              <w:rPr>
                <w:rFonts w:cs="Arial"/>
                <w:lang w:val="en-US"/>
              </w:rPr>
            </w:pPr>
            <w:r w:rsidRPr="001B3322">
              <w:rPr>
                <w:rFonts w:cs="Arial"/>
                <w:i/>
                <w:iCs/>
              </w:rPr>
              <w:lastRenderedPageBreak/>
              <w:t>Сърдечни</w:t>
            </w:r>
            <w:r w:rsidRPr="001B3322">
              <w:rPr>
                <w:rFonts w:cs="Arial"/>
                <w:i/>
                <w:iCs/>
                <w:lang w:val="en-US"/>
              </w:rPr>
              <w:t xml:space="preserve"> </w:t>
            </w:r>
            <w:r w:rsidRPr="001B3322">
              <w:rPr>
                <w:rFonts w:cs="Arial"/>
                <w:i/>
                <w:iCs/>
              </w:rPr>
              <w:t>нарушения</w:t>
            </w:r>
          </w:p>
        </w:tc>
        <w:tc>
          <w:tcPr>
            <w:tcW w:w="1826" w:type="dxa"/>
          </w:tcPr>
          <w:p w14:paraId="1E7D1CEC" w14:textId="77777777" w:rsidR="001B3322" w:rsidRPr="001B3322" w:rsidRDefault="001B3322" w:rsidP="001B3322">
            <w:pPr>
              <w:rPr>
                <w:rFonts w:cs="Arial"/>
              </w:rPr>
            </w:pPr>
          </w:p>
        </w:tc>
        <w:tc>
          <w:tcPr>
            <w:tcW w:w="1952" w:type="dxa"/>
            <w:vAlign w:val="bottom"/>
          </w:tcPr>
          <w:p w14:paraId="40CB3B90" w14:textId="505D8437" w:rsidR="001B3322" w:rsidRPr="001B3322" w:rsidRDefault="001B3322" w:rsidP="001B3322">
            <w:pPr>
              <w:rPr>
                <w:rFonts w:eastAsia="Times New Roman" w:cs="Arial"/>
                <w:lang w:eastAsia="bg-BG"/>
              </w:rPr>
            </w:pPr>
            <w:r w:rsidRPr="001B3322">
              <w:rPr>
                <w:rFonts w:cs="Arial"/>
              </w:rPr>
              <w:t>Миокардна</w:t>
            </w:r>
            <w:r w:rsidRPr="001B3322">
              <w:rPr>
                <w:rFonts w:cs="Arial"/>
                <w:lang w:val="en-US"/>
              </w:rPr>
              <w:t xml:space="preserve"> </w:t>
            </w:r>
            <w:r w:rsidRPr="001B3322">
              <w:rPr>
                <w:rFonts w:eastAsia="Times New Roman" w:cs="Arial"/>
                <w:color w:val="000000"/>
                <w:lang w:eastAsia="bg-BG"/>
              </w:rPr>
              <w:t>исхемия, включително ангина пекторис, тахикардия, аритмия, палпитации, периферен едем</w:t>
            </w:r>
          </w:p>
        </w:tc>
        <w:tc>
          <w:tcPr>
            <w:tcW w:w="1761" w:type="dxa"/>
          </w:tcPr>
          <w:p w14:paraId="4FB8D522" w14:textId="77777777" w:rsidR="001B3322" w:rsidRPr="001B3322" w:rsidRDefault="001B3322" w:rsidP="001B3322">
            <w:pPr>
              <w:rPr>
                <w:rFonts w:cs="Arial"/>
              </w:rPr>
            </w:pPr>
          </w:p>
        </w:tc>
        <w:tc>
          <w:tcPr>
            <w:tcW w:w="2207" w:type="dxa"/>
          </w:tcPr>
          <w:p w14:paraId="00D560AF" w14:textId="3EE78B1C" w:rsidR="001B3322" w:rsidRPr="001B3322" w:rsidRDefault="001B3322" w:rsidP="001B3322">
            <w:pPr>
              <w:rPr>
                <w:rFonts w:cs="Arial"/>
              </w:rPr>
            </w:pPr>
            <w:r w:rsidRPr="001B3322">
              <w:rPr>
                <w:rFonts w:cs="Arial"/>
              </w:rPr>
              <w:t>Миокарден инфаркт</w:t>
            </w:r>
          </w:p>
        </w:tc>
      </w:tr>
      <w:tr w:rsidR="001B3322" w14:paraId="721168C9" w14:textId="77777777" w:rsidTr="001B3322">
        <w:tc>
          <w:tcPr>
            <w:tcW w:w="1830" w:type="dxa"/>
          </w:tcPr>
          <w:p w14:paraId="0BCF7FAC" w14:textId="1F5A9450" w:rsidR="001B3322" w:rsidRPr="001B3322" w:rsidRDefault="001B3322" w:rsidP="001B3322">
            <w:pPr>
              <w:rPr>
                <w:rFonts w:cs="Arial"/>
              </w:rPr>
            </w:pPr>
            <w:r w:rsidRPr="001B3322">
              <w:rPr>
                <w:rFonts w:cs="Arial"/>
                <w:i/>
                <w:iCs/>
              </w:rPr>
              <w:t>Съдови нарушения</w:t>
            </w:r>
          </w:p>
        </w:tc>
        <w:tc>
          <w:tcPr>
            <w:tcW w:w="1826" w:type="dxa"/>
          </w:tcPr>
          <w:p w14:paraId="3261938F" w14:textId="77777777" w:rsidR="001B3322" w:rsidRPr="001B3322" w:rsidRDefault="001B3322" w:rsidP="001B3322">
            <w:pPr>
              <w:rPr>
                <w:rFonts w:cs="Arial"/>
              </w:rPr>
            </w:pPr>
          </w:p>
        </w:tc>
        <w:tc>
          <w:tcPr>
            <w:tcW w:w="1952" w:type="dxa"/>
          </w:tcPr>
          <w:p w14:paraId="64669B44" w14:textId="70F87955" w:rsidR="001B3322" w:rsidRPr="001B3322" w:rsidRDefault="001B3322" w:rsidP="001B3322">
            <w:pPr>
              <w:rPr>
                <w:rFonts w:cs="Arial"/>
              </w:rPr>
            </w:pPr>
            <w:r w:rsidRPr="001B3322">
              <w:rPr>
                <w:rFonts w:cs="Arial"/>
              </w:rPr>
              <w:t>Хипотония, ортостатизъм, синкоп, зачервяване</w:t>
            </w:r>
          </w:p>
        </w:tc>
        <w:tc>
          <w:tcPr>
            <w:tcW w:w="1761" w:type="dxa"/>
          </w:tcPr>
          <w:p w14:paraId="4F5F7EBE" w14:textId="77777777" w:rsidR="001B3322" w:rsidRPr="001B3322" w:rsidRDefault="001B3322" w:rsidP="001B3322">
            <w:pPr>
              <w:rPr>
                <w:rFonts w:cs="Arial"/>
              </w:rPr>
            </w:pPr>
          </w:p>
        </w:tc>
        <w:tc>
          <w:tcPr>
            <w:tcW w:w="2207" w:type="dxa"/>
            <w:vAlign w:val="bottom"/>
          </w:tcPr>
          <w:p w14:paraId="07539B88" w14:textId="77777777" w:rsidR="001B3322" w:rsidRPr="001B3322" w:rsidRDefault="001B3322" w:rsidP="001B3322">
            <w:pPr>
              <w:rPr>
                <w:rFonts w:cs="Arial"/>
              </w:rPr>
            </w:pPr>
            <w:r w:rsidRPr="001B3322">
              <w:rPr>
                <w:rFonts w:cs="Arial"/>
              </w:rPr>
              <w:t>Тромбоза, свързана със силно намален обем на телесните</w:t>
            </w:r>
            <w:r w:rsidRPr="001B3322">
              <w:rPr>
                <w:rFonts w:cs="Arial"/>
              </w:rPr>
              <w:tab/>
              <w:t>течности,</w:t>
            </w:r>
          </w:p>
          <w:p w14:paraId="1D8E2AEC" w14:textId="2D826861" w:rsidR="001B3322" w:rsidRPr="001B3322" w:rsidRDefault="001B3322" w:rsidP="001B3322">
            <w:pPr>
              <w:rPr>
                <w:rFonts w:cs="Arial"/>
              </w:rPr>
            </w:pPr>
            <w:r w:rsidRPr="001B3322">
              <w:rPr>
                <w:rFonts w:cs="Arial"/>
              </w:rPr>
              <w:t>стесняване на съдовете, хипоперфузия, феномен на Рейно, васкулит</w:t>
            </w:r>
          </w:p>
        </w:tc>
      </w:tr>
      <w:tr w:rsidR="001B3322" w14:paraId="2ACAC39D" w14:textId="77777777" w:rsidTr="001B3322">
        <w:tc>
          <w:tcPr>
            <w:tcW w:w="1830" w:type="dxa"/>
          </w:tcPr>
          <w:p w14:paraId="7EEB1F03" w14:textId="77777777" w:rsidR="001B3322" w:rsidRPr="001B3322" w:rsidRDefault="001B3322" w:rsidP="001B3322">
            <w:pPr>
              <w:rPr>
                <w:rFonts w:cs="Arial"/>
              </w:rPr>
            </w:pPr>
            <w:r w:rsidRPr="001B3322">
              <w:rPr>
                <w:rFonts w:cs="Arial"/>
                <w:i/>
                <w:iCs/>
              </w:rPr>
              <w:t>Респираторни, гръдни</w:t>
            </w:r>
            <w:r w:rsidRPr="001B3322">
              <w:rPr>
                <w:rFonts w:cs="Arial"/>
                <w:i/>
                <w:iCs/>
              </w:rPr>
              <w:tab/>
              <w:t>и</w:t>
            </w:r>
          </w:p>
          <w:p w14:paraId="20EDEB0C" w14:textId="1D11A4C3" w:rsidR="001B3322" w:rsidRPr="001B3322" w:rsidRDefault="001B3322" w:rsidP="001B3322">
            <w:pPr>
              <w:rPr>
                <w:rFonts w:cs="Arial"/>
              </w:rPr>
            </w:pPr>
            <w:r w:rsidRPr="001B3322">
              <w:rPr>
                <w:rFonts w:cs="Arial"/>
                <w:i/>
                <w:iCs/>
              </w:rPr>
              <w:t>медиастинални нарушения</w:t>
            </w:r>
          </w:p>
        </w:tc>
        <w:tc>
          <w:tcPr>
            <w:tcW w:w="1826" w:type="dxa"/>
          </w:tcPr>
          <w:p w14:paraId="625EE0EE" w14:textId="48EA8B41" w:rsidR="001B3322" w:rsidRPr="001B3322" w:rsidRDefault="001B3322" w:rsidP="001B3322">
            <w:pPr>
              <w:rPr>
                <w:rFonts w:cs="Arial"/>
              </w:rPr>
            </w:pPr>
            <w:r w:rsidRPr="001B3322">
              <w:rPr>
                <w:rFonts w:cs="Arial"/>
              </w:rPr>
              <w:t>Непродуктив на дразнеща кашлица, бронхит</w:t>
            </w:r>
          </w:p>
        </w:tc>
        <w:tc>
          <w:tcPr>
            <w:tcW w:w="1952" w:type="dxa"/>
          </w:tcPr>
          <w:p w14:paraId="6CE805CA" w14:textId="68ED2237" w:rsidR="001B3322" w:rsidRPr="001B3322" w:rsidRDefault="001B3322" w:rsidP="001B3322">
            <w:pPr>
              <w:rPr>
                <w:rFonts w:cs="Arial"/>
              </w:rPr>
            </w:pPr>
            <w:r w:rsidRPr="001B3322">
              <w:rPr>
                <w:rFonts w:cs="Arial"/>
              </w:rPr>
              <w:t>Синузит, диспнея, запушен нос</w:t>
            </w:r>
          </w:p>
        </w:tc>
        <w:tc>
          <w:tcPr>
            <w:tcW w:w="1761" w:type="dxa"/>
          </w:tcPr>
          <w:p w14:paraId="1C3315D7" w14:textId="77777777" w:rsidR="001B3322" w:rsidRPr="001B3322" w:rsidRDefault="001B3322" w:rsidP="001B3322">
            <w:pPr>
              <w:rPr>
                <w:rFonts w:cs="Arial"/>
              </w:rPr>
            </w:pPr>
          </w:p>
        </w:tc>
        <w:tc>
          <w:tcPr>
            <w:tcW w:w="2207" w:type="dxa"/>
            <w:vAlign w:val="bottom"/>
          </w:tcPr>
          <w:p w14:paraId="6C467D82" w14:textId="77777777" w:rsidR="001B3322" w:rsidRPr="001B3322" w:rsidRDefault="001B3322" w:rsidP="001B3322">
            <w:pPr>
              <w:rPr>
                <w:rFonts w:cs="Arial"/>
              </w:rPr>
            </w:pPr>
            <w:r w:rsidRPr="001B3322">
              <w:rPr>
                <w:rFonts w:cs="Arial"/>
              </w:rPr>
              <w:t>Бронхоспазъм, включително обострена астма,</w:t>
            </w:r>
          </w:p>
          <w:p w14:paraId="6ED98B88" w14:textId="6749C2C9" w:rsidR="001B3322" w:rsidRPr="001B3322" w:rsidRDefault="001B3322" w:rsidP="001B3322">
            <w:pPr>
              <w:rPr>
                <w:rFonts w:cs="Arial"/>
              </w:rPr>
            </w:pPr>
            <w:r w:rsidRPr="001B3322">
              <w:rPr>
                <w:rFonts w:cs="Arial"/>
              </w:rPr>
              <w:t>Алергичен алвеолит, некардиогенен белодробен оток поради хидрохлоротиазида</w:t>
            </w:r>
          </w:p>
        </w:tc>
      </w:tr>
      <w:tr w:rsidR="001B3322" w14:paraId="20CF3BB5" w14:textId="77777777" w:rsidTr="001B3322">
        <w:tc>
          <w:tcPr>
            <w:tcW w:w="1830" w:type="dxa"/>
          </w:tcPr>
          <w:p w14:paraId="3FBF2465" w14:textId="13C27BDA" w:rsidR="001B3322" w:rsidRPr="001B3322" w:rsidRDefault="001B3322" w:rsidP="001B3322">
            <w:pPr>
              <w:rPr>
                <w:rFonts w:cs="Arial"/>
              </w:rPr>
            </w:pPr>
            <w:r w:rsidRPr="001B3322">
              <w:rPr>
                <w:rFonts w:cs="Arial"/>
                <w:i/>
                <w:iCs/>
              </w:rPr>
              <w:t>Стомашно-чревни нарушения</w:t>
            </w:r>
          </w:p>
        </w:tc>
        <w:tc>
          <w:tcPr>
            <w:tcW w:w="1826" w:type="dxa"/>
          </w:tcPr>
          <w:p w14:paraId="22E3FFAC" w14:textId="77777777" w:rsidR="001B3322" w:rsidRPr="001B3322" w:rsidRDefault="001B3322" w:rsidP="001B3322">
            <w:pPr>
              <w:rPr>
                <w:rFonts w:cs="Arial"/>
              </w:rPr>
            </w:pPr>
          </w:p>
        </w:tc>
        <w:tc>
          <w:tcPr>
            <w:tcW w:w="1952" w:type="dxa"/>
            <w:vAlign w:val="bottom"/>
          </w:tcPr>
          <w:p w14:paraId="27162414" w14:textId="77777777" w:rsidR="001B3322" w:rsidRPr="001B3322" w:rsidRDefault="001B3322" w:rsidP="001B3322">
            <w:pPr>
              <w:rPr>
                <w:rFonts w:cs="Arial"/>
              </w:rPr>
            </w:pPr>
            <w:r w:rsidRPr="001B3322">
              <w:rPr>
                <w:rFonts w:cs="Arial"/>
              </w:rPr>
              <w:t>Стомашно-чревно възпаление, храносмилателни смущения, коремен дискомфорт, диспепсия, гастрит, гадене, запек</w:t>
            </w:r>
          </w:p>
          <w:p w14:paraId="1FD4402E" w14:textId="77054AA9" w:rsidR="001B3322" w:rsidRPr="001B3322" w:rsidRDefault="001B3322" w:rsidP="001B3322">
            <w:pPr>
              <w:rPr>
                <w:rFonts w:cs="Arial"/>
              </w:rPr>
            </w:pPr>
            <w:r w:rsidRPr="001B3322">
              <w:rPr>
                <w:rFonts w:cs="Arial"/>
              </w:rPr>
              <w:t>Гингивит, свързан с хидрохлоротиазида</w:t>
            </w:r>
          </w:p>
        </w:tc>
        <w:tc>
          <w:tcPr>
            <w:tcW w:w="1761" w:type="dxa"/>
          </w:tcPr>
          <w:p w14:paraId="2CAEDE42" w14:textId="29CEF23B" w:rsidR="001B3322" w:rsidRPr="001B3322" w:rsidRDefault="001B3322" w:rsidP="001B3322">
            <w:pPr>
              <w:rPr>
                <w:rFonts w:cs="Arial"/>
              </w:rPr>
            </w:pPr>
            <w:r w:rsidRPr="001B3322">
              <w:rPr>
                <w:rFonts w:cs="Arial"/>
              </w:rPr>
              <w:t>Повръщане, афтозен стоматит, глосит, диария, болка в горната част на корема, сухота в устата</w:t>
            </w:r>
          </w:p>
        </w:tc>
        <w:tc>
          <w:tcPr>
            <w:tcW w:w="2207" w:type="dxa"/>
          </w:tcPr>
          <w:p w14:paraId="032F8C97" w14:textId="001A146D" w:rsidR="001B3322" w:rsidRPr="001B3322" w:rsidRDefault="001B3322" w:rsidP="001B3322">
            <w:pPr>
              <w:rPr>
                <w:rFonts w:cs="Arial"/>
              </w:rPr>
            </w:pPr>
            <w:r w:rsidRPr="001B3322">
              <w:rPr>
                <w:rFonts w:cs="Arial"/>
              </w:rPr>
              <w:t>Панкреатит (случаи с фатален изход са съобщавани изключително рядко при лечение</w:t>
            </w:r>
            <w:r w:rsidRPr="001B3322">
              <w:rPr>
                <w:rFonts w:cs="Arial"/>
                <w:lang w:val="en-US"/>
              </w:rPr>
              <w:t xml:space="preserve"> </w:t>
            </w:r>
            <w:r w:rsidRPr="001B3322">
              <w:rPr>
                <w:rFonts w:cs="Arial"/>
              </w:rPr>
              <w:t>с</w:t>
            </w:r>
            <w:r w:rsidRPr="001B3322">
              <w:rPr>
                <w:rFonts w:cs="Arial"/>
                <w:lang w:val="en-US"/>
              </w:rPr>
              <w:t xml:space="preserve"> </w:t>
            </w:r>
            <w:r w:rsidRPr="001B3322">
              <w:rPr>
                <w:rFonts w:cs="Arial"/>
              </w:rPr>
              <w:t>АСЕ</w:t>
            </w:r>
          </w:p>
          <w:p w14:paraId="52313773" w14:textId="06C4F158" w:rsidR="001B3322" w:rsidRPr="001B3322" w:rsidRDefault="001B3322" w:rsidP="001B3322">
            <w:pPr>
              <w:rPr>
                <w:rFonts w:cs="Arial"/>
              </w:rPr>
            </w:pPr>
            <w:r w:rsidRPr="001B3322">
              <w:rPr>
                <w:rFonts w:cs="Arial"/>
              </w:rPr>
              <w:t>инхибитори), повишаване</w:t>
            </w:r>
            <w:r w:rsidRPr="001B3322">
              <w:rPr>
                <w:rFonts w:cs="Arial"/>
                <w:lang w:val="en-US"/>
              </w:rPr>
              <w:t xml:space="preserve"> </w:t>
            </w:r>
            <w:r w:rsidRPr="001B3322">
              <w:rPr>
                <w:rFonts w:cs="Arial"/>
              </w:rPr>
              <w:t>на</w:t>
            </w:r>
          </w:p>
          <w:p w14:paraId="45291244" w14:textId="52041EC0" w:rsidR="001B3322" w:rsidRPr="001B3322" w:rsidRDefault="001B3322" w:rsidP="001B3322">
            <w:pPr>
              <w:rPr>
                <w:rFonts w:cs="Arial"/>
              </w:rPr>
            </w:pPr>
            <w:r w:rsidRPr="001B3322">
              <w:rPr>
                <w:rFonts w:cs="Arial"/>
              </w:rPr>
              <w:t>панкреасните</w:t>
            </w:r>
            <w:r w:rsidRPr="001B3322">
              <w:rPr>
                <w:rFonts w:cs="Arial"/>
                <w:lang w:val="en-US"/>
              </w:rPr>
              <w:t xml:space="preserve"> </w:t>
            </w:r>
            <w:r w:rsidRPr="001B3322">
              <w:rPr>
                <w:rFonts w:cs="Arial"/>
              </w:rPr>
              <w:t>ензими,</w:t>
            </w:r>
          </w:p>
          <w:p w14:paraId="53AEA33A" w14:textId="77777777" w:rsidR="001B3322" w:rsidRPr="001B3322" w:rsidRDefault="001B3322" w:rsidP="001B3322">
            <w:pPr>
              <w:rPr>
                <w:rFonts w:cs="Arial"/>
              </w:rPr>
            </w:pPr>
            <w:r w:rsidRPr="001B3322">
              <w:rPr>
                <w:rFonts w:cs="Arial"/>
              </w:rPr>
              <w:t>ангиоедем на тънкото черво</w:t>
            </w:r>
          </w:p>
          <w:p w14:paraId="4B9150A2" w14:textId="6DB8D0D1" w:rsidR="001B3322" w:rsidRPr="001B3322" w:rsidRDefault="001B3322" w:rsidP="001B3322">
            <w:pPr>
              <w:rPr>
                <w:rFonts w:cs="Arial"/>
              </w:rPr>
            </w:pPr>
            <w:r w:rsidRPr="001B3322">
              <w:rPr>
                <w:rFonts w:cs="Arial"/>
              </w:rPr>
              <w:t>Сиалоаденит, свързан с хидрохлоротиазид</w:t>
            </w:r>
          </w:p>
        </w:tc>
      </w:tr>
      <w:tr w:rsidR="001B3322" w14:paraId="3C7DF03D" w14:textId="77777777" w:rsidTr="001B3322">
        <w:tc>
          <w:tcPr>
            <w:tcW w:w="1830" w:type="dxa"/>
          </w:tcPr>
          <w:p w14:paraId="493254F6" w14:textId="662FDF94" w:rsidR="001B3322" w:rsidRPr="001B3322" w:rsidRDefault="001B3322" w:rsidP="001B3322">
            <w:pPr>
              <w:rPr>
                <w:rFonts w:cs="Arial"/>
              </w:rPr>
            </w:pPr>
            <w:r w:rsidRPr="001B3322">
              <w:rPr>
                <w:rFonts w:cs="Arial"/>
                <w:i/>
                <w:iCs/>
              </w:rPr>
              <w:t>Хепато-билиарни нарушения</w:t>
            </w:r>
          </w:p>
        </w:tc>
        <w:tc>
          <w:tcPr>
            <w:tcW w:w="1826" w:type="dxa"/>
          </w:tcPr>
          <w:p w14:paraId="2AF242C7" w14:textId="77777777" w:rsidR="001B3322" w:rsidRPr="001B3322" w:rsidRDefault="001B3322" w:rsidP="001B3322">
            <w:pPr>
              <w:rPr>
                <w:rFonts w:cs="Arial"/>
              </w:rPr>
            </w:pPr>
          </w:p>
        </w:tc>
        <w:tc>
          <w:tcPr>
            <w:tcW w:w="1952" w:type="dxa"/>
            <w:vAlign w:val="bottom"/>
          </w:tcPr>
          <w:p w14:paraId="55A12222" w14:textId="78A81EBD" w:rsidR="001B3322" w:rsidRPr="001B3322" w:rsidRDefault="001B3322" w:rsidP="001B3322">
            <w:pPr>
              <w:rPr>
                <w:rFonts w:cs="Arial"/>
              </w:rPr>
            </w:pPr>
            <w:r w:rsidRPr="001B3322">
              <w:rPr>
                <w:rFonts w:cs="Arial"/>
              </w:rPr>
              <w:t xml:space="preserve">Холестатичен или цитолитичен хепатит </w:t>
            </w:r>
            <w:r w:rsidRPr="001B3322">
              <w:rPr>
                <w:rFonts w:cs="Arial"/>
              </w:rPr>
              <w:lastRenderedPageBreak/>
              <w:t>(изключително рядко с фатален изход), повишени нива</w:t>
            </w:r>
            <w:r w:rsidRPr="001B3322">
              <w:rPr>
                <w:rFonts w:cs="Arial"/>
                <w:lang w:val="en-US"/>
              </w:rPr>
              <w:t xml:space="preserve"> </w:t>
            </w:r>
            <w:r w:rsidRPr="001B3322">
              <w:rPr>
                <w:rFonts w:cs="Arial"/>
              </w:rPr>
              <w:t>на</w:t>
            </w:r>
          </w:p>
          <w:p w14:paraId="21A74560" w14:textId="77777777" w:rsidR="001B3322" w:rsidRPr="001B3322" w:rsidRDefault="001B3322" w:rsidP="001B3322">
            <w:pPr>
              <w:rPr>
                <w:rFonts w:cs="Arial"/>
              </w:rPr>
            </w:pPr>
            <w:r w:rsidRPr="001B3322">
              <w:rPr>
                <w:rFonts w:cs="Arial"/>
              </w:rPr>
              <w:t>чернодробните ензими и/ или конюгирания билирубин</w:t>
            </w:r>
          </w:p>
          <w:p w14:paraId="2AF884DE" w14:textId="291D313E" w:rsidR="001B3322" w:rsidRPr="001B3322" w:rsidRDefault="001B3322" w:rsidP="001B3322">
            <w:pPr>
              <w:rPr>
                <w:rFonts w:cs="Arial"/>
              </w:rPr>
            </w:pPr>
            <w:r w:rsidRPr="001B3322">
              <w:rPr>
                <w:rFonts w:cs="Arial"/>
              </w:rPr>
              <w:t>Калкулозен холецистит поради хидрохлоротиазид</w:t>
            </w:r>
          </w:p>
        </w:tc>
        <w:tc>
          <w:tcPr>
            <w:tcW w:w="1761" w:type="dxa"/>
          </w:tcPr>
          <w:p w14:paraId="1B0DF172" w14:textId="77777777" w:rsidR="001B3322" w:rsidRPr="001B3322" w:rsidRDefault="001B3322" w:rsidP="001B3322">
            <w:pPr>
              <w:rPr>
                <w:rFonts w:cs="Arial"/>
              </w:rPr>
            </w:pPr>
          </w:p>
        </w:tc>
        <w:tc>
          <w:tcPr>
            <w:tcW w:w="2207" w:type="dxa"/>
          </w:tcPr>
          <w:p w14:paraId="5FF6E84B" w14:textId="75DB3ECE" w:rsidR="001B3322" w:rsidRPr="001B3322" w:rsidRDefault="001B3322" w:rsidP="001B3322">
            <w:pPr>
              <w:rPr>
                <w:rFonts w:cs="Arial"/>
              </w:rPr>
            </w:pPr>
            <w:r w:rsidRPr="001B3322">
              <w:rPr>
                <w:rFonts w:cs="Arial"/>
              </w:rPr>
              <w:t>Остра</w:t>
            </w:r>
            <w:r>
              <w:rPr>
                <w:rFonts w:cs="Arial"/>
                <w:lang w:val="en-US"/>
              </w:rPr>
              <w:t xml:space="preserve"> </w:t>
            </w:r>
            <w:r w:rsidRPr="001B3322">
              <w:rPr>
                <w:rFonts w:cs="Arial"/>
              </w:rPr>
              <w:t>чернодробна</w:t>
            </w:r>
          </w:p>
          <w:p w14:paraId="00F4701E" w14:textId="1E3A7E1C" w:rsidR="001B3322" w:rsidRPr="001B3322" w:rsidRDefault="001B3322" w:rsidP="001B3322">
            <w:pPr>
              <w:rPr>
                <w:rFonts w:cs="Arial"/>
              </w:rPr>
            </w:pPr>
            <w:r w:rsidRPr="001B3322">
              <w:rPr>
                <w:rFonts w:cs="Arial"/>
              </w:rPr>
              <w:lastRenderedPageBreak/>
              <w:t>недостатъчност, жълтеница, холестатично хепатоцелуларно увреждане</w:t>
            </w:r>
          </w:p>
        </w:tc>
      </w:tr>
      <w:tr w:rsidR="001B3322" w14:paraId="600BB7A6" w14:textId="77777777" w:rsidTr="001B3322">
        <w:tc>
          <w:tcPr>
            <w:tcW w:w="1830" w:type="dxa"/>
          </w:tcPr>
          <w:p w14:paraId="1AC490DA" w14:textId="77777777" w:rsidR="001B3322" w:rsidRPr="001B3322" w:rsidRDefault="001B3322" w:rsidP="001B3322">
            <w:pPr>
              <w:rPr>
                <w:rFonts w:cs="Arial"/>
              </w:rPr>
            </w:pPr>
            <w:r w:rsidRPr="001B3322">
              <w:rPr>
                <w:rFonts w:cs="Arial"/>
                <w:i/>
                <w:iCs/>
              </w:rPr>
              <w:t>Нарушения</w:t>
            </w:r>
            <w:r w:rsidRPr="001B3322">
              <w:rPr>
                <w:rFonts w:cs="Arial"/>
                <w:i/>
                <w:iCs/>
              </w:rPr>
              <w:tab/>
              <w:t>на</w:t>
            </w:r>
          </w:p>
          <w:p w14:paraId="01F5B51E" w14:textId="77777777" w:rsidR="001B3322" w:rsidRPr="001B3322" w:rsidRDefault="001B3322" w:rsidP="001B3322">
            <w:pPr>
              <w:rPr>
                <w:rFonts w:cs="Arial"/>
              </w:rPr>
            </w:pPr>
            <w:r w:rsidRPr="001B3322">
              <w:rPr>
                <w:rFonts w:cs="Arial"/>
                <w:i/>
                <w:iCs/>
              </w:rPr>
              <w:t>кожата</w:t>
            </w:r>
            <w:r w:rsidRPr="001B3322">
              <w:rPr>
                <w:rFonts w:cs="Arial"/>
                <w:i/>
                <w:iCs/>
              </w:rPr>
              <w:tab/>
              <w:t>и</w:t>
            </w:r>
          </w:p>
          <w:p w14:paraId="4676169F" w14:textId="4A320309" w:rsidR="001B3322" w:rsidRPr="001B3322" w:rsidRDefault="001B3322" w:rsidP="001B3322">
            <w:pPr>
              <w:rPr>
                <w:rFonts w:cs="Arial"/>
              </w:rPr>
            </w:pPr>
            <w:r w:rsidRPr="001B3322">
              <w:rPr>
                <w:rFonts w:cs="Arial"/>
                <w:i/>
                <w:iCs/>
              </w:rPr>
              <w:t>подкожната тъкан</w:t>
            </w:r>
          </w:p>
        </w:tc>
        <w:tc>
          <w:tcPr>
            <w:tcW w:w="1826" w:type="dxa"/>
          </w:tcPr>
          <w:p w14:paraId="3B4EBB7C" w14:textId="77777777" w:rsidR="001B3322" w:rsidRPr="001B3322" w:rsidRDefault="001B3322" w:rsidP="001B3322">
            <w:pPr>
              <w:rPr>
                <w:rFonts w:cs="Arial"/>
              </w:rPr>
            </w:pPr>
          </w:p>
        </w:tc>
        <w:tc>
          <w:tcPr>
            <w:tcW w:w="1952" w:type="dxa"/>
          </w:tcPr>
          <w:p w14:paraId="7BAB4084" w14:textId="77777777" w:rsidR="001B3322" w:rsidRPr="001B3322" w:rsidRDefault="001B3322" w:rsidP="001B3322">
            <w:pPr>
              <w:rPr>
                <w:rFonts w:cs="Arial"/>
              </w:rPr>
            </w:pPr>
            <w:r w:rsidRPr="001B3322">
              <w:rPr>
                <w:rFonts w:cs="Arial"/>
              </w:rPr>
              <w:t>Ангиоедем;</w:t>
            </w:r>
          </w:p>
          <w:p w14:paraId="73D70D66" w14:textId="77777777" w:rsidR="001B3322" w:rsidRPr="001B3322" w:rsidRDefault="001B3322" w:rsidP="001B3322">
            <w:pPr>
              <w:rPr>
                <w:rFonts w:cs="Arial"/>
              </w:rPr>
            </w:pPr>
            <w:r w:rsidRPr="001B3322">
              <w:rPr>
                <w:rFonts w:cs="Arial"/>
              </w:rPr>
              <w:t>изключително рядко обструкция на въздухоносните пътища в резултат от ангиоедем може да има фатален изход;</w:t>
            </w:r>
          </w:p>
          <w:p w14:paraId="567B6933" w14:textId="1C29EF3A" w:rsidR="001B3322" w:rsidRPr="001B3322" w:rsidRDefault="001B3322" w:rsidP="001B3322">
            <w:pPr>
              <w:rPr>
                <w:rFonts w:cs="Arial"/>
              </w:rPr>
            </w:pPr>
            <w:r w:rsidRPr="001B3322">
              <w:rPr>
                <w:rFonts w:cs="Arial"/>
              </w:rPr>
              <w:t>псориатичен дерматит, хиперхидроза, обрив, в частност макуло-папулозен, алопеция</w:t>
            </w:r>
          </w:p>
        </w:tc>
        <w:tc>
          <w:tcPr>
            <w:tcW w:w="1761" w:type="dxa"/>
          </w:tcPr>
          <w:p w14:paraId="577FAB9B" w14:textId="77777777" w:rsidR="001B3322" w:rsidRPr="001B3322" w:rsidRDefault="001B3322" w:rsidP="001B3322">
            <w:pPr>
              <w:rPr>
                <w:rFonts w:cs="Arial"/>
              </w:rPr>
            </w:pPr>
          </w:p>
        </w:tc>
        <w:tc>
          <w:tcPr>
            <w:tcW w:w="2207" w:type="dxa"/>
            <w:vAlign w:val="bottom"/>
          </w:tcPr>
          <w:p w14:paraId="0FCB5093" w14:textId="1DCD7DF4" w:rsidR="001B3322" w:rsidRPr="001B3322" w:rsidRDefault="001B3322" w:rsidP="001B3322">
            <w:pPr>
              <w:rPr>
                <w:rFonts w:cs="Arial"/>
              </w:rPr>
            </w:pPr>
            <w:r w:rsidRPr="001B3322">
              <w:rPr>
                <w:rFonts w:cs="Arial"/>
              </w:rPr>
              <w:t>Токсична епидермална некролиза, синдром на Стивънс-Джонсън, еритема мултиформе, пемфигус,</w:t>
            </w:r>
            <w:r>
              <w:rPr>
                <w:rFonts w:cs="Arial"/>
                <w:lang w:val="en-US"/>
              </w:rPr>
              <w:t xml:space="preserve"> </w:t>
            </w:r>
            <w:r w:rsidRPr="001B3322">
              <w:rPr>
                <w:rFonts w:cs="Arial"/>
              </w:rPr>
              <w:t>обострен</w:t>
            </w:r>
          </w:p>
          <w:p w14:paraId="51B7AD47" w14:textId="19DAED5F" w:rsidR="001B3322" w:rsidRPr="001B3322" w:rsidRDefault="001B3322" w:rsidP="001B3322">
            <w:pPr>
              <w:rPr>
                <w:rFonts w:cs="Arial"/>
              </w:rPr>
            </w:pPr>
            <w:r w:rsidRPr="001B3322">
              <w:rPr>
                <w:rFonts w:cs="Arial"/>
              </w:rPr>
              <w:t>псориазис, ексфолиативен дерматит, реакция</w:t>
            </w:r>
            <w:r>
              <w:rPr>
                <w:rFonts w:cs="Arial"/>
                <w:lang w:val="en-US"/>
              </w:rPr>
              <w:t xml:space="preserve"> </w:t>
            </w:r>
            <w:r w:rsidRPr="001B3322">
              <w:rPr>
                <w:rFonts w:cs="Arial"/>
              </w:rPr>
              <w:t>на</w:t>
            </w:r>
            <w:r>
              <w:rPr>
                <w:rFonts w:cs="Arial"/>
                <w:lang w:val="en-US"/>
              </w:rPr>
              <w:t xml:space="preserve"> </w:t>
            </w:r>
            <w:r w:rsidRPr="001B3322">
              <w:rPr>
                <w:rFonts w:cs="Arial"/>
              </w:rPr>
              <w:t>фоточувствителност, онихолиза, пемфигоиден или лихеноиден екзантем или енантем, уртикария</w:t>
            </w:r>
          </w:p>
          <w:p w14:paraId="0E7F5510" w14:textId="54655591" w:rsidR="001B3322" w:rsidRPr="001B3322" w:rsidRDefault="001B3322" w:rsidP="001B3322">
            <w:pPr>
              <w:rPr>
                <w:rFonts w:cs="Arial"/>
              </w:rPr>
            </w:pPr>
            <w:r w:rsidRPr="001B3322">
              <w:rPr>
                <w:rFonts w:cs="Arial"/>
              </w:rPr>
              <w:t>Системен еритематозен лупус</w:t>
            </w:r>
            <w:r w:rsidRPr="001B3322">
              <w:rPr>
                <w:rFonts w:cs="Arial"/>
                <w:lang w:val="en-US"/>
              </w:rPr>
              <w:t xml:space="preserve"> </w:t>
            </w:r>
            <w:r w:rsidRPr="001B3322">
              <w:rPr>
                <w:rFonts w:cs="Arial"/>
              </w:rPr>
              <w:t>поради</w:t>
            </w:r>
          </w:p>
          <w:p w14:paraId="57E75098" w14:textId="45EEF93D" w:rsidR="001B3322" w:rsidRPr="001B3322" w:rsidRDefault="001B3322" w:rsidP="001B3322">
            <w:pPr>
              <w:rPr>
                <w:rFonts w:cs="Arial"/>
              </w:rPr>
            </w:pPr>
            <w:r w:rsidRPr="001B3322">
              <w:rPr>
                <w:rFonts w:cs="Arial"/>
              </w:rPr>
              <w:t>хидрохлоротиазида</w:t>
            </w:r>
          </w:p>
        </w:tc>
      </w:tr>
      <w:tr w:rsidR="001B3322" w14:paraId="4CC0904D" w14:textId="77777777" w:rsidTr="001B3322">
        <w:tc>
          <w:tcPr>
            <w:tcW w:w="1830" w:type="dxa"/>
          </w:tcPr>
          <w:p w14:paraId="7BDC7C5D" w14:textId="0A89775D" w:rsidR="001B3322" w:rsidRPr="001B3322" w:rsidRDefault="001B3322" w:rsidP="001B3322">
            <w:pPr>
              <w:rPr>
                <w:rFonts w:cs="Arial"/>
              </w:rPr>
            </w:pPr>
            <w:r w:rsidRPr="001B3322">
              <w:rPr>
                <w:rFonts w:cs="Arial"/>
                <w:i/>
                <w:iCs/>
              </w:rPr>
              <w:t>Нарушения</w:t>
            </w:r>
            <w:r w:rsidRPr="001B3322">
              <w:rPr>
                <w:rFonts w:cs="Arial"/>
                <w:i/>
                <w:iCs/>
                <w:lang w:val="en-US"/>
              </w:rPr>
              <w:t xml:space="preserve"> </w:t>
            </w:r>
            <w:r w:rsidRPr="001B3322">
              <w:rPr>
                <w:rFonts w:cs="Arial"/>
                <w:i/>
                <w:iCs/>
              </w:rPr>
              <w:t>на</w:t>
            </w:r>
          </w:p>
          <w:p w14:paraId="549BE881" w14:textId="2961904E" w:rsidR="001B3322" w:rsidRPr="001B3322" w:rsidRDefault="001B3322" w:rsidP="001B3322">
            <w:pPr>
              <w:rPr>
                <w:rFonts w:cs="Arial"/>
              </w:rPr>
            </w:pPr>
            <w:r w:rsidRPr="001B3322">
              <w:rPr>
                <w:rFonts w:cs="Arial"/>
                <w:i/>
                <w:iCs/>
              </w:rPr>
              <w:t>мускулно- скелетната система</w:t>
            </w:r>
            <w:r w:rsidRPr="001B3322">
              <w:rPr>
                <w:rFonts w:cs="Arial"/>
                <w:i/>
                <w:iCs/>
                <w:lang w:val="en-US"/>
              </w:rPr>
              <w:t xml:space="preserve"> </w:t>
            </w:r>
            <w:r w:rsidRPr="001B3322">
              <w:rPr>
                <w:rFonts w:cs="Arial"/>
                <w:i/>
                <w:iCs/>
              </w:rPr>
              <w:t>и</w:t>
            </w:r>
          </w:p>
          <w:p w14:paraId="3C9152BE" w14:textId="7C338C47" w:rsidR="001B3322" w:rsidRPr="001B3322" w:rsidRDefault="001B3322" w:rsidP="001B3322">
            <w:pPr>
              <w:rPr>
                <w:rFonts w:cs="Arial"/>
              </w:rPr>
            </w:pPr>
            <w:r w:rsidRPr="001B3322">
              <w:rPr>
                <w:rFonts w:cs="Arial"/>
                <w:i/>
                <w:iCs/>
              </w:rPr>
              <w:t>съединителната тъкан</w:t>
            </w:r>
          </w:p>
        </w:tc>
        <w:tc>
          <w:tcPr>
            <w:tcW w:w="1826" w:type="dxa"/>
          </w:tcPr>
          <w:p w14:paraId="2E200B08" w14:textId="77777777" w:rsidR="001B3322" w:rsidRPr="001B3322" w:rsidRDefault="001B3322" w:rsidP="001B3322">
            <w:pPr>
              <w:rPr>
                <w:rFonts w:cs="Arial"/>
              </w:rPr>
            </w:pPr>
          </w:p>
        </w:tc>
        <w:tc>
          <w:tcPr>
            <w:tcW w:w="1952" w:type="dxa"/>
          </w:tcPr>
          <w:p w14:paraId="1E53FABD" w14:textId="609983D1" w:rsidR="001B3322" w:rsidRPr="001B3322" w:rsidRDefault="001B3322" w:rsidP="001B3322">
            <w:pPr>
              <w:rPr>
                <w:rFonts w:cs="Arial"/>
              </w:rPr>
            </w:pPr>
            <w:r w:rsidRPr="001B3322">
              <w:rPr>
                <w:rFonts w:cs="Arial"/>
              </w:rPr>
              <w:t>Миалгия</w:t>
            </w:r>
          </w:p>
        </w:tc>
        <w:tc>
          <w:tcPr>
            <w:tcW w:w="1761" w:type="dxa"/>
          </w:tcPr>
          <w:p w14:paraId="16C6ED6B" w14:textId="77777777" w:rsidR="001B3322" w:rsidRPr="001B3322" w:rsidRDefault="001B3322" w:rsidP="001B3322">
            <w:pPr>
              <w:rPr>
                <w:rFonts w:cs="Arial"/>
              </w:rPr>
            </w:pPr>
          </w:p>
        </w:tc>
        <w:tc>
          <w:tcPr>
            <w:tcW w:w="2207" w:type="dxa"/>
            <w:vAlign w:val="bottom"/>
          </w:tcPr>
          <w:p w14:paraId="7C62C4DC" w14:textId="77777777" w:rsidR="001B3322" w:rsidRPr="001B3322" w:rsidRDefault="001B3322" w:rsidP="001B3322">
            <w:pPr>
              <w:rPr>
                <w:rFonts w:cs="Arial"/>
              </w:rPr>
            </w:pPr>
            <w:r w:rsidRPr="001B3322">
              <w:rPr>
                <w:rFonts w:cs="Arial"/>
              </w:rPr>
              <w:t>Артралгия, мускулни спазми</w:t>
            </w:r>
          </w:p>
          <w:p w14:paraId="74272740" w14:textId="7218F505" w:rsidR="001B3322" w:rsidRPr="001B3322" w:rsidRDefault="001B3322" w:rsidP="001B3322">
            <w:pPr>
              <w:rPr>
                <w:rFonts w:cs="Arial"/>
              </w:rPr>
            </w:pPr>
            <w:r w:rsidRPr="001B3322">
              <w:rPr>
                <w:rFonts w:cs="Arial"/>
              </w:rPr>
              <w:t>Мускулна</w:t>
            </w:r>
            <w:r w:rsidRPr="001B3322">
              <w:rPr>
                <w:rFonts w:cs="Arial"/>
                <w:lang w:val="en-US"/>
              </w:rPr>
              <w:t xml:space="preserve"> </w:t>
            </w:r>
            <w:r w:rsidRPr="001B3322">
              <w:rPr>
                <w:rFonts w:cs="Arial"/>
              </w:rPr>
              <w:t>слабост,</w:t>
            </w:r>
          </w:p>
          <w:p w14:paraId="1D19C1DB" w14:textId="45C0DD40" w:rsidR="001B3322" w:rsidRPr="001B3322" w:rsidRDefault="001B3322" w:rsidP="001B3322">
            <w:pPr>
              <w:rPr>
                <w:rFonts w:cs="Arial"/>
              </w:rPr>
            </w:pPr>
            <w:r w:rsidRPr="001B3322">
              <w:rPr>
                <w:rFonts w:cs="Arial"/>
              </w:rPr>
              <w:t>скелетно-мускулна скованост,</w:t>
            </w:r>
            <w:r w:rsidRPr="001B3322">
              <w:rPr>
                <w:rFonts w:cs="Arial"/>
                <w:lang w:val="en-US"/>
              </w:rPr>
              <w:t xml:space="preserve"> </w:t>
            </w:r>
            <w:r w:rsidRPr="001B3322">
              <w:rPr>
                <w:rFonts w:cs="Arial"/>
              </w:rPr>
              <w:t>тетания</w:t>
            </w:r>
          </w:p>
          <w:p w14:paraId="688EE3A8" w14:textId="002EAEED" w:rsidR="001B3322" w:rsidRPr="001B3322" w:rsidRDefault="001B3322" w:rsidP="001B3322">
            <w:pPr>
              <w:rPr>
                <w:rFonts w:cs="Arial"/>
              </w:rPr>
            </w:pPr>
            <w:r w:rsidRPr="001B3322">
              <w:rPr>
                <w:rFonts w:cs="Arial"/>
              </w:rPr>
              <w:t>поради хидрохлоротиазида</w:t>
            </w:r>
          </w:p>
        </w:tc>
      </w:tr>
      <w:tr w:rsidR="001B3322" w14:paraId="4C3CFCCD" w14:textId="77777777" w:rsidTr="001B3322">
        <w:tc>
          <w:tcPr>
            <w:tcW w:w="1830" w:type="dxa"/>
          </w:tcPr>
          <w:p w14:paraId="19F96EB3" w14:textId="2A83192B" w:rsidR="001B3322" w:rsidRPr="001B3322" w:rsidRDefault="001B3322" w:rsidP="001B3322">
            <w:pPr>
              <w:rPr>
                <w:rFonts w:cs="Arial"/>
              </w:rPr>
            </w:pPr>
            <w:r w:rsidRPr="001B3322">
              <w:rPr>
                <w:rFonts w:cs="Arial"/>
                <w:i/>
                <w:iCs/>
              </w:rPr>
              <w:lastRenderedPageBreak/>
              <w:t>Нарушения</w:t>
            </w:r>
            <w:r w:rsidRPr="001B3322">
              <w:rPr>
                <w:rFonts w:cs="Arial"/>
                <w:i/>
                <w:iCs/>
                <w:lang w:val="en-US"/>
              </w:rPr>
              <w:t xml:space="preserve"> </w:t>
            </w:r>
            <w:r w:rsidRPr="001B3322">
              <w:rPr>
                <w:rFonts w:cs="Arial"/>
                <w:i/>
                <w:iCs/>
              </w:rPr>
              <w:t>на</w:t>
            </w:r>
          </w:p>
          <w:p w14:paraId="11189024" w14:textId="6418805F" w:rsidR="001B3322" w:rsidRPr="001B3322" w:rsidRDefault="001B3322" w:rsidP="001B3322">
            <w:pPr>
              <w:rPr>
                <w:rFonts w:cs="Arial"/>
              </w:rPr>
            </w:pPr>
            <w:r w:rsidRPr="001B3322">
              <w:rPr>
                <w:rFonts w:cs="Arial"/>
                <w:i/>
                <w:iCs/>
              </w:rPr>
              <w:t>Бъбреците</w:t>
            </w:r>
            <w:r w:rsidRPr="001B3322">
              <w:rPr>
                <w:rFonts w:cs="Arial"/>
                <w:i/>
                <w:iCs/>
                <w:lang w:val="en-US"/>
              </w:rPr>
              <w:t xml:space="preserve"> </w:t>
            </w:r>
            <w:r w:rsidRPr="001B3322">
              <w:rPr>
                <w:rFonts w:cs="Arial"/>
                <w:i/>
                <w:iCs/>
              </w:rPr>
              <w:t>и</w:t>
            </w:r>
          </w:p>
          <w:p w14:paraId="126CC5DF" w14:textId="765E5F04" w:rsidR="001B3322" w:rsidRPr="001B3322" w:rsidRDefault="001B3322" w:rsidP="001B3322">
            <w:pPr>
              <w:rPr>
                <w:rFonts w:cs="Arial"/>
              </w:rPr>
            </w:pPr>
            <w:r w:rsidRPr="001B3322">
              <w:rPr>
                <w:rFonts w:cs="Arial"/>
                <w:i/>
                <w:iCs/>
              </w:rPr>
              <w:t>пикочните пътища</w:t>
            </w:r>
          </w:p>
        </w:tc>
        <w:tc>
          <w:tcPr>
            <w:tcW w:w="1826" w:type="dxa"/>
          </w:tcPr>
          <w:p w14:paraId="71EFC510" w14:textId="77777777" w:rsidR="001B3322" w:rsidRPr="001B3322" w:rsidRDefault="001B3322" w:rsidP="001B3322">
            <w:pPr>
              <w:rPr>
                <w:rFonts w:cs="Arial"/>
              </w:rPr>
            </w:pPr>
          </w:p>
        </w:tc>
        <w:tc>
          <w:tcPr>
            <w:tcW w:w="1952" w:type="dxa"/>
            <w:vAlign w:val="bottom"/>
          </w:tcPr>
          <w:p w14:paraId="1D7019B8" w14:textId="620D6A11" w:rsidR="001B3322" w:rsidRPr="001B3322" w:rsidRDefault="001B3322" w:rsidP="001B3322">
            <w:pPr>
              <w:rPr>
                <w:rFonts w:cs="Arial"/>
              </w:rPr>
            </w:pPr>
            <w:r w:rsidRPr="001B3322">
              <w:rPr>
                <w:rFonts w:cs="Arial"/>
              </w:rPr>
              <w:t>Бъбречно увреждане, включително остра бъбречна недостатъчност, полиурия, повишена урея в кръвта, повишен креатинин</w:t>
            </w:r>
            <w:r>
              <w:rPr>
                <w:rFonts w:cs="Arial"/>
                <w:lang w:val="en-US"/>
              </w:rPr>
              <w:t xml:space="preserve"> </w:t>
            </w:r>
            <w:r w:rsidRPr="001B3322">
              <w:rPr>
                <w:rFonts w:cs="Arial"/>
              </w:rPr>
              <w:t>в</w:t>
            </w:r>
          </w:p>
          <w:p w14:paraId="1667FAD7" w14:textId="709757DF" w:rsidR="001B3322" w:rsidRPr="001B3322" w:rsidRDefault="001B3322" w:rsidP="001B3322">
            <w:pPr>
              <w:rPr>
                <w:rFonts w:cs="Arial"/>
              </w:rPr>
            </w:pPr>
            <w:r w:rsidRPr="001B3322">
              <w:rPr>
                <w:rFonts w:cs="Arial"/>
              </w:rPr>
              <w:t>кръвта</w:t>
            </w:r>
          </w:p>
        </w:tc>
        <w:tc>
          <w:tcPr>
            <w:tcW w:w="1761" w:type="dxa"/>
          </w:tcPr>
          <w:p w14:paraId="2E0EBFAE" w14:textId="77777777" w:rsidR="001B3322" w:rsidRPr="001B3322" w:rsidRDefault="001B3322" w:rsidP="001B3322">
            <w:pPr>
              <w:rPr>
                <w:rFonts w:cs="Arial"/>
              </w:rPr>
            </w:pPr>
          </w:p>
        </w:tc>
        <w:tc>
          <w:tcPr>
            <w:tcW w:w="2207" w:type="dxa"/>
          </w:tcPr>
          <w:p w14:paraId="7912F068" w14:textId="38508A29" w:rsidR="001B3322" w:rsidRPr="001B3322" w:rsidRDefault="001B3322" w:rsidP="001B3322">
            <w:pPr>
              <w:rPr>
                <w:rFonts w:cs="Arial"/>
              </w:rPr>
            </w:pPr>
            <w:r w:rsidRPr="001B3322">
              <w:rPr>
                <w:rFonts w:cs="Arial"/>
              </w:rPr>
              <w:t>Влошаване</w:t>
            </w:r>
            <w:r>
              <w:rPr>
                <w:rFonts w:cs="Arial"/>
                <w:lang w:val="en-US"/>
              </w:rPr>
              <w:t xml:space="preserve"> </w:t>
            </w:r>
            <w:r w:rsidRPr="001B3322">
              <w:rPr>
                <w:rFonts w:cs="Arial"/>
              </w:rPr>
              <w:t>на</w:t>
            </w:r>
          </w:p>
          <w:p w14:paraId="669DC349" w14:textId="77777777" w:rsidR="001B3322" w:rsidRPr="001B3322" w:rsidRDefault="001B3322" w:rsidP="001B3322">
            <w:pPr>
              <w:rPr>
                <w:rFonts w:cs="Arial"/>
              </w:rPr>
            </w:pPr>
            <w:r w:rsidRPr="001B3322">
              <w:rPr>
                <w:rFonts w:cs="Arial"/>
              </w:rPr>
              <w:t>съществуваща протеинурия.</w:t>
            </w:r>
          </w:p>
          <w:p w14:paraId="4D59AAF3" w14:textId="374C0BDC" w:rsidR="001B3322" w:rsidRPr="001B3322" w:rsidRDefault="001B3322" w:rsidP="001B3322">
            <w:pPr>
              <w:rPr>
                <w:rFonts w:cs="Arial"/>
              </w:rPr>
            </w:pPr>
            <w:r w:rsidRPr="001B3322">
              <w:rPr>
                <w:rFonts w:cs="Arial"/>
              </w:rPr>
              <w:t>Интерстициален нефрит, свързан</w:t>
            </w:r>
            <w:r w:rsidRPr="001B3322">
              <w:rPr>
                <w:rFonts w:cs="Arial"/>
                <w:lang w:val="en-US"/>
              </w:rPr>
              <w:t xml:space="preserve"> </w:t>
            </w:r>
            <w:r w:rsidRPr="001B3322">
              <w:rPr>
                <w:rFonts w:cs="Arial"/>
              </w:rPr>
              <w:t>с</w:t>
            </w:r>
          </w:p>
          <w:p w14:paraId="06DC4B2F" w14:textId="0400078B" w:rsidR="001B3322" w:rsidRPr="001B3322" w:rsidRDefault="001B3322" w:rsidP="001B3322">
            <w:pPr>
              <w:rPr>
                <w:rFonts w:cs="Arial"/>
              </w:rPr>
            </w:pPr>
            <w:r w:rsidRPr="001B3322">
              <w:rPr>
                <w:rFonts w:cs="Arial"/>
              </w:rPr>
              <w:t>хидрохлоротиазида</w:t>
            </w:r>
          </w:p>
        </w:tc>
      </w:tr>
      <w:tr w:rsidR="001B3322" w14:paraId="733EB957" w14:textId="77777777" w:rsidTr="001B3322">
        <w:tc>
          <w:tcPr>
            <w:tcW w:w="1830" w:type="dxa"/>
            <w:vAlign w:val="bottom"/>
          </w:tcPr>
          <w:p w14:paraId="102E1C1E" w14:textId="77777777" w:rsidR="001B3322" w:rsidRPr="001B3322" w:rsidRDefault="001B3322" w:rsidP="001B3322">
            <w:pPr>
              <w:rPr>
                <w:rFonts w:cs="Arial"/>
              </w:rPr>
            </w:pPr>
            <w:r w:rsidRPr="001B3322">
              <w:rPr>
                <w:rFonts w:cs="Arial"/>
                <w:i/>
                <w:iCs/>
              </w:rPr>
              <w:t>Нарушения</w:t>
            </w:r>
            <w:r w:rsidRPr="001B3322">
              <w:rPr>
                <w:rFonts w:cs="Arial"/>
                <w:i/>
                <w:iCs/>
              </w:rPr>
              <w:tab/>
              <w:t>на</w:t>
            </w:r>
          </w:p>
          <w:p w14:paraId="5ABB1D30" w14:textId="53F95C5A" w:rsidR="001B3322" w:rsidRPr="001B3322" w:rsidRDefault="001B3322" w:rsidP="001B3322">
            <w:pPr>
              <w:rPr>
                <w:rFonts w:cs="Arial"/>
              </w:rPr>
            </w:pPr>
            <w:r w:rsidRPr="001B3322">
              <w:rPr>
                <w:rFonts w:cs="Arial"/>
                <w:i/>
                <w:iCs/>
              </w:rPr>
              <w:t>възпроизводителна та система и гърдата</w:t>
            </w:r>
          </w:p>
        </w:tc>
        <w:tc>
          <w:tcPr>
            <w:tcW w:w="1826" w:type="dxa"/>
          </w:tcPr>
          <w:p w14:paraId="575B96AC" w14:textId="77777777" w:rsidR="001B3322" w:rsidRPr="001B3322" w:rsidRDefault="001B3322" w:rsidP="001B3322">
            <w:pPr>
              <w:rPr>
                <w:rFonts w:cs="Arial"/>
              </w:rPr>
            </w:pPr>
          </w:p>
        </w:tc>
        <w:tc>
          <w:tcPr>
            <w:tcW w:w="1952" w:type="dxa"/>
          </w:tcPr>
          <w:p w14:paraId="6FB03553" w14:textId="2058BE0A" w:rsidR="001B3322" w:rsidRPr="001B3322" w:rsidRDefault="001B3322" w:rsidP="001B3322">
            <w:pPr>
              <w:rPr>
                <w:rFonts w:cs="Arial"/>
              </w:rPr>
            </w:pPr>
            <w:r w:rsidRPr="001B3322">
              <w:rPr>
                <w:rFonts w:cs="Arial"/>
              </w:rPr>
              <w:t>Преходна еректилна импотенция</w:t>
            </w:r>
          </w:p>
        </w:tc>
        <w:tc>
          <w:tcPr>
            <w:tcW w:w="1761" w:type="dxa"/>
          </w:tcPr>
          <w:p w14:paraId="55FAA01F" w14:textId="77777777" w:rsidR="001B3322" w:rsidRPr="001B3322" w:rsidRDefault="001B3322" w:rsidP="001B3322">
            <w:pPr>
              <w:rPr>
                <w:rFonts w:cs="Arial"/>
              </w:rPr>
            </w:pPr>
          </w:p>
        </w:tc>
        <w:tc>
          <w:tcPr>
            <w:tcW w:w="2207" w:type="dxa"/>
          </w:tcPr>
          <w:p w14:paraId="077F5B34" w14:textId="101533CB" w:rsidR="001B3322" w:rsidRPr="001B3322" w:rsidRDefault="001B3322" w:rsidP="001B3322">
            <w:pPr>
              <w:rPr>
                <w:rFonts w:cs="Arial"/>
              </w:rPr>
            </w:pPr>
            <w:r w:rsidRPr="001B3322">
              <w:rPr>
                <w:rFonts w:cs="Arial"/>
              </w:rPr>
              <w:t>Понижено</w:t>
            </w:r>
            <w:r w:rsidRPr="001B3322">
              <w:rPr>
                <w:rFonts w:cs="Arial"/>
                <w:lang w:val="en-US"/>
              </w:rPr>
              <w:t xml:space="preserve"> </w:t>
            </w:r>
            <w:r w:rsidRPr="001B3322">
              <w:rPr>
                <w:rFonts w:cs="Arial"/>
              </w:rPr>
              <w:t>либидо,</w:t>
            </w:r>
          </w:p>
          <w:p w14:paraId="0ADD9F8E" w14:textId="3BDA9E00" w:rsidR="001B3322" w:rsidRPr="001B3322" w:rsidRDefault="001B3322" w:rsidP="001B3322">
            <w:pPr>
              <w:rPr>
                <w:rFonts w:cs="Arial"/>
              </w:rPr>
            </w:pPr>
            <w:r w:rsidRPr="001B3322">
              <w:rPr>
                <w:rFonts w:cs="Arial"/>
              </w:rPr>
              <w:t>гинекомастия</w:t>
            </w:r>
          </w:p>
        </w:tc>
      </w:tr>
      <w:tr w:rsidR="001B3322" w14:paraId="22362573" w14:textId="77777777" w:rsidTr="001B3322">
        <w:tc>
          <w:tcPr>
            <w:tcW w:w="1830" w:type="dxa"/>
            <w:vAlign w:val="bottom"/>
          </w:tcPr>
          <w:p w14:paraId="4CEC441C" w14:textId="0991F292" w:rsidR="001B3322" w:rsidRPr="001B3322" w:rsidRDefault="001B3322" w:rsidP="001B3322">
            <w:pPr>
              <w:rPr>
                <w:rFonts w:cs="Arial"/>
              </w:rPr>
            </w:pPr>
            <w:r w:rsidRPr="001B3322">
              <w:rPr>
                <w:rFonts w:cs="Arial"/>
                <w:i/>
                <w:iCs/>
              </w:rPr>
              <w:t>Общи нарушения и ефекти</w:t>
            </w:r>
            <w:r w:rsidRPr="001B3322">
              <w:rPr>
                <w:rFonts w:cs="Arial"/>
                <w:i/>
                <w:iCs/>
                <w:lang w:val="en-US"/>
              </w:rPr>
              <w:t xml:space="preserve"> </w:t>
            </w:r>
            <w:r w:rsidRPr="001B3322">
              <w:rPr>
                <w:rFonts w:cs="Arial"/>
                <w:i/>
                <w:iCs/>
              </w:rPr>
              <w:t>на</w:t>
            </w:r>
          </w:p>
          <w:p w14:paraId="1EFDC568" w14:textId="0E6CD0F0" w:rsidR="001B3322" w:rsidRPr="001B3322" w:rsidRDefault="001B3322" w:rsidP="001B3322">
            <w:pPr>
              <w:rPr>
                <w:rFonts w:cs="Arial"/>
              </w:rPr>
            </w:pPr>
            <w:r w:rsidRPr="001B3322">
              <w:rPr>
                <w:rFonts w:cs="Arial"/>
                <w:i/>
                <w:iCs/>
              </w:rPr>
              <w:t>Мястото</w:t>
            </w:r>
            <w:r w:rsidRPr="001B3322">
              <w:rPr>
                <w:rFonts w:cs="Arial"/>
                <w:i/>
                <w:iCs/>
                <w:lang w:val="en-US"/>
              </w:rPr>
              <w:t xml:space="preserve"> </w:t>
            </w:r>
            <w:r w:rsidRPr="001B3322">
              <w:rPr>
                <w:rFonts w:cs="Arial"/>
                <w:i/>
                <w:iCs/>
              </w:rPr>
              <w:t>на</w:t>
            </w:r>
          </w:p>
          <w:p w14:paraId="485925A2" w14:textId="088AFB74" w:rsidR="001B3322" w:rsidRPr="001B3322" w:rsidRDefault="001B3322" w:rsidP="001B3322">
            <w:pPr>
              <w:rPr>
                <w:rFonts w:cs="Arial"/>
              </w:rPr>
            </w:pPr>
            <w:r w:rsidRPr="001B3322">
              <w:rPr>
                <w:rFonts w:cs="Arial"/>
                <w:i/>
                <w:iCs/>
              </w:rPr>
              <w:t>приложение</w:t>
            </w:r>
          </w:p>
        </w:tc>
        <w:tc>
          <w:tcPr>
            <w:tcW w:w="1826" w:type="dxa"/>
          </w:tcPr>
          <w:p w14:paraId="1F058867" w14:textId="56DD4E5B" w:rsidR="001B3322" w:rsidRPr="001B3322" w:rsidRDefault="001B3322" w:rsidP="001B3322">
            <w:pPr>
              <w:rPr>
                <w:rFonts w:cs="Arial"/>
              </w:rPr>
            </w:pPr>
            <w:r w:rsidRPr="001B3322">
              <w:rPr>
                <w:rFonts w:cs="Arial"/>
              </w:rPr>
              <w:t>Умора, анестезия</w:t>
            </w:r>
          </w:p>
        </w:tc>
        <w:tc>
          <w:tcPr>
            <w:tcW w:w="1952" w:type="dxa"/>
          </w:tcPr>
          <w:p w14:paraId="0313E243" w14:textId="3622EA21" w:rsidR="001B3322" w:rsidRPr="001B3322" w:rsidRDefault="001B3322" w:rsidP="001B3322">
            <w:pPr>
              <w:rPr>
                <w:rFonts w:cs="Arial"/>
              </w:rPr>
            </w:pPr>
            <w:r w:rsidRPr="001B3322">
              <w:rPr>
                <w:rFonts w:cs="Arial"/>
              </w:rPr>
              <w:t>Гръдна</w:t>
            </w:r>
            <w:r>
              <w:rPr>
                <w:rFonts w:cs="Arial"/>
                <w:lang w:val="en-US"/>
              </w:rPr>
              <w:t xml:space="preserve"> </w:t>
            </w:r>
            <w:r w:rsidRPr="001B3322">
              <w:rPr>
                <w:rFonts w:cs="Arial"/>
              </w:rPr>
              <w:t>болка,</w:t>
            </w:r>
          </w:p>
          <w:p w14:paraId="324E9503" w14:textId="2CDBD8B7" w:rsidR="001B3322" w:rsidRPr="001B3322" w:rsidRDefault="001B3322" w:rsidP="001B3322">
            <w:pPr>
              <w:rPr>
                <w:rFonts w:cs="Arial"/>
              </w:rPr>
            </w:pPr>
            <w:r w:rsidRPr="001B3322">
              <w:rPr>
                <w:rFonts w:cs="Arial"/>
              </w:rPr>
              <w:t>пирексия</w:t>
            </w:r>
          </w:p>
        </w:tc>
        <w:tc>
          <w:tcPr>
            <w:tcW w:w="1761" w:type="dxa"/>
          </w:tcPr>
          <w:p w14:paraId="0BB75368" w14:textId="77777777" w:rsidR="001B3322" w:rsidRPr="001B3322" w:rsidRDefault="001B3322" w:rsidP="001B3322">
            <w:pPr>
              <w:rPr>
                <w:rFonts w:cs="Arial"/>
              </w:rPr>
            </w:pPr>
          </w:p>
        </w:tc>
        <w:tc>
          <w:tcPr>
            <w:tcW w:w="2207" w:type="dxa"/>
          </w:tcPr>
          <w:p w14:paraId="130782EB" w14:textId="77777777" w:rsidR="001B3322" w:rsidRPr="001B3322" w:rsidRDefault="001B3322" w:rsidP="001B3322">
            <w:pPr>
              <w:rPr>
                <w:rFonts w:cs="Arial"/>
              </w:rPr>
            </w:pPr>
          </w:p>
        </w:tc>
      </w:tr>
      <w:tr w:rsidR="001B3322" w14:paraId="6A72D29E" w14:textId="77777777" w:rsidTr="001B3322">
        <w:tc>
          <w:tcPr>
            <w:tcW w:w="1830" w:type="dxa"/>
            <w:vAlign w:val="bottom"/>
          </w:tcPr>
          <w:p w14:paraId="0915BD0D" w14:textId="77777777" w:rsidR="001B3322" w:rsidRPr="001B3322" w:rsidRDefault="001B3322" w:rsidP="001B3322">
            <w:pPr>
              <w:rPr>
                <w:rFonts w:cs="Arial"/>
              </w:rPr>
            </w:pPr>
            <w:r w:rsidRPr="001B3322">
              <w:rPr>
                <w:rFonts w:cs="Arial"/>
                <w:i/>
                <w:iCs/>
              </w:rPr>
              <w:t>Неоплазми</w:t>
            </w:r>
            <w:r w:rsidRPr="001B3322">
              <w:rPr>
                <w:rFonts w:cs="Arial"/>
                <w:i/>
                <w:iCs/>
              </w:rPr>
              <w:tab/>
              <w:t>-</w:t>
            </w:r>
          </w:p>
          <w:p w14:paraId="12476979" w14:textId="22025AAA" w:rsidR="001B3322" w:rsidRPr="001B3322" w:rsidRDefault="001B3322" w:rsidP="001B3322">
            <w:pPr>
              <w:rPr>
                <w:rFonts w:cs="Arial"/>
              </w:rPr>
            </w:pPr>
            <w:r w:rsidRPr="001B3322">
              <w:rPr>
                <w:rFonts w:cs="Arial"/>
                <w:i/>
                <w:iCs/>
              </w:rPr>
              <w:t>доброкачествени, злокачествени и неопределени (вкл. кисти и полипи)</w:t>
            </w:r>
          </w:p>
        </w:tc>
        <w:tc>
          <w:tcPr>
            <w:tcW w:w="1826" w:type="dxa"/>
          </w:tcPr>
          <w:p w14:paraId="58A5FF60" w14:textId="77777777" w:rsidR="001B3322" w:rsidRPr="001B3322" w:rsidRDefault="001B3322" w:rsidP="001B3322">
            <w:pPr>
              <w:rPr>
                <w:rFonts w:cs="Arial"/>
              </w:rPr>
            </w:pPr>
          </w:p>
        </w:tc>
        <w:tc>
          <w:tcPr>
            <w:tcW w:w="1952" w:type="dxa"/>
          </w:tcPr>
          <w:p w14:paraId="7342FD75" w14:textId="77777777" w:rsidR="001B3322" w:rsidRPr="001B3322" w:rsidRDefault="001B3322" w:rsidP="001B3322">
            <w:pPr>
              <w:rPr>
                <w:rFonts w:cs="Arial"/>
              </w:rPr>
            </w:pPr>
          </w:p>
        </w:tc>
        <w:tc>
          <w:tcPr>
            <w:tcW w:w="1761" w:type="dxa"/>
          </w:tcPr>
          <w:p w14:paraId="6C026DCF" w14:textId="77777777" w:rsidR="001B3322" w:rsidRPr="001B3322" w:rsidRDefault="001B3322" w:rsidP="001B3322">
            <w:pPr>
              <w:rPr>
                <w:rFonts w:cs="Arial"/>
              </w:rPr>
            </w:pPr>
          </w:p>
        </w:tc>
        <w:tc>
          <w:tcPr>
            <w:tcW w:w="2207" w:type="dxa"/>
            <w:vAlign w:val="bottom"/>
          </w:tcPr>
          <w:p w14:paraId="4F5CF569" w14:textId="0EA4D6B5" w:rsidR="001B3322" w:rsidRPr="001B3322" w:rsidRDefault="001B3322" w:rsidP="001B3322">
            <w:pPr>
              <w:rPr>
                <w:rFonts w:cs="Arial"/>
              </w:rPr>
            </w:pPr>
            <w:r w:rsidRPr="001B3322">
              <w:rPr>
                <w:rFonts w:cs="Arial"/>
              </w:rPr>
              <w:t>Немеланомен рак на кожата (базалноклетъчен карцином</w:t>
            </w:r>
            <w:r w:rsidRPr="001B3322">
              <w:rPr>
                <w:rFonts w:cs="Arial"/>
                <w:lang w:val="en-US"/>
              </w:rPr>
              <w:t xml:space="preserve"> </w:t>
            </w:r>
            <w:r w:rsidRPr="001B3322">
              <w:rPr>
                <w:rFonts w:cs="Arial"/>
              </w:rPr>
              <w:t>и</w:t>
            </w:r>
          </w:p>
          <w:p w14:paraId="343B853A" w14:textId="3C3FAC30" w:rsidR="001B3322" w:rsidRPr="001B3322" w:rsidRDefault="001B3322" w:rsidP="001B3322">
            <w:pPr>
              <w:rPr>
                <w:rFonts w:cs="Arial"/>
              </w:rPr>
            </w:pPr>
            <w:r w:rsidRPr="001B3322">
              <w:rPr>
                <w:rFonts w:cs="Arial"/>
              </w:rPr>
              <w:t>сквамозноклетъчен карцином)</w:t>
            </w:r>
          </w:p>
        </w:tc>
      </w:tr>
    </w:tbl>
    <w:p w14:paraId="026E34D8" w14:textId="747CCB5A" w:rsidR="001B3322" w:rsidRDefault="001B3322" w:rsidP="001B3322"/>
    <w:p w14:paraId="729233F4" w14:textId="11AC76D5" w:rsidR="001B3322" w:rsidRPr="001B3322" w:rsidRDefault="001B3322" w:rsidP="001B3322">
      <w:pPr>
        <w:rPr>
          <w:rFonts w:cs="Arial"/>
          <w:i/>
          <w:iCs/>
        </w:rPr>
      </w:pPr>
      <w:r w:rsidRPr="001B3322">
        <w:rPr>
          <w:rFonts w:cs="Arial"/>
          <w:i/>
          <w:iCs/>
        </w:rPr>
        <w:t>Описание на избрани нежелани реакции</w:t>
      </w:r>
    </w:p>
    <w:p w14:paraId="000A5B4E" w14:textId="77777777" w:rsidR="001B3322" w:rsidRPr="001B3322" w:rsidRDefault="001B3322" w:rsidP="001B3322">
      <w:pPr>
        <w:spacing w:line="240" w:lineRule="auto"/>
        <w:rPr>
          <w:rFonts w:eastAsia="Times New Roman" w:cs="Arial"/>
          <w:color w:val="000000"/>
          <w:lang w:eastAsia="bg-BG"/>
        </w:rPr>
      </w:pPr>
    </w:p>
    <w:p w14:paraId="1213AE4D" w14:textId="44EE2B92"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кумунилативната доза връзка между ХХТЗ и НМРК (вж. също точки 4.4 и 5.1).</w:t>
      </w:r>
    </w:p>
    <w:p w14:paraId="23851E75" w14:textId="77777777" w:rsidR="001B3322" w:rsidRPr="001B3322" w:rsidRDefault="001B3322" w:rsidP="001B3322">
      <w:pPr>
        <w:spacing w:line="240" w:lineRule="auto"/>
        <w:rPr>
          <w:rFonts w:eastAsia="Times New Roman" w:cs="Arial"/>
          <w:b/>
          <w:bCs/>
          <w:color w:val="000000"/>
          <w:lang w:eastAsia="bg-BG"/>
        </w:rPr>
      </w:pPr>
      <w:bookmarkStart w:id="1" w:name="bookmark0"/>
    </w:p>
    <w:p w14:paraId="181267D6" w14:textId="3126407F" w:rsidR="001B3322" w:rsidRPr="001B3322" w:rsidRDefault="001B3322" w:rsidP="001B3322">
      <w:pPr>
        <w:spacing w:line="240" w:lineRule="auto"/>
        <w:rPr>
          <w:rFonts w:eastAsia="Times New Roman" w:cs="Arial"/>
          <w:lang w:eastAsia="bg-BG"/>
        </w:rPr>
      </w:pPr>
      <w:r w:rsidRPr="001B3322">
        <w:rPr>
          <w:rFonts w:eastAsia="Times New Roman" w:cs="Arial"/>
          <w:b/>
          <w:bCs/>
          <w:color w:val="000000"/>
          <w:lang w:eastAsia="bg-BG"/>
        </w:rPr>
        <w:t>Съобщаване на подозирани нежелани реакции</w:t>
      </w:r>
      <w:bookmarkEnd w:id="1"/>
    </w:p>
    <w:p w14:paraId="1526487F"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78B7FC1C"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Изпълнителна агенция по лекарствата</w:t>
      </w:r>
    </w:p>
    <w:p w14:paraId="454FC56B"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ул. «Дамян Груев” № 8</w:t>
      </w:r>
    </w:p>
    <w:p w14:paraId="20556E78"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1303 София</w:t>
      </w:r>
    </w:p>
    <w:p w14:paraId="087BA7D8"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Тел.:+35 928903417</w:t>
      </w:r>
    </w:p>
    <w:p w14:paraId="0AE2D06E" w14:textId="77777777" w:rsidR="001B3322" w:rsidRPr="001B3322" w:rsidRDefault="001B3322" w:rsidP="001B3322">
      <w:pPr>
        <w:spacing w:line="240" w:lineRule="auto"/>
        <w:rPr>
          <w:rFonts w:eastAsia="Times New Roman" w:cs="Arial"/>
          <w:lang w:eastAsia="bg-BG"/>
        </w:rPr>
      </w:pPr>
      <w:r w:rsidRPr="001B3322">
        <w:rPr>
          <w:rFonts w:eastAsia="Times New Roman" w:cs="Arial"/>
          <w:color w:val="000000"/>
          <w:lang w:eastAsia="bg-BG"/>
        </w:rPr>
        <w:t xml:space="preserve">уебсайт: </w:t>
      </w:r>
      <w:hyperlink r:id="rId5" w:history="1">
        <w:r w:rsidRPr="001B3322">
          <w:rPr>
            <w:rFonts w:eastAsia="Times New Roman" w:cs="Arial"/>
            <w:color w:val="000000"/>
            <w:u w:val="single"/>
            <w:lang w:val="en-US"/>
          </w:rPr>
          <w:t>www.bda.bg</w:t>
        </w:r>
      </w:hyperlink>
    </w:p>
    <w:p w14:paraId="20578FD0" w14:textId="77777777" w:rsidR="001B3322" w:rsidRPr="001B3322" w:rsidRDefault="001B3322" w:rsidP="001B3322"/>
    <w:p w14:paraId="5A87DBA3" w14:textId="0007BA71" w:rsidR="007122AD" w:rsidRDefault="002C50EE" w:rsidP="00936AD0">
      <w:pPr>
        <w:pStyle w:val="Heading2"/>
      </w:pPr>
      <w:r>
        <w:t>4.9. Предозиране</w:t>
      </w:r>
    </w:p>
    <w:p w14:paraId="43883B58" w14:textId="5C5984F2" w:rsidR="001B3322" w:rsidRDefault="001B3322" w:rsidP="001B3322"/>
    <w:p w14:paraId="4F875DD1" w14:textId="77777777" w:rsidR="001B3322" w:rsidRPr="001B3322" w:rsidRDefault="001B3322" w:rsidP="001B3322">
      <w:pPr>
        <w:pStyle w:val="Heading3"/>
        <w:rPr>
          <w:rFonts w:eastAsia="Times New Roman"/>
          <w:sz w:val="28"/>
          <w:szCs w:val="28"/>
          <w:u w:val="single"/>
          <w:lang w:eastAsia="bg-BG"/>
        </w:rPr>
      </w:pPr>
      <w:r w:rsidRPr="001B3322">
        <w:rPr>
          <w:rFonts w:eastAsia="Times New Roman"/>
          <w:u w:val="single"/>
          <w:lang w:eastAsia="bg-BG"/>
        </w:rPr>
        <w:t>Симптоми</w:t>
      </w:r>
    </w:p>
    <w:p w14:paraId="1726EE19"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w:t>
      </w:r>
      <w:r w:rsidRPr="001B3322">
        <w:rPr>
          <w:rFonts w:eastAsia="Times New Roman" w:cs="Arial"/>
          <w:color w:val="000000"/>
          <w:lang w:eastAsia="bg-BG"/>
        </w:rPr>
        <w:lastRenderedPageBreak/>
        <w:t xml:space="preserve">нарушения, бъбречна недостатъчност, сърдечна аритмия, нарушение на съзнанието, включително кома, церебрални конвулсии, парези </w:t>
      </w:r>
      <w:r w:rsidRPr="001B3322">
        <w:rPr>
          <w:rFonts w:eastAsia="Times New Roman" w:cs="Arial"/>
          <w:i/>
          <w:iCs/>
          <w:color w:val="000000"/>
          <w:lang w:eastAsia="bg-BG"/>
        </w:rPr>
        <w:t>и</w:t>
      </w:r>
      <w:r w:rsidRPr="001B3322">
        <w:rPr>
          <w:rFonts w:eastAsia="Times New Roman" w:cs="Arial"/>
          <w:color w:val="000000"/>
          <w:lang w:eastAsia="bg-BG"/>
        </w:rPr>
        <w:t xml:space="preserve"> паралитичен илеус.</w:t>
      </w:r>
    </w:p>
    <w:p w14:paraId="4B890062"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При предразположени пациенти (напр. простатна хиперплазия) предозирането на хидрохлоротиазид може да предизвика остра ретенция на урина.</w:t>
      </w:r>
    </w:p>
    <w:p w14:paraId="753E4DEA" w14:textId="77777777" w:rsidR="001B3322" w:rsidRPr="001B3322" w:rsidRDefault="001B3322" w:rsidP="001B3322">
      <w:pPr>
        <w:spacing w:line="240" w:lineRule="auto"/>
        <w:rPr>
          <w:rFonts w:eastAsia="Times New Roman" w:cs="Arial"/>
          <w:color w:val="000000"/>
          <w:u w:val="single"/>
          <w:lang w:eastAsia="bg-BG"/>
        </w:rPr>
      </w:pPr>
    </w:p>
    <w:p w14:paraId="61E09E7E" w14:textId="2F97FFD5" w:rsidR="001B3322" w:rsidRPr="001B3322" w:rsidRDefault="001B3322" w:rsidP="001B3322">
      <w:pPr>
        <w:pStyle w:val="Heading3"/>
        <w:rPr>
          <w:rFonts w:eastAsia="Times New Roman"/>
          <w:sz w:val="28"/>
          <w:szCs w:val="28"/>
          <w:u w:val="single"/>
          <w:lang w:eastAsia="bg-BG"/>
        </w:rPr>
      </w:pPr>
      <w:r w:rsidRPr="001B3322">
        <w:rPr>
          <w:rFonts w:eastAsia="Times New Roman"/>
          <w:u w:val="single"/>
          <w:lang w:eastAsia="bg-BG"/>
        </w:rPr>
        <w:t>Овладяване на симптомите</w:t>
      </w:r>
    </w:p>
    <w:p w14:paraId="012D4163"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Пациентът трябва да бъде стриктно наблюдаван, лечението трябва да бъде симтоматично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агонисги или ангиотензин II (ангиотензинамид). Рамиприлат, активният метаболит на рамиприл се отстранява незадоволително чрез хемодиализа от общото кръвообръщение.</w:t>
      </w:r>
    </w:p>
    <w:p w14:paraId="714E278E" w14:textId="77777777" w:rsidR="001B3322" w:rsidRPr="001B3322" w:rsidRDefault="001B3322" w:rsidP="001B3322"/>
    <w:p w14:paraId="02081B24" w14:textId="36FE76F4" w:rsidR="00395555" w:rsidRPr="00395555" w:rsidRDefault="002C50EE" w:rsidP="008A6AF2">
      <w:pPr>
        <w:pStyle w:val="Heading1"/>
      </w:pPr>
      <w:r>
        <w:t>5. ФАРМАКОЛОГИЧНИ СВОЙСТВА</w:t>
      </w:r>
    </w:p>
    <w:p w14:paraId="68A24A1A" w14:textId="1FAEFBB6" w:rsidR="001A6EBD" w:rsidRDefault="002C50EE" w:rsidP="00471F10">
      <w:pPr>
        <w:pStyle w:val="Heading2"/>
      </w:pPr>
      <w:r>
        <w:t>5.1. Фармакодинамични свойства</w:t>
      </w:r>
    </w:p>
    <w:p w14:paraId="16FB297F" w14:textId="3C739F57" w:rsidR="001B3322" w:rsidRDefault="001B3322" w:rsidP="001B3322"/>
    <w:p w14:paraId="4D5BEA72"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Фармакотерапевтична група: рамиприл и диуретици, АТС код: С09ВА05</w:t>
      </w:r>
    </w:p>
    <w:p w14:paraId="46345C66" w14:textId="77777777" w:rsidR="001B3322" w:rsidRPr="001B3322" w:rsidRDefault="001B3322" w:rsidP="001B3322">
      <w:pPr>
        <w:spacing w:line="240" w:lineRule="auto"/>
        <w:rPr>
          <w:rFonts w:eastAsia="Times New Roman" w:cs="Arial"/>
          <w:color w:val="000000"/>
          <w:u w:val="single"/>
          <w:lang w:eastAsia="bg-BG"/>
        </w:rPr>
      </w:pPr>
    </w:p>
    <w:p w14:paraId="5A3DEF87" w14:textId="64A91916"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Механизъм на действие</w:t>
      </w:r>
    </w:p>
    <w:p w14:paraId="151AFF43" w14:textId="1DB24307"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u w:val="single"/>
          <w:lang w:eastAsia="bg-BG"/>
        </w:rPr>
        <w:t>Рамиприл</w:t>
      </w:r>
    </w:p>
    <w:p w14:paraId="47BF726C"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II, както и инхибира разграждането на активния вазодилататор брадикинин. Пониженото образуване на ангиотензин II и инхибиране на разграждането на брадикинин водят до вазодилатация.</w:t>
      </w:r>
    </w:p>
    <w:p w14:paraId="7BE95F4A" w14:textId="77777777" w:rsidR="001B3322" w:rsidRPr="001B3322" w:rsidRDefault="001B3322" w:rsidP="001B3322">
      <w:pPr>
        <w:rPr>
          <w:rFonts w:eastAsia="Times New Roman" w:cs="Arial"/>
          <w:sz w:val="28"/>
          <w:szCs w:val="28"/>
          <w:lang w:eastAsia="bg-BG"/>
        </w:rPr>
      </w:pPr>
      <w:r w:rsidRPr="001B3322">
        <w:rPr>
          <w:rFonts w:eastAsia="Times New Roman" w:cs="Arial"/>
          <w:color w:val="000000"/>
          <w:lang w:eastAsia="bg-BG"/>
        </w:rPr>
        <w:t xml:space="preserve">Тъй като ангиотензин II стимулира освобождаването на алдостерон, рамиприлат </w:t>
      </w:r>
      <w:r w:rsidRPr="001B3322">
        <w:rPr>
          <w:rFonts w:eastAsia="Times New Roman" w:cs="Arial"/>
          <w:color w:val="000000"/>
          <w:u w:val="single"/>
          <w:lang w:eastAsia="bg-BG"/>
        </w:rPr>
        <w:t>води</w:t>
      </w:r>
      <w:r w:rsidRPr="001B3322">
        <w:rPr>
          <w:rFonts w:eastAsia="Times New Roman" w:cs="Arial"/>
          <w:color w:val="000000"/>
          <w:lang w:eastAsia="bg-BG"/>
        </w:rPr>
        <w:t xml:space="preserve"> до намаляване на алдостероновата секреция. Средностатистически повлияването от монотерапия с АСЕ инхибитор е по-слабо при чернокожи (афро-карибска раса)</w:t>
      </w:r>
      <w:r w:rsidRPr="001B3322">
        <w:rPr>
          <w:rFonts w:eastAsia="Times New Roman" w:cs="Arial"/>
          <w:color w:val="000000"/>
          <w:lang w:val="en-US" w:eastAsia="bg-BG"/>
        </w:rPr>
        <w:t xml:space="preserve"> </w:t>
      </w:r>
      <w:r w:rsidRPr="001B3322">
        <w:rPr>
          <w:rFonts w:eastAsia="Times New Roman" w:cs="Arial"/>
          <w:color w:val="000000"/>
          <w:lang w:eastAsia="bg-BG"/>
        </w:rPr>
        <w:t>хипертонични пациенти (обикновено популация с хипертония с нисък ренин), отколкото при нечернокожи пациенти.</w:t>
      </w:r>
    </w:p>
    <w:p w14:paraId="12B0B9D9" w14:textId="77777777" w:rsidR="001B3322" w:rsidRPr="001B3322" w:rsidRDefault="001B3322" w:rsidP="001B3322">
      <w:pPr>
        <w:spacing w:line="240" w:lineRule="auto"/>
        <w:rPr>
          <w:rFonts w:eastAsia="Times New Roman" w:cs="Arial"/>
          <w:i/>
          <w:iCs/>
          <w:color w:val="000000"/>
          <w:u w:val="single"/>
          <w:lang w:eastAsia="bg-BG"/>
        </w:rPr>
      </w:pPr>
    </w:p>
    <w:p w14:paraId="42F9A1A7" w14:textId="19BD6AA3"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u w:val="single"/>
          <w:lang w:eastAsia="bg-BG"/>
        </w:rPr>
        <w:t>Хидрохлоротиазид</w:t>
      </w:r>
    </w:p>
    <w:p w14:paraId="7DBB6299"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Хидрохлоротиазид е тиазиден диуретик. Механизмът на антихипертензивния ефект на тиазидните диуретици не е напълно изяснен. Те инхибират реабсорбцията на натрий и хлориди в дисталните тубули. Повишената бъбречна екскреция на тези йони се съпътства от повишено отделяне на урина (поради осмотичното свързване на вода). Калиевата и магнезиева екскреция се повишават, намалява се екскрецията на пикочна киселина. Възможен механизъм на антихипертензивно действие на хидрохлоротиазида може да бъде: променен натриев баланс, намаляване количеството на екстрацелуларната течност и плазмения обем, промяна в бъбречната съдовата резистентност, както и понижен отговор към норепинефрин и ангиотензин II.</w:t>
      </w:r>
    </w:p>
    <w:p w14:paraId="5CADC70F" w14:textId="77777777" w:rsidR="001B3322" w:rsidRPr="001B3322" w:rsidRDefault="001B3322" w:rsidP="001B3322">
      <w:pPr>
        <w:spacing w:line="240" w:lineRule="auto"/>
        <w:rPr>
          <w:rFonts w:eastAsia="Times New Roman" w:cs="Arial"/>
          <w:color w:val="000000"/>
          <w:u w:val="single"/>
          <w:lang w:eastAsia="bg-BG"/>
        </w:rPr>
      </w:pPr>
    </w:p>
    <w:p w14:paraId="18C28D1B" w14:textId="20D66A03"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Фармакодинамични ефекти</w:t>
      </w:r>
    </w:p>
    <w:p w14:paraId="7AAC12A8"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u w:val="single"/>
          <w:lang w:eastAsia="bg-BG"/>
        </w:rPr>
        <w:t>Рамиприл</w:t>
      </w:r>
    </w:p>
    <w:p w14:paraId="3654ACA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w:t>
      </w:r>
      <w:r w:rsidRPr="001B3322">
        <w:rPr>
          <w:rFonts w:eastAsia="Times New Roman" w:cs="Arial"/>
          <w:color w:val="000000"/>
          <w:lang w:eastAsia="bg-BG"/>
        </w:rPr>
        <w:lastRenderedPageBreak/>
        <w:t>хипертония води до понижаване на кръвното налягане в изправено и легнало положение без компенсаторно повишаване на сърдечната честота.</w:t>
      </w:r>
    </w:p>
    <w:p w14:paraId="6970FCDA"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 обикновено се достига 3 до б часа след перорално приложение. Антихипертензивният ефект на еднократна доза обикновено продължава 24 часа.</w:t>
      </w:r>
    </w:p>
    <w:p w14:paraId="2EA12424"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w:t>
      </w:r>
    </w:p>
    <w:p w14:paraId="76F456F6"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Рязкото прекъсване приема на рамиприл не води до бърз и прекомерен ребаунд ефект на повишаване на кръвното налягане.</w:t>
      </w:r>
    </w:p>
    <w:p w14:paraId="3AC24D39" w14:textId="77777777" w:rsidR="001B3322" w:rsidRPr="001B3322" w:rsidRDefault="001B3322" w:rsidP="001B3322">
      <w:pPr>
        <w:spacing w:line="240" w:lineRule="auto"/>
        <w:rPr>
          <w:rFonts w:eastAsia="Times New Roman" w:cs="Arial"/>
          <w:i/>
          <w:iCs/>
          <w:color w:val="000000"/>
          <w:u w:val="single"/>
          <w:lang w:eastAsia="bg-BG"/>
        </w:rPr>
      </w:pPr>
    </w:p>
    <w:p w14:paraId="16B90C10" w14:textId="11BA7FB7"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u w:val="single"/>
          <w:lang w:eastAsia="bg-BG"/>
        </w:rPr>
        <w:t>Хидрохлоротиазид</w:t>
      </w:r>
    </w:p>
    <w:p w14:paraId="54107C7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С хидрохлоротиазид началото на диурезата настъпва до 2 часа и пиковият ефект настъпва до 4 часа, като действието продължава приблизително 6 до 12 часа.</w:t>
      </w:r>
    </w:p>
    <w:p w14:paraId="17845D24"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Началото на антихипертензивния ефект настъпва след 3 до 4 дни и може да продължи до една седмица след прекратяване на терапията.</w:t>
      </w:r>
    </w:p>
    <w:p w14:paraId="4BF5FB7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Ефектът на понижаване на кръвното налягане се придружава от леко повишаване на фракцията на филтриране, бъбречната съдовата резистентност и активността на плазмения ренин.</w:t>
      </w:r>
    </w:p>
    <w:p w14:paraId="2543AB43" w14:textId="77777777" w:rsidR="001B3322" w:rsidRPr="001B3322" w:rsidRDefault="001B3322" w:rsidP="001B3322">
      <w:pPr>
        <w:spacing w:line="240" w:lineRule="auto"/>
        <w:rPr>
          <w:rFonts w:eastAsia="Times New Roman" w:cs="Arial"/>
          <w:color w:val="000000"/>
          <w:u w:val="single"/>
          <w:lang w:eastAsia="bg-BG"/>
        </w:rPr>
      </w:pPr>
    </w:p>
    <w:p w14:paraId="36BD6983" w14:textId="4B1950F5"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Клинична ефикасност и безопасност</w:t>
      </w:r>
    </w:p>
    <w:p w14:paraId="654A256D" w14:textId="77777777" w:rsidR="001B3322" w:rsidRPr="001B3322" w:rsidRDefault="001B3322" w:rsidP="001B3322">
      <w:pPr>
        <w:rPr>
          <w:rFonts w:eastAsia="Times New Roman" w:cs="Arial"/>
          <w:sz w:val="28"/>
          <w:szCs w:val="28"/>
          <w:lang w:eastAsia="bg-BG"/>
        </w:rPr>
      </w:pPr>
      <w:r w:rsidRPr="001B3322">
        <w:rPr>
          <w:rFonts w:eastAsia="Times New Roman" w:cs="Arial"/>
          <w:color w:val="000000"/>
          <w:u w:val="single"/>
          <w:lang w:eastAsia="bg-BG"/>
        </w:rPr>
        <w:t>Немеланомен рак на кожата</w:t>
      </w:r>
      <w:r w:rsidRPr="001B3322">
        <w:rPr>
          <w:rFonts w:eastAsia="Times New Roman" w:cs="Arial"/>
          <w:color w:val="000000"/>
          <w:lang w:eastAsia="bg-BG"/>
        </w:rPr>
        <w:t xml:space="preserve">: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случаии на БКК и 8 629 случаи на СКК, и популация от съответно 1 430 833 и 172 462 подходящи контроли. Високата употреба на ХХТЗ (кумулативно ≥50 000 </w:t>
      </w:r>
      <w:r w:rsidRPr="001B3322">
        <w:rPr>
          <w:rFonts w:eastAsia="Times New Roman" w:cs="Arial"/>
          <w:color w:val="000000"/>
          <w:lang w:val="en-US"/>
        </w:rPr>
        <w:t xml:space="preserve">mg) </w:t>
      </w:r>
      <w:r w:rsidRPr="001B3322">
        <w:rPr>
          <w:rFonts w:eastAsia="Times New Roman" w:cs="Arial"/>
          <w:color w:val="000000"/>
          <w:lang w:eastAsia="bg-BG"/>
        </w:rPr>
        <w:t xml:space="preserve">е свързана с коригиран </w:t>
      </w:r>
      <w:r w:rsidRPr="001B3322">
        <w:rPr>
          <w:rFonts w:eastAsia="Times New Roman" w:cs="Arial"/>
          <w:color w:val="000000"/>
          <w:lang w:val="en-US"/>
        </w:rPr>
        <w:t xml:space="preserve">OR </w:t>
      </w:r>
      <w:r w:rsidRPr="001B3322">
        <w:rPr>
          <w:rFonts w:eastAsia="Times New Roman" w:cs="Arial"/>
          <w:color w:val="000000"/>
          <w:lang w:eastAsia="bg-BG"/>
        </w:rPr>
        <w:t>1,29 (95% ДИ: 1,23-1,35) за ДКК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определени от риска. Демонстрирана е връзка кумулативна доза</w:t>
      </w:r>
      <w:r w:rsidRPr="001B3322">
        <w:rPr>
          <w:rFonts w:eastAsia="Times New Roman" w:cs="Arial"/>
          <w:color w:val="000000"/>
          <w:lang w:val="en-US" w:eastAsia="bg-BG"/>
        </w:rPr>
        <w:t xml:space="preserve"> </w:t>
      </w:r>
      <w:r w:rsidRPr="001B3322">
        <w:rPr>
          <w:rFonts w:eastAsia="Times New Roman" w:cs="Arial"/>
          <w:color w:val="000000"/>
          <w:lang w:eastAsia="bg-BG"/>
        </w:rPr>
        <w:t xml:space="preserve">отговор с коригиран </w:t>
      </w:r>
      <w:r w:rsidRPr="001B3322">
        <w:rPr>
          <w:rFonts w:eastAsia="Times New Roman" w:cs="Arial"/>
          <w:color w:val="000000"/>
          <w:lang w:val="en-US"/>
        </w:rPr>
        <w:t xml:space="preserve">OR </w:t>
      </w:r>
      <w:r w:rsidRPr="001B3322">
        <w:rPr>
          <w:rFonts w:eastAsia="Times New Roman" w:cs="Arial"/>
          <w:color w:val="000000"/>
          <w:lang w:eastAsia="bg-BG"/>
        </w:rPr>
        <w:t xml:space="preserve">2,1 (95% ДИ: 1,7-2,6), нарастващ до </w:t>
      </w:r>
      <w:r w:rsidRPr="001B3322">
        <w:rPr>
          <w:rFonts w:eastAsia="Times New Roman" w:cs="Arial"/>
          <w:color w:val="000000"/>
          <w:lang w:val="en-US"/>
        </w:rPr>
        <w:t xml:space="preserve">OR </w:t>
      </w:r>
      <w:r w:rsidRPr="001B3322">
        <w:rPr>
          <w:rFonts w:eastAsia="Times New Roman" w:cs="Arial"/>
          <w:color w:val="000000"/>
          <w:lang w:eastAsia="bg-BG"/>
        </w:rPr>
        <w:t xml:space="preserve">3,9 (3,0-4,9) за висока употреба (~ 25 000 </w:t>
      </w:r>
      <w:r w:rsidRPr="001B3322">
        <w:rPr>
          <w:rFonts w:eastAsia="Times New Roman" w:cs="Arial"/>
          <w:color w:val="000000"/>
          <w:lang w:val="en-US"/>
        </w:rPr>
        <w:t xml:space="preserve">mg) </w:t>
      </w:r>
      <w:r w:rsidRPr="001B3322">
        <w:rPr>
          <w:rFonts w:eastAsia="Times New Roman" w:cs="Arial"/>
          <w:color w:val="000000"/>
          <w:lang w:eastAsia="bg-BG"/>
        </w:rPr>
        <w:t xml:space="preserve">и </w:t>
      </w:r>
      <w:r w:rsidRPr="001B3322">
        <w:rPr>
          <w:rFonts w:eastAsia="Times New Roman" w:cs="Arial"/>
          <w:color w:val="000000"/>
          <w:lang w:val="en-US"/>
        </w:rPr>
        <w:t xml:space="preserve">OR </w:t>
      </w:r>
      <w:r w:rsidRPr="001B3322">
        <w:rPr>
          <w:rFonts w:eastAsia="Times New Roman" w:cs="Arial"/>
          <w:color w:val="000000"/>
          <w:lang w:eastAsia="bg-BG"/>
        </w:rPr>
        <w:t xml:space="preserve">7,7 (5,7-10,5) за най-високата кумулативна доза (~ 100 000 </w:t>
      </w:r>
      <w:r w:rsidRPr="001B3322">
        <w:rPr>
          <w:rFonts w:eastAsia="Times New Roman" w:cs="Arial"/>
          <w:color w:val="000000"/>
          <w:lang w:val="en-US"/>
        </w:rPr>
        <w:t xml:space="preserve">mg) </w:t>
      </w:r>
      <w:r w:rsidRPr="001B3322">
        <w:rPr>
          <w:rFonts w:eastAsia="Times New Roman" w:cs="Arial"/>
          <w:color w:val="000000"/>
          <w:lang w:eastAsia="bg-BG"/>
        </w:rPr>
        <w:t>(вж. също точка 4.4).</w:t>
      </w:r>
    </w:p>
    <w:p w14:paraId="22BD27EA" w14:textId="77777777" w:rsidR="001B3322" w:rsidRPr="001B3322" w:rsidRDefault="001B3322" w:rsidP="001B3322">
      <w:pPr>
        <w:spacing w:line="240" w:lineRule="auto"/>
        <w:rPr>
          <w:rFonts w:eastAsia="Times New Roman" w:cs="Arial"/>
          <w:color w:val="000000"/>
          <w:u w:val="single"/>
          <w:lang w:eastAsia="bg-BG"/>
        </w:rPr>
      </w:pPr>
    </w:p>
    <w:p w14:paraId="688AAAD9" w14:textId="310B8A15"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Едновременно прилагане на рамиприл-хидрохлоротиазид</w:t>
      </w:r>
    </w:p>
    <w:p w14:paraId="2AC94862"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При клинични изпитвания комбинацията води до по-голямо намаляване на кръвното налягане отколкото при самостоятелното прилагане на продуктите. Вероятно чрез блокиране на ренин-ангиотензин-алдостерон системата, едновременното прилагане на рамиприл и хидрохлоротиазид води до обратима загубата на калий, свързана с този клас диуретици. Комбинацията от АСЕ -инхибитор с тиазиден диуретик дава синергичен ефект и намаляване на риска от хипокалиемия, провокирана при самостоятелна употреба на диуретика.</w:t>
      </w:r>
    </w:p>
    <w:p w14:paraId="1A38FEB1" w14:textId="77777777" w:rsidR="001B3322" w:rsidRPr="001B3322" w:rsidRDefault="001B3322" w:rsidP="001B3322">
      <w:pPr>
        <w:spacing w:line="240" w:lineRule="auto"/>
        <w:rPr>
          <w:rFonts w:eastAsia="Times New Roman" w:cs="Arial"/>
          <w:color w:val="000000"/>
          <w:u w:val="single"/>
          <w:lang w:eastAsia="bg-BG"/>
        </w:rPr>
      </w:pPr>
    </w:p>
    <w:p w14:paraId="06EAB39E" w14:textId="4DB0FF25"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 xml:space="preserve">Двойна блокада на ренин-ангиотензин-алдостерон системата </w:t>
      </w:r>
      <w:r w:rsidRPr="001B3322">
        <w:rPr>
          <w:rFonts w:eastAsia="Times New Roman" w:cs="Arial"/>
          <w:color w:val="000000"/>
          <w:u w:val="single"/>
          <w:lang w:val="en-US"/>
        </w:rPr>
        <w:t>(RAAS)</w:t>
      </w:r>
    </w:p>
    <w:p w14:paraId="74F969F8"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Две големи рацдомизирани контролирани проучвания - </w:t>
      </w:r>
      <w:r w:rsidRPr="001B3322">
        <w:rPr>
          <w:rFonts w:eastAsia="Times New Roman" w:cs="Arial"/>
          <w:color w:val="000000"/>
          <w:lang w:val="en-US"/>
        </w:rPr>
        <w:t>ONTARGET (</w:t>
      </w:r>
      <w:proofErr w:type="spellStart"/>
      <w:r w:rsidRPr="001B3322">
        <w:rPr>
          <w:rFonts w:eastAsia="Times New Roman" w:cs="Arial"/>
          <w:color w:val="000000"/>
          <w:lang w:val="en-US"/>
        </w:rPr>
        <w:t>ONgoing</w:t>
      </w:r>
      <w:proofErr w:type="spellEnd"/>
      <w:r w:rsidRPr="001B3322">
        <w:rPr>
          <w:rFonts w:eastAsia="Times New Roman" w:cs="Arial"/>
          <w:color w:val="000000"/>
          <w:lang w:val="en-US"/>
        </w:rPr>
        <w:t xml:space="preserve"> Telmisartan Alone and in combination with Ramipril Global Endpoint Trial - </w:t>
      </w:r>
      <w:r w:rsidRPr="001B3322">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1B3322">
        <w:rPr>
          <w:rFonts w:eastAsia="Times New Roman" w:cs="Arial"/>
          <w:color w:val="000000"/>
          <w:lang w:val="en-US"/>
        </w:rPr>
        <w:t xml:space="preserve">VA NEPHRON-D </w:t>
      </w:r>
      <w:r w:rsidRPr="001B3322">
        <w:rPr>
          <w:rFonts w:eastAsia="Times New Roman" w:cs="Arial"/>
          <w:color w:val="000000"/>
          <w:lang w:eastAsia="bg-BG"/>
        </w:rPr>
        <w:t xml:space="preserve">(Клинично проучване свързано с развитие на нефропатия при диабет, </w:t>
      </w:r>
      <w:r w:rsidRPr="001B3322">
        <w:rPr>
          <w:rFonts w:eastAsia="Times New Roman" w:cs="Arial"/>
          <w:color w:val="000000"/>
          <w:lang w:eastAsia="bg-BG"/>
        </w:rPr>
        <w:lastRenderedPageBreak/>
        <w:t>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1F634A6E"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val="en-US"/>
        </w:rPr>
        <w:t xml:space="preserve">ONTARGET </w:t>
      </w:r>
      <w:r w:rsidRPr="001B3322">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B3322">
        <w:rPr>
          <w:rFonts w:eastAsia="Times New Roman" w:cs="Arial"/>
          <w:color w:val="000000"/>
          <w:lang w:val="en-US"/>
        </w:rPr>
        <w:t xml:space="preserve">VA NEPHRON-D </w:t>
      </w:r>
      <w:r w:rsidRPr="001B3322">
        <w:rPr>
          <w:rFonts w:eastAsia="Times New Roman" w:cs="Arial"/>
          <w:color w:val="000000"/>
          <w:lang w:eastAsia="bg-BG"/>
        </w:rPr>
        <w:t>е проучване при пациенти със захарен диабет тип 2 и диабетна нефропатия.</w:t>
      </w:r>
    </w:p>
    <w:p w14:paraId="3F2B10D6"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1B3322">
        <w:rPr>
          <w:rFonts w:eastAsia="Times New Roman" w:cs="Arial"/>
          <w:color w:val="000000"/>
          <w:lang w:val="en-US"/>
        </w:rPr>
        <w:t>II</w:t>
      </w:r>
      <w:r w:rsidRPr="001B3322">
        <w:rPr>
          <w:rFonts w:eastAsia="Times New Roman" w:cs="Arial"/>
          <w:color w:val="000000"/>
          <w:lang w:eastAsia="bg-BG"/>
        </w:rPr>
        <w:t xml:space="preserve">-рецепторни блокери. АСЕ инхибитори и ангиотензин </w:t>
      </w:r>
      <w:r w:rsidRPr="001B3322">
        <w:rPr>
          <w:rFonts w:eastAsia="Times New Roman" w:cs="Arial"/>
          <w:color w:val="000000"/>
          <w:lang w:val="en-US"/>
        </w:rPr>
        <w:t>II</w:t>
      </w:r>
      <w:r w:rsidRPr="001B3322">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3AB49AE8" w14:textId="479B3F7E" w:rsidR="001B3322" w:rsidRDefault="001B3322" w:rsidP="001B3322">
      <w:pPr>
        <w:rPr>
          <w:rFonts w:eastAsia="Times New Roman" w:cs="Arial"/>
          <w:color w:val="000000"/>
          <w:lang w:eastAsia="bg-BG"/>
        </w:rPr>
      </w:pPr>
      <w:r w:rsidRPr="001B3322">
        <w:rPr>
          <w:rFonts w:eastAsia="Times New Roman" w:cs="Arial"/>
          <w:color w:val="000000"/>
          <w:lang w:val="en-US"/>
        </w:rPr>
        <w:t xml:space="preserve">ALTITUDE </w:t>
      </w:r>
      <w:r w:rsidRPr="001B3322">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B3322">
        <w:rPr>
          <w:rFonts w:eastAsia="Times New Roman" w:cs="Arial"/>
          <w:color w:val="000000"/>
          <w:lang w:val="en-US"/>
        </w:rPr>
        <w:t>II</w:t>
      </w:r>
      <w:r w:rsidRPr="001B3322">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29DFA655" w14:textId="77777777" w:rsidR="001B3322" w:rsidRPr="001B3322" w:rsidRDefault="001B3322" w:rsidP="001B3322">
      <w:pPr>
        <w:rPr>
          <w:rFonts w:cs="Arial"/>
          <w:sz w:val="24"/>
          <w:szCs w:val="24"/>
          <w:lang w:val="en-US"/>
        </w:rPr>
      </w:pPr>
    </w:p>
    <w:p w14:paraId="436D48F6" w14:textId="03FCD164" w:rsidR="00BB22B4" w:rsidRDefault="002C50EE" w:rsidP="00471F10">
      <w:pPr>
        <w:pStyle w:val="Heading2"/>
      </w:pPr>
      <w:r>
        <w:t>5.2. Фармакокинетични свойства</w:t>
      </w:r>
    </w:p>
    <w:p w14:paraId="14F999E2" w14:textId="4691418D" w:rsidR="001B3322" w:rsidRDefault="001B3322" w:rsidP="001B3322"/>
    <w:p w14:paraId="1E35136F" w14:textId="77777777" w:rsidR="001B3322" w:rsidRPr="001B3322" w:rsidRDefault="001B3322" w:rsidP="001B3322">
      <w:pPr>
        <w:pStyle w:val="Heading3"/>
        <w:rPr>
          <w:rFonts w:eastAsia="Times New Roman"/>
          <w:sz w:val="28"/>
          <w:szCs w:val="28"/>
          <w:u w:val="single"/>
          <w:lang w:eastAsia="bg-BG"/>
        </w:rPr>
      </w:pPr>
      <w:r w:rsidRPr="001B3322">
        <w:rPr>
          <w:rFonts w:eastAsia="Times New Roman"/>
          <w:u w:val="single"/>
          <w:lang w:eastAsia="bg-BG"/>
        </w:rPr>
        <w:t>Фармакокинетика и биотрансформаиия</w:t>
      </w:r>
    </w:p>
    <w:p w14:paraId="75375380"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Рамиприл</w:t>
      </w:r>
    </w:p>
    <w:p w14:paraId="668B4EF5"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Абсорбция</w:t>
      </w:r>
    </w:p>
    <w:p w14:paraId="1CD550BA" w14:textId="77777777" w:rsidR="001B3322" w:rsidRPr="001B3322" w:rsidRDefault="001B3322" w:rsidP="001B3322">
      <w:pPr>
        <w:rPr>
          <w:rFonts w:eastAsia="Times New Roman" w:cs="Arial"/>
          <w:sz w:val="28"/>
          <w:szCs w:val="28"/>
          <w:lang w:eastAsia="bg-BG"/>
        </w:rPr>
      </w:pPr>
      <w:r w:rsidRPr="001B3322">
        <w:rPr>
          <w:rFonts w:eastAsia="Times New Roman" w:cs="Arial"/>
          <w:color w:val="000000"/>
          <w:lang w:eastAsia="bg-BG"/>
        </w:rPr>
        <w:t>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възстановяването в уринната, степента на абсорбция е поне 56% и не се повлиява значимо от присъствието на храна в стомашно-чревния тракт. Бионаличността на активния</w:t>
      </w:r>
      <w:r w:rsidRPr="001B3322">
        <w:rPr>
          <w:rFonts w:eastAsia="Times New Roman" w:cs="Arial"/>
          <w:color w:val="000000"/>
          <w:lang w:val="en-US" w:eastAsia="bg-BG"/>
        </w:rPr>
        <w:t xml:space="preserve"> </w:t>
      </w:r>
      <w:r w:rsidRPr="001B3322">
        <w:rPr>
          <w:rFonts w:eastAsia="Times New Roman" w:cs="Arial"/>
          <w:color w:val="000000"/>
          <w:lang w:eastAsia="bg-BG"/>
        </w:rPr>
        <w:t xml:space="preserve">метаболит рамиприлат след перорално приложение на 2,5 </w:t>
      </w:r>
      <w:r w:rsidRPr="001B3322">
        <w:rPr>
          <w:rFonts w:eastAsia="Times New Roman" w:cs="Arial"/>
          <w:color w:val="000000"/>
          <w:lang w:val="en-US"/>
        </w:rPr>
        <w:t xml:space="preserve">mg </w:t>
      </w:r>
      <w:r w:rsidRPr="001B3322">
        <w:rPr>
          <w:rFonts w:eastAsia="Times New Roman" w:cs="Arial"/>
          <w:color w:val="000000"/>
          <w:lang w:eastAsia="bg-BG"/>
        </w:rPr>
        <w:t xml:space="preserve">и 5 </w:t>
      </w:r>
      <w:r w:rsidRPr="001B3322">
        <w:rPr>
          <w:rFonts w:eastAsia="Times New Roman" w:cs="Arial"/>
          <w:color w:val="000000"/>
          <w:lang w:val="en-US"/>
        </w:rPr>
        <w:t xml:space="preserve">mg </w:t>
      </w:r>
      <w:r w:rsidRPr="001B3322">
        <w:rPr>
          <w:rFonts w:eastAsia="Times New Roman" w:cs="Arial"/>
          <w:color w:val="000000"/>
          <w:lang w:eastAsia="bg-BG"/>
        </w:rPr>
        <w:t>рамиприл е 45 %. 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лечение.</w:t>
      </w:r>
    </w:p>
    <w:p w14:paraId="7503D6D2" w14:textId="77777777" w:rsidR="001B3322" w:rsidRPr="001B3322" w:rsidRDefault="001B3322" w:rsidP="001B3322">
      <w:pPr>
        <w:spacing w:line="240" w:lineRule="auto"/>
        <w:rPr>
          <w:rFonts w:eastAsia="Times New Roman" w:cs="Arial"/>
          <w:color w:val="000000"/>
          <w:u w:val="single"/>
          <w:lang w:eastAsia="bg-BG"/>
        </w:rPr>
      </w:pPr>
    </w:p>
    <w:p w14:paraId="3E86BF85" w14:textId="3EE51282"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Разпределение</w:t>
      </w:r>
    </w:p>
    <w:p w14:paraId="526E23E3"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Свързването с плазмените протеини на рамиприл е около 73 %, а това на рамиприлат около 56%.</w:t>
      </w:r>
    </w:p>
    <w:p w14:paraId="71FBBE3F" w14:textId="77777777" w:rsidR="001B3322" w:rsidRPr="001B3322" w:rsidRDefault="001B3322" w:rsidP="001B3322">
      <w:pPr>
        <w:spacing w:line="240" w:lineRule="auto"/>
        <w:rPr>
          <w:rFonts w:eastAsia="Times New Roman" w:cs="Arial"/>
          <w:color w:val="000000"/>
          <w:u w:val="single"/>
          <w:lang w:eastAsia="bg-BG"/>
        </w:rPr>
      </w:pPr>
    </w:p>
    <w:p w14:paraId="66639BBF" w14:textId="2F552F13"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Биотрансформапия</w:t>
      </w:r>
    </w:p>
    <w:p w14:paraId="165AD7E3"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глюкоронидите на рамиприл и рамиприлат.</w:t>
      </w:r>
    </w:p>
    <w:p w14:paraId="60C0B823" w14:textId="77777777" w:rsidR="001B3322" w:rsidRPr="001B3322" w:rsidRDefault="001B3322" w:rsidP="001B3322">
      <w:pPr>
        <w:spacing w:line="240" w:lineRule="auto"/>
        <w:rPr>
          <w:rFonts w:eastAsia="Times New Roman" w:cs="Arial"/>
          <w:color w:val="000000"/>
          <w:u w:val="single"/>
          <w:lang w:eastAsia="bg-BG"/>
        </w:rPr>
      </w:pPr>
    </w:p>
    <w:p w14:paraId="3618EFB7" w14:textId="61BE68A0"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lastRenderedPageBreak/>
        <w:t>Елиминиране</w:t>
      </w:r>
    </w:p>
    <w:p w14:paraId="75B1078F"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237BEF1D"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1B3322">
        <w:rPr>
          <w:rFonts w:eastAsia="Times New Roman" w:cs="Arial"/>
          <w:color w:val="000000"/>
          <w:lang w:val="en-US"/>
        </w:rPr>
        <w:t xml:space="preserve">mg </w:t>
      </w:r>
      <w:r w:rsidRPr="001B3322">
        <w:rPr>
          <w:rFonts w:eastAsia="Times New Roman" w:cs="Arial"/>
          <w:color w:val="000000"/>
          <w:lang w:eastAsia="bg-BG"/>
        </w:rPr>
        <w:t xml:space="preserve">и по-дълъг за по-ниските дози 1,25-2,5 </w:t>
      </w:r>
      <w:r w:rsidRPr="001B3322">
        <w:rPr>
          <w:rFonts w:eastAsia="Times New Roman" w:cs="Arial"/>
          <w:color w:val="000000"/>
          <w:lang w:val="en-US"/>
        </w:rPr>
        <w:t xml:space="preserve">mg. </w:t>
      </w:r>
      <w:r w:rsidRPr="001B3322">
        <w:rPr>
          <w:rFonts w:eastAsia="Times New Roman" w:cs="Arial"/>
          <w:color w:val="000000"/>
          <w:lang w:eastAsia="bg-BG"/>
        </w:rPr>
        <w:t>Тази разлика е свързана с капацитета за насищане на ензима чрез свързване с рамиприлат. 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27E8E3B3" w14:textId="77777777" w:rsidR="001B3322" w:rsidRPr="001B3322" w:rsidRDefault="001B3322" w:rsidP="001B3322">
      <w:pPr>
        <w:spacing w:line="240" w:lineRule="auto"/>
        <w:rPr>
          <w:rFonts w:eastAsia="Times New Roman" w:cs="Arial"/>
          <w:i/>
          <w:iCs/>
          <w:color w:val="000000"/>
          <w:lang w:eastAsia="bg-BG"/>
        </w:rPr>
      </w:pPr>
    </w:p>
    <w:p w14:paraId="6490F03E" w14:textId="5C64F3C6"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lang w:eastAsia="bg-BG"/>
        </w:rPr>
        <w:t>Пациенти с бъбречно увреждане (вж. точка 4.2)</w:t>
      </w:r>
    </w:p>
    <w:p w14:paraId="275D6A05"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w:t>
      </w:r>
    </w:p>
    <w:p w14:paraId="7AF05717" w14:textId="77777777" w:rsidR="001B3322" w:rsidRPr="001B3322" w:rsidRDefault="001B3322" w:rsidP="001B3322">
      <w:pPr>
        <w:spacing w:line="240" w:lineRule="auto"/>
        <w:rPr>
          <w:rFonts w:eastAsia="Times New Roman" w:cs="Arial"/>
          <w:color w:val="000000"/>
          <w:lang w:eastAsia="bg-BG"/>
        </w:rPr>
      </w:pPr>
    </w:p>
    <w:p w14:paraId="45B90015" w14:textId="2C740BAB"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Това води до повишена плазмена концентрация на рамиприлат, която намалява по-бавно отколкото при индивиди с нормална бъбречна функция.</w:t>
      </w:r>
    </w:p>
    <w:p w14:paraId="3F282D98" w14:textId="77777777" w:rsidR="001B3322" w:rsidRPr="001B3322" w:rsidRDefault="001B3322" w:rsidP="001B3322">
      <w:pPr>
        <w:spacing w:line="240" w:lineRule="auto"/>
        <w:rPr>
          <w:rFonts w:eastAsia="Times New Roman" w:cs="Arial"/>
          <w:i/>
          <w:iCs/>
          <w:color w:val="000000"/>
          <w:lang w:eastAsia="bg-BG"/>
        </w:rPr>
      </w:pPr>
    </w:p>
    <w:p w14:paraId="6544FD4B" w14:textId="714A017E"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lang w:eastAsia="bg-BG"/>
        </w:rPr>
        <w:t>Пациенти с чернодробно увреждане (вж. точка 4.2)</w:t>
      </w:r>
    </w:p>
    <w:p w14:paraId="22B61405"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функция.</w:t>
      </w:r>
    </w:p>
    <w:p w14:paraId="11A57A67" w14:textId="77777777" w:rsidR="001B3322" w:rsidRPr="001B3322" w:rsidRDefault="001B3322" w:rsidP="001B3322">
      <w:pPr>
        <w:spacing w:line="240" w:lineRule="auto"/>
        <w:rPr>
          <w:rFonts w:eastAsia="Times New Roman" w:cs="Arial"/>
          <w:color w:val="000000"/>
          <w:u w:val="single"/>
          <w:lang w:eastAsia="bg-BG"/>
        </w:rPr>
      </w:pPr>
    </w:p>
    <w:p w14:paraId="3E2ABB44" w14:textId="0369EC93" w:rsidR="001B3322" w:rsidRPr="001B3322" w:rsidRDefault="001B3322" w:rsidP="001B3322">
      <w:pPr>
        <w:pStyle w:val="Heading3"/>
        <w:rPr>
          <w:rFonts w:eastAsia="Times New Roman"/>
          <w:sz w:val="28"/>
          <w:szCs w:val="28"/>
          <w:u w:val="single"/>
          <w:lang w:eastAsia="bg-BG"/>
        </w:rPr>
      </w:pPr>
      <w:r w:rsidRPr="001B3322">
        <w:rPr>
          <w:rFonts w:eastAsia="Times New Roman"/>
          <w:u w:val="single"/>
          <w:lang w:eastAsia="bg-BG"/>
        </w:rPr>
        <w:t>Хидрохлоротиазид</w:t>
      </w:r>
    </w:p>
    <w:p w14:paraId="085EE311"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Абсорбция</w:t>
      </w:r>
    </w:p>
    <w:p w14:paraId="3B39C1F7"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След перорално приложение около 70 % от хидрохлоротиазида се абсорбират от стомашно-чревния тракт. Пикова плазмена концентрация на хидрохлоротиазид се достига в рамките на 1.5 до 5 часа.</w:t>
      </w:r>
    </w:p>
    <w:p w14:paraId="37666DBC" w14:textId="77777777" w:rsidR="001B3322" w:rsidRPr="001B3322" w:rsidRDefault="001B3322" w:rsidP="001B3322">
      <w:pPr>
        <w:spacing w:line="240" w:lineRule="auto"/>
        <w:rPr>
          <w:rFonts w:eastAsia="Times New Roman" w:cs="Arial"/>
          <w:color w:val="000000"/>
          <w:u w:val="single"/>
          <w:lang w:eastAsia="bg-BG"/>
        </w:rPr>
      </w:pPr>
    </w:p>
    <w:p w14:paraId="31D302D0" w14:textId="15BE0F8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Разпределение</w:t>
      </w:r>
    </w:p>
    <w:p w14:paraId="071FB67D"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Свързването с плазмените протеини на хидрохлоротиазид е 40 %.</w:t>
      </w:r>
    </w:p>
    <w:p w14:paraId="2F4F7166" w14:textId="77777777" w:rsidR="001B3322" w:rsidRPr="001B3322" w:rsidRDefault="001B3322" w:rsidP="001B3322">
      <w:pPr>
        <w:spacing w:line="240" w:lineRule="auto"/>
        <w:rPr>
          <w:rFonts w:eastAsia="Times New Roman" w:cs="Arial"/>
          <w:color w:val="000000"/>
          <w:u w:val="single"/>
          <w:lang w:eastAsia="bg-BG"/>
        </w:rPr>
      </w:pPr>
    </w:p>
    <w:p w14:paraId="66A8937A" w14:textId="0DA9E6FD"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Биотранс</w:t>
      </w:r>
      <w:r w:rsidRPr="001B3322">
        <w:rPr>
          <w:rFonts w:eastAsia="Times New Roman" w:cs="Arial"/>
          <w:color w:val="000000"/>
          <w:u w:val="single"/>
          <w:lang w:eastAsia="bg-BG"/>
        </w:rPr>
        <w:t>ф</w:t>
      </w:r>
      <w:r w:rsidRPr="001B3322">
        <w:rPr>
          <w:rFonts w:eastAsia="Times New Roman" w:cs="Arial"/>
          <w:color w:val="000000"/>
          <w:u w:val="single"/>
          <w:lang w:eastAsia="bg-BG"/>
        </w:rPr>
        <w:t>орма</w:t>
      </w:r>
      <w:r w:rsidRPr="001B3322">
        <w:rPr>
          <w:rFonts w:eastAsia="Times New Roman" w:cs="Arial"/>
          <w:color w:val="000000"/>
          <w:u w:val="single"/>
          <w:lang w:eastAsia="bg-BG"/>
        </w:rPr>
        <w:t>ц</w:t>
      </w:r>
      <w:r w:rsidRPr="001B3322">
        <w:rPr>
          <w:rFonts w:eastAsia="Times New Roman" w:cs="Arial"/>
          <w:color w:val="000000"/>
          <w:u w:val="single"/>
          <w:lang w:eastAsia="bg-BG"/>
        </w:rPr>
        <w:t>ия</w:t>
      </w:r>
    </w:p>
    <w:p w14:paraId="4D8C9EE1" w14:textId="64D71AFB" w:rsidR="001B3322" w:rsidRPr="001B3322" w:rsidRDefault="001B3322" w:rsidP="001B3322">
      <w:pPr>
        <w:rPr>
          <w:rFonts w:eastAsia="Times New Roman" w:cs="Arial"/>
          <w:color w:val="000000"/>
          <w:lang w:eastAsia="bg-BG"/>
        </w:rPr>
      </w:pPr>
      <w:r w:rsidRPr="001B3322">
        <w:rPr>
          <w:rFonts w:eastAsia="Times New Roman" w:cs="Arial"/>
          <w:color w:val="000000"/>
          <w:lang w:eastAsia="bg-BG"/>
        </w:rPr>
        <w:t>Хидрохлоротиазид претърпява незначителен чернодробен метаболизъм.</w:t>
      </w:r>
    </w:p>
    <w:p w14:paraId="2B32FE61" w14:textId="5E5597FE" w:rsidR="001B3322" w:rsidRPr="001B3322" w:rsidRDefault="001B3322" w:rsidP="001B3322">
      <w:pPr>
        <w:rPr>
          <w:rFonts w:eastAsia="Times New Roman" w:cs="Arial"/>
          <w:color w:val="000000"/>
          <w:lang w:eastAsia="bg-BG"/>
        </w:rPr>
      </w:pPr>
    </w:p>
    <w:p w14:paraId="27456AE0"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Елиминиране</w:t>
      </w:r>
    </w:p>
    <w:p w14:paraId="2D21EBF1"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Хидрохлоротиазид се елиминира почти напълно (&gt; 95 %) в непроменена форма през бъбреците; 50 до 70 % от еднократна перорална доза се елиминират в рамките на 24 часа. Елиминационният полуживот е 5 до б часа.</w:t>
      </w:r>
    </w:p>
    <w:p w14:paraId="005865AE" w14:textId="77777777" w:rsidR="001B3322" w:rsidRPr="001B3322" w:rsidRDefault="001B3322" w:rsidP="001B3322">
      <w:pPr>
        <w:spacing w:line="240" w:lineRule="auto"/>
        <w:rPr>
          <w:rFonts w:eastAsia="Times New Roman" w:cs="Arial"/>
          <w:i/>
          <w:iCs/>
          <w:color w:val="000000"/>
          <w:lang w:eastAsia="bg-BG"/>
        </w:rPr>
      </w:pPr>
    </w:p>
    <w:p w14:paraId="09654ADB" w14:textId="1EF0361B"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lang w:eastAsia="bg-BG"/>
        </w:rPr>
        <w:t>Пациенти с бъбречно увреждане (вж. точка 4.2)</w:t>
      </w:r>
    </w:p>
    <w:p w14:paraId="0DF55FEB"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Бъбречната екскреция на хидрохлоротиазид е понижена при пациенти с нарушена бъбречна функция и бъбречния клирънс на хидрохлоротиазид е свързан пропорционално с креатининовия клирънс. Това води до повишена плазмена концентрация на хидрохлоротиазид, която намалява по-бавно отколкото при индивиди с нормална бъбречна функция.</w:t>
      </w:r>
    </w:p>
    <w:p w14:paraId="1D5A03F3" w14:textId="77777777" w:rsidR="001B3322" w:rsidRPr="001B3322" w:rsidRDefault="001B3322" w:rsidP="001B3322">
      <w:pPr>
        <w:spacing w:line="240" w:lineRule="auto"/>
        <w:rPr>
          <w:rFonts w:eastAsia="Times New Roman" w:cs="Arial"/>
          <w:i/>
          <w:iCs/>
          <w:color w:val="000000"/>
          <w:lang w:eastAsia="bg-BG"/>
        </w:rPr>
      </w:pPr>
    </w:p>
    <w:p w14:paraId="196D823B" w14:textId="5A417CB5" w:rsidR="001B3322" w:rsidRPr="001B3322" w:rsidRDefault="001B3322" w:rsidP="001B3322">
      <w:pPr>
        <w:spacing w:line="240" w:lineRule="auto"/>
        <w:rPr>
          <w:rFonts w:eastAsia="Times New Roman" w:cs="Arial"/>
          <w:sz w:val="28"/>
          <w:szCs w:val="28"/>
          <w:lang w:eastAsia="bg-BG"/>
        </w:rPr>
      </w:pPr>
      <w:r w:rsidRPr="001B3322">
        <w:rPr>
          <w:rFonts w:eastAsia="Times New Roman" w:cs="Arial"/>
          <w:i/>
          <w:iCs/>
          <w:color w:val="000000"/>
          <w:lang w:eastAsia="bg-BG"/>
        </w:rPr>
        <w:t>Пациенти с чернодробно увреждане (вж. точка 4.2)</w:t>
      </w:r>
    </w:p>
    <w:p w14:paraId="1929CC54"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При пациенти с чернодробна цироза фармакокинетиката на хидрохлоротиазид не се променя значимо. Фармакокинетиката на хидрохлоротиазид не е проучвана при пациенти със сърдечна недостатъчност.</w:t>
      </w:r>
    </w:p>
    <w:p w14:paraId="0426F6CC" w14:textId="77777777" w:rsidR="001B3322" w:rsidRPr="001B3322" w:rsidRDefault="001B3322" w:rsidP="001B3322">
      <w:pPr>
        <w:spacing w:line="240" w:lineRule="auto"/>
        <w:rPr>
          <w:rFonts w:eastAsia="Times New Roman" w:cs="Arial"/>
          <w:color w:val="000000"/>
          <w:u w:val="single"/>
          <w:lang w:eastAsia="bg-BG"/>
        </w:rPr>
      </w:pPr>
    </w:p>
    <w:p w14:paraId="73908383" w14:textId="21563B20"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u w:val="single"/>
          <w:lang w:eastAsia="bg-BG"/>
        </w:rPr>
        <w:t>Рамиприл и хидрохлоротиазид</w:t>
      </w:r>
    </w:p>
    <w:p w14:paraId="0A121FFF" w14:textId="77777777" w:rsidR="001B3322" w:rsidRPr="001B3322" w:rsidRDefault="001B3322" w:rsidP="001B3322">
      <w:pPr>
        <w:spacing w:line="240" w:lineRule="auto"/>
        <w:rPr>
          <w:rFonts w:eastAsia="Times New Roman" w:cs="Arial"/>
          <w:sz w:val="28"/>
          <w:szCs w:val="28"/>
          <w:lang w:eastAsia="bg-BG"/>
        </w:rPr>
      </w:pPr>
      <w:r w:rsidRPr="001B3322">
        <w:rPr>
          <w:rFonts w:eastAsia="Times New Roman" w:cs="Arial"/>
          <w:color w:val="000000"/>
          <w:lang w:eastAsia="bg-BG"/>
        </w:rPr>
        <w:t>Едновременното прилагане на рамиприл и хидрохлоротиазид не засяга тяхната бионаличност. Комбинираният продукт може да се счита като биоеквивалентен на продуктите, съдържащи отделните компоненти.</w:t>
      </w:r>
    </w:p>
    <w:p w14:paraId="43FD3B42" w14:textId="77777777" w:rsidR="001B3322" w:rsidRPr="001B3322" w:rsidRDefault="001B3322" w:rsidP="001B3322">
      <w:pPr>
        <w:rPr>
          <w:lang w:val="en-US"/>
        </w:rPr>
      </w:pPr>
    </w:p>
    <w:p w14:paraId="4F31844C" w14:textId="0E6AC87F" w:rsidR="00875EEC" w:rsidRDefault="002C50EE" w:rsidP="005726E3">
      <w:pPr>
        <w:pStyle w:val="Heading2"/>
      </w:pPr>
      <w:r>
        <w:t>5.3. Предклинични данни за безопасност</w:t>
      </w:r>
    </w:p>
    <w:p w14:paraId="319A6A95" w14:textId="0BF7A3AF" w:rsidR="001B3322" w:rsidRDefault="001B3322" w:rsidP="001B3322"/>
    <w:p w14:paraId="4AC89E2A" w14:textId="77777777" w:rsidR="001B3322" w:rsidRPr="001B3322" w:rsidRDefault="001B3322" w:rsidP="001B3322">
      <w:pPr>
        <w:rPr>
          <w:sz w:val="24"/>
          <w:szCs w:val="24"/>
          <w:lang w:eastAsia="bg-BG"/>
        </w:rPr>
      </w:pPr>
      <w:r w:rsidRPr="001B3322">
        <w:rPr>
          <w:lang w:eastAsia="bg-BG"/>
        </w:rPr>
        <w:t xml:space="preserve">При плъхове и мишки комбинацията от рамиприл и хидрохлоротиазид няма остра токсичност до 10 000 </w:t>
      </w:r>
      <w:r w:rsidRPr="001B3322">
        <w:rPr>
          <w:lang w:val="en-US"/>
        </w:rPr>
        <w:t xml:space="preserve">mg/kg. </w:t>
      </w:r>
      <w:r w:rsidRPr="001B3322">
        <w:rPr>
          <w:lang w:eastAsia="bg-BG"/>
        </w:rPr>
        <w:t>Проучванията при многократно прилагане, проведени при плъхове и маймуни показват само нарушения в електролитния баланс.</w:t>
      </w:r>
    </w:p>
    <w:p w14:paraId="0D6892F8" w14:textId="77777777" w:rsidR="001B3322" w:rsidRPr="001B3322" w:rsidRDefault="001B3322" w:rsidP="001B3322">
      <w:pPr>
        <w:rPr>
          <w:sz w:val="24"/>
          <w:szCs w:val="24"/>
          <w:lang w:eastAsia="bg-BG"/>
        </w:rPr>
      </w:pPr>
      <w:r w:rsidRPr="001B3322">
        <w:rPr>
          <w:lang w:eastAsia="bg-BG"/>
        </w:rPr>
        <w:t>Не са провеждани проучвания за мутагенност и карциногенност с комбинацията, като проучванията с отделните компоненти не показват риск.</w:t>
      </w:r>
    </w:p>
    <w:p w14:paraId="7FDAE22C" w14:textId="77777777" w:rsidR="001B3322" w:rsidRPr="001B3322" w:rsidRDefault="001B3322" w:rsidP="001B3322">
      <w:pPr>
        <w:rPr>
          <w:sz w:val="24"/>
          <w:szCs w:val="24"/>
          <w:lang w:eastAsia="bg-BG"/>
        </w:rPr>
      </w:pPr>
      <w:r w:rsidRPr="001B3322">
        <w:rPr>
          <w:lang w:eastAsia="bg-BG"/>
        </w:rPr>
        <w:t>Репродуктивни проучвания при плъхове и зайци показват, че комбинацията е донякъде по- токсична от самостоятелните компоненти, но нито едно от проучванията не показва тератогенен ефект на комбинацията.</w:t>
      </w:r>
    </w:p>
    <w:p w14:paraId="364F23FA" w14:textId="77777777" w:rsidR="001B3322" w:rsidRPr="001B3322" w:rsidRDefault="001B3322" w:rsidP="001B3322"/>
    <w:p w14:paraId="357049A8" w14:textId="068CBC3B" w:rsidR="00BB22B4" w:rsidRDefault="002C50EE" w:rsidP="00471F10">
      <w:pPr>
        <w:pStyle w:val="Heading1"/>
      </w:pPr>
      <w:r>
        <w:t>7. ПРИТЕЖАТЕЛ НА РАЗРЕШЕНИЕТО ЗА УПОТРЕБА</w:t>
      </w:r>
    </w:p>
    <w:p w14:paraId="601DC84C" w14:textId="7199F388" w:rsidR="001B3322" w:rsidRDefault="001B3322" w:rsidP="001B3322"/>
    <w:p w14:paraId="5F0AF92F" w14:textId="77777777" w:rsidR="001B3322" w:rsidRPr="001B3322" w:rsidRDefault="001B3322" w:rsidP="001B3322">
      <w:pPr>
        <w:rPr>
          <w:sz w:val="24"/>
          <w:szCs w:val="24"/>
          <w:lang w:val="en-US" w:eastAsia="bg-BG"/>
        </w:rPr>
      </w:pPr>
      <w:proofErr w:type="spellStart"/>
      <w:r w:rsidRPr="001B3322">
        <w:rPr>
          <w:lang w:val="en-US"/>
        </w:rPr>
        <w:t>Medochemie</w:t>
      </w:r>
      <w:proofErr w:type="spellEnd"/>
      <w:r w:rsidRPr="001B3322">
        <w:rPr>
          <w:lang w:val="en-US"/>
        </w:rPr>
        <w:t xml:space="preserve"> Ltd., </w:t>
      </w:r>
      <w:r w:rsidRPr="001B3322">
        <w:rPr>
          <w:lang w:eastAsia="bg-BG"/>
        </w:rPr>
        <w:t xml:space="preserve">1-10 </w:t>
      </w:r>
      <w:proofErr w:type="spellStart"/>
      <w:r w:rsidRPr="001B3322">
        <w:rPr>
          <w:lang w:val="en-US"/>
        </w:rPr>
        <w:t>Constantinopeoleous</w:t>
      </w:r>
      <w:proofErr w:type="spellEnd"/>
      <w:r w:rsidRPr="001B3322">
        <w:rPr>
          <w:lang w:val="en-US"/>
        </w:rPr>
        <w:t xml:space="preserve"> Street, 3011, Limassol, </w:t>
      </w:r>
      <w:r w:rsidRPr="001B3322">
        <w:rPr>
          <w:lang w:eastAsia="bg-BG"/>
        </w:rPr>
        <w:t>Кипър</w:t>
      </w:r>
    </w:p>
    <w:p w14:paraId="796B2EC6" w14:textId="66246B4B" w:rsidR="00BB22B4" w:rsidRDefault="00936AD0" w:rsidP="00471F10">
      <w:pPr>
        <w:pStyle w:val="Heading1"/>
      </w:pPr>
      <w:r>
        <w:t>8.</w:t>
      </w:r>
      <w:r w:rsidR="002C50EE">
        <w:t>НОМЕР НА РАЗРЕШЕНИЕТО ЗА УПОТРЕБА</w:t>
      </w:r>
    </w:p>
    <w:p w14:paraId="40FD5E0B" w14:textId="105D6ECB" w:rsidR="001B3322" w:rsidRDefault="001B3322" w:rsidP="001B3322">
      <w:pPr>
        <w:rPr>
          <w:lang w:eastAsia="bg-BG"/>
        </w:rPr>
      </w:pPr>
    </w:p>
    <w:p w14:paraId="604DAF5E" w14:textId="77777777" w:rsidR="001B3322" w:rsidRPr="001B3322" w:rsidRDefault="001B3322" w:rsidP="001B3322">
      <w:pPr>
        <w:rPr>
          <w:sz w:val="24"/>
          <w:szCs w:val="24"/>
          <w:lang w:val="en-US" w:eastAsia="bg-BG"/>
        </w:rPr>
      </w:pPr>
      <w:r w:rsidRPr="001B3322">
        <w:rPr>
          <w:lang w:eastAsia="bg-BG"/>
        </w:rPr>
        <w:t xml:space="preserve">Рамимед НСТ 2,5 </w:t>
      </w:r>
      <w:r w:rsidRPr="001B3322">
        <w:rPr>
          <w:lang w:val="en-US"/>
        </w:rPr>
        <w:t>mg/12,5 mg:</w:t>
      </w:r>
    </w:p>
    <w:p w14:paraId="1F4D8982" w14:textId="77777777" w:rsidR="001B3322" w:rsidRPr="001B3322" w:rsidRDefault="001B3322" w:rsidP="001B3322">
      <w:pPr>
        <w:rPr>
          <w:sz w:val="24"/>
          <w:szCs w:val="24"/>
          <w:lang w:val="en-US" w:eastAsia="bg-BG"/>
        </w:rPr>
      </w:pPr>
      <w:r w:rsidRPr="001B3322">
        <w:rPr>
          <w:lang w:val="en-US"/>
        </w:rPr>
        <w:t>Per. №: 20080078</w:t>
      </w:r>
    </w:p>
    <w:p w14:paraId="7CA10A54" w14:textId="77777777" w:rsidR="001B3322" w:rsidRPr="001B3322" w:rsidRDefault="001B3322" w:rsidP="001B3322">
      <w:pPr>
        <w:rPr>
          <w:sz w:val="24"/>
          <w:szCs w:val="24"/>
          <w:lang w:val="en-US" w:eastAsia="bg-BG"/>
        </w:rPr>
      </w:pPr>
      <w:r w:rsidRPr="001B3322">
        <w:rPr>
          <w:lang w:eastAsia="bg-BG"/>
        </w:rPr>
        <w:t xml:space="preserve">Рамимед НСТ 5 </w:t>
      </w:r>
      <w:r w:rsidRPr="001B3322">
        <w:rPr>
          <w:lang w:val="en-US"/>
        </w:rPr>
        <w:t>mg/25 mg:</w:t>
      </w:r>
    </w:p>
    <w:p w14:paraId="6B702268" w14:textId="49162B01" w:rsidR="001B3322" w:rsidRPr="001B3322" w:rsidRDefault="001B3322" w:rsidP="001B3322">
      <w:r w:rsidRPr="001B3322">
        <w:rPr>
          <w:lang w:val="en-US"/>
        </w:rPr>
        <w:t>Per. №: 20080079</w:t>
      </w:r>
    </w:p>
    <w:p w14:paraId="3715C10B" w14:textId="181E6409" w:rsidR="00BB22B4" w:rsidRDefault="002C50EE" w:rsidP="00471F10">
      <w:pPr>
        <w:pStyle w:val="Heading1"/>
      </w:pPr>
      <w:r>
        <w:t>9. ДАТА НА ПЪРВО РАЗРЕШАВАНЕ/ПОДНОВЯВАНЕ НА РАЗРЕШЕНИЕТО ЗА УПОТРЕБА</w:t>
      </w:r>
    </w:p>
    <w:p w14:paraId="60F05EF2" w14:textId="0077542B" w:rsidR="001B3322" w:rsidRDefault="001B3322" w:rsidP="001B3322"/>
    <w:p w14:paraId="01F9EF03" w14:textId="77777777" w:rsidR="001B3322" w:rsidRPr="001B3322" w:rsidRDefault="001B3322" w:rsidP="001B3322">
      <w:pPr>
        <w:rPr>
          <w:sz w:val="24"/>
          <w:szCs w:val="24"/>
          <w:lang w:eastAsia="bg-BG"/>
        </w:rPr>
      </w:pPr>
      <w:r w:rsidRPr="001B3322">
        <w:rPr>
          <w:lang w:eastAsia="bg-BG"/>
        </w:rPr>
        <w:t>Дата на първо разрешение: 14 май 2008 г.</w:t>
      </w:r>
    </w:p>
    <w:p w14:paraId="6C52E808" w14:textId="77777777" w:rsidR="001B3322" w:rsidRPr="001B3322" w:rsidRDefault="001B3322" w:rsidP="001B3322">
      <w:r w:rsidRPr="001B3322">
        <w:rPr>
          <w:lang w:eastAsia="bg-BG"/>
        </w:rPr>
        <w:t>Дата на последно подновяване: 02 декември 2009 г.</w:t>
      </w:r>
    </w:p>
    <w:p w14:paraId="7CE49876" w14:textId="77777777" w:rsidR="001B3322" w:rsidRPr="001B3322" w:rsidRDefault="001B3322" w:rsidP="001B3322"/>
    <w:p w14:paraId="43FB38A2" w14:textId="0C18A683" w:rsidR="007C605B" w:rsidRDefault="002C50EE" w:rsidP="005726E3">
      <w:pPr>
        <w:pStyle w:val="Heading1"/>
      </w:pPr>
      <w:r>
        <w:t>10. ДАТА НА АКТУАЛИЗИРАНЕ НА ТЕКСТА</w:t>
      </w:r>
      <w:bookmarkEnd w:id="0"/>
    </w:p>
    <w:p w14:paraId="472617BD" w14:textId="7017F230" w:rsidR="00BB22B4" w:rsidRPr="00BB22B4" w:rsidRDefault="001B3322" w:rsidP="001B3322">
      <w:r>
        <w:t>12/2020</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1D74"/>
    <w:multiLevelType w:val="hybridMultilevel"/>
    <w:tmpl w:val="D6CCDD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66B0B"/>
    <w:multiLevelType w:val="hybridMultilevel"/>
    <w:tmpl w:val="97BC97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3DBA36BD"/>
    <w:multiLevelType w:val="hybridMultilevel"/>
    <w:tmpl w:val="802A6024"/>
    <w:lvl w:ilvl="0" w:tplc="61A8CAF0">
      <w:start w:val="4"/>
      <w:numFmt w:val="bullet"/>
      <w:lvlText w:val="-"/>
      <w:lvlJc w:val="left"/>
      <w:pPr>
        <w:ind w:left="720" w:hanging="360"/>
      </w:pPr>
      <w:rPr>
        <w:rFonts w:ascii="Arial" w:eastAsiaTheme="minorHAnsi" w:hAnsi="Arial" w:cs="Aria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04951"/>
    <w:multiLevelType w:val="hybridMultilevel"/>
    <w:tmpl w:val="3E046C04"/>
    <w:lvl w:ilvl="0" w:tplc="69CEA5C6">
      <w:start w:val="4"/>
      <w:numFmt w:val="bullet"/>
      <w:lvlText w:val="-"/>
      <w:lvlJc w:val="left"/>
      <w:pPr>
        <w:ind w:left="720" w:hanging="360"/>
      </w:pPr>
      <w:rPr>
        <w:rFonts w:ascii="Times New Roman" w:eastAsia="Times New Roman" w:hAnsi="Times New Roman" w:cs="Times New Roman" w:hint="default"/>
        <w:i/>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080712040">
    <w:abstractNumId w:val="32"/>
  </w:num>
  <w:num w:numId="2" w16cid:durableId="1947812618">
    <w:abstractNumId w:val="0"/>
  </w:num>
  <w:num w:numId="3" w16cid:durableId="1453746600">
    <w:abstractNumId w:val="15"/>
  </w:num>
  <w:num w:numId="4" w16cid:durableId="1737436611">
    <w:abstractNumId w:val="3"/>
  </w:num>
  <w:num w:numId="5" w16cid:durableId="1868444768">
    <w:abstractNumId w:val="1"/>
  </w:num>
  <w:num w:numId="6" w16cid:durableId="2042631898">
    <w:abstractNumId w:val="21"/>
  </w:num>
  <w:num w:numId="7" w16cid:durableId="1431438617">
    <w:abstractNumId w:val="13"/>
  </w:num>
  <w:num w:numId="8" w16cid:durableId="311834950">
    <w:abstractNumId w:val="19"/>
  </w:num>
  <w:num w:numId="9" w16cid:durableId="1883322907">
    <w:abstractNumId w:val="2"/>
  </w:num>
  <w:num w:numId="10" w16cid:durableId="883834511">
    <w:abstractNumId w:val="4"/>
  </w:num>
  <w:num w:numId="11" w16cid:durableId="1968046115">
    <w:abstractNumId w:val="36"/>
  </w:num>
  <w:num w:numId="12" w16cid:durableId="2113043014">
    <w:abstractNumId w:val="16"/>
  </w:num>
  <w:num w:numId="13" w16cid:durableId="1227840587">
    <w:abstractNumId w:val="24"/>
  </w:num>
  <w:num w:numId="14" w16cid:durableId="1987852952">
    <w:abstractNumId w:val="14"/>
  </w:num>
  <w:num w:numId="15" w16cid:durableId="1648822206">
    <w:abstractNumId w:val="34"/>
  </w:num>
  <w:num w:numId="16" w16cid:durableId="294066633">
    <w:abstractNumId w:val="12"/>
  </w:num>
  <w:num w:numId="17" w16cid:durableId="809177844">
    <w:abstractNumId w:val="29"/>
  </w:num>
  <w:num w:numId="18" w16cid:durableId="465390950">
    <w:abstractNumId w:val="8"/>
  </w:num>
  <w:num w:numId="19" w16cid:durableId="96292607">
    <w:abstractNumId w:val="31"/>
  </w:num>
  <w:num w:numId="20" w16cid:durableId="467167381">
    <w:abstractNumId w:val="28"/>
  </w:num>
  <w:num w:numId="21" w16cid:durableId="761070688">
    <w:abstractNumId w:val="22"/>
  </w:num>
  <w:num w:numId="22" w16cid:durableId="2131121786">
    <w:abstractNumId w:val="30"/>
  </w:num>
  <w:num w:numId="23" w16cid:durableId="952126384">
    <w:abstractNumId w:val="23"/>
  </w:num>
  <w:num w:numId="24" w16cid:durableId="2134135958">
    <w:abstractNumId w:val="9"/>
  </w:num>
  <w:num w:numId="25" w16cid:durableId="993214665">
    <w:abstractNumId w:val="27"/>
  </w:num>
  <w:num w:numId="26" w16cid:durableId="1838886995">
    <w:abstractNumId w:val="26"/>
  </w:num>
  <w:num w:numId="27" w16cid:durableId="446314574">
    <w:abstractNumId w:val="37"/>
  </w:num>
  <w:num w:numId="28" w16cid:durableId="1783114925">
    <w:abstractNumId w:val="6"/>
  </w:num>
  <w:num w:numId="29" w16cid:durableId="293870642">
    <w:abstractNumId w:val="25"/>
  </w:num>
  <w:num w:numId="30" w16cid:durableId="245576412">
    <w:abstractNumId w:val="40"/>
  </w:num>
  <w:num w:numId="31" w16cid:durableId="2070838905">
    <w:abstractNumId w:val="5"/>
  </w:num>
  <w:num w:numId="32" w16cid:durableId="1933583977">
    <w:abstractNumId w:val="39"/>
  </w:num>
  <w:num w:numId="33" w16cid:durableId="439491269">
    <w:abstractNumId w:val="33"/>
  </w:num>
  <w:num w:numId="34" w16cid:durableId="1257440656">
    <w:abstractNumId w:val="38"/>
  </w:num>
  <w:num w:numId="35" w16cid:durableId="1560747114">
    <w:abstractNumId w:val="7"/>
  </w:num>
  <w:num w:numId="36" w16cid:durableId="698513447">
    <w:abstractNumId w:val="10"/>
  </w:num>
  <w:num w:numId="37" w16cid:durableId="1319457164">
    <w:abstractNumId w:val="17"/>
  </w:num>
  <w:num w:numId="38" w16cid:durableId="1193567783">
    <w:abstractNumId w:val="18"/>
  </w:num>
  <w:num w:numId="39" w16cid:durableId="454955292">
    <w:abstractNumId w:val="11"/>
  </w:num>
  <w:num w:numId="40" w16cid:durableId="734427128">
    <w:abstractNumId w:val="35"/>
  </w:num>
  <w:num w:numId="41" w16cid:durableId="6513710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29BD"/>
    <w:rsid w:val="00185A46"/>
    <w:rsid w:val="001915B6"/>
    <w:rsid w:val="001A6EBD"/>
    <w:rsid w:val="001B3322"/>
    <w:rsid w:val="001D1B23"/>
    <w:rsid w:val="002B3C38"/>
    <w:rsid w:val="002B4DBB"/>
    <w:rsid w:val="002C50EE"/>
    <w:rsid w:val="00340A0A"/>
    <w:rsid w:val="003765DC"/>
    <w:rsid w:val="00395555"/>
    <w:rsid w:val="003E3126"/>
    <w:rsid w:val="00426E5F"/>
    <w:rsid w:val="00471F10"/>
    <w:rsid w:val="004A448E"/>
    <w:rsid w:val="004D4D6B"/>
    <w:rsid w:val="004F1CE7"/>
    <w:rsid w:val="004F498A"/>
    <w:rsid w:val="00517A5B"/>
    <w:rsid w:val="00546307"/>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7419</Words>
  <Characters>42292</Characters>
  <Application>Microsoft Office Word</Application>
  <DocSecurity>0</DocSecurity>
  <Lines>352</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2022-12-27T14:02:00Z</dcterms:created>
  <dcterms:modified xsi:type="dcterms:W3CDTF">2022-12-27T14:02:00Z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