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2BF1E783" w:rsidR="00DB32D3" w:rsidRDefault="00DD466D" w:rsidP="005726E3">
      <w:pPr>
        <w:pStyle w:val="Heading1"/>
      </w:pPr>
      <w:r>
        <w:t>1.ИМЕ НА ЛЕКАРСТВЕНИЯ ПРОДУКТ</w:t>
      </w:r>
    </w:p>
    <w:p w14:paraId="7A4B65E7" w14:textId="39913C8A" w:rsidR="00232DA1" w:rsidRDefault="00232DA1" w:rsidP="00232DA1"/>
    <w:p w14:paraId="1CC75A75" w14:textId="10B804C0" w:rsidR="00232DA1" w:rsidRPr="00232DA1" w:rsidRDefault="00232DA1" w:rsidP="00232DA1">
      <w:pPr>
        <w:rPr>
          <w:sz w:val="24"/>
          <w:szCs w:val="24"/>
        </w:rPr>
      </w:pPr>
      <w:r w:rsidRPr="00232DA1">
        <w:rPr>
          <w:lang w:eastAsia="bg-BG"/>
        </w:rPr>
        <w:t xml:space="preserve">Равентон 80 </w:t>
      </w:r>
      <w:r w:rsidRPr="00232DA1">
        <w:rPr>
          <w:lang w:val="en-US"/>
        </w:rPr>
        <w:t>mg</w:t>
      </w:r>
      <w:r w:rsidRPr="00232DA1">
        <w:t>/</w:t>
      </w:r>
      <w:r w:rsidR="001D1426">
        <w:rPr>
          <w:lang w:eastAsia="bg-BG"/>
        </w:rPr>
        <w:t>5</w:t>
      </w:r>
      <w:r w:rsidRPr="00232DA1">
        <w:rPr>
          <w:lang w:eastAsia="bg-BG"/>
        </w:rPr>
        <w:t xml:space="preserve"> </w:t>
      </w:r>
      <w:r w:rsidRPr="00232DA1">
        <w:rPr>
          <w:lang w:val="en-US"/>
        </w:rPr>
        <w:t>mg</w:t>
      </w:r>
      <w:r w:rsidRPr="00232DA1">
        <w:t xml:space="preserve"> </w:t>
      </w:r>
      <w:r w:rsidRPr="00232DA1">
        <w:rPr>
          <w:lang w:eastAsia="bg-BG"/>
        </w:rPr>
        <w:t>таблетки</w:t>
      </w:r>
    </w:p>
    <w:p w14:paraId="13CC4A16" w14:textId="644A796B" w:rsidR="00232DA1" w:rsidRPr="00232DA1" w:rsidRDefault="00232DA1" w:rsidP="00232DA1">
      <w:proofErr w:type="spellStart"/>
      <w:r w:rsidRPr="00232DA1">
        <w:rPr>
          <w:lang w:val="en-US"/>
        </w:rPr>
        <w:t>Raventon</w:t>
      </w:r>
      <w:proofErr w:type="spellEnd"/>
      <w:r w:rsidRPr="00232DA1">
        <w:t xml:space="preserve"> </w:t>
      </w:r>
      <w:r w:rsidRPr="00232DA1">
        <w:rPr>
          <w:lang w:eastAsia="bg-BG"/>
        </w:rPr>
        <w:t xml:space="preserve">80 </w:t>
      </w:r>
      <w:r w:rsidRPr="00232DA1">
        <w:rPr>
          <w:lang w:val="en-US"/>
        </w:rPr>
        <w:t>mg</w:t>
      </w:r>
      <w:r w:rsidRPr="00232DA1">
        <w:t>/</w:t>
      </w:r>
      <w:r w:rsidR="001D1426">
        <w:rPr>
          <w:lang w:eastAsia="bg-BG"/>
        </w:rPr>
        <w:t>5</w:t>
      </w:r>
      <w:r w:rsidRPr="00232DA1">
        <w:rPr>
          <w:lang w:eastAsia="bg-BG"/>
        </w:rPr>
        <w:t xml:space="preserve"> </w:t>
      </w:r>
      <w:r w:rsidRPr="00232DA1">
        <w:rPr>
          <w:lang w:val="en-US"/>
        </w:rPr>
        <w:t>mg</w:t>
      </w:r>
      <w:r w:rsidRPr="00232DA1">
        <w:t xml:space="preserve"> </w:t>
      </w:r>
      <w:r w:rsidRPr="00232DA1">
        <w:rPr>
          <w:lang w:val="en-US"/>
        </w:rPr>
        <w:t>tablets</w:t>
      </w:r>
    </w:p>
    <w:p w14:paraId="48E6CABE" w14:textId="62BB903E" w:rsidR="00DB32D3" w:rsidRDefault="00DD466D" w:rsidP="005726E3">
      <w:pPr>
        <w:pStyle w:val="Heading1"/>
      </w:pPr>
      <w:r>
        <w:t>2. КАЧЕСТВЕН И КОЛИЧЕСТВЕН СЪСТАВ</w:t>
      </w:r>
    </w:p>
    <w:p w14:paraId="509992EF" w14:textId="2EA6B0B2" w:rsidR="00232DA1" w:rsidRDefault="00232DA1" w:rsidP="00232DA1"/>
    <w:p w14:paraId="4687647E" w14:textId="3A511063"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 xml:space="preserve">Всяка таблетка съдържа 80 </w:t>
      </w:r>
      <w:r w:rsidRPr="00232DA1">
        <w:rPr>
          <w:rFonts w:eastAsia="Times New Roman" w:cs="Arial"/>
          <w:color w:val="000000"/>
          <w:szCs w:val="20"/>
          <w:lang w:val="en-US"/>
        </w:rPr>
        <w:t>mg</w:t>
      </w:r>
      <w:r w:rsidRPr="00232DA1">
        <w:rPr>
          <w:rFonts w:eastAsia="Times New Roman" w:cs="Arial"/>
          <w:color w:val="000000"/>
          <w:szCs w:val="20"/>
        </w:rPr>
        <w:t xml:space="preserve"> </w:t>
      </w:r>
      <w:r w:rsidRPr="00232DA1">
        <w:rPr>
          <w:rFonts w:eastAsia="Times New Roman" w:cs="Arial"/>
          <w:color w:val="000000"/>
          <w:szCs w:val="20"/>
          <w:lang w:eastAsia="bg-BG"/>
        </w:rPr>
        <w:t xml:space="preserve">телмисартан </w:t>
      </w:r>
      <w:r w:rsidRPr="00232DA1">
        <w:rPr>
          <w:rFonts w:eastAsia="Times New Roman" w:cs="Arial"/>
          <w:color w:val="000000"/>
          <w:szCs w:val="20"/>
        </w:rPr>
        <w:t>(</w:t>
      </w:r>
      <w:proofErr w:type="spellStart"/>
      <w:r w:rsidRPr="00232DA1">
        <w:rPr>
          <w:rFonts w:eastAsia="Times New Roman" w:cs="Arial"/>
          <w:color w:val="000000"/>
          <w:szCs w:val="20"/>
          <w:lang w:val="en-US"/>
        </w:rPr>
        <w:t>telmisartan</w:t>
      </w:r>
      <w:proofErr w:type="spellEnd"/>
      <w:r w:rsidRPr="00232DA1">
        <w:rPr>
          <w:rFonts w:eastAsia="Times New Roman" w:cs="Arial"/>
          <w:color w:val="000000"/>
          <w:szCs w:val="20"/>
        </w:rPr>
        <w:t xml:space="preserve">) </w:t>
      </w:r>
      <w:r w:rsidR="001D1426">
        <w:rPr>
          <w:rFonts w:eastAsia="Times New Roman" w:cs="Arial"/>
          <w:color w:val="000000"/>
          <w:szCs w:val="20"/>
          <w:lang w:eastAsia="bg-BG"/>
        </w:rPr>
        <w:t>и 5</w:t>
      </w:r>
      <w:r w:rsidRPr="00232DA1">
        <w:rPr>
          <w:rFonts w:eastAsia="Times New Roman" w:cs="Arial"/>
          <w:color w:val="000000"/>
          <w:szCs w:val="20"/>
          <w:lang w:eastAsia="bg-BG"/>
        </w:rPr>
        <w:t xml:space="preserve"> </w:t>
      </w:r>
      <w:r w:rsidRPr="00232DA1">
        <w:rPr>
          <w:rFonts w:eastAsia="Times New Roman" w:cs="Arial"/>
          <w:color w:val="000000"/>
          <w:szCs w:val="20"/>
          <w:lang w:val="en-US"/>
        </w:rPr>
        <w:t>mg</w:t>
      </w:r>
      <w:r w:rsidRPr="00232DA1">
        <w:rPr>
          <w:rFonts w:eastAsia="Times New Roman" w:cs="Arial"/>
          <w:color w:val="000000"/>
          <w:szCs w:val="20"/>
        </w:rPr>
        <w:t xml:space="preserve"> </w:t>
      </w:r>
      <w:r w:rsidRPr="00232DA1">
        <w:rPr>
          <w:rFonts w:eastAsia="Times New Roman" w:cs="Arial"/>
          <w:color w:val="000000"/>
          <w:szCs w:val="20"/>
          <w:lang w:eastAsia="bg-BG"/>
        </w:rPr>
        <w:t xml:space="preserve">амплодипин </w:t>
      </w:r>
      <w:r w:rsidRPr="00232DA1">
        <w:rPr>
          <w:rFonts w:eastAsia="Times New Roman" w:cs="Arial"/>
          <w:color w:val="000000"/>
          <w:szCs w:val="20"/>
        </w:rPr>
        <w:t>(</w:t>
      </w:r>
      <w:r w:rsidRPr="00232DA1">
        <w:rPr>
          <w:rFonts w:eastAsia="Times New Roman" w:cs="Arial"/>
          <w:color w:val="000000"/>
          <w:szCs w:val="20"/>
          <w:lang w:val="en-US"/>
        </w:rPr>
        <w:t>amlodipine</w:t>
      </w:r>
      <w:r w:rsidRPr="00232DA1">
        <w:rPr>
          <w:rFonts w:eastAsia="Times New Roman" w:cs="Arial"/>
          <w:color w:val="000000"/>
          <w:szCs w:val="20"/>
        </w:rPr>
        <w:t xml:space="preserve">) </w:t>
      </w:r>
      <w:r w:rsidRPr="00232DA1">
        <w:rPr>
          <w:rFonts w:eastAsia="Times New Roman" w:cs="Arial"/>
          <w:color w:val="000000"/>
          <w:szCs w:val="20"/>
          <w:lang w:eastAsia="bg-BG"/>
        </w:rPr>
        <w:t>(под формата на амлодипинов безилат).</w:t>
      </w:r>
    </w:p>
    <w:p w14:paraId="40607CAE" w14:textId="77777777" w:rsidR="00232DA1" w:rsidRPr="00232DA1" w:rsidRDefault="00232DA1" w:rsidP="00232DA1">
      <w:pPr>
        <w:spacing w:line="240" w:lineRule="auto"/>
        <w:rPr>
          <w:rFonts w:eastAsia="Times New Roman" w:cs="Arial"/>
          <w:color w:val="000000"/>
          <w:szCs w:val="20"/>
          <w:u w:val="single"/>
          <w:lang w:eastAsia="bg-BG"/>
        </w:rPr>
      </w:pPr>
    </w:p>
    <w:p w14:paraId="5327166B" w14:textId="4D3D367F"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u w:val="single"/>
          <w:lang w:eastAsia="bg-BG"/>
        </w:rPr>
        <w:t>Помощно(и) вещество(а) с известно действие:</w:t>
      </w:r>
    </w:p>
    <w:p w14:paraId="1D93E176"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 xml:space="preserve">Всяка таблетка съдържа 3.86 </w:t>
      </w:r>
      <w:r w:rsidRPr="00232DA1">
        <w:rPr>
          <w:rFonts w:eastAsia="Times New Roman" w:cs="Arial"/>
          <w:color w:val="000000"/>
          <w:szCs w:val="20"/>
          <w:lang w:val="en-US"/>
        </w:rPr>
        <w:t>mg</w:t>
      </w:r>
      <w:r w:rsidRPr="00232DA1">
        <w:rPr>
          <w:rFonts w:eastAsia="Times New Roman" w:cs="Arial"/>
          <w:color w:val="000000"/>
          <w:szCs w:val="20"/>
          <w:lang w:val="ru-RU"/>
        </w:rPr>
        <w:t xml:space="preserve"> </w:t>
      </w:r>
      <w:r w:rsidRPr="00232DA1">
        <w:rPr>
          <w:rFonts w:eastAsia="Times New Roman" w:cs="Arial"/>
          <w:color w:val="000000"/>
          <w:szCs w:val="20"/>
          <w:lang w:eastAsia="bg-BG"/>
        </w:rPr>
        <w:t>натрий.</w:t>
      </w:r>
    </w:p>
    <w:p w14:paraId="4BD55649" w14:textId="77777777" w:rsidR="00232DA1" w:rsidRPr="00232DA1" w:rsidRDefault="00232DA1" w:rsidP="00232DA1"/>
    <w:p w14:paraId="614984C4" w14:textId="59068791" w:rsidR="008A6AF2" w:rsidRDefault="00DD466D" w:rsidP="002C50EE">
      <w:pPr>
        <w:pStyle w:val="Heading1"/>
      </w:pPr>
      <w:r>
        <w:t>3. ЛЕКАРСТВЕНА ФОРМА</w:t>
      </w:r>
    </w:p>
    <w:p w14:paraId="6A8BA0DC" w14:textId="09A71A4D" w:rsidR="00232DA1" w:rsidRDefault="00232DA1" w:rsidP="00232DA1"/>
    <w:p w14:paraId="7048C2F4" w14:textId="77777777" w:rsidR="00232DA1" w:rsidRPr="00232DA1" w:rsidRDefault="00232DA1" w:rsidP="00232DA1">
      <w:pPr>
        <w:rPr>
          <w:sz w:val="24"/>
          <w:szCs w:val="24"/>
        </w:rPr>
      </w:pPr>
      <w:r w:rsidRPr="00232DA1">
        <w:rPr>
          <w:lang w:eastAsia="bg-BG"/>
        </w:rPr>
        <w:t>Таблетка</w:t>
      </w:r>
    </w:p>
    <w:p w14:paraId="5CC2734F" w14:textId="77777777" w:rsidR="00232DA1" w:rsidRDefault="00232DA1" w:rsidP="00232DA1">
      <w:pPr>
        <w:rPr>
          <w:lang w:eastAsia="bg-BG"/>
        </w:rPr>
      </w:pPr>
    </w:p>
    <w:p w14:paraId="326BFC62" w14:textId="670CC1BA" w:rsidR="00232DA1" w:rsidRPr="00232DA1" w:rsidRDefault="00232DA1" w:rsidP="00232DA1">
      <w:pPr>
        <w:rPr>
          <w:sz w:val="24"/>
          <w:szCs w:val="24"/>
        </w:rPr>
      </w:pPr>
      <w:r w:rsidRPr="00232DA1">
        <w:rPr>
          <w:lang w:eastAsia="bg-BG"/>
        </w:rPr>
        <w:t xml:space="preserve">Двойноизпъкнали, продълговати (14,7-15,3 </w:t>
      </w:r>
      <w:r w:rsidRPr="00232DA1">
        <w:rPr>
          <w:lang w:val="en-US"/>
        </w:rPr>
        <w:t>mm</w:t>
      </w:r>
      <w:r w:rsidRPr="00232DA1">
        <w:rPr>
          <w:lang w:val="ru-RU"/>
        </w:rPr>
        <w:t xml:space="preserve"> </w:t>
      </w:r>
      <w:r w:rsidRPr="00232DA1">
        <w:rPr>
          <w:lang w:eastAsia="bg-BG"/>
        </w:rPr>
        <w:t xml:space="preserve">х 7,0-7,6 </w:t>
      </w:r>
      <w:r w:rsidRPr="00232DA1">
        <w:rPr>
          <w:lang w:val="en-US"/>
        </w:rPr>
        <w:t>mm</w:t>
      </w:r>
      <w:r w:rsidRPr="00232DA1">
        <w:rPr>
          <w:lang w:val="ru-RU"/>
        </w:rPr>
        <w:t xml:space="preserve">), </w:t>
      </w:r>
      <w:r w:rsidRPr="00232DA1">
        <w:rPr>
          <w:lang w:eastAsia="bg-BG"/>
        </w:rPr>
        <w:t xml:space="preserve">двуслойни таблетки, бели до почти бели от </w:t>
      </w:r>
      <w:r w:rsidR="001D1426">
        <w:rPr>
          <w:lang w:eastAsia="bg-BG"/>
        </w:rPr>
        <w:t>едната страна и розови</w:t>
      </w:r>
      <w:r w:rsidRPr="00232DA1">
        <w:rPr>
          <w:lang w:eastAsia="bg-BG"/>
        </w:rPr>
        <w:t xml:space="preserve"> от другата, допустими са малки петънца от </w:t>
      </w:r>
      <w:r w:rsidR="001D1426">
        <w:rPr>
          <w:lang w:eastAsia="bg-BG"/>
        </w:rPr>
        <w:t>розовата</w:t>
      </w:r>
      <w:r w:rsidRPr="00232DA1">
        <w:rPr>
          <w:lang w:eastAsia="bg-BG"/>
        </w:rPr>
        <w:t xml:space="preserve"> страна.</w:t>
      </w:r>
    </w:p>
    <w:p w14:paraId="6AA8B18B" w14:textId="77777777" w:rsidR="00232DA1" w:rsidRPr="00232DA1" w:rsidRDefault="00232DA1" w:rsidP="00232DA1"/>
    <w:p w14:paraId="490FC2C4" w14:textId="6899DE43" w:rsidR="002C50EE" w:rsidRDefault="002C50EE" w:rsidP="002C50EE">
      <w:pPr>
        <w:pStyle w:val="Heading1"/>
      </w:pPr>
      <w:r>
        <w:t>4. КЛИНИЧНИ ДАННИ</w:t>
      </w:r>
    </w:p>
    <w:p w14:paraId="0771830A" w14:textId="2ACE8E9E" w:rsidR="00DB32D3" w:rsidRDefault="002C50EE" w:rsidP="005726E3">
      <w:pPr>
        <w:pStyle w:val="Heading2"/>
      </w:pPr>
      <w:r>
        <w:t>4.1. Терапевтични показания</w:t>
      </w:r>
    </w:p>
    <w:p w14:paraId="514212F9" w14:textId="6EDEB08C" w:rsidR="00232DA1" w:rsidRDefault="00232DA1" w:rsidP="00232DA1"/>
    <w:p w14:paraId="5F843F57"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Лечение на есенциална хипертония при възрастни:</w:t>
      </w:r>
    </w:p>
    <w:p w14:paraId="625B3809" w14:textId="77777777" w:rsidR="00232DA1" w:rsidRPr="00232DA1" w:rsidRDefault="00232DA1" w:rsidP="00232DA1">
      <w:pPr>
        <w:spacing w:line="240" w:lineRule="auto"/>
        <w:rPr>
          <w:rFonts w:eastAsia="Times New Roman" w:cs="Arial"/>
          <w:color w:val="000000"/>
          <w:szCs w:val="20"/>
          <w:u w:val="single"/>
          <w:lang w:eastAsia="bg-BG"/>
        </w:rPr>
      </w:pPr>
    </w:p>
    <w:p w14:paraId="6F7EDC8C" w14:textId="718DA761"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u w:val="single"/>
          <w:lang w:eastAsia="bg-BG"/>
        </w:rPr>
        <w:t>Допълваща терапия</w:t>
      </w:r>
    </w:p>
    <w:p w14:paraId="70DFCEEF" w14:textId="588D125C" w:rsidR="00232DA1" w:rsidRPr="001D1426" w:rsidRDefault="00232DA1" w:rsidP="00232DA1">
      <w:pPr>
        <w:spacing w:line="240" w:lineRule="auto"/>
        <w:rPr>
          <w:rFonts w:eastAsia="Times New Roman" w:cs="Arial"/>
          <w:sz w:val="28"/>
          <w:szCs w:val="24"/>
          <w:lang w:val="ru-RU"/>
        </w:rPr>
      </w:pPr>
      <w:r w:rsidRPr="00232DA1">
        <w:rPr>
          <w:rFonts w:eastAsia="Times New Roman" w:cs="Arial"/>
          <w:color w:val="000000"/>
          <w:szCs w:val="20"/>
          <w:lang w:eastAsia="bg-BG"/>
        </w:rPr>
        <w:t xml:space="preserve">Равентон 80 </w:t>
      </w:r>
      <w:r w:rsidRPr="00232DA1">
        <w:rPr>
          <w:rFonts w:eastAsia="Times New Roman" w:cs="Arial"/>
          <w:color w:val="000000"/>
          <w:szCs w:val="20"/>
          <w:lang w:val="en-US"/>
        </w:rPr>
        <w:t>mg</w:t>
      </w:r>
      <w:r w:rsidRPr="00232DA1">
        <w:rPr>
          <w:rFonts w:eastAsia="Times New Roman" w:cs="Arial"/>
          <w:color w:val="000000"/>
          <w:szCs w:val="20"/>
          <w:lang w:val="ru-RU"/>
        </w:rPr>
        <w:t>/</w:t>
      </w:r>
      <w:r w:rsidRPr="00232DA1">
        <w:rPr>
          <w:rFonts w:eastAsia="Times New Roman" w:cs="Arial"/>
          <w:color w:val="000000"/>
          <w:szCs w:val="20"/>
          <w:lang w:eastAsia="bg-BG"/>
        </w:rPr>
        <w:t xml:space="preserve">10 </w:t>
      </w:r>
      <w:r w:rsidRPr="00232DA1">
        <w:rPr>
          <w:rFonts w:eastAsia="Times New Roman" w:cs="Arial"/>
          <w:color w:val="000000"/>
          <w:szCs w:val="20"/>
          <w:lang w:val="en-US"/>
        </w:rPr>
        <w:t>mg</w:t>
      </w:r>
      <w:r w:rsidRPr="00232DA1">
        <w:rPr>
          <w:rFonts w:eastAsia="Times New Roman" w:cs="Arial"/>
          <w:color w:val="000000"/>
          <w:szCs w:val="20"/>
          <w:lang w:val="ru-RU"/>
        </w:rPr>
        <w:t xml:space="preserve"> </w:t>
      </w:r>
      <w:r w:rsidRPr="00232DA1">
        <w:rPr>
          <w:rFonts w:eastAsia="Times New Roman" w:cs="Arial"/>
          <w:color w:val="000000"/>
          <w:szCs w:val="20"/>
          <w:lang w:eastAsia="bg-BG"/>
        </w:rPr>
        <w:t xml:space="preserve">е показан при възрастни, чието кръвно налягане не се повлиява адекватно при самостоятелно лечение с </w:t>
      </w:r>
      <w:r w:rsidR="001D1426">
        <w:rPr>
          <w:rFonts w:eastAsia="Times New Roman" w:cs="Arial"/>
          <w:color w:val="000000"/>
          <w:szCs w:val="20"/>
          <w:lang w:eastAsia="bg-BG"/>
        </w:rPr>
        <w:t>амлодипин 40</w:t>
      </w:r>
      <w:r w:rsidR="001D1426" w:rsidRPr="001D1426">
        <w:rPr>
          <w:rFonts w:eastAsia="Times New Roman" w:cs="Arial"/>
          <w:color w:val="000000"/>
          <w:szCs w:val="20"/>
          <w:lang w:val="ru-RU" w:eastAsia="bg-BG"/>
        </w:rPr>
        <w:t xml:space="preserve"> </w:t>
      </w:r>
      <w:r w:rsidR="001D1426">
        <w:rPr>
          <w:rFonts w:eastAsia="Times New Roman" w:cs="Arial"/>
          <w:color w:val="000000"/>
          <w:szCs w:val="20"/>
          <w:lang w:val="en-US" w:eastAsia="bg-BG"/>
        </w:rPr>
        <w:t>mg</w:t>
      </w:r>
      <w:r w:rsidR="001D1426" w:rsidRPr="001D1426">
        <w:rPr>
          <w:rFonts w:eastAsia="Times New Roman" w:cs="Arial"/>
          <w:color w:val="000000"/>
          <w:szCs w:val="20"/>
          <w:lang w:val="ru-RU" w:eastAsia="bg-BG"/>
        </w:rPr>
        <w:t xml:space="preserve">/5 </w:t>
      </w:r>
      <w:r w:rsidR="001D1426">
        <w:rPr>
          <w:rFonts w:eastAsia="Times New Roman" w:cs="Arial"/>
          <w:color w:val="000000"/>
          <w:szCs w:val="20"/>
          <w:lang w:val="en-US" w:eastAsia="bg-BG"/>
        </w:rPr>
        <w:t>mg</w:t>
      </w:r>
      <w:r w:rsidR="001D1426" w:rsidRPr="001D1426">
        <w:rPr>
          <w:rFonts w:eastAsia="Times New Roman" w:cs="Arial"/>
          <w:color w:val="000000"/>
          <w:szCs w:val="20"/>
          <w:lang w:val="ru-RU" w:eastAsia="bg-BG"/>
        </w:rPr>
        <w:t>.</w:t>
      </w:r>
    </w:p>
    <w:p w14:paraId="67ADE138" w14:textId="77777777" w:rsidR="00232DA1" w:rsidRPr="00232DA1" w:rsidRDefault="00232DA1" w:rsidP="00232DA1">
      <w:pPr>
        <w:spacing w:line="240" w:lineRule="auto"/>
        <w:rPr>
          <w:rFonts w:eastAsia="Times New Roman" w:cs="Arial"/>
          <w:color w:val="000000"/>
          <w:szCs w:val="20"/>
          <w:u w:val="single"/>
          <w:lang w:eastAsia="bg-BG"/>
        </w:rPr>
      </w:pPr>
    </w:p>
    <w:p w14:paraId="55128C34" w14:textId="60819E9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u w:val="single"/>
          <w:lang w:eastAsia="bg-BG"/>
        </w:rPr>
        <w:t>Заместител на терапия</w:t>
      </w:r>
    </w:p>
    <w:p w14:paraId="43997797"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Пациентите, които приемат телмисартан и амлодипин под формата на отделни таблетки, могат вместо това да приемат таблетки Равентон, които съдържат същите компоненти със същите дози.</w:t>
      </w:r>
    </w:p>
    <w:p w14:paraId="7027DFBF" w14:textId="77777777" w:rsidR="00232DA1" w:rsidRPr="00232DA1" w:rsidRDefault="00232DA1" w:rsidP="00232DA1"/>
    <w:p w14:paraId="7647A102" w14:textId="701F8623" w:rsidR="00DB32D3" w:rsidRDefault="002C50EE" w:rsidP="005726E3">
      <w:pPr>
        <w:pStyle w:val="Heading2"/>
      </w:pPr>
      <w:r>
        <w:t>4.2. Дозировка и начин на приложение</w:t>
      </w:r>
    </w:p>
    <w:p w14:paraId="0469DAB7" w14:textId="6BF84477" w:rsidR="00232DA1" w:rsidRDefault="00232DA1" w:rsidP="00232DA1"/>
    <w:p w14:paraId="0AA09814" w14:textId="77777777" w:rsidR="00232DA1" w:rsidRPr="00232DA1" w:rsidRDefault="00232DA1" w:rsidP="00232DA1">
      <w:pPr>
        <w:pStyle w:val="Heading3"/>
        <w:rPr>
          <w:rFonts w:eastAsia="Times New Roman"/>
          <w:sz w:val="28"/>
          <w:u w:val="single"/>
        </w:rPr>
      </w:pPr>
      <w:r w:rsidRPr="00232DA1">
        <w:rPr>
          <w:rFonts w:eastAsia="Times New Roman"/>
          <w:u w:val="single"/>
          <w:lang w:eastAsia="bg-BG"/>
        </w:rPr>
        <w:t>Дозировка</w:t>
      </w:r>
    </w:p>
    <w:p w14:paraId="4DF6E92B"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Препоръчителната доза на този лекарствен продукт е една таблетка на ден.</w:t>
      </w:r>
    </w:p>
    <w:p w14:paraId="1AEABB12" w14:textId="77777777" w:rsidR="00232DA1" w:rsidRPr="00232DA1" w:rsidRDefault="00232DA1" w:rsidP="00232DA1">
      <w:pPr>
        <w:spacing w:line="240" w:lineRule="auto"/>
        <w:rPr>
          <w:rFonts w:eastAsia="Times New Roman" w:cs="Arial"/>
          <w:color w:val="000000"/>
          <w:szCs w:val="20"/>
          <w:lang w:eastAsia="bg-BG"/>
        </w:rPr>
      </w:pPr>
    </w:p>
    <w:p w14:paraId="145BEF6A" w14:textId="60BBAD0D"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lastRenderedPageBreak/>
        <w:t xml:space="preserve">Максималната препоръчителна доза е една таблетка 80 </w:t>
      </w:r>
      <w:r w:rsidRPr="00232DA1">
        <w:rPr>
          <w:rFonts w:eastAsia="Times New Roman" w:cs="Arial"/>
          <w:color w:val="000000"/>
          <w:szCs w:val="20"/>
          <w:lang w:val="en-US"/>
        </w:rPr>
        <w:t>mg</w:t>
      </w:r>
      <w:r w:rsidRPr="00232DA1">
        <w:rPr>
          <w:rFonts w:eastAsia="Times New Roman" w:cs="Arial"/>
          <w:color w:val="000000"/>
          <w:szCs w:val="20"/>
          <w:lang w:val="ru-RU"/>
        </w:rPr>
        <w:t xml:space="preserve"> </w:t>
      </w:r>
      <w:r w:rsidRPr="00232DA1">
        <w:rPr>
          <w:rFonts w:eastAsia="Times New Roman" w:cs="Arial"/>
          <w:color w:val="000000"/>
          <w:szCs w:val="20"/>
          <w:lang w:eastAsia="bg-BG"/>
        </w:rPr>
        <w:t xml:space="preserve">телмисартан/10 </w:t>
      </w:r>
      <w:r w:rsidRPr="00232DA1">
        <w:rPr>
          <w:rFonts w:eastAsia="Times New Roman" w:cs="Arial"/>
          <w:color w:val="000000"/>
          <w:szCs w:val="20"/>
          <w:lang w:val="en-US"/>
        </w:rPr>
        <w:t>mg</w:t>
      </w:r>
      <w:r w:rsidRPr="00232DA1">
        <w:rPr>
          <w:rFonts w:eastAsia="Times New Roman" w:cs="Arial"/>
          <w:color w:val="000000"/>
          <w:szCs w:val="20"/>
          <w:lang w:val="ru-RU"/>
        </w:rPr>
        <w:t xml:space="preserve"> </w:t>
      </w:r>
      <w:r w:rsidRPr="00232DA1">
        <w:rPr>
          <w:rFonts w:eastAsia="Times New Roman" w:cs="Arial"/>
          <w:color w:val="000000"/>
          <w:szCs w:val="20"/>
          <w:lang w:eastAsia="bg-BG"/>
        </w:rPr>
        <w:t>амлодипин на ден. Този лекарствен продукт е показан за дългосрочно лечение.</w:t>
      </w:r>
    </w:p>
    <w:p w14:paraId="2BAC918F" w14:textId="77777777" w:rsidR="00232DA1" w:rsidRPr="00232DA1" w:rsidRDefault="00232DA1" w:rsidP="00232DA1">
      <w:pPr>
        <w:rPr>
          <w:rFonts w:eastAsia="Times New Roman" w:cs="Arial"/>
          <w:color w:val="000000"/>
          <w:szCs w:val="20"/>
          <w:lang w:eastAsia="bg-BG"/>
        </w:rPr>
      </w:pPr>
    </w:p>
    <w:p w14:paraId="2E678CF5" w14:textId="1658E19C" w:rsidR="00232DA1" w:rsidRPr="00232DA1" w:rsidRDefault="00232DA1" w:rsidP="00232DA1">
      <w:pPr>
        <w:rPr>
          <w:rFonts w:eastAsia="Times New Roman" w:cs="Arial"/>
          <w:color w:val="000000"/>
          <w:szCs w:val="20"/>
          <w:lang w:eastAsia="bg-BG"/>
        </w:rPr>
      </w:pPr>
      <w:r w:rsidRPr="00232DA1">
        <w:rPr>
          <w:rFonts w:eastAsia="Times New Roman" w:cs="Arial"/>
          <w:color w:val="000000"/>
          <w:szCs w:val="20"/>
          <w:lang w:eastAsia="bg-BG"/>
        </w:rPr>
        <w:t>Приемането на амлодипин заедно с грейпфрут или сок от грейпфрут не се препоръчва, тъй като при някои пациенти ефектът на понижаване на кръвното налягане може да се засили, в резултат на повишаване на бионаличността (вж. точка 4.5).</w:t>
      </w:r>
    </w:p>
    <w:p w14:paraId="6AD3DC29" w14:textId="5CB1FD77" w:rsidR="00232DA1" w:rsidRPr="00232DA1" w:rsidRDefault="00232DA1" w:rsidP="00232DA1">
      <w:pPr>
        <w:rPr>
          <w:rFonts w:eastAsia="Times New Roman" w:cs="Arial"/>
          <w:color w:val="000000"/>
          <w:szCs w:val="20"/>
          <w:lang w:eastAsia="bg-BG"/>
        </w:rPr>
      </w:pPr>
    </w:p>
    <w:p w14:paraId="635BA03A" w14:textId="77777777" w:rsidR="00232DA1" w:rsidRPr="00232DA1" w:rsidRDefault="00232DA1" w:rsidP="00232DA1">
      <w:pPr>
        <w:spacing w:line="240" w:lineRule="auto"/>
        <w:rPr>
          <w:rFonts w:eastAsia="Times New Roman" w:cs="Arial"/>
          <w:sz w:val="28"/>
          <w:szCs w:val="24"/>
        </w:rPr>
      </w:pPr>
      <w:r w:rsidRPr="00232DA1">
        <w:rPr>
          <w:rFonts w:eastAsia="Times New Roman" w:cs="Arial"/>
          <w:i/>
          <w:iCs/>
          <w:color w:val="000000"/>
          <w:szCs w:val="20"/>
          <w:u w:val="single"/>
          <w:lang w:eastAsia="bg-BG"/>
        </w:rPr>
        <w:t>Допълваща терапия</w:t>
      </w:r>
    </w:p>
    <w:p w14:paraId="4D1EB7F2" w14:textId="009F282D" w:rsidR="00232DA1" w:rsidRPr="001D1426" w:rsidRDefault="00232DA1" w:rsidP="00232DA1">
      <w:pPr>
        <w:spacing w:line="240" w:lineRule="auto"/>
        <w:rPr>
          <w:rFonts w:eastAsia="Times New Roman" w:cs="Arial"/>
          <w:sz w:val="28"/>
          <w:szCs w:val="24"/>
          <w:lang w:val="ru-RU"/>
        </w:rPr>
      </w:pPr>
      <w:r w:rsidRPr="00232DA1">
        <w:rPr>
          <w:rFonts w:eastAsia="Times New Roman" w:cs="Arial"/>
          <w:color w:val="000000"/>
          <w:szCs w:val="20"/>
          <w:lang w:eastAsia="bg-BG"/>
        </w:rPr>
        <w:t xml:space="preserve">Равентон 80 </w:t>
      </w:r>
      <w:r w:rsidRPr="00232DA1">
        <w:rPr>
          <w:rFonts w:eastAsia="Times New Roman" w:cs="Arial"/>
          <w:color w:val="000000"/>
          <w:szCs w:val="20"/>
          <w:lang w:val="en-US"/>
        </w:rPr>
        <w:t>mg</w:t>
      </w:r>
      <w:r w:rsidRPr="00232DA1">
        <w:rPr>
          <w:rFonts w:eastAsia="Times New Roman" w:cs="Arial"/>
          <w:color w:val="000000"/>
          <w:szCs w:val="20"/>
          <w:lang w:val="ru-RU"/>
        </w:rPr>
        <w:t>/</w:t>
      </w:r>
      <w:r w:rsidR="001D1426">
        <w:rPr>
          <w:rFonts w:eastAsia="Times New Roman" w:cs="Arial"/>
          <w:color w:val="000000"/>
          <w:szCs w:val="20"/>
          <w:lang w:eastAsia="bg-BG"/>
        </w:rPr>
        <w:t>5</w:t>
      </w:r>
      <w:r w:rsidRPr="00232DA1">
        <w:rPr>
          <w:rFonts w:eastAsia="Times New Roman" w:cs="Arial"/>
          <w:color w:val="000000"/>
          <w:szCs w:val="20"/>
          <w:lang w:eastAsia="bg-BG"/>
        </w:rPr>
        <w:t xml:space="preserve"> </w:t>
      </w:r>
      <w:r w:rsidRPr="00232DA1">
        <w:rPr>
          <w:rFonts w:eastAsia="Times New Roman" w:cs="Arial"/>
          <w:color w:val="000000"/>
          <w:szCs w:val="20"/>
          <w:lang w:val="en-US"/>
        </w:rPr>
        <w:t>mg</w:t>
      </w:r>
      <w:r w:rsidRPr="00232DA1">
        <w:rPr>
          <w:rFonts w:eastAsia="Times New Roman" w:cs="Arial"/>
          <w:color w:val="000000"/>
          <w:szCs w:val="20"/>
          <w:lang w:val="ru-RU"/>
        </w:rPr>
        <w:t xml:space="preserve"> </w:t>
      </w:r>
      <w:r w:rsidRPr="00232DA1">
        <w:rPr>
          <w:rFonts w:eastAsia="Times New Roman" w:cs="Arial"/>
          <w:color w:val="000000"/>
          <w:szCs w:val="20"/>
          <w:lang w:eastAsia="bg-BG"/>
        </w:rPr>
        <w:t>таблетки могат да се прилагат при пациенти, при които кръвното налягане не може да се контр</w:t>
      </w:r>
      <w:r w:rsidR="001D1426">
        <w:rPr>
          <w:rFonts w:eastAsia="Times New Roman" w:cs="Arial"/>
          <w:color w:val="000000"/>
          <w:szCs w:val="20"/>
          <w:lang w:eastAsia="bg-BG"/>
        </w:rPr>
        <w:t xml:space="preserve">олира адекватно само с амлодипин </w:t>
      </w:r>
      <w:r w:rsidR="001D1426" w:rsidRPr="001D1426">
        <w:rPr>
          <w:rFonts w:eastAsia="Times New Roman" w:cs="Arial"/>
          <w:color w:val="000000"/>
          <w:szCs w:val="20"/>
          <w:lang w:val="ru-RU" w:eastAsia="bg-BG"/>
        </w:rPr>
        <w:t xml:space="preserve">40 </w:t>
      </w:r>
      <w:r w:rsidR="001D1426">
        <w:rPr>
          <w:rFonts w:eastAsia="Times New Roman" w:cs="Arial"/>
          <w:color w:val="000000"/>
          <w:szCs w:val="20"/>
          <w:lang w:val="en-US" w:eastAsia="bg-BG"/>
        </w:rPr>
        <w:t>mg</w:t>
      </w:r>
      <w:r w:rsidR="001D1426" w:rsidRPr="001D1426">
        <w:rPr>
          <w:rFonts w:eastAsia="Times New Roman" w:cs="Arial"/>
          <w:color w:val="000000"/>
          <w:szCs w:val="20"/>
          <w:lang w:val="ru-RU" w:eastAsia="bg-BG"/>
        </w:rPr>
        <w:t xml:space="preserve">/5 </w:t>
      </w:r>
      <w:r w:rsidR="001D1426">
        <w:rPr>
          <w:rFonts w:eastAsia="Times New Roman" w:cs="Arial"/>
          <w:color w:val="000000"/>
          <w:szCs w:val="20"/>
          <w:lang w:val="en-US" w:eastAsia="bg-BG"/>
        </w:rPr>
        <w:t>mg</w:t>
      </w:r>
      <w:r w:rsidR="001D1426" w:rsidRPr="001D1426">
        <w:rPr>
          <w:rFonts w:eastAsia="Times New Roman" w:cs="Arial"/>
          <w:color w:val="000000"/>
          <w:szCs w:val="20"/>
          <w:lang w:val="ru-RU" w:eastAsia="bg-BG"/>
        </w:rPr>
        <w:t>.</w:t>
      </w:r>
    </w:p>
    <w:p w14:paraId="017CD149" w14:textId="77777777" w:rsidR="00232DA1" w:rsidRPr="00232DA1" w:rsidRDefault="00232DA1" w:rsidP="00232DA1">
      <w:pPr>
        <w:spacing w:line="240" w:lineRule="auto"/>
        <w:rPr>
          <w:rFonts w:eastAsia="Times New Roman" w:cs="Arial"/>
          <w:color w:val="000000"/>
          <w:szCs w:val="20"/>
          <w:lang w:eastAsia="bg-BG"/>
        </w:rPr>
      </w:pPr>
    </w:p>
    <w:p w14:paraId="2E83A7D1" w14:textId="0481C55A"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Препоръчва се отделно титриране на дозите на двата компонента (т.е. амлодипин и телмисартан) преди преминаване към фиксираната лекарствена комбинация. Когато е уместно от клинична гледна точка, може да се обмисли директно преминаване от монотерапия към фиксираната лекарствена комбинация.</w:t>
      </w:r>
    </w:p>
    <w:p w14:paraId="3615B112" w14:textId="77777777" w:rsidR="00232DA1" w:rsidRPr="00232DA1" w:rsidRDefault="00232DA1" w:rsidP="00232DA1">
      <w:pPr>
        <w:spacing w:line="240" w:lineRule="auto"/>
        <w:rPr>
          <w:rFonts w:eastAsia="Times New Roman" w:cs="Arial"/>
          <w:color w:val="000000"/>
          <w:szCs w:val="20"/>
          <w:lang w:eastAsia="bg-BG"/>
        </w:rPr>
      </w:pPr>
    </w:p>
    <w:p w14:paraId="0BC9BBCB" w14:textId="2C759659"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 xml:space="preserve">Пациентите, приемащи 10 </w:t>
      </w:r>
      <w:r w:rsidRPr="00232DA1">
        <w:rPr>
          <w:rFonts w:eastAsia="Times New Roman" w:cs="Arial"/>
          <w:color w:val="000000"/>
          <w:szCs w:val="20"/>
          <w:lang w:val="en-US"/>
        </w:rPr>
        <w:t>mg</w:t>
      </w:r>
      <w:r w:rsidRPr="00232DA1">
        <w:rPr>
          <w:rFonts w:eastAsia="Times New Roman" w:cs="Arial"/>
          <w:color w:val="000000"/>
          <w:szCs w:val="20"/>
          <w:lang w:val="ru-RU"/>
        </w:rPr>
        <w:t xml:space="preserve"> </w:t>
      </w:r>
      <w:r w:rsidRPr="00232DA1">
        <w:rPr>
          <w:rFonts w:eastAsia="Times New Roman" w:cs="Arial"/>
          <w:color w:val="000000"/>
          <w:szCs w:val="20"/>
          <w:lang w:eastAsia="bg-BG"/>
        </w:rPr>
        <w:t xml:space="preserve">амлодипин, при които възникват доза-зависими нежелани реакции, като едем, могат да преминат на терапия с Равентон 40 </w:t>
      </w:r>
      <w:r w:rsidRPr="00232DA1">
        <w:rPr>
          <w:rFonts w:eastAsia="Times New Roman" w:cs="Arial"/>
          <w:color w:val="000000"/>
          <w:szCs w:val="20"/>
          <w:lang w:val="en-US"/>
        </w:rPr>
        <w:t>mg</w:t>
      </w:r>
      <w:r w:rsidRPr="00232DA1">
        <w:rPr>
          <w:rFonts w:eastAsia="Times New Roman" w:cs="Arial"/>
          <w:color w:val="000000"/>
          <w:szCs w:val="20"/>
          <w:lang w:val="ru-RU"/>
        </w:rPr>
        <w:t xml:space="preserve">/5 </w:t>
      </w:r>
      <w:r w:rsidRPr="00232DA1">
        <w:rPr>
          <w:rFonts w:eastAsia="Times New Roman" w:cs="Arial"/>
          <w:color w:val="000000"/>
          <w:szCs w:val="20"/>
          <w:lang w:val="en-US"/>
        </w:rPr>
        <w:t>mg</w:t>
      </w:r>
      <w:r w:rsidRPr="00232DA1">
        <w:rPr>
          <w:rFonts w:eastAsia="Times New Roman" w:cs="Arial"/>
          <w:color w:val="000000"/>
          <w:szCs w:val="20"/>
          <w:lang w:val="ru-RU"/>
        </w:rPr>
        <w:t xml:space="preserve"> </w:t>
      </w:r>
      <w:r w:rsidRPr="00232DA1">
        <w:rPr>
          <w:rFonts w:eastAsia="Times New Roman" w:cs="Arial"/>
          <w:color w:val="000000"/>
          <w:szCs w:val="20"/>
          <w:lang w:eastAsia="bg-BG"/>
        </w:rPr>
        <w:t>веднъж дневно, намалявайки дозата амлодипин, без така да се намалява очакваният антихипертензивен отговор.</w:t>
      </w:r>
    </w:p>
    <w:p w14:paraId="4942542B" w14:textId="77777777" w:rsidR="00232DA1" w:rsidRPr="00232DA1" w:rsidRDefault="00232DA1" w:rsidP="00232DA1">
      <w:pPr>
        <w:spacing w:line="240" w:lineRule="auto"/>
        <w:rPr>
          <w:rFonts w:eastAsia="Times New Roman" w:cs="Arial"/>
          <w:i/>
          <w:iCs/>
          <w:color w:val="000000"/>
          <w:szCs w:val="20"/>
          <w:u w:val="single"/>
          <w:lang w:eastAsia="bg-BG"/>
        </w:rPr>
      </w:pPr>
    </w:p>
    <w:p w14:paraId="55361D6E" w14:textId="7936E028" w:rsidR="00232DA1" w:rsidRPr="00232DA1" w:rsidRDefault="00232DA1" w:rsidP="00232DA1">
      <w:pPr>
        <w:spacing w:line="240" w:lineRule="auto"/>
        <w:rPr>
          <w:rFonts w:eastAsia="Times New Roman" w:cs="Arial"/>
          <w:sz w:val="28"/>
          <w:szCs w:val="24"/>
        </w:rPr>
      </w:pPr>
      <w:r w:rsidRPr="00232DA1">
        <w:rPr>
          <w:rFonts w:eastAsia="Times New Roman" w:cs="Arial"/>
          <w:i/>
          <w:iCs/>
          <w:color w:val="000000"/>
          <w:szCs w:val="20"/>
          <w:u w:val="single"/>
          <w:lang w:eastAsia="bg-BG"/>
        </w:rPr>
        <w:t>Заместителна терапия</w:t>
      </w:r>
    </w:p>
    <w:p w14:paraId="1813F821"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Пациентите, които приемат телмисартан и амлодипин под формата на отделни таблетки, могат вместо това веднъж дневно да приемат таблетки Равентон, съдържащи същите компоненти, със същите дози в една таблетка.</w:t>
      </w:r>
    </w:p>
    <w:p w14:paraId="786327A3" w14:textId="77777777" w:rsidR="00232DA1" w:rsidRPr="00232DA1" w:rsidRDefault="00232DA1" w:rsidP="00232DA1">
      <w:pPr>
        <w:spacing w:line="240" w:lineRule="auto"/>
        <w:rPr>
          <w:rFonts w:eastAsia="Times New Roman" w:cs="Arial"/>
          <w:i/>
          <w:iCs/>
          <w:color w:val="000000"/>
          <w:szCs w:val="20"/>
          <w:u w:val="single"/>
          <w:lang w:eastAsia="bg-BG"/>
        </w:rPr>
      </w:pPr>
    </w:p>
    <w:p w14:paraId="5122C46E" w14:textId="10A3D65B" w:rsidR="00232DA1" w:rsidRPr="00232DA1" w:rsidRDefault="00232DA1" w:rsidP="00232DA1">
      <w:pPr>
        <w:spacing w:line="240" w:lineRule="auto"/>
        <w:rPr>
          <w:rFonts w:eastAsia="Times New Roman" w:cs="Arial"/>
          <w:sz w:val="28"/>
          <w:szCs w:val="24"/>
        </w:rPr>
      </w:pPr>
      <w:r w:rsidRPr="00232DA1">
        <w:rPr>
          <w:rFonts w:eastAsia="Times New Roman" w:cs="Arial"/>
          <w:i/>
          <w:iCs/>
          <w:color w:val="000000"/>
          <w:szCs w:val="20"/>
          <w:u w:val="single"/>
          <w:lang w:eastAsia="bg-BG"/>
        </w:rPr>
        <w:t>Специални популации</w:t>
      </w:r>
    </w:p>
    <w:p w14:paraId="59234BA2" w14:textId="77777777" w:rsidR="00232DA1" w:rsidRPr="00232DA1" w:rsidRDefault="00232DA1" w:rsidP="00232DA1">
      <w:pPr>
        <w:spacing w:line="240" w:lineRule="auto"/>
        <w:rPr>
          <w:rFonts w:eastAsia="Times New Roman" w:cs="Arial"/>
          <w:i/>
          <w:iCs/>
          <w:color w:val="000000"/>
          <w:szCs w:val="20"/>
          <w:lang w:eastAsia="bg-BG"/>
        </w:rPr>
      </w:pPr>
    </w:p>
    <w:p w14:paraId="3DD6A3E0" w14:textId="0EF49C77" w:rsidR="00232DA1" w:rsidRPr="00232DA1" w:rsidRDefault="00232DA1" w:rsidP="00232DA1">
      <w:pPr>
        <w:spacing w:line="240" w:lineRule="auto"/>
        <w:rPr>
          <w:rFonts w:eastAsia="Times New Roman" w:cs="Arial"/>
          <w:sz w:val="28"/>
          <w:szCs w:val="24"/>
        </w:rPr>
      </w:pPr>
      <w:r w:rsidRPr="00232DA1">
        <w:rPr>
          <w:rFonts w:eastAsia="Times New Roman" w:cs="Arial"/>
          <w:i/>
          <w:iCs/>
          <w:color w:val="000000"/>
          <w:szCs w:val="20"/>
          <w:lang w:eastAsia="bg-BG"/>
        </w:rPr>
        <w:t xml:space="preserve">Старческа възраст (&gt; 65 </w:t>
      </w:r>
      <w:r w:rsidRPr="00232DA1">
        <w:rPr>
          <w:rFonts w:eastAsia="Times New Roman" w:cs="Arial"/>
          <w:i/>
          <w:iCs/>
          <w:color w:val="000000"/>
          <w:szCs w:val="20"/>
          <w:lang w:val="en-US"/>
        </w:rPr>
        <w:t>years</w:t>
      </w:r>
      <w:r w:rsidRPr="00232DA1">
        <w:rPr>
          <w:rFonts w:eastAsia="Times New Roman" w:cs="Arial"/>
          <w:i/>
          <w:iCs/>
          <w:color w:val="000000"/>
          <w:szCs w:val="20"/>
          <w:lang w:val="ru-RU"/>
        </w:rPr>
        <w:t>)</w:t>
      </w:r>
    </w:p>
    <w:p w14:paraId="6E59A223"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При пациенти в старческа възраст не е необходимо коригиране на дозата. Има малко информация за прилагането при много възрастни пациенти.</w:t>
      </w:r>
    </w:p>
    <w:p w14:paraId="7C982287" w14:textId="77777777" w:rsidR="00232DA1" w:rsidRPr="00232DA1" w:rsidRDefault="00232DA1" w:rsidP="00232DA1">
      <w:pPr>
        <w:spacing w:line="240" w:lineRule="auto"/>
        <w:rPr>
          <w:rFonts w:eastAsia="Times New Roman" w:cs="Arial"/>
          <w:i/>
          <w:iCs/>
          <w:color w:val="000000"/>
          <w:szCs w:val="20"/>
          <w:lang w:eastAsia="bg-BG"/>
        </w:rPr>
      </w:pPr>
    </w:p>
    <w:p w14:paraId="7FAE09C7" w14:textId="3A196DDA" w:rsidR="00232DA1" w:rsidRPr="00232DA1" w:rsidRDefault="00232DA1" w:rsidP="00232DA1">
      <w:pPr>
        <w:spacing w:line="240" w:lineRule="auto"/>
        <w:rPr>
          <w:rFonts w:eastAsia="Times New Roman" w:cs="Arial"/>
          <w:sz w:val="28"/>
          <w:szCs w:val="24"/>
        </w:rPr>
      </w:pPr>
      <w:r w:rsidRPr="00232DA1">
        <w:rPr>
          <w:rFonts w:eastAsia="Times New Roman" w:cs="Arial"/>
          <w:i/>
          <w:iCs/>
          <w:color w:val="000000"/>
          <w:szCs w:val="20"/>
          <w:lang w:eastAsia="bg-BG"/>
        </w:rPr>
        <w:t>Бъбречно увреждане</w:t>
      </w:r>
    </w:p>
    <w:p w14:paraId="52BA1B3E"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 xml:space="preserve">Опитът при пациенти с тежко бъбречно увреждане или при тези на хемодиализа е ограничен. При тази група пациенти се препоръчва приемането на телмисартан/амлодипин да става с повишено внимание, тъй като амлодипин и телмисартан не се диализират (вж. също точка </w:t>
      </w:r>
      <w:r w:rsidRPr="00232DA1">
        <w:rPr>
          <w:rFonts w:eastAsia="Times New Roman" w:cs="Arial"/>
          <w:i/>
          <w:iCs/>
          <w:color w:val="000000"/>
          <w:szCs w:val="20"/>
          <w:lang w:eastAsia="bg-BG"/>
        </w:rPr>
        <w:t>4.4).</w:t>
      </w:r>
      <w:r w:rsidRPr="00232DA1">
        <w:rPr>
          <w:rFonts w:eastAsia="Times New Roman" w:cs="Arial"/>
          <w:color w:val="000000"/>
          <w:szCs w:val="20"/>
          <w:lang w:eastAsia="bg-BG"/>
        </w:rPr>
        <w:t xml:space="preserve"> Не се изисква коригиране на дозировката при пациенти с лека до умерена степен на бъбречно увреждане.</w:t>
      </w:r>
    </w:p>
    <w:p w14:paraId="65A89887" w14:textId="77777777" w:rsidR="00232DA1" w:rsidRPr="00232DA1" w:rsidRDefault="00232DA1" w:rsidP="00232DA1">
      <w:pPr>
        <w:spacing w:line="240" w:lineRule="auto"/>
        <w:rPr>
          <w:rFonts w:eastAsia="Times New Roman" w:cs="Arial"/>
          <w:i/>
          <w:iCs/>
          <w:color w:val="000000"/>
          <w:szCs w:val="20"/>
          <w:lang w:eastAsia="bg-BG"/>
        </w:rPr>
      </w:pPr>
    </w:p>
    <w:p w14:paraId="48B3EE6B" w14:textId="7371892E" w:rsidR="00232DA1" w:rsidRPr="00232DA1" w:rsidRDefault="00232DA1" w:rsidP="00232DA1">
      <w:pPr>
        <w:spacing w:line="240" w:lineRule="auto"/>
        <w:rPr>
          <w:rFonts w:eastAsia="Times New Roman" w:cs="Arial"/>
          <w:sz w:val="28"/>
          <w:szCs w:val="24"/>
        </w:rPr>
      </w:pPr>
      <w:r w:rsidRPr="00232DA1">
        <w:rPr>
          <w:rFonts w:eastAsia="Times New Roman" w:cs="Arial"/>
          <w:i/>
          <w:iCs/>
          <w:color w:val="000000"/>
          <w:szCs w:val="20"/>
          <w:lang w:eastAsia="bg-BG"/>
        </w:rPr>
        <w:t>Чернодробно увреждане</w:t>
      </w:r>
    </w:p>
    <w:p w14:paraId="39CE50FE"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Равентон е противопоказан при пациенти с тежко чернодробно увреждане (вж. точка 4.3).</w:t>
      </w:r>
    </w:p>
    <w:p w14:paraId="3B05FD1C"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 xml:space="preserve">При пациенти с лека до умерена чернодробно увреждане, телмисартан/амлодипин трябва да се прилага с внимание. За телмисартан, дозировката не трябва да надвишава 40 </w:t>
      </w:r>
      <w:r w:rsidRPr="00232DA1">
        <w:rPr>
          <w:rFonts w:eastAsia="Times New Roman" w:cs="Arial"/>
          <w:color w:val="000000"/>
          <w:szCs w:val="20"/>
          <w:lang w:val="en-US"/>
        </w:rPr>
        <w:t>mg</w:t>
      </w:r>
      <w:r w:rsidRPr="00232DA1">
        <w:rPr>
          <w:rFonts w:eastAsia="Times New Roman" w:cs="Arial"/>
          <w:color w:val="000000"/>
          <w:szCs w:val="20"/>
          <w:lang w:val="ru-RU"/>
        </w:rPr>
        <w:t xml:space="preserve"> </w:t>
      </w:r>
      <w:r w:rsidRPr="00232DA1">
        <w:rPr>
          <w:rFonts w:eastAsia="Times New Roman" w:cs="Arial"/>
          <w:color w:val="000000"/>
          <w:szCs w:val="20"/>
          <w:lang w:eastAsia="bg-BG"/>
        </w:rPr>
        <w:t>веднъж дневно (вж. точка 4.4).</w:t>
      </w:r>
    </w:p>
    <w:p w14:paraId="147CA0D7" w14:textId="77777777" w:rsidR="00232DA1" w:rsidRPr="00232DA1" w:rsidRDefault="00232DA1" w:rsidP="00232DA1">
      <w:pPr>
        <w:spacing w:line="240" w:lineRule="auto"/>
        <w:rPr>
          <w:rFonts w:eastAsia="Times New Roman" w:cs="Arial"/>
          <w:i/>
          <w:iCs/>
          <w:color w:val="000000"/>
          <w:szCs w:val="20"/>
          <w:lang w:eastAsia="bg-BG"/>
        </w:rPr>
      </w:pPr>
    </w:p>
    <w:p w14:paraId="6FCBF708" w14:textId="0FF065C3" w:rsidR="00232DA1" w:rsidRPr="00232DA1" w:rsidRDefault="00232DA1" w:rsidP="00232DA1">
      <w:pPr>
        <w:spacing w:line="240" w:lineRule="auto"/>
        <w:rPr>
          <w:rFonts w:eastAsia="Times New Roman" w:cs="Arial"/>
          <w:sz w:val="28"/>
          <w:szCs w:val="24"/>
        </w:rPr>
      </w:pPr>
      <w:r w:rsidRPr="00232DA1">
        <w:rPr>
          <w:rFonts w:eastAsia="Times New Roman" w:cs="Arial"/>
          <w:i/>
          <w:iCs/>
          <w:color w:val="000000"/>
          <w:szCs w:val="20"/>
          <w:lang w:eastAsia="bg-BG"/>
        </w:rPr>
        <w:t>Педиатрична популация</w:t>
      </w:r>
    </w:p>
    <w:p w14:paraId="7ED0E244"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Безопасността и ефикасността на телмисартан/амлодипин при деца под 18-годишна възраст не са установени. Няма налични данни.</w:t>
      </w:r>
    </w:p>
    <w:p w14:paraId="1F2D4F56" w14:textId="77777777" w:rsidR="00232DA1" w:rsidRPr="00232DA1" w:rsidRDefault="00232DA1" w:rsidP="00232DA1">
      <w:pPr>
        <w:spacing w:line="240" w:lineRule="auto"/>
        <w:rPr>
          <w:rFonts w:eastAsia="Times New Roman" w:cs="Arial"/>
          <w:color w:val="000000"/>
          <w:szCs w:val="20"/>
          <w:u w:val="single"/>
          <w:lang w:eastAsia="bg-BG"/>
        </w:rPr>
      </w:pPr>
    </w:p>
    <w:p w14:paraId="2E854E5B" w14:textId="0C331806" w:rsidR="00232DA1" w:rsidRPr="00232DA1" w:rsidRDefault="00232DA1" w:rsidP="00232DA1">
      <w:pPr>
        <w:pStyle w:val="Heading3"/>
        <w:rPr>
          <w:rFonts w:eastAsia="Times New Roman"/>
          <w:sz w:val="28"/>
          <w:u w:val="single"/>
        </w:rPr>
      </w:pPr>
      <w:r w:rsidRPr="00232DA1">
        <w:rPr>
          <w:rFonts w:eastAsia="Times New Roman"/>
          <w:u w:val="single"/>
          <w:lang w:eastAsia="bg-BG"/>
        </w:rPr>
        <w:lastRenderedPageBreak/>
        <w:t>Начин на приложение</w:t>
      </w:r>
    </w:p>
    <w:p w14:paraId="4B1BB214"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Перорално приложение</w:t>
      </w:r>
    </w:p>
    <w:p w14:paraId="008B8BE0"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Равентон може да се приема със или без храна. Препоръчва се приемането на Равентон с малко количество течност.</w:t>
      </w:r>
    </w:p>
    <w:p w14:paraId="33559FB7" w14:textId="77777777" w:rsidR="00232DA1" w:rsidRPr="00232DA1" w:rsidRDefault="00232DA1" w:rsidP="00232DA1"/>
    <w:p w14:paraId="74903285" w14:textId="6615D36F" w:rsidR="00DB32D3" w:rsidRDefault="002C50EE" w:rsidP="005726E3">
      <w:pPr>
        <w:pStyle w:val="Heading2"/>
      </w:pPr>
      <w:r>
        <w:t>4.3. Противопоказания</w:t>
      </w:r>
    </w:p>
    <w:p w14:paraId="6E5D3CDC" w14:textId="09F4C793" w:rsidR="00232DA1" w:rsidRDefault="00232DA1" w:rsidP="00232DA1"/>
    <w:p w14:paraId="76C148B5" w14:textId="77777777" w:rsidR="00232DA1" w:rsidRPr="00232DA1" w:rsidRDefault="00232DA1" w:rsidP="00232DA1">
      <w:pPr>
        <w:pStyle w:val="ListParagraph"/>
        <w:numPr>
          <w:ilvl w:val="0"/>
          <w:numId w:val="37"/>
        </w:numPr>
        <w:spacing w:line="240" w:lineRule="auto"/>
        <w:rPr>
          <w:rFonts w:eastAsia="Times New Roman" w:cs="Arial"/>
          <w:sz w:val="28"/>
          <w:szCs w:val="24"/>
        </w:rPr>
      </w:pPr>
      <w:r w:rsidRPr="00232DA1">
        <w:rPr>
          <w:rFonts w:eastAsia="Times New Roman" w:cs="Arial"/>
          <w:color w:val="000000"/>
          <w:szCs w:val="20"/>
          <w:lang w:eastAsia="bg-BG"/>
        </w:rPr>
        <w:t>Свръхчувствителност към активните вещества, към дихидропиридинови производни или към някое от помощните вещества, изброени в точка 6.1</w:t>
      </w:r>
    </w:p>
    <w:p w14:paraId="7268F62D" w14:textId="77777777" w:rsidR="00232DA1" w:rsidRPr="00232DA1" w:rsidRDefault="00232DA1" w:rsidP="00232DA1">
      <w:pPr>
        <w:pStyle w:val="ListParagraph"/>
        <w:numPr>
          <w:ilvl w:val="0"/>
          <w:numId w:val="37"/>
        </w:numPr>
        <w:spacing w:line="240" w:lineRule="auto"/>
        <w:rPr>
          <w:rFonts w:eastAsia="Times New Roman" w:cs="Arial"/>
          <w:sz w:val="28"/>
          <w:szCs w:val="24"/>
        </w:rPr>
      </w:pPr>
      <w:r w:rsidRPr="00232DA1">
        <w:rPr>
          <w:rFonts w:eastAsia="Times New Roman" w:cs="Arial"/>
          <w:color w:val="000000"/>
          <w:szCs w:val="20"/>
          <w:lang w:eastAsia="bg-BG"/>
        </w:rPr>
        <w:t>Втори и трети триместър от бременността (вж. точки 4.4 и 4.6)</w:t>
      </w:r>
    </w:p>
    <w:p w14:paraId="48123144" w14:textId="77777777" w:rsidR="00232DA1" w:rsidRPr="00232DA1" w:rsidRDefault="00232DA1" w:rsidP="00232DA1">
      <w:pPr>
        <w:pStyle w:val="ListParagraph"/>
        <w:numPr>
          <w:ilvl w:val="0"/>
          <w:numId w:val="37"/>
        </w:numPr>
        <w:spacing w:line="240" w:lineRule="auto"/>
        <w:rPr>
          <w:rFonts w:eastAsia="Times New Roman" w:cs="Arial"/>
          <w:sz w:val="28"/>
          <w:szCs w:val="24"/>
        </w:rPr>
      </w:pPr>
      <w:r w:rsidRPr="00232DA1">
        <w:rPr>
          <w:rFonts w:eastAsia="Times New Roman" w:cs="Arial"/>
          <w:color w:val="000000"/>
          <w:szCs w:val="20"/>
          <w:lang w:eastAsia="bg-BG"/>
        </w:rPr>
        <w:t>Жлъчни обструкгивни нарушения и тежко чернодробно увреждане</w:t>
      </w:r>
    </w:p>
    <w:p w14:paraId="13BAF4F9" w14:textId="77777777" w:rsidR="00232DA1" w:rsidRPr="00232DA1" w:rsidRDefault="00232DA1" w:rsidP="00232DA1">
      <w:pPr>
        <w:pStyle w:val="ListParagraph"/>
        <w:numPr>
          <w:ilvl w:val="0"/>
          <w:numId w:val="37"/>
        </w:numPr>
        <w:spacing w:line="240" w:lineRule="auto"/>
        <w:rPr>
          <w:rFonts w:eastAsia="Times New Roman" w:cs="Arial"/>
          <w:sz w:val="28"/>
          <w:szCs w:val="24"/>
        </w:rPr>
      </w:pPr>
      <w:r w:rsidRPr="00232DA1">
        <w:rPr>
          <w:rFonts w:eastAsia="Times New Roman" w:cs="Arial"/>
          <w:color w:val="000000"/>
          <w:szCs w:val="20"/>
          <w:lang w:eastAsia="bg-BG"/>
        </w:rPr>
        <w:t>Шок (включително кардиогенен шок)</w:t>
      </w:r>
    </w:p>
    <w:p w14:paraId="0BABD27E" w14:textId="77777777" w:rsidR="00232DA1" w:rsidRPr="00232DA1" w:rsidRDefault="00232DA1" w:rsidP="00232DA1">
      <w:pPr>
        <w:pStyle w:val="ListParagraph"/>
        <w:numPr>
          <w:ilvl w:val="0"/>
          <w:numId w:val="37"/>
        </w:numPr>
        <w:spacing w:line="240" w:lineRule="auto"/>
        <w:rPr>
          <w:rFonts w:eastAsia="Times New Roman" w:cs="Arial"/>
          <w:sz w:val="28"/>
          <w:szCs w:val="24"/>
        </w:rPr>
      </w:pPr>
      <w:r w:rsidRPr="00232DA1">
        <w:rPr>
          <w:rFonts w:eastAsia="Times New Roman" w:cs="Arial"/>
          <w:color w:val="000000"/>
          <w:szCs w:val="20"/>
          <w:lang w:eastAsia="bg-BG"/>
        </w:rPr>
        <w:t>Обструкция на изходящия тракт на лявата камера (напр. високостепенна аортна сеноза)</w:t>
      </w:r>
    </w:p>
    <w:p w14:paraId="650E6A5C" w14:textId="5D9DD972" w:rsidR="00232DA1" w:rsidRPr="00232DA1" w:rsidRDefault="00232DA1" w:rsidP="00232DA1">
      <w:pPr>
        <w:pStyle w:val="ListParagraph"/>
        <w:numPr>
          <w:ilvl w:val="0"/>
          <w:numId w:val="37"/>
        </w:numPr>
        <w:spacing w:line="240" w:lineRule="auto"/>
        <w:rPr>
          <w:rFonts w:eastAsia="Times New Roman" w:cs="Arial"/>
          <w:sz w:val="28"/>
          <w:szCs w:val="24"/>
        </w:rPr>
      </w:pPr>
      <w:r w:rsidRPr="00232DA1">
        <w:rPr>
          <w:rFonts w:eastAsia="Times New Roman" w:cs="Arial"/>
          <w:color w:val="000000"/>
          <w:szCs w:val="20"/>
          <w:lang w:eastAsia="bg-BG"/>
        </w:rPr>
        <w:t>Хемодинамично нестабилна сърдечна недостатъчност след остър инфаркт на миокарда</w:t>
      </w:r>
    </w:p>
    <w:p w14:paraId="59573822" w14:textId="77777777" w:rsidR="00232DA1" w:rsidRPr="00232DA1" w:rsidRDefault="00232DA1" w:rsidP="00232DA1">
      <w:pPr>
        <w:spacing w:line="240" w:lineRule="auto"/>
        <w:rPr>
          <w:rFonts w:eastAsia="Times New Roman" w:cs="Arial"/>
          <w:color w:val="000000"/>
          <w:szCs w:val="20"/>
          <w:lang w:eastAsia="bg-BG"/>
        </w:rPr>
      </w:pPr>
    </w:p>
    <w:p w14:paraId="75134122" w14:textId="3A73DADD"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Съпътстващата употреба на телмисартан/амлодипин с алискирен-съдържащи продукти</w:t>
      </w:r>
      <w:r w:rsidRPr="00232DA1">
        <w:rPr>
          <w:rFonts w:eastAsia="Times New Roman" w:cs="Arial"/>
          <w:color w:val="000000"/>
          <w:szCs w:val="20"/>
          <w:lang w:val="ru-RU" w:eastAsia="bg-BG"/>
        </w:rPr>
        <w:t xml:space="preserve"> </w:t>
      </w:r>
      <w:r w:rsidRPr="00232DA1">
        <w:rPr>
          <w:rFonts w:eastAsia="Times New Roman" w:cs="Arial"/>
          <w:color w:val="000000"/>
          <w:szCs w:val="20"/>
          <w:lang w:val="en-US" w:eastAsia="bg-BG"/>
        </w:rPr>
        <w:t>E</w:t>
      </w:r>
      <w:r w:rsidRPr="00232DA1">
        <w:rPr>
          <w:rFonts w:eastAsia="Times New Roman" w:cs="Arial"/>
          <w:color w:val="000000"/>
          <w:szCs w:val="20"/>
          <w:lang w:eastAsia="bg-BG"/>
        </w:rPr>
        <w:t xml:space="preserve"> противопоказана при пациенти с диабет или бъбречно увреждане </w:t>
      </w:r>
      <w:r w:rsidRPr="00232DA1">
        <w:rPr>
          <w:rFonts w:eastAsia="Times New Roman" w:cs="Arial"/>
          <w:color w:val="000000"/>
          <w:szCs w:val="20"/>
          <w:lang w:val="ru-RU"/>
        </w:rPr>
        <w:t>(</w:t>
      </w:r>
      <w:r w:rsidRPr="00232DA1">
        <w:rPr>
          <w:rFonts w:eastAsia="Times New Roman" w:cs="Arial"/>
          <w:color w:val="000000"/>
          <w:szCs w:val="20"/>
          <w:lang w:val="en-US"/>
        </w:rPr>
        <w:t>GFR</w:t>
      </w:r>
      <w:r w:rsidRPr="00232DA1">
        <w:rPr>
          <w:rFonts w:eastAsia="Times New Roman" w:cs="Arial"/>
          <w:color w:val="000000"/>
          <w:szCs w:val="20"/>
          <w:lang w:val="ru-RU"/>
        </w:rPr>
        <w:t xml:space="preserve"> </w:t>
      </w:r>
      <w:r w:rsidRPr="00232DA1">
        <w:rPr>
          <w:rFonts w:eastAsia="Times New Roman" w:cs="Arial"/>
          <w:color w:val="000000"/>
          <w:szCs w:val="20"/>
          <w:lang w:eastAsia="bg-BG"/>
        </w:rPr>
        <w:t xml:space="preserve">&lt; 60 </w:t>
      </w:r>
      <w:r w:rsidRPr="00232DA1">
        <w:rPr>
          <w:rFonts w:eastAsia="Times New Roman" w:cs="Arial"/>
          <w:color w:val="000000"/>
          <w:szCs w:val="20"/>
          <w:lang w:val="en-US"/>
        </w:rPr>
        <w:t>ml</w:t>
      </w:r>
      <w:r w:rsidRPr="00232DA1">
        <w:rPr>
          <w:rFonts w:eastAsia="Times New Roman" w:cs="Arial"/>
          <w:color w:val="000000"/>
          <w:szCs w:val="20"/>
          <w:lang w:val="ru-RU"/>
        </w:rPr>
        <w:t>/</w:t>
      </w:r>
      <w:r w:rsidRPr="00232DA1">
        <w:rPr>
          <w:rFonts w:eastAsia="Times New Roman" w:cs="Arial"/>
          <w:color w:val="000000"/>
          <w:szCs w:val="20"/>
          <w:lang w:val="en-US"/>
        </w:rPr>
        <w:t>min</w:t>
      </w:r>
      <w:r w:rsidRPr="00232DA1">
        <w:rPr>
          <w:rFonts w:eastAsia="Times New Roman" w:cs="Arial"/>
          <w:color w:val="000000"/>
          <w:szCs w:val="20"/>
          <w:lang w:val="ru-RU"/>
        </w:rPr>
        <w:t xml:space="preserve">/1,73 </w:t>
      </w:r>
      <w:r w:rsidRPr="00232DA1">
        <w:rPr>
          <w:rFonts w:eastAsia="Times New Roman" w:cs="Arial"/>
          <w:color w:val="000000"/>
          <w:szCs w:val="20"/>
          <w:lang w:val="en-US"/>
        </w:rPr>
        <w:t>m</w:t>
      </w:r>
      <w:r w:rsidRPr="00232DA1">
        <w:rPr>
          <w:rFonts w:eastAsia="Times New Roman" w:cs="Arial"/>
          <w:color w:val="000000"/>
          <w:szCs w:val="20"/>
          <w:vertAlign w:val="superscript"/>
          <w:lang w:val="ru-RU"/>
        </w:rPr>
        <w:t>2</w:t>
      </w:r>
      <w:r w:rsidRPr="00232DA1">
        <w:rPr>
          <w:rFonts w:eastAsia="Times New Roman" w:cs="Arial"/>
          <w:color w:val="000000"/>
          <w:szCs w:val="20"/>
          <w:lang w:val="ru-RU"/>
        </w:rPr>
        <w:t xml:space="preserve"> </w:t>
      </w:r>
      <w:r w:rsidRPr="00232DA1">
        <w:rPr>
          <w:rFonts w:eastAsia="Times New Roman" w:cs="Arial"/>
          <w:color w:val="000000"/>
          <w:szCs w:val="20"/>
          <w:lang w:eastAsia="bg-BG"/>
        </w:rPr>
        <w:t>) (вж точки 4.5 и 5.1).</w:t>
      </w:r>
    </w:p>
    <w:p w14:paraId="7BF16881" w14:textId="1F3474DC" w:rsidR="00232DA1" w:rsidRPr="00232DA1" w:rsidRDefault="00232DA1" w:rsidP="00232DA1">
      <w:pPr>
        <w:rPr>
          <w:lang w:val="ru-RU"/>
        </w:rPr>
      </w:pPr>
    </w:p>
    <w:p w14:paraId="76DC8E58" w14:textId="2625E79E" w:rsidR="00DB32D3" w:rsidRDefault="002C50EE" w:rsidP="005726E3">
      <w:pPr>
        <w:pStyle w:val="Heading2"/>
      </w:pPr>
      <w:r>
        <w:t>4.4. Специални предупреждения и предпазни мерки при употреба</w:t>
      </w:r>
    </w:p>
    <w:p w14:paraId="1733626E" w14:textId="2953DB1F" w:rsidR="00232DA1" w:rsidRDefault="00232DA1" w:rsidP="00232DA1"/>
    <w:p w14:paraId="35DAABDB" w14:textId="77777777" w:rsidR="00232DA1" w:rsidRPr="00232DA1" w:rsidRDefault="00232DA1" w:rsidP="00232DA1">
      <w:pPr>
        <w:spacing w:line="240" w:lineRule="auto"/>
        <w:rPr>
          <w:rFonts w:eastAsia="Times New Roman" w:cs="Arial"/>
        </w:rPr>
      </w:pPr>
      <w:r w:rsidRPr="00232DA1">
        <w:rPr>
          <w:rFonts w:eastAsia="Times New Roman" w:cs="Arial"/>
          <w:color w:val="000000"/>
          <w:u w:val="single"/>
          <w:lang w:eastAsia="bg-BG"/>
        </w:rPr>
        <w:t>Бременност</w:t>
      </w:r>
    </w:p>
    <w:p w14:paraId="20FFBEDC" w14:textId="77777777" w:rsidR="00232DA1" w:rsidRPr="00232DA1" w:rsidRDefault="00232DA1" w:rsidP="00232DA1">
      <w:pPr>
        <w:spacing w:line="240" w:lineRule="auto"/>
        <w:rPr>
          <w:rFonts w:eastAsia="Times New Roman" w:cs="Arial"/>
        </w:rPr>
      </w:pPr>
      <w:r w:rsidRPr="00232DA1">
        <w:rPr>
          <w:rFonts w:eastAsia="Times New Roman" w:cs="Arial"/>
          <w:color w:val="000000"/>
          <w:lang w:eastAsia="bg-BG"/>
        </w:rPr>
        <w:t>По време на бременност не трябва да се започва терапия с ангиотензин II рецепторни антагонисти. Освен когато продължаването на терапията с ангиотензин II рецепторни антагонисти се смята за наложително, пациентките, планиращи да забременеят, трябва да преминат на алтернативно антихипертензивно лечение, с установен профил на безопасност при употреба по време на бременност. След диагностициране на бременност, лечението с ангиотензин II рецепторни антагонисти трябва да бъде преустановено незабавно, и, по възможност, да се започне алтернативна терапия (вж. точки 4.3 и 4.6).</w:t>
      </w:r>
    </w:p>
    <w:p w14:paraId="7A90E0C7" w14:textId="77777777" w:rsidR="00232DA1" w:rsidRPr="00994BD1" w:rsidRDefault="00232DA1" w:rsidP="00232DA1">
      <w:pPr>
        <w:spacing w:line="240" w:lineRule="auto"/>
        <w:rPr>
          <w:rFonts w:eastAsia="Times New Roman" w:cs="Arial"/>
          <w:color w:val="000000"/>
          <w:u w:val="single"/>
          <w:lang w:eastAsia="bg-BG"/>
        </w:rPr>
      </w:pPr>
    </w:p>
    <w:p w14:paraId="0E49D0A5" w14:textId="7A1B0B63" w:rsidR="00232DA1" w:rsidRPr="00232DA1" w:rsidRDefault="00232DA1" w:rsidP="00232DA1">
      <w:pPr>
        <w:spacing w:line="240" w:lineRule="auto"/>
        <w:rPr>
          <w:rFonts w:eastAsia="Times New Roman" w:cs="Arial"/>
        </w:rPr>
      </w:pPr>
      <w:r w:rsidRPr="00232DA1">
        <w:rPr>
          <w:rFonts w:eastAsia="Times New Roman" w:cs="Arial"/>
          <w:color w:val="000000"/>
          <w:u w:val="single"/>
          <w:lang w:eastAsia="bg-BG"/>
        </w:rPr>
        <w:t>Чернодробно увреждане</w:t>
      </w:r>
    </w:p>
    <w:p w14:paraId="40D611CC" w14:textId="77777777" w:rsidR="00232DA1" w:rsidRPr="00232DA1" w:rsidRDefault="00232DA1" w:rsidP="00232DA1">
      <w:pPr>
        <w:spacing w:line="240" w:lineRule="auto"/>
        <w:rPr>
          <w:rFonts w:eastAsia="Times New Roman" w:cs="Arial"/>
        </w:rPr>
      </w:pPr>
      <w:r w:rsidRPr="00232DA1">
        <w:rPr>
          <w:rFonts w:eastAsia="Times New Roman" w:cs="Arial"/>
          <w:color w:val="000000"/>
          <w:lang w:eastAsia="bg-BG"/>
        </w:rPr>
        <w:t>Телмисартан се екскретира почти изцяло чрез жлъчката. При пациентите с обструктивни заболявания на жлъчката или чернодробно увреждане може да се очаква понижен клирънс. Освен това, както при всички калциеви антагонисти, полуживотът на амлодипин е удължен при пациенти с нарушена бъбречна функция, като не са установени точни препоръки за дозировка. Ето защо при тези пациенти телмисартан/амлодипин трябва да се употребява с повишено внимание.</w:t>
      </w:r>
    </w:p>
    <w:p w14:paraId="25A98782" w14:textId="77777777" w:rsidR="00232DA1" w:rsidRPr="00994BD1" w:rsidRDefault="00232DA1" w:rsidP="00232DA1">
      <w:pPr>
        <w:spacing w:line="240" w:lineRule="auto"/>
        <w:rPr>
          <w:rFonts w:eastAsia="Times New Roman" w:cs="Arial"/>
          <w:color w:val="000000"/>
          <w:u w:val="single"/>
          <w:lang w:eastAsia="bg-BG"/>
        </w:rPr>
      </w:pPr>
    </w:p>
    <w:p w14:paraId="6F75A05D" w14:textId="230C3066" w:rsidR="00232DA1" w:rsidRPr="00232DA1" w:rsidRDefault="00232DA1" w:rsidP="00232DA1">
      <w:pPr>
        <w:spacing w:line="240" w:lineRule="auto"/>
        <w:rPr>
          <w:rFonts w:eastAsia="Times New Roman" w:cs="Arial"/>
        </w:rPr>
      </w:pPr>
      <w:r w:rsidRPr="00232DA1">
        <w:rPr>
          <w:rFonts w:eastAsia="Times New Roman" w:cs="Arial"/>
          <w:color w:val="000000"/>
          <w:u w:val="single"/>
          <w:lang w:eastAsia="bg-BG"/>
        </w:rPr>
        <w:t>Реноваскуларна хипертония</w:t>
      </w:r>
    </w:p>
    <w:p w14:paraId="0E960726" w14:textId="77777777" w:rsidR="00232DA1" w:rsidRPr="00232DA1" w:rsidRDefault="00232DA1" w:rsidP="00232DA1">
      <w:pPr>
        <w:spacing w:line="240" w:lineRule="auto"/>
        <w:rPr>
          <w:rFonts w:eastAsia="Times New Roman" w:cs="Arial"/>
        </w:rPr>
      </w:pPr>
      <w:r w:rsidRPr="00232DA1">
        <w:rPr>
          <w:rFonts w:eastAsia="Times New Roman" w:cs="Arial"/>
          <w:color w:val="000000"/>
          <w:lang w:eastAsia="bg-BG"/>
        </w:rPr>
        <w:t>Когато пациенти с двустранна стеноза на бъбречните артерии или стеноза на артерия на единствен функциониращ бъбрек, са лекувани с лекарствени продукти, които засягат системата ренин-ангиотензин-алдостерон (РААС), съществува повишен риск от тежка хипотония и бъбречно увреждане.</w:t>
      </w:r>
    </w:p>
    <w:p w14:paraId="3178144C" w14:textId="77777777" w:rsidR="00232DA1" w:rsidRPr="00994BD1" w:rsidRDefault="00232DA1" w:rsidP="00232DA1">
      <w:pPr>
        <w:spacing w:line="240" w:lineRule="auto"/>
        <w:rPr>
          <w:rFonts w:eastAsia="Times New Roman" w:cs="Arial"/>
          <w:color w:val="000000"/>
          <w:u w:val="single"/>
          <w:lang w:eastAsia="bg-BG"/>
        </w:rPr>
      </w:pPr>
    </w:p>
    <w:p w14:paraId="2C9CFDEB" w14:textId="73C04085" w:rsidR="00232DA1" w:rsidRPr="00232DA1" w:rsidRDefault="00232DA1" w:rsidP="00232DA1">
      <w:pPr>
        <w:spacing w:line="240" w:lineRule="auto"/>
        <w:rPr>
          <w:rFonts w:eastAsia="Times New Roman" w:cs="Arial"/>
        </w:rPr>
      </w:pPr>
      <w:r w:rsidRPr="00232DA1">
        <w:rPr>
          <w:rFonts w:eastAsia="Times New Roman" w:cs="Arial"/>
          <w:color w:val="000000"/>
          <w:u w:val="single"/>
          <w:lang w:eastAsia="bg-BG"/>
        </w:rPr>
        <w:t>Бъбречно увреждане и тоансплантация на бъбрек</w:t>
      </w:r>
    </w:p>
    <w:p w14:paraId="1DC5F44B" w14:textId="77777777" w:rsidR="00232DA1" w:rsidRPr="00232DA1" w:rsidRDefault="00232DA1" w:rsidP="00232DA1">
      <w:pPr>
        <w:spacing w:line="240" w:lineRule="auto"/>
        <w:rPr>
          <w:rFonts w:eastAsia="Times New Roman" w:cs="Arial"/>
        </w:rPr>
      </w:pPr>
      <w:r w:rsidRPr="00232DA1">
        <w:rPr>
          <w:rFonts w:eastAsia="Times New Roman" w:cs="Arial"/>
          <w:color w:val="000000"/>
          <w:lang w:eastAsia="bg-BG"/>
        </w:rPr>
        <w:lastRenderedPageBreak/>
        <w:t>Когато телмисартан/амлодипин се използва за лечение на пациенти с нарушена бъбречна функция, се препоръчва периодично мониториране на серумните нива на калий и креатинин. Няма опит в прилагането на телмисартан/амлодипин при пациенти със скорошна трансплантация на бъбрек. Телмисартан и амлодипин не се диализират.</w:t>
      </w:r>
    </w:p>
    <w:p w14:paraId="71825E6F" w14:textId="77777777" w:rsidR="00232DA1" w:rsidRPr="00994BD1" w:rsidRDefault="00232DA1" w:rsidP="00232DA1">
      <w:pPr>
        <w:spacing w:line="240" w:lineRule="auto"/>
        <w:rPr>
          <w:rFonts w:eastAsia="Times New Roman" w:cs="Arial"/>
          <w:color w:val="000000"/>
          <w:u w:val="single"/>
          <w:lang w:eastAsia="bg-BG"/>
        </w:rPr>
      </w:pPr>
    </w:p>
    <w:p w14:paraId="4E39A581" w14:textId="66AF6353" w:rsidR="00232DA1" w:rsidRPr="00232DA1" w:rsidRDefault="00232DA1" w:rsidP="00232DA1">
      <w:pPr>
        <w:spacing w:line="240" w:lineRule="auto"/>
        <w:rPr>
          <w:rFonts w:eastAsia="Times New Roman" w:cs="Arial"/>
        </w:rPr>
      </w:pPr>
      <w:r w:rsidRPr="00232DA1">
        <w:rPr>
          <w:rFonts w:eastAsia="Times New Roman" w:cs="Arial"/>
          <w:color w:val="000000"/>
          <w:u w:val="single"/>
          <w:lang w:eastAsia="bg-BG"/>
        </w:rPr>
        <w:t>Вътоесъдова хиповолемия</w:t>
      </w:r>
    </w:p>
    <w:p w14:paraId="148F31EA" w14:textId="77777777" w:rsidR="00232DA1" w:rsidRPr="00232DA1" w:rsidRDefault="00232DA1" w:rsidP="00232DA1">
      <w:pPr>
        <w:spacing w:line="240" w:lineRule="auto"/>
        <w:rPr>
          <w:rFonts w:eastAsia="Times New Roman" w:cs="Arial"/>
        </w:rPr>
      </w:pPr>
      <w:r w:rsidRPr="00232DA1">
        <w:rPr>
          <w:rFonts w:eastAsia="Times New Roman" w:cs="Arial"/>
          <w:color w:val="000000"/>
          <w:lang w:eastAsia="bg-BG"/>
        </w:rPr>
        <w:t>При пациенти, с хиповолемия и/или изчерпване на натрия, например поради интензивна диуретична терапия, намален прием на соли поради диета, диария или повръщане, може да възникне симптоматична хипотония, особено след прилагане на първата доза. Такива състояния трябва да бъдат преодолени преди приложението на телмисартан. В случай на хипотония вследствие лечение с телмисартан/амлодипин, пациентът трябва да бъде поставен в легнало положение и, ако е необходимо, да му бъде приложено интравенозно вливане на физиологичен разтвор. След стабилизиране на кръвното налягане, лечението може да бъде продължено.</w:t>
      </w:r>
    </w:p>
    <w:p w14:paraId="5CAFA968" w14:textId="77777777" w:rsidR="00232DA1" w:rsidRPr="00994BD1" w:rsidRDefault="00232DA1" w:rsidP="00232DA1">
      <w:pPr>
        <w:spacing w:line="240" w:lineRule="auto"/>
        <w:rPr>
          <w:rFonts w:eastAsia="Times New Roman" w:cs="Arial"/>
          <w:color w:val="000000"/>
          <w:u w:val="single"/>
          <w:lang w:eastAsia="bg-BG"/>
        </w:rPr>
      </w:pPr>
    </w:p>
    <w:p w14:paraId="547A8EA3" w14:textId="316DCF1F" w:rsidR="00232DA1" w:rsidRPr="00232DA1" w:rsidRDefault="00232DA1" w:rsidP="00232DA1">
      <w:pPr>
        <w:spacing w:line="240" w:lineRule="auto"/>
        <w:rPr>
          <w:rFonts w:eastAsia="Times New Roman" w:cs="Arial"/>
        </w:rPr>
      </w:pPr>
      <w:r w:rsidRPr="00232DA1">
        <w:rPr>
          <w:rFonts w:eastAsia="Times New Roman" w:cs="Arial"/>
          <w:color w:val="000000"/>
          <w:u w:val="single"/>
          <w:lang w:eastAsia="bg-BG"/>
        </w:rPr>
        <w:t>Двойно блокиране на ренин-ангиотензин-алдостероноват асистема (РААС)</w:t>
      </w:r>
    </w:p>
    <w:p w14:paraId="0C249E02" w14:textId="77777777" w:rsidR="00232DA1" w:rsidRPr="00994BD1" w:rsidRDefault="00232DA1" w:rsidP="00232DA1">
      <w:pPr>
        <w:spacing w:line="240" w:lineRule="auto"/>
        <w:rPr>
          <w:rFonts w:eastAsia="Times New Roman" w:cs="Arial"/>
          <w:color w:val="000000"/>
          <w:lang w:eastAsia="bg-BG"/>
        </w:rPr>
      </w:pPr>
    </w:p>
    <w:p w14:paraId="7CBED8A1" w14:textId="3BCB951F" w:rsidR="00232DA1" w:rsidRPr="00232DA1" w:rsidRDefault="00232DA1" w:rsidP="00232DA1">
      <w:pPr>
        <w:spacing w:line="240" w:lineRule="auto"/>
        <w:rPr>
          <w:rFonts w:eastAsia="Times New Roman" w:cs="Arial"/>
        </w:rPr>
      </w:pPr>
      <w:r w:rsidRPr="00232DA1">
        <w:rPr>
          <w:rFonts w:eastAsia="Times New Roman" w:cs="Arial"/>
          <w:color w:val="000000"/>
          <w:lang w:eastAsia="bg-BG"/>
        </w:rPr>
        <w:t xml:space="preserve">Има данни, че съпътстващата употреба на АСЕ инхибитори, ангиотензин </w:t>
      </w:r>
      <w:r w:rsidRPr="00232DA1">
        <w:rPr>
          <w:rFonts w:eastAsia="Times New Roman" w:cs="Arial"/>
          <w:color w:val="000000"/>
          <w:lang w:val="en-US"/>
        </w:rPr>
        <w:t>II</w:t>
      </w:r>
      <w:r w:rsidRPr="00232DA1">
        <w:rPr>
          <w:rFonts w:eastAsia="Times New Roman" w:cs="Arial"/>
          <w:color w:val="000000"/>
          <w:lang w:eastAsia="bg-BG"/>
        </w:rPr>
        <w:t>-рецепторни блокери или алискирен повишава риска от хипотония, хиперкалиемия и намаляване на бъбречната функция (включително тежко бъбречно увреждане). Поради това не се препоръчва двойно блокиране на РААС чрез комбинираната употреба на АСЕ инхибитори, ангиотензин II- рецепторни блокери или алискирен (вж. точки 4.5 и 5.1).</w:t>
      </w:r>
    </w:p>
    <w:p w14:paraId="110A00D7" w14:textId="73CE5ABC" w:rsidR="00232DA1" w:rsidRPr="00994BD1" w:rsidRDefault="00232DA1" w:rsidP="00232DA1">
      <w:pPr>
        <w:rPr>
          <w:rFonts w:eastAsia="Times New Roman" w:cs="Arial"/>
          <w:color w:val="000000"/>
          <w:lang w:eastAsia="bg-BG"/>
        </w:rPr>
      </w:pPr>
      <w:r w:rsidRPr="00994BD1">
        <w:rPr>
          <w:rFonts w:eastAsia="Times New Roman" w:cs="Arial"/>
          <w:color w:val="000000"/>
          <w:lang w:eastAsia="bg-BG"/>
        </w:rPr>
        <w:t>Ако се прецени, че терапията с двойно блокиране е абсолютно необходима, това</w:t>
      </w:r>
      <w:r w:rsidRPr="00994BD1">
        <w:rPr>
          <w:rFonts w:eastAsia="Times New Roman" w:cs="Arial"/>
          <w:color w:val="000000"/>
          <w:lang w:val="ru-RU"/>
        </w:rPr>
        <w:t xml:space="preserve"> </w:t>
      </w:r>
      <w:r w:rsidRPr="00994BD1">
        <w:rPr>
          <w:rFonts w:eastAsia="Times New Roman" w:cs="Arial"/>
          <w:color w:val="000000"/>
          <w:lang w:eastAsia="bg-BG"/>
        </w:rPr>
        <w:t>трябва</w:t>
      </w:r>
      <w:r w:rsidRPr="00994BD1">
        <w:rPr>
          <w:rFonts w:eastAsia="Times New Roman" w:cs="Arial"/>
          <w:b/>
          <w:bCs/>
          <w:color w:val="000000"/>
          <w:lang w:eastAsia="bg-BG"/>
        </w:rPr>
        <w:t xml:space="preserve"> </w:t>
      </w:r>
      <w:r w:rsidRPr="00994BD1">
        <w:rPr>
          <w:rFonts w:eastAsia="Times New Roman" w:cs="Arial"/>
          <w:color w:val="000000"/>
          <w:lang w:eastAsia="bg-BG"/>
        </w:rPr>
        <w:t>да става само под наблюдението на специалист и при често внимателно мониториране на бъбречната функция, електролитите и кръвното налягане.</w:t>
      </w:r>
    </w:p>
    <w:p w14:paraId="4E7BDE59" w14:textId="010DE682" w:rsidR="00232DA1" w:rsidRPr="00994BD1" w:rsidRDefault="00232DA1" w:rsidP="00232DA1">
      <w:pPr>
        <w:rPr>
          <w:rFonts w:eastAsia="Times New Roman" w:cs="Arial"/>
          <w:color w:val="000000"/>
          <w:lang w:eastAsia="bg-BG"/>
        </w:rPr>
      </w:pPr>
    </w:p>
    <w:p w14:paraId="4C8B8D10"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 xml:space="preserve">АСЕ инхибитори и ангиотензин </w:t>
      </w:r>
      <w:r w:rsidRPr="00994BD1">
        <w:rPr>
          <w:rFonts w:eastAsia="Times New Roman" w:cs="Arial"/>
          <w:color w:val="000000"/>
          <w:lang w:val="en-US"/>
        </w:rPr>
        <w:t>II</w:t>
      </w:r>
      <w:r w:rsidRPr="00994BD1">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4C3EB89E" w14:textId="77777777" w:rsidR="00994BD1" w:rsidRPr="00994BD1" w:rsidRDefault="00994BD1" w:rsidP="00994BD1">
      <w:pPr>
        <w:spacing w:line="240" w:lineRule="auto"/>
        <w:rPr>
          <w:rFonts w:eastAsia="Times New Roman" w:cs="Arial"/>
          <w:color w:val="000000"/>
          <w:u w:val="single"/>
          <w:lang w:eastAsia="bg-BG"/>
        </w:rPr>
      </w:pPr>
    </w:p>
    <w:p w14:paraId="20AF69F8" w14:textId="797658EF"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Други състояния със стимулация на системата ренин-ангиотензин-алдостерон</w:t>
      </w:r>
    </w:p>
    <w:p w14:paraId="048109B1"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При пациентите, чиито съдов тонус и бъбречна функция са в зависимост най-вече от дейността на ренин-ангиотензин-алдостеронната система (напр. пациенти с тежка конгестивна сърдечна недостатъчност или основно бъбречно заболяване, включително стеноза на бъбречните артерии), лечението с лекарствени продукти, повлияващи тази система, се свързва с остра хипотония, хиперазотемия, олигурия, или рядко с тежко бъбречно увреждане (вж. точка 4.8).</w:t>
      </w:r>
    </w:p>
    <w:p w14:paraId="5686F850" w14:textId="77777777" w:rsidR="00994BD1" w:rsidRPr="00994BD1" w:rsidRDefault="00994BD1" w:rsidP="00994BD1">
      <w:pPr>
        <w:spacing w:line="240" w:lineRule="auto"/>
        <w:rPr>
          <w:rFonts w:eastAsia="Times New Roman" w:cs="Arial"/>
          <w:color w:val="000000"/>
          <w:u w:val="single"/>
          <w:lang w:eastAsia="bg-BG"/>
        </w:rPr>
      </w:pPr>
    </w:p>
    <w:p w14:paraId="655D806C" w14:textId="1D3D5F8A"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Първичен алдостеронизъм</w:t>
      </w:r>
    </w:p>
    <w:p w14:paraId="4F14A71E"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Пациентите с първичен алдостеронизъм в общия случай не се повлияват от антихипертензивните лекарствени продукти, действащи чрез инхибиране на ренин- ангиотензиновата система. Поради това, употребата на телмисартан не се препоръчва.</w:t>
      </w:r>
    </w:p>
    <w:p w14:paraId="4340009A" w14:textId="77777777" w:rsidR="00994BD1" w:rsidRPr="00994BD1" w:rsidRDefault="00994BD1" w:rsidP="00994BD1">
      <w:pPr>
        <w:spacing w:line="240" w:lineRule="auto"/>
        <w:rPr>
          <w:rFonts w:eastAsia="Times New Roman" w:cs="Arial"/>
          <w:color w:val="000000"/>
          <w:u w:val="single"/>
          <w:lang w:eastAsia="bg-BG"/>
        </w:rPr>
      </w:pPr>
    </w:p>
    <w:p w14:paraId="665C1BB6" w14:textId="12F10456"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 xml:space="preserve">Стеноза на аортната и митралната клапа, обструктивна хипертрофична кардиомиопатия </w:t>
      </w:r>
      <w:r w:rsidRPr="00994BD1">
        <w:rPr>
          <w:rFonts w:eastAsia="Times New Roman" w:cs="Arial"/>
          <w:color w:val="000000"/>
          <w:lang w:eastAsia="bg-BG"/>
        </w:rPr>
        <w:t>Както при другите съдоразширяващи средства, специално внимание се обръща на пациентите, страдащи от стеноза на аортната и митралната клапа, или обструктивна хипертрофична кардиомиопатия.</w:t>
      </w:r>
    </w:p>
    <w:p w14:paraId="5B2CF81A" w14:textId="77777777" w:rsidR="00994BD1" w:rsidRPr="00994BD1" w:rsidRDefault="00994BD1" w:rsidP="00994BD1">
      <w:pPr>
        <w:spacing w:line="240" w:lineRule="auto"/>
        <w:rPr>
          <w:rFonts w:eastAsia="Times New Roman" w:cs="Arial"/>
          <w:color w:val="000000"/>
          <w:u w:val="single"/>
          <w:lang w:eastAsia="bg-BG"/>
        </w:rPr>
      </w:pPr>
    </w:p>
    <w:p w14:paraId="76A011F2" w14:textId="0963F7FA"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Нестабилна стенокардия,остьр инфаркт на миокарда</w:t>
      </w:r>
    </w:p>
    <w:p w14:paraId="75DD6247"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lastRenderedPageBreak/>
        <w:t>Няма данни в подкрепа на употребата на телмисартан/амлодипин в случай на нестабилна стенокардия и по време на или до края на първия месец след претърпян инфаркт на миокарда.</w:t>
      </w:r>
    </w:p>
    <w:p w14:paraId="401B841A" w14:textId="77777777" w:rsidR="00994BD1" w:rsidRPr="00994BD1" w:rsidRDefault="00994BD1" w:rsidP="00994BD1">
      <w:pPr>
        <w:spacing w:line="240" w:lineRule="auto"/>
        <w:rPr>
          <w:rFonts w:eastAsia="Times New Roman" w:cs="Arial"/>
          <w:color w:val="000000"/>
          <w:u w:val="single"/>
          <w:lang w:eastAsia="bg-BG"/>
        </w:rPr>
      </w:pPr>
    </w:p>
    <w:p w14:paraId="49103740" w14:textId="6736E5D1"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Сърдечна недостатъчност</w:t>
      </w:r>
    </w:p>
    <w:p w14:paraId="0E247D07"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 xml:space="preserve">В дългосрочно, плацебо-контролирано изпитване </w:t>
      </w:r>
      <w:r w:rsidRPr="00994BD1">
        <w:rPr>
          <w:rFonts w:eastAsia="Times New Roman" w:cs="Arial"/>
          <w:color w:val="000000"/>
          <w:lang w:val="ru-RU"/>
        </w:rPr>
        <w:t>(</w:t>
      </w:r>
      <w:r w:rsidRPr="00994BD1">
        <w:rPr>
          <w:rFonts w:eastAsia="Times New Roman" w:cs="Arial"/>
          <w:color w:val="000000"/>
          <w:lang w:val="en-US"/>
        </w:rPr>
        <w:t>PRAISE</w:t>
      </w:r>
      <w:r w:rsidRPr="00994BD1">
        <w:rPr>
          <w:rFonts w:eastAsia="Times New Roman" w:cs="Arial"/>
          <w:color w:val="000000"/>
          <w:lang w:val="ru-RU"/>
        </w:rPr>
        <w:t xml:space="preserve">-2) </w:t>
      </w:r>
      <w:r w:rsidRPr="00994BD1">
        <w:rPr>
          <w:rFonts w:eastAsia="Times New Roman" w:cs="Arial"/>
          <w:color w:val="000000"/>
          <w:lang w:eastAsia="bg-BG"/>
        </w:rPr>
        <w:t xml:space="preserve">на амлодипин при пациенти с </w:t>
      </w:r>
      <w:r w:rsidRPr="00994BD1">
        <w:rPr>
          <w:rFonts w:eastAsia="Times New Roman" w:cs="Arial"/>
          <w:color w:val="000000"/>
          <w:lang w:val="en-US"/>
        </w:rPr>
        <w:t>NYHA</w:t>
      </w:r>
      <w:r w:rsidRPr="00994BD1">
        <w:rPr>
          <w:rFonts w:eastAsia="Times New Roman" w:cs="Arial"/>
          <w:color w:val="000000"/>
          <w:lang w:val="ru-RU"/>
        </w:rPr>
        <w:t xml:space="preserve"> </w:t>
      </w:r>
      <w:r w:rsidRPr="00994BD1">
        <w:rPr>
          <w:rFonts w:eastAsia="Times New Roman" w:cs="Arial"/>
          <w:color w:val="000000"/>
          <w:lang w:eastAsia="bg-BG"/>
        </w:rPr>
        <w:t>III и IV сърдечна недостатъчност с неисхемична етиология, лечението с амлодипин се свързва с увеличен брой съобщения за белодробен оток, въпреки липсата на значителна разлика в честотата на влошаване на сърдечната недостатъчност, в сравнение с пациентите, лекувани с плацебо (вж. точка 5.1).</w:t>
      </w:r>
    </w:p>
    <w:p w14:paraId="0F703F5E" w14:textId="77777777" w:rsidR="00994BD1" w:rsidRPr="00994BD1" w:rsidRDefault="00994BD1" w:rsidP="00994BD1">
      <w:pPr>
        <w:spacing w:line="240" w:lineRule="auto"/>
        <w:rPr>
          <w:rFonts w:eastAsia="Times New Roman" w:cs="Arial"/>
          <w:color w:val="000000"/>
          <w:u w:val="single"/>
          <w:lang w:eastAsia="bg-BG"/>
        </w:rPr>
      </w:pPr>
    </w:p>
    <w:p w14:paraId="28DD22CD" w14:textId="7AA7B8FA"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Пациенти с диабет, лекувани с инсулин или противодиабетни средства</w:t>
      </w:r>
    </w:p>
    <w:p w14:paraId="468CE139"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При лечение с телмисартан, при тези пациенти може да възникне хипогликемия. Затова при тези пациенти е необходимо да се обсъди съответно проследяване на нивото на глюкоза в кръвта и може да се наложи коригиране на дозата инсулин или антидиабетно средство, когато е показано.</w:t>
      </w:r>
    </w:p>
    <w:p w14:paraId="6B5D532D" w14:textId="77777777" w:rsidR="00994BD1" w:rsidRPr="00994BD1" w:rsidRDefault="00994BD1" w:rsidP="00994BD1">
      <w:pPr>
        <w:spacing w:line="240" w:lineRule="auto"/>
        <w:rPr>
          <w:rFonts w:eastAsia="Times New Roman" w:cs="Arial"/>
          <w:color w:val="000000"/>
          <w:u w:val="single"/>
          <w:lang w:eastAsia="bg-BG"/>
        </w:rPr>
      </w:pPr>
    </w:p>
    <w:p w14:paraId="25A91DE0" w14:textId="603BA607"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Хиперкалиемия</w:t>
      </w:r>
    </w:p>
    <w:p w14:paraId="63EBEFDE"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Употребата на лекарствени продукти, които повлияват ренин-ангиотензин-алдостеронната система, може да причини хиперкалемия. Хиперкалемията може да причини смърт при пациенти в старческа възраст, пациенти с бъбречно увреждане, пациенти с диабет, пациенти на съпътстваща терапия с лекарствени продукти, които могат да повишат концентрацията на калий, и/или при пациенти с други съпътстващи състояния</w:t>
      </w:r>
    </w:p>
    <w:p w14:paraId="7BD908F4" w14:textId="77777777" w:rsidR="00994BD1" w:rsidRPr="00994BD1" w:rsidRDefault="00994BD1" w:rsidP="00994BD1">
      <w:pPr>
        <w:spacing w:line="240" w:lineRule="auto"/>
        <w:rPr>
          <w:rFonts w:eastAsia="Times New Roman" w:cs="Arial"/>
          <w:color w:val="000000"/>
          <w:lang w:eastAsia="bg-BG"/>
        </w:rPr>
      </w:pPr>
    </w:p>
    <w:p w14:paraId="6D5DFB27" w14:textId="764CD01E" w:rsidR="00994BD1" w:rsidRPr="00994BD1" w:rsidRDefault="00994BD1" w:rsidP="00994BD1">
      <w:pPr>
        <w:spacing w:line="240" w:lineRule="auto"/>
        <w:rPr>
          <w:rFonts w:eastAsia="Times New Roman" w:cs="Arial"/>
        </w:rPr>
      </w:pPr>
      <w:r w:rsidRPr="00994BD1">
        <w:rPr>
          <w:rFonts w:eastAsia="Times New Roman" w:cs="Arial"/>
          <w:color w:val="000000"/>
          <w:lang w:eastAsia="bg-BG"/>
        </w:rPr>
        <w:t>Преди да се вземе решение за едновременно приложение на лекарствени продукти, които повлияват системата ренин-ангиотензин-алдостерон, трябва да се прецени съотношението полза/риск.</w:t>
      </w:r>
    </w:p>
    <w:p w14:paraId="4978E966"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Основните рискови фактори за възникване на хиперкалиемия, които трябва да се вземат под внимание са</w:t>
      </w:r>
    </w:p>
    <w:p w14:paraId="5790A75A" w14:textId="77777777" w:rsidR="00994BD1" w:rsidRPr="00994BD1" w:rsidRDefault="00994BD1" w:rsidP="00994BD1">
      <w:pPr>
        <w:pStyle w:val="ListParagraph"/>
        <w:numPr>
          <w:ilvl w:val="0"/>
          <w:numId w:val="37"/>
        </w:numPr>
        <w:spacing w:line="240" w:lineRule="auto"/>
        <w:rPr>
          <w:rFonts w:eastAsia="Times New Roman" w:cs="Arial"/>
        </w:rPr>
      </w:pPr>
      <w:r w:rsidRPr="00994BD1">
        <w:rPr>
          <w:rFonts w:eastAsia="Times New Roman" w:cs="Arial"/>
          <w:color w:val="000000"/>
          <w:lang w:eastAsia="bg-BG"/>
        </w:rPr>
        <w:t>захарен диабет, бъбречно увреждане, възраст (&gt;70 години)</w:t>
      </w:r>
    </w:p>
    <w:p w14:paraId="6D2AE511" w14:textId="321B2CC1" w:rsidR="00994BD1" w:rsidRPr="00994BD1" w:rsidRDefault="00994BD1" w:rsidP="00994BD1">
      <w:pPr>
        <w:pStyle w:val="ListParagraph"/>
        <w:numPr>
          <w:ilvl w:val="0"/>
          <w:numId w:val="37"/>
        </w:numPr>
        <w:spacing w:line="240" w:lineRule="auto"/>
        <w:rPr>
          <w:rFonts w:eastAsia="Times New Roman" w:cs="Arial"/>
        </w:rPr>
      </w:pPr>
      <w:r w:rsidRPr="00994BD1">
        <w:rPr>
          <w:rFonts w:eastAsia="Times New Roman" w:cs="Arial"/>
          <w:color w:val="000000"/>
          <w:lang w:eastAsia="bg-BG"/>
        </w:rPr>
        <w:t>комбинация с един или повече лекарствени продукти, които повлияват системата ренин- ангиотензин-алдостерон и/или съдържащи калий хранителни добавки.</w:t>
      </w:r>
    </w:p>
    <w:p w14:paraId="4EC8CF14" w14:textId="77777777" w:rsidR="00994BD1" w:rsidRPr="00994BD1" w:rsidRDefault="00994BD1" w:rsidP="00994BD1">
      <w:pPr>
        <w:rPr>
          <w:rFonts w:eastAsia="Times New Roman" w:cs="Arial"/>
          <w:color w:val="000000"/>
          <w:lang w:eastAsia="bg-BG"/>
        </w:rPr>
      </w:pPr>
      <w:r w:rsidRPr="00994BD1">
        <w:rPr>
          <w:rFonts w:eastAsia="Times New Roman" w:cs="Arial"/>
          <w:color w:val="000000"/>
          <w:lang w:eastAsia="bg-BG"/>
        </w:rPr>
        <w:t>Лекарствените продукти или терапевтичните групи, които могат да предизивикат хиперкалемия са заместители на солта, съдържащи калий, калий-съхраняващи диуретици, АСЕ инхибитори, ангиотензин II рецепторни антагонисти, нестероидни</w:t>
      </w:r>
      <w:r w:rsidRPr="00994BD1">
        <w:rPr>
          <w:rFonts w:eastAsia="Times New Roman" w:cs="Arial"/>
          <w:color w:val="000000"/>
          <w:lang w:val="ru-RU" w:eastAsia="bg-BG"/>
        </w:rPr>
        <w:t xml:space="preserve"> </w:t>
      </w:r>
      <w:r w:rsidRPr="00994BD1">
        <w:rPr>
          <w:rFonts w:eastAsia="Times New Roman" w:cs="Arial"/>
          <w:color w:val="000000"/>
          <w:lang w:eastAsia="bg-BG"/>
        </w:rPr>
        <w:t>противовъзпалителни средства (НСПВС, включително селективните СОХ-2- инхибитори), хепарин, имуносупресори (циклоспорин или такролимус) и триметоприм.</w:t>
      </w:r>
    </w:p>
    <w:p w14:paraId="507215BE" w14:textId="47B06A7A" w:rsidR="00994BD1" w:rsidRPr="00994BD1" w:rsidRDefault="00994BD1" w:rsidP="00994BD1">
      <w:pPr>
        <w:pStyle w:val="ListParagraph"/>
        <w:numPr>
          <w:ilvl w:val="0"/>
          <w:numId w:val="37"/>
        </w:numPr>
        <w:rPr>
          <w:rFonts w:eastAsia="Times New Roman" w:cs="Arial"/>
        </w:rPr>
      </w:pPr>
      <w:r w:rsidRPr="00994BD1">
        <w:rPr>
          <w:rFonts w:eastAsia="Times New Roman" w:cs="Arial"/>
          <w:color w:val="000000"/>
          <w:lang w:eastAsia="bg-BG"/>
        </w:rPr>
        <w:t xml:space="preserve">съпътстващи събития, </w:t>
      </w:r>
      <w:r w:rsidRPr="00994BD1">
        <w:rPr>
          <w:rFonts w:eastAsia="Times New Roman" w:cs="Arial"/>
          <w:i/>
          <w:iCs/>
          <w:color w:val="000000"/>
          <w:lang w:eastAsia="bg-BG"/>
        </w:rPr>
        <w:t>в</w:t>
      </w:r>
      <w:r w:rsidRPr="00994BD1">
        <w:rPr>
          <w:rFonts w:eastAsia="Times New Roman" w:cs="Arial"/>
          <w:color w:val="000000"/>
          <w:lang w:eastAsia="bg-BG"/>
        </w:rPr>
        <w:t xml:space="preserve"> частност дехидратация, остра сърдечна декомпенсация, метаболитна ацидоза, влошаване на бъбречната функция, внезапно </w:t>
      </w:r>
      <w:r w:rsidRPr="00994BD1">
        <w:rPr>
          <w:rFonts w:eastAsia="Times New Roman" w:cs="Arial"/>
          <w:i/>
          <w:iCs/>
          <w:color w:val="000000"/>
          <w:lang w:eastAsia="bg-BG"/>
        </w:rPr>
        <w:t>влошаване</w:t>
      </w:r>
      <w:r w:rsidRPr="00994BD1">
        <w:rPr>
          <w:rFonts w:eastAsia="Times New Roman" w:cs="Arial"/>
          <w:color w:val="000000"/>
          <w:lang w:eastAsia="bg-BG"/>
        </w:rPr>
        <w:t xml:space="preserve"> на състоянието на бъбреците (напр. инфекциозни заболявания), клетъчна лиза (напр. остра исхемия на крайник, рабдомиолиза, голяма травма).</w:t>
      </w:r>
    </w:p>
    <w:p w14:paraId="422F94F9" w14:textId="77777777" w:rsidR="00994BD1" w:rsidRPr="00994BD1" w:rsidRDefault="00994BD1" w:rsidP="00994BD1">
      <w:pPr>
        <w:spacing w:line="240" w:lineRule="auto"/>
        <w:rPr>
          <w:rFonts w:eastAsia="Times New Roman" w:cs="Arial"/>
          <w:color w:val="000000"/>
          <w:lang w:eastAsia="bg-BG"/>
        </w:rPr>
      </w:pPr>
    </w:p>
    <w:p w14:paraId="43B90000" w14:textId="3A53F6CB" w:rsidR="00994BD1" w:rsidRPr="00994BD1" w:rsidRDefault="00994BD1" w:rsidP="00994BD1">
      <w:pPr>
        <w:spacing w:line="240" w:lineRule="auto"/>
        <w:rPr>
          <w:rFonts w:eastAsia="Times New Roman" w:cs="Arial"/>
        </w:rPr>
      </w:pPr>
      <w:r w:rsidRPr="00994BD1">
        <w:rPr>
          <w:rFonts w:eastAsia="Times New Roman" w:cs="Arial"/>
          <w:color w:val="000000"/>
          <w:lang w:eastAsia="bg-BG"/>
        </w:rPr>
        <w:t>Необходимо е да се провежда внимателно мониториране на серумните нива на калия при тези пациенти (вж. точка 4.5).</w:t>
      </w:r>
    </w:p>
    <w:p w14:paraId="744912F7" w14:textId="77777777" w:rsidR="00994BD1" w:rsidRPr="00994BD1" w:rsidRDefault="00994BD1" w:rsidP="00994BD1">
      <w:pPr>
        <w:spacing w:line="240" w:lineRule="auto"/>
        <w:rPr>
          <w:rFonts w:eastAsia="Times New Roman" w:cs="Arial"/>
          <w:color w:val="000000"/>
          <w:u w:val="single"/>
          <w:lang w:eastAsia="bg-BG"/>
        </w:rPr>
      </w:pPr>
    </w:p>
    <w:p w14:paraId="2B41E202" w14:textId="3672FC62"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Други</w:t>
      </w:r>
    </w:p>
    <w:p w14:paraId="198830AF"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Както при всеки антихипертензивен лекарствен продукт, прекомерното понижение на кръвното налягане при пациенти с исхемична кардиомиопатия или исхемично сърдечносъдово заболяване може да доведе до инфаркт на миокарда или инсулт.</w:t>
      </w:r>
    </w:p>
    <w:p w14:paraId="18C067C4"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lastRenderedPageBreak/>
        <w:t xml:space="preserve">Това лекарство съдържа по-малко от 1 </w:t>
      </w:r>
      <w:proofErr w:type="spellStart"/>
      <w:r w:rsidRPr="00994BD1">
        <w:rPr>
          <w:rFonts w:eastAsia="Times New Roman" w:cs="Arial"/>
          <w:color w:val="000000"/>
          <w:lang w:val="en-US"/>
        </w:rPr>
        <w:t>mmol</w:t>
      </w:r>
      <w:proofErr w:type="spellEnd"/>
      <w:r w:rsidRPr="00994BD1">
        <w:rPr>
          <w:rFonts w:eastAsia="Times New Roman" w:cs="Arial"/>
          <w:color w:val="000000"/>
          <w:lang w:val="ru-RU"/>
        </w:rPr>
        <w:t xml:space="preserve"> </w:t>
      </w:r>
      <w:r w:rsidRPr="00994BD1">
        <w:rPr>
          <w:rFonts w:eastAsia="Times New Roman" w:cs="Arial"/>
          <w:color w:val="000000"/>
          <w:lang w:eastAsia="bg-BG"/>
        </w:rPr>
        <w:t xml:space="preserve">натрий (23 </w:t>
      </w:r>
      <w:r w:rsidRPr="00994BD1">
        <w:rPr>
          <w:rFonts w:eastAsia="Times New Roman" w:cs="Arial"/>
          <w:color w:val="000000"/>
          <w:lang w:val="en-US"/>
        </w:rPr>
        <w:t>mg</w:t>
      </w:r>
      <w:r w:rsidRPr="00994BD1">
        <w:rPr>
          <w:rFonts w:eastAsia="Times New Roman" w:cs="Arial"/>
          <w:color w:val="000000"/>
          <w:lang w:val="ru-RU"/>
        </w:rPr>
        <w:t xml:space="preserve">) </w:t>
      </w:r>
      <w:r w:rsidRPr="00994BD1">
        <w:rPr>
          <w:rFonts w:eastAsia="Times New Roman" w:cs="Arial"/>
          <w:color w:val="000000"/>
          <w:lang w:eastAsia="bg-BG"/>
        </w:rPr>
        <w:t>за таблетка, т.е. практически не съдържа натрий.</w:t>
      </w:r>
    </w:p>
    <w:p w14:paraId="0D50CB77" w14:textId="63710D39" w:rsidR="00232DA1" w:rsidRPr="00994BD1" w:rsidRDefault="00232DA1" w:rsidP="00994BD1"/>
    <w:p w14:paraId="62F27C9B" w14:textId="22AF7AE9"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10B028E" w14:textId="5E6DC71E" w:rsidR="00994BD1" w:rsidRDefault="00994BD1" w:rsidP="00994BD1"/>
    <w:p w14:paraId="5424A984"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Не са установени взаимодействия между двата компонента на тази фиксирана комбинация по време на клиничните изпитвания.</w:t>
      </w:r>
    </w:p>
    <w:p w14:paraId="3EE4BDA0" w14:textId="77777777" w:rsidR="00994BD1" w:rsidRPr="00994BD1" w:rsidRDefault="00994BD1" w:rsidP="00994BD1">
      <w:pPr>
        <w:spacing w:line="240" w:lineRule="auto"/>
        <w:rPr>
          <w:rFonts w:eastAsia="Times New Roman" w:cs="Arial"/>
          <w:color w:val="000000"/>
          <w:u w:val="single"/>
          <w:lang w:eastAsia="bg-BG"/>
        </w:rPr>
      </w:pPr>
    </w:p>
    <w:p w14:paraId="1D8811A9" w14:textId="34AF29D6"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Взаимодействия, характерни за комбинацията</w:t>
      </w:r>
    </w:p>
    <w:p w14:paraId="081A38AB"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Не са провеждани проучвания за лекарствените взаимодействия.</w:t>
      </w:r>
    </w:p>
    <w:p w14:paraId="320EAC87" w14:textId="77777777" w:rsidR="00994BD1" w:rsidRPr="00994BD1" w:rsidRDefault="00994BD1" w:rsidP="00994BD1">
      <w:pPr>
        <w:spacing w:line="240" w:lineRule="auto"/>
        <w:rPr>
          <w:rFonts w:eastAsia="Times New Roman" w:cs="Arial"/>
          <w:i/>
          <w:iCs/>
          <w:color w:val="000000"/>
          <w:u w:val="single"/>
          <w:lang w:eastAsia="bg-BG"/>
        </w:rPr>
      </w:pPr>
    </w:p>
    <w:p w14:paraId="70FCBB67" w14:textId="684B7685" w:rsidR="00994BD1" w:rsidRPr="00994BD1" w:rsidRDefault="00994BD1" w:rsidP="00994BD1">
      <w:pPr>
        <w:spacing w:line="240" w:lineRule="auto"/>
        <w:rPr>
          <w:rFonts w:eastAsia="Times New Roman" w:cs="Arial"/>
        </w:rPr>
      </w:pPr>
      <w:r w:rsidRPr="00994BD1">
        <w:rPr>
          <w:rFonts w:eastAsia="Times New Roman" w:cs="Arial"/>
          <w:i/>
          <w:iCs/>
          <w:color w:val="000000"/>
          <w:u w:val="single"/>
          <w:lang w:eastAsia="bg-BG"/>
        </w:rPr>
        <w:t>Да се вземе предвид при съпътстваща употреба</w:t>
      </w:r>
    </w:p>
    <w:p w14:paraId="5139B2FC" w14:textId="77777777" w:rsidR="00994BD1" w:rsidRPr="00994BD1" w:rsidRDefault="00994BD1" w:rsidP="00994BD1">
      <w:pPr>
        <w:spacing w:line="240" w:lineRule="auto"/>
        <w:rPr>
          <w:rFonts w:eastAsia="Times New Roman" w:cs="Arial"/>
          <w:i/>
          <w:iCs/>
          <w:color w:val="000000"/>
          <w:lang w:eastAsia="bg-BG"/>
        </w:rPr>
      </w:pPr>
    </w:p>
    <w:p w14:paraId="2AAE62F8" w14:textId="77FD7335"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Други антихипертензивни лекарствени продукти</w:t>
      </w:r>
    </w:p>
    <w:p w14:paraId="7F178401"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Понижаващият кръвното налягане ефект на телмисартан/амлодипин може да бъде засилен при съпътстваща употреба на други антихипергензивни лекарствени продукти.</w:t>
      </w:r>
    </w:p>
    <w:p w14:paraId="2F914F76" w14:textId="77777777" w:rsidR="00994BD1" w:rsidRPr="00994BD1" w:rsidRDefault="00994BD1" w:rsidP="00994BD1">
      <w:pPr>
        <w:spacing w:line="240" w:lineRule="auto"/>
        <w:rPr>
          <w:rFonts w:eastAsia="Times New Roman" w:cs="Arial"/>
          <w:i/>
          <w:iCs/>
          <w:color w:val="000000"/>
          <w:lang w:eastAsia="bg-BG"/>
        </w:rPr>
      </w:pPr>
    </w:p>
    <w:p w14:paraId="4430183E" w14:textId="2D945BC5"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Лекарствени продукти с потенциал за понижаване на кръвното налягане</w:t>
      </w:r>
    </w:p>
    <w:p w14:paraId="041EE25C"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С оглед на фармакологичните им свойства, може да се очаква, че следните лекарствени продукти могат да засилят хипотоничните ефекти на всички антихипергензивни средства, включително този лекарствен продукт, напр. баклофен, амифостин, невролептици или антидепресанти. Също така, ортостатичната хипотония може да бъде засилена и от алкохол.</w:t>
      </w:r>
    </w:p>
    <w:p w14:paraId="0D862FB1" w14:textId="77777777" w:rsidR="00994BD1" w:rsidRPr="00994BD1" w:rsidRDefault="00994BD1" w:rsidP="00994BD1">
      <w:pPr>
        <w:spacing w:line="240" w:lineRule="auto"/>
        <w:rPr>
          <w:rFonts w:eastAsia="Times New Roman" w:cs="Arial"/>
          <w:i/>
          <w:iCs/>
          <w:color w:val="000000"/>
          <w:lang w:eastAsia="bg-BG"/>
        </w:rPr>
      </w:pPr>
    </w:p>
    <w:p w14:paraId="2FDEA31D" w14:textId="74A232DD"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 xml:space="preserve">Кортикостероиди (за системно приложение) </w:t>
      </w:r>
      <w:r w:rsidRPr="00994BD1">
        <w:rPr>
          <w:rFonts w:eastAsia="Times New Roman" w:cs="Arial"/>
          <w:color w:val="000000"/>
          <w:lang w:eastAsia="bg-BG"/>
        </w:rPr>
        <w:t>Намаляване на антихипергензивния ефект.</w:t>
      </w:r>
    </w:p>
    <w:p w14:paraId="08FFD636" w14:textId="77777777" w:rsidR="00994BD1" w:rsidRPr="00994BD1" w:rsidRDefault="00994BD1" w:rsidP="00994BD1">
      <w:pPr>
        <w:spacing w:line="240" w:lineRule="auto"/>
        <w:rPr>
          <w:rFonts w:eastAsia="Times New Roman" w:cs="Arial"/>
          <w:color w:val="000000"/>
          <w:u w:val="single"/>
          <w:lang w:eastAsia="bg-BG"/>
        </w:rPr>
      </w:pPr>
    </w:p>
    <w:p w14:paraId="0B245226" w14:textId="6FE03FE3"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Взаимодействия, свързани с телмисартан</w:t>
      </w:r>
    </w:p>
    <w:p w14:paraId="29CFCBDA" w14:textId="77777777" w:rsidR="00994BD1" w:rsidRPr="00994BD1" w:rsidRDefault="00994BD1" w:rsidP="00994BD1">
      <w:pPr>
        <w:spacing w:line="240" w:lineRule="auto"/>
        <w:rPr>
          <w:rFonts w:eastAsia="Times New Roman" w:cs="Arial"/>
          <w:i/>
          <w:iCs/>
          <w:color w:val="000000"/>
          <w:u w:val="single"/>
          <w:lang w:eastAsia="bg-BG"/>
        </w:rPr>
      </w:pPr>
    </w:p>
    <w:p w14:paraId="0B7041A4" w14:textId="408AD9BC" w:rsidR="00994BD1" w:rsidRPr="00994BD1" w:rsidRDefault="00994BD1" w:rsidP="00994BD1">
      <w:pPr>
        <w:spacing w:line="240" w:lineRule="auto"/>
        <w:rPr>
          <w:rFonts w:eastAsia="Times New Roman" w:cs="Arial"/>
        </w:rPr>
      </w:pPr>
      <w:r w:rsidRPr="00994BD1">
        <w:rPr>
          <w:rFonts w:eastAsia="Times New Roman" w:cs="Arial"/>
          <w:i/>
          <w:iCs/>
          <w:color w:val="000000"/>
          <w:u w:val="single"/>
          <w:lang w:eastAsia="bg-BG"/>
        </w:rPr>
        <w:t>Не се препоръчва съпътстваща терапия</w:t>
      </w:r>
    </w:p>
    <w:p w14:paraId="6CD110A8" w14:textId="77777777" w:rsidR="00994BD1" w:rsidRPr="00994BD1" w:rsidRDefault="00994BD1" w:rsidP="00994BD1">
      <w:pPr>
        <w:spacing w:line="240" w:lineRule="auto"/>
        <w:rPr>
          <w:rFonts w:eastAsia="Times New Roman" w:cs="Arial"/>
          <w:i/>
          <w:iCs/>
          <w:color w:val="000000"/>
          <w:lang w:eastAsia="bg-BG"/>
        </w:rPr>
      </w:pPr>
    </w:p>
    <w:p w14:paraId="6C92EF24" w14:textId="23CC39C5"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Калий-съхраняващи диуретици или съдържащи калий хранителни добавки</w:t>
      </w:r>
    </w:p>
    <w:p w14:paraId="5BED2B9E"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Ангиотензин II рецепторните антагонисти, какъвто е телмисартан, намаляват загубата на калий, придизвикана от диуретиците. Калий-съхраняващите диуретици като спиронолактон, еплеренон, триамтерен, или амилорид, съдържащите калий хранителни добавки, или съдържащите калий заместители на солта, могат да доведат до значително повишение на серумния калий. Ако е показана съпътстваща употреба, поради документирана хипокалиемия, е необходимо лекарствените продукти да бъдат използвани с повишено внимание, и с постоянно мониториране на серумните концентрации на калия.</w:t>
      </w:r>
    </w:p>
    <w:p w14:paraId="347CB951" w14:textId="2B78F1EC" w:rsidR="00994BD1" w:rsidRPr="00994BD1" w:rsidRDefault="00994BD1" w:rsidP="00994BD1">
      <w:pPr>
        <w:rPr>
          <w:rFonts w:cs="Arial"/>
        </w:rPr>
      </w:pPr>
    </w:p>
    <w:p w14:paraId="4C0D3D03" w14:textId="77777777"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Литий</w:t>
      </w:r>
    </w:p>
    <w:p w14:paraId="32EA6C44"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Съобщавани са случаи на обратими повишения в серумните концентрации на лития и токсичност, при едновременно приложение на литий и инхибитори на ангиотензин конвертиращия ензим, както и с ангиотензин II рецепторни антагонисти, включително телмисартан. Ако комбинираната употреба се окаже необходима, е препоръчителен внимателен мониторинг на серумните нива на лития.</w:t>
      </w:r>
    </w:p>
    <w:p w14:paraId="09594166" w14:textId="77777777" w:rsidR="00994BD1" w:rsidRPr="00994BD1" w:rsidRDefault="00994BD1" w:rsidP="00994BD1">
      <w:pPr>
        <w:spacing w:line="240" w:lineRule="auto"/>
        <w:rPr>
          <w:rFonts w:eastAsia="Times New Roman" w:cs="Arial"/>
          <w:i/>
          <w:iCs/>
          <w:color w:val="000000"/>
          <w:lang w:eastAsia="bg-BG"/>
        </w:rPr>
      </w:pPr>
    </w:p>
    <w:p w14:paraId="66482DD0" w14:textId="706C6485"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Други антихипертензивни лекарствени продукти, действащи на ренин -ангиотензин алдостероновата система (РААС)</w:t>
      </w:r>
    </w:p>
    <w:p w14:paraId="7A127ED8"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lastRenderedPageBreak/>
        <w:t xml:space="preserve">Данни от клинични проучвания показват, че двойното блокиране на системата ренин - ангиотензин алдостерон (РААС) чрез комбинираната употреба на АСЕ инхибитори, ангиотензин </w:t>
      </w:r>
      <w:r w:rsidRPr="00994BD1">
        <w:rPr>
          <w:rFonts w:eastAsia="Times New Roman" w:cs="Arial"/>
          <w:color w:val="000000"/>
          <w:lang w:val="en-US"/>
        </w:rPr>
        <w:t>II</w:t>
      </w:r>
      <w:r w:rsidRPr="00994BD1">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тежко бъбречно увреждане), в сравнение с употребата само на едно средство, действащо върху РААС (вж. точки 4.3, 4.4 и 5.1).</w:t>
      </w:r>
    </w:p>
    <w:p w14:paraId="5720C3F0" w14:textId="77777777" w:rsidR="00994BD1" w:rsidRPr="00994BD1" w:rsidRDefault="00994BD1" w:rsidP="00994BD1">
      <w:pPr>
        <w:spacing w:line="240" w:lineRule="auto"/>
        <w:rPr>
          <w:rFonts w:eastAsia="Times New Roman" w:cs="Arial"/>
          <w:i/>
          <w:iCs/>
          <w:color w:val="000000"/>
          <w:u w:val="single"/>
          <w:lang w:eastAsia="bg-BG"/>
        </w:rPr>
      </w:pPr>
    </w:p>
    <w:p w14:paraId="32990F18" w14:textId="402E9BEE" w:rsidR="00994BD1" w:rsidRPr="00994BD1" w:rsidRDefault="00994BD1" w:rsidP="00994BD1">
      <w:pPr>
        <w:spacing w:line="240" w:lineRule="auto"/>
        <w:rPr>
          <w:rFonts w:eastAsia="Times New Roman" w:cs="Arial"/>
        </w:rPr>
      </w:pPr>
      <w:r w:rsidRPr="00994BD1">
        <w:rPr>
          <w:rFonts w:eastAsia="Times New Roman" w:cs="Arial"/>
          <w:i/>
          <w:iCs/>
          <w:color w:val="000000"/>
          <w:u w:val="single"/>
          <w:lang w:eastAsia="bg-BG"/>
        </w:rPr>
        <w:t>Съпътстваща употреба, изискваща повишено внимание</w:t>
      </w:r>
    </w:p>
    <w:p w14:paraId="53AA81BE" w14:textId="77777777" w:rsidR="00994BD1" w:rsidRPr="00994BD1" w:rsidRDefault="00994BD1" w:rsidP="00994BD1">
      <w:pPr>
        <w:spacing w:line="240" w:lineRule="auto"/>
        <w:rPr>
          <w:rFonts w:eastAsia="Times New Roman" w:cs="Arial"/>
          <w:i/>
          <w:iCs/>
          <w:color w:val="000000"/>
          <w:lang w:eastAsia="bg-BG"/>
        </w:rPr>
      </w:pPr>
    </w:p>
    <w:p w14:paraId="34E4D17A" w14:textId="1F09BD29"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Нестероидни противовъзпалителни средства</w:t>
      </w:r>
    </w:p>
    <w:p w14:paraId="49451348"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НСПВС (т.е. ацетилсалицилова киселина в противовъзпалителни дози, СОХ-2-инхибитори, и неселективни НСПВС) могат да намалят антихипертензивния ефект на ангиотензин II рецепторните антагонисти.</w:t>
      </w:r>
    </w:p>
    <w:p w14:paraId="7A018273"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При някои пациенти с нарушена бъбречна функция (напр. пациенти с дехидратация или пациенти в старческа възраст с нарушена бъбречна функция), едновременното прилагане на ангиотензин II рецепторни антагонисти и лекарствени средства, които инхибират цикло- оксигеназата, може да има като резултат по-нататъшно влошаване на бъбречната функция, включително възможно тежко бъбречно увреждане, което обикновено е обратимо. Затова, комбинацията трябва да бъде прилагана с повишено внимание, особено при пациенти в старческа възраст. Пациентите трябва да бъдат адекватно хидратирани, като под внимание трябва да се вземе и проследяването на бъбречната функция след започване на съпътстващата терапия и периодично след това.</w:t>
      </w:r>
    </w:p>
    <w:p w14:paraId="707854EA" w14:textId="77777777" w:rsidR="00994BD1" w:rsidRPr="00994BD1" w:rsidRDefault="00994BD1" w:rsidP="00994BD1">
      <w:pPr>
        <w:spacing w:line="240" w:lineRule="auto"/>
        <w:rPr>
          <w:rFonts w:eastAsia="Times New Roman" w:cs="Arial"/>
          <w:i/>
          <w:iCs/>
          <w:color w:val="000000"/>
          <w:lang w:eastAsia="bg-BG"/>
        </w:rPr>
      </w:pPr>
    </w:p>
    <w:p w14:paraId="26F6790E" w14:textId="4F404A89"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Рамиприл</w:t>
      </w:r>
    </w:p>
    <w:p w14:paraId="588ECA8D"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 xml:space="preserve">В едно изпитване, едновременното прилагане на телмисартан и рамиприл е довело до 2,5 кратно повишение в </w:t>
      </w:r>
      <w:r w:rsidRPr="00994BD1">
        <w:rPr>
          <w:rFonts w:eastAsia="Times New Roman" w:cs="Arial"/>
          <w:color w:val="000000"/>
          <w:lang w:val="en-US"/>
        </w:rPr>
        <w:t>AUC</w:t>
      </w:r>
      <w:r w:rsidRPr="00994BD1">
        <w:rPr>
          <w:rFonts w:eastAsia="Times New Roman" w:cs="Arial"/>
          <w:color w:val="000000"/>
          <w:vertAlign w:val="subscript"/>
          <w:lang w:val="ru-RU"/>
        </w:rPr>
        <w:t>0-24</w:t>
      </w:r>
      <w:r w:rsidRPr="00994BD1">
        <w:rPr>
          <w:rFonts w:eastAsia="Times New Roman" w:cs="Arial"/>
          <w:color w:val="000000"/>
          <w:lang w:val="ru-RU"/>
        </w:rPr>
        <w:t xml:space="preserve"> </w:t>
      </w:r>
      <w:r w:rsidRPr="00994BD1">
        <w:rPr>
          <w:rFonts w:eastAsia="Times New Roman" w:cs="Arial"/>
          <w:color w:val="000000"/>
          <w:lang w:eastAsia="bg-BG"/>
        </w:rPr>
        <w:t>и С</w:t>
      </w:r>
      <w:r w:rsidRPr="00994BD1">
        <w:rPr>
          <w:rFonts w:eastAsia="Times New Roman" w:cs="Arial"/>
          <w:color w:val="000000"/>
          <w:vertAlign w:val="subscript"/>
          <w:lang w:val="en-US"/>
        </w:rPr>
        <w:t>max</w:t>
      </w:r>
      <w:r w:rsidRPr="00994BD1">
        <w:rPr>
          <w:rFonts w:eastAsia="Times New Roman" w:cs="Arial"/>
          <w:color w:val="000000"/>
          <w:lang w:eastAsia="bg-BG"/>
        </w:rPr>
        <w:t xml:space="preserve"> на рамиприл и рамиприлат. Клиничната значимост на това наблюдение е неизвестна</w:t>
      </w:r>
    </w:p>
    <w:p w14:paraId="6D195B2D" w14:textId="77777777" w:rsidR="00994BD1" w:rsidRPr="00994BD1" w:rsidRDefault="00994BD1" w:rsidP="00994BD1">
      <w:pPr>
        <w:spacing w:line="240" w:lineRule="auto"/>
        <w:rPr>
          <w:rFonts w:eastAsia="Times New Roman" w:cs="Arial"/>
          <w:i/>
          <w:iCs/>
          <w:color w:val="000000"/>
          <w:u w:val="single"/>
          <w:lang w:eastAsia="bg-BG"/>
        </w:rPr>
      </w:pPr>
    </w:p>
    <w:p w14:paraId="78FD7376" w14:textId="535E8B78" w:rsidR="00994BD1" w:rsidRPr="00994BD1" w:rsidRDefault="00994BD1" w:rsidP="00994BD1">
      <w:pPr>
        <w:spacing w:line="240" w:lineRule="auto"/>
        <w:rPr>
          <w:rFonts w:eastAsia="Times New Roman" w:cs="Arial"/>
        </w:rPr>
      </w:pPr>
      <w:r w:rsidRPr="00994BD1">
        <w:rPr>
          <w:rFonts w:eastAsia="Times New Roman" w:cs="Arial"/>
          <w:i/>
          <w:iCs/>
          <w:color w:val="000000"/>
          <w:u w:val="single"/>
          <w:lang w:eastAsia="bg-BG"/>
        </w:rPr>
        <w:t>Да се вземе под внимение при съпътстваща употреба</w:t>
      </w:r>
    </w:p>
    <w:p w14:paraId="20A00530" w14:textId="77777777" w:rsidR="00994BD1" w:rsidRPr="00994BD1" w:rsidRDefault="00994BD1" w:rsidP="00994BD1">
      <w:pPr>
        <w:spacing w:line="240" w:lineRule="auto"/>
        <w:rPr>
          <w:rFonts w:eastAsia="Times New Roman" w:cs="Arial"/>
          <w:i/>
          <w:iCs/>
          <w:color w:val="000000"/>
          <w:lang w:eastAsia="bg-BG"/>
        </w:rPr>
      </w:pPr>
    </w:p>
    <w:p w14:paraId="2E4379D1" w14:textId="00CBAC5C"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Дигоксин</w:t>
      </w:r>
    </w:p>
    <w:p w14:paraId="6DA51BD1"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Когато телмисартан се прилага едновременно с дигоксин се наблюдава повишаване на медианата на пиковата (49 %) и най-ниската плазмена концентрация (20 %) на дигоксин. Когато се започва, коригира се дозата или се прекратява телмисартан, трябва да се наблюдават нивата на дигоксин, за да се поддържат в терапевтичния интервал.</w:t>
      </w:r>
    </w:p>
    <w:p w14:paraId="64E6A907" w14:textId="77777777" w:rsidR="00994BD1" w:rsidRPr="00994BD1" w:rsidRDefault="00994BD1" w:rsidP="00994BD1">
      <w:pPr>
        <w:spacing w:line="240" w:lineRule="auto"/>
        <w:rPr>
          <w:rFonts w:eastAsia="Times New Roman" w:cs="Arial"/>
          <w:color w:val="000000"/>
          <w:u w:val="single"/>
          <w:lang w:eastAsia="bg-BG"/>
        </w:rPr>
      </w:pPr>
    </w:p>
    <w:p w14:paraId="72291968" w14:textId="35F3CC05"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Взаимодействия, свързани с амлодипин</w:t>
      </w:r>
    </w:p>
    <w:p w14:paraId="1E16F324" w14:textId="77777777" w:rsidR="00994BD1" w:rsidRPr="00994BD1" w:rsidRDefault="00994BD1" w:rsidP="00994BD1">
      <w:pPr>
        <w:spacing w:line="240" w:lineRule="auto"/>
        <w:rPr>
          <w:rFonts w:eastAsia="Times New Roman" w:cs="Arial"/>
          <w:i/>
          <w:iCs/>
          <w:color w:val="000000"/>
          <w:u w:val="single"/>
          <w:lang w:eastAsia="bg-BG"/>
        </w:rPr>
      </w:pPr>
    </w:p>
    <w:p w14:paraId="2DC0ADFB" w14:textId="7FEF6587" w:rsidR="00994BD1" w:rsidRPr="00994BD1" w:rsidRDefault="00994BD1" w:rsidP="00994BD1">
      <w:pPr>
        <w:spacing w:line="240" w:lineRule="auto"/>
        <w:rPr>
          <w:rFonts w:eastAsia="Times New Roman" w:cs="Arial"/>
        </w:rPr>
      </w:pPr>
      <w:r w:rsidRPr="00994BD1">
        <w:rPr>
          <w:rFonts w:eastAsia="Times New Roman" w:cs="Arial"/>
          <w:i/>
          <w:iCs/>
          <w:color w:val="000000"/>
          <w:u w:val="single"/>
          <w:lang w:eastAsia="bg-BG"/>
        </w:rPr>
        <w:t>Съпътстваща употреба, изискваща повишено внимание</w:t>
      </w:r>
    </w:p>
    <w:p w14:paraId="01907B28" w14:textId="77777777" w:rsidR="00994BD1" w:rsidRPr="00994BD1" w:rsidRDefault="00994BD1" w:rsidP="00994BD1">
      <w:pPr>
        <w:spacing w:line="240" w:lineRule="auto"/>
        <w:rPr>
          <w:rFonts w:eastAsia="Times New Roman" w:cs="Arial"/>
          <w:i/>
          <w:iCs/>
          <w:color w:val="000000"/>
          <w:lang w:eastAsia="bg-BG"/>
        </w:rPr>
      </w:pPr>
    </w:p>
    <w:p w14:paraId="53DF521F" w14:textId="717A72BC"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 xml:space="preserve">Инхибитори на </w:t>
      </w:r>
      <w:r w:rsidRPr="00994BD1">
        <w:rPr>
          <w:rFonts w:eastAsia="Times New Roman" w:cs="Arial"/>
          <w:i/>
          <w:iCs/>
          <w:color w:val="000000"/>
          <w:lang w:val="en-US"/>
        </w:rPr>
        <w:t>CYP</w:t>
      </w:r>
      <w:r w:rsidRPr="00994BD1">
        <w:rPr>
          <w:rFonts w:eastAsia="Times New Roman" w:cs="Arial"/>
          <w:i/>
          <w:iCs/>
          <w:color w:val="000000"/>
          <w:lang w:val="ru-RU"/>
        </w:rPr>
        <w:t>3</w:t>
      </w:r>
      <w:r w:rsidRPr="00994BD1">
        <w:rPr>
          <w:rFonts w:eastAsia="Times New Roman" w:cs="Arial"/>
          <w:i/>
          <w:iCs/>
          <w:color w:val="000000"/>
          <w:lang w:val="en-US"/>
        </w:rPr>
        <w:t>A</w:t>
      </w:r>
      <w:r w:rsidRPr="00994BD1">
        <w:rPr>
          <w:rFonts w:eastAsia="Times New Roman" w:cs="Arial"/>
          <w:i/>
          <w:iCs/>
          <w:color w:val="000000"/>
          <w:lang w:val="ru-RU"/>
        </w:rPr>
        <w:t>4</w:t>
      </w:r>
    </w:p>
    <w:p w14:paraId="5BB2BA74" w14:textId="77777777" w:rsidR="00994BD1" w:rsidRPr="00994BD1" w:rsidRDefault="00994BD1" w:rsidP="00994BD1">
      <w:pPr>
        <w:rPr>
          <w:rFonts w:eastAsia="Times New Roman" w:cs="Arial"/>
        </w:rPr>
      </w:pPr>
      <w:r w:rsidRPr="00994BD1">
        <w:rPr>
          <w:rFonts w:eastAsia="Times New Roman" w:cs="Arial"/>
          <w:color w:val="000000"/>
          <w:lang w:eastAsia="bg-BG"/>
        </w:rPr>
        <w:t xml:space="preserve">При съпътстваща употреба с </w:t>
      </w:r>
      <w:r w:rsidRPr="00994BD1">
        <w:rPr>
          <w:rFonts w:eastAsia="Times New Roman" w:cs="Arial"/>
          <w:color w:val="000000"/>
          <w:lang w:val="en-US"/>
        </w:rPr>
        <w:t>CYP</w:t>
      </w:r>
      <w:r w:rsidRPr="00994BD1">
        <w:rPr>
          <w:rFonts w:eastAsia="Times New Roman" w:cs="Arial"/>
          <w:color w:val="000000"/>
          <w:lang w:val="ru-RU"/>
        </w:rPr>
        <w:t>3</w:t>
      </w:r>
      <w:r w:rsidRPr="00994BD1">
        <w:rPr>
          <w:rFonts w:eastAsia="Times New Roman" w:cs="Arial"/>
          <w:color w:val="000000"/>
          <w:lang w:val="en-US"/>
        </w:rPr>
        <w:t>A</w:t>
      </w:r>
      <w:r w:rsidRPr="00994BD1">
        <w:rPr>
          <w:rFonts w:eastAsia="Times New Roman" w:cs="Arial"/>
          <w:color w:val="000000"/>
          <w:lang w:val="ru-RU"/>
        </w:rPr>
        <w:t xml:space="preserve">4 </w:t>
      </w:r>
      <w:r w:rsidRPr="00994BD1">
        <w:rPr>
          <w:rFonts w:eastAsia="Times New Roman" w:cs="Arial"/>
          <w:color w:val="000000"/>
          <w:lang w:eastAsia="bg-BG"/>
        </w:rPr>
        <w:t xml:space="preserve">инхибитора еритромицин, при млади пациенти и, съответно, дилтиазем при пациенти в старческа възраст, плазмената концентрация на амлодипин се повишава съответно с 22 % и 50 %. Въпреки това, клиничната значимост на това наблюдение не е известна. Не може да бъде направено заключение, че силните инхибитори на </w:t>
      </w:r>
      <w:r w:rsidRPr="00994BD1">
        <w:rPr>
          <w:rFonts w:eastAsia="Times New Roman" w:cs="Arial"/>
          <w:color w:val="000000"/>
          <w:lang w:val="en-US"/>
        </w:rPr>
        <w:t>CYP</w:t>
      </w:r>
      <w:r w:rsidRPr="00994BD1">
        <w:rPr>
          <w:rFonts w:eastAsia="Times New Roman" w:cs="Arial"/>
          <w:color w:val="000000"/>
          <w:lang w:val="ru-RU"/>
        </w:rPr>
        <w:t>3</w:t>
      </w:r>
      <w:r w:rsidRPr="00994BD1">
        <w:rPr>
          <w:rFonts w:eastAsia="Times New Roman" w:cs="Arial"/>
          <w:color w:val="000000"/>
          <w:lang w:val="en-US"/>
        </w:rPr>
        <w:t>A</w:t>
      </w:r>
      <w:r w:rsidRPr="00994BD1">
        <w:rPr>
          <w:rFonts w:eastAsia="Times New Roman" w:cs="Arial"/>
          <w:color w:val="000000"/>
          <w:lang w:val="ru-RU"/>
        </w:rPr>
        <w:t xml:space="preserve">4 </w:t>
      </w:r>
      <w:r w:rsidRPr="00994BD1">
        <w:rPr>
          <w:rFonts w:eastAsia="Times New Roman" w:cs="Arial"/>
          <w:color w:val="000000"/>
          <w:lang w:eastAsia="bg-BG"/>
        </w:rPr>
        <w:t>(напр. кетоконазол, итраконазол, ритонавир) могат да повишат плазмените концентрации на амлодипин в по-висока степен, отколкото дилтиазем. Амлодипин трябва да се</w:t>
      </w:r>
      <w:r w:rsidRPr="00994BD1">
        <w:rPr>
          <w:rFonts w:eastAsia="Times New Roman" w:cs="Arial"/>
          <w:color w:val="000000"/>
          <w:lang w:val="ru-RU" w:eastAsia="bg-BG"/>
        </w:rPr>
        <w:t xml:space="preserve"> </w:t>
      </w:r>
      <w:r w:rsidRPr="00994BD1">
        <w:rPr>
          <w:rFonts w:eastAsia="Times New Roman" w:cs="Arial"/>
          <w:color w:val="000000"/>
          <w:lang w:eastAsia="bg-BG"/>
        </w:rPr>
        <w:t xml:space="preserve">използва с повишено внимание в комбинация с инхибиторите на </w:t>
      </w:r>
      <w:r w:rsidRPr="00994BD1">
        <w:rPr>
          <w:rFonts w:eastAsia="Times New Roman" w:cs="Arial"/>
          <w:color w:val="000000"/>
          <w:lang w:val="en-US"/>
        </w:rPr>
        <w:t>CYP</w:t>
      </w:r>
      <w:r w:rsidRPr="00994BD1">
        <w:rPr>
          <w:rFonts w:eastAsia="Times New Roman" w:cs="Arial"/>
          <w:color w:val="000000"/>
          <w:lang w:val="ru-RU"/>
        </w:rPr>
        <w:t>3</w:t>
      </w:r>
      <w:r w:rsidRPr="00994BD1">
        <w:rPr>
          <w:rFonts w:eastAsia="Times New Roman" w:cs="Arial"/>
          <w:color w:val="000000"/>
          <w:lang w:val="en-US"/>
        </w:rPr>
        <w:t>A</w:t>
      </w:r>
      <w:r w:rsidRPr="00994BD1">
        <w:rPr>
          <w:rFonts w:eastAsia="Times New Roman" w:cs="Arial"/>
          <w:color w:val="000000"/>
          <w:lang w:val="ru-RU"/>
        </w:rPr>
        <w:t xml:space="preserve">4. </w:t>
      </w:r>
      <w:r w:rsidRPr="00994BD1">
        <w:rPr>
          <w:rFonts w:eastAsia="Times New Roman" w:cs="Arial"/>
          <w:color w:val="000000"/>
          <w:lang w:eastAsia="bg-BG"/>
        </w:rPr>
        <w:t>Все пак, не се съобщава за нежелани лекарствени реакции, произхождащи от това взаимодействие.</w:t>
      </w:r>
    </w:p>
    <w:p w14:paraId="621FD387" w14:textId="77777777" w:rsidR="00994BD1" w:rsidRPr="00994BD1" w:rsidRDefault="00994BD1" w:rsidP="00994BD1">
      <w:pPr>
        <w:spacing w:line="240" w:lineRule="auto"/>
        <w:rPr>
          <w:rFonts w:eastAsia="Times New Roman" w:cs="Arial"/>
          <w:i/>
          <w:iCs/>
          <w:color w:val="000000"/>
          <w:lang w:eastAsia="bg-BG"/>
        </w:rPr>
      </w:pPr>
    </w:p>
    <w:p w14:paraId="72A7EBA6" w14:textId="156BC2E0"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 xml:space="preserve">Индуктори на </w:t>
      </w:r>
      <w:r w:rsidRPr="00994BD1">
        <w:rPr>
          <w:rFonts w:eastAsia="Times New Roman" w:cs="Arial"/>
          <w:i/>
          <w:iCs/>
          <w:color w:val="000000"/>
          <w:lang w:val="en-US"/>
        </w:rPr>
        <w:t>CYP</w:t>
      </w:r>
      <w:r w:rsidRPr="00994BD1">
        <w:rPr>
          <w:rFonts w:eastAsia="Times New Roman" w:cs="Arial"/>
          <w:i/>
          <w:iCs/>
          <w:color w:val="000000"/>
          <w:lang w:val="ru-RU"/>
        </w:rPr>
        <w:t>3</w:t>
      </w:r>
      <w:r w:rsidRPr="00994BD1">
        <w:rPr>
          <w:rFonts w:eastAsia="Times New Roman" w:cs="Arial"/>
          <w:i/>
          <w:iCs/>
          <w:color w:val="000000"/>
          <w:lang w:val="en-US"/>
        </w:rPr>
        <w:t>A</w:t>
      </w:r>
      <w:r w:rsidRPr="00994BD1">
        <w:rPr>
          <w:rFonts w:eastAsia="Times New Roman" w:cs="Arial"/>
          <w:i/>
          <w:iCs/>
          <w:color w:val="000000"/>
          <w:lang w:val="ru-RU"/>
        </w:rPr>
        <w:t>4</w:t>
      </w:r>
    </w:p>
    <w:p w14:paraId="2F0834A5"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 xml:space="preserve">При едновременно приложение на известни индуктори на </w:t>
      </w:r>
      <w:r w:rsidRPr="00994BD1">
        <w:rPr>
          <w:rFonts w:eastAsia="Times New Roman" w:cs="Arial"/>
          <w:color w:val="000000"/>
          <w:lang w:val="en-US"/>
        </w:rPr>
        <w:t>CYP</w:t>
      </w:r>
      <w:r w:rsidRPr="00994BD1">
        <w:rPr>
          <w:rFonts w:eastAsia="Times New Roman" w:cs="Arial"/>
          <w:color w:val="000000"/>
          <w:lang w:val="ru-RU"/>
        </w:rPr>
        <w:t>3</w:t>
      </w:r>
      <w:r w:rsidRPr="00994BD1">
        <w:rPr>
          <w:rFonts w:eastAsia="Times New Roman" w:cs="Arial"/>
          <w:color w:val="000000"/>
          <w:lang w:val="en-US"/>
        </w:rPr>
        <w:t>A</w:t>
      </w:r>
      <w:r w:rsidRPr="00994BD1">
        <w:rPr>
          <w:rFonts w:eastAsia="Times New Roman" w:cs="Arial"/>
          <w:color w:val="000000"/>
          <w:lang w:val="ru-RU"/>
        </w:rPr>
        <w:t xml:space="preserve">4 </w:t>
      </w:r>
      <w:r w:rsidRPr="00994BD1">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наблюдава и да се обмисли адаптиране на дозата както по време, така и след съпътстващ прием, особено на силни </w:t>
      </w:r>
      <w:r w:rsidRPr="00994BD1">
        <w:rPr>
          <w:rFonts w:eastAsia="Times New Roman" w:cs="Arial"/>
          <w:color w:val="000000"/>
          <w:lang w:val="en-US"/>
        </w:rPr>
        <w:t>CYP</w:t>
      </w:r>
      <w:r w:rsidRPr="00994BD1">
        <w:rPr>
          <w:rFonts w:eastAsia="Times New Roman" w:cs="Arial"/>
          <w:color w:val="000000"/>
          <w:lang w:val="ru-RU"/>
        </w:rPr>
        <w:t>3</w:t>
      </w:r>
      <w:r w:rsidRPr="00994BD1">
        <w:rPr>
          <w:rFonts w:eastAsia="Times New Roman" w:cs="Arial"/>
          <w:color w:val="000000"/>
          <w:lang w:val="en-US"/>
        </w:rPr>
        <w:t>A</w:t>
      </w:r>
      <w:r w:rsidRPr="00994BD1">
        <w:rPr>
          <w:rFonts w:eastAsia="Times New Roman" w:cs="Arial"/>
          <w:color w:val="000000"/>
          <w:lang w:val="ru-RU"/>
        </w:rPr>
        <w:t xml:space="preserve">4 </w:t>
      </w:r>
      <w:r w:rsidRPr="00994BD1">
        <w:rPr>
          <w:rFonts w:eastAsia="Times New Roman" w:cs="Arial"/>
          <w:color w:val="000000"/>
          <w:lang w:eastAsia="bg-BG"/>
        </w:rPr>
        <w:t>индуктори (напр. рифампицин, жълт кантарион).</w:t>
      </w:r>
    </w:p>
    <w:p w14:paraId="5B3881DC" w14:textId="77777777" w:rsidR="00994BD1" w:rsidRPr="00994BD1" w:rsidRDefault="00994BD1" w:rsidP="00994BD1">
      <w:pPr>
        <w:spacing w:line="240" w:lineRule="auto"/>
        <w:rPr>
          <w:rFonts w:eastAsia="Times New Roman" w:cs="Arial"/>
          <w:i/>
          <w:iCs/>
          <w:color w:val="000000"/>
          <w:lang w:eastAsia="bg-BG"/>
        </w:rPr>
      </w:pPr>
    </w:p>
    <w:p w14:paraId="68D862CC" w14:textId="7A02DF2C"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Грейпфрут и сок от грейпфрут</w:t>
      </w:r>
    </w:p>
    <w:p w14:paraId="5053298A"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 xml:space="preserve">Едновременното приложение на 240 </w:t>
      </w:r>
      <w:r w:rsidRPr="00994BD1">
        <w:rPr>
          <w:rFonts w:eastAsia="Times New Roman" w:cs="Arial"/>
          <w:color w:val="000000"/>
          <w:lang w:val="en-US"/>
        </w:rPr>
        <w:t>ml</w:t>
      </w:r>
      <w:r w:rsidRPr="00994BD1">
        <w:rPr>
          <w:rFonts w:eastAsia="Times New Roman" w:cs="Arial"/>
          <w:color w:val="000000"/>
          <w:lang w:val="ru-RU"/>
        </w:rPr>
        <w:t xml:space="preserve"> </w:t>
      </w:r>
      <w:r w:rsidRPr="00994BD1">
        <w:rPr>
          <w:rFonts w:eastAsia="Times New Roman" w:cs="Arial"/>
          <w:color w:val="000000"/>
          <w:lang w:eastAsia="bg-BG"/>
        </w:rPr>
        <w:t xml:space="preserve">сок от грейпфрут и единична перорална доза от 10 </w:t>
      </w:r>
      <w:r w:rsidRPr="00994BD1">
        <w:rPr>
          <w:rFonts w:eastAsia="Times New Roman" w:cs="Arial"/>
          <w:color w:val="000000"/>
          <w:lang w:val="en-US"/>
        </w:rPr>
        <w:t>mg</w:t>
      </w:r>
      <w:r w:rsidRPr="00994BD1">
        <w:rPr>
          <w:rFonts w:eastAsia="Times New Roman" w:cs="Arial"/>
          <w:color w:val="000000"/>
          <w:lang w:val="ru-RU"/>
        </w:rPr>
        <w:t xml:space="preserve"> </w:t>
      </w:r>
      <w:r w:rsidRPr="00994BD1">
        <w:rPr>
          <w:rFonts w:eastAsia="Times New Roman" w:cs="Arial"/>
          <w:color w:val="000000"/>
          <w:lang w:eastAsia="bg-BG"/>
        </w:rPr>
        <w:t>амлодипин при 20 здрави доброволци не показва значителен ефект върху фармакокинетичните свойства на амлодипин. Съпътстващата употреба на амлодипин с грейпфрут или сок от грейпфрут не се препоръчва при пациенти, тъй като при някои от тях бионаличностга на амлодипин може да се увеличи и да доведе до повишение на хипотензивните ефекти</w:t>
      </w:r>
    </w:p>
    <w:p w14:paraId="5FB3E663" w14:textId="77777777" w:rsidR="00994BD1" w:rsidRPr="00994BD1" w:rsidRDefault="00994BD1" w:rsidP="00994BD1">
      <w:pPr>
        <w:spacing w:line="240" w:lineRule="auto"/>
        <w:rPr>
          <w:rFonts w:eastAsia="Times New Roman" w:cs="Arial"/>
          <w:i/>
          <w:iCs/>
          <w:color w:val="000000"/>
          <w:u w:val="single"/>
          <w:lang w:eastAsia="bg-BG"/>
        </w:rPr>
      </w:pPr>
    </w:p>
    <w:p w14:paraId="216D6F86" w14:textId="21DABDE6" w:rsidR="00994BD1" w:rsidRPr="00994BD1" w:rsidRDefault="00994BD1" w:rsidP="00994BD1">
      <w:pPr>
        <w:spacing w:line="240" w:lineRule="auto"/>
        <w:rPr>
          <w:rFonts w:eastAsia="Times New Roman" w:cs="Arial"/>
        </w:rPr>
      </w:pPr>
      <w:r w:rsidRPr="00994BD1">
        <w:rPr>
          <w:rFonts w:eastAsia="Times New Roman" w:cs="Arial"/>
          <w:i/>
          <w:iCs/>
          <w:color w:val="000000"/>
          <w:u w:val="single"/>
          <w:lang w:eastAsia="bg-BG"/>
        </w:rPr>
        <w:t>Да се вземе под внимение при съпътстваща употреба</w:t>
      </w:r>
    </w:p>
    <w:p w14:paraId="20EB465F" w14:textId="77777777" w:rsidR="00994BD1" w:rsidRPr="00994BD1" w:rsidRDefault="00994BD1" w:rsidP="00994BD1">
      <w:pPr>
        <w:spacing w:line="240" w:lineRule="auto"/>
        <w:rPr>
          <w:rFonts w:eastAsia="Times New Roman" w:cs="Arial"/>
          <w:i/>
          <w:iCs/>
          <w:color w:val="000000"/>
          <w:lang w:eastAsia="bg-BG"/>
        </w:rPr>
      </w:pPr>
    </w:p>
    <w:p w14:paraId="7E5C19BA" w14:textId="139A48E5"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Такролимус</w:t>
      </w:r>
    </w:p>
    <w:p w14:paraId="2E5401A9"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Има риск от увеличение на нивата на такроломус в кръвта при едновременно приложение с амлодипин, въпреки че фармакокинетичният механизъм на това взаимодействие не е напълно изяснен. За да се избегне токсичност на такролимус, в случай на едновременно приложение на амлодипин при пациент, лекуван с такролимус, е необходимо мониториране на нивата на такролимус в кръвта и съответно коригиране на дозата такролимус при необходимост.</w:t>
      </w:r>
    </w:p>
    <w:p w14:paraId="3961BEA2" w14:textId="77777777" w:rsidR="00994BD1" w:rsidRPr="00994BD1" w:rsidRDefault="00994BD1" w:rsidP="00994BD1">
      <w:pPr>
        <w:spacing w:line="240" w:lineRule="auto"/>
        <w:rPr>
          <w:rFonts w:eastAsia="Times New Roman" w:cs="Arial"/>
          <w:i/>
          <w:iCs/>
          <w:color w:val="000000"/>
          <w:lang w:eastAsia="bg-BG"/>
        </w:rPr>
      </w:pPr>
    </w:p>
    <w:p w14:paraId="67D08B6E" w14:textId="7CF7616E"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Циклоспорин</w:t>
      </w:r>
    </w:p>
    <w:p w14:paraId="4681EF66"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Не са провеждани проучвания за взаимодействие между циклоспорин и амлодопин при здрави доброволци и други популации, с изключение на пациентите с бъбречна трансплантация, при които е наблюдавано промяната на най-ниската концентрация на циклоспорин да се повишава (средно 0-40%). Следва да се има предвид мониториране на нивата на циклоспорин при пациентите с бъбречна трансплантация, лекувани с амлодипин, както и съответно намаляване на дозата циклоспорин при необходимост.</w:t>
      </w:r>
    </w:p>
    <w:p w14:paraId="73AD22DE" w14:textId="77777777" w:rsidR="00994BD1" w:rsidRPr="00994BD1" w:rsidRDefault="00994BD1" w:rsidP="00994BD1">
      <w:pPr>
        <w:spacing w:line="240" w:lineRule="auto"/>
        <w:rPr>
          <w:rFonts w:eastAsia="Times New Roman" w:cs="Arial"/>
          <w:i/>
          <w:iCs/>
          <w:color w:val="000000"/>
          <w:lang w:eastAsia="bg-BG"/>
        </w:rPr>
      </w:pPr>
    </w:p>
    <w:p w14:paraId="01CA003D" w14:textId="75DB287C"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Симвастатин</w:t>
      </w:r>
    </w:p>
    <w:p w14:paraId="3D77D204"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 xml:space="preserve">Едновременното многократно приложение на амлодипин и 80 </w:t>
      </w:r>
      <w:r w:rsidRPr="00994BD1">
        <w:rPr>
          <w:rFonts w:eastAsia="Times New Roman" w:cs="Arial"/>
          <w:color w:val="000000"/>
          <w:lang w:val="en-US"/>
        </w:rPr>
        <w:t>mg</w:t>
      </w:r>
      <w:r w:rsidRPr="00994BD1">
        <w:rPr>
          <w:rFonts w:eastAsia="Times New Roman" w:cs="Arial"/>
          <w:color w:val="000000"/>
          <w:lang w:val="ru-RU"/>
        </w:rPr>
        <w:t xml:space="preserve"> </w:t>
      </w:r>
      <w:r w:rsidRPr="00994BD1">
        <w:rPr>
          <w:rFonts w:eastAsia="Times New Roman" w:cs="Arial"/>
          <w:color w:val="000000"/>
          <w:lang w:eastAsia="bg-BG"/>
        </w:rPr>
        <w:t xml:space="preserve">симвастатин води до увеличение на нивата на симвастатин до 77 %, в сравнение със симвастатин, приложен самостоятелно. Затова, при пациенти, приемащи амлодипин, е необходимо да се намали дозата симвастатин до 20 </w:t>
      </w:r>
      <w:r w:rsidRPr="00994BD1">
        <w:rPr>
          <w:rFonts w:eastAsia="Times New Roman" w:cs="Arial"/>
          <w:color w:val="000000"/>
          <w:lang w:val="en-US"/>
        </w:rPr>
        <w:t>mg</w:t>
      </w:r>
      <w:r w:rsidRPr="00994BD1">
        <w:rPr>
          <w:rFonts w:eastAsia="Times New Roman" w:cs="Arial"/>
          <w:color w:val="000000"/>
          <w:lang w:val="ru-RU"/>
        </w:rPr>
        <w:t xml:space="preserve"> </w:t>
      </w:r>
      <w:r w:rsidRPr="00994BD1">
        <w:rPr>
          <w:rFonts w:eastAsia="Times New Roman" w:cs="Arial"/>
          <w:color w:val="000000"/>
          <w:lang w:eastAsia="bg-BG"/>
        </w:rPr>
        <w:t>дневно.</w:t>
      </w:r>
    </w:p>
    <w:p w14:paraId="58BF89BD" w14:textId="77777777" w:rsidR="00994BD1" w:rsidRPr="00994BD1" w:rsidRDefault="00994BD1" w:rsidP="00994BD1">
      <w:pPr>
        <w:spacing w:line="240" w:lineRule="auto"/>
        <w:rPr>
          <w:rFonts w:eastAsia="Times New Roman" w:cs="Arial"/>
          <w:i/>
          <w:iCs/>
          <w:color w:val="000000"/>
          <w:lang w:eastAsia="bg-BG"/>
        </w:rPr>
      </w:pPr>
    </w:p>
    <w:p w14:paraId="38C0C397" w14:textId="541F885F"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Други</w:t>
      </w:r>
    </w:p>
    <w:p w14:paraId="561C440E"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Амлодипин е прилаган безопасно с дигоксин, варфарин, аторвастатин, силденафил, антиацидни лекарствени продукти (алуминиев хидроксид, магнезиев хидроксид, симетикон), циметидин, антибиотици и перорални хипогликемични лекарствени продукти. Когато амлодипин и силденафил са използвани в комбинация, всеки от двата продукта проявява независимо от другия понижаващ кръвното налягане ефект.</w:t>
      </w:r>
    </w:p>
    <w:p w14:paraId="4BD1BF27" w14:textId="1ED14D87" w:rsidR="00994BD1" w:rsidRPr="00994BD1" w:rsidRDefault="00994BD1" w:rsidP="00994BD1"/>
    <w:p w14:paraId="006BE4EC" w14:textId="503B46DC" w:rsidR="00DB32D3" w:rsidRDefault="002C50EE" w:rsidP="005726E3">
      <w:pPr>
        <w:pStyle w:val="Heading2"/>
      </w:pPr>
      <w:r>
        <w:t>4.6. Фертилитет, бременност и кърмене</w:t>
      </w:r>
    </w:p>
    <w:p w14:paraId="0D1A5665" w14:textId="46710675" w:rsidR="00994BD1" w:rsidRDefault="00994BD1" w:rsidP="00994BD1"/>
    <w:p w14:paraId="4427F6C6" w14:textId="77777777" w:rsidR="00994BD1" w:rsidRPr="00994BD1" w:rsidRDefault="00994BD1" w:rsidP="00994BD1">
      <w:pPr>
        <w:pStyle w:val="Heading3"/>
        <w:rPr>
          <w:rFonts w:eastAsia="Times New Roman"/>
          <w:sz w:val="28"/>
          <w:u w:val="single"/>
        </w:rPr>
      </w:pPr>
      <w:r w:rsidRPr="00994BD1">
        <w:rPr>
          <w:rFonts w:eastAsia="Times New Roman"/>
          <w:u w:val="single"/>
          <w:lang w:eastAsia="bg-BG"/>
        </w:rPr>
        <w:lastRenderedPageBreak/>
        <w:t>Бременност</w:t>
      </w:r>
    </w:p>
    <w:p w14:paraId="4C32DADA" w14:textId="77777777"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Налични са ограничени данни относно употребата на телмисартан/амлодипин при бременни жени. Не са извършвани изпитвания с телмисартан/амлодипин за репродуктивната токсичност при животни.</w:t>
      </w:r>
    </w:p>
    <w:p w14:paraId="79117EF5" w14:textId="5602BDA1" w:rsidR="00994BD1" w:rsidRPr="00994BD1" w:rsidRDefault="00994BD1" w:rsidP="00994BD1">
      <w:pPr>
        <w:rPr>
          <w:rFonts w:cs="Arial"/>
          <w:sz w:val="24"/>
        </w:rPr>
      </w:pPr>
    </w:p>
    <w:p w14:paraId="7473424A" w14:textId="77777777" w:rsidR="00994BD1" w:rsidRPr="00994BD1" w:rsidRDefault="00994BD1" w:rsidP="00994BD1">
      <w:pPr>
        <w:spacing w:line="240" w:lineRule="auto"/>
        <w:rPr>
          <w:rFonts w:eastAsia="Times New Roman" w:cs="Arial"/>
          <w:sz w:val="28"/>
          <w:szCs w:val="24"/>
        </w:rPr>
      </w:pPr>
      <w:r w:rsidRPr="00994BD1">
        <w:rPr>
          <w:rFonts w:eastAsia="Times New Roman" w:cs="Arial"/>
          <w:i/>
          <w:iCs/>
          <w:color w:val="000000"/>
          <w:szCs w:val="20"/>
          <w:lang w:eastAsia="bg-BG"/>
        </w:rPr>
        <w:t>Телмисартан</w:t>
      </w:r>
    </w:p>
    <w:p w14:paraId="1A2D02A1" w14:textId="77777777" w:rsidR="00994BD1" w:rsidRPr="00994BD1" w:rsidRDefault="00994BD1" w:rsidP="00994BD1">
      <w:pPr>
        <w:spacing w:line="240" w:lineRule="auto"/>
        <w:rPr>
          <w:rFonts w:eastAsia="Times New Roman" w:cs="Arial"/>
          <w:color w:val="000000"/>
          <w:szCs w:val="20"/>
          <w:lang w:eastAsia="bg-BG"/>
        </w:rPr>
      </w:pPr>
    </w:p>
    <w:p w14:paraId="04C30C12" w14:textId="3053CEB0"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Не се препоръчва употребата на ангиотензин II рецепторни антагонисти по време на първия триместър от бременността (вж. точка 4.4). Употребата на ангиотензин II рецепторни антагонисти е противопоказана по време на втория и третия триместър от бременността (вж. точка 4.3 и точка 4.4).</w:t>
      </w:r>
    </w:p>
    <w:p w14:paraId="370F434F" w14:textId="77777777" w:rsidR="00994BD1" w:rsidRPr="00994BD1" w:rsidRDefault="00994BD1" w:rsidP="00994BD1">
      <w:pPr>
        <w:spacing w:line="240" w:lineRule="auto"/>
        <w:rPr>
          <w:rFonts w:eastAsia="Times New Roman" w:cs="Arial"/>
          <w:color w:val="000000"/>
          <w:szCs w:val="20"/>
          <w:lang w:eastAsia="bg-BG"/>
        </w:rPr>
      </w:pPr>
    </w:p>
    <w:p w14:paraId="49B2B354" w14:textId="4BCA9DA9"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Проучванията с телмисартан при животни са показали наличие на репродуктивна токсичност (вж. точка 5.3).</w:t>
      </w:r>
    </w:p>
    <w:p w14:paraId="19922BF9" w14:textId="77777777" w:rsidR="00994BD1" w:rsidRPr="00994BD1" w:rsidRDefault="00994BD1" w:rsidP="00994BD1">
      <w:pPr>
        <w:spacing w:line="240" w:lineRule="auto"/>
        <w:rPr>
          <w:rFonts w:eastAsia="Times New Roman" w:cs="Arial"/>
          <w:color w:val="000000"/>
          <w:szCs w:val="20"/>
          <w:lang w:eastAsia="bg-BG"/>
        </w:rPr>
      </w:pPr>
    </w:p>
    <w:p w14:paraId="67967E79" w14:textId="5F9606DD"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 xml:space="preserve">Епидемиологичните данни за риска от тератогенност след експозиция на АСЕ инхибитори през първия триместър на бременността не са убедителни. Все пак, не може да се изключи повишение на риска. Докато липсват данни от контролирано епидемиологично изследване за риска от действието на ангиотензин II рецепторни антагонисти, за този клас лекарствени продукти такива рискове винаги може да има. Освен когато продължителното лечение с ангиотензин II рецепторни антагонисти се счита за наложително, пациентките, които планират да забременеят трябва да преминат на алтернативно антихипертонично лечение, което е с доказана безопасност за бременни. Когато се установи бременност, лечението с ангиотензин </w:t>
      </w:r>
      <w:r w:rsidRPr="00994BD1">
        <w:rPr>
          <w:rFonts w:eastAsia="Times New Roman" w:cs="Arial"/>
          <w:color w:val="000000"/>
          <w:szCs w:val="20"/>
          <w:lang w:val="en-US"/>
        </w:rPr>
        <w:t>II</w:t>
      </w:r>
      <w:r w:rsidRPr="00994BD1">
        <w:rPr>
          <w:rFonts w:eastAsia="Times New Roman" w:cs="Arial"/>
          <w:color w:val="000000"/>
          <w:szCs w:val="20"/>
          <w:lang w:eastAsia="bg-BG"/>
        </w:rPr>
        <w:t xml:space="preserve"> рецепторни антагонисти трябва да бъде преустановено незабавно и, ако е възможно, да се започне алтернатино лечение.</w:t>
      </w:r>
    </w:p>
    <w:p w14:paraId="7B0E5F78" w14:textId="77777777" w:rsidR="00994BD1" w:rsidRPr="00994BD1" w:rsidRDefault="00994BD1" w:rsidP="00994BD1">
      <w:pPr>
        <w:spacing w:line="240" w:lineRule="auto"/>
        <w:rPr>
          <w:rFonts w:eastAsia="Times New Roman" w:cs="Arial"/>
          <w:color w:val="000000"/>
          <w:szCs w:val="20"/>
          <w:lang w:eastAsia="bg-BG"/>
        </w:rPr>
      </w:pPr>
    </w:p>
    <w:p w14:paraId="137EC373" w14:textId="17ADA136"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Известно е, че експозицията на ангиотензин II рецепторни антагонисти по време на втория и третия триместри, индуцира фетотоксичност (понижена бъбречна функция, намаляване на амниотичната течност, забавяне осификацията на черепа) и неонатална токсичност (бъбречно увреждане, хипотония, хиперкалиемия) (вж. точка 5.3).</w:t>
      </w:r>
    </w:p>
    <w:p w14:paraId="011CBDF1" w14:textId="77777777"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При експозиция на ангиотензин И рецепторни антагонисти по време на втория триместър на бременността, се препоръчва извършване на ултразвуков преглед на бъбречната фукция и черепа.</w:t>
      </w:r>
    </w:p>
    <w:p w14:paraId="46AF6BA4" w14:textId="77777777"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Кърмачетата, чиито майки са приемали ангиотензин II рецепторни антагонисти трябва да бъдат наблюдавани за поява на хипотония (вижте точки 4.3 и 4.4).</w:t>
      </w:r>
    </w:p>
    <w:p w14:paraId="26FDEDC2" w14:textId="77777777" w:rsidR="00994BD1" w:rsidRPr="00994BD1" w:rsidRDefault="00994BD1" w:rsidP="00994BD1">
      <w:pPr>
        <w:spacing w:line="240" w:lineRule="auto"/>
        <w:rPr>
          <w:rFonts w:eastAsia="Times New Roman" w:cs="Arial"/>
          <w:i/>
          <w:iCs/>
          <w:color w:val="000000"/>
          <w:szCs w:val="20"/>
          <w:lang w:eastAsia="bg-BG"/>
        </w:rPr>
      </w:pPr>
    </w:p>
    <w:p w14:paraId="52C1490C" w14:textId="71716A0A" w:rsidR="00994BD1" w:rsidRPr="00994BD1" w:rsidRDefault="00994BD1" w:rsidP="00994BD1">
      <w:pPr>
        <w:spacing w:line="240" w:lineRule="auto"/>
        <w:rPr>
          <w:rFonts w:eastAsia="Times New Roman" w:cs="Arial"/>
          <w:sz w:val="28"/>
          <w:szCs w:val="24"/>
        </w:rPr>
      </w:pPr>
      <w:r w:rsidRPr="00994BD1">
        <w:rPr>
          <w:rFonts w:eastAsia="Times New Roman" w:cs="Arial"/>
          <w:i/>
          <w:iCs/>
          <w:color w:val="000000"/>
          <w:szCs w:val="20"/>
          <w:lang w:eastAsia="bg-BG"/>
        </w:rPr>
        <w:t>Амлодипин</w:t>
      </w:r>
    </w:p>
    <w:p w14:paraId="15950113" w14:textId="77777777" w:rsidR="00994BD1" w:rsidRPr="00994BD1" w:rsidRDefault="00994BD1" w:rsidP="00994BD1">
      <w:pPr>
        <w:spacing w:line="240" w:lineRule="auto"/>
        <w:rPr>
          <w:rFonts w:eastAsia="Times New Roman" w:cs="Arial"/>
          <w:color w:val="000000"/>
          <w:szCs w:val="20"/>
          <w:lang w:eastAsia="bg-BG"/>
        </w:rPr>
      </w:pPr>
    </w:p>
    <w:p w14:paraId="5C1C27D3" w14:textId="7696E325"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Данните от малък брой случаи на експозиция на бременни жени не показват вредно въздействие върху плода на амлодипин или други антагонисти на калциевите рецептори. Въпреки това, след продължителен прием, риск съществува.</w:t>
      </w:r>
    </w:p>
    <w:p w14:paraId="71218176" w14:textId="77777777" w:rsidR="00994BD1" w:rsidRPr="00994BD1" w:rsidRDefault="00994BD1" w:rsidP="00994BD1">
      <w:pPr>
        <w:spacing w:line="240" w:lineRule="auto"/>
        <w:rPr>
          <w:rFonts w:eastAsia="Times New Roman" w:cs="Arial"/>
          <w:color w:val="000000"/>
          <w:szCs w:val="20"/>
          <w:u w:val="single"/>
          <w:lang w:eastAsia="bg-BG"/>
        </w:rPr>
      </w:pPr>
    </w:p>
    <w:p w14:paraId="3F30BB05" w14:textId="1056E87B" w:rsidR="00994BD1" w:rsidRPr="00994BD1" w:rsidRDefault="00994BD1" w:rsidP="00994BD1">
      <w:pPr>
        <w:pStyle w:val="Heading3"/>
        <w:rPr>
          <w:rFonts w:eastAsia="Times New Roman"/>
          <w:sz w:val="28"/>
          <w:u w:val="single"/>
        </w:rPr>
      </w:pPr>
      <w:r w:rsidRPr="00994BD1">
        <w:rPr>
          <w:rFonts w:eastAsia="Times New Roman"/>
          <w:u w:val="single"/>
          <w:lang w:eastAsia="bg-BG"/>
        </w:rPr>
        <w:t>Кърмене</w:t>
      </w:r>
    </w:p>
    <w:p w14:paraId="4B8381D6" w14:textId="77777777"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Амлодипин се екскретира в кърмата. Частта от дозата на майката, получена от кърмачето, е изчислена с интерквартилен диапазон 3-7 %, с максимум 15 %. Ефектът на амлодипин върху кърмачетата е неизвестен.</w:t>
      </w:r>
    </w:p>
    <w:p w14:paraId="0F18D27A" w14:textId="77777777"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 xml:space="preserve">Поради това, че не е налична информация относно употребата на телмисартан по време на кърмене, употребата на телмисартан/амлодипин не се препоръчва; необходимо е да </w:t>
      </w:r>
      <w:r w:rsidRPr="00994BD1">
        <w:rPr>
          <w:rFonts w:eastAsia="Times New Roman" w:cs="Arial"/>
          <w:color w:val="000000"/>
          <w:szCs w:val="20"/>
          <w:lang w:eastAsia="bg-BG"/>
        </w:rPr>
        <w:lastRenderedPageBreak/>
        <w:t>се пристъпи към алтернативно лечение с доказана безопасност по време на кърмене, особено когато се кърми новородено или недоносено бебе.</w:t>
      </w:r>
    </w:p>
    <w:p w14:paraId="4D92D023" w14:textId="77777777" w:rsidR="00994BD1" w:rsidRPr="00994BD1" w:rsidRDefault="00994BD1" w:rsidP="00994BD1">
      <w:pPr>
        <w:spacing w:line="240" w:lineRule="auto"/>
        <w:rPr>
          <w:rFonts w:eastAsia="Times New Roman" w:cs="Arial"/>
          <w:color w:val="000000"/>
          <w:szCs w:val="20"/>
          <w:u w:val="single"/>
          <w:lang w:eastAsia="bg-BG"/>
        </w:rPr>
      </w:pPr>
    </w:p>
    <w:p w14:paraId="464F3CBB" w14:textId="2D707059" w:rsidR="00994BD1" w:rsidRPr="00994BD1" w:rsidRDefault="00994BD1" w:rsidP="00994BD1">
      <w:pPr>
        <w:pStyle w:val="Heading3"/>
        <w:rPr>
          <w:rFonts w:eastAsia="Times New Roman"/>
          <w:sz w:val="28"/>
          <w:u w:val="single"/>
        </w:rPr>
      </w:pPr>
      <w:r w:rsidRPr="00994BD1">
        <w:rPr>
          <w:rFonts w:eastAsia="Times New Roman"/>
          <w:u w:val="single"/>
          <w:lang w:eastAsia="bg-BG"/>
        </w:rPr>
        <w:t>Фертилитет</w:t>
      </w:r>
    </w:p>
    <w:p w14:paraId="68D9A46D" w14:textId="77777777"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Не са налични данни от контролирани клинични изпитвания с фиксираната дозова комбинация или с всеки от компонентите поотделно.</w:t>
      </w:r>
    </w:p>
    <w:p w14:paraId="1B9E86D2" w14:textId="77777777" w:rsidR="00994BD1" w:rsidRPr="00994BD1" w:rsidRDefault="00994BD1" w:rsidP="00994BD1">
      <w:pPr>
        <w:spacing w:line="240" w:lineRule="auto"/>
        <w:rPr>
          <w:rFonts w:eastAsia="Times New Roman" w:cs="Arial"/>
          <w:color w:val="000000"/>
          <w:szCs w:val="20"/>
          <w:lang w:eastAsia="bg-BG"/>
        </w:rPr>
      </w:pPr>
    </w:p>
    <w:p w14:paraId="0085E948" w14:textId="1447A556"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Не са провеждани отделни изпитвания за репродуктивна токсичност с комбинацията телмисарган-амлодипин.</w:t>
      </w:r>
    </w:p>
    <w:p w14:paraId="2C53100D" w14:textId="77777777"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В предклинични изпитвания не са наблюдавани въздействия на телмисартан върху фертилитета при мъжки и женски животни.</w:t>
      </w:r>
    </w:p>
    <w:p w14:paraId="42319A90" w14:textId="2BA6F112" w:rsidR="00994BD1" w:rsidRPr="00994BD1" w:rsidRDefault="00994BD1" w:rsidP="00994BD1">
      <w:pPr>
        <w:rPr>
          <w:rFonts w:eastAsia="Times New Roman" w:cs="Arial"/>
          <w:color w:val="000000"/>
          <w:szCs w:val="20"/>
          <w:lang w:eastAsia="bg-BG"/>
        </w:rPr>
      </w:pPr>
      <w:r w:rsidRPr="00994BD1">
        <w:rPr>
          <w:rFonts w:eastAsia="Times New Roman" w:cs="Arial"/>
          <w:color w:val="000000"/>
          <w:szCs w:val="20"/>
          <w:lang w:eastAsia="bg-BG"/>
        </w:rPr>
        <w:t>Също така, не са докладвани въздействия на амлодипин върху фертилитета при</w:t>
      </w:r>
      <w:r w:rsidRPr="00994BD1">
        <w:rPr>
          <w:rFonts w:eastAsia="Times New Roman" w:cs="Arial"/>
          <w:color w:val="000000"/>
          <w:szCs w:val="20"/>
          <w:lang w:val="ru-RU"/>
        </w:rPr>
        <w:t xml:space="preserve"> </w:t>
      </w:r>
      <w:r w:rsidRPr="00994BD1">
        <w:rPr>
          <w:rFonts w:eastAsia="Times New Roman" w:cs="Arial"/>
          <w:color w:val="000000"/>
          <w:szCs w:val="20"/>
          <w:lang w:eastAsia="bg-BG"/>
        </w:rPr>
        <w:t>мъжки и женски животни (вж. точка 5.3).</w:t>
      </w:r>
    </w:p>
    <w:p w14:paraId="3E7AFDA8" w14:textId="0F61DFC4" w:rsidR="00994BD1" w:rsidRPr="00994BD1" w:rsidRDefault="00994BD1" w:rsidP="00994BD1">
      <w:pPr>
        <w:rPr>
          <w:rFonts w:eastAsia="Times New Roman" w:cs="Arial"/>
          <w:color w:val="000000"/>
          <w:szCs w:val="20"/>
          <w:lang w:eastAsia="bg-BG"/>
        </w:rPr>
      </w:pPr>
    </w:p>
    <w:p w14:paraId="58343D28" w14:textId="77777777"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 xml:space="preserve">При предклинични </w:t>
      </w:r>
      <w:r w:rsidRPr="00994BD1">
        <w:rPr>
          <w:rFonts w:eastAsia="Times New Roman" w:cs="Arial"/>
          <w:i/>
          <w:iCs/>
          <w:color w:val="000000"/>
          <w:szCs w:val="20"/>
          <w:lang w:val="en-US"/>
        </w:rPr>
        <w:t>in</w:t>
      </w:r>
      <w:r w:rsidRPr="00994BD1">
        <w:rPr>
          <w:rFonts w:eastAsia="Times New Roman" w:cs="Arial"/>
          <w:i/>
          <w:iCs/>
          <w:color w:val="000000"/>
          <w:szCs w:val="20"/>
          <w:lang w:val="ru-RU"/>
        </w:rPr>
        <w:t xml:space="preserve"> </w:t>
      </w:r>
      <w:r w:rsidRPr="00994BD1">
        <w:rPr>
          <w:rFonts w:eastAsia="Times New Roman" w:cs="Arial"/>
          <w:i/>
          <w:iCs/>
          <w:color w:val="000000"/>
          <w:szCs w:val="20"/>
          <w:lang w:val="en-US"/>
        </w:rPr>
        <w:t>vitro</w:t>
      </w:r>
      <w:r w:rsidRPr="00994BD1">
        <w:rPr>
          <w:rFonts w:eastAsia="Times New Roman" w:cs="Arial"/>
          <w:color w:val="000000"/>
          <w:szCs w:val="20"/>
          <w:lang w:val="ru-RU"/>
        </w:rPr>
        <w:t xml:space="preserve"> </w:t>
      </w:r>
      <w:r w:rsidRPr="00994BD1">
        <w:rPr>
          <w:rFonts w:eastAsia="Times New Roman" w:cs="Arial"/>
          <w:color w:val="000000"/>
          <w:szCs w:val="20"/>
          <w:lang w:eastAsia="bg-BG"/>
        </w:rPr>
        <w:t>проучвания, свързани с блокерите на калциевите канали, са наблюдавани обратими биохимични промени в главичката на сперматозоида, които могат да понижат оплодителната способност. Не е установена клинична значимост.</w:t>
      </w:r>
    </w:p>
    <w:p w14:paraId="38D20B7D" w14:textId="77777777" w:rsidR="00994BD1" w:rsidRPr="00994BD1" w:rsidRDefault="00994BD1" w:rsidP="00994BD1"/>
    <w:p w14:paraId="128BA3A8" w14:textId="5A8F1551" w:rsidR="00DB32D3" w:rsidRDefault="002C50EE" w:rsidP="005726E3">
      <w:pPr>
        <w:pStyle w:val="Heading2"/>
      </w:pPr>
      <w:r>
        <w:t>4.7. Ефекти върху способността за шофиране и работа с машини</w:t>
      </w:r>
    </w:p>
    <w:p w14:paraId="3E31B724" w14:textId="144BBD71" w:rsidR="00994BD1" w:rsidRDefault="00994BD1" w:rsidP="00994BD1"/>
    <w:p w14:paraId="59CBEFB7" w14:textId="77777777" w:rsidR="00994BD1" w:rsidRPr="00994BD1" w:rsidRDefault="00994BD1" w:rsidP="00994BD1">
      <w:pPr>
        <w:rPr>
          <w:sz w:val="24"/>
          <w:szCs w:val="24"/>
        </w:rPr>
      </w:pPr>
      <w:r w:rsidRPr="00994BD1">
        <w:rPr>
          <w:lang w:eastAsia="bg-BG"/>
        </w:rPr>
        <w:t xml:space="preserve">Този лекарствен продукт повлиява </w:t>
      </w:r>
      <w:r w:rsidRPr="00994BD1">
        <w:rPr>
          <w:i/>
          <w:iCs/>
          <w:lang w:eastAsia="bg-BG"/>
        </w:rPr>
        <w:t>в</w:t>
      </w:r>
      <w:r w:rsidRPr="00994BD1">
        <w:rPr>
          <w:lang w:eastAsia="bg-BG"/>
        </w:rPr>
        <w:t xml:space="preserve"> умерена степен </w:t>
      </w:r>
      <w:r w:rsidRPr="00994BD1">
        <w:rPr>
          <w:i/>
          <w:iCs/>
          <w:lang w:eastAsia="bg-BG"/>
        </w:rPr>
        <w:t>способността за</w:t>
      </w:r>
      <w:r w:rsidRPr="00994BD1">
        <w:rPr>
          <w:lang w:eastAsia="bg-BG"/>
        </w:rPr>
        <w:t xml:space="preserve"> шофиране и работа с машини. Пациентите трябва да бъдат информирани, че по време на лечението може да се наблюдават нежелани реакции, като синкоп, сънливост, замайване или световъртеж (вж. точка 4.8). Затова се препоръчва повишено внимание по време на шофиране и работа с машини. При поява на тези нежелани реакции, е необходимо да се избягват потенциално опасни дейности като шофиране и работа с машини.</w:t>
      </w:r>
    </w:p>
    <w:p w14:paraId="38AF57F7" w14:textId="77777777" w:rsidR="00994BD1" w:rsidRPr="00994BD1" w:rsidRDefault="00994BD1" w:rsidP="00994BD1"/>
    <w:p w14:paraId="44CE30A3" w14:textId="7FB824EE" w:rsidR="007122AD" w:rsidRDefault="002C50EE" w:rsidP="00936AD0">
      <w:pPr>
        <w:pStyle w:val="Heading2"/>
      </w:pPr>
      <w:r>
        <w:t>4.8. Нежелани лекарствени реакции</w:t>
      </w:r>
    </w:p>
    <w:p w14:paraId="566DBC6A" w14:textId="4AE21562" w:rsidR="00994BD1" w:rsidRDefault="00994BD1" w:rsidP="00994BD1"/>
    <w:p w14:paraId="4ABEE030" w14:textId="77777777"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u w:val="single"/>
          <w:lang w:eastAsia="bg-BG"/>
        </w:rPr>
        <w:t>Обобщение на профила на безопасност</w:t>
      </w:r>
    </w:p>
    <w:p w14:paraId="2AD79143" w14:textId="77777777" w:rsidR="00994BD1" w:rsidRPr="00994BD1" w:rsidRDefault="00994BD1" w:rsidP="00994BD1">
      <w:pPr>
        <w:spacing w:line="240" w:lineRule="auto"/>
        <w:rPr>
          <w:rFonts w:eastAsia="Times New Roman" w:cs="Arial"/>
          <w:color w:val="000000"/>
          <w:szCs w:val="20"/>
          <w:lang w:eastAsia="bg-BG"/>
        </w:rPr>
      </w:pPr>
    </w:p>
    <w:p w14:paraId="17AB77CB" w14:textId="5D268C0C"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Най-честите нежелани лекарствени реакции включват замаяност и периферен оток. В редки случаи може да възникне и сериозен синкоп (по-малко от 1 случай на 1 000 пациенти).</w:t>
      </w:r>
    </w:p>
    <w:p w14:paraId="4C7F91F1" w14:textId="77777777" w:rsidR="00994BD1" w:rsidRPr="00994BD1" w:rsidRDefault="00994BD1" w:rsidP="00994BD1">
      <w:pPr>
        <w:spacing w:line="240" w:lineRule="auto"/>
        <w:rPr>
          <w:rFonts w:eastAsia="Times New Roman" w:cs="Arial"/>
          <w:color w:val="000000"/>
          <w:szCs w:val="20"/>
          <w:lang w:eastAsia="bg-BG"/>
        </w:rPr>
      </w:pPr>
    </w:p>
    <w:p w14:paraId="281F5EDF" w14:textId="2AEC7635"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Съобщените до момента нежелани реакции, отнасящи се до някой от компонентите (телмисартан или амлодипин), могат да бъдат потенциални нежелани реакции и на Равентон, дори ако не са наблюдавани в клинични проучвания или по време на постмаркетинговия период.</w:t>
      </w:r>
    </w:p>
    <w:p w14:paraId="2BD13881" w14:textId="77777777" w:rsidR="00994BD1" w:rsidRPr="00994BD1" w:rsidRDefault="00994BD1" w:rsidP="00994BD1">
      <w:pPr>
        <w:spacing w:line="240" w:lineRule="auto"/>
        <w:rPr>
          <w:rFonts w:eastAsia="Times New Roman" w:cs="Arial"/>
          <w:color w:val="000000"/>
          <w:szCs w:val="20"/>
          <w:u w:val="single"/>
          <w:lang w:eastAsia="bg-BG"/>
        </w:rPr>
      </w:pPr>
    </w:p>
    <w:p w14:paraId="5687465C" w14:textId="550E975A"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u w:val="single"/>
          <w:lang w:eastAsia="bg-BG"/>
        </w:rPr>
        <w:t>Табличен вид на нежеланите лекарствени реакции</w:t>
      </w:r>
    </w:p>
    <w:p w14:paraId="1EA31DDA" w14:textId="77777777"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Безопасността и поносимостта на Равентон са оценени в 5 контролирани клинични изпитвания с над 3 500 пациенти, над 2 500 от които са приемали телмисартан в комбинация с амлодипин.</w:t>
      </w:r>
    </w:p>
    <w:p w14:paraId="60720E45" w14:textId="77777777" w:rsidR="00994BD1" w:rsidRPr="00994BD1" w:rsidRDefault="00994BD1" w:rsidP="00994BD1">
      <w:pPr>
        <w:spacing w:line="240" w:lineRule="auto"/>
        <w:rPr>
          <w:rFonts w:eastAsia="Times New Roman" w:cs="Arial"/>
          <w:color w:val="000000"/>
          <w:szCs w:val="20"/>
          <w:lang w:eastAsia="bg-BG"/>
        </w:rPr>
      </w:pPr>
    </w:p>
    <w:p w14:paraId="72BCF348" w14:textId="14717A6B"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Нежеланите реакции са определени според честотата на възникване, съгласно следната класификация: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471A1BDD" w14:textId="77777777" w:rsidR="00994BD1" w:rsidRPr="00994BD1" w:rsidRDefault="00994BD1" w:rsidP="00994BD1">
      <w:pPr>
        <w:spacing w:line="240" w:lineRule="auto"/>
        <w:rPr>
          <w:rFonts w:eastAsia="Times New Roman" w:cs="Arial"/>
          <w:color w:val="000000"/>
          <w:szCs w:val="20"/>
          <w:lang w:eastAsia="bg-BG"/>
        </w:rPr>
      </w:pPr>
    </w:p>
    <w:p w14:paraId="55CE0F1C" w14:textId="129A5E23"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Във всяка група, нежеланите реакции са представени в низходящ ред по отношение на тяхната сериозност.</w:t>
      </w:r>
    </w:p>
    <w:p w14:paraId="5E5B3980" w14:textId="7A94567D" w:rsidR="00994BD1" w:rsidRDefault="00994BD1" w:rsidP="00994BD1"/>
    <w:tbl>
      <w:tblPr>
        <w:tblStyle w:val="TableGrid"/>
        <w:tblW w:w="0" w:type="auto"/>
        <w:tblLook w:val="04A0" w:firstRow="1" w:lastRow="0" w:firstColumn="1" w:lastColumn="0" w:noHBand="0" w:noVBand="1"/>
      </w:tblPr>
      <w:tblGrid>
        <w:gridCol w:w="2247"/>
        <w:gridCol w:w="2341"/>
        <w:gridCol w:w="2351"/>
        <w:gridCol w:w="2411"/>
      </w:tblGrid>
      <w:tr w:rsidR="00994BD1" w14:paraId="159ECE0C" w14:textId="77777777" w:rsidTr="001814D1">
        <w:tc>
          <w:tcPr>
            <w:tcW w:w="2388" w:type="dxa"/>
          </w:tcPr>
          <w:p w14:paraId="59293FC4" w14:textId="11461345" w:rsidR="00994BD1" w:rsidRPr="00994BD1" w:rsidRDefault="00994BD1" w:rsidP="00994BD1">
            <w:pPr>
              <w:rPr>
                <w:b/>
              </w:rPr>
            </w:pPr>
            <w:r w:rsidRPr="00994BD1">
              <w:rPr>
                <w:b/>
              </w:rPr>
              <w:t>Системо- органен клас</w:t>
            </w:r>
          </w:p>
        </w:tc>
        <w:tc>
          <w:tcPr>
            <w:tcW w:w="2385" w:type="dxa"/>
          </w:tcPr>
          <w:p w14:paraId="1E802D21" w14:textId="485DE5EE" w:rsidR="00994BD1" w:rsidRPr="00994BD1" w:rsidRDefault="00994BD1" w:rsidP="00994BD1">
            <w:pPr>
              <w:rPr>
                <w:b/>
              </w:rPr>
            </w:pPr>
            <w:r w:rsidRPr="00994BD1">
              <w:rPr>
                <w:b/>
              </w:rPr>
              <w:t>Равентон</w:t>
            </w:r>
          </w:p>
        </w:tc>
        <w:tc>
          <w:tcPr>
            <w:tcW w:w="2392" w:type="dxa"/>
          </w:tcPr>
          <w:p w14:paraId="3650062F" w14:textId="554AA736" w:rsidR="00994BD1" w:rsidRPr="00994BD1" w:rsidRDefault="00994BD1" w:rsidP="00994BD1">
            <w:pPr>
              <w:rPr>
                <w:b/>
              </w:rPr>
            </w:pPr>
            <w:r w:rsidRPr="00994BD1">
              <w:rPr>
                <w:b/>
              </w:rPr>
              <w:t>Телмисартан</w:t>
            </w:r>
          </w:p>
        </w:tc>
        <w:tc>
          <w:tcPr>
            <w:tcW w:w="2411" w:type="dxa"/>
          </w:tcPr>
          <w:p w14:paraId="3709FF95" w14:textId="2BFDB4F6" w:rsidR="00994BD1" w:rsidRPr="00994BD1" w:rsidRDefault="00994BD1" w:rsidP="00994BD1">
            <w:pPr>
              <w:rPr>
                <w:b/>
              </w:rPr>
            </w:pPr>
            <w:r w:rsidRPr="00994BD1">
              <w:rPr>
                <w:b/>
              </w:rPr>
              <w:t>Амлодипин</w:t>
            </w:r>
          </w:p>
        </w:tc>
      </w:tr>
      <w:tr w:rsidR="00994BD1" w14:paraId="7BD5593E" w14:textId="77777777" w:rsidTr="006D4203">
        <w:tc>
          <w:tcPr>
            <w:tcW w:w="9576" w:type="dxa"/>
            <w:gridSpan w:val="4"/>
          </w:tcPr>
          <w:p w14:paraId="058FE1C8" w14:textId="2F418D53" w:rsidR="00994BD1" w:rsidRPr="00994BD1" w:rsidRDefault="00994BD1" w:rsidP="00994BD1">
            <w:pPr>
              <w:rPr>
                <w:b/>
                <w:i/>
              </w:rPr>
            </w:pPr>
            <w:r w:rsidRPr="00994BD1">
              <w:rPr>
                <w:b/>
                <w:i/>
                <w:lang w:eastAsia="bg-BG"/>
              </w:rPr>
              <w:t>Инфекции и инфестации</w:t>
            </w:r>
          </w:p>
        </w:tc>
      </w:tr>
      <w:tr w:rsidR="00994BD1" w14:paraId="642879CB" w14:textId="77777777" w:rsidTr="001814D1">
        <w:tc>
          <w:tcPr>
            <w:tcW w:w="2388" w:type="dxa"/>
          </w:tcPr>
          <w:p w14:paraId="42CDAA71" w14:textId="110BEAF8" w:rsidR="00994BD1" w:rsidRDefault="00994BD1" w:rsidP="00994BD1">
            <w:r>
              <w:t>Нечести</w:t>
            </w:r>
          </w:p>
        </w:tc>
        <w:tc>
          <w:tcPr>
            <w:tcW w:w="2385" w:type="dxa"/>
          </w:tcPr>
          <w:p w14:paraId="671081E5" w14:textId="77777777" w:rsidR="00994BD1" w:rsidRDefault="00994BD1" w:rsidP="00994BD1"/>
        </w:tc>
        <w:tc>
          <w:tcPr>
            <w:tcW w:w="2392" w:type="dxa"/>
          </w:tcPr>
          <w:p w14:paraId="1141DE86" w14:textId="77777777" w:rsidR="00994BD1" w:rsidRDefault="00994BD1" w:rsidP="00994BD1">
            <w:r>
              <w:t>инфекции на горните дихателни пътища, вкл.</w:t>
            </w:r>
          </w:p>
          <w:p w14:paraId="7F542E04" w14:textId="27027786" w:rsidR="00994BD1" w:rsidRDefault="00994BD1" w:rsidP="00994BD1">
            <w:r>
              <w:t>фарингит и синузит, инфекции на пикочните пътища, вкл. цистит</w:t>
            </w:r>
          </w:p>
        </w:tc>
        <w:tc>
          <w:tcPr>
            <w:tcW w:w="2411" w:type="dxa"/>
          </w:tcPr>
          <w:p w14:paraId="5B764B02" w14:textId="77777777" w:rsidR="00994BD1" w:rsidRDefault="00994BD1" w:rsidP="00994BD1"/>
        </w:tc>
      </w:tr>
      <w:tr w:rsidR="00994BD1" w14:paraId="650772DF" w14:textId="77777777" w:rsidTr="001814D1">
        <w:tc>
          <w:tcPr>
            <w:tcW w:w="2388" w:type="dxa"/>
          </w:tcPr>
          <w:p w14:paraId="7FD55A6D" w14:textId="24B0160A" w:rsidR="00994BD1" w:rsidRDefault="00994BD1" w:rsidP="00994BD1">
            <w:r>
              <w:t>Редки</w:t>
            </w:r>
          </w:p>
        </w:tc>
        <w:tc>
          <w:tcPr>
            <w:tcW w:w="2385" w:type="dxa"/>
          </w:tcPr>
          <w:p w14:paraId="36FB0734" w14:textId="124A469E" w:rsidR="00994BD1" w:rsidRDefault="00994BD1" w:rsidP="00994BD1">
            <w:r>
              <w:t>цистит</w:t>
            </w:r>
          </w:p>
        </w:tc>
        <w:tc>
          <w:tcPr>
            <w:tcW w:w="2392" w:type="dxa"/>
          </w:tcPr>
          <w:p w14:paraId="57501641" w14:textId="4683CBBA" w:rsidR="00994BD1" w:rsidRDefault="00994BD1" w:rsidP="00994BD1">
            <w:r>
              <w:t>сепсис, включително с летален изход</w:t>
            </w:r>
            <w:r>
              <w:rPr>
                <w:vertAlign w:val="superscript"/>
              </w:rPr>
              <w:t>1</w:t>
            </w:r>
          </w:p>
        </w:tc>
        <w:tc>
          <w:tcPr>
            <w:tcW w:w="2411" w:type="dxa"/>
          </w:tcPr>
          <w:p w14:paraId="36729694" w14:textId="77777777" w:rsidR="00994BD1" w:rsidRDefault="00994BD1" w:rsidP="00994BD1"/>
        </w:tc>
      </w:tr>
      <w:tr w:rsidR="00994BD1" w14:paraId="61ED22E4" w14:textId="77777777" w:rsidTr="003D7552">
        <w:tc>
          <w:tcPr>
            <w:tcW w:w="9576" w:type="dxa"/>
            <w:gridSpan w:val="4"/>
          </w:tcPr>
          <w:p w14:paraId="32076CFE" w14:textId="1F5A6E48" w:rsidR="00994BD1" w:rsidRPr="00994BD1" w:rsidRDefault="00994BD1" w:rsidP="00994BD1">
            <w:pPr>
              <w:rPr>
                <w:b/>
                <w:i/>
              </w:rPr>
            </w:pPr>
            <w:r w:rsidRPr="00994BD1">
              <w:rPr>
                <w:b/>
                <w:i/>
                <w:u w:val="single"/>
              </w:rPr>
              <w:t>Нарушения на кръвта</w:t>
            </w:r>
            <w:r w:rsidRPr="00994BD1">
              <w:rPr>
                <w:b/>
                <w:i/>
              </w:rPr>
              <w:t xml:space="preserve"> и лимфната система</w:t>
            </w:r>
          </w:p>
        </w:tc>
      </w:tr>
      <w:tr w:rsidR="00994BD1" w14:paraId="496E4CE0" w14:textId="77777777" w:rsidTr="001814D1">
        <w:tc>
          <w:tcPr>
            <w:tcW w:w="2388" w:type="dxa"/>
          </w:tcPr>
          <w:p w14:paraId="61605DC4" w14:textId="25A0EBA8" w:rsidR="00994BD1" w:rsidRDefault="00994BD1" w:rsidP="001814D1">
            <w:r>
              <w:t>Нечести</w:t>
            </w:r>
          </w:p>
        </w:tc>
        <w:tc>
          <w:tcPr>
            <w:tcW w:w="2385" w:type="dxa"/>
          </w:tcPr>
          <w:p w14:paraId="48FA1958" w14:textId="77777777" w:rsidR="00994BD1" w:rsidRDefault="00994BD1" w:rsidP="001814D1"/>
        </w:tc>
        <w:tc>
          <w:tcPr>
            <w:tcW w:w="2392" w:type="dxa"/>
          </w:tcPr>
          <w:p w14:paraId="3DAB2973" w14:textId="297D5CBB" w:rsidR="00994BD1" w:rsidRDefault="00994BD1" w:rsidP="001814D1">
            <w:r>
              <w:t>анемия</w:t>
            </w:r>
          </w:p>
        </w:tc>
        <w:tc>
          <w:tcPr>
            <w:tcW w:w="2411" w:type="dxa"/>
          </w:tcPr>
          <w:p w14:paraId="6A61EA81" w14:textId="77777777" w:rsidR="00994BD1" w:rsidRDefault="00994BD1" w:rsidP="001814D1"/>
        </w:tc>
      </w:tr>
      <w:tr w:rsidR="00994BD1" w14:paraId="68AD8077" w14:textId="77777777" w:rsidTr="001814D1">
        <w:tc>
          <w:tcPr>
            <w:tcW w:w="2388" w:type="dxa"/>
          </w:tcPr>
          <w:p w14:paraId="27880A70" w14:textId="495B3D76" w:rsidR="00994BD1" w:rsidRDefault="00994BD1" w:rsidP="001814D1">
            <w:r>
              <w:t>Редки</w:t>
            </w:r>
          </w:p>
        </w:tc>
        <w:tc>
          <w:tcPr>
            <w:tcW w:w="2385" w:type="dxa"/>
          </w:tcPr>
          <w:p w14:paraId="29053518" w14:textId="77777777" w:rsidR="00994BD1" w:rsidRDefault="00994BD1" w:rsidP="001814D1"/>
        </w:tc>
        <w:tc>
          <w:tcPr>
            <w:tcW w:w="2392" w:type="dxa"/>
          </w:tcPr>
          <w:p w14:paraId="47D29B5B" w14:textId="4C51B54D" w:rsidR="00994BD1" w:rsidRDefault="00994BD1" w:rsidP="001814D1">
            <w:r>
              <w:t>тромбоцитопения, еозинофилия</w:t>
            </w:r>
          </w:p>
        </w:tc>
        <w:tc>
          <w:tcPr>
            <w:tcW w:w="2411" w:type="dxa"/>
          </w:tcPr>
          <w:p w14:paraId="759ED064" w14:textId="77777777" w:rsidR="00994BD1" w:rsidRDefault="00994BD1" w:rsidP="001814D1"/>
        </w:tc>
      </w:tr>
      <w:tr w:rsidR="001814D1" w14:paraId="4A9C89B6" w14:textId="77777777" w:rsidTr="001814D1">
        <w:tc>
          <w:tcPr>
            <w:tcW w:w="2388" w:type="dxa"/>
            <w:vAlign w:val="bottom"/>
          </w:tcPr>
          <w:p w14:paraId="6326440C" w14:textId="44F201C3" w:rsidR="001814D1" w:rsidRDefault="001814D1" w:rsidP="001814D1">
            <w:r>
              <w:t>Много редки</w:t>
            </w:r>
          </w:p>
        </w:tc>
        <w:tc>
          <w:tcPr>
            <w:tcW w:w="2385" w:type="dxa"/>
          </w:tcPr>
          <w:p w14:paraId="4E0D7300" w14:textId="77777777" w:rsidR="001814D1" w:rsidRDefault="001814D1" w:rsidP="001814D1"/>
        </w:tc>
        <w:tc>
          <w:tcPr>
            <w:tcW w:w="2392" w:type="dxa"/>
          </w:tcPr>
          <w:p w14:paraId="75019D64" w14:textId="77777777" w:rsidR="001814D1" w:rsidRDefault="001814D1" w:rsidP="001814D1"/>
        </w:tc>
        <w:tc>
          <w:tcPr>
            <w:tcW w:w="2411" w:type="dxa"/>
            <w:vAlign w:val="bottom"/>
          </w:tcPr>
          <w:p w14:paraId="59FFEFBA" w14:textId="133A7959" w:rsidR="001814D1" w:rsidRDefault="001814D1" w:rsidP="001814D1">
            <w:r>
              <w:t>левкоцитопения, тромбоцитопения</w:t>
            </w:r>
          </w:p>
        </w:tc>
      </w:tr>
      <w:tr w:rsidR="001814D1" w14:paraId="3FAA0F79" w14:textId="77777777" w:rsidTr="00705404">
        <w:tc>
          <w:tcPr>
            <w:tcW w:w="9576" w:type="dxa"/>
            <w:gridSpan w:val="4"/>
          </w:tcPr>
          <w:p w14:paraId="31A5C602" w14:textId="66B3574A" w:rsidR="001814D1" w:rsidRPr="001814D1" w:rsidRDefault="001814D1" w:rsidP="001814D1">
            <w:pPr>
              <w:rPr>
                <w:b/>
                <w:i/>
              </w:rPr>
            </w:pPr>
            <w:r w:rsidRPr="001814D1">
              <w:rPr>
                <w:b/>
                <w:i/>
              </w:rPr>
              <w:t>Нарушения на имунната система</w:t>
            </w:r>
          </w:p>
        </w:tc>
      </w:tr>
      <w:tr w:rsidR="001814D1" w14:paraId="33961F7F" w14:textId="77777777" w:rsidTr="001814D1">
        <w:tc>
          <w:tcPr>
            <w:tcW w:w="2388" w:type="dxa"/>
          </w:tcPr>
          <w:p w14:paraId="7A205923" w14:textId="3D6F6635" w:rsidR="001814D1" w:rsidRDefault="001814D1" w:rsidP="001814D1">
            <w:r>
              <w:t>Редки</w:t>
            </w:r>
          </w:p>
        </w:tc>
        <w:tc>
          <w:tcPr>
            <w:tcW w:w="2385" w:type="dxa"/>
          </w:tcPr>
          <w:p w14:paraId="46089F28" w14:textId="77777777" w:rsidR="001814D1" w:rsidRDefault="001814D1" w:rsidP="001814D1"/>
        </w:tc>
        <w:tc>
          <w:tcPr>
            <w:tcW w:w="2392" w:type="dxa"/>
            <w:vAlign w:val="bottom"/>
          </w:tcPr>
          <w:p w14:paraId="53CE9CB8" w14:textId="75B0C3F6" w:rsidR="001814D1" w:rsidRDefault="001814D1" w:rsidP="001814D1">
            <w:r>
              <w:t>свръхчувствител- ност, анафилактична реакция</w:t>
            </w:r>
          </w:p>
        </w:tc>
        <w:tc>
          <w:tcPr>
            <w:tcW w:w="2411" w:type="dxa"/>
          </w:tcPr>
          <w:p w14:paraId="385F1ADB" w14:textId="77777777" w:rsidR="001814D1" w:rsidRDefault="001814D1" w:rsidP="001814D1"/>
        </w:tc>
      </w:tr>
      <w:tr w:rsidR="001814D1" w14:paraId="296F65E4" w14:textId="77777777" w:rsidTr="001814D1">
        <w:tc>
          <w:tcPr>
            <w:tcW w:w="2388" w:type="dxa"/>
            <w:vAlign w:val="bottom"/>
          </w:tcPr>
          <w:p w14:paraId="2143201C" w14:textId="195AA3DD" w:rsidR="001814D1" w:rsidRDefault="001814D1" w:rsidP="001814D1">
            <w:r>
              <w:t>Много редки</w:t>
            </w:r>
          </w:p>
        </w:tc>
        <w:tc>
          <w:tcPr>
            <w:tcW w:w="2385" w:type="dxa"/>
          </w:tcPr>
          <w:p w14:paraId="273384E6" w14:textId="77777777" w:rsidR="001814D1" w:rsidRDefault="001814D1" w:rsidP="001814D1"/>
        </w:tc>
        <w:tc>
          <w:tcPr>
            <w:tcW w:w="2392" w:type="dxa"/>
          </w:tcPr>
          <w:p w14:paraId="7E7E4444" w14:textId="77777777" w:rsidR="001814D1" w:rsidRDefault="001814D1" w:rsidP="001814D1"/>
        </w:tc>
        <w:tc>
          <w:tcPr>
            <w:tcW w:w="2411" w:type="dxa"/>
          </w:tcPr>
          <w:p w14:paraId="4D0DE74D" w14:textId="454D138D" w:rsidR="001814D1" w:rsidRDefault="001814D1" w:rsidP="001814D1">
            <w:r>
              <w:t>свръхчувствителност</w:t>
            </w:r>
          </w:p>
        </w:tc>
      </w:tr>
      <w:tr w:rsidR="001814D1" w14:paraId="73B12AC0" w14:textId="77777777" w:rsidTr="00177933">
        <w:tc>
          <w:tcPr>
            <w:tcW w:w="9576" w:type="dxa"/>
            <w:gridSpan w:val="4"/>
          </w:tcPr>
          <w:p w14:paraId="786C7428" w14:textId="7C8BDFC6" w:rsidR="001814D1" w:rsidRPr="001814D1" w:rsidRDefault="001814D1" w:rsidP="001814D1">
            <w:pPr>
              <w:rPr>
                <w:b/>
                <w:i/>
              </w:rPr>
            </w:pPr>
            <w:r w:rsidRPr="001814D1">
              <w:rPr>
                <w:b/>
                <w:i/>
              </w:rPr>
              <w:t>Нарушения на метаболизма и храненето</w:t>
            </w:r>
          </w:p>
        </w:tc>
      </w:tr>
      <w:tr w:rsidR="001814D1" w14:paraId="27358CE0" w14:textId="77777777" w:rsidTr="00CA171C">
        <w:tc>
          <w:tcPr>
            <w:tcW w:w="2388" w:type="dxa"/>
            <w:vAlign w:val="bottom"/>
          </w:tcPr>
          <w:p w14:paraId="6EC1EA47" w14:textId="3CB90301" w:rsidR="001814D1" w:rsidRDefault="001814D1" w:rsidP="001814D1">
            <w:r>
              <w:t>Нечести</w:t>
            </w:r>
          </w:p>
        </w:tc>
        <w:tc>
          <w:tcPr>
            <w:tcW w:w="2385" w:type="dxa"/>
          </w:tcPr>
          <w:p w14:paraId="2045A09A" w14:textId="77777777" w:rsidR="001814D1" w:rsidRDefault="001814D1" w:rsidP="001814D1"/>
        </w:tc>
        <w:tc>
          <w:tcPr>
            <w:tcW w:w="2392" w:type="dxa"/>
            <w:vAlign w:val="bottom"/>
          </w:tcPr>
          <w:p w14:paraId="2A2F02B2" w14:textId="20B511BC" w:rsidR="001814D1" w:rsidRDefault="001814D1" w:rsidP="001814D1">
            <w:r>
              <w:t>хиперкалиемия</w:t>
            </w:r>
          </w:p>
        </w:tc>
        <w:tc>
          <w:tcPr>
            <w:tcW w:w="2411" w:type="dxa"/>
          </w:tcPr>
          <w:p w14:paraId="68873CD4" w14:textId="77777777" w:rsidR="001814D1" w:rsidRDefault="001814D1" w:rsidP="001814D1"/>
        </w:tc>
      </w:tr>
      <w:tr w:rsidR="001814D1" w14:paraId="057D5D47" w14:textId="77777777" w:rsidTr="00CA171C">
        <w:tc>
          <w:tcPr>
            <w:tcW w:w="2388" w:type="dxa"/>
          </w:tcPr>
          <w:p w14:paraId="4C6A2A84" w14:textId="5D762100" w:rsidR="001814D1" w:rsidRDefault="001814D1" w:rsidP="001814D1">
            <w:r>
              <w:t>Редки</w:t>
            </w:r>
          </w:p>
        </w:tc>
        <w:tc>
          <w:tcPr>
            <w:tcW w:w="2385" w:type="dxa"/>
          </w:tcPr>
          <w:p w14:paraId="1FEDEC30" w14:textId="77777777" w:rsidR="001814D1" w:rsidRDefault="001814D1" w:rsidP="001814D1"/>
        </w:tc>
        <w:tc>
          <w:tcPr>
            <w:tcW w:w="2392" w:type="dxa"/>
            <w:vAlign w:val="bottom"/>
          </w:tcPr>
          <w:p w14:paraId="058AA5F0" w14:textId="17DCF6B0" w:rsidR="001814D1" w:rsidRDefault="001814D1" w:rsidP="001814D1">
            <w:r>
              <w:t>хипогликемия (при пациенти с диабет)</w:t>
            </w:r>
          </w:p>
        </w:tc>
        <w:tc>
          <w:tcPr>
            <w:tcW w:w="2411" w:type="dxa"/>
          </w:tcPr>
          <w:p w14:paraId="330C9A04" w14:textId="77777777" w:rsidR="001814D1" w:rsidRDefault="001814D1" w:rsidP="001814D1"/>
        </w:tc>
      </w:tr>
      <w:tr w:rsidR="001814D1" w14:paraId="2A11D873" w14:textId="77777777" w:rsidTr="00CA171C">
        <w:tc>
          <w:tcPr>
            <w:tcW w:w="2388" w:type="dxa"/>
            <w:vAlign w:val="bottom"/>
          </w:tcPr>
          <w:p w14:paraId="35702DC2" w14:textId="12F070D1" w:rsidR="001814D1" w:rsidRDefault="001814D1" w:rsidP="001814D1">
            <w:r>
              <w:t>Много редки</w:t>
            </w:r>
          </w:p>
        </w:tc>
        <w:tc>
          <w:tcPr>
            <w:tcW w:w="2385" w:type="dxa"/>
          </w:tcPr>
          <w:p w14:paraId="2B983176" w14:textId="77777777" w:rsidR="001814D1" w:rsidRDefault="001814D1" w:rsidP="001814D1"/>
        </w:tc>
        <w:tc>
          <w:tcPr>
            <w:tcW w:w="2392" w:type="dxa"/>
          </w:tcPr>
          <w:p w14:paraId="08AE485F" w14:textId="77777777" w:rsidR="001814D1" w:rsidRDefault="001814D1" w:rsidP="001814D1"/>
        </w:tc>
        <w:tc>
          <w:tcPr>
            <w:tcW w:w="2411" w:type="dxa"/>
          </w:tcPr>
          <w:p w14:paraId="211B2973" w14:textId="2D24C237" w:rsidR="001814D1" w:rsidRDefault="001814D1" w:rsidP="001814D1">
            <w:r>
              <w:t>хипергликемия</w:t>
            </w:r>
          </w:p>
        </w:tc>
      </w:tr>
      <w:tr w:rsidR="001814D1" w14:paraId="0349D3F2" w14:textId="77777777" w:rsidTr="001C4C90">
        <w:tc>
          <w:tcPr>
            <w:tcW w:w="9576" w:type="dxa"/>
            <w:gridSpan w:val="4"/>
          </w:tcPr>
          <w:p w14:paraId="5917DB6D" w14:textId="6F2575C0" w:rsidR="001814D1" w:rsidRPr="001814D1" w:rsidRDefault="001814D1" w:rsidP="001814D1">
            <w:pPr>
              <w:rPr>
                <w:b/>
                <w:i/>
              </w:rPr>
            </w:pPr>
            <w:r w:rsidRPr="001814D1">
              <w:rPr>
                <w:b/>
                <w:i/>
              </w:rPr>
              <w:t>Психични нарушения</w:t>
            </w:r>
          </w:p>
        </w:tc>
      </w:tr>
      <w:tr w:rsidR="001814D1" w14:paraId="59B18159" w14:textId="77777777" w:rsidTr="008217FE">
        <w:tc>
          <w:tcPr>
            <w:tcW w:w="2388" w:type="dxa"/>
          </w:tcPr>
          <w:p w14:paraId="42549B3E" w14:textId="30718A4D" w:rsidR="001814D1" w:rsidRDefault="001814D1" w:rsidP="001814D1">
            <w:r>
              <w:t>Нечести</w:t>
            </w:r>
          </w:p>
        </w:tc>
        <w:tc>
          <w:tcPr>
            <w:tcW w:w="2385" w:type="dxa"/>
          </w:tcPr>
          <w:p w14:paraId="42D4796F" w14:textId="77777777" w:rsidR="001814D1" w:rsidRDefault="001814D1" w:rsidP="001814D1"/>
        </w:tc>
        <w:tc>
          <w:tcPr>
            <w:tcW w:w="2392" w:type="dxa"/>
          </w:tcPr>
          <w:p w14:paraId="6C4374FB" w14:textId="77777777" w:rsidR="001814D1" w:rsidRDefault="001814D1" w:rsidP="001814D1"/>
        </w:tc>
        <w:tc>
          <w:tcPr>
            <w:tcW w:w="2411" w:type="dxa"/>
            <w:vAlign w:val="bottom"/>
          </w:tcPr>
          <w:p w14:paraId="72EBC355" w14:textId="0ED37FBF" w:rsidR="001814D1" w:rsidRDefault="001814D1" w:rsidP="001814D1">
            <w:r>
              <w:t>промяна на настроението</w:t>
            </w:r>
          </w:p>
        </w:tc>
      </w:tr>
      <w:tr w:rsidR="001814D1" w14:paraId="1D8AF935" w14:textId="77777777" w:rsidTr="008217FE">
        <w:tc>
          <w:tcPr>
            <w:tcW w:w="2388" w:type="dxa"/>
          </w:tcPr>
          <w:p w14:paraId="09BC1BB6" w14:textId="62D878B5" w:rsidR="001814D1" w:rsidRDefault="001814D1" w:rsidP="001814D1">
            <w:r>
              <w:t>Редки</w:t>
            </w:r>
          </w:p>
        </w:tc>
        <w:tc>
          <w:tcPr>
            <w:tcW w:w="2385" w:type="dxa"/>
            <w:vAlign w:val="bottom"/>
          </w:tcPr>
          <w:p w14:paraId="107FC992" w14:textId="259BAC0B" w:rsidR="001814D1" w:rsidRDefault="001814D1" w:rsidP="001814D1">
            <w:r>
              <w:t>депресия, безпокойство, безсъние</w:t>
            </w:r>
          </w:p>
        </w:tc>
        <w:tc>
          <w:tcPr>
            <w:tcW w:w="2392" w:type="dxa"/>
          </w:tcPr>
          <w:p w14:paraId="11649F36" w14:textId="77777777" w:rsidR="001814D1" w:rsidRDefault="001814D1" w:rsidP="001814D1"/>
        </w:tc>
        <w:tc>
          <w:tcPr>
            <w:tcW w:w="2411" w:type="dxa"/>
          </w:tcPr>
          <w:p w14:paraId="5C3CA4CB" w14:textId="6023F83D" w:rsidR="001814D1" w:rsidRDefault="001814D1" w:rsidP="001814D1">
            <w:r>
              <w:t>обърканост</w:t>
            </w:r>
          </w:p>
        </w:tc>
      </w:tr>
      <w:tr w:rsidR="001814D1" w14:paraId="6F7E4147" w14:textId="77777777" w:rsidTr="00353F3C">
        <w:tc>
          <w:tcPr>
            <w:tcW w:w="9576" w:type="dxa"/>
            <w:gridSpan w:val="4"/>
          </w:tcPr>
          <w:p w14:paraId="172131C0" w14:textId="13F6E99D" w:rsidR="001814D1" w:rsidRPr="001814D1" w:rsidRDefault="001814D1" w:rsidP="001814D1">
            <w:pPr>
              <w:rPr>
                <w:b/>
                <w:i/>
              </w:rPr>
            </w:pPr>
            <w:r w:rsidRPr="001814D1">
              <w:rPr>
                <w:b/>
                <w:i/>
              </w:rPr>
              <w:t>Нарушения на нервната система</w:t>
            </w:r>
          </w:p>
        </w:tc>
      </w:tr>
      <w:tr w:rsidR="001814D1" w14:paraId="1BE450E1" w14:textId="77777777" w:rsidTr="006661CE">
        <w:tc>
          <w:tcPr>
            <w:tcW w:w="2388" w:type="dxa"/>
            <w:vAlign w:val="bottom"/>
          </w:tcPr>
          <w:p w14:paraId="599B3947" w14:textId="5A43A37D" w:rsidR="001814D1" w:rsidRDefault="001814D1" w:rsidP="001814D1">
            <w:r>
              <w:t>Чести</w:t>
            </w:r>
          </w:p>
        </w:tc>
        <w:tc>
          <w:tcPr>
            <w:tcW w:w="2385" w:type="dxa"/>
            <w:vAlign w:val="bottom"/>
          </w:tcPr>
          <w:p w14:paraId="32F135A1" w14:textId="6FE3E5A6" w:rsidR="001814D1" w:rsidRDefault="001814D1" w:rsidP="001814D1">
            <w:r>
              <w:t>замаяност</w:t>
            </w:r>
          </w:p>
        </w:tc>
        <w:tc>
          <w:tcPr>
            <w:tcW w:w="2392" w:type="dxa"/>
          </w:tcPr>
          <w:p w14:paraId="6AA33D59" w14:textId="77777777" w:rsidR="001814D1" w:rsidRDefault="001814D1" w:rsidP="001814D1"/>
        </w:tc>
        <w:tc>
          <w:tcPr>
            <w:tcW w:w="2411" w:type="dxa"/>
          </w:tcPr>
          <w:p w14:paraId="137573B3" w14:textId="77777777" w:rsidR="001814D1" w:rsidRDefault="001814D1" w:rsidP="001814D1"/>
        </w:tc>
      </w:tr>
      <w:tr w:rsidR="001814D1" w14:paraId="014A3439" w14:textId="77777777" w:rsidTr="006661CE">
        <w:tc>
          <w:tcPr>
            <w:tcW w:w="2388" w:type="dxa"/>
          </w:tcPr>
          <w:p w14:paraId="20FF79B8" w14:textId="14EDF915" w:rsidR="001814D1" w:rsidRDefault="001814D1" w:rsidP="001814D1">
            <w:r>
              <w:t>Нечести</w:t>
            </w:r>
          </w:p>
        </w:tc>
        <w:tc>
          <w:tcPr>
            <w:tcW w:w="2385" w:type="dxa"/>
            <w:vAlign w:val="bottom"/>
          </w:tcPr>
          <w:p w14:paraId="03ED413E" w14:textId="08796423" w:rsidR="001814D1" w:rsidRDefault="001814D1" w:rsidP="001814D1">
            <w:r>
              <w:t>сънливост, мигрена, главоболие, парестезия</w:t>
            </w:r>
          </w:p>
        </w:tc>
        <w:tc>
          <w:tcPr>
            <w:tcW w:w="2392" w:type="dxa"/>
          </w:tcPr>
          <w:p w14:paraId="3FECA03F" w14:textId="77777777" w:rsidR="001814D1" w:rsidRDefault="001814D1" w:rsidP="001814D1"/>
        </w:tc>
        <w:tc>
          <w:tcPr>
            <w:tcW w:w="2411" w:type="dxa"/>
          </w:tcPr>
          <w:p w14:paraId="73CC579E" w14:textId="77777777" w:rsidR="001814D1" w:rsidRDefault="001814D1" w:rsidP="001814D1"/>
        </w:tc>
      </w:tr>
      <w:tr w:rsidR="001814D1" w14:paraId="48508292" w14:textId="77777777" w:rsidTr="006661CE">
        <w:tc>
          <w:tcPr>
            <w:tcW w:w="2388" w:type="dxa"/>
          </w:tcPr>
          <w:p w14:paraId="16C230DF" w14:textId="34034D76" w:rsidR="001814D1" w:rsidRDefault="001814D1" w:rsidP="001814D1">
            <w:r>
              <w:t>Редки</w:t>
            </w:r>
          </w:p>
        </w:tc>
        <w:tc>
          <w:tcPr>
            <w:tcW w:w="2385" w:type="dxa"/>
            <w:vAlign w:val="bottom"/>
          </w:tcPr>
          <w:p w14:paraId="7DBF6AED" w14:textId="77777777" w:rsidR="001814D1" w:rsidRDefault="001814D1" w:rsidP="001814D1">
            <w:r>
              <w:t>синкоп,</w:t>
            </w:r>
          </w:p>
          <w:p w14:paraId="32D99D67" w14:textId="3375F5BE" w:rsidR="001814D1" w:rsidRDefault="001814D1" w:rsidP="001814D1">
            <w:r>
              <w:lastRenderedPageBreak/>
              <w:t>периферна невропатия, хипестезия, дисгеузия, тремор</w:t>
            </w:r>
          </w:p>
        </w:tc>
        <w:tc>
          <w:tcPr>
            <w:tcW w:w="2392" w:type="dxa"/>
          </w:tcPr>
          <w:p w14:paraId="617834D9" w14:textId="77777777" w:rsidR="001814D1" w:rsidRDefault="001814D1" w:rsidP="001814D1"/>
        </w:tc>
        <w:tc>
          <w:tcPr>
            <w:tcW w:w="2411" w:type="dxa"/>
          </w:tcPr>
          <w:p w14:paraId="5B904268" w14:textId="77777777" w:rsidR="001814D1" w:rsidRDefault="001814D1" w:rsidP="001814D1"/>
        </w:tc>
      </w:tr>
      <w:tr w:rsidR="001814D1" w14:paraId="3375890D" w14:textId="77777777" w:rsidTr="006661CE">
        <w:tc>
          <w:tcPr>
            <w:tcW w:w="2388" w:type="dxa"/>
            <w:vAlign w:val="bottom"/>
          </w:tcPr>
          <w:p w14:paraId="53ADFF5E" w14:textId="4F614660" w:rsidR="001814D1" w:rsidRDefault="001814D1" w:rsidP="001814D1">
            <w:r>
              <w:t>Много редки</w:t>
            </w:r>
          </w:p>
        </w:tc>
        <w:tc>
          <w:tcPr>
            <w:tcW w:w="2385" w:type="dxa"/>
          </w:tcPr>
          <w:p w14:paraId="552A9B4E" w14:textId="77777777" w:rsidR="001814D1" w:rsidRDefault="001814D1" w:rsidP="001814D1"/>
        </w:tc>
        <w:tc>
          <w:tcPr>
            <w:tcW w:w="2392" w:type="dxa"/>
          </w:tcPr>
          <w:p w14:paraId="5E94D73A" w14:textId="77777777" w:rsidR="001814D1" w:rsidRDefault="001814D1" w:rsidP="001814D1"/>
        </w:tc>
        <w:tc>
          <w:tcPr>
            <w:tcW w:w="2411" w:type="dxa"/>
            <w:vAlign w:val="bottom"/>
          </w:tcPr>
          <w:p w14:paraId="0F11A863" w14:textId="61D5AE3C" w:rsidR="001814D1" w:rsidRDefault="001814D1" w:rsidP="001814D1">
            <w:r>
              <w:t>екстрапирамиден синдром</w:t>
            </w:r>
          </w:p>
        </w:tc>
      </w:tr>
      <w:tr w:rsidR="001814D1" w14:paraId="3713681A" w14:textId="77777777" w:rsidTr="009B7F4F">
        <w:tc>
          <w:tcPr>
            <w:tcW w:w="9576" w:type="dxa"/>
            <w:gridSpan w:val="4"/>
          </w:tcPr>
          <w:p w14:paraId="091649A1" w14:textId="4912FBBC" w:rsidR="001814D1" w:rsidRPr="001814D1" w:rsidRDefault="001814D1" w:rsidP="001814D1">
            <w:pPr>
              <w:rPr>
                <w:b/>
                <w:i/>
              </w:rPr>
            </w:pPr>
            <w:r w:rsidRPr="001814D1">
              <w:rPr>
                <w:b/>
                <w:i/>
              </w:rPr>
              <w:t>Зрителни нарушения</w:t>
            </w:r>
          </w:p>
        </w:tc>
      </w:tr>
      <w:tr w:rsidR="001814D1" w14:paraId="4D73EAAA" w14:textId="77777777" w:rsidTr="00204C5A">
        <w:tc>
          <w:tcPr>
            <w:tcW w:w="2388" w:type="dxa"/>
            <w:vAlign w:val="bottom"/>
          </w:tcPr>
          <w:p w14:paraId="7E8D7346" w14:textId="6A08FC68" w:rsidR="001814D1" w:rsidRDefault="001814D1" w:rsidP="001814D1">
            <w:r>
              <w:t>Нечести</w:t>
            </w:r>
          </w:p>
        </w:tc>
        <w:tc>
          <w:tcPr>
            <w:tcW w:w="2385" w:type="dxa"/>
          </w:tcPr>
          <w:p w14:paraId="138C4FB9" w14:textId="77777777" w:rsidR="001814D1" w:rsidRDefault="001814D1" w:rsidP="001814D1"/>
        </w:tc>
        <w:tc>
          <w:tcPr>
            <w:tcW w:w="2392" w:type="dxa"/>
          </w:tcPr>
          <w:p w14:paraId="08DB3976" w14:textId="77777777" w:rsidR="001814D1" w:rsidRDefault="001814D1" w:rsidP="001814D1"/>
        </w:tc>
        <w:tc>
          <w:tcPr>
            <w:tcW w:w="2411" w:type="dxa"/>
            <w:vAlign w:val="bottom"/>
          </w:tcPr>
          <w:p w14:paraId="5D3821C2" w14:textId="75C82115" w:rsidR="001814D1" w:rsidRDefault="001814D1" w:rsidP="001814D1">
            <w:r>
              <w:t>нарушение на зрението</w:t>
            </w:r>
          </w:p>
        </w:tc>
      </w:tr>
      <w:tr w:rsidR="001814D1" w14:paraId="5C878F33" w14:textId="77777777" w:rsidTr="00204C5A">
        <w:tc>
          <w:tcPr>
            <w:tcW w:w="2388" w:type="dxa"/>
            <w:vAlign w:val="bottom"/>
          </w:tcPr>
          <w:p w14:paraId="72FE57C4" w14:textId="19AA13C6" w:rsidR="001814D1" w:rsidRDefault="001814D1" w:rsidP="001814D1">
            <w:r>
              <w:t>Редки</w:t>
            </w:r>
          </w:p>
        </w:tc>
        <w:tc>
          <w:tcPr>
            <w:tcW w:w="2385" w:type="dxa"/>
          </w:tcPr>
          <w:p w14:paraId="2279FC81" w14:textId="77777777" w:rsidR="001814D1" w:rsidRDefault="001814D1" w:rsidP="001814D1"/>
        </w:tc>
        <w:tc>
          <w:tcPr>
            <w:tcW w:w="2392" w:type="dxa"/>
            <w:vAlign w:val="bottom"/>
          </w:tcPr>
          <w:p w14:paraId="3CD8B5E8" w14:textId="2CC55132" w:rsidR="001814D1" w:rsidRDefault="001814D1" w:rsidP="001814D1">
            <w:r>
              <w:t>зрителни смущения</w:t>
            </w:r>
          </w:p>
        </w:tc>
        <w:tc>
          <w:tcPr>
            <w:tcW w:w="2411" w:type="dxa"/>
          </w:tcPr>
          <w:p w14:paraId="60C76556" w14:textId="77777777" w:rsidR="001814D1" w:rsidRDefault="001814D1" w:rsidP="001814D1"/>
        </w:tc>
      </w:tr>
      <w:tr w:rsidR="001814D1" w14:paraId="2369CF18" w14:textId="77777777" w:rsidTr="00225A3C">
        <w:tc>
          <w:tcPr>
            <w:tcW w:w="9576" w:type="dxa"/>
            <w:gridSpan w:val="4"/>
          </w:tcPr>
          <w:p w14:paraId="5F0379F0" w14:textId="0008294A" w:rsidR="001814D1" w:rsidRPr="001814D1" w:rsidRDefault="001814D1" w:rsidP="001814D1">
            <w:pPr>
              <w:rPr>
                <w:b/>
                <w:i/>
              </w:rPr>
            </w:pPr>
            <w:r w:rsidRPr="001814D1">
              <w:rPr>
                <w:b/>
                <w:i/>
                <w:lang w:eastAsia="bg-BG"/>
              </w:rPr>
              <w:t>Нарушения на ухото и лабиринта</w:t>
            </w:r>
          </w:p>
        </w:tc>
      </w:tr>
      <w:tr w:rsidR="001814D1" w14:paraId="6BCD0D29" w14:textId="77777777" w:rsidTr="00BA20C2">
        <w:tc>
          <w:tcPr>
            <w:tcW w:w="2388" w:type="dxa"/>
            <w:vAlign w:val="bottom"/>
          </w:tcPr>
          <w:p w14:paraId="2D3A9C91" w14:textId="6F256529" w:rsidR="001814D1" w:rsidRDefault="001814D1" w:rsidP="001814D1">
            <w:r>
              <w:t>Нечести</w:t>
            </w:r>
          </w:p>
        </w:tc>
        <w:tc>
          <w:tcPr>
            <w:tcW w:w="2385" w:type="dxa"/>
            <w:vAlign w:val="bottom"/>
          </w:tcPr>
          <w:p w14:paraId="3C954024" w14:textId="08A6C3E5" w:rsidR="001814D1" w:rsidRDefault="001814D1" w:rsidP="001814D1">
            <w:r>
              <w:t>световъртеж</w:t>
            </w:r>
          </w:p>
        </w:tc>
        <w:tc>
          <w:tcPr>
            <w:tcW w:w="2392" w:type="dxa"/>
          </w:tcPr>
          <w:p w14:paraId="44CA7A46" w14:textId="77777777" w:rsidR="001814D1" w:rsidRDefault="001814D1" w:rsidP="001814D1"/>
        </w:tc>
        <w:tc>
          <w:tcPr>
            <w:tcW w:w="2411" w:type="dxa"/>
            <w:vAlign w:val="bottom"/>
          </w:tcPr>
          <w:p w14:paraId="26C19710" w14:textId="00B5CE2F" w:rsidR="001814D1" w:rsidRDefault="001814D1" w:rsidP="001814D1">
            <w:r>
              <w:t>тинитус</w:t>
            </w:r>
          </w:p>
        </w:tc>
      </w:tr>
      <w:tr w:rsidR="001814D1" w14:paraId="6D03F1DB" w14:textId="77777777" w:rsidTr="00410FE8">
        <w:tc>
          <w:tcPr>
            <w:tcW w:w="9576" w:type="dxa"/>
            <w:gridSpan w:val="4"/>
          </w:tcPr>
          <w:p w14:paraId="2C55A767" w14:textId="73E2E5E7" w:rsidR="001814D1" w:rsidRPr="001814D1" w:rsidRDefault="001814D1" w:rsidP="001814D1">
            <w:pPr>
              <w:rPr>
                <w:b/>
                <w:i/>
              </w:rPr>
            </w:pPr>
            <w:r w:rsidRPr="001814D1">
              <w:rPr>
                <w:b/>
                <w:i/>
                <w:lang w:eastAsia="bg-BG"/>
              </w:rPr>
              <w:t>Нарушения на сърцето</w:t>
            </w:r>
          </w:p>
        </w:tc>
      </w:tr>
      <w:tr w:rsidR="001814D1" w14:paraId="7211D181" w14:textId="77777777" w:rsidTr="00786A7C">
        <w:tc>
          <w:tcPr>
            <w:tcW w:w="2388" w:type="dxa"/>
            <w:vAlign w:val="bottom"/>
          </w:tcPr>
          <w:p w14:paraId="4B625DC9" w14:textId="68DD1F58" w:rsidR="001814D1" w:rsidRDefault="001814D1" w:rsidP="001814D1">
            <w:r>
              <w:t>Нечести</w:t>
            </w:r>
          </w:p>
        </w:tc>
        <w:tc>
          <w:tcPr>
            <w:tcW w:w="2385" w:type="dxa"/>
            <w:vAlign w:val="bottom"/>
          </w:tcPr>
          <w:p w14:paraId="17B4D258" w14:textId="06086277" w:rsidR="001814D1" w:rsidRDefault="001814D1" w:rsidP="001814D1">
            <w:r>
              <w:t>брадикардия, палпитации</w:t>
            </w:r>
          </w:p>
        </w:tc>
        <w:tc>
          <w:tcPr>
            <w:tcW w:w="2392" w:type="dxa"/>
          </w:tcPr>
          <w:p w14:paraId="0EF64A25" w14:textId="77777777" w:rsidR="001814D1" w:rsidRDefault="001814D1" w:rsidP="001814D1"/>
        </w:tc>
        <w:tc>
          <w:tcPr>
            <w:tcW w:w="2411" w:type="dxa"/>
          </w:tcPr>
          <w:p w14:paraId="19872E8F" w14:textId="77777777" w:rsidR="001814D1" w:rsidRDefault="001814D1" w:rsidP="001814D1"/>
        </w:tc>
      </w:tr>
      <w:tr w:rsidR="001814D1" w14:paraId="56E81B82" w14:textId="77777777" w:rsidTr="00786A7C">
        <w:tc>
          <w:tcPr>
            <w:tcW w:w="2388" w:type="dxa"/>
            <w:vAlign w:val="bottom"/>
          </w:tcPr>
          <w:p w14:paraId="309F2C7D" w14:textId="0AB62D80" w:rsidR="001814D1" w:rsidRDefault="001814D1" w:rsidP="001814D1">
            <w:r>
              <w:t>Редки</w:t>
            </w:r>
          </w:p>
        </w:tc>
        <w:tc>
          <w:tcPr>
            <w:tcW w:w="2385" w:type="dxa"/>
          </w:tcPr>
          <w:p w14:paraId="657A7D2B" w14:textId="77777777" w:rsidR="001814D1" w:rsidRDefault="001814D1" w:rsidP="001814D1"/>
        </w:tc>
        <w:tc>
          <w:tcPr>
            <w:tcW w:w="2392" w:type="dxa"/>
            <w:vAlign w:val="bottom"/>
          </w:tcPr>
          <w:p w14:paraId="2720B895" w14:textId="09FC38CE" w:rsidR="001814D1" w:rsidRDefault="001814D1" w:rsidP="001814D1">
            <w:r>
              <w:t>тахикардия</w:t>
            </w:r>
          </w:p>
        </w:tc>
        <w:tc>
          <w:tcPr>
            <w:tcW w:w="2411" w:type="dxa"/>
          </w:tcPr>
          <w:p w14:paraId="2D55FD6D" w14:textId="77777777" w:rsidR="001814D1" w:rsidRDefault="001814D1" w:rsidP="001814D1"/>
        </w:tc>
      </w:tr>
      <w:tr w:rsidR="001814D1" w14:paraId="68AD9751" w14:textId="77777777" w:rsidTr="00786A7C">
        <w:tc>
          <w:tcPr>
            <w:tcW w:w="2388" w:type="dxa"/>
          </w:tcPr>
          <w:p w14:paraId="21742D0F" w14:textId="2C1BFE3F" w:rsidR="001814D1" w:rsidRDefault="001814D1" w:rsidP="001814D1">
            <w:r>
              <w:t>Много редки</w:t>
            </w:r>
          </w:p>
        </w:tc>
        <w:tc>
          <w:tcPr>
            <w:tcW w:w="2385" w:type="dxa"/>
          </w:tcPr>
          <w:p w14:paraId="00F16255" w14:textId="77777777" w:rsidR="001814D1" w:rsidRDefault="001814D1" w:rsidP="001814D1"/>
        </w:tc>
        <w:tc>
          <w:tcPr>
            <w:tcW w:w="2392" w:type="dxa"/>
          </w:tcPr>
          <w:p w14:paraId="47560E1A" w14:textId="77777777" w:rsidR="001814D1" w:rsidRDefault="001814D1" w:rsidP="001814D1"/>
        </w:tc>
        <w:tc>
          <w:tcPr>
            <w:tcW w:w="2411" w:type="dxa"/>
            <w:vAlign w:val="bottom"/>
          </w:tcPr>
          <w:p w14:paraId="4B67D044" w14:textId="48F56E55" w:rsidR="001814D1" w:rsidRDefault="001814D1" w:rsidP="001814D1">
            <w:r>
              <w:t>инфаркт на миокарда, аритмия, камерна тахикардия, предсърдно мъждене</w:t>
            </w:r>
          </w:p>
        </w:tc>
      </w:tr>
      <w:tr w:rsidR="001814D1" w14:paraId="6FDEDEB5" w14:textId="77777777" w:rsidTr="008C2433">
        <w:tc>
          <w:tcPr>
            <w:tcW w:w="9576" w:type="dxa"/>
            <w:gridSpan w:val="4"/>
          </w:tcPr>
          <w:p w14:paraId="71193A4F" w14:textId="0284636E" w:rsidR="001814D1" w:rsidRPr="001814D1" w:rsidRDefault="001814D1" w:rsidP="001814D1">
            <w:pPr>
              <w:rPr>
                <w:b/>
                <w:i/>
              </w:rPr>
            </w:pPr>
            <w:r w:rsidRPr="001814D1">
              <w:rPr>
                <w:b/>
                <w:i/>
              </w:rPr>
              <w:t>Съдови нарушения</w:t>
            </w:r>
          </w:p>
        </w:tc>
      </w:tr>
      <w:tr w:rsidR="001814D1" w14:paraId="296492E6" w14:textId="77777777" w:rsidTr="00627C96">
        <w:tc>
          <w:tcPr>
            <w:tcW w:w="2388" w:type="dxa"/>
          </w:tcPr>
          <w:p w14:paraId="5412C941" w14:textId="5A20FBBC" w:rsidR="001814D1" w:rsidRDefault="001814D1" w:rsidP="001814D1">
            <w:r>
              <w:t>Нечести</w:t>
            </w:r>
          </w:p>
        </w:tc>
        <w:tc>
          <w:tcPr>
            <w:tcW w:w="2385" w:type="dxa"/>
            <w:vAlign w:val="bottom"/>
          </w:tcPr>
          <w:p w14:paraId="6FBF940F" w14:textId="3E663FA0" w:rsidR="001814D1" w:rsidRDefault="001814D1" w:rsidP="001814D1">
            <w:r>
              <w:t>хипотония, ортостатична хипотония, зачервяване на лицето</w:t>
            </w:r>
          </w:p>
        </w:tc>
        <w:tc>
          <w:tcPr>
            <w:tcW w:w="2392" w:type="dxa"/>
          </w:tcPr>
          <w:p w14:paraId="239FEE4D" w14:textId="77777777" w:rsidR="001814D1" w:rsidRDefault="001814D1" w:rsidP="001814D1"/>
        </w:tc>
        <w:tc>
          <w:tcPr>
            <w:tcW w:w="2411" w:type="dxa"/>
          </w:tcPr>
          <w:p w14:paraId="4985B459" w14:textId="77777777" w:rsidR="001814D1" w:rsidRDefault="001814D1" w:rsidP="001814D1"/>
        </w:tc>
      </w:tr>
      <w:tr w:rsidR="001814D1" w14:paraId="1F670055" w14:textId="77777777" w:rsidTr="00627C96">
        <w:tc>
          <w:tcPr>
            <w:tcW w:w="2388" w:type="dxa"/>
            <w:vAlign w:val="bottom"/>
          </w:tcPr>
          <w:p w14:paraId="12644FDC" w14:textId="73A3BF47" w:rsidR="001814D1" w:rsidRDefault="001814D1" w:rsidP="001814D1">
            <w:r>
              <w:t>Много редки</w:t>
            </w:r>
          </w:p>
        </w:tc>
        <w:tc>
          <w:tcPr>
            <w:tcW w:w="2385" w:type="dxa"/>
          </w:tcPr>
          <w:p w14:paraId="2D585748" w14:textId="77777777" w:rsidR="001814D1" w:rsidRDefault="001814D1" w:rsidP="001814D1"/>
        </w:tc>
        <w:tc>
          <w:tcPr>
            <w:tcW w:w="2392" w:type="dxa"/>
          </w:tcPr>
          <w:p w14:paraId="31192D04" w14:textId="77777777" w:rsidR="001814D1" w:rsidRDefault="001814D1" w:rsidP="001814D1"/>
        </w:tc>
        <w:tc>
          <w:tcPr>
            <w:tcW w:w="2411" w:type="dxa"/>
          </w:tcPr>
          <w:p w14:paraId="2DE0AD59" w14:textId="6BEE050B" w:rsidR="001814D1" w:rsidRDefault="001814D1" w:rsidP="001814D1">
            <w:r>
              <w:t>васкулит</w:t>
            </w:r>
          </w:p>
        </w:tc>
      </w:tr>
      <w:tr w:rsidR="001814D1" w14:paraId="2346AB86" w14:textId="77777777" w:rsidTr="00AF79B9">
        <w:tc>
          <w:tcPr>
            <w:tcW w:w="9576" w:type="dxa"/>
            <w:gridSpan w:val="4"/>
          </w:tcPr>
          <w:p w14:paraId="05803A3B" w14:textId="0B3A4E88" w:rsidR="001814D1" w:rsidRPr="001814D1" w:rsidRDefault="001814D1" w:rsidP="001814D1">
            <w:pPr>
              <w:rPr>
                <w:b/>
                <w:i/>
              </w:rPr>
            </w:pPr>
            <w:r w:rsidRPr="001814D1">
              <w:rPr>
                <w:b/>
                <w:i/>
                <w:lang w:eastAsia="bg-BG"/>
              </w:rPr>
              <w:t>Респираторни, гръдни и медиастинални нарушения</w:t>
            </w:r>
          </w:p>
        </w:tc>
      </w:tr>
      <w:tr w:rsidR="001814D1" w14:paraId="56394B9E" w14:textId="77777777" w:rsidTr="00524D04">
        <w:tc>
          <w:tcPr>
            <w:tcW w:w="2388" w:type="dxa"/>
            <w:vAlign w:val="bottom"/>
          </w:tcPr>
          <w:p w14:paraId="692EEF18" w14:textId="60810463" w:rsidR="001814D1" w:rsidRDefault="001814D1" w:rsidP="001814D1">
            <w:r>
              <w:t>Нечести</w:t>
            </w:r>
          </w:p>
        </w:tc>
        <w:tc>
          <w:tcPr>
            <w:tcW w:w="2385" w:type="dxa"/>
            <w:vAlign w:val="bottom"/>
          </w:tcPr>
          <w:p w14:paraId="48976D7F" w14:textId="50923D0E" w:rsidR="001814D1" w:rsidRDefault="001814D1" w:rsidP="001814D1">
            <w:r>
              <w:t>кашлица</w:t>
            </w:r>
          </w:p>
        </w:tc>
        <w:tc>
          <w:tcPr>
            <w:tcW w:w="2392" w:type="dxa"/>
            <w:vAlign w:val="bottom"/>
          </w:tcPr>
          <w:p w14:paraId="74506BB0" w14:textId="153D1BEE" w:rsidR="001814D1" w:rsidRDefault="001814D1" w:rsidP="001814D1">
            <w:r>
              <w:t>диспнея</w:t>
            </w:r>
          </w:p>
        </w:tc>
        <w:tc>
          <w:tcPr>
            <w:tcW w:w="2411" w:type="dxa"/>
            <w:vAlign w:val="bottom"/>
          </w:tcPr>
          <w:p w14:paraId="4C4034E0" w14:textId="646524C5" w:rsidR="001814D1" w:rsidRDefault="001814D1" w:rsidP="001814D1">
            <w:r>
              <w:t>диспнея, ринит</w:t>
            </w:r>
          </w:p>
        </w:tc>
      </w:tr>
      <w:tr w:rsidR="001814D1" w14:paraId="70128D4D" w14:textId="77777777" w:rsidTr="00524D04">
        <w:tc>
          <w:tcPr>
            <w:tcW w:w="2388" w:type="dxa"/>
            <w:vAlign w:val="bottom"/>
          </w:tcPr>
          <w:p w14:paraId="6F16C8DB" w14:textId="174072F5" w:rsidR="001814D1" w:rsidRDefault="001814D1" w:rsidP="001814D1">
            <w:r>
              <w:t>Много редки</w:t>
            </w:r>
          </w:p>
        </w:tc>
        <w:tc>
          <w:tcPr>
            <w:tcW w:w="2385" w:type="dxa"/>
            <w:vAlign w:val="bottom"/>
          </w:tcPr>
          <w:p w14:paraId="58247F4E" w14:textId="1E86EF3B" w:rsidR="001814D1" w:rsidRDefault="001814D1" w:rsidP="001814D1">
            <w:r>
              <w:t>интерстициална белодробна болест</w:t>
            </w:r>
            <w:r>
              <w:rPr>
                <w:vertAlign w:val="superscript"/>
              </w:rPr>
              <w:t>3</w:t>
            </w:r>
          </w:p>
        </w:tc>
        <w:tc>
          <w:tcPr>
            <w:tcW w:w="2392" w:type="dxa"/>
          </w:tcPr>
          <w:p w14:paraId="0B34B605" w14:textId="77777777" w:rsidR="001814D1" w:rsidRDefault="001814D1" w:rsidP="001814D1"/>
        </w:tc>
        <w:tc>
          <w:tcPr>
            <w:tcW w:w="2411" w:type="dxa"/>
          </w:tcPr>
          <w:p w14:paraId="003799C3" w14:textId="77777777" w:rsidR="001814D1" w:rsidRDefault="001814D1" w:rsidP="001814D1"/>
        </w:tc>
      </w:tr>
      <w:tr w:rsidR="001814D1" w14:paraId="64A92107" w14:textId="77777777" w:rsidTr="00414E0D">
        <w:tc>
          <w:tcPr>
            <w:tcW w:w="9576" w:type="dxa"/>
            <w:gridSpan w:val="4"/>
          </w:tcPr>
          <w:p w14:paraId="556D7EDF" w14:textId="014117AC" w:rsidR="001814D1" w:rsidRPr="001814D1" w:rsidRDefault="001814D1" w:rsidP="001814D1">
            <w:pPr>
              <w:rPr>
                <w:b/>
                <w:i/>
              </w:rPr>
            </w:pPr>
            <w:r w:rsidRPr="001814D1">
              <w:rPr>
                <w:b/>
                <w:i/>
                <w:lang w:eastAsia="bg-BG"/>
              </w:rPr>
              <w:t>Стомашно-чревни нарушения</w:t>
            </w:r>
          </w:p>
        </w:tc>
      </w:tr>
      <w:tr w:rsidR="001814D1" w14:paraId="223C7522" w14:textId="77777777" w:rsidTr="00F82585">
        <w:tc>
          <w:tcPr>
            <w:tcW w:w="2388" w:type="dxa"/>
          </w:tcPr>
          <w:p w14:paraId="4764F896" w14:textId="2791F300" w:rsidR="001814D1" w:rsidRDefault="001814D1" w:rsidP="001814D1">
            <w:r>
              <w:t>Нечести</w:t>
            </w:r>
          </w:p>
        </w:tc>
        <w:tc>
          <w:tcPr>
            <w:tcW w:w="2385" w:type="dxa"/>
            <w:vAlign w:val="bottom"/>
          </w:tcPr>
          <w:p w14:paraId="07A173AE" w14:textId="6452F15E" w:rsidR="001814D1" w:rsidRPr="001814D1" w:rsidRDefault="001814D1" w:rsidP="001814D1">
            <w:pPr>
              <w:rPr>
                <w:lang w:val="en-US"/>
              </w:rPr>
            </w:pPr>
            <w:r>
              <w:t>абдоминална болка, диария,</w:t>
            </w:r>
            <w:r>
              <w:rPr>
                <w:lang w:val="en-US"/>
              </w:rPr>
              <w:t xml:space="preserve"> </w:t>
            </w:r>
            <w:r w:rsidRPr="001814D1">
              <w:t>гадене</w:t>
            </w:r>
          </w:p>
        </w:tc>
        <w:tc>
          <w:tcPr>
            <w:tcW w:w="2392" w:type="dxa"/>
          </w:tcPr>
          <w:p w14:paraId="57DF7DE0" w14:textId="754372D4" w:rsidR="001814D1" w:rsidRDefault="001814D1" w:rsidP="001814D1">
            <w:r>
              <w:t>флатулснция</w:t>
            </w:r>
          </w:p>
        </w:tc>
        <w:tc>
          <w:tcPr>
            <w:tcW w:w="2411" w:type="dxa"/>
            <w:vAlign w:val="bottom"/>
          </w:tcPr>
          <w:p w14:paraId="37991C56" w14:textId="77777777" w:rsidR="001814D1" w:rsidRDefault="001814D1" w:rsidP="001814D1">
            <w:r>
              <w:t>промяна в ритъма на</w:t>
            </w:r>
          </w:p>
          <w:p w14:paraId="33ECE5E6" w14:textId="07E0E9AF" w:rsidR="001814D1" w:rsidRDefault="001814D1" w:rsidP="001814D1">
            <w:r>
              <w:t>дефекация</w:t>
            </w:r>
          </w:p>
        </w:tc>
      </w:tr>
      <w:tr w:rsidR="001814D1" w14:paraId="36149612" w14:textId="77777777" w:rsidTr="00495DD7">
        <w:tc>
          <w:tcPr>
            <w:tcW w:w="2388" w:type="dxa"/>
          </w:tcPr>
          <w:p w14:paraId="04666542" w14:textId="4541310A" w:rsidR="001814D1" w:rsidRDefault="001814D1" w:rsidP="001814D1">
            <w:r>
              <w:t>Редки</w:t>
            </w:r>
          </w:p>
        </w:tc>
        <w:tc>
          <w:tcPr>
            <w:tcW w:w="2385" w:type="dxa"/>
            <w:vAlign w:val="bottom"/>
          </w:tcPr>
          <w:p w14:paraId="67474886" w14:textId="710315E9" w:rsidR="001814D1" w:rsidRDefault="001814D1" w:rsidP="001814D1">
            <w:r>
              <w:t>повръщане, гингивална хипертрофия, диспепсия, сухота в устата</w:t>
            </w:r>
          </w:p>
        </w:tc>
        <w:tc>
          <w:tcPr>
            <w:tcW w:w="2392" w:type="dxa"/>
          </w:tcPr>
          <w:p w14:paraId="1E6C7E36" w14:textId="77777777" w:rsidR="001814D1" w:rsidRDefault="001814D1" w:rsidP="001814D1">
            <w:r>
              <w:t>стомашен</w:t>
            </w:r>
          </w:p>
          <w:p w14:paraId="34B63BAF" w14:textId="4332AD1E" w:rsidR="001814D1" w:rsidRDefault="001814D1" w:rsidP="001814D1">
            <w:r>
              <w:t>дискомфорт</w:t>
            </w:r>
          </w:p>
        </w:tc>
        <w:tc>
          <w:tcPr>
            <w:tcW w:w="2411" w:type="dxa"/>
          </w:tcPr>
          <w:p w14:paraId="4E1C7DD8" w14:textId="77777777" w:rsidR="001814D1" w:rsidRDefault="001814D1" w:rsidP="001814D1"/>
        </w:tc>
      </w:tr>
      <w:tr w:rsidR="001814D1" w14:paraId="5BB21B2D" w14:textId="77777777" w:rsidTr="00495DD7">
        <w:tc>
          <w:tcPr>
            <w:tcW w:w="2388" w:type="dxa"/>
            <w:vAlign w:val="bottom"/>
          </w:tcPr>
          <w:p w14:paraId="4ECDF8C5" w14:textId="0A282707" w:rsidR="001814D1" w:rsidRDefault="001814D1" w:rsidP="001814D1">
            <w:r>
              <w:t>Много редки</w:t>
            </w:r>
          </w:p>
        </w:tc>
        <w:tc>
          <w:tcPr>
            <w:tcW w:w="2385" w:type="dxa"/>
          </w:tcPr>
          <w:p w14:paraId="4ECD7B4D" w14:textId="77777777" w:rsidR="001814D1" w:rsidRDefault="001814D1" w:rsidP="001814D1"/>
        </w:tc>
        <w:tc>
          <w:tcPr>
            <w:tcW w:w="2392" w:type="dxa"/>
          </w:tcPr>
          <w:p w14:paraId="3C001BBB" w14:textId="77777777" w:rsidR="001814D1" w:rsidRDefault="001814D1" w:rsidP="001814D1"/>
        </w:tc>
        <w:tc>
          <w:tcPr>
            <w:tcW w:w="2411" w:type="dxa"/>
          </w:tcPr>
          <w:p w14:paraId="6B3497D8" w14:textId="416DE3D3" w:rsidR="001814D1" w:rsidRDefault="001814D1" w:rsidP="001814D1">
            <w:r>
              <w:t>панкреатит, гастрит</w:t>
            </w:r>
          </w:p>
        </w:tc>
      </w:tr>
      <w:tr w:rsidR="001814D1" w14:paraId="680C2A30" w14:textId="77777777" w:rsidTr="00DE1AC7">
        <w:tc>
          <w:tcPr>
            <w:tcW w:w="9576" w:type="dxa"/>
            <w:gridSpan w:val="4"/>
          </w:tcPr>
          <w:p w14:paraId="53D33103" w14:textId="69E1A2EF" w:rsidR="001814D1" w:rsidRPr="001814D1" w:rsidRDefault="001814D1" w:rsidP="001814D1">
            <w:pPr>
              <w:rPr>
                <w:b/>
                <w:i/>
              </w:rPr>
            </w:pPr>
            <w:r w:rsidRPr="001814D1">
              <w:rPr>
                <w:b/>
                <w:i/>
              </w:rPr>
              <w:t>Хепатобилиарни нарушения</w:t>
            </w:r>
          </w:p>
        </w:tc>
      </w:tr>
      <w:tr w:rsidR="001814D1" w14:paraId="001054EA" w14:textId="77777777" w:rsidTr="000C158C">
        <w:tc>
          <w:tcPr>
            <w:tcW w:w="2388" w:type="dxa"/>
          </w:tcPr>
          <w:p w14:paraId="35BB5512" w14:textId="612C8856" w:rsidR="001814D1" w:rsidRDefault="001814D1" w:rsidP="001814D1">
            <w:r>
              <w:t>Редки</w:t>
            </w:r>
          </w:p>
        </w:tc>
        <w:tc>
          <w:tcPr>
            <w:tcW w:w="2385" w:type="dxa"/>
          </w:tcPr>
          <w:p w14:paraId="6EBB6103" w14:textId="77777777" w:rsidR="001814D1" w:rsidRDefault="001814D1" w:rsidP="001814D1"/>
        </w:tc>
        <w:tc>
          <w:tcPr>
            <w:tcW w:w="2392" w:type="dxa"/>
            <w:vAlign w:val="bottom"/>
          </w:tcPr>
          <w:p w14:paraId="2585A940" w14:textId="04772682" w:rsidR="001814D1" w:rsidRDefault="001814D1" w:rsidP="001814D1">
            <w:r>
              <w:t>нарушена чернодробна фукция, чернодробни нарушения</w:t>
            </w:r>
            <w:r>
              <w:rPr>
                <w:vertAlign w:val="superscript"/>
              </w:rPr>
              <w:t>2</w:t>
            </w:r>
          </w:p>
        </w:tc>
        <w:tc>
          <w:tcPr>
            <w:tcW w:w="2411" w:type="dxa"/>
          </w:tcPr>
          <w:p w14:paraId="13BACB27" w14:textId="77777777" w:rsidR="001814D1" w:rsidRDefault="001814D1" w:rsidP="001814D1"/>
        </w:tc>
      </w:tr>
      <w:tr w:rsidR="001814D1" w14:paraId="44C2348C" w14:textId="77777777" w:rsidTr="000C158C">
        <w:tc>
          <w:tcPr>
            <w:tcW w:w="2388" w:type="dxa"/>
          </w:tcPr>
          <w:p w14:paraId="0D963BE6" w14:textId="6A0D05D7" w:rsidR="001814D1" w:rsidRDefault="001814D1" w:rsidP="001814D1">
            <w:r>
              <w:lastRenderedPageBreak/>
              <w:t>Много редки</w:t>
            </w:r>
          </w:p>
        </w:tc>
        <w:tc>
          <w:tcPr>
            <w:tcW w:w="2385" w:type="dxa"/>
          </w:tcPr>
          <w:p w14:paraId="5784A472" w14:textId="77777777" w:rsidR="001814D1" w:rsidRDefault="001814D1" w:rsidP="001814D1"/>
        </w:tc>
        <w:tc>
          <w:tcPr>
            <w:tcW w:w="2392" w:type="dxa"/>
          </w:tcPr>
          <w:p w14:paraId="16A59243" w14:textId="77777777" w:rsidR="001814D1" w:rsidRDefault="001814D1" w:rsidP="001814D1"/>
        </w:tc>
        <w:tc>
          <w:tcPr>
            <w:tcW w:w="2411" w:type="dxa"/>
            <w:vAlign w:val="bottom"/>
          </w:tcPr>
          <w:p w14:paraId="68E8C45E" w14:textId="10A6074A" w:rsidR="001814D1" w:rsidRDefault="001814D1" w:rsidP="001814D1">
            <w:r>
              <w:t>хепатит, жълтеница, повишени нива на чернодробните ензими (особено при холестаза)</w:t>
            </w:r>
          </w:p>
        </w:tc>
      </w:tr>
      <w:tr w:rsidR="001814D1" w14:paraId="4AC2D48D" w14:textId="77777777" w:rsidTr="00DA135C">
        <w:tc>
          <w:tcPr>
            <w:tcW w:w="9576" w:type="dxa"/>
            <w:gridSpan w:val="4"/>
          </w:tcPr>
          <w:p w14:paraId="4E4867CC" w14:textId="629AD9AB" w:rsidR="001814D1" w:rsidRPr="001814D1" w:rsidRDefault="001814D1" w:rsidP="001814D1">
            <w:pPr>
              <w:rPr>
                <w:b/>
                <w:i/>
              </w:rPr>
            </w:pPr>
            <w:r w:rsidRPr="001814D1">
              <w:rPr>
                <w:b/>
                <w:i/>
              </w:rPr>
              <w:t>Нарушения на кожата и подкожната тъкан</w:t>
            </w:r>
          </w:p>
        </w:tc>
      </w:tr>
      <w:tr w:rsidR="001814D1" w14:paraId="68F90AF6" w14:textId="77777777" w:rsidTr="008E4A02">
        <w:tc>
          <w:tcPr>
            <w:tcW w:w="2388" w:type="dxa"/>
          </w:tcPr>
          <w:p w14:paraId="2F60FE17" w14:textId="60D3C81B" w:rsidR="001814D1" w:rsidRDefault="001814D1" w:rsidP="001814D1">
            <w:r>
              <w:t>Нечести</w:t>
            </w:r>
          </w:p>
        </w:tc>
        <w:tc>
          <w:tcPr>
            <w:tcW w:w="2385" w:type="dxa"/>
          </w:tcPr>
          <w:p w14:paraId="37007C2B" w14:textId="37B0A434" w:rsidR="001814D1" w:rsidRDefault="001814D1" w:rsidP="001814D1">
            <w:r>
              <w:t>пруритус</w:t>
            </w:r>
          </w:p>
        </w:tc>
        <w:tc>
          <w:tcPr>
            <w:tcW w:w="2392" w:type="dxa"/>
          </w:tcPr>
          <w:p w14:paraId="28A83FDC" w14:textId="0E98240E" w:rsidR="001814D1" w:rsidRDefault="001814D1" w:rsidP="001814D1">
            <w:r>
              <w:t>хиперхидроза</w:t>
            </w:r>
          </w:p>
        </w:tc>
        <w:tc>
          <w:tcPr>
            <w:tcW w:w="2411" w:type="dxa"/>
            <w:vAlign w:val="bottom"/>
          </w:tcPr>
          <w:p w14:paraId="59A6A447" w14:textId="7DABD34C" w:rsidR="001814D1" w:rsidRDefault="001814D1" w:rsidP="001814D1">
            <w:r>
              <w:t>алопеция, пурпура, депигментация на кожата, хиперхидроза</w:t>
            </w:r>
          </w:p>
        </w:tc>
      </w:tr>
      <w:tr w:rsidR="001814D1" w14:paraId="6772FD75" w14:textId="77777777" w:rsidTr="008E4A02">
        <w:tc>
          <w:tcPr>
            <w:tcW w:w="2388" w:type="dxa"/>
          </w:tcPr>
          <w:p w14:paraId="35267109" w14:textId="43D5FCE0" w:rsidR="001814D1" w:rsidRDefault="001814D1" w:rsidP="001814D1">
            <w:r>
              <w:t>Редки</w:t>
            </w:r>
          </w:p>
        </w:tc>
        <w:tc>
          <w:tcPr>
            <w:tcW w:w="2385" w:type="dxa"/>
          </w:tcPr>
          <w:p w14:paraId="1ECB2ECD" w14:textId="0352F75E" w:rsidR="001814D1" w:rsidRDefault="001814D1" w:rsidP="001814D1">
            <w:r>
              <w:t>екзема, еритема, обрив</w:t>
            </w:r>
          </w:p>
        </w:tc>
        <w:tc>
          <w:tcPr>
            <w:tcW w:w="2392" w:type="dxa"/>
            <w:vAlign w:val="bottom"/>
          </w:tcPr>
          <w:p w14:paraId="73CF41B7" w14:textId="20E88A65" w:rsidR="001814D1" w:rsidRDefault="001814D1" w:rsidP="001814D1">
            <w:r>
              <w:t>ангиоедем (с летален изход), лекарствен обрив, токсичен кожен обрив, уртикария</w:t>
            </w:r>
          </w:p>
        </w:tc>
        <w:tc>
          <w:tcPr>
            <w:tcW w:w="2411" w:type="dxa"/>
          </w:tcPr>
          <w:p w14:paraId="7119021D" w14:textId="77777777" w:rsidR="001814D1" w:rsidRDefault="001814D1" w:rsidP="001814D1"/>
        </w:tc>
      </w:tr>
      <w:tr w:rsidR="001814D1" w14:paraId="134BB7EC" w14:textId="77777777" w:rsidTr="008E4A02">
        <w:tc>
          <w:tcPr>
            <w:tcW w:w="2388" w:type="dxa"/>
          </w:tcPr>
          <w:p w14:paraId="41725323" w14:textId="141215D8" w:rsidR="001814D1" w:rsidRDefault="001814D1" w:rsidP="001814D1">
            <w:r>
              <w:t>Много редки</w:t>
            </w:r>
          </w:p>
        </w:tc>
        <w:tc>
          <w:tcPr>
            <w:tcW w:w="2385" w:type="dxa"/>
          </w:tcPr>
          <w:p w14:paraId="59EC3330" w14:textId="77777777" w:rsidR="001814D1" w:rsidRDefault="001814D1" w:rsidP="001814D1"/>
        </w:tc>
        <w:tc>
          <w:tcPr>
            <w:tcW w:w="2392" w:type="dxa"/>
          </w:tcPr>
          <w:p w14:paraId="5574B198" w14:textId="77777777" w:rsidR="001814D1" w:rsidRDefault="001814D1" w:rsidP="001814D1"/>
        </w:tc>
        <w:tc>
          <w:tcPr>
            <w:tcW w:w="2411" w:type="dxa"/>
            <w:vAlign w:val="bottom"/>
          </w:tcPr>
          <w:p w14:paraId="78CE0967" w14:textId="14DCBF16" w:rsidR="001814D1" w:rsidRDefault="001814D1" w:rsidP="001814D1">
            <w:r>
              <w:t xml:space="preserve">ангиоедем, еритема мултиформе, уртикария, ексфолиативен дерматит, синдром на </w:t>
            </w:r>
            <w:r>
              <w:rPr>
                <w:lang w:val="en-US"/>
              </w:rPr>
              <w:t>Stevens</w:t>
            </w:r>
            <w:r w:rsidRPr="001814D1">
              <w:rPr>
                <w:lang w:val="ru-RU"/>
              </w:rPr>
              <w:t>-</w:t>
            </w:r>
            <w:r>
              <w:rPr>
                <w:lang w:val="en-US"/>
              </w:rPr>
              <w:t>Johnson</w:t>
            </w:r>
            <w:r w:rsidRPr="001814D1">
              <w:rPr>
                <w:lang w:val="ru-RU"/>
              </w:rPr>
              <w:t xml:space="preserve">, </w:t>
            </w:r>
            <w:r>
              <w:t>фоточувствителност</w:t>
            </w:r>
          </w:p>
        </w:tc>
      </w:tr>
      <w:tr w:rsidR="001814D1" w14:paraId="6E5D4774" w14:textId="77777777" w:rsidTr="008E4A02">
        <w:tc>
          <w:tcPr>
            <w:tcW w:w="2388" w:type="dxa"/>
            <w:vAlign w:val="bottom"/>
          </w:tcPr>
          <w:p w14:paraId="5ADB83D1" w14:textId="739B6AA2" w:rsidR="001814D1" w:rsidRDefault="001814D1" w:rsidP="001814D1">
            <w:r>
              <w:t>С неизвестна честота</w:t>
            </w:r>
          </w:p>
        </w:tc>
        <w:tc>
          <w:tcPr>
            <w:tcW w:w="2385" w:type="dxa"/>
          </w:tcPr>
          <w:p w14:paraId="325CD3C6" w14:textId="77777777" w:rsidR="001814D1" w:rsidRDefault="001814D1" w:rsidP="001814D1"/>
        </w:tc>
        <w:tc>
          <w:tcPr>
            <w:tcW w:w="2392" w:type="dxa"/>
          </w:tcPr>
          <w:p w14:paraId="2E352D85" w14:textId="77777777" w:rsidR="001814D1" w:rsidRDefault="001814D1" w:rsidP="001814D1"/>
        </w:tc>
        <w:tc>
          <w:tcPr>
            <w:tcW w:w="2411" w:type="dxa"/>
          </w:tcPr>
          <w:p w14:paraId="492011F2" w14:textId="2C56B92C" w:rsidR="001814D1" w:rsidRDefault="001814D1" w:rsidP="001814D1">
            <w:r>
              <w:t>токсична епидермална некролиза</w:t>
            </w:r>
          </w:p>
        </w:tc>
      </w:tr>
      <w:tr w:rsidR="001814D1" w14:paraId="71D8C604" w14:textId="77777777" w:rsidTr="00C40546">
        <w:tc>
          <w:tcPr>
            <w:tcW w:w="9576" w:type="dxa"/>
            <w:gridSpan w:val="4"/>
          </w:tcPr>
          <w:p w14:paraId="4D19CCF6" w14:textId="047F6091" w:rsidR="001814D1" w:rsidRPr="001814D1" w:rsidRDefault="001814D1" w:rsidP="001814D1">
            <w:pPr>
              <w:rPr>
                <w:b/>
                <w:i/>
              </w:rPr>
            </w:pPr>
            <w:r w:rsidRPr="001814D1">
              <w:rPr>
                <w:b/>
                <w:i/>
              </w:rPr>
              <w:t>Нарушения на мускулно-скелетната система и съединителната тъкан</w:t>
            </w:r>
          </w:p>
        </w:tc>
      </w:tr>
      <w:tr w:rsidR="001814D1" w14:paraId="418309F1" w14:textId="77777777" w:rsidTr="00280405">
        <w:tc>
          <w:tcPr>
            <w:tcW w:w="2388" w:type="dxa"/>
          </w:tcPr>
          <w:p w14:paraId="243180B0" w14:textId="5B1988F8" w:rsidR="001814D1" w:rsidRDefault="001814D1" w:rsidP="001814D1">
            <w:r>
              <w:t>Нечести</w:t>
            </w:r>
          </w:p>
        </w:tc>
        <w:tc>
          <w:tcPr>
            <w:tcW w:w="2385" w:type="dxa"/>
            <w:vAlign w:val="bottom"/>
          </w:tcPr>
          <w:p w14:paraId="1A22B5E2" w14:textId="7DA8791E" w:rsidR="001814D1" w:rsidRDefault="001814D1" w:rsidP="001814D1">
            <w:r>
              <w:t>артралгия, мускулни спазми (крампи в краката), миалгия</w:t>
            </w:r>
          </w:p>
        </w:tc>
        <w:tc>
          <w:tcPr>
            <w:tcW w:w="2392" w:type="dxa"/>
          </w:tcPr>
          <w:p w14:paraId="40A85FB1" w14:textId="77777777" w:rsidR="001814D1" w:rsidRDefault="001814D1" w:rsidP="001814D1"/>
        </w:tc>
        <w:tc>
          <w:tcPr>
            <w:tcW w:w="2411" w:type="dxa"/>
          </w:tcPr>
          <w:p w14:paraId="166BD2CF" w14:textId="77777777" w:rsidR="001814D1" w:rsidRDefault="001814D1" w:rsidP="001814D1"/>
        </w:tc>
      </w:tr>
      <w:tr w:rsidR="001814D1" w14:paraId="66F1D516" w14:textId="77777777" w:rsidTr="00280405">
        <w:tc>
          <w:tcPr>
            <w:tcW w:w="2388" w:type="dxa"/>
          </w:tcPr>
          <w:p w14:paraId="5B214BF9" w14:textId="433B6ABC" w:rsidR="001814D1" w:rsidRDefault="001814D1" w:rsidP="001814D1">
            <w:r>
              <w:t>Редки</w:t>
            </w:r>
          </w:p>
        </w:tc>
        <w:tc>
          <w:tcPr>
            <w:tcW w:w="2385" w:type="dxa"/>
            <w:vAlign w:val="bottom"/>
          </w:tcPr>
          <w:p w14:paraId="276C7F1A" w14:textId="597A8B6E" w:rsidR="001814D1" w:rsidRDefault="001814D1" w:rsidP="001814D1">
            <w:r>
              <w:t>болка в гърба, болки в крайниците(болки в краката)</w:t>
            </w:r>
          </w:p>
        </w:tc>
        <w:tc>
          <w:tcPr>
            <w:tcW w:w="2392" w:type="dxa"/>
            <w:vAlign w:val="bottom"/>
          </w:tcPr>
          <w:p w14:paraId="0854D4A7" w14:textId="4D43F2B2" w:rsidR="001814D1" w:rsidRDefault="001814D1" w:rsidP="001814D1">
            <w:r>
              <w:t>болка в сухожилие (подобни на тендинит симптоми)</w:t>
            </w:r>
          </w:p>
        </w:tc>
        <w:tc>
          <w:tcPr>
            <w:tcW w:w="2411" w:type="dxa"/>
          </w:tcPr>
          <w:p w14:paraId="396EB3BB" w14:textId="77777777" w:rsidR="001814D1" w:rsidRDefault="001814D1" w:rsidP="001814D1"/>
        </w:tc>
      </w:tr>
      <w:tr w:rsidR="001814D1" w14:paraId="33165464" w14:textId="77777777" w:rsidTr="007A04F0">
        <w:tc>
          <w:tcPr>
            <w:tcW w:w="9576" w:type="dxa"/>
            <w:gridSpan w:val="4"/>
          </w:tcPr>
          <w:p w14:paraId="2F24D544" w14:textId="1EF02525" w:rsidR="001814D1" w:rsidRPr="001814D1" w:rsidRDefault="001814D1" w:rsidP="001814D1">
            <w:pPr>
              <w:rPr>
                <w:b/>
                <w:i/>
              </w:rPr>
            </w:pPr>
            <w:r w:rsidRPr="001814D1">
              <w:rPr>
                <w:b/>
                <w:i/>
                <w:lang w:eastAsia="bg-BG"/>
              </w:rPr>
              <w:t>Нарушения на бъбреците и пикочните пътища</w:t>
            </w:r>
          </w:p>
        </w:tc>
      </w:tr>
      <w:tr w:rsidR="001814D1" w14:paraId="2022D69A" w14:textId="77777777" w:rsidTr="00220C46">
        <w:tc>
          <w:tcPr>
            <w:tcW w:w="2388" w:type="dxa"/>
          </w:tcPr>
          <w:p w14:paraId="7AB04D20" w14:textId="0E1B6257" w:rsidR="001814D1" w:rsidRDefault="001814D1" w:rsidP="001814D1">
            <w:r>
              <w:t>Нечести</w:t>
            </w:r>
          </w:p>
        </w:tc>
        <w:tc>
          <w:tcPr>
            <w:tcW w:w="2385" w:type="dxa"/>
          </w:tcPr>
          <w:p w14:paraId="588BCBCB" w14:textId="77777777" w:rsidR="001814D1" w:rsidRDefault="001814D1" w:rsidP="001814D1"/>
        </w:tc>
        <w:tc>
          <w:tcPr>
            <w:tcW w:w="2392" w:type="dxa"/>
            <w:vAlign w:val="bottom"/>
          </w:tcPr>
          <w:p w14:paraId="4B986BB0" w14:textId="77777777" w:rsidR="001814D1" w:rsidRDefault="001814D1" w:rsidP="001814D1">
            <w:r>
              <w:t>бъбречно увреждане, включително остра бъбречна</w:t>
            </w:r>
          </w:p>
          <w:p w14:paraId="06161EAA" w14:textId="31680EBD" w:rsidR="001814D1" w:rsidRDefault="001814D1" w:rsidP="001814D1">
            <w:r>
              <w:t>недостатьчност</w:t>
            </w:r>
          </w:p>
        </w:tc>
        <w:tc>
          <w:tcPr>
            <w:tcW w:w="2411" w:type="dxa"/>
          </w:tcPr>
          <w:p w14:paraId="19A31329" w14:textId="000A2D4C" w:rsidR="001814D1" w:rsidRDefault="001814D1" w:rsidP="001814D1">
            <w:r>
              <w:t>нарушение на уринирането, често уриниране</w:t>
            </w:r>
          </w:p>
        </w:tc>
      </w:tr>
      <w:tr w:rsidR="001814D1" w14:paraId="6DBE52D7" w14:textId="77777777" w:rsidTr="00220C46">
        <w:tc>
          <w:tcPr>
            <w:tcW w:w="2388" w:type="dxa"/>
            <w:vAlign w:val="bottom"/>
          </w:tcPr>
          <w:p w14:paraId="738F8917" w14:textId="21787EC6" w:rsidR="001814D1" w:rsidRDefault="001814D1" w:rsidP="001814D1">
            <w:r>
              <w:t>Редки</w:t>
            </w:r>
          </w:p>
        </w:tc>
        <w:tc>
          <w:tcPr>
            <w:tcW w:w="2385" w:type="dxa"/>
            <w:vAlign w:val="bottom"/>
          </w:tcPr>
          <w:p w14:paraId="648B2B91" w14:textId="26A43452" w:rsidR="001814D1" w:rsidRDefault="001814D1" w:rsidP="001814D1">
            <w:r>
              <w:t>нощно уриниране</w:t>
            </w:r>
          </w:p>
        </w:tc>
        <w:tc>
          <w:tcPr>
            <w:tcW w:w="2392" w:type="dxa"/>
          </w:tcPr>
          <w:p w14:paraId="4A134F63" w14:textId="77777777" w:rsidR="001814D1" w:rsidRDefault="001814D1" w:rsidP="001814D1"/>
        </w:tc>
        <w:tc>
          <w:tcPr>
            <w:tcW w:w="2411" w:type="dxa"/>
          </w:tcPr>
          <w:p w14:paraId="61D97084" w14:textId="77777777" w:rsidR="001814D1" w:rsidRDefault="001814D1" w:rsidP="001814D1"/>
        </w:tc>
      </w:tr>
      <w:tr w:rsidR="001814D1" w14:paraId="53306AA1" w14:textId="77777777" w:rsidTr="00B378C4">
        <w:tc>
          <w:tcPr>
            <w:tcW w:w="9576" w:type="dxa"/>
            <w:gridSpan w:val="4"/>
          </w:tcPr>
          <w:p w14:paraId="4F498998" w14:textId="47315853" w:rsidR="001814D1" w:rsidRPr="001814D1" w:rsidRDefault="001814D1" w:rsidP="001814D1">
            <w:pPr>
              <w:rPr>
                <w:b/>
                <w:i/>
              </w:rPr>
            </w:pPr>
            <w:r w:rsidRPr="001814D1">
              <w:rPr>
                <w:b/>
                <w:i/>
                <w:lang w:eastAsia="bg-BG"/>
              </w:rPr>
              <w:t>Нарушения на възпроизводителната система и гърдата</w:t>
            </w:r>
          </w:p>
        </w:tc>
      </w:tr>
      <w:tr w:rsidR="001814D1" w14:paraId="59AD662F" w14:textId="77777777" w:rsidTr="00484BE0">
        <w:tc>
          <w:tcPr>
            <w:tcW w:w="2388" w:type="dxa"/>
            <w:vAlign w:val="bottom"/>
          </w:tcPr>
          <w:p w14:paraId="0377773C" w14:textId="04E68657" w:rsidR="001814D1" w:rsidRDefault="001814D1" w:rsidP="001814D1">
            <w:r>
              <w:t>Нечести</w:t>
            </w:r>
          </w:p>
        </w:tc>
        <w:tc>
          <w:tcPr>
            <w:tcW w:w="2385" w:type="dxa"/>
            <w:vAlign w:val="bottom"/>
          </w:tcPr>
          <w:p w14:paraId="1925FCFC" w14:textId="1ABC5DE5" w:rsidR="001814D1" w:rsidRDefault="001814D1" w:rsidP="001814D1">
            <w:r>
              <w:t>еректилна дисфункция</w:t>
            </w:r>
          </w:p>
        </w:tc>
        <w:tc>
          <w:tcPr>
            <w:tcW w:w="2392" w:type="dxa"/>
          </w:tcPr>
          <w:p w14:paraId="61670E43" w14:textId="77777777" w:rsidR="001814D1" w:rsidRDefault="001814D1" w:rsidP="001814D1"/>
        </w:tc>
        <w:tc>
          <w:tcPr>
            <w:tcW w:w="2411" w:type="dxa"/>
            <w:vAlign w:val="bottom"/>
          </w:tcPr>
          <w:p w14:paraId="499AFB74" w14:textId="476AED10" w:rsidR="001814D1" w:rsidRDefault="001814D1" w:rsidP="001814D1">
            <w:r>
              <w:t>гинекомастия</w:t>
            </w:r>
          </w:p>
        </w:tc>
      </w:tr>
      <w:tr w:rsidR="001814D1" w14:paraId="03CAE321" w14:textId="77777777" w:rsidTr="00AF227F">
        <w:tc>
          <w:tcPr>
            <w:tcW w:w="9576" w:type="dxa"/>
            <w:gridSpan w:val="4"/>
          </w:tcPr>
          <w:p w14:paraId="59A0AAF2" w14:textId="2C328190" w:rsidR="001814D1" w:rsidRPr="001814D1" w:rsidRDefault="001814D1" w:rsidP="001814D1">
            <w:pPr>
              <w:rPr>
                <w:b/>
                <w:i/>
              </w:rPr>
            </w:pPr>
            <w:r w:rsidRPr="001814D1">
              <w:rPr>
                <w:b/>
                <w:i/>
              </w:rPr>
              <w:t>Общи нарушения и ефекти на мястото на приложение</w:t>
            </w:r>
          </w:p>
        </w:tc>
      </w:tr>
      <w:tr w:rsidR="001814D1" w14:paraId="2CA69979" w14:textId="77777777" w:rsidTr="00663805">
        <w:tc>
          <w:tcPr>
            <w:tcW w:w="2388" w:type="dxa"/>
            <w:vAlign w:val="bottom"/>
          </w:tcPr>
          <w:p w14:paraId="19781AF8" w14:textId="69BC4B52" w:rsidR="001814D1" w:rsidRDefault="001814D1" w:rsidP="001814D1">
            <w:r>
              <w:t>Чести</w:t>
            </w:r>
          </w:p>
        </w:tc>
        <w:tc>
          <w:tcPr>
            <w:tcW w:w="2385" w:type="dxa"/>
            <w:vAlign w:val="bottom"/>
          </w:tcPr>
          <w:p w14:paraId="2FAF557D" w14:textId="77A2665F" w:rsidR="001814D1" w:rsidRDefault="001814D1" w:rsidP="001814D1">
            <w:r>
              <w:t>периферен едем</w:t>
            </w:r>
          </w:p>
        </w:tc>
        <w:tc>
          <w:tcPr>
            <w:tcW w:w="2392" w:type="dxa"/>
          </w:tcPr>
          <w:p w14:paraId="746F7B7E" w14:textId="77777777" w:rsidR="001814D1" w:rsidRDefault="001814D1" w:rsidP="001814D1"/>
        </w:tc>
        <w:tc>
          <w:tcPr>
            <w:tcW w:w="2411" w:type="dxa"/>
          </w:tcPr>
          <w:p w14:paraId="73E17DDE" w14:textId="77777777" w:rsidR="001814D1" w:rsidRDefault="001814D1" w:rsidP="001814D1"/>
        </w:tc>
      </w:tr>
      <w:tr w:rsidR="001814D1" w14:paraId="397CC0A5" w14:textId="77777777" w:rsidTr="00663805">
        <w:tc>
          <w:tcPr>
            <w:tcW w:w="2388" w:type="dxa"/>
          </w:tcPr>
          <w:p w14:paraId="0E5A791F" w14:textId="2C3E45B2" w:rsidR="001814D1" w:rsidRDefault="001814D1" w:rsidP="001814D1">
            <w:r>
              <w:t>Нечести</w:t>
            </w:r>
          </w:p>
        </w:tc>
        <w:tc>
          <w:tcPr>
            <w:tcW w:w="2385" w:type="dxa"/>
            <w:vAlign w:val="bottom"/>
          </w:tcPr>
          <w:p w14:paraId="3FE55CA6" w14:textId="6C0488D1" w:rsidR="001814D1" w:rsidRDefault="001814D1" w:rsidP="001814D1">
            <w:r>
              <w:t>астения, гръдна болка, умора, едем</w:t>
            </w:r>
          </w:p>
        </w:tc>
        <w:tc>
          <w:tcPr>
            <w:tcW w:w="2392" w:type="dxa"/>
          </w:tcPr>
          <w:p w14:paraId="5D202398" w14:textId="77777777" w:rsidR="001814D1" w:rsidRDefault="001814D1" w:rsidP="001814D1"/>
        </w:tc>
        <w:tc>
          <w:tcPr>
            <w:tcW w:w="2411" w:type="dxa"/>
          </w:tcPr>
          <w:p w14:paraId="35026F83" w14:textId="05019AE3" w:rsidR="001814D1" w:rsidRDefault="001814D1" w:rsidP="001814D1">
            <w:r>
              <w:t>болка</w:t>
            </w:r>
          </w:p>
        </w:tc>
      </w:tr>
      <w:tr w:rsidR="001814D1" w14:paraId="7435DE56" w14:textId="77777777" w:rsidTr="001814D1">
        <w:tc>
          <w:tcPr>
            <w:tcW w:w="2388" w:type="dxa"/>
          </w:tcPr>
          <w:p w14:paraId="01F73B6F" w14:textId="74B5BE0A" w:rsidR="001814D1" w:rsidRDefault="001814D1" w:rsidP="001814D1">
            <w:r>
              <w:lastRenderedPageBreak/>
              <w:t>Редки</w:t>
            </w:r>
          </w:p>
        </w:tc>
        <w:tc>
          <w:tcPr>
            <w:tcW w:w="2385" w:type="dxa"/>
          </w:tcPr>
          <w:p w14:paraId="04AFBB5D" w14:textId="7B488409" w:rsidR="001814D1" w:rsidRDefault="001814D1" w:rsidP="001814D1">
            <w:r>
              <w:t>неразположение</w:t>
            </w:r>
          </w:p>
        </w:tc>
        <w:tc>
          <w:tcPr>
            <w:tcW w:w="2392" w:type="dxa"/>
          </w:tcPr>
          <w:p w14:paraId="27FE3798" w14:textId="77777777" w:rsidR="001814D1" w:rsidRDefault="001814D1" w:rsidP="001814D1">
            <w:r>
              <w:t>грипоподобно</w:t>
            </w:r>
          </w:p>
          <w:p w14:paraId="64B38E71" w14:textId="5EA79277" w:rsidR="001814D1" w:rsidRDefault="001814D1" w:rsidP="001814D1">
            <w:r>
              <w:t>заболяване</w:t>
            </w:r>
          </w:p>
        </w:tc>
        <w:tc>
          <w:tcPr>
            <w:tcW w:w="2411" w:type="dxa"/>
          </w:tcPr>
          <w:p w14:paraId="576C639A" w14:textId="77777777" w:rsidR="001814D1" w:rsidRDefault="001814D1" w:rsidP="001814D1"/>
        </w:tc>
      </w:tr>
      <w:tr w:rsidR="001814D1" w14:paraId="3E8DA4E0" w14:textId="77777777" w:rsidTr="00B34D0A">
        <w:tc>
          <w:tcPr>
            <w:tcW w:w="9576" w:type="dxa"/>
            <w:gridSpan w:val="4"/>
          </w:tcPr>
          <w:p w14:paraId="4AF89C36" w14:textId="3583E230" w:rsidR="001814D1" w:rsidRPr="001814D1" w:rsidRDefault="001814D1" w:rsidP="001814D1">
            <w:pPr>
              <w:rPr>
                <w:b/>
                <w:i/>
              </w:rPr>
            </w:pPr>
            <w:r w:rsidRPr="001814D1">
              <w:rPr>
                <w:b/>
                <w:i/>
              </w:rPr>
              <w:t>Изследвания</w:t>
            </w:r>
          </w:p>
        </w:tc>
      </w:tr>
      <w:tr w:rsidR="001814D1" w14:paraId="002A8610" w14:textId="77777777" w:rsidTr="001814D1">
        <w:tc>
          <w:tcPr>
            <w:tcW w:w="2388" w:type="dxa"/>
          </w:tcPr>
          <w:p w14:paraId="5AFAF65F" w14:textId="78E2BAA0" w:rsidR="001814D1" w:rsidRDefault="001814D1" w:rsidP="001814D1">
            <w:r>
              <w:t>Нечести</w:t>
            </w:r>
          </w:p>
        </w:tc>
        <w:tc>
          <w:tcPr>
            <w:tcW w:w="2385" w:type="dxa"/>
          </w:tcPr>
          <w:p w14:paraId="68CA81E9" w14:textId="2D1E740D" w:rsidR="001814D1" w:rsidRDefault="001814D1" w:rsidP="001814D1">
            <w:r>
              <w:t>повишени нива на чернодробните ензими</w:t>
            </w:r>
          </w:p>
        </w:tc>
        <w:tc>
          <w:tcPr>
            <w:tcW w:w="2392" w:type="dxa"/>
          </w:tcPr>
          <w:p w14:paraId="3BE6BAF6" w14:textId="0456EE2B" w:rsidR="001814D1" w:rsidRDefault="001814D1" w:rsidP="001814D1">
            <w:r>
              <w:t>повишени нива на креатинин в кръвта</w:t>
            </w:r>
          </w:p>
        </w:tc>
        <w:tc>
          <w:tcPr>
            <w:tcW w:w="2411" w:type="dxa"/>
          </w:tcPr>
          <w:p w14:paraId="1D9F37C0" w14:textId="15FB9A20" w:rsidR="001814D1" w:rsidRDefault="001814D1" w:rsidP="001814D1">
            <w:r>
              <w:t>повишено телесно тегло, понижено телесно тегло</w:t>
            </w:r>
          </w:p>
        </w:tc>
      </w:tr>
      <w:tr w:rsidR="001814D1" w14:paraId="5D982F54" w14:textId="77777777" w:rsidTr="001814D1">
        <w:tc>
          <w:tcPr>
            <w:tcW w:w="2388" w:type="dxa"/>
          </w:tcPr>
          <w:p w14:paraId="7A65C7F6" w14:textId="7054816F" w:rsidR="001814D1" w:rsidRDefault="001814D1" w:rsidP="001814D1">
            <w:r>
              <w:t>Редки</w:t>
            </w:r>
          </w:p>
        </w:tc>
        <w:tc>
          <w:tcPr>
            <w:tcW w:w="2385" w:type="dxa"/>
          </w:tcPr>
          <w:p w14:paraId="2DB51265" w14:textId="74F667EC" w:rsidR="001814D1" w:rsidRDefault="001814D1" w:rsidP="001814D1">
            <w:r>
              <w:t>увеличена концентрация на пикочна киселина в кръвта</w:t>
            </w:r>
          </w:p>
        </w:tc>
        <w:tc>
          <w:tcPr>
            <w:tcW w:w="2392" w:type="dxa"/>
          </w:tcPr>
          <w:p w14:paraId="168F6F75" w14:textId="2BFDB874" w:rsidR="001814D1" w:rsidRDefault="001814D1" w:rsidP="001814D1">
            <w:r>
              <w:t>повишени нива на креатин фосфокиназа в кръвта, понижени нива на хемоглобин</w:t>
            </w:r>
          </w:p>
        </w:tc>
        <w:tc>
          <w:tcPr>
            <w:tcW w:w="2411" w:type="dxa"/>
          </w:tcPr>
          <w:p w14:paraId="17B388EA" w14:textId="77777777" w:rsidR="001814D1" w:rsidRDefault="001814D1" w:rsidP="001814D1"/>
        </w:tc>
      </w:tr>
    </w:tbl>
    <w:p w14:paraId="4A0B69E6" w14:textId="77777777" w:rsidR="001814D1" w:rsidRPr="001814D1" w:rsidRDefault="001814D1" w:rsidP="001814D1">
      <w:pPr>
        <w:spacing w:line="240" w:lineRule="auto"/>
        <w:rPr>
          <w:rFonts w:eastAsia="Times New Roman" w:cs="Arial"/>
        </w:rPr>
      </w:pPr>
      <w:r w:rsidRPr="001814D1">
        <w:rPr>
          <w:rFonts w:eastAsia="Times New Roman" w:cs="Arial"/>
          <w:color w:val="000000"/>
          <w:vertAlign w:val="superscript"/>
          <w:lang w:val="ru-RU" w:eastAsia="bg-BG"/>
        </w:rPr>
        <w:t>1</w:t>
      </w:r>
      <w:r w:rsidRPr="001814D1">
        <w:rPr>
          <w:rFonts w:eastAsia="Times New Roman" w:cs="Arial"/>
          <w:color w:val="000000"/>
          <w:lang w:eastAsia="bg-BG"/>
        </w:rPr>
        <w:t>Нежеланата реакция може да бъде открита случайно или да е възникнала в резултат на неизвестен до момента механизъм</w:t>
      </w:r>
    </w:p>
    <w:p w14:paraId="1BE424C4" w14:textId="5C251625" w:rsidR="001814D1" w:rsidRPr="001814D1" w:rsidRDefault="001814D1" w:rsidP="001814D1">
      <w:pPr>
        <w:spacing w:line="240" w:lineRule="auto"/>
        <w:rPr>
          <w:rFonts w:eastAsia="Times New Roman" w:cs="Arial"/>
        </w:rPr>
      </w:pPr>
      <w:r w:rsidRPr="001814D1">
        <w:rPr>
          <w:rFonts w:eastAsia="Times New Roman" w:cs="Arial"/>
          <w:vertAlign w:val="superscript"/>
          <w:lang w:val="ru-RU"/>
        </w:rPr>
        <w:t>2</w:t>
      </w:r>
      <w:r w:rsidRPr="001814D1">
        <w:rPr>
          <w:rFonts w:eastAsia="Times New Roman" w:cs="Arial"/>
          <w:color w:val="000000"/>
          <w:lang w:eastAsia="bg-BG"/>
        </w:rPr>
        <w:t>В повечето случаи патологична чернодробна функция/чернодробни нарушения, установени при постмаркетинговия опит с телмисартан, възникнали при японски пациенти. Тези нежелани лекарствени реакции е по-вероятно да възникнат при японски пациенти.</w:t>
      </w:r>
    </w:p>
    <w:p w14:paraId="1A6338BD" w14:textId="71E50E5A" w:rsidR="001814D1" w:rsidRPr="001814D1" w:rsidRDefault="001814D1" w:rsidP="001814D1">
      <w:pPr>
        <w:spacing w:line="240" w:lineRule="auto"/>
        <w:rPr>
          <w:rFonts w:eastAsia="Times New Roman" w:cs="Arial"/>
        </w:rPr>
      </w:pPr>
      <w:r w:rsidRPr="001814D1">
        <w:rPr>
          <w:rFonts w:eastAsia="Times New Roman" w:cs="Arial"/>
          <w:color w:val="000000"/>
          <w:vertAlign w:val="superscript"/>
          <w:lang w:val="ru-RU" w:eastAsia="bg-BG"/>
        </w:rPr>
        <w:t>3</w:t>
      </w:r>
      <w:r w:rsidRPr="001814D1">
        <w:rPr>
          <w:rFonts w:eastAsia="Times New Roman" w:cs="Arial"/>
          <w:color w:val="000000"/>
          <w:lang w:eastAsia="bg-BG"/>
        </w:rPr>
        <w:t>От постмаркетинговия опит с телмисартан има съобщени случаи на интерстициални белодробни болести (най-често интерстициална и еозинофилна пневмония)</w:t>
      </w:r>
    </w:p>
    <w:p w14:paraId="53342F64" w14:textId="77777777" w:rsidR="001814D1" w:rsidRPr="001814D1" w:rsidRDefault="001814D1" w:rsidP="001814D1">
      <w:pPr>
        <w:spacing w:line="240" w:lineRule="auto"/>
        <w:rPr>
          <w:rFonts w:eastAsia="Times New Roman" w:cs="Arial"/>
          <w:color w:val="000000"/>
          <w:u w:val="single"/>
          <w:lang w:eastAsia="bg-BG"/>
        </w:rPr>
      </w:pPr>
    </w:p>
    <w:p w14:paraId="6B8473B7" w14:textId="15CF77D0" w:rsidR="001814D1" w:rsidRPr="001814D1" w:rsidRDefault="001814D1" w:rsidP="001814D1">
      <w:pPr>
        <w:spacing w:line="240" w:lineRule="auto"/>
        <w:rPr>
          <w:rFonts w:eastAsia="Times New Roman" w:cs="Arial"/>
        </w:rPr>
      </w:pPr>
      <w:r w:rsidRPr="001814D1">
        <w:rPr>
          <w:rFonts w:eastAsia="Times New Roman" w:cs="Arial"/>
          <w:color w:val="000000"/>
          <w:u w:val="single"/>
          <w:lang w:eastAsia="bg-BG"/>
        </w:rPr>
        <w:t>Съобщаване на подозирани нежелани реакции</w:t>
      </w:r>
    </w:p>
    <w:p w14:paraId="04D04391" w14:textId="77777777" w:rsidR="001814D1" w:rsidRPr="001814D1" w:rsidRDefault="001814D1" w:rsidP="001814D1">
      <w:pPr>
        <w:spacing w:line="240" w:lineRule="auto"/>
        <w:rPr>
          <w:rFonts w:eastAsia="Times New Roman" w:cs="Arial"/>
          <w:color w:val="000000"/>
          <w:lang w:eastAsia="bg-BG"/>
        </w:rPr>
      </w:pPr>
      <w:r w:rsidRPr="001814D1">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w:t>
      </w:r>
    </w:p>
    <w:p w14:paraId="1BA75B07" w14:textId="77777777" w:rsidR="001814D1" w:rsidRPr="001814D1" w:rsidRDefault="001814D1" w:rsidP="001814D1">
      <w:pPr>
        <w:spacing w:line="240" w:lineRule="auto"/>
        <w:rPr>
          <w:rFonts w:eastAsia="Times New Roman" w:cs="Arial"/>
          <w:color w:val="000000"/>
          <w:lang w:eastAsia="bg-BG"/>
        </w:rPr>
      </w:pPr>
      <w:r w:rsidRPr="001814D1">
        <w:rPr>
          <w:rFonts w:eastAsia="Times New Roman" w:cs="Arial"/>
          <w:color w:val="000000"/>
          <w:lang w:eastAsia="bg-BG"/>
        </w:rPr>
        <w:t xml:space="preserve">ул. „Дамян Груев” № 8 </w:t>
      </w:r>
    </w:p>
    <w:p w14:paraId="53581124" w14:textId="44BCD795" w:rsidR="001814D1" w:rsidRPr="001814D1" w:rsidRDefault="001814D1" w:rsidP="001814D1">
      <w:pPr>
        <w:spacing w:line="240" w:lineRule="auto"/>
        <w:rPr>
          <w:rFonts w:eastAsia="Times New Roman" w:cs="Arial"/>
        </w:rPr>
      </w:pPr>
      <w:r w:rsidRPr="001814D1">
        <w:rPr>
          <w:rFonts w:eastAsia="Times New Roman" w:cs="Arial"/>
          <w:color w:val="000000"/>
          <w:lang w:eastAsia="bg-BG"/>
        </w:rPr>
        <w:t>1303 София</w:t>
      </w:r>
    </w:p>
    <w:p w14:paraId="265D9F3F" w14:textId="77777777" w:rsidR="001814D1" w:rsidRPr="001814D1" w:rsidRDefault="001814D1" w:rsidP="001814D1">
      <w:pPr>
        <w:spacing w:line="240" w:lineRule="auto"/>
        <w:rPr>
          <w:rFonts w:eastAsia="Times New Roman" w:cs="Arial"/>
          <w:color w:val="000000"/>
          <w:lang w:eastAsia="bg-BG"/>
        </w:rPr>
      </w:pPr>
      <w:r w:rsidRPr="001814D1">
        <w:rPr>
          <w:rFonts w:eastAsia="Times New Roman" w:cs="Arial"/>
          <w:color w:val="000000"/>
          <w:lang w:eastAsia="bg-BG"/>
        </w:rPr>
        <w:t xml:space="preserve">Тел.:+35 928903417 </w:t>
      </w:r>
    </w:p>
    <w:p w14:paraId="74966E03" w14:textId="7E5BE498"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уебсайт: </w:t>
      </w:r>
      <w:r w:rsidRPr="001814D1">
        <w:rPr>
          <w:rFonts w:eastAsia="Times New Roman" w:cs="Arial"/>
        </w:rPr>
        <w:fldChar w:fldCharType="begin"/>
      </w:r>
      <w:r w:rsidRPr="001814D1">
        <w:rPr>
          <w:rFonts w:eastAsia="Times New Roman" w:cs="Arial"/>
        </w:rPr>
        <w:instrText xml:space="preserve"> HYPERLINK "http://www.bda.bg" </w:instrText>
      </w:r>
      <w:r w:rsidRPr="001814D1">
        <w:rPr>
          <w:rFonts w:eastAsia="Times New Roman" w:cs="Arial"/>
        </w:rPr>
        <w:fldChar w:fldCharType="separate"/>
      </w:r>
      <w:r w:rsidRPr="001814D1">
        <w:rPr>
          <w:rFonts w:eastAsia="Times New Roman" w:cs="Arial"/>
          <w:color w:val="000000"/>
          <w:lang w:val="en-US"/>
        </w:rPr>
        <w:t>www</w:t>
      </w:r>
      <w:r w:rsidRPr="001814D1">
        <w:rPr>
          <w:rFonts w:eastAsia="Times New Roman" w:cs="Arial"/>
          <w:color w:val="000000"/>
          <w:lang w:val="ru-RU"/>
        </w:rPr>
        <w:t>.</w:t>
      </w:r>
      <w:proofErr w:type="spellStart"/>
      <w:r w:rsidRPr="001814D1">
        <w:rPr>
          <w:rFonts w:eastAsia="Times New Roman" w:cs="Arial"/>
          <w:color w:val="000000"/>
          <w:lang w:val="en-US"/>
        </w:rPr>
        <w:t>bda</w:t>
      </w:r>
      <w:proofErr w:type="spellEnd"/>
      <w:r w:rsidRPr="001814D1">
        <w:rPr>
          <w:rFonts w:eastAsia="Times New Roman" w:cs="Arial"/>
          <w:color w:val="000000"/>
          <w:lang w:val="ru-RU"/>
        </w:rPr>
        <w:t>.</w:t>
      </w:r>
      <w:proofErr w:type="spellStart"/>
      <w:r w:rsidRPr="001814D1">
        <w:rPr>
          <w:rFonts w:eastAsia="Times New Roman" w:cs="Arial"/>
          <w:color w:val="000000"/>
          <w:lang w:val="en-US"/>
        </w:rPr>
        <w:t>bg</w:t>
      </w:r>
      <w:proofErr w:type="spellEnd"/>
      <w:r w:rsidRPr="001814D1">
        <w:rPr>
          <w:rFonts w:eastAsia="Times New Roman" w:cs="Arial"/>
        </w:rPr>
        <w:fldChar w:fldCharType="end"/>
      </w:r>
    </w:p>
    <w:p w14:paraId="27C6FEC9" w14:textId="77777777" w:rsidR="00994BD1" w:rsidRPr="00994BD1" w:rsidRDefault="00994BD1" w:rsidP="00994BD1"/>
    <w:p w14:paraId="5A87DBA3" w14:textId="05BDFEBE" w:rsidR="007122AD" w:rsidRDefault="002C50EE" w:rsidP="00936AD0">
      <w:pPr>
        <w:pStyle w:val="Heading2"/>
      </w:pPr>
      <w:r>
        <w:t>4.9. Предозиране</w:t>
      </w:r>
    </w:p>
    <w:p w14:paraId="64E263E3" w14:textId="5C1EE364" w:rsidR="001814D1" w:rsidRDefault="001814D1" w:rsidP="001814D1"/>
    <w:p w14:paraId="1BDFD542" w14:textId="77777777" w:rsidR="001814D1" w:rsidRPr="001814D1" w:rsidRDefault="001814D1" w:rsidP="001814D1">
      <w:pPr>
        <w:pStyle w:val="Heading3"/>
        <w:rPr>
          <w:rFonts w:eastAsia="Times New Roman"/>
          <w:sz w:val="28"/>
          <w:u w:val="single"/>
        </w:rPr>
      </w:pPr>
      <w:r w:rsidRPr="001814D1">
        <w:rPr>
          <w:rFonts w:eastAsia="Times New Roman"/>
          <w:u w:val="single"/>
          <w:lang w:eastAsia="bg-BG"/>
        </w:rPr>
        <w:t>Симптоми</w:t>
      </w:r>
    </w:p>
    <w:p w14:paraId="750505F0" w14:textId="77777777"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Признаците и симптомите за предозиране се очаква да се проявят под формата на засилени фармакологични ефекти. Най-явните проявления на предозиране с телмисартан се очаква да бъдат хипотония и тахикардия; има съобщения и за брадикардия, замаяност, повишение на нивата на серумния креатинин, тежко бъбречно увреждане.</w:t>
      </w:r>
    </w:p>
    <w:p w14:paraId="5CC1B488" w14:textId="77777777"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Предозирането с амлодипин може да има като резултат твърде висока периферна вазодилатация, както и рефлексна тахикардия. Съобщава се и за изявена и вероятно продължителна системна хипотензия, която да премине в шок, включително шок, завършващ със смърт.</w:t>
      </w:r>
    </w:p>
    <w:p w14:paraId="3F4A561D" w14:textId="77777777" w:rsidR="001814D1" w:rsidRPr="001814D1" w:rsidRDefault="001814D1" w:rsidP="001814D1">
      <w:pPr>
        <w:spacing w:line="240" w:lineRule="auto"/>
        <w:rPr>
          <w:rFonts w:eastAsia="Times New Roman" w:cs="Arial"/>
          <w:color w:val="000000"/>
          <w:szCs w:val="20"/>
          <w:u w:val="single"/>
          <w:lang w:eastAsia="bg-BG"/>
        </w:rPr>
      </w:pPr>
    </w:p>
    <w:p w14:paraId="0E37B86D" w14:textId="1AC2D3F6" w:rsidR="001814D1" w:rsidRPr="001814D1" w:rsidRDefault="001814D1" w:rsidP="001814D1">
      <w:pPr>
        <w:pStyle w:val="Heading3"/>
        <w:rPr>
          <w:rFonts w:eastAsia="Times New Roman"/>
          <w:sz w:val="28"/>
          <w:u w:val="single"/>
        </w:rPr>
      </w:pPr>
      <w:r w:rsidRPr="001814D1">
        <w:rPr>
          <w:rFonts w:eastAsia="Times New Roman"/>
          <w:u w:val="single"/>
          <w:lang w:eastAsia="bg-BG"/>
        </w:rPr>
        <w:t>Лечение</w:t>
      </w:r>
    </w:p>
    <w:p w14:paraId="0AAADA1C" w14:textId="77777777"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 xml:space="preserve">Пациентът трябва да бъде внимателно наблюдаван, а лечението трябва да е симптоматично и поддържащо. Схемата за лечение зависи от времето от момента на поглъщане, както и от тежестта на симптомите. Предлаганите мерки включват </w:t>
      </w:r>
      <w:r w:rsidRPr="001814D1">
        <w:rPr>
          <w:rFonts w:eastAsia="Times New Roman" w:cs="Arial"/>
          <w:color w:val="000000"/>
          <w:szCs w:val="20"/>
          <w:lang w:eastAsia="bg-BG"/>
        </w:rPr>
        <w:lastRenderedPageBreak/>
        <w:t>предизвикване на повръщане и/или лаваж на стомаха. В случаи на предозиране, както на телмисартан, така и на амлодипин, като средство може да се използва и активен въглен.</w:t>
      </w:r>
    </w:p>
    <w:p w14:paraId="28064AB2" w14:textId="577E139A" w:rsidR="001814D1" w:rsidRPr="001814D1" w:rsidRDefault="001814D1" w:rsidP="001814D1">
      <w:pPr>
        <w:rPr>
          <w:rFonts w:cs="Arial"/>
          <w:sz w:val="24"/>
        </w:rPr>
      </w:pPr>
      <w:r w:rsidRPr="001814D1">
        <w:rPr>
          <w:rFonts w:eastAsia="Times New Roman" w:cs="Arial"/>
          <w:color w:val="000000"/>
          <w:szCs w:val="20"/>
          <w:lang w:eastAsia="bg-BG"/>
        </w:rPr>
        <w:t>Нивата на серумните електролити и креатинина трябва да бъдат измервани често. При наличие на хипотензия, пациентът трябва да се постави легнал по гръб и с повдигнати крайници, като често му бъде прилагано бързо вливане на соли и обемозаместители. Трябва да се започне поддържащо лечение. Интравенозно вливане на калциев глюконат може да бъде ефективно за преодоляване на ефекта на блокиране на калциевите канали. Телмисартан и амлодипин не могат да се отстранят чрез прилагане на хемодиализа.</w:t>
      </w:r>
    </w:p>
    <w:p w14:paraId="02081B24" w14:textId="36FE76F4" w:rsidR="00395555" w:rsidRPr="00395555" w:rsidRDefault="002C50EE" w:rsidP="008A6AF2">
      <w:pPr>
        <w:pStyle w:val="Heading1"/>
      </w:pPr>
      <w:r>
        <w:t>5. ФАРМАКОЛОГИЧНИ СВОЙСТВА</w:t>
      </w:r>
    </w:p>
    <w:p w14:paraId="6339E404" w14:textId="0445DE2E" w:rsidR="00875EEC" w:rsidRDefault="002C50EE" w:rsidP="005726E3">
      <w:pPr>
        <w:pStyle w:val="Heading2"/>
      </w:pPr>
      <w:r>
        <w:t>5.1. Фармакодинамични свойства</w:t>
      </w:r>
    </w:p>
    <w:p w14:paraId="07693ABE" w14:textId="6AFF4F0E" w:rsidR="001814D1" w:rsidRDefault="001814D1" w:rsidP="001814D1"/>
    <w:p w14:paraId="20D1181B"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Фармакотерапевтична група: Активни вещества, действащи на ренин-ангиотензиновата система, антагонисти на ангиотензин </w:t>
      </w:r>
      <w:r w:rsidRPr="001814D1">
        <w:rPr>
          <w:rFonts w:eastAsia="Times New Roman" w:cs="Arial"/>
          <w:color w:val="000000"/>
          <w:lang w:val="en-US"/>
        </w:rPr>
        <w:t>II</w:t>
      </w:r>
      <w:r w:rsidRPr="001814D1">
        <w:rPr>
          <w:rFonts w:eastAsia="Times New Roman" w:cs="Arial"/>
          <w:color w:val="000000"/>
          <w:lang w:eastAsia="bg-BG"/>
        </w:rPr>
        <w:t xml:space="preserve">, блокери на калциевите канали; АТС код: </w:t>
      </w:r>
      <w:r w:rsidRPr="001814D1">
        <w:rPr>
          <w:rFonts w:eastAsia="Times New Roman" w:cs="Arial"/>
          <w:color w:val="000000"/>
          <w:lang w:val="en-US"/>
        </w:rPr>
        <w:t>C</w:t>
      </w:r>
      <w:r w:rsidRPr="001814D1">
        <w:rPr>
          <w:rFonts w:eastAsia="Times New Roman" w:cs="Arial"/>
          <w:color w:val="000000"/>
          <w:lang w:val="ru-RU"/>
        </w:rPr>
        <w:t>09</w:t>
      </w:r>
      <w:r w:rsidRPr="001814D1">
        <w:rPr>
          <w:rFonts w:eastAsia="Times New Roman" w:cs="Arial"/>
          <w:color w:val="000000"/>
          <w:lang w:val="en-US"/>
        </w:rPr>
        <w:t>DB</w:t>
      </w:r>
      <w:r w:rsidRPr="001814D1">
        <w:rPr>
          <w:rFonts w:eastAsia="Times New Roman" w:cs="Arial"/>
          <w:color w:val="000000"/>
          <w:lang w:val="ru-RU"/>
        </w:rPr>
        <w:t>04.</w:t>
      </w:r>
    </w:p>
    <w:p w14:paraId="40815E17" w14:textId="77777777" w:rsidR="001814D1" w:rsidRPr="001814D1" w:rsidRDefault="001814D1" w:rsidP="001814D1">
      <w:pPr>
        <w:spacing w:line="240" w:lineRule="auto"/>
        <w:rPr>
          <w:rFonts w:eastAsia="Times New Roman" w:cs="Arial"/>
          <w:color w:val="000000"/>
          <w:lang w:eastAsia="bg-BG"/>
        </w:rPr>
      </w:pPr>
    </w:p>
    <w:p w14:paraId="10967C4F" w14:textId="7D5EFF9E" w:rsidR="001814D1" w:rsidRPr="001814D1" w:rsidRDefault="001814D1" w:rsidP="001814D1">
      <w:pPr>
        <w:spacing w:line="240" w:lineRule="auto"/>
        <w:rPr>
          <w:rFonts w:eastAsia="Times New Roman" w:cs="Arial"/>
        </w:rPr>
      </w:pPr>
      <w:r w:rsidRPr="001814D1">
        <w:rPr>
          <w:rFonts w:eastAsia="Times New Roman" w:cs="Arial"/>
          <w:color w:val="000000"/>
          <w:lang w:eastAsia="bg-BG"/>
        </w:rPr>
        <w:t>Телмисартан/амлодипин съчетава две антихипертензивни съставки с допълващи се механизми на действие за контролиране на кръвното налягане при пациенти с есенциална хипертензия: ангиотензин II рецепторен антагонист, телмисартан, и дихидропиридинов блокер на калциевите канали, амлодипин.</w:t>
      </w:r>
    </w:p>
    <w:p w14:paraId="782B9486"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Комбинацията от тези вещества има адитивен антихипертензивен ефект, понижаващ кръвното налягане в по-голяма степен, отколкото всеки компонент поединично.</w:t>
      </w:r>
    </w:p>
    <w:p w14:paraId="3AEDD0DE"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Приемането на телмисартан/амлодипин веднъж дневно ефективно и трайно понижава кръвното налягане за целия 24-часов период на действие на лекарствената доза.</w:t>
      </w:r>
    </w:p>
    <w:p w14:paraId="425CCE31" w14:textId="77777777" w:rsidR="001814D1" w:rsidRPr="001814D1" w:rsidRDefault="001814D1" w:rsidP="001814D1">
      <w:pPr>
        <w:spacing w:line="240" w:lineRule="auto"/>
        <w:rPr>
          <w:rFonts w:eastAsia="Times New Roman" w:cs="Arial"/>
          <w:color w:val="000000"/>
          <w:u w:val="single"/>
          <w:lang w:eastAsia="bg-BG"/>
        </w:rPr>
      </w:pPr>
    </w:p>
    <w:p w14:paraId="5072959C" w14:textId="58D36F2C" w:rsidR="001814D1" w:rsidRPr="001814D1" w:rsidRDefault="001814D1" w:rsidP="001814D1">
      <w:pPr>
        <w:spacing w:line="240" w:lineRule="auto"/>
        <w:rPr>
          <w:rFonts w:eastAsia="Times New Roman" w:cs="Arial"/>
        </w:rPr>
      </w:pPr>
      <w:r w:rsidRPr="001814D1">
        <w:rPr>
          <w:rFonts w:eastAsia="Times New Roman" w:cs="Arial"/>
          <w:color w:val="000000"/>
          <w:u w:val="single"/>
          <w:lang w:eastAsia="bg-BG"/>
        </w:rPr>
        <w:t>Телмисартан</w:t>
      </w:r>
    </w:p>
    <w:p w14:paraId="56E26E04"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Телмисартан е активен при перорален прием и е специфичен ангиотензин </w:t>
      </w:r>
      <w:r w:rsidRPr="001814D1">
        <w:rPr>
          <w:rFonts w:eastAsia="Times New Roman" w:cs="Arial"/>
          <w:color w:val="000000"/>
          <w:lang w:val="en-US"/>
        </w:rPr>
        <w:t>II</w:t>
      </w:r>
      <w:r w:rsidRPr="001814D1">
        <w:rPr>
          <w:rFonts w:eastAsia="Times New Roman" w:cs="Arial"/>
          <w:color w:val="000000"/>
          <w:lang w:eastAsia="bg-BG"/>
        </w:rPr>
        <w:t xml:space="preserve"> рецепторен антагонист (тип АТ</w:t>
      </w:r>
      <w:r w:rsidRPr="001814D1">
        <w:rPr>
          <w:rFonts w:eastAsia="Times New Roman" w:cs="Arial"/>
          <w:color w:val="000000"/>
          <w:vertAlign w:val="subscript"/>
          <w:lang w:eastAsia="bg-BG"/>
        </w:rPr>
        <w:t>1</w:t>
      </w:r>
      <w:r w:rsidRPr="001814D1">
        <w:rPr>
          <w:rFonts w:eastAsia="Times New Roman" w:cs="Arial"/>
          <w:color w:val="000000"/>
          <w:lang w:eastAsia="bg-BG"/>
        </w:rPr>
        <w:t>). Телмисартан измества с много голям афинитет ангиотензин И от специфичните му места за свързване към рецептора от субтип АТ</w:t>
      </w:r>
      <w:r w:rsidRPr="001814D1">
        <w:rPr>
          <w:rFonts w:eastAsia="Times New Roman" w:cs="Arial"/>
          <w:color w:val="000000"/>
          <w:vertAlign w:val="subscript"/>
          <w:lang w:eastAsia="bg-BG"/>
        </w:rPr>
        <w:t>1</w:t>
      </w:r>
      <w:r w:rsidRPr="001814D1">
        <w:rPr>
          <w:rFonts w:eastAsia="Times New Roman" w:cs="Arial"/>
          <w:color w:val="000000"/>
          <w:lang w:eastAsia="bg-BG"/>
        </w:rPr>
        <w:t>, който е отговорен за действието на ангиотензин II. Телмисартан не показва никаква активност на парциален агонистна АТ</w:t>
      </w:r>
      <w:r w:rsidRPr="001814D1">
        <w:rPr>
          <w:rFonts w:eastAsia="Times New Roman" w:cs="Arial"/>
          <w:color w:val="000000"/>
          <w:vertAlign w:val="subscript"/>
          <w:lang w:eastAsia="bg-BG"/>
        </w:rPr>
        <w:t>1</w:t>
      </w:r>
      <w:r w:rsidRPr="001814D1">
        <w:rPr>
          <w:rFonts w:eastAsia="Times New Roman" w:cs="Arial"/>
          <w:color w:val="000000"/>
          <w:lang w:eastAsia="bg-BG"/>
        </w:rPr>
        <w:t>- рецептора. Телмисартан се свързва селективно към АТ</w:t>
      </w:r>
      <w:r w:rsidRPr="001814D1">
        <w:rPr>
          <w:rFonts w:eastAsia="Times New Roman" w:cs="Arial"/>
          <w:color w:val="000000"/>
          <w:vertAlign w:val="subscript"/>
          <w:lang w:eastAsia="bg-BG"/>
        </w:rPr>
        <w:t>1</w:t>
      </w:r>
      <w:r w:rsidRPr="001814D1">
        <w:rPr>
          <w:rFonts w:eastAsia="Times New Roman" w:cs="Arial"/>
          <w:color w:val="000000"/>
          <w:lang w:eastAsia="bg-BG"/>
        </w:rPr>
        <w:t xml:space="preserve"> - рецептора, като свързването е трайно. Телмисартан не показва афинитет към други рецептори, включително АТ</w:t>
      </w:r>
      <w:r w:rsidRPr="001814D1">
        <w:rPr>
          <w:rFonts w:eastAsia="Times New Roman" w:cs="Arial"/>
          <w:color w:val="000000"/>
          <w:vertAlign w:val="subscript"/>
          <w:lang w:eastAsia="bg-BG"/>
        </w:rPr>
        <w:t>2</w:t>
      </w:r>
      <w:r w:rsidRPr="001814D1">
        <w:rPr>
          <w:rFonts w:eastAsia="Times New Roman" w:cs="Arial"/>
          <w:color w:val="000000"/>
          <w:lang w:eastAsia="bg-BG"/>
        </w:rPr>
        <w:t xml:space="preserve"> и други по-слабо проучени АТ- рецептори. Функционалната роля на тези рецептори е неизвестна, както и ефектът на възможната им свръхстимулация от ангиотензин II, чиито нива се повишават от телмисартан. Телмисартан намалява плазмените концентрации на алдостерон. Телмисартан не инхибира човешкият плазмен ренин и не блокира йонните канали. Телмисартан не инхибира ангиотензин-конвертиращия ензим (кининаза</w:t>
      </w:r>
      <w:r w:rsidRPr="001814D1">
        <w:rPr>
          <w:rFonts w:eastAsia="Times New Roman" w:cs="Arial"/>
          <w:color w:val="000000"/>
          <w:lang w:val="en-US"/>
        </w:rPr>
        <w:t>II</w:t>
      </w:r>
      <w:r w:rsidRPr="001814D1">
        <w:rPr>
          <w:rFonts w:eastAsia="Times New Roman" w:cs="Arial"/>
          <w:color w:val="000000"/>
          <w:lang w:eastAsia="bg-BG"/>
        </w:rPr>
        <w:t>), който разгражда и брадикинин. Затова не се очаква засилване на опосредстваните от брадикинин нежелани лекарствени реакции.</w:t>
      </w:r>
    </w:p>
    <w:p w14:paraId="2249DBFB" w14:textId="77777777" w:rsidR="001814D1" w:rsidRPr="001814D1" w:rsidRDefault="001814D1" w:rsidP="001814D1">
      <w:pPr>
        <w:spacing w:line="240" w:lineRule="auto"/>
        <w:rPr>
          <w:rFonts w:eastAsia="Times New Roman" w:cs="Arial"/>
          <w:color w:val="000000"/>
          <w:lang w:eastAsia="bg-BG"/>
        </w:rPr>
      </w:pPr>
    </w:p>
    <w:p w14:paraId="47A38251" w14:textId="3E035E6A"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При човека, доза от 80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телмисартан почти изцяло потиска предизвиканото от ангиотензин II повишение на кръвното налягане. Ефектът на потискане продължава 24 часа и е измерим до 48 часа.</w:t>
      </w:r>
    </w:p>
    <w:p w14:paraId="4DF8D10C" w14:textId="77777777" w:rsidR="001814D1" w:rsidRPr="001814D1" w:rsidRDefault="001814D1" w:rsidP="001814D1">
      <w:pPr>
        <w:spacing w:line="240" w:lineRule="auto"/>
        <w:rPr>
          <w:rFonts w:eastAsia="Times New Roman" w:cs="Arial"/>
          <w:color w:val="000000"/>
          <w:lang w:eastAsia="bg-BG"/>
        </w:rPr>
      </w:pPr>
    </w:p>
    <w:p w14:paraId="66CB48B9" w14:textId="0688ED00" w:rsidR="001814D1" w:rsidRPr="001814D1" w:rsidRDefault="001814D1" w:rsidP="001814D1">
      <w:pPr>
        <w:spacing w:line="240" w:lineRule="auto"/>
        <w:rPr>
          <w:rFonts w:eastAsia="Times New Roman" w:cs="Arial"/>
        </w:rPr>
      </w:pPr>
      <w:r w:rsidRPr="001814D1">
        <w:rPr>
          <w:rFonts w:eastAsia="Times New Roman" w:cs="Arial"/>
          <w:color w:val="000000"/>
          <w:lang w:eastAsia="bg-BG"/>
        </w:rPr>
        <w:t>След първата доза телмисартан, антихипергензивната активност плавно започва да се проявява след около 3 часа. Максималното понижение на кръвното налягане се постига в общия случай за 4 до 8 седмици след започването на лечението, и се поддържа по време на целия период на лечение.</w:t>
      </w:r>
    </w:p>
    <w:p w14:paraId="74F065FE" w14:textId="77777777" w:rsidR="001814D1" w:rsidRPr="001814D1" w:rsidRDefault="001814D1" w:rsidP="001814D1">
      <w:pPr>
        <w:spacing w:line="240" w:lineRule="auto"/>
        <w:rPr>
          <w:rFonts w:eastAsia="Times New Roman" w:cs="Arial"/>
          <w:color w:val="000000"/>
          <w:lang w:eastAsia="bg-BG"/>
        </w:rPr>
      </w:pPr>
    </w:p>
    <w:p w14:paraId="1FB1BF3F" w14:textId="5D788E1A" w:rsidR="001814D1" w:rsidRPr="001814D1" w:rsidRDefault="001814D1" w:rsidP="001814D1">
      <w:pPr>
        <w:spacing w:line="240" w:lineRule="auto"/>
        <w:rPr>
          <w:rFonts w:eastAsia="Times New Roman" w:cs="Arial"/>
        </w:rPr>
      </w:pPr>
      <w:r w:rsidRPr="001814D1">
        <w:rPr>
          <w:rFonts w:eastAsia="Times New Roman" w:cs="Arial"/>
          <w:color w:val="000000"/>
          <w:lang w:eastAsia="bg-BG"/>
        </w:rPr>
        <w:lastRenderedPageBreak/>
        <w:t xml:space="preserve">Антихипертензивният ефект се поддържа в течение на 24 часа след приемане и включва последните 4 часа преди следващата доза, което се установява чрез измерване на кръвното налягане в амбулаторни условия. Това се потвърждава от съотношенията на пиковете, които са идентични над 80 % след приемане на дози от 40 и 80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телмисартан в плацебо-контролирани клинични изпитвания. Установява се забележима тенденция към зависимост на дозата от времето за възстановяване на началното систолично кръвно налягане .В този смисъл данните относно диастоличното кръвно налягане са противоречиви.</w:t>
      </w:r>
    </w:p>
    <w:p w14:paraId="334BA5E2" w14:textId="77777777" w:rsidR="001814D1" w:rsidRPr="001814D1" w:rsidRDefault="001814D1" w:rsidP="001814D1">
      <w:pPr>
        <w:spacing w:line="240" w:lineRule="auto"/>
        <w:rPr>
          <w:rFonts w:eastAsia="Times New Roman" w:cs="Arial"/>
          <w:color w:val="000000"/>
          <w:lang w:eastAsia="bg-BG"/>
        </w:rPr>
      </w:pPr>
    </w:p>
    <w:p w14:paraId="0CA1ABDC" w14:textId="77777777" w:rsidR="001814D1" w:rsidRPr="001814D1" w:rsidRDefault="001814D1" w:rsidP="001814D1">
      <w:pPr>
        <w:rPr>
          <w:rFonts w:eastAsia="Times New Roman" w:cs="Arial"/>
        </w:rPr>
      </w:pPr>
      <w:r w:rsidRPr="001814D1">
        <w:rPr>
          <w:rFonts w:eastAsia="Times New Roman" w:cs="Arial"/>
          <w:color w:val="000000"/>
          <w:lang w:eastAsia="bg-BG"/>
        </w:rPr>
        <w:t>При пациенти с хипертония, тепмисарган редуцира сисголичното и диастоличното кръвно налягане, без да засяга честотата на сърцебиене. Приносът на дуиретичния и натриуретичния ефект на лекарствения продукт към неговата хипотензивна активност е в процес на установяване. Антихипертензивната ефикасност на телмисартан е сравнима с тази на веществата от други класове антихипертензивни лекарствени продукти (което е доказано в</w:t>
      </w:r>
      <w:r w:rsidRPr="001814D1">
        <w:rPr>
          <w:rFonts w:eastAsia="Times New Roman" w:cs="Arial"/>
          <w:color w:val="000000"/>
          <w:lang w:val="ru-RU" w:eastAsia="bg-BG"/>
        </w:rPr>
        <w:t xml:space="preserve"> </w:t>
      </w:r>
      <w:r w:rsidRPr="001814D1">
        <w:rPr>
          <w:rFonts w:eastAsia="Times New Roman" w:cs="Arial"/>
          <w:color w:val="000000"/>
          <w:lang w:eastAsia="bg-BG"/>
        </w:rPr>
        <w:t>клинични изпитвания, където ефективността на телмисартан е сравнена с тази на амлодипин, атенолол, еналаприл, хидрохлортиазид, и лизиноприл).</w:t>
      </w:r>
    </w:p>
    <w:p w14:paraId="2720E28E" w14:textId="77777777" w:rsidR="001814D1" w:rsidRPr="001814D1" w:rsidRDefault="001814D1" w:rsidP="001814D1">
      <w:pPr>
        <w:spacing w:line="240" w:lineRule="auto"/>
        <w:rPr>
          <w:rFonts w:eastAsia="Times New Roman" w:cs="Arial"/>
          <w:color w:val="000000"/>
          <w:lang w:eastAsia="bg-BG"/>
        </w:rPr>
      </w:pPr>
    </w:p>
    <w:p w14:paraId="314AD3FD" w14:textId="60F160F1" w:rsidR="001814D1" w:rsidRPr="001814D1" w:rsidRDefault="001814D1" w:rsidP="001814D1">
      <w:pPr>
        <w:spacing w:line="240" w:lineRule="auto"/>
        <w:rPr>
          <w:rFonts w:eastAsia="Times New Roman" w:cs="Arial"/>
        </w:rPr>
      </w:pPr>
      <w:r w:rsidRPr="001814D1">
        <w:rPr>
          <w:rFonts w:eastAsia="Times New Roman" w:cs="Arial"/>
          <w:color w:val="000000"/>
          <w:lang w:eastAsia="bg-BG"/>
        </w:rPr>
        <w:t>При внезапно прекъсване на лечението с телмисартан, в рамките на няколко дни кръвното налягане постепенно се възстановява до първоначалните параметри отпреди започването на лечението, като не е доказано възобновяване на хипертензията.</w:t>
      </w:r>
    </w:p>
    <w:p w14:paraId="48758EBA" w14:textId="77777777" w:rsidR="001814D1" w:rsidRPr="001814D1" w:rsidRDefault="001814D1" w:rsidP="001814D1">
      <w:pPr>
        <w:spacing w:line="240" w:lineRule="auto"/>
        <w:rPr>
          <w:rFonts w:eastAsia="Times New Roman" w:cs="Arial"/>
          <w:color w:val="000000"/>
          <w:lang w:eastAsia="bg-BG"/>
        </w:rPr>
      </w:pPr>
    </w:p>
    <w:p w14:paraId="1EB36C2D" w14:textId="0B11E472" w:rsidR="001814D1" w:rsidRPr="001814D1" w:rsidRDefault="001814D1" w:rsidP="001814D1">
      <w:pPr>
        <w:spacing w:line="240" w:lineRule="auto"/>
        <w:rPr>
          <w:rFonts w:eastAsia="Times New Roman" w:cs="Arial"/>
        </w:rPr>
      </w:pPr>
      <w:r w:rsidRPr="001814D1">
        <w:rPr>
          <w:rFonts w:eastAsia="Times New Roman" w:cs="Arial"/>
          <w:color w:val="000000"/>
          <w:lang w:eastAsia="bg-BG"/>
        </w:rPr>
        <w:t>Честотата на суха кашлица е значително по-ниска при пациентите, лекувани с телмисартан, отколкото при тези, които са лекувани с инхибитори на ангиотензин-конвертиращите ензими, което се установява в клинични изпитвания, директно сравняващи двата типа антихипертензивно лечение.</w:t>
      </w:r>
    </w:p>
    <w:p w14:paraId="243A201A" w14:textId="77777777" w:rsidR="001814D1" w:rsidRPr="001814D1" w:rsidRDefault="001814D1" w:rsidP="001814D1">
      <w:pPr>
        <w:spacing w:line="240" w:lineRule="auto"/>
        <w:rPr>
          <w:rFonts w:eastAsia="Times New Roman" w:cs="Arial"/>
          <w:color w:val="000000"/>
          <w:lang w:eastAsia="bg-BG"/>
        </w:rPr>
      </w:pPr>
    </w:p>
    <w:p w14:paraId="6449B6F6" w14:textId="33A035BB"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Две големи рандомизирани контролирани проучвания - </w:t>
      </w:r>
      <w:r w:rsidRPr="001814D1">
        <w:rPr>
          <w:rFonts w:eastAsia="Times New Roman" w:cs="Arial"/>
          <w:color w:val="000000"/>
          <w:lang w:val="en-US"/>
        </w:rPr>
        <w:t>ONTARGET</w:t>
      </w:r>
      <w:r w:rsidRPr="001814D1">
        <w:rPr>
          <w:rFonts w:eastAsia="Times New Roman" w:cs="Arial"/>
          <w:color w:val="000000"/>
        </w:rPr>
        <w:t xml:space="preserve"> (</w:t>
      </w:r>
      <w:proofErr w:type="spellStart"/>
      <w:r w:rsidRPr="001814D1">
        <w:rPr>
          <w:rFonts w:eastAsia="Times New Roman" w:cs="Arial"/>
          <w:color w:val="000000"/>
          <w:lang w:val="en-US"/>
        </w:rPr>
        <w:t>ONgoing</w:t>
      </w:r>
      <w:proofErr w:type="spellEnd"/>
      <w:r w:rsidRPr="001814D1">
        <w:rPr>
          <w:rFonts w:eastAsia="Times New Roman" w:cs="Arial"/>
          <w:color w:val="000000"/>
        </w:rPr>
        <w:t xml:space="preserve"> </w:t>
      </w:r>
      <w:proofErr w:type="spellStart"/>
      <w:r w:rsidRPr="001814D1">
        <w:rPr>
          <w:rFonts w:eastAsia="Times New Roman" w:cs="Arial"/>
          <w:color w:val="000000"/>
          <w:lang w:val="en-US"/>
        </w:rPr>
        <w:t>Telmisartan</w:t>
      </w:r>
      <w:proofErr w:type="spellEnd"/>
      <w:r w:rsidRPr="001814D1">
        <w:rPr>
          <w:rFonts w:eastAsia="Times New Roman" w:cs="Arial"/>
          <w:color w:val="000000"/>
        </w:rPr>
        <w:t xml:space="preserve"> </w:t>
      </w:r>
      <w:r w:rsidRPr="001814D1">
        <w:rPr>
          <w:rFonts w:eastAsia="Times New Roman" w:cs="Arial"/>
          <w:color w:val="000000"/>
          <w:lang w:val="en-US"/>
        </w:rPr>
        <w:t>Alone</w:t>
      </w:r>
      <w:r w:rsidRPr="001814D1">
        <w:rPr>
          <w:rFonts w:eastAsia="Times New Roman" w:cs="Arial"/>
          <w:color w:val="000000"/>
        </w:rPr>
        <w:t xml:space="preserve"> </w:t>
      </w:r>
      <w:r w:rsidRPr="001814D1">
        <w:rPr>
          <w:rFonts w:eastAsia="Times New Roman" w:cs="Arial"/>
          <w:color w:val="000000"/>
          <w:lang w:val="en-US"/>
        </w:rPr>
        <w:t>and</w:t>
      </w:r>
      <w:r w:rsidRPr="001814D1">
        <w:rPr>
          <w:rFonts w:eastAsia="Times New Roman" w:cs="Arial"/>
          <w:color w:val="000000"/>
        </w:rPr>
        <w:t xml:space="preserve"> </w:t>
      </w:r>
      <w:r w:rsidRPr="001814D1">
        <w:rPr>
          <w:rFonts w:eastAsia="Times New Roman" w:cs="Arial"/>
          <w:color w:val="000000"/>
          <w:lang w:val="en-US"/>
        </w:rPr>
        <w:t>in</w:t>
      </w:r>
      <w:r w:rsidRPr="001814D1">
        <w:rPr>
          <w:rFonts w:eastAsia="Times New Roman" w:cs="Arial"/>
          <w:color w:val="000000"/>
        </w:rPr>
        <w:t xml:space="preserve"> </w:t>
      </w:r>
      <w:r w:rsidRPr="001814D1">
        <w:rPr>
          <w:rFonts w:eastAsia="Times New Roman" w:cs="Arial"/>
          <w:color w:val="000000"/>
          <w:lang w:val="en-US"/>
        </w:rPr>
        <w:t>combination</w:t>
      </w:r>
      <w:r w:rsidRPr="001814D1">
        <w:rPr>
          <w:rFonts w:eastAsia="Times New Roman" w:cs="Arial"/>
          <w:color w:val="000000"/>
        </w:rPr>
        <w:t xml:space="preserve"> </w:t>
      </w:r>
      <w:r w:rsidRPr="001814D1">
        <w:rPr>
          <w:rFonts w:eastAsia="Times New Roman" w:cs="Arial"/>
          <w:color w:val="000000"/>
          <w:lang w:val="en-US"/>
        </w:rPr>
        <w:t>with</w:t>
      </w:r>
      <w:r w:rsidRPr="001814D1">
        <w:rPr>
          <w:rFonts w:eastAsia="Times New Roman" w:cs="Arial"/>
          <w:color w:val="000000"/>
        </w:rPr>
        <w:t xml:space="preserve"> </w:t>
      </w:r>
      <w:r w:rsidRPr="001814D1">
        <w:rPr>
          <w:rFonts w:eastAsia="Times New Roman" w:cs="Arial"/>
          <w:color w:val="000000"/>
          <w:lang w:val="en-US"/>
        </w:rPr>
        <w:t>Ramipril</w:t>
      </w:r>
      <w:r w:rsidRPr="001814D1">
        <w:rPr>
          <w:rFonts w:eastAsia="Times New Roman" w:cs="Arial"/>
          <w:color w:val="000000"/>
        </w:rPr>
        <w:t xml:space="preserve"> </w:t>
      </w:r>
      <w:r w:rsidRPr="001814D1">
        <w:rPr>
          <w:rFonts w:eastAsia="Times New Roman" w:cs="Arial"/>
          <w:color w:val="000000"/>
          <w:lang w:val="en-US"/>
        </w:rPr>
        <w:t>Global</w:t>
      </w:r>
      <w:r w:rsidRPr="001814D1">
        <w:rPr>
          <w:rFonts w:eastAsia="Times New Roman" w:cs="Arial"/>
          <w:color w:val="000000"/>
        </w:rPr>
        <w:t xml:space="preserve"> </w:t>
      </w:r>
      <w:r w:rsidRPr="001814D1">
        <w:rPr>
          <w:rFonts w:eastAsia="Times New Roman" w:cs="Arial"/>
          <w:color w:val="000000"/>
          <w:lang w:val="en-US"/>
        </w:rPr>
        <w:t>Endpoint</w:t>
      </w:r>
      <w:r w:rsidRPr="001814D1">
        <w:rPr>
          <w:rFonts w:eastAsia="Times New Roman" w:cs="Arial"/>
          <w:color w:val="000000"/>
        </w:rPr>
        <w:t xml:space="preserve"> </w:t>
      </w:r>
      <w:r w:rsidRPr="001814D1">
        <w:rPr>
          <w:rFonts w:eastAsia="Times New Roman" w:cs="Arial"/>
          <w:color w:val="000000"/>
          <w:lang w:val="en-US"/>
        </w:rPr>
        <w:t>Trial</w:t>
      </w:r>
      <w:r w:rsidRPr="001814D1">
        <w:rPr>
          <w:rFonts w:eastAsia="Times New Roman" w:cs="Arial"/>
          <w:color w:val="000000"/>
        </w:rPr>
        <w:t xml:space="preserve"> - </w:t>
      </w:r>
      <w:r w:rsidRPr="001814D1">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1814D1">
        <w:rPr>
          <w:rFonts w:eastAsia="Times New Roman" w:cs="Arial"/>
          <w:color w:val="000000"/>
          <w:lang w:val="en-US"/>
        </w:rPr>
        <w:t>VA</w:t>
      </w:r>
      <w:r w:rsidRPr="001814D1">
        <w:rPr>
          <w:rFonts w:eastAsia="Times New Roman" w:cs="Arial"/>
          <w:color w:val="000000"/>
        </w:rPr>
        <w:t xml:space="preserve"> </w:t>
      </w:r>
      <w:r w:rsidRPr="001814D1">
        <w:rPr>
          <w:rFonts w:eastAsia="Times New Roman" w:cs="Arial"/>
          <w:color w:val="000000"/>
          <w:lang w:val="en-US"/>
        </w:rPr>
        <w:t>NEPHRON</w:t>
      </w:r>
      <w:r w:rsidRPr="001814D1">
        <w:rPr>
          <w:rFonts w:eastAsia="Times New Roman" w:cs="Arial"/>
          <w:color w:val="000000"/>
        </w:rPr>
        <w:t>-</w:t>
      </w:r>
      <w:r w:rsidRPr="001814D1">
        <w:rPr>
          <w:rFonts w:eastAsia="Times New Roman" w:cs="Arial"/>
          <w:color w:val="000000"/>
          <w:lang w:val="en-US"/>
        </w:rPr>
        <w:t>D</w:t>
      </w:r>
      <w:r w:rsidRPr="001814D1">
        <w:rPr>
          <w:rFonts w:eastAsia="Times New Roman" w:cs="Arial"/>
          <w:color w:val="000000"/>
        </w:rPr>
        <w:t xml:space="preserve"> </w:t>
      </w:r>
      <w:r w:rsidRPr="001814D1">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1814D1">
        <w:rPr>
          <w:rFonts w:eastAsia="Times New Roman" w:cs="Arial"/>
          <w:color w:val="000000"/>
          <w:lang w:val="en-US"/>
        </w:rPr>
        <w:t>II</w:t>
      </w:r>
      <w:r w:rsidRPr="001814D1">
        <w:rPr>
          <w:rFonts w:eastAsia="Times New Roman" w:cs="Arial"/>
          <w:color w:val="000000"/>
          <w:lang w:eastAsia="bg-BG"/>
        </w:rPr>
        <w:t>-рецепторен блокер.</w:t>
      </w:r>
    </w:p>
    <w:p w14:paraId="7AFCF98B" w14:textId="77777777" w:rsidR="001814D1" w:rsidRPr="001814D1" w:rsidRDefault="001814D1" w:rsidP="001814D1">
      <w:pPr>
        <w:spacing w:line="240" w:lineRule="auto"/>
        <w:rPr>
          <w:rFonts w:eastAsia="Times New Roman" w:cs="Arial"/>
        </w:rPr>
      </w:pPr>
      <w:r w:rsidRPr="001814D1">
        <w:rPr>
          <w:rFonts w:eastAsia="Times New Roman" w:cs="Arial"/>
          <w:color w:val="000000"/>
          <w:lang w:val="en-US"/>
        </w:rPr>
        <w:t>ONTARGET</w:t>
      </w:r>
      <w:r w:rsidRPr="001814D1">
        <w:rPr>
          <w:rFonts w:eastAsia="Times New Roman" w:cs="Arial"/>
          <w:color w:val="000000"/>
          <w:lang w:val="ru-RU"/>
        </w:rPr>
        <w:t xml:space="preserve"> </w:t>
      </w:r>
      <w:r w:rsidRPr="001814D1">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1814D1">
        <w:rPr>
          <w:rFonts w:eastAsia="Times New Roman" w:cs="Arial"/>
          <w:color w:val="000000"/>
          <w:lang w:val="en-US"/>
        </w:rPr>
        <w:t>VA</w:t>
      </w:r>
      <w:r w:rsidRPr="001814D1">
        <w:rPr>
          <w:rFonts w:eastAsia="Times New Roman" w:cs="Arial"/>
          <w:color w:val="000000"/>
          <w:lang w:val="ru-RU"/>
        </w:rPr>
        <w:t xml:space="preserve"> </w:t>
      </w:r>
      <w:r w:rsidRPr="001814D1">
        <w:rPr>
          <w:rFonts w:eastAsia="Times New Roman" w:cs="Arial"/>
          <w:color w:val="000000"/>
          <w:lang w:val="en-US"/>
        </w:rPr>
        <w:t>NEPHRON</w:t>
      </w:r>
      <w:r w:rsidRPr="001814D1">
        <w:rPr>
          <w:rFonts w:eastAsia="Times New Roman" w:cs="Arial"/>
          <w:color w:val="000000"/>
          <w:lang w:val="ru-RU"/>
        </w:rPr>
        <w:t>-</w:t>
      </w:r>
      <w:r w:rsidRPr="001814D1">
        <w:rPr>
          <w:rFonts w:eastAsia="Times New Roman" w:cs="Arial"/>
          <w:color w:val="000000"/>
          <w:lang w:val="en-US"/>
        </w:rPr>
        <w:t>D</w:t>
      </w:r>
      <w:r w:rsidRPr="001814D1">
        <w:rPr>
          <w:rFonts w:eastAsia="Times New Roman" w:cs="Arial"/>
          <w:color w:val="000000"/>
          <w:lang w:val="ru-RU"/>
        </w:rPr>
        <w:t xml:space="preserve"> </w:t>
      </w:r>
      <w:r w:rsidRPr="001814D1">
        <w:rPr>
          <w:rFonts w:eastAsia="Times New Roman" w:cs="Arial"/>
          <w:color w:val="000000"/>
          <w:lang w:eastAsia="bg-BG"/>
        </w:rPr>
        <w:t>е проучване при пациенти със захарен диабет тип 2 и диабетна нефропатия.</w:t>
      </w:r>
    </w:p>
    <w:p w14:paraId="55FE4534"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отхиперкалиемия, остро увреждане на бъбреците и/или хипотония в сравнение с монотерапията.Като се имат предвид сходните им фармакодинамични свойства, тези резултати са приложими и за други АСЕ инхибитори и ангиотензин </w:t>
      </w:r>
      <w:r w:rsidRPr="001814D1">
        <w:rPr>
          <w:rFonts w:eastAsia="Times New Roman" w:cs="Arial"/>
          <w:color w:val="000000"/>
          <w:lang w:val="en-US"/>
        </w:rPr>
        <w:t>II</w:t>
      </w:r>
      <w:r w:rsidRPr="001814D1">
        <w:rPr>
          <w:rFonts w:eastAsia="Times New Roman" w:cs="Arial"/>
          <w:color w:val="000000"/>
          <w:lang w:eastAsia="bg-BG"/>
        </w:rPr>
        <w:t>-рецепторни блокери.</w:t>
      </w:r>
    </w:p>
    <w:p w14:paraId="16B1B189"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АСЕ инхибитори и ангиотензин </w:t>
      </w:r>
      <w:r w:rsidRPr="001814D1">
        <w:rPr>
          <w:rFonts w:eastAsia="Times New Roman" w:cs="Arial"/>
          <w:color w:val="000000"/>
          <w:lang w:val="en-US"/>
        </w:rPr>
        <w:t>II</w:t>
      </w:r>
      <w:r w:rsidRPr="001814D1">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22EABD52" w14:textId="77777777" w:rsidR="001814D1" w:rsidRPr="001D1426" w:rsidRDefault="001814D1" w:rsidP="001814D1">
      <w:pPr>
        <w:spacing w:line="240" w:lineRule="auto"/>
        <w:rPr>
          <w:rFonts w:eastAsia="Times New Roman" w:cs="Arial"/>
          <w:color w:val="000000"/>
          <w:lang w:val="ru-RU"/>
        </w:rPr>
      </w:pPr>
    </w:p>
    <w:p w14:paraId="39F49FD9" w14:textId="64EE3EC3" w:rsidR="001814D1" w:rsidRPr="001814D1" w:rsidRDefault="001814D1" w:rsidP="001814D1">
      <w:pPr>
        <w:spacing w:line="240" w:lineRule="auto"/>
        <w:rPr>
          <w:rFonts w:eastAsia="Times New Roman" w:cs="Arial"/>
        </w:rPr>
      </w:pPr>
      <w:r w:rsidRPr="001814D1">
        <w:rPr>
          <w:rFonts w:eastAsia="Times New Roman" w:cs="Arial"/>
          <w:color w:val="000000"/>
          <w:lang w:val="en-US"/>
        </w:rPr>
        <w:t>ALTITUDE</w:t>
      </w:r>
      <w:r w:rsidRPr="001814D1">
        <w:rPr>
          <w:rFonts w:eastAsia="Times New Roman" w:cs="Arial"/>
          <w:color w:val="000000"/>
          <w:lang w:val="ru-RU"/>
        </w:rPr>
        <w:t xml:space="preserve"> </w:t>
      </w:r>
      <w:r w:rsidRPr="001814D1">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1814D1">
        <w:rPr>
          <w:rFonts w:eastAsia="Times New Roman" w:cs="Arial"/>
          <w:color w:val="000000"/>
          <w:lang w:val="en-US"/>
        </w:rPr>
        <w:t>II</w:t>
      </w:r>
      <w:r w:rsidRPr="001814D1">
        <w:rPr>
          <w:rFonts w:eastAsia="Times New Roman" w:cs="Arial"/>
          <w:color w:val="000000"/>
          <w:lang w:eastAsia="bg-BG"/>
        </w:rPr>
        <w:t xml:space="preserve">-рецепторен блокер при пациенти със захарен диабет тип 2 и хронично бъбречно заболяване, сърдечно-съдово заболяване </w:t>
      </w:r>
      <w:r w:rsidRPr="001814D1">
        <w:rPr>
          <w:rFonts w:eastAsia="Times New Roman" w:cs="Arial"/>
          <w:color w:val="000000"/>
          <w:lang w:eastAsia="bg-BG"/>
        </w:rPr>
        <w:lastRenderedPageBreak/>
        <w:t>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67112806" w14:textId="77777777" w:rsidR="001814D1" w:rsidRPr="001814D1" w:rsidRDefault="001814D1" w:rsidP="001814D1">
      <w:pPr>
        <w:spacing w:line="240" w:lineRule="auto"/>
        <w:rPr>
          <w:rFonts w:eastAsia="Times New Roman" w:cs="Arial"/>
          <w:color w:val="000000"/>
          <w:u w:val="single"/>
          <w:lang w:eastAsia="bg-BG"/>
        </w:rPr>
      </w:pPr>
    </w:p>
    <w:p w14:paraId="78A521D1" w14:textId="226DBDA5" w:rsidR="001814D1" w:rsidRPr="001814D1" w:rsidRDefault="001814D1" w:rsidP="001814D1">
      <w:pPr>
        <w:spacing w:line="240" w:lineRule="auto"/>
        <w:rPr>
          <w:rFonts w:eastAsia="Times New Roman" w:cs="Arial"/>
        </w:rPr>
      </w:pPr>
      <w:r w:rsidRPr="001814D1">
        <w:rPr>
          <w:rFonts w:eastAsia="Times New Roman" w:cs="Arial"/>
          <w:color w:val="000000"/>
          <w:u w:val="single"/>
          <w:lang w:eastAsia="bg-BG"/>
        </w:rPr>
        <w:t>Амлодипин</w:t>
      </w:r>
    </w:p>
    <w:p w14:paraId="720F54E5"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Амлодипин е инхибитор на инфлукса на калциевите йони от дихидропиридиновата група (блокер на бавните канали или антагонист на калциевите Йони) и инхибира трансмембранния инфлукс на калциеви йони в гладките мускули на сърцето и кръвоносните съдове. Механизмът на антихипертензивното действие на амлодипин е основано на директен ефект на отпускане на гладките мускули на кръвоносните съдове, което води до намаляване на периферната съдова резистентност и, съответно, на кръвното налягане. Експерименталните данни показват, че амлодипин се свързва с дихидропиридинови и не-дихидропиридинови локуси на свързване. Амлодипин е с относително съдово-селективен ефект, с по-голям ефект върху гладкомускулните клетки на съдовете, отколкото върху клетките на сърдечния мускул</w:t>
      </w:r>
    </w:p>
    <w:p w14:paraId="6B445A30" w14:textId="77777777" w:rsidR="001814D1" w:rsidRPr="001814D1" w:rsidRDefault="001814D1" w:rsidP="001814D1">
      <w:pPr>
        <w:spacing w:line="240" w:lineRule="auto"/>
        <w:rPr>
          <w:rFonts w:eastAsia="Times New Roman" w:cs="Arial"/>
          <w:color w:val="000000"/>
          <w:lang w:eastAsia="bg-BG"/>
        </w:rPr>
      </w:pPr>
    </w:p>
    <w:p w14:paraId="010285CB" w14:textId="18395A27" w:rsidR="001814D1" w:rsidRPr="001814D1" w:rsidRDefault="001814D1" w:rsidP="001814D1">
      <w:pPr>
        <w:spacing w:line="240" w:lineRule="auto"/>
        <w:rPr>
          <w:rFonts w:eastAsia="Times New Roman" w:cs="Arial"/>
          <w:lang w:val="ru-RU"/>
        </w:rPr>
      </w:pPr>
      <w:r w:rsidRPr="001814D1">
        <w:rPr>
          <w:rFonts w:eastAsia="Times New Roman" w:cs="Arial"/>
          <w:color w:val="000000"/>
          <w:lang w:eastAsia="bg-BG"/>
        </w:rPr>
        <w:t>При пациенти с хипертензия, приемането веднъж дневно осигурява клинично значимо понижение на кръвното налягане в легнало и изправено положение, в продължение на целия 24-часов период. Поради бавното започване на действието, острата хипотония не е част от ефекта на приемане на амлодипин.</w:t>
      </w:r>
    </w:p>
    <w:p w14:paraId="5F88C997" w14:textId="3844E357" w:rsidR="001814D1" w:rsidRPr="001814D1" w:rsidRDefault="001814D1" w:rsidP="001814D1">
      <w:pPr>
        <w:rPr>
          <w:rFonts w:cs="Arial"/>
        </w:rPr>
      </w:pPr>
    </w:p>
    <w:p w14:paraId="668707CE"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При пациенти с хипертензия и нормална бъбречна функция, лекарствените дози амлодипин има като резултат намаляване на резистентността на съдовете на бъбреците и увеличение на нивото на гломерулна филтрация, както и ефективен отток на бъбречната плазма, без промяна на филтрационната фракция или протеинурия.</w:t>
      </w:r>
    </w:p>
    <w:p w14:paraId="493825AA" w14:textId="77777777" w:rsidR="001814D1" w:rsidRPr="001814D1" w:rsidRDefault="001814D1" w:rsidP="001814D1">
      <w:pPr>
        <w:spacing w:line="240" w:lineRule="auto"/>
        <w:rPr>
          <w:rFonts w:eastAsia="Times New Roman" w:cs="Arial"/>
          <w:color w:val="000000"/>
          <w:lang w:eastAsia="bg-BG"/>
        </w:rPr>
      </w:pPr>
    </w:p>
    <w:p w14:paraId="654369A9" w14:textId="337C78EF" w:rsidR="001814D1" w:rsidRPr="001814D1" w:rsidRDefault="001814D1" w:rsidP="001814D1">
      <w:pPr>
        <w:spacing w:line="240" w:lineRule="auto"/>
        <w:rPr>
          <w:rFonts w:eastAsia="Times New Roman" w:cs="Arial"/>
        </w:rPr>
      </w:pPr>
      <w:r w:rsidRPr="001814D1">
        <w:rPr>
          <w:rFonts w:eastAsia="Times New Roman" w:cs="Arial"/>
          <w:color w:val="000000"/>
          <w:lang w:eastAsia="bg-BG"/>
        </w:rPr>
        <w:t>Амлодипин не се асоциира с никакви нежелани метаболитни реакции или промени в плазмените липиди и е подходящ за употреба от пациенти с астма, диабет и подагра.</w:t>
      </w:r>
    </w:p>
    <w:p w14:paraId="369C52AA" w14:textId="77777777" w:rsidR="001814D1" w:rsidRPr="001814D1" w:rsidRDefault="001814D1" w:rsidP="001814D1">
      <w:pPr>
        <w:spacing w:line="240" w:lineRule="auto"/>
        <w:rPr>
          <w:rFonts w:eastAsia="Times New Roman" w:cs="Arial"/>
          <w:color w:val="000000"/>
          <w:lang w:eastAsia="bg-BG"/>
        </w:rPr>
      </w:pPr>
    </w:p>
    <w:p w14:paraId="663973F3" w14:textId="0A09D77B" w:rsidR="001814D1" w:rsidRPr="001814D1" w:rsidRDefault="001814D1" w:rsidP="001814D1">
      <w:pPr>
        <w:spacing w:line="240" w:lineRule="auto"/>
        <w:rPr>
          <w:rFonts w:eastAsia="Times New Roman" w:cs="Arial"/>
        </w:rPr>
      </w:pPr>
      <w:r w:rsidRPr="001814D1">
        <w:rPr>
          <w:rFonts w:eastAsia="Times New Roman" w:cs="Arial"/>
          <w:color w:val="000000"/>
          <w:lang w:eastAsia="bg-BG"/>
        </w:rPr>
        <w:t>Употреба при пациенти със сърдечна недостатъчност</w:t>
      </w:r>
    </w:p>
    <w:p w14:paraId="45221F46"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Базираните на хемодинамични проучвания и прояви контролирани клинични изпитвания при пациенти със сърдечна недостатъчност от </w:t>
      </w:r>
      <w:r w:rsidRPr="001814D1">
        <w:rPr>
          <w:rFonts w:eastAsia="Times New Roman" w:cs="Arial"/>
          <w:color w:val="000000"/>
          <w:lang w:val="en-US"/>
        </w:rPr>
        <w:t>NYHA</w:t>
      </w:r>
      <w:r w:rsidRPr="001814D1">
        <w:rPr>
          <w:rFonts w:eastAsia="Times New Roman" w:cs="Arial"/>
          <w:color w:val="000000"/>
          <w:lang w:val="ru-RU"/>
        </w:rPr>
        <w:t xml:space="preserve"> </w:t>
      </w:r>
      <w:r w:rsidRPr="001814D1">
        <w:rPr>
          <w:rFonts w:eastAsia="Times New Roman" w:cs="Arial"/>
          <w:color w:val="000000"/>
          <w:lang w:eastAsia="bg-BG"/>
        </w:rPr>
        <w:t xml:space="preserve">клас </w:t>
      </w:r>
      <w:r w:rsidRPr="001814D1">
        <w:rPr>
          <w:rFonts w:eastAsia="Times New Roman" w:cs="Arial"/>
          <w:color w:val="000000"/>
          <w:lang w:val="en-US"/>
        </w:rPr>
        <w:t>II</w:t>
      </w:r>
      <w:r w:rsidRPr="001814D1">
        <w:rPr>
          <w:rFonts w:eastAsia="Times New Roman" w:cs="Arial"/>
          <w:color w:val="000000"/>
          <w:lang w:val="ru-RU"/>
        </w:rPr>
        <w:t>-</w:t>
      </w:r>
      <w:r w:rsidRPr="001814D1">
        <w:rPr>
          <w:rFonts w:eastAsia="Times New Roman" w:cs="Arial"/>
          <w:color w:val="000000"/>
          <w:lang w:val="en-US"/>
        </w:rPr>
        <w:t>IV</w:t>
      </w:r>
      <w:r w:rsidRPr="001814D1">
        <w:rPr>
          <w:rFonts w:eastAsia="Times New Roman" w:cs="Arial"/>
          <w:color w:val="000000"/>
          <w:lang w:val="ru-RU"/>
        </w:rPr>
        <w:t xml:space="preserve"> </w:t>
      </w:r>
      <w:r w:rsidRPr="001814D1">
        <w:rPr>
          <w:rFonts w:eastAsia="Times New Roman" w:cs="Arial"/>
          <w:color w:val="000000"/>
          <w:lang w:eastAsia="bg-BG"/>
        </w:rPr>
        <w:t>са показали, че амлодипин не е довел до клинично влошаване, както е установено от допустимите отклонения на резултатите, изтласканото количество кръв от лявата сърдечна камера и клиничната симптоматология.</w:t>
      </w:r>
    </w:p>
    <w:p w14:paraId="1F2F8DB0" w14:textId="77777777" w:rsidR="001814D1" w:rsidRPr="001814D1" w:rsidRDefault="001814D1" w:rsidP="001814D1">
      <w:pPr>
        <w:spacing w:line="240" w:lineRule="auto"/>
        <w:rPr>
          <w:rFonts w:eastAsia="Times New Roman" w:cs="Arial"/>
          <w:color w:val="000000"/>
          <w:lang w:eastAsia="bg-BG"/>
        </w:rPr>
      </w:pPr>
    </w:p>
    <w:p w14:paraId="49168CC8" w14:textId="261C1A74"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Плацебо-контролирано проучване </w:t>
      </w:r>
      <w:r w:rsidRPr="001814D1">
        <w:rPr>
          <w:rFonts w:eastAsia="Times New Roman" w:cs="Arial"/>
          <w:color w:val="000000"/>
          <w:lang w:val="ru-RU"/>
        </w:rPr>
        <w:t>(</w:t>
      </w:r>
      <w:r w:rsidRPr="001814D1">
        <w:rPr>
          <w:rFonts w:eastAsia="Times New Roman" w:cs="Arial"/>
          <w:color w:val="000000"/>
          <w:lang w:val="en-US"/>
        </w:rPr>
        <w:t>PRAISE</w:t>
      </w:r>
      <w:r w:rsidRPr="001814D1">
        <w:rPr>
          <w:rFonts w:eastAsia="Times New Roman" w:cs="Arial"/>
          <w:color w:val="000000"/>
          <w:lang w:val="ru-RU"/>
        </w:rPr>
        <w:t xml:space="preserve">) </w:t>
      </w:r>
      <w:r w:rsidRPr="001814D1">
        <w:rPr>
          <w:rFonts w:eastAsia="Times New Roman" w:cs="Arial"/>
          <w:color w:val="000000"/>
          <w:lang w:eastAsia="bg-BG"/>
        </w:rPr>
        <w:t xml:space="preserve">предназначено за изследване на пациенти със сърдечна недостатъчност от </w:t>
      </w:r>
      <w:r w:rsidRPr="001814D1">
        <w:rPr>
          <w:rFonts w:eastAsia="Times New Roman" w:cs="Arial"/>
          <w:color w:val="000000"/>
          <w:lang w:val="en-US"/>
        </w:rPr>
        <w:t>NYHA</w:t>
      </w:r>
      <w:r w:rsidRPr="001814D1">
        <w:rPr>
          <w:rFonts w:eastAsia="Times New Roman" w:cs="Arial"/>
          <w:color w:val="000000"/>
          <w:lang w:val="ru-RU"/>
        </w:rPr>
        <w:t xml:space="preserve"> </w:t>
      </w:r>
      <w:r w:rsidRPr="001814D1">
        <w:rPr>
          <w:rFonts w:eastAsia="Times New Roman" w:cs="Arial"/>
          <w:color w:val="000000"/>
          <w:lang w:val="en-US"/>
        </w:rPr>
        <w:t>Class</w:t>
      </w:r>
      <w:r w:rsidRPr="001814D1">
        <w:rPr>
          <w:rFonts w:eastAsia="Times New Roman" w:cs="Arial"/>
          <w:color w:val="000000"/>
          <w:lang w:val="ru-RU"/>
        </w:rPr>
        <w:t xml:space="preserve"> </w:t>
      </w:r>
      <w:r w:rsidRPr="001814D1">
        <w:rPr>
          <w:rFonts w:eastAsia="Times New Roman" w:cs="Arial"/>
          <w:color w:val="000000"/>
          <w:lang w:val="en-US"/>
        </w:rPr>
        <w:t>III</w:t>
      </w:r>
      <w:r w:rsidRPr="001814D1">
        <w:rPr>
          <w:rFonts w:eastAsia="Times New Roman" w:cs="Arial"/>
          <w:color w:val="000000"/>
          <w:lang w:val="ru-RU"/>
        </w:rPr>
        <w:t>-</w:t>
      </w:r>
      <w:r w:rsidRPr="001814D1">
        <w:rPr>
          <w:rFonts w:eastAsia="Times New Roman" w:cs="Arial"/>
          <w:color w:val="000000"/>
          <w:lang w:val="en-US"/>
        </w:rPr>
        <w:t>IV</w:t>
      </w:r>
      <w:r w:rsidRPr="001814D1">
        <w:rPr>
          <w:rFonts w:eastAsia="Times New Roman" w:cs="Arial"/>
          <w:color w:val="000000"/>
          <w:lang w:val="ru-RU"/>
        </w:rPr>
        <w:t xml:space="preserve">, </w:t>
      </w:r>
      <w:r w:rsidRPr="001814D1">
        <w:rPr>
          <w:rFonts w:eastAsia="Times New Roman" w:cs="Arial"/>
          <w:color w:val="000000"/>
          <w:lang w:eastAsia="bg-BG"/>
        </w:rPr>
        <w:t>които приемат дигоксин, диуретици и АСЕ инхибитори, е показало, че амлодипин не довежда до повишаване на риска от смъртност или комбинирани смъртност и заболеваемост със сърдечна недостатъчност</w:t>
      </w:r>
    </w:p>
    <w:p w14:paraId="126F2F13" w14:textId="77777777" w:rsidR="001814D1" w:rsidRPr="001814D1" w:rsidRDefault="001814D1" w:rsidP="001814D1">
      <w:pPr>
        <w:spacing w:line="240" w:lineRule="auto"/>
        <w:rPr>
          <w:rFonts w:eastAsia="Times New Roman" w:cs="Arial"/>
          <w:color w:val="000000"/>
          <w:lang w:eastAsia="bg-BG"/>
        </w:rPr>
      </w:pPr>
    </w:p>
    <w:p w14:paraId="0123B205" w14:textId="7E5B5F9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При проследяващо, дългосрочно, плацебо контролирано изпитване </w:t>
      </w:r>
      <w:r w:rsidRPr="001814D1">
        <w:rPr>
          <w:rFonts w:eastAsia="Times New Roman" w:cs="Arial"/>
          <w:color w:val="000000"/>
          <w:lang w:val="ru-RU"/>
        </w:rPr>
        <w:t>(</w:t>
      </w:r>
      <w:r w:rsidRPr="001814D1">
        <w:rPr>
          <w:rFonts w:eastAsia="Times New Roman" w:cs="Arial"/>
          <w:color w:val="000000"/>
          <w:lang w:val="en-US"/>
        </w:rPr>
        <w:t>PRAISE</w:t>
      </w:r>
      <w:r w:rsidRPr="001814D1">
        <w:rPr>
          <w:rFonts w:eastAsia="Times New Roman" w:cs="Arial"/>
          <w:color w:val="000000"/>
          <w:lang w:val="ru-RU"/>
        </w:rPr>
        <w:t xml:space="preserve">-2) </w:t>
      </w:r>
      <w:r w:rsidRPr="001814D1">
        <w:rPr>
          <w:rFonts w:eastAsia="Times New Roman" w:cs="Arial"/>
          <w:color w:val="000000"/>
          <w:lang w:eastAsia="bg-BG"/>
        </w:rPr>
        <w:t xml:space="preserve">на амлодипин при пациенти със сърдечна недостатъчност от </w:t>
      </w:r>
      <w:r w:rsidRPr="001814D1">
        <w:rPr>
          <w:rFonts w:eastAsia="Times New Roman" w:cs="Arial"/>
          <w:color w:val="000000"/>
          <w:lang w:val="en-US"/>
        </w:rPr>
        <w:t>NYHA</w:t>
      </w:r>
      <w:r w:rsidRPr="001814D1">
        <w:rPr>
          <w:rFonts w:eastAsia="Times New Roman" w:cs="Arial"/>
          <w:color w:val="000000"/>
          <w:lang w:val="ru-RU"/>
        </w:rPr>
        <w:t xml:space="preserve"> </w:t>
      </w:r>
      <w:r w:rsidRPr="001814D1">
        <w:rPr>
          <w:rFonts w:eastAsia="Times New Roman" w:cs="Arial"/>
          <w:color w:val="000000"/>
          <w:lang w:val="en-US"/>
        </w:rPr>
        <w:t>III</w:t>
      </w:r>
      <w:r w:rsidRPr="001814D1">
        <w:rPr>
          <w:rFonts w:eastAsia="Times New Roman" w:cs="Arial"/>
          <w:color w:val="000000"/>
          <w:lang w:eastAsia="bg-BG"/>
        </w:rPr>
        <w:t xml:space="preserve"> и IV, без клинични симптоми или с находки, предполагащи основно исхемично заболяване, които приемат постоянни дози АСЕ инхибитори, дигиталис, и диуретици, е установено че амлодипин няма ефект при общата смъртност, вследствие на сърдечно-съдови проблеми. В същата популация, амлодипин се свързва с повишен брой съобщения за белодробен едем, </w:t>
      </w:r>
      <w:r w:rsidRPr="001814D1">
        <w:rPr>
          <w:rFonts w:eastAsia="Times New Roman" w:cs="Arial"/>
          <w:color w:val="000000"/>
          <w:lang w:eastAsia="bg-BG"/>
        </w:rPr>
        <w:lastRenderedPageBreak/>
        <w:t>въпреки че не е установена значителна разлика в честотата на влошаване на сърдечната недостатъчност, в сравнение с плацебо.</w:t>
      </w:r>
    </w:p>
    <w:p w14:paraId="615C7D51" w14:textId="77777777" w:rsidR="001814D1" w:rsidRPr="001814D1" w:rsidRDefault="001814D1" w:rsidP="001814D1">
      <w:pPr>
        <w:spacing w:line="240" w:lineRule="auto"/>
        <w:rPr>
          <w:rFonts w:eastAsia="Times New Roman" w:cs="Arial"/>
          <w:color w:val="000000"/>
          <w:u w:val="single"/>
          <w:lang w:eastAsia="bg-BG"/>
        </w:rPr>
      </w:pPr>
    </w:p>
    <w:p w14:paraId="517129BB" w14:textId="4E6DB242" w:rsidR="001814D1" w:rsidRPr="001814D1" w:rsidRDefault="001814D1" w:rsidP="001814D1">
      <w:pPr>
        <w:spacing w:line="240" w:lineRule="auto"/>
        <w:rPr>
          <w:rFonts w:eastAsia="Times New Roman" w:cs="Arial"/>
        </w:rPr>
      </w:pPr>
      <w:r w:rsidRPr="001814D1">
        <w:rPr>
          <w:rFonts w:eastAsia="Times New Roman" w:cs="Arial"/>
          <w:color w:val="000000"/>
          <w:u w:val="single"/>
          <w:lang w:eastAsia="bg-BG"/>
        </w:rPr>
        <w:t>Телмисаптан/Амлодипин</w:t>
      </w:r>
    </w:p>
    <w:p w14:paraId="7D5AC273"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В 8-седмично, многоцентрово, рандомизирано, двойносляпо, плацебо-контролирано, с паралелни групи факгориално проучване в 1461 пациенти с лека до тежка хипотензия (усреднено диастолично кръвно налягане от ≥95 до &lt;119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eastAsia="bg-BG"/>
        </w:rPr>
        <w:t>лечението с всяка отделна дозова комбинация Телмисартан/амлодипин има за резултат значително по-високо редуциране на диастоличното и систоличното кръвно налягане и по-високи нива на контрол, в сравнение със съответните монотерапии.</w:t>
      </w:r>
    </w:p>
    <w:p w14:paraId="1DE2A114"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Телмисартан/амлодипин показва дозовосвързани понижения на систоличното/диастоличното кръвно налягане в рамките на обхвата на лечебната доза от - 21.8/ - 16.5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eastAsia="bg-BG"/>
        </w:rPr>
        <w:t xml:space="preserve">(40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 </w:t>
      </w:r>
      <w:r w:rsidRPr="001814D1">
        <w:rPr>
          <w:rFonts w:eastAsia="Times New Roman" w:cs="Arial"/>
          <w:color w:val="000000"/>
          <w:lang w:eastAsia="bg-BG"/>
        </w:rPr>
        <w:t xml:space="preserve">22.1/ </w:t>
      </w:r>
      <w:r w:rsidRPr="001814D1">
        <w:rPr>
          <w:rFonts w:eastAsia="Times New Roman" w:cs="Arial"/>
          <w:color w:val="000000"/>
          <w:lang w:val="ru-RU"/>
        </w:rPr>
        <w:t xml:space="preserve">-18.2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(80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 </w:t>
      </w:r>
      <w:r w:rsidRPr="001814D1">
        <w:rPr>
          <w:rFonts w:eastAsia="Times New Roman" w:cs="Arial"/>
          <w:color w:val="000000"/>
          <w:lang w:eastAsia="bg-BG"/>
        </w:rPr>
        <w:t xml:space="preserve">24.7/ </w:t>
      </w:r>
      <w:r w:rsidRPr="001814D1">
        <w:rPr>
          <w:rFonts w:eastAsia="Times New Roman" w:cs="Arial"/>
          <w:color w:val="000000"/>
          <w:lang w:val="ru-RU"/>
        </w:rPr>
        <w:t xml:space="preserve">- 20.2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(40 </w:t>
      </w:r>
      <w:r w:rsidRPr="001814D1">
        <w:rPr>
          <w:rFonts w:eastAsia="Times New Roman" w:cs="Arial"/>
          <w:color w:val="000000"/>
          <w:lang w:val="en-US"/>
        </w:rPr>
        <w:t>mg</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w:t>
      </w:r>
      <w:r w:rsidRPr="001814D1">
        <w:rPr>
          <w:rFonts w:eastAsia="Times New Roman" w:cs="Arial"/>
          <w:color w:val="000000"/>
          <w:lang w:val="ru-RU"/>
        </w:rPr>
        <w:t xml:space="preserve">- </w:t>
      </w:r>
      <w:r w:rsidRPr="001814D1">
        <w:rPr>
          <w:rFonts w:eastAsia="Times New Roman" w:cs="Arial"/>
          <w:color w:val="000000"/>
          <w:lang w:eastAsia="bg-BG"/>
        </w:rPr>
        <w:t xml:space="preserve">26.4/ </w:t>
      </w:r>
      <w:r w:rsidRPr="001814D1">
        <w:rPr>
          <w:rFonts w:eastAsia="Times New Roman" w:cs="Arial"/>
          <w:color w:val="000000"/>
          <w:lang w:val="ru-RU"/>
        </w:rPr>
        <w:t xml:space="preserve">- 20.1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(80 </w:t>
      </w:r>
      <w:r w:rsidRPr="001814D1">
        <w:rPr>
          <w:rFonts w:eastAsia="Times New Roman" w:cs="Arial"/>
          <w:color w:val="000000"/>
          <w:lang w:val="en-US"/>
        </w:rPr>
        <w:t>mg</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Понижението на диастоличното кръвно налягане &lt;90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eastAsia="bg-BG"/>
        </w:rPr>
        <w:t>е отчетено при 71.6 %, 74.8 %, 82.1 %, 85.3 % от пациентите, респективно. Стойностите са коригирани за началото на лечението и страната на провеждане</w:t>
      </w:r>
    </w:p>
    <w:p w14:paraId="2AE71398" w14:textId="77777777" w:rsidR="001814D1" w:rsidRPr="001814D1" w:rsidRDefault="001814D1" w:rsidP="001814D1">
      <w:pPr>
        <w:spacing w:line="240" w:lineRule="auto"/>
        <w:rPr>
          <w:rFonts w:eastAsia="Times New Roman" w:cs="Arial"/>
          <w:color w:val="000000"/>
          <w:lang w:eastAsia="bg-BG"/>
        </w:rPr>
      </w:pPr>
    </w:p>
    <w:p w14:paraId="1A4A33F1" w14:textId="3440897B"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Голяма част от антихипертензивния ефект се постига в рамките на 2 седмици след започване на лечението. В подгрупа от 1050 пациенти с умерена до тежка хипертензия </w:t>
      </w:r>
      <w:r w:rsidRPr="001814D1">
        <w:rPr>
          <w:rFonts w:eastAsia="Times New Roman" w:cs="Arial"/>
          <w:color w:val="000000"/>
          <w:lang w:val="ru-RU"/>
        </w:rPr>
        <w:t>(</w:t>
      </w:r>
      <w:r w:rsidRPr="001814D1">
        <w:rPr>
          <w:rFonts w:eastAsia="Times New Roman" w:cs="Arial"/>
          <w:color w:val="000000"/>
          <w:lang w:val="en-US"/>
        </w:rPr>
        <w:t>DBP</w:t>
      </w:r>
      <w:r w:rsidRPr="001814D1">
        <w:rPr>
          <w:rFonts w:eastAsia="Times New Roman" w:cs="Arial"/>
          <w:color w:val="000000"/>
          <w:lang w:val="ru-RU"/>
        </w:rPr>
        <w:t xml:space="preserve"> </w:t>
      </w:r>
      <w:r w:rsidRPr="001814D1">
        <w:rPr>
          <w:rFonts w:eastAsia="Times New Roman" w:cs="Arial"/>
          <w:color w:val="000000"/>
          <w:lang w:eastAsia="bg-BG"/>
        </w:rPr>
        <w:t xml:space="preserve">&gt;100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eastAsia="bg-BG"/>
        </w:rPr>
        <w:t xml:space="preserve">32.7 - 51.8 % са повлияват в задоволителна степен при монотерапия както от телмисартан така и от амлодипин. Наблюдаваните средни промени в систоличното/диастоличното кръвно налягане с комбинирано лечение с амлодипин 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(-22.2/-17.2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eastAsia="bg-BG"/>
        </w:rPr>
        <w:t xml:space="preserve">с 40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-22.5/- </w:t>
      </w:r>
      <w:r w:rsidRPr="001814D1">
        <w:rPr>
          <w:rFonts w:eastAsia="Times New Roman" w:cs="Arial"/>
          <w:color w:val="000000"/>
          <w:lang w:val="ru-RU"/>
        </w:rPr>
        <w:t xml:space="preserve">19.1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val="en-US"/>
        </w:rPr>
        <w:t>c</w:t>
      </w:r>
      <w:r w:rsidRPr="001814D1">
        <w:rPr>
          <w:rFonts w:eastAsia="Times New Roman" w:cs="Arial"/>
          <w:color w:val="000000"/>
          <w:lang w:val="ru-RU"/>
        </w:rPr>
        <w:t xml:space="preserve"> 80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са сравними или по-високи от тези, наблюдавани с амлодипин 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(-21.0/-17.6 </w:t>
      </w:r>
      <w:r w:rsidRPr="001814D1">
        <w:rPr>
          <w:rFonts w:eastAsia="Times New Roman" w:cs="Arial"/>
          <w:color w:val="000000"/>
          <w:lang w:val="en-US"/>
        </w:rPr>
        <w:t>mm</w:t>
      </w:r>
      <w:r w:rsidRPr="001814D1">
        <w:rPr>
          <w:rFonts w:eastAsia="Times New Roman" w:cs="Arial"/>
          <w:color w:val="000000"/>
          <w:lang w:eastAsia="bg-BG"/>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eastAsia="bg-BG"/>
        </w:rPr>
        <w:t>и са свързани със значително по-ниски нива на</w:t>
      </w:r>
      <w:r w:rsidRPr="001814D1">
        <w:rPr>
          <w:rFonts w:eastAsia="Times New Roman" w:cs="Arial"/>
          <w:color w:val="000000"/>
          <w:lang w:val="ru-RU"/>
        </w:rPr>
        <w:t xml:space="preserve"> </w:t>
      </w:r>
      <w:r w:rsidRPr="001814D1">
        <w:rPr>
          <w:rFonts w:eastAsia="Times New Roman" w:cs="Arial"/>
          <w:color w:val="000000"/>
          <w:lang w:eastAsia="bg-BG"/>
        </w:rPr>
        <w:t xml:space="preserve">едема(1.4% с 40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0.5 % с 80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17.6 % с амлодипин 10 </w:t>
      </w:r>
      <w:r w:rsidRPr="001814D1">
        <w:rPr>
          <w:rFonts w:eastAsia="Times New Roman" w:cs="Arial"/>
          <w:color w:val="000000"/>
          <w:lang w:val="en-US"/>
        </w:rPr>
        <w:t>mg</w:t>
      </w:r>
      <w:r w:rsidRPr="001814D1">
        <w:rPr>
          <w:rFonts w:eastAsia="Times New Roman" w:cs="Arial"/>
          <w:color w:val="000000"/>
          <w:lang w:val="ru-RU"/>
        </w:rPr>
        <w:t>).</w:t>
      </w:r>
    </w:p>
    <w:p w14:paraId="337B9A3B" w14:textId="77777777" w:rsidR="001814D1" w:rsidRPr="001814D1" w:rsidRDefault="001814D1" w:rsidP="001814D1">
      <w:pPr>
        <w:spacing w:line="240" w:lineRule="auto"/>
        <w:rPr>
          <w:rFonts w:eastAsia="Times New Roman" w:cs="Arial"/>
          <w:color w:val="000000"/>
          <w:lang w:eastAsia="bg-BG"/>
        </w:rPr>
      </w:pPr>
    </w:p>
    <w:p w14:paraId="2BB75674" w14:textId="27D88FCB" w:rsidR="001814D1" w:rsidRPr="001814D1" w:rsidRDefault="001814D1" w:rsidP="001814D1">
      <w:pPr>
        <w:spacing w:line="240" w:lineRule="auto"/>
        <w:rPr>
          <w:rFonts w:eastAsia="Times New Roman" w:cs="Arial"/>
          <w:color w:val="000000"/>
          <w:lang w:eastAsia="bg-BG"/>
        </w:rPr>
      </w:pPr>
      <w:r w:rsidRPr="001814D1">
        <w:rPr>
          <w:rFonts w:eastAsia="Times New Roman" w:cs="Arial"/>
          <w:color w:val="000000"/>
          <w:lang w:eastAsia="bg-BG"/>
        </w:rPr>
        <w:t>Амбулаторно автоматично измерване на кръвното налягане (АВРМ), извършено при група от 562 пациенти е потвърдило резултатите наблюдавани при понижаванията на систоличното и диастоличното кръвно налягане в клинични условия, по време на целия 24-часов</w:t>
      </w:r>
      <w:r w:rsidRPr="001814D1">
        <w:rPr>
          <w:rFonts w:eastAsia="Times New Roman" w:cs="Arial"/>
          <w:color w:val="000000"/>
          <w:lang w:val="ru-RU"/>
        </w:rPr>
        <w:t xml:space="preserve"> </w:t>
      </w:r>
      <w:r w:rsidRPr="001814D1">
        <w:rPr>
          <w:rFonts w:eastAsia="Times New Roman" w:cs="Arial"/>
          <w:color w:val="000000"/>
          <w:lang w:eastAsia="bg-BG"/>
        </w:rPr>
        <w:t>период на дозиране.</w:t>
      </w:r>
    </w:p>
    <w:p w14:paraId="3A1127BA" w14:textId="3F2DE143" w:rsidR="001814D1" w:rsidRPr="001814D1" w:rsidRDefault="001814D1" w:rsidP="001814D1">
      <w:pPr>
        <w:spacing w:line="240" w:lineRule="auto"/>
        <w:rPr>
          <w:rFonts w:eastAsia="Times New Roman" w:cs="Arial"/>
          <w:color w:val="000000"/>
          <w:lang w:eastAsia="bg-BG"/>
        </w:rPr>
      </w:pPr>
    </w:p>
    <w:p w14:paraId="11149C90"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В друго многоцентрово, рандомизирано, двойносляпо, активно контролирано, паралелно групово проучване, на общо 1097 пациенти с лека до тежка хипертензия, които не са адекватно контролирани с амлодипин 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е прилаган телмисартан/амлодипин (40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или 80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или само амлодипин (5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или 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След 8 седмици на лечение, резултатът от всяка от комбинациите статистически е значително по-ефективна от монотерапията с амлодипин, което се изразява в понижено систолично и диастолично кръвно налягане (-13.6/ - 9.4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eastAsia="bg-BG"/>
        </w:rPr>
        <w:t xml:space="preserve">-15.0/ -10.6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eastAsia="bg-BG"/>
        </w:rPr>
        <w:t xml:space="preserve">със съответно 40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80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спрямо -6.2/ </w:t>
      </w:r>
      <w:r w:rsidRPr="001814D1">
        <w:rPr>
          <w:rFonts w:eastAsia="Times New Roman" w:cs="Arial"/>
          <w:color w:val="000000"/>
          <w:lang w:val="ru-RU"/>
        </w:rPr>
        <w:t xml:space="preserve">-5.7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eastAsia="bg-BG"/>
        </w:rPr>
        <w:t xml:space="preserve">-11.1/ </w:t>
      </w:r>
      <w:r w:rsidRPr="001814D1">
        <w:rPr>
          <w:rFonts w:eastAsia="Times New Roman" w:cs="Arial"/>
          <w:color w:val="000000"/>
          <w:lang w:val="ru-RU"/>
        </w:rPr>
        <w:t xml:space="preserve">-8.0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val="en-US"/>
        </w:rPr>
        <w:t>c</w:t>
      </w:r>
      <w:r w:rsidRPr="001814D1">
        <w:rPr>
          <w:rFonts w:eastAsia="Times New Roman" w:cs="Arial"/>
          <w:color w:val="000000"/>
          <w:lang w:val="ru-RU"/>
        </w:rPr>
        <w:t xml:space="preserve"> </w:t>
      </w:r>
      <w:r w:rsidRPr="001814D1">
        <w:rPr>
          <w:rFonts w:eastAsia="Times New Roman" w:cs="Arial"/>
          <w:color w:val="000000"/>
          <w:lang w:eastAsia="bg-BG"/>
        </w:rPr>
        <w:t xml:space="preserve">амлодипин </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Установени са и по-високи контролни диастолични налягания, в сравнение със съответните режими на монотерапия (56.7 %, 63.8 % с 40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80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спрямо 42 %, 56.7 % с амлодипин 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Процентите за поява на едема са били значително по-ниски с 40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80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в сравнение с амлодипин 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(4.4 % спрямо 24.9 %, респективно).</w:t>
      </w:r>
    </w:p>
    <w:p w14:paraId="5646FAD3" w14:textId="77777777" w:rsidR="001814D1" w:rsidRPr="001814D1" w:rsidRDefault="001814D1" w:rsidP="001814D1">
      <w:pPr>
        <w:spacing w:line="240" w:lineRule="auto"/>
        <w:rPr>
          <w:rFonts w:eastAsia="Times New Roman" w:cs="Arial"/>
          <w:color w:val="000000"/>
          <w:lang w:eastAsia="bg-BG"/>
        </w:rPr>
      </w:pPr>
    </w:p>
    <w:p w14:paraId="5EC70732" w14:textId="4BD5706E"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В друго многоцентрово, рандомизирано, двойносляпо, активно контролирано, паралелно- групово проучване, на общо 947 пациенти с лека до тежка хипертензия, които не са адекватно контролирани с амлодипин 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е прилаган телмисартан/амлодипин (40 </w:t>
      </w:r>
      <w:r w:rsidRPr="001814D1">
        <w:rPr>
          <w:rFonts w:eastAsia="Times New Roman" w:cs="Arial"/>
          <w:color w:val="000000"/>
          <w:lang w:val="en-US"/>
        </w:rPr>
        <w:t>mg</w:t>
      </w:r>
      <w:r w:rsidRPr="001814D1">
        <w:rPr>
          <w:rFonts w:eastAsia="Times New Roman" w:cs="Arial"/>
          <w:color w:val="000000"/>
          <w:lang w:val="ru-RU"/>
        </w:rPr>
        <w:t>/</w:t>
      </w:r>
      <w:r w:rsidRPr="001814D1">
        <w:rPr>
          <w:rFonts w:eastAsia="Times New Roman" w:cs="Arial"/>
          <w:color w:val="000000"/>
          <w:lang w:eastAsia="bg-BG"/>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или 80 </w:t>
      </w:r>
      <w:r w:rsidRPr="001814D1">
        <w:rPr>
          <w:rFonts w:eastAsia="Times New Roman" w:cs="Arial"/>
          <w:color w:val="000000"/>
          <w:lang w:val="en-US"/>
        </w:rPr>
        <w:t>mg</w:t>
      </w:r>
      <w:r w:rsidRPr="001814D1">
        <w:rPr>
          <w:rFonts w:eastAsia="Times New Roman" w:cs="Arial"/>
          <w:color w:val="000000"/>
          <w:lang w:val="ru-RU"/>
        </w:rPr>
        <w:t>/</w:t>
      </w:r>
      <w:r w:rsidRPr="001814D1">
        <w:rPr>
          <w:rFonts w:eastAsia="Times New Roman" w:cs="Arial"/>
          <w:color w:val="000000"/>
          <w:lang w:eastAsia="bg-BG"/>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или само амлодипин (10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След 8 седмици на лечение, </w:t>
      </w:r>
      <w:r w:rsidRPr="001814D1">
        <w:rPr>
          <w:rFonts w:eastAsia="Times New Roman" w:cs="Arial"/>
          <w:color w:val="000000"/>
          <w:lang w:eastAsia="bg-BG"/>
        </w:rPr>
        <w:lastRenderedPageBreak/>
        <w:t xml:space="preserve">всяко от комбинираните лечения статистически е значително по-ефективно от монотерапията с амлодипин при намаляването на диастоличното и систоличното кръвно налягане (-11,1/ - 9,2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eastAsia="bg-BG"/>
        </w:rPr>
        <w:t xml:space="preserve">-11,3/ - 9,3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val="en-US"/>
        </w:rPr>
        <w:t>c</w:t>
      </w:r>
      <w:r w:rsidRPr="001814D1">
        <w:rPr>
          <w:rFonts w:eastAsia="Times New Roman" w:cs="Arial"/>
          <w:color w:val="000000"/>
          <w:lang w:val="ru-RU"/>
        </w:rPr>
        <w:t xml:space="preserve"> 40 </w:t>
      </w:r>
      <w:r w:rsidRPr="001814D1">
        <w:rPr>
          <w:rFonts w:eastAsia="Times New Roman" w:cs="Arial"/>
          <w:color w:val="000000"/>
          <w:lang w:val="en-US"/>
        </w:rPr>
        <w:t>mg</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80 </w:t>
      </w:r>
      <w:r w:rsidRPr="001814D1">
        <w:rPr>
          <w:rFonts w:eastAsia="Times New Roman" w:cs="Arial"/>
          <w:color w:val="000000"/>
          <w:lang w:val="en-US"/>
        </w:rPr>
        <w:t>mg</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спрямо </w:t>
      </w:r>
      <w:r w:rsidRPr="001814D1">
        <w:rPr>
          <w:rFonts w:eastAsia="Times New Roman" w:cs="Arial"/>
          <w:color w:val="000000"/>
          <w:lang w:val="ru-RU"/>
        </w:rPr>
        <w:t xml:space="preserve">- </w:t>
      </w:r>
      <w:r w:rsidRPr="001814D1">
        <w:rPr>
          <w:rFonts w:eastAsia="Times New Roman" w:cs="Arial"/>
          <w:color w:val="000000"/>
          <w:lang w:eastAsia="bg-BG"/>
        </w:rPr>
        <w:t xml:space="preserve">7.4/ </w:t>
      </w:r>
      <w:r w:rsidRPr="001814D1">
        <w:rPr>
          <w:rFonts w:eastAsia="Times New Roman" w:cs="Arial"/>
          <w:color w:val="000000"/>
          <w:lang w:val="ru-RU"/>
        </w:rPr>
        <w:t xml:space="preserve">- 6.5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val="en-US"/>
        </w:rPr>
        <w:t>c</w:t>
      </w:r>
      <w:r w:rsidRPr="001814D1">
        <w:rPr>
          <w:rFonts w:eastAsia="Times New Roman" w:cs="Arial"/>
          <w:color w:val="000000"/>
          <w:lang w:val="ru-RU"/>
        </w:rPr>
        <w:t xml:space="preserve"> </w:t>
      </w:r>
      <w:r w:rsidRPr="001814D1">
        <w:rPr>
          <w:rFonts w:eastAsia="Times New Roman" w:cs="Arial"/>
          <w:color w:val="000000"/>
          <w:lang w:eastAsia="bg-BG"/>
        </w:rPr>
        <w:t xml:space="preserve">амлодипин </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w:t>
      </w:r>
      <w:r w:rsidRPr="001814D1">
        <w:rPr>
          <w:rFonts w:eastAsia="Times New Roman" w:cs="Arial"/>
          <w:color w:val="000000"/>
          <w:lang w:val="en-US"/>
        </w:rPr>
        <w:t>e</w:t>
      </w:r>
      <w:r w:rsidRPr="001814D1">
        <w:rPr>
          <w:rFonts w:eastAsia="Times New Roman" w:cs="Arial"/>
          <w:color w:val="000000"/>
          <w:lang w:val="ru-RU"/>
        </w:rPr>
        <w:t xml:space="preserve"> </w:t>
      </w:r>
      <w:r w:rsidRPr="001814D1">
        <w:rPr>
          <w:rFonts w:eastAsia="Times New Roman" w:cs="Arial"/>
          <w:color w:val="000000"/>
          <w:lang w:eastAsia="bg-BG"/>
        </w:rPr>
        <w:t xml:space="preserve">установена по- висока степен на нормализиране на диастоличното кръвно налягане в сравнение с монотерапията (63.7 %, 66.5 % с 40 </w:t>
      </w:r>
      <w:r w:rsidRPr="001814D1">
        <w:rPr>
          <w:rFonts w:eastAsia="Times New Roman" w:cs="Arial"/>
          <w:color w:val="000000"/>
          <w:lang w:val="en-US"/>
        </w:rPr>
        <w:t>mg</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80 </w:t>
      </w:r>
      <w:r w:rsidRPr="001814D1">
        <w:rPr>
          <w:rFonts w:eastAsia="Times New Roman" w:cs="Arial"/>
          <w:color w:val="000000"/>
          <w:lang w:val="en-US"/>
        </w:rPr>
        <w:t>mg</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спрямо </w:t>
      </w:r>
      <w:r w:rsidRPr="001814D1">
        <w:rPr>
          <w:rFonts w:eastAsia="Times New Roman" w:cs="Arial"/>
          <w:color w:val="000000"/>
          <w:lang w:val="ru-RU"/>
        </w:rPr>
        <w:t xml:space="preserve">51,1 % </w:t>
      </w:r>
      <w:r w:rsidRPr="001814D1">
        <w:rPr>
          <w:rFonts w:eastAsia="Times New Roman" w:cs="Arial"/>
          <w:color w:val="000000"/>
          <w:lang w:val="en-US"/>
        </w:rPr>
        <w:t>c</w:t>
      </w:r>
      <w:r w:rsidRPr="001814D1">
        <w:rPr>
          <w:rFonts w:eastAsia="Times New Roman" w:cs="Arial"/>
          <w:color w:val="000000"/>
          <w:lang w:val="ru-RU"/>
        </w:rPr>
        <w:t xml:space="preserve"> </w:t>
      </w:r>
      <w:r w:rsidRPr="001814D1">
        <w:rPr>
          <w:rFonts w:eastAsia="Times New Roman" w:cs="Arial"/>
          <w:color w:val="000000"/>
          <w:lang w:eastAsia="bg-BG"/>
        </w:rPr>
        <w:t xml:space="preserve">амлодипин </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w:t>
      </w:r>
    </w:p>
    <w:p w14:paraId="3FF8E336" w14:textId="77777777" w:rsidR="001814D1" w:rsidRPr="001814D1" w:rsidRDefault="001814D1" w:rsidP="001814D1">
      <w:pPr>
        <w:spacing w:line="240" w:lineRule="auto"/>
        <w:rPr>
          <w:rFonts w:eastAsia="Times New Roman" w:cs="Arial"/>
          <w:color w:val="000000"/>
          <w:lang w:eastAsia="bg-BG"/>
        </w:rPr>
      </w:pPr>
    </w:p>
    <w:p w14:paraId="146BE810" w14:textId="7C11550E"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В две отворени продължителни последователни проучвания проведени за период от над 6 месеца, ефектът на Телмисартан/амлодипин е продължил да трае и след завършване на изпитването. Освен това, е установено, че при някои пациенти, които не се повлияват в достатъчна степен от телмисартан/амлодипин 40 </w:t>
      </w:r>
      <w:r w:rsidRPr="001814D1">
        <w:rPr>
          <w:rFonts w:eastAsia="Times New Roman" w:cs="Arial"/>
          <w:color w:val="000000"/>
          <w:lang w:val="en-US"/>
        </w:rPr>
        <w:t>mg</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е налице допълнително понижение на кръвното налягане, след повишаване на лекарствената доза чрез титриране до телмисартан/амлодипин 80 </w:t>
      </w:r>
      <w:r w:rsidRPr="001814D1">
        <w:rPr>
          <w:rFonts w:eastAsia="Times New Roman" w:cs="Arial"/>
          <w:color w:val="000000"/>
          <w:lang w:val="en-US"/>
        </w:rPr>
        <w:t>mg</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w:t>
      </w:r>
    </w:p>
    <w:p w14:paraId="639B2C85" w14:textId="77777777" w:rsidR="001814D1" w:rsidRPr="001814D1" w:rsidRDefault="001814D1" w:rsidP="001814D1">
      <w:pPr>
        <w:spacing w:line="240" w:lineRule="auto"/>
        <w:rPr>
          <w:rFonts w:eastAsia="Times New Roman" w:cs="Arial"/>
          <w:color w:val="000000"/>
          <w:lang w:eastAsia="bg-BG"/>
        </w:rPr>
      </w:pPr>
    </w:p>
    <w:p w14:paraId="0AB27659" w14:textId="4A316276"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Общата честота на нежелани реакции с телмисартан/амлодипин в програмата за клинично изпитване е била понижена при само 12.7 % от пациентите на лечение, при които са налице нежелани реакции. Най-честите нежелани реакции са били периферна едема и замаяност (вж. точка 4.8). Съобщените нежеланите реакции съвпадат с очакваните реакции от профилите за безопасност на компонентите телмисартан и амлодипин. Не са наблюдавани нови или по- сериозни нежелани реакции. Свързаните с едема реакции (периферна едема, генерализирана едема и едема) са очаквано по-ниски при пациентите, които приемат телмисартан/амлодипин а, в сравнение с тези, които получават амлодипин 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Във факториално изпитване процентите с едем са 1,3% с телмисартан/амлодипин 40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80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8.8 % с телмисартан/амлодипин 40 </w:t>
      </w:r>
      <w:r w:rsidRPr="001814D1">
        <w:rPr>
          <w:rFonts w:eastAsia="Times New Roman" w:cs="Arial"/>
          <w:color w:val="000000"/>
          <w:lang w:val="en-US"/>
        </w:rPr>
        <w:t>mg</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80 </w:t>
      </w:r>
      <w:r w:rsidRPr="001814D1">
        <w:rPr>
          <w:rFonts w:eastAsia="Times New Roman" w:cs="Arial"/>
          <w:color w:val="000000"/>
          <w:lang w:val="en-US"/>
        </w:rPr>
        <w:t>mg</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w:t>
      </w:r>
      <w:r w:rsidRPr="001814D1">
        <w:rPr>
          <w:rFonts w:eastAsia="Times New Roman" w:cs="Arial"/>
          <w:color w:val="000000"/>
          <w:lang w:val="ru-RU"/>
        </w:rPr>
        <w:t xml:space="preserve">18,4% </w:t>
      </w:r>
      <w:r w:rsidRPr="001814D1">
        <w:rPr>
          <w:rFonts w:eastAsia="Times New Roman" w:cs="Arial"/>
          <w:color w:val="000000"/>
          <w:lang w:val="en-US"/>
        </w:rPr>
        <w:t>c</w:t>
      </w:r>
      <w:r w:rsidRPr="001814D1">
        <w:rPr>
          <w:rFonts w:eastAsia="Times New Roman" w:cs="Arial"/>
          <w:color w:val="000000"/>
          <w:lang w:val="ru-RU"/>
        </w:rPr>
        <w:t xml:space="preserve"> </w:t>
      </w:r>
      <w:r w:rsidRPr="001814D1">
        <w:rPr>
          <w:rFonts w:eastAsia="Times New Roman" w:cs="Arial"/>
          <w:color w:val="000000"/>
          <w:lang w:eastAsia="bg-BG"/>
        </w:rPr>
        <w:t xml:space="preserve">амлодипин </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При пациентите, неповлияващи се от амлодипин 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нивата на едема са 4.4 % за 40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80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24.9 % за 10 </w:t>
      </w:r>
      <w:r w:rsidRPr="001814D1">
        <w:rPr>
          <w:rFonts w:eastAsia="Times New Roman" w:cs="Arial"/>
          <w:color w:val="000000"/>
          <w:lang w:val="en-US"/>
        </w:rPr>
        <w:t>mg</w:t>
      </w:r>
      <w:r w:rsidRPr="001814D1">
        <w:rPr>
          <w:rFonts w:eastAsia="Times New Roman" w:cs="Arial"/>
          <w:color w:val="000000"/>
          <w:lang w:val="ru-RU"/>
        </w:rPr>
        <w:t>.</w:t>
      </w:r>
    </w:p>
    <w:p w14:paraId="6F559DA9" w14:textId="77777777" w:rsidR="001814D1" w:rsidRPr="001814D1" w:rsidRDefault="001814D1" w:rsidP="001814D1">
      <w:pPr>
        <w:spacing w:line="240" w:lineRule="auto"/>
        <w:rPr>
          <w:rFonts w:eastAsia="Times New Roman" w:cs="Arial"/>
          <w:color w:val="000000"/>
          <w:lang w:eastAsia="bg-BG"/>
        </w:rPr>
      </w:pPr>
    </w:p>
    <w:p w14:paraId="7B72E136" w14:textId="5307DA7C" w:rsidR="001814D1" w:rsidRPr="001814D1" w:rsidRDefault="001814D1" w:rsidP="001814D1">
      <w:pPr>
        <w:spacing w:line="240" w:lineRule="auto"/>
        <w:rPr>
          <w:rFonts w:eastAsia="Times New Roman" w:cs="Arial"/>
        </w:rPr>
      </w:pPr>
      <w:r w:rsidRPr="001814D1">
        <w:rPr>
          <w:rFonts w:eastAsia="Times New Roman" w:cs="Arial"/>
          <w:color w:val="000000"/>
          <w:lang w:eastAsia="bg-BG"/>
        </w:rPr>
        <w:t>Антихипертензивният ефект на телмисартан/амлодипин е еднакъв, независимо от възраст и пол, и е еднакъв при пациенти със или без диабет.</w:t>
      </w:r>
    </w:p>
    <w:p w14:paraId="0136CD42"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Телмисартан/амлодипин не е проучен при група пациенти, освен тази с хипертензия. Телмисартан е изпитан в рамките на голямо изпитване на изхода от лечението при 25 620 пациенти с висок риск от сърдечно-съдово заболяване </w:t>
      </w:r>
      <w:r w:rsidRPr="001814D1">
        <w:rPr>
          <w:rFonts w:eastAsia="Times New Roman" w:cs="Arial"/>
          <w:color w:val="000000"/>
          <w:lang w:val="ru-RU"/>
        </w:rPr>
        <w:t>(</w:t>
      </w:r>
      <w:r w:rsidRPr="001814D1">
        <w:rPr>
          <w:rFonts w:eastAsia="Times New Roman" w:cs="Arial"/>
          <w:color w:val="000000"/>
          <w:lang w:val="en-US"/>
        </w:rPr>
        <w:t>ONTARGET</w:t>
      </w:r>
      <w:r w:rsidRPr="001814D1">
        <w:rPr>
          <w:rFonts w:eastAsia="Times New Roman" w:cs="Arial"/>
          <w:color w:val="000000"/>
          <w:lang w:val="ru-RU"/>
        </w:rPr>
        <w:t>).</w:t>
      </w:r>
    </w:p>
    <w:p w14:paraId="2E6CFB2D"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Амлодипин е изпитван при пациенти с хронична стабилна ангина, вазоспастична ангина, и такива с ангиографски документирано заболяване на коронарната артерия.</w:t>
      </w:r>
    </w:p>
    <w:p w14:paraId="6A60ACE1" w14:textId="77777777" w:rsidR="001814D1" w:rsidRPr="001814D1" w:rsidRDefault="001814D1" w:rsidP="001814D1">
      <w:pPr>
        <w:spacing w:line="240" w:lineRule="auto"/>
        <w:rPr>
          <w:rFonts w:eastAsia="Times New Roman" w:cs="Arial"/>
          <w:color w:val="000000"/>
          <w:u w:val="single"/>
          <w:lang w:eastAsia="bg-BG"/>
        </w:rPr>
      </w:pPr>
    </w:p>
    <w:p w14:paraId="25ECA88B" w14:textId="428E5BB3" w:rsidR="001814D1" w:rsidRPr="001814D1" w:rsidRDefault="001814D1" w:rsidP="001814D1">
      <w:pPr>
        <w:spacing w:line="240" w:lineRule="auto"/>
        <w:rPr>
          <w:rFonts w:eastAsia="Times New Roman" w:cs="Arial"/>
        </w:rPr>
      </w:pPr>
      <w:r w:rsidRPr="001814D1">
        <w:rPr>
          <w:rFonts w:eastAsia="Times New Roman" w:cs="Arial"/>
          <w:color w:val="000000"/>
          <w:u w:val="single"/>
          <w:lang w:eastAsia="bg-BG"/>
        </w:rPr>
        <w:t>Педиатрична популация</w:t>
      </w:r>
    </w:p>
    <w:p w14:paraId="5E27A73F" w14:textId="030AAE82" w:rsidR="001814D1" w:rsidRPr="001814D1" w:rsidRDefault="001814D1" w:rsidP="001814D1">
      <w:pPr>
        <w:spacing w:line="240" w:lineRule="auto"/>
        <w:rPr>
          <w:rFonts w:eastAsia="Times New Roman" w:cs="Arial"/>
        </w:rPr>
      </w:pPr>
      <w:r w:rsidRPr="001814D1">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телмисартан/амлодипин а във всички подгрупи на педиатричната популация при хипертензия. (вж. точка 4.2 за информация относно употреба в педиатрията).</w:t>
      </w:r>
    </w:p>
    <w:p w14:paraId="45D25CD8" w14:textId="77777777" w:rsidR="001814D1" w:rsidRPr="001814D1" w:rsidRDefault="001814D1" w:rsidP="001814D1"/>
    <w:p w14:paraId="346B622B" w14:textId="469FBFBD" w:rsidR="00875EEC" w:rsidRDefault="002C50EE" w:rsidP="005726E3">
      <w:pPr>
        <w:pStyle w:val="Heading2"/>
      </w:pPr>
      <w:r>
        <w:t>5.2. Фармакокинетични свойства</w:t>
      </w:r>
    </w:p>
    <w:p w14:paraId="798B8742" w14:textId="78D0D866" w:rsidR="001814D1" w:rsidRDefault="001814D1" w:rsidP="001814D1"/>
    <w:p w14:paraId="2D568ED9" w14:textId="77777777"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u w:val="single"/>
          <w:lang w:eastAsia="bg-BG"/>
        </w:rPr>
        <w:t>Фармакокинетика на Фиксираната лозова комбинация</w:t>
      </w:r>
    </w:p>
    <w:p w14:paraId="6CB2E921" w14:textId="77777777"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Процентът и степента на абсорбция на телмисартан/амлодипин са еквивалентни на бионаличността на телмисартан и амлодипин, прилагани като отделни таблетки.</w:t>
      </w:r>
    </w:p>
    <w:p w14:paraId="01BE39CF" w14:textId="77777777" w:rsidR="001814D1" w:rsidRPr="001814D1" w:rsidRDefault="001814D1" w:rsidP="001814D1">
      <w:pPr>
        <w:spacing w:line="240" w:lineRule="auto"/>
        <w:rPr>
          <w:rFonts w:eastAsia="Times New Roman" w:cs="Arial"/>
          <w:color w:val="000000"/>
          <w:szCs w:val="20"/>
          <w:lang w:eastAsia="bg-BG"/>
        </w:rPr>
      </w:pPr>
    </w:p>
    <w:p w14:paraId="26A69013" w14:textId="794C5DFA"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 xml:space="preserve">Абсорбцията на телмисартан е бърза, въпреки че абсорбираното количество варира. Средната абсолютна бионаличност за телмисартан е около 50 %. Когато телмисартан се </w:t>
      </w:r>
      <w:r w:rsidRPr="001814D1">
        <w:rPr>
          <w:rFonts w:eastAsia="Times New Roman" w:cs="Arial"/>
          <w:color w:val="000000"/>
          <w:szCs w:val="20"/>
          <w:lang w:eastAsia="bg-BG"/>
        </w:rPr>
        <w:lastRenderedPageBreak/>
        <w:t xml:space="preserve">приема с храна, намаляването на площта под кривата на съотношението плазмена концентрация-време </w:t>
      </w:r>
      <w:r w:rsidRPr="001814D1">
        <w:rPr>
          <w:rFonts w:eastAsia="Times New Roman" w:cs="Arial"/>
          <w:color w:val="000000"/>
          <w:szCs w:val="20"/>
          <w:lang w:val="ru-RU"/>
        </w:rPr>
        <w:t>(</w:t>
      </w:r>
      <w:r w:rsidRPr="001814D1">
        <w:rPr>
          <w:rFonts w:eastAsia="Times New Roman" w:cs="Arial"/>
          <w:color w:val="000000"/>
          <w:szCs w:val="20"/>
          <w:lang w:val="en-US"/>
        </w:rPr>
        <w:t>AUC</w:t>
      </w:r>
      <w:r w:rsidRPr="001814D1">
        <w:rPr>
          <w:rFonts w:eastAsia="Times New Roman" w:cs="Arial"/>
          <w:color w:val="000000"/>
          <w:szCs w:val="20"/>
          <w:vertAlign w:val="subscript"/>
          <w:lang w:val="ru-RU"/>
        </w:rPr>
        <w:t>0-</w:t>
      </w:r>
      <w:r w:rsidRPr="001814D1">
        <w:rPr>
          <w:rFonts w:eastAsia="Times New Roman" w:cs="Arial"/>
          <w:color w:val="000000"/>
          <w:szCs w:val="20"/>
          <w:vertAlign w:val="subscript"/>
          <w:lang w:eastAsia="bg-BG"/>
        </w:rPr>
        <w:t>∞</w:t>
      </w:r>
      <w:r w:rsidRPr="001814D1">
        <w:rPr>
          <w:rFonts w:eastAsia="Times New Roman" w:cs="Arial"/>
          <w:color w:val="000000"/>
          <w:szCs w:val="20"/>
          <w:lang w:val="ru-RU"/>
        </w:rPr>
        <w:t xml:space="preserve">) </w:t>
      </w:r>
      <w:r w:rsidRPr="001814D1">
        <w:rPr>
          <w:rFonts w:eastAsia="Times New Roman" w:cs="Arial"/>
          <w:color w:val="000000"/>
          <w:szCs w:val="20"/>
          <w:lang w:eastAsia="bg-BG"/>
        </w:rPr>
        <w:t xml:space="preserve">варира от приблизително 6 % (доза от 40 </w:t>
      </w:r>
      <w:r w:rsidRPr="001814D1">
        <w:rPr>
          <w:rFonts w:eastAsia="Times New Roman" w:cs="Arial"/>
          <w:color w:val="000000"/>
          <w:szCs w:val="20"/>
          <w:lang w:val="en-US"/>
        </w:rPr>
        <w:t>mg</w:t>
      </w:r>
      <w:r w:rsidRPr="001814D1">
        <w:rPr>
          <w:rFonts w:eastAsia="Times New Roman" w:cs="Arial"/>
          <w:color w:val="000000"/>
          <w:szCs w:val="20"/>
          <w:lang w:val="ru-RU"/>
        </w:rPr>
        <w:t xml:space="preserve">) </w:t>
      </w:r>
      <w:r w:rsidRPr="001814D1">
        <w:rPr>
          <w:rFonts w:eastAsia="Times New Roman" w:cs="Arial"/>
          <w:color w:val="000000"/>
          <w:szCs w:val="20"/>
          <w:lang w:eastAsia="bg-BG"/>
        </w:rPr>
        <w:t xml:space="preserve">до приблизително 19 % (доза от 160 </w:t>
      </w:r>
      <w:r w:rsidRPr="001814D1">
        <w:rPr>
          <w:rFonts w:eastAsia="Times New Roman" w:cs="Arial"/>
          <w:color w:val="000000"/>
          <w:szCs w:val="20"/>
          <w:lang w:val="en-US"/>
        </w:rPr>
        <w:t>mg</w:t>
      </w:r>
      <w:r w:rsidRPr="001814D1">
        <w:rPr>
          <w:rFonts w:eastAsia="Times New Roman" w:cs="Arial"/>
          <w:color w:val="000000"/>
          <w:szCs w:val="20"/>
          <w:lang w:val="ru-RU"/>
        </w:rPr>
        <w:t xml:space="preserve">). </w:t>
      </w:r>
      <w:r w:rsidRPr="001814D1">
        <w:rPr>
          <w:rFonts w:eastAsia="Times New Roman" w:cs="Arial"/>
          <w:color w:val="000000"/>
          <w:szCs w:val="20"/>
          <w:lang w:eastAsia="bg-BG"/>
        </w:rPr>
        <w:t>До 3 часа след прием, плазмените концентрации са подобни, независимо дали телмисартан се приема със или без храна.</w:t>
      </w:r>
    </w:p>
    <w:p w14:paraId="4B1EEAA9" w14:textId="77777777" w:rsidR="001814D1" w:rsidRDefault="001814D1" w:rsidP="001814D1">
      <w:pPr>
        <w:spacing w:line="240" w:lineRule="auto"/>
        <w:rPr>
          <w:rFonts w:ascii="Times New Roman" w:eastAsia="Times New Roman" w:hAnsi="Times New Roman" w:cs="Times New Roman"/>
          <w:color w:val="000000"/>
          <w:sz w:val="20"/>
          <w:szCs w:val="20"/>
          <w:lang w:eastAsia="bg-BG"/>
        </w:rPr>
      </w:pPr>
    </w:p>
    <w:p w14:paraId="5EF1F0C2" w14:textId="79BC6295" w:rsidR="001814D1" w:rsidRPr="001814D1" w:rsidRDefault="001814D1" w:rsidP="001814D1">
      <w:pPr>
        <w:spacing w:line="240" w:lineRule="auto"/>
        <w:rPr>
          <w:rFonts w:eastAsia="Times New Roman" w:cs="Arial"/>
        </w:rPr>
      </w:pPr>
      <w:r w:rsidRPr="001814D1">
        <w:rPr>
          <w:rFonts w:eastAsia="Times New Roman" w:cs="Arial"/>
          <w:color w:val="000000"/>
          <w:lang w:eastAsia="bg-BG"/>
        </w:rPr>
        <w:t>След перорално приложение на лекарствените дози, амлодипин се абсорбира добре, с максимална концентрация в кръвта между 6-12 часа след приемане. Установената абсолютна бионаличност е между 64 и 80 %. Бионаличностга на амлодипин не се повлиява от приемането на храна.</w:t>
      </w:r>
    </w:p>
    <w:p w14:paraId="09788224" w14:textId="77777777" w:rsidR="001814D1" w:rsidRPr="001814D1" w:rsidRDefault="001814D1" w:rsidP="001814D1">
      <w:pPr>
        <w:spacing w:line="240" w:lineRule="auto"/>
        <w:rPr>
          <w:rFonts w:eastAsia="Times New Roman" w:cs="Arial"/>
          <w:color w:val="000000"/>
          <w:u w:val="single"/>
          <w:lang w:eastAsia="bg-BG"/>
        </w:rPr>
      </w:pPr>
    </w:p>
    <w:p w14:paraId="02AE23BD" w14:textId="7C1D41F6" w:rsidR="001814D1" w:rsidRPr="001814D1" w:rsidRDefault="001814D1" w:rsidP="001814D1">
      <w:pPr>
        <w:pStyle w:val="Heading3"/>
        <w:rPr>
          <w:rFonts w:eastAsia="Times New Roman"/>
          <w:u w:val="single"/>
        </w:rPr>
      </w:pPr>
      <w:r w:rsidRPr="001814D1">
        <w:rPr>
          <w:rFonts w:eastAsia="Times New Roman"/>
          <w:u w:val="single"/>
          <w:lang w:eastAsia="bg-BG"/>
        </w:rPr>
        <w:t>Разпределение</w:t>
      </w:r>
    </w:p>
    <w:p w14:paraId="6D9DB44B"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Телмисартан се свързва във висока степен с плазмените протеини (&gt;99.5 %), основно албумин и алфа-1 киселите гликопротеини. Средният стационарен привиден обем на разпределение </w:t>
      </w:r>
      <w:r w:rsidRPr="001814D1">
        <w:rPr>
          <w:rFonts w:eastAsia="Times New Roman" w:cs="Arial"/>
          <w:color w:val="000000"/>
          <w:lang w:val="ru-RU"/>
        </w:rPr>
        <w:t>(</w:t>
      </w:r>
      <w:proofErr w:type="spellStart"/>
      <w:r w:rsidRPr="001814D1">
        <w:rPr>
          <w:rFonts w:eastAsia="Times New Roman" w:cs="Arial"/>
          <w:color w:val="000000"/>
          <w:lang w:val="en-US"/>
        </w:rPr>
        <w:t>Vdss</w:t>
      </w:r>
      <w:proofErr w:type="spellEnd"/>
      <w:r w:rsidRPr="001814D1">
        <w:rPr>
          <w:rFonts w:eastAsia="Times New Roman" w:cs="Arial"/>
          <w:color w:val="000000"/>
          <w:lang w:val="ru-RU"/>
        </w:rPr>
        <w:t xml:space="preserve">) </w:t>
      </w:r>
      <w:r w:rsidRPr="001814D1">
        <w:rPr>
          <w:rFonts w:eastAsia="Times New Roman" w:cs="Arial"/>
          <w:color w:val="000000"/>
          <w:lang w:eastAsia="bg-BG"/>
        </w:rPr>
        <w:t>е приблизително 500 литра.</w:t>
      </w:r>
    </w:p>
    <w:p w14:paraId="06A05A78" w14:textId="77777777" w:rsidR="001814D1" w:rsidRPr="001814D1" w:rsidRDefault="001814D1" w:rsidP="001814D1">
      <w:pPr>
        <w:spacing w:line="240" w:lineRule="auto"/>
        <w:rPr>
          <w:rFonts w:eastAsia="Times New Roman" w:cs="Arial"/>
          <w:color w:val="000000"/>
          <w:lang w:eastAsia="bg-BG"/>
        </w:rPr>
      </w:pPr>
    </w:p>
    <w:p w14:paraId="561A88A6" w14:textId="6F2557A5"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Обемът на разпределение на амлодипин е приблизително 21 </w:t>
      </w:r>
      <w:r w:rsidRPr="001814D1">
        <w:rPr>
          <w:rFonts w:eastAsia="Times New Roman" w:cs="Arial"/>
          <w:color w:val="000000"/>
          <w:lang w:val="en-US"/>
        </w:rPr>
        <w:t>l</w:t>
      </w:r>
      <w:r w:rsidRPr="001814D1">
        <w:rPr>
          <w:rFonts w:eastAsia="Times New Roman" w:cs="Arial"/>
          <w:color w:val="000000"/>
          <w:lang w:val="ru-RU"/>
        </w:rPr>
        <w:t>/</w:t>
      </w:r>
      <w:r w:rsidRPr="001814D1">
        <w:rPr>
          <w:rFonts w:eastAsia="Times New Roman" w:cs="Arial"/>
          <w:color w:val="000000"/>
          <w:lang w:val="en-US"/>
        </w:rPr>
        <w:t>kg</w:t>
      </w:r>
      <w:r w:rsidRPr="001814D1">
        <w:rPr>
          <w:rFonts w:eastAsia="Times New Roman" w:cs="Arial"/>
          <w:color w:val="000000"/>
          <w:lang w:val="ru-RU"/>
        </w:rPr>
        <w:t xml:space="preserve">. </w:t>
      </w:r>
      <w:r w:rsidRPr="001814D1">
        <w:rPr>
          <w:rFonts w:eastAsia="Times New Roman" w:cs="Arial"/>
          <w:i/>
          <w:iCs/>
          <w:color w:val="000000"/>
          <w:lang w:eastAsia="bg-BG"/>
        </w:rPr>
        <w:t>Ин витро</w:t>
      </w:r>
      <w:r w:rsidRPr="001814D1">
        <w:rPr>
          <w:rFonts w:eastAsia="Times New Roman" w:cs="Arial"/>
          <w:color w:val="000000"/>
          <w:lang w:eastAsia="bg-BG"/>
        </w:rPr>
        <w:t xml:space="preserve"> проучванията показват, че приблизително 97.5 % от циркулиращият амлодипин е свързан с плазмените протеини при пациентите с хипертония</w:t>
      </w:r>
    </w:p>
    <w:p w14:paraId="3DBBD5E7" w14:textId="77777777" w:rsidR="001814D1" w:rsidRPr="001814D1" w:rsidRDefault="001814D1" w:rsidP="001814D1">
      <w:pPr>
        <w:spacing w:line="240" w:lineRule="auto"/>
        <w:rPr>
          <w:rFonts w:eastAsia="Times New Roman" w:cs="Arial"/>
          <w:color w:val="000000"/>
          <w:u w:val="single"/>
          <w:lang w:eastAsia="bg-BG"/>
        </w:rPr>
      </w:pPr>
    </w:p>
    <w:p w14:paraId="52F92C55" w14:textId="50BB5515" w:rsidR="001814D1" w:rsidRPr="001814D1" w:rsidRDefault="001814D1" w:rsidP="001814D1">
      <w:pPr>
        <w:pStyle w:val="Heading3"/>
        <w:rPr>
          <w:rFonts w:eastAsia="Times New Roman"/>
          <w:u w:val="single"/>
        </w:rPr>
      </w:pPr>
      <w:r w:rsidRPr="001814D1">
        <w:rPr>
          <w:rFonts w:eastAsia="Times New Roman"/>
          <w:u w:val="single"/>
          <w:lang w:eastAsia="bg-BG"/>
        </w:rPr>
        <w:t>Биотрансформация</w:t>
      </w:r>
    </w:p>
    <w:p w14:paraId="3C26A587"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Телмисартан се метаболизира чрез конюгация към глюкуронида на основното съединение. Не е наблюдавана фармакологична активност при конюгата.</w:t>
      </w:r>
    </w:p>
    <w:p w14:paraId="26600A4B" w14:textId="77777777" w:rsidR="001814D1" w:rsidRPr="001814D1" w:rsidRDefault="001814D1" w:rsidP="001814D1">
      <w:pPr>
        <w:spacing w:line="240" w:lineRule="auto"/>
        <w:rPr>
          <w:rFonts w:eastAsia="Times New Roman" w:cs="Arial"/>
          <w:color w:val="000000"/>
          <w:lang w:eastAsia="bg-BG"/>
        </w:rPr>
      </w:pPr>
    </w:p>
    <w:p w14:paraId="31A8EE0E" w14:textId="027039A4" w:rsidR="001814D1" w:rsidRPr="001814D1" w:rsidRDefault="001814D1" w:rsidP="001814D1">
      <w:pPr>
        <w:spacing w:line="240" w:lineRule="auto"/>
        <w:rPr>
          <w:rFonts w:eastAsia="Times New Roman" w:cs="Arial"/>
        </w:rPr>
      </w:pPr>
      <w:r w:rsidRPr="001814D1">
        <w:rPr>
          <w:rFonts w:eastAsia="Times New Roman" w:cs="Arial"/>
          <w:color w:val="000000"/>
          <w:lang w:eastAsia="bg-BG"/>
        </w:rPr>
        <w:t>Амлодипин се метаболизира изключително (приблизително 90 %) от черния дроб до неактивни метаболити</w:t>
      </w:r>
    </w:p>
    <w:p w14:paraId="00FC7819" w14:textId="77777777" w:rsidR="001814D1" w:rsidRPr="001814D1" w:rsidRDefault="001814D1" w:rsidP="001814D1">
      <w:pPr>
        <w:spacing w:line="240" w:lineRule="auto"/>
        <w:rPr>
          <w:rFonts w:eastAsia="Times New Roman" w:cs="Arial"/>
          <w:color w:val="000000"/>
          <w:lang w:eastAsia="bg-BG"/>
        </w:rPr>
      </w:pPr>
    </w:p>
    <w:p w14:paraId="38C169E6" w14:textId="4D779E30" w:rsidR="001814D1" w:rsidRPr="001814D1" w:rsidRDefault="001814D1" w:rsidP="001814D1">
      <w:pPr>
        <w:spacing w:line="240" w:lineRule="auto"/>
        <w:rPr>
          <w:rFonts w:eastAsia="Times New Roman" w:cs="Arial"/>
        </w:rPr>
      </w:pPr>
      <w:r w:rsidRPr="001814D1">
        <w:rPr>
          <w:rFonts w:eastAsia="Times New Roman" w:cs="Arial"/>
          <w:color w:val="000000"/>
          <w:lang w:eastAsia="bg-BG"/>
        </w:rPr>
        <w:t>Телмисартан се характеризира с двуекспоненциална кинетика на разграждане, с терминален полуживот на елеменеране от &gt;20 часа. Максималната плазмена концентрация (С</w:t>
      </w:r>
      <w:r w:rsidRPr="001814D1">
        <w:rPr>
          <w:rFonts w:eastAsia="Times New Roman" w:cs="Arial"/>
          <w:color w:val="000000"/>
          <w:vertAlign w:val="subscript"/>
          <w:lang w:val="en-US"/>
        </w:rPr>
        <w:t>max</w:t>
      </w:r>
      <w:r w:rsidRPr="001814D1">
        <w:rPr>
          <w:rFonts w:eastAsia="Times New Roman" w:cs="Arial"/>
          <w:color w:val="000000"/>
          <w:lang w:eastAsia="bg-BG"/>
        </w:rPr>
        <w:t xml:space="preserve">) и, в по- малка степен, площта под кривата “плазмена концентрация-време” </w:t>
      </w:r>
      <w:r w:rsidRPr="001814D1">
        <w:rPr>
          <w:rFonts w:eastAsia="Times New Roman" w:cs="Arial"/>
          <w:color w:val="000000"/>
          <w:lang w:val="ru-RU"/>
        </w:rPr>
        <w:t>(</w:t>
      </w:r>
      <w:r w:rsidRPr="001814D1">
        <w:rPr>
          <w:rFonts w:eastAsia="Times New Roman" w:cs="Arial"/>
          <w:color w:val="000000"/>
          <w:lang w:val="en-US"/>
        </w:rPr>
        <w:t>AUC</w:t>
      </w:r>
      <w:r w:rsidRPr="001814D1">
        <w:rPr>
          <w:rFonts w:eastAsia="Times New Roman" w:cs="Arial"/>
          <w:color w:val="000000"/>
          <w:lang w:val="ru-RU"/>
        </w:rPr>
        <w:t xml:space="preserve">), </w:t>
      </w:r>
      <w:r w:rsidRPr="001814D1">
        <w:rPr>
          <w:rFonts w:eastAsia="Times New Roman" w:cs="Arial"/>
          <w:color w:val="000000"/>
          <w:lang w:eastAsia="bg-BG"/>
        </w:rPr>
        <w:t>се повишават непропорционално на дозата. Няма доказателство за клиничнозначимо натрупване на телмисартан, приет в препоръчителната доза. Плазмените концентрации са по-високи при жените, отколкото при мъжете, без да е налице значително повлияване на ефикасността.</w:t>
      </w:r>
    </w:p>
    <w:p w14:paraId="15AB8CAD" w14:textId="77777777" w:rsidR="001814D1" w:rsidRPr="001814D1" w:rsidRDefault="001814D1" w:rsidP="001814D1">
      <w:pPr>
        <w:spacing w:line="240" w:lineRule="auto"/>
        <w:rPr>
          <w:rFonts w:eastAsia="Times New Roman" w:cs="Arial"/>
          <w:color w:val="000000"/>
          <w:lang w:eastAsia="bg-BG"/>
        </w:rPr>
      </w:pPr>
    </w:p>
    <w:p w14:paraId="6F087C16" w14:textId="709816B2"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След перорално (и интравенозно) приложение, телмисартан се отделя почти изцяло с фецеса, основно в непроменен вид. Кумулативната екскреция чрез урината е &lt;1 % от дозата. Общият плазмен клирънс </w:t>
      </w:r>
      <w:r w:rsidRPr="001814D1">
        <w:rPr>
          <w:rFonts w:eastAsia="Times New Roman" w:cs="Arial"/>
          <w:color w:val="000000"/>
          <w:lang w:val="ru-RU"/>
        </w:rPr>
        <w:t>(</w:t>
      </w:r>
      <w:proofErr w:type="spellStart"/>
      <w:r w:rsidRPr="001814D1">
        <w:rPr>
          <w:rFonts w:eastAsia="Times New Roman" w:cs="Arial"/>
          <w:color w:val="000000"/>
          <w:lang w:val="en-US"/>
        </w:rPr>
        <w:t>Cltot</w:t>
      </w:r>
      <w:proofErr w:type="spellEnd"/>
      <w:r w:rsidRPr="001814D1">
        <w:rPr>
          <w:rFonts w:eastAsia="Times New Roman" w:cs="Arial"/>
          <w:color w:val="000000"/>
          <w:lang w:val="ru-RU"/>
        </w:rPr>
        <w:t xml:space="preserve">) </w:t>
      </w:r>
      <w:r w:rsidRPr="001814D1">
        <w:rPr>
          <w:rFonts w:eastAsia="Times New Roman" w:cs="Arial"/>
          <w:color w:val="000000"/>
          <w:lang w:eastAsia="bg-BG"/>
        </w:rPr>
        <w:t xml:space="preserve">е висок (приблизително 1 000 </w:t>
      </w:r>
      <w:r w:rsidRPr="001814D1">
        <w:rPr>
          <w:rFonts w:eastAsia="Times New Roman" w:cs="Arial"/>
          <w:color w:val="000000"/>
          <w:lang w:val="en-US"/>
        </w:rPr>
        <w:t>ml</w:t>
      </w:r>
      <w:r w:rsidRPr="001814D1">
        <w:rPr>
          <w:rFonts w:eastAsia="Times New Roman" w:cs="Arial"/>
          <w:color w:val="000000"/>
          <w:lang w:val="ru-RU"/>
        </w:rPr>
        <w:t>/</w:t>
      </w:r>
      <w:r w:rsidRPr="001814D1">
        <w:rPr>
          <w:rFonts w:eastAsia="Times New Roman" w:cs="Arial"/>
          <w:color w:val="000000"/>
          <w:lang w:val="en-US"/>
        </w:rPr>
        <w:t>min</w:t>
      </w:r>
      <w:r w:rsidRPr="001814D1">
        <w:rPr>
          <w:rFonts w:eastAsia="Times New Roman" w:cs="Arial"/>
          <w:color w:val="000000"/>
          <w:lang w:val="ru-RU"/>
        </w:rPr>
        <w:t xml:space="preserve">) </w:t>
      </w:r>
      <w:r w:rsidRPr="001814D1">
        <w:rPr>
          <w:rFonts w:eastAsia="Times New Roman" w:cs="Arial"/>
          <w:color w:val="000000"/>
          <w:lang w:eastAsia="bg-BG"/>
        </w:rPr>
        <w:t xml:space="preserve">в сравнение с този от чернодробния кръвен ток (около 1 500 </w:t>
      </w:r>
      <w:r w:rsidRPr="001814D1">
        <w:rPr>
          <w:rFonts w:eastAsia="Times New Roman" w:cs="Arial"/>
          <w:color w:val="000000"/>
          <w:lang w:val="en-US"/>
        </w:rPr>
        <w:t>ml</w:t>
      </w:r>
      <w:r w:rsidRPr="001814D1">
        <w:rPr>
          <w:rFonts w:eastAsia="Times New Roman" w:cs="Arial"/>
          <w:color w:val="000000"/>
          <w:lang w:val="ru-RU"/>
        </w:rPr>
        <w:t>/</w:t>
      </w:r>
      <w:r w:rsidRPr="001814D1">
        <w:rPr>
          <w:rFonts w:eastAsia="Times New Roman" w:cs="Arial"/>
          <w:color w:val="000000"/>
          <w:lang w:val="en-US"/>
        </w:rPr>
        <w:t>min</w:t>
      </w:r>
      <w:r w:rsidRPr="001814D1">
        <w:rPr>
          <w:rFonts w:eastAsia="Times New Roman" w:cs="Arial"/>
          <w:color w:val="000000"/>
          <w:lang w:val="ru-RU"/>
        </w:rPr>
        <w:t>).</w:t>
      </w:r>
    </w:p>
    <w:p w14:paraId="51479553" w14:textId="77777777" w:rsidR="001814D1" w:rsidRPr="001814D1" w:rsidRDefault="001814D1" w:rsidP="001814D1">
      <w:pPr>
        <w:spacing w:line="240" w:lineRule="auto"/>
        <w:rPr>
          <w:rFonts w:eastAsia="Times New Roman" w:cs="Arial"/>
          <w:color w:val="000000"/>
          <w:lang w:eastAsia="bg-BG"/>
        </w:rPr>
      </w:pPr>
    </w:p>
    <w:p w14:paraId="338D4889" w14:textId="714077FA" w:rsidR="001814D1" w:rsidRPr="001814D1" w:rsidRDefault="001814D1" w:rsidP="001814D1">
      <w:pPr>
        <w:spacing w:line="240" w:lineRule="auto"/>
        <w:rPr>
          <w:rFonts w:eastAsia="Times New Roman" w:cs="Arial"/>
        </w:rPr>
      </w:pPr>
      <w:r w:rsidRPr="001814D1">
        <w:rPr>
          <w:rFonts w:eastAsia="Times New Roman" w:cs="Arial"/>
          <w:color w:val="000000"/>
          <w:lang w:eastAsia="bg-BG"/>
        </w:rPr>
        <w:t>Елиминирането на амлодипин през плазмата е двуфазово, с терминален полуживот на елиминиране приблизително 30 до 50 часа, при еднократна дневна доза. Стационарни плазмени нива се достигат след продължително приложение за 7-8 дни. 10 % от амлодипин и 60 % от метаболитите на амлодипина се отделят в урината</w:t>
      </w:r>
    </w:p>
    <w:p w14:paraId="0AAF5577" w14:textId="77777777" w:rsidR="001814D1" w:rsidRPr="001814D1" w:rsidRDefault="001814D1" w:rsidP="001814D1">
      <w:pPr>
        <w:spacing w:line="240" w:lineRule="auto"/>
        <w:rPr>
          <w:rFonts w:eastAsia="Times New Roman" w:cs="Arial"/>
          <w:color w:val="000000"/>
          <w:u w:val="single"/>
          <w:lang w:eastAsia="bg-BG"/>
        </w:rPr>
      </w:pPr>
    </w:p>
    <w:p w14:paraId="4E248304" w14:textId="42387362" w:rsidR="001814D1" w:rsidRPr="001814D1" w:rsidRDefault="001814D1" w:rsidP="001814D1">
      <w:pPr>
        <w:pStyle w:val="Heading3"/>
        <w:rPr>
          <w:rFonts w:eastAsia="Times New Roman"/>
          <w:u w:val="single"/>
        </w:rPr>
      </w:pPr>
      <w:r w:rsidRPr="001814D1">
        <w:rPr>
          <w:rFonts w:eastAsia="Times New Roman"/>
          <w:u w:val="single"/>
          <w:lang w:eastAsia="bg-BG"/>
        </w:rPr>
        <w:t>Линейност/нелинейност</w:t>
      </w:r>
    </w:p>
    <w:p w14:paraId="7F0AB0C5" w14:textId="036E6810" w:rsidR="001814D1" w:rsidRPr="001814D1" w:rsidRDefault="001814D1" w:rsidP="001814D1">
      <w:pPr>
        <w:rPr>
          <w:rFonts w:eastAsia="Times New Roman" w:cs="Arial"/>
          <w:color w:val="000000"/>
          <w:lang w:eastAsia="bg-BG"/>
        </w:rPr>
      </w:pPr>
      <w:r w:rsidRPr="001814D1">
        <w:rPr>
          <w:rFonts w:eastAsia="Times New Roman" w:cs="Arial"/>
          <w:color w:val="000000"/>
          <w:lang w:eastAsia="bg-BG"/>
        </w:rPr>
        <w:t xml:space="preserve">Не се очаква слабото понижаване на </w:t>
      </w:r>
      <w:r w:rsidRPr="001814D1">
        <w:rPr>
          <w:rFonts w:eastAsia="Times New Roman" w:cs="Arial"/>
          <w:color w:val="000000"/>
          <w:lang w:val="en-US"/>
        </w:rPr>
        <w:t>AUC</w:t>
      </w:r>
      <w:r w:rsidRPr="001814D1">
        <w:rPr>
          <w:rFonts w:eastAsia="Times New Roman" w:cs="Arial"/>
          <w:color w:val="000000"/>
          <w:lang w:val="ru-RU"/>
        </w:rPr>
        <w:t xml:space="preserve"> </w:t>
      </w:r>
      <w:r w:rsidRPr="001814D1">
        <w:rPr>
          <w:rFonts w:eastAsia="Times New Roman" w:cs="Arial"/>
          <w:color w:val="000000"/>
          <w:lang w:eastAsia="bg-BG"/>
        </w:rPr>
        <w:t xml:space="preserve">за телмисартан, да понижи терапевтичната му ефикасност. Няма линейна зависимост между дозите и плазмените нива. При дози над 40 </w:t>
      </w:r>
      <w:r w:rsidRPr="001814D1">
        <w:rPr>
          <w:rFonts w:eastAsia="Times New Roman" w:cs="Arial"/>
          <w:color w:val="000000"/>
          <w:lang w:val="en-US"/>
        </w:rPr>
        <w:t>mg</w:t>
      </w:r>
      <w:r w:rsidRPr="001814D1">
        <w:rPr>
          <w:rFonts w:eastAsia="Times New Roman" w:cs="Arial"/>
          <w:color w:val="000000"/>
          <w:lang w:val="ru-RU"/>
        </w:rPr>
        <w:t xml:space="preserve"> </w:t>
      </w:r>
      <w:proofErr w:type="spellStart"/>
      <w:r w:rsidRPr="001814D1">
        <w:rPr>
          <w:rFonts w:eastAsia="Times New Roman" w:cs="Arial"/>
          <w:color w:val="000000"/>
          <w:lang w:val="en-US"/>
        </w:rPr>
        <w:t>C</w:t>
      </w:r>
      <w:r w:rsidRPr="001814D1">
        <w:rPr>
          <w:rFonts w:eastAsia="Times New Roman" w:cs="Arial"/>
          <w:color w:val="000000"/>
          <w:vertAlign w:val="subscript"/>
          <w:lang w:val="en-US"/>
        </w:rPr>
        <w:t>max</w:t>
      </w:r>
      <w:proofErr w:type="spellEnd"/>
      <w:r w:rsidRPr="001814D1">
        <w:rPr>
          <w:rFonts w:eastAsia="Times New Roman" w:cs="Arial"/>
          <w:color w:val="000000"/>
          <w:lang w:val="ru-RU"/>
        </w:rPr>
        <w:t xml:space="preserve"> </w:t>
      </w:r>
      <w:r w:rsidRPr="001814D1">
        <w:rPr>
          <w:rFonts w:eastAsia="Times New Roman" w:cs="Arial"/>
          <w:color w:val="000000"/>
          <w:lang w:eastAsia="bg-BG"/>
        </w:rPr>
        <w:t xml:space="preserve">и, в по-малка степен, </w:t>
      </w:r>
      <w:r w:rsidRPr="001814D1">
        <w:rPr>
          <w:rFonts w:eastAsia="Times New Roman" w:cs="Arial"/>
          <w:color w:val="000000"/>
          <w:lang w:val="en-US"/>
        </w:rPr>
        <w:t>AUC</w:t>
      </w:r>
      <w:r w:rsidRPr="001814D1">
        <w:rPr>
          <w:rFonts w:eastAsia="Times New Roman" w:cs="Arial"/>
          <w:color w:val="000000"/>
          <w:lang w:val="ru-RU"/>
        </w:rPr>
        <w:t xml:space="preserve"> </w:t>
      </w:r>
      <w:r w:rsidRPr="001814D1">
        <w:rPr>
          <w:rFonts w:eastAsia="Times New Roman" w:cs="Arial"/>
          <w:color w:val="000000"/>
          <w:lang w:eastAsia="bg-BG"/>
        </w:rPr>
        <w:t>се повишават непропорционално.</w:t>
      </w:r>
    </w:p>
    <w:p w14:paraId="3D9AD945" w14:textId="788E1364" w:rsidR="001814D1" w:rsidRPr="001814D1" w:rsidRDefault="001814D1" w:rsidP="001814D1">
      <w:pPr>
        <w:rPr>
          <w:rFonts w:eastAsia="Times New Roman" w:cs="Arial"/>
          <w:color w:val="000000"/>
          <w:lang w:eastAsia="bg-BG"/>
        </w:rPr>
      </w:pPr>
    </w:p>
    <w:p w14:paraId="0DA1A3EF"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Амлодипин показва линейна фармакокинетика.</w:t>
      </w:r>
    </w:p>
    <w:p w14:paraId="748DA41A" w14:textId="77777777" w:rsidR="001814D1" w:rsidRPr="001814D1" w:rsidRDefault="001814D1" w:rsidP="001814D1">
      <w:pPr>
        <w:spacing w:line="240" w:lineRule="auto"/>
        <w:rPr>
          <w:rFonts w:eastAsia="Times New Roman" w:cs="Arial"/>
          <w:color w:val="000000"/>
          <w:u w:val="single"/>
          <w:lang w:eastAsia="bg-BG"/>
        </w:rPr>
      </w:pPr>
    </w:p>
    <w:p w14:paraId="0D1AB0E3" w14:textId="082E555E" w:rsidR="001814D1" w:rsidRPr="001814D1" w:rsidRDefault="001814D1" w:rsidP="001814D1">
      <w:pPr>
        <w:spacing w:line="240" w:lineRule="auto"/>
        <w:rPr>
          <w:rFonts w:eastAsia="Times New Roman" w:cs="Arial"/>
        </w:rPr>
      </w:pPr>
      <w:r w:rsidRPr="001814D1">
        <w:rPr>
          <w:rFonts w:eastAsia="Times New Roman" w:cs="Arial"/>
          <w:color w:val="000000"/>
          <w:u w:val="single"/>
          <w:lang w:eastAsia="bg-BG"/>
        </w:rPr>
        <w:t>Специални популации</w:t>
      </w:r>
    </w:p>
    <w:p w14:paraId="5400BC9F" w14:textId="77777777" w:rsidR="001814D1" w:rsidRPr="001814D1" w:rsidRDefault="001814D1" w:rsidP="001814D1">
      <w:pPr>
        <w:spacing w:line="240" w:lineRule="auto"/>
        <w:rPr>
          <w:rFonts w:eastAsia="Times New Roman" w:cs="Arial"/>
        </w:rPr>
      </w:pPr>
      <w:r w:rsidRPr="001814D1">
        <w:rPr>
          <w:rFonts w:eastAsia="Times New Roman" w:cs="Arial"/>
          <w:color w:val="000000"/>
          <w:u w:val="single"/>
          <w:lang w:eastAsia="bg-BG"/>
        </w:rPr>
        <w:t>Педиатрична популация (възраст под 18 години)</w:t>
      </w:r>
    </w:p>
    <w:p w14:paraId="3B50F687"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Няма данни за фармакокинетиката при педиатричната популация.</w:t>
      </w:r>
    </w:p>
    <w:p w14:paraId="6379A816" w14:textId="77777777" w:rsidR="001814D1" w:rsidRPr="001814D1" w:rsidRDefault="001814D1" w:rsidP="001814D1">
      <w:pPr>
        <w:spacing w:line="240" w:lineRule="auto"/>
        <w:rPr>
          <w:rFonts w:eastAsia="Times New Roman" w:cs="Arial"/>
          <w:i/>
          <w:iCs/>
          <w:color w:val="000000"/>
          <w:lang w:eastAsia="bg-BG"/>
        </w:rPr>
      </w:pPr>
    </w:p>
    <w:p w14:paraId="2C0E7FEC" w14:textId="78DD790C" w:rsidR="001814D1" w:rsidRPr="001814D1" w:rsidRDefault="001814D1" w:rsidP="001814D1">
      <w:pPr>
        <w:spacing w:line="240" w:lineRule="auto"/>
        <w:rPr>
          <w:rFonts w:eastAsia="Times New Roman" w:cs="Arial"/>
        </w:rPr>
      </w:pPr>
      <w:r w:rsidRPr="001814D1">
        <w:rPr>
          <w:rFonts w:eastAsia="Times New Roman" w:cs="Arial"/>
          <w:i/>
          <w:iCs/>
          <w:color w:val="000000"/>
          <w:lang w:eastAsia="bg-BG"/>
        </w:rPr>
        <w:t>Пол</w:t>
      </w:r>
    </w:p>
    <w:p w14:paraId="434E4345"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Наблюдавани са разлики в плазмените концентрации на телмисартан, с 3- и 2- кратно по- високи С</w:t>
      </w:r>
      <w:r w:rsidRPr="001814D1">
        <w:rPr>
          <w:rFonts w:eastAsia="Times New Roman" w:cs="Arial"/>
          <w:color w:val="000000"/>
          <w:vertAlign w:val="subscript"/>
          <w:lang w:val="en-US"/>
        </w:rPr>
        <w:t>max</w:t>
      </w:r>
      <w:r w:rsidRPr="001814D1">
        <w:rPr>
          <w:rFonts w:eastAsia="Times New Roman" w:cs="Arial"/>
          <w:color w:val="000000"/>
          <w:lang w:eastAsia="bg-BG"/>
        </w:rPr>
        <w:t xml:space="preserve"> и </w:t>
      </w:r>
      <w:r w:rsidRPr="001814D1">
        <w:rPr>
          <w:rFonts w:eastAsia="Times New Roman" w:cs="Arial"/>
          <w:color w:val="000000"/>
          <w:lang w:val="en-US"/>
        </w:rPr>
        <w:t>AUC</w:t>
      </w:r>
      <w:r w:rsidRPr="001814D1">
        <w:rPr>
          <w:rFonts w:eastAsia="Times New Roman" w:cs="Arial"/>
          <w:color w:val="000000"/>
          <w:lang w:val="ru-RU"/>
        </w:rPr>
        <w:t xml:space="preserve">, </w:t>
      </w:r>
      <w:r w:rsidRPr="001814D1">
        <w:rPr>
          <w:rFonts w:eastAsia="Times New Roman" w:cs="Arial"/>
          <w:color w:val="000000"/>
          <w:lang w:eastAsia="bg-BG"/>
        </w:rPr>
        <w:t>съответно, при жени, в сравнение с мъже.</w:t>
      </w:r>
    </w:p>
    <w:p w14:paraId="194313FC" w14:textId="77777777" w:rsidR="001814D1" w:rsidRPr="001814D1" w:rsidRDefault="001814D1" w:rsidP="001814D1">
      <w:pPr>
        <w:spacing w:line="240" w:lineRule="auto"/>
        <w:rPr>
          <w:rFonts w:eastAsia="Times New Roman" w:cs="Arial"/>
          <w:i/>
          <w:iCs/>
          <w:color w:val="000000"/>
          <w:lang w:eastAsia="bg-BG"/>
        </w:rPr>
      </w:pPr>
    </w:p>
    <w:p w14:paraId="2C77934C" w14:textId="4D322F08" w:rsidR="001814D1" w:rsidRPr="001814D1" w:rsidRDefault="001814D1" w:rsidP="001814D1">
      <w:pPr>
        <w:spacing w:line="240" w:lineRule="auto"/>
        <w:rPr>
          <w:rFonts w:eastAsia="Times New Roman" w:cs="Arial"/>
        </w:rPr>
      </w:pPr>
      <w:r w:rsidRPr="001814D1">
        <w:rPr>
          <w:rFonts w:eastAsia="Times New Roman" w:cs="Arial"/>
          <w:i/>
          <w:iCs/>
          <w:color w:val="000000"/>
          <w:lang w:eastAsia="bg-BG"/>
        </w:rPr>
        <w:t>Старческавъзраст</w:t>
      </w:r>
    </w:p>
    <w:p w14:paraId="025A8D4D"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Фармакокинетиката на телмисартан не се различава при млади пациенти и пациенти в старческа възраст.</w:t>
      </w:r>
    </w:p>
    <w:p w14:paraId="66EB6969"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Времето за достигане на пиковите плазмени концентрации амлодипин е подобно при индивиди в старческа възраст и млади индивиди. При пациентите в старческа възраст, клирънсът на амлодипин намалява, което има за резултат увеличаване на </w:t>
      </w:r>
      <w:r w:rsidRPr="001814D1">
        <w:rPr>
          <w:rFonts w:eastAsia="Times New Roman" w:cs="Arial"/>
          <w:color w:val="000000"/>
          <w:lang w:val="en-US"/>
        </w:rPr>
        <w:t>AUC</w:t>
      </w:r>
      <w:r w:rsidRPr="001814D1">
        <w:rPr>
          <w:rFonts w:eastAsia="Times New Roman" w:cs="Arial"/>
          <w:color w:val="000000"/>
          <w:lang w:val="ru-RU"/>
        </w:rPr>
        <w:t xml:space="preserve"> </w:t>
      </w:r>
      <w:r w:rsidRPr="001814D1">
        <w:rPr>
          <w:rFonts w:eastAsia="Times New Roman" w:cs="Arial"/>
          <w:color w:val="000000"/>
          <w:lang w:eastAsia="bg-BG"/>
        </w:rPr>
        <w:t>и елиминационния полуживот.</w:t>
      </w:r>
    </w:p>
    <w:p w14:paraId="034A8C02" w14:textId="77777777" w:rsidR="001814D1" w:rsidRPr="001814D1" w:rsidRDefault="001814D1" w:rsidP="001814D1">
      <w:pPr>
        <w:spacing w:line="240" w:lineRule="auto"/>
        <w:rPr>
          <w:rFonts w:eastAsia="Times New Roman" w:cs="Arial"/>
          <w:i/>
          <w:iCs/>
          <w:color w:val="000000"/>
          <w:lang w:eastAsia="bg-BG"/>
        </w:rPr>
      </w:pPr>
    </w:p>
    <w:p w14:paraId="7037C1F4" w14:textId="3D62685D" w:rsidR="001814D1" w:rsidRPr="001814D1" w:rsidRDefault="001814D1" w:rsidP="001814D1">
      <w:pPr>
        <w:spacing w:line="240" w:lineRule="auto"/>
        <w:rPr>
          <w:rFonts w:eastAsia="Times New Roman" w:cs="Arial"/>
        </w:rPr>
      </w:pPr>
      <w:r w:rsidRPr="001814D1">
        <w:rPr>
          <w:rFonts w:eastAsia="Times New Roman" w:cs="Arial"/>
          <w:i/>
          <w:iCs/>
          <w:color w:val="000000"/>
          <w:lang w:eastAsia="bg-BG"/>
        </w:rPr>
        <w:t>Бъбречно увреждане</w:t>
      </w:r>
    </w:p>
    <w:p w14:paraId="26189232"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При пациенти с лека, до умерена и тежка степен на бъбречно увреждане, се наблюдава удвояване на плазмените концентрации на телмисартан. Все пак, при пациенти с бъбречно увреждане, подложени на диализа, се наблюдават по-ниски плазмени концентрации. При пациентите с бъбречно увреждане, телмисартан е във висока степен свързан с плазмените протеини и не може да бъде отстранен чрез диализа. Полуживотьт на елиминиране не се променя при пациентите с бъбречно увреждане.</w:t>
      </w:r>
    </w:p>
    <w:p w14:paraId="17AD5904"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Фармакокинетиката на амлодипин не се повлиява значително от състоянието на бъбречно увреждане.</w:t>
      </w:r>
    </w:p>
    <w:p w14:paraId="70A2FDB3" w14:textId="77777777" w:rsidR="001814D1" w:rsidRPr="001814D1" w:rsidRDefault="001814D1" w:rsidP="001814D1">
      <w:pPr>
        <w:spacing w:line="240" w:lineRule="auto"/>
        <w:rPr>
          <w:rFonts w:eastAsia="Times New Roman" w:cs="Arial"/>
          <w:i/>
          <w:iCs/>
          <w:color w:val="000000"/>
          <w:lang w:eastAsia="bg-BG"/>
        </w:rPr>
      </w:pPr>
    </w:p>
    <w:p w14:paraId="703CA18D" w14:textId="5DE9E27F" w:rsidR="001814D1" w:rsidRPr="001814D1" w:rsidRDefault="001814D1" w:rsidP="001814D1">
      <w:pPr>
        <w:spacing w:line="240" w:lineRule="auto"/>
        <w:rPr>
          <w:rFonts w:eastAsia="Times New Roman" w:cs="Arial"/>
        </w:rPr>
      </w:pPr>
      <w:r w:rsidRPr="001814D1">
        <w:rPr>
          <w:rFonts w:eastAsia="Times New Roman" w:cs="Arial"/>
          <w:i/>
          <w:iCs/>
          <w:color w:val="000000"/>
          <w:lang w:eastAsia="bg-BG"/>
        </w:rPr>
        <w:t>Чернодробно увреждане</w:t>
      </w:r>
    </w:p>
    <w:p w14:paraId="610E99C7"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Фармакокинетичните проучвания при пациенти с чернодробно увреждане показват увеличаване на абсолютната бионаличност на телмисартан до близо 100 %. Полуживотьт на елиминиране на телмисартан не се променя при пациентите с увреждане на черния дроб. Пациентите с чернодробно увреждане са с понижен клирьнс на амлодипин, което има за резултат увеличаване на </w:t>
      </w:r>
      <w:r w:rsidRPr="001814D1">
        <w:rPr>
          <w:rFonts w:eastAsia="Times New Roman" w:cs="Arial"/>
          <w:color w:val="000000"/>
          <w:lang w:val="en-US"/>
        </w:rPr>
        <w:t>AUC</w:t>
      </w:r>
      <w:r w:rsidRPr="001814D1">
        <w:rPr>
          <w:rFonts w:eastAsia="Times New Roman" w:cs="Arial"/>
          <w:color w:val="000000"/>
          <w:lang w:val="ru-RU"/>
        </w:rPr>
        <w:t xml:space="preserve"> </w:t>
      </w:r>
      <w:r w:rsidRPr="001814D1">
        <w:rPr>
          <w:rFonts w:eastAsia="Times New Roman" w:cs="Arial"/>
          <w:color w:val="000000"/>
          <w:lang w:eastAsia="bg-BG"/>
        </w:rPr>
        <w:t>с приблизително 40-60 %.</w:t>
      </w:r>
    </w:p>
    <w:p w14:paraId="7D8ACFAC" w14:textId="77777777" w:rsidR="001814D1" w:rsidRPr="001814D1" w:rsidRDefault="001814D1" w:rsidP="001814D1"/>
    <w:p w14:paraId="4F31844C" w14:textId="5CB4C09D" w:rsidR="00875EEC" w:rsidRDefault="002C50EE" w:rsidP="005726E3">
      <w:pPr>
        <w:pStyle w:val="Heading2"/>
      </w:pPr>
      <w:r>
        <w:t>5.3. Предклинични данни за безопасност</w:t>
      </w:r>
    </w:p>
    <w:p w14:paraId="1D4E2778" w14:textId="5A4CF7AA" w:rsidR="001814D1" w:rsidRDefault="001814D1" w:rsidP="001814D1"/>
    <w:p w14:paraId="75766304" w14:textId="77777777"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 xml:space="preserve">Тъй като неклиничните профили на токсичност на телмисартан и амлодипин не се припокриват, не се очаква засилване на токсичността за комбинацията от двете. Това становище се потвърждава от проучване за субхронична токсичност (13-седмично) при плъхове, при което са тествани дозови нива от 3.2/0.8,10/2.5 и 40/10 </w:t>
      </w:r>
      <w:r w:rsidRPr="001814D1">
        <w:rPr>
          <w:rFonts w:eastAsia="Times New Roman" w:cs="Arial"/>
          <w:color w:val="000000"/>
          <w:szCs w:val="20"/>
          <w:lang w:val="en-US"/>
        </w:rPr>
        <w:t>mg</w:t>
      </w:r>
      <w:r w:rsidRPr="001814D1">
        <w:rPr>
          <w:rFonts w:eastAsia="Times New Roman" w:cs="Arial"/>
          <w:color w:val="000000"/>
          <w:szCs w:val="20"/>
          <w:lang w:val="ru-RU"/>
        </w:rPr>
        <w:t>/</w:t>
      </w:r>
      <w:r w:rsidRPr="001814D1">
        <w:rPr>
          <w:rFonts w:eastAsia="Times New Roman" w:cs="Arial"/>
          <w:color w:val="000000"/>
          <w:szCs w:val="20"/>
          <w:lang w:val="en-US"/>
        </w:rPr>
        <w:t>kg</w:t>
      </w:r>
      <w:r w:rsidRPr="001814D1">
        <w:rPr>
          <w:rFonts w:eastAsia="Times New Roman" w:cs="Arial"/>
          <w:color w:val="000000"/>
          <w:szCs w:val="20"/>
          <w:lang w:val="ru-RU"/>
        </w:rPr>
        <w:t xml:space="preserve"> </w:t>
      </w:r>
      <w:r w:rsidRPr="001814D1">
        <w:rPr>
          <w:rFonts w:eastAsia="Times New Roman" w:cs="Arial"/>
          <w:color w:val="000000"/>
          <w:szCs w:val="20"/>
          <w:lang w:eastAsia="bg-BG"/>
        </w:rPr>
        <w:t>телмисартан/амлодипин.</w:t>
      </w:r>
    </w:p>
    <w:p w14:paraId="48F80903" w14:textId="77777777" w:rsidR="001814D1" w:rsidRPr="001814D1" w:rsidRDefault="001814D1" w:rsidP="001814D1">
      <w:pPr>
        <w:spacing w:line="240" w:lineRule="auto"/>
        <w:rPr>
          <w:rFonts w:eastAsia="Times New Roman" w:cs="Arial"/>
          <w:color w:val="000000"/>
          <w:szCs w:val="20"/>
          <w:lang w:eastAsia="bg-BG"/>
        </w:rPr>
      </w:pPr>
    </w:p>
    <w:p w14:paraId="59C18005" w14:textId="53ED12D3"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Предклиничните данни за двата компонента са посочени по-долу.</w:t>
      </w:r>
    </w:p>
    <w:p w14:paraId="35608C24" w14:textId="77777777" w:rsidR="001814D1" w:rsidRPr="001814D1" w:rsidRDefault="001814D1" w:rsidP="001814D1">
      <w:pPr>
        <w:spacing w:line="240" w:lineRule="auto"/>
        <w:rPr>
          <w:rFonts w:eastAsia="Times New Roman" w:cs="Arial"/>
          <w:color w:val="000000"/>
          <w:szCs w:val="20"/>
          <w:u w:val="single"/>
          <w:lang w:eastAsia="bg-BG"/>
        </w:rPr>
      </w:pPr>
    </w:p>
    <w:p w14:paraId="6F592B7C" w14:textId="7C892BC1"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u w:val="single"/>
          <w:lang w:eastAsia="bg-BG"/>
        </w:rPr>
        <w:t>Телмисартан</w:t>
      </w:r>
    </w:p>
    <w:p w14:paraId="0DF3649E" w14:textId="77777777" w:rsidR="001814D1" w:rsidRPr="001814D1" w:rsidRDefault="001814D1" w:rsidP="001814D1">
      <w:pPr>
        <w:rPr>
          <w:rFonts w:eastAsia="Times New Roman" w:cs="Arial"/>
          <w:sz w:val="28"/>
          <w:szCs w:val="24"/>
        </w:rPr>
      </w:pPr>
      <w:r w:rsidRPr="001814D1">
        <w:rPr>
          <w:rFonts w:eastAsia="Times New Roman" w:cs="Arial"/>
          <w:color w:val="000000"/>
          <w:szCs w:val="20"/>
          <w:lang w:eastAsia="bg-BG"/>
        </w:rPr>
        <w:t xml:space="preserve">При предклиничните изпитвания за безопасност, дозите, определящи експозиция, сравнима с тази в клиничния терапевтичен обхват на лекарството, предизвикват намалени параметри на червените кръвни клетки (еритроцити, хемоглобин, хематокрит), изменения в бъбречната хемодинамика (повишени кръвни нива на урейния азот, и креатинин), както и повишени нива на калий в серума при животни с нормално кръвно </w:t>
      </w:r>
      <w:r w:rsidRPr="001814D1">
        <w:rPr>
          <w:rFonts w:eastAsia="Times New Roman" w:cs="Arial"/>
          <w:color w:val="000000"/>
          <w:szCs w:val="20"/>
          <w:lang w:eastAsia="bg-BG"/>
        </w:rPr>
        <w:lastRenderedPageBreak/>
        <w:t>налягане. При кучета, се наблюдават дилатация и атрофия на бъбречните тубули. При кучета и плъхове, също така, се отчита и увреждане на стомашната лигавица (ерозия, улцерации или възпаление). Тези фармакологично- медиирани нежелани ефекти, известни от предклиничните изпитвания с инхибитори на ангиотензин-конвергиращия ензим и ангиотензин II рецепторни антагонисти</w:t>
      </w:r>
      <w:r w:rsidRPr="001814D1">
        <w:rPr>
          <w:rFonts w:eastAsia="Times New Roman" w:cs="Arial"/>
          <w:color w:val="000000"/>
          <w:szCs w:val="20"/>
          <w:lang w:val="ru-RU" w:eastAsia="bg-BG"/>
        </w:rPr>
        <w:t xml:space="preserve"> </w:t>
      </w:r>
      <w:r w:rsidRPr="001814D1">
        <w:rPr>
          <w:rFonts w:eastAsia="Times New Roman" w:cs="Arial"/>
          <w:color w:val="000000"/>
          <w:szCs w:val="20"/>
          <w:lang w:eastAsia="bg-BG"/>
        </w:rPr>
        <w:t xml:space="preserve">се предотвратяват чрез орално приложение на солеви разтвор. И при двата вида животни, се наблюдават и повишена активност на плазмения ренин и хипертофия/хиперплазия на бъбречните юкстагломерулни клетки. Тези промени, както и клас-специфичния ефект на инхибитори на ангиотензин-конвертиращия ензим и други ангиотензин </w:t>
      </w:r>
      <w:r w:rsidRPr="001814D1">
        <w:rPr>
          <w:rFonts w:eastAsia="Times New Roman" w:cs="Arial"/>
          <w:color w:val="000000"/>
          <w:szCs w:val="20"/>
          <w:lang w:val="en-US"/>
        </w:rPr>
        <w:t>II</w:t>
      </w:r>
      <w:r w:rsidRPr="001814D1">
        <w:rPr>
          <w:rFonts w:eastAsia="Times New Roman" w:cs="Arial"/>
          <w:color w:val="000000"/>
          <w:szCs w:val="20"/>
          <w:lang w:eastAsia="bg-BG"/>
        </w:rPr>
        <w:t xml:space="preserve"> рецепторни антагонисти, изглежда нямат клинична значимост.</w:t>
      </w:r>
    </w:p>
    <w:p w14:paraId="4D67B16D" w14:textId="77777777"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Не е наблюдавано доказателство за тератогенен ефект, въпреки че телмисартан в токсични дози оказва ефект върху постнаталното развитие на потомството, като по-ниско телесно тегло и късно проглеждане.</w:t>
      </w:r>
    </w:p>
    <w:p w14:paraId="1E0E8D00" w14:textId="77777777"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 xml:space="preserve">Няма доказателство за мутагенен ефект или кластогенна активност по време на </w:t>
      </w:r>
      <w:r w:rsidRPr="001814D1">
        <w:rPr>
          <w:rFonts w:eastAsia="Times New Roman" w:cs="Arial"/>
          <w:i/>
          <w:iCs/>
          <w:color w:val="000000"/>
          <w:szCs w:val="20"/>
          <w:lang w:val="en-US"/>
        </w:rPr>
        <w:t>in</w:t>
      </w:r>
      <w:r w:rsidRPr="001814D1">
        <w:rPr>
          <w:rFonts w:eastAsia="Times New Roman" w:cs="Arial"/>
          <w:i/>
          <w:iCs/>
          <w:color w:val="000000"/>
          <w:szCs w:val="20"/>
          <w:lang w:val="ru-RU"/>
        </w:rPr>
        <w:t xml:space="preserve"> </w:t>
      </w:r>
      <w:r w:rsidRPr="001814D1">
        <w:rPr>
          <w:rFonts w:eastAsia="Times New Roman" w:cs="Arial"/>
          <w:i/>
          <w:iCs/>
          <w:color w:val="000000"/>
          <w:szCs w:val="20"/>
          <w:lang w:val="en-US"/>
        </w:rPr>
        <w:t>vitro</w:t>
      </w:r>
      <w:r w:rsidRPr="001814D1">
        <w:rPr>
          <w:rFonts w:eastAsia="Times New Roman" w:cs="Arial"/>
          <w:i/>
          <w:iCs/>
          <w:color w:val="000000"/>
          <w:szCs w:val="20"/>
          <w:lang w:val="ru-RU"/>
        </w:rPr>
        <w:t xml:space="preserve"> </w:t>
      </w:r>
      <w:r w:rsidRPr="001814D1">
        <w:rPr>
          <w:rFonts w:eastAsia="Times New Roman" w:cs="Arial"/>
          <w:color w:val="000000"/>
          <w:szCs w:val="20"/>
          <w:lang w:eastAsia="bg-BG"/>
        </w:rPr>
        <w:t>проучвания, както и доказателства за карциногенност при плъхове и мишки.</w:t>
      </w:r>
    </w:p>
    <w:p w14:paraId="588F2B04" w14:textId="77777777" w:rsidR="001814D1" w:rsidRPr="001814D1" w:rsidRDefault="001814D1" w:rsidP="001814D1">
      <w:pPr>
        <w:spacing w:line="240" w:lineRule="auto"/>
        <w:rPr>
          <w:rFonts w:eastAsia="Times New Roman" w:cs="Arial"/>
          <w:color w:val="000000"/>
          <w:szCs w:val="20"/>
          <w:u w:val="single"/>
          <w:lang w:eastAsia="bg-BG"/>
        </w:rPr>
      </w:pPr>
    </w:p>
    <w:p w14:paraId="2F43E9C8" w14:textId="7D12E2AE"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u w:val="single"/>
          <w:lang w:eastAsia="bg-BG"/>
        </w:rPr>
        <w:t>Амлодипин</w:t>
      </w:r>
    </w:p>
    <w:p w14:paraId="5B6C5AA6" w14:textId="77777777"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Предклиничните данни не показват особен риск за хора на базата на конвенционалните фармакологични изпитвания за безопасност, токсичност при многократно прилагане, генотоксичност, карциногенен потенциал.</w:t>
      </w:r>
    </w:p>
    <w:p w14:paraId="66DE6699" w14:textId="77777777"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 xml:space="preserve">В проучвания за репродуктивната токсичност при плъхове, при прилагане на високи дози се установяват забавено раждане, трудно раждане и понижена преживяемост на плода и малките. Не е установен ефект върху фертилитета на плъхове, на които е приложен орално амлодипинов малеат (на мъжки за 64 дни и женски за 14 дни преди чифтосване) в дози до 10 </w:t>
      </w:r>
      <w:r w:rsidRPr="001814D1">
        <w:rPr>
          <w:rFonts w:eastAsia="Times New Roman" w:cs="Arial"/>
          <w:color w:val="000000"/>
          <w:szCs w:val="20"/>
          <w:lang w:val="en-US"/>
        </w:rPr>
        <w:t>mg</w:t>
      </w:r>
      <w:r w:rsidRPr="001814D1">
        <w:rPr>
          <w:rFonts w:eastAsia="Times New Roman" w:cs="Arial"/>
          <w:color w:val="000000"/>
          <w:szCs w:val="20"/>
          <w:lang w:val="ru-RU"/>
        </w:rPr>
        <w:t xml:space="preserve"> </w:t>
      </w:r>
      <w:r w:rsidRPr="001814D1">
        <w:rPr>
          <w:rFonts w:eastAsia="Times New Roman" w:cs="Arial"/>
          <w:color w:val="000000"/>
          <w:szCs w:val="20"/>
          <w:lang w:eastAsia="bg-BG"/>
        </w:rPr>
        <w:t>амлодипин/</w:t>
      </w:r>
      <w:r w:rsidRPr="001814D1">
        <w:rPr>
          <w:rFonts w:eastAsia="Times New Roman" w:cs="Arial"/>
          <w:color w:val="000000"/>
          <w:szCs w:val="20"/>
          <w:lang w:val="en-US"/>
        </w:rPr>
        <w:t>kg</w:t>
      </w:r>
      <w:r w:rsidRPr="001814D1">
        <w:rPr>
          <w:rFonts w:eastAsia="Times New Roman" w:cs="Arial"/>
          <w:color w:val="000000"/>
          <w:szCs w:val="20"/>
          <w:lang w:val="ru-RU"/>
        </w:rPr>
        <w:t>/</w:t>
      </w:r>
      <w:r w:rsidRPr="001814D1">
        <w:rPr>
          <w:rFonts w:eastAsia="Times New Roman" w:cs="Arial"/>
          <w:color w:val="000000"/>
          <w:szCs w:val="20"/>
          <w:lang w:eastAsia="bg-BG"/>
        </w:rPr>
        <w:t xml:space="preserve">ден (около 10 пъти максималната препоръчителна доза при хора за 10 </w:t>
      </w:r>
      <w:r w:rsidRPr="001814D1">
        <w:rPr>
          <w:rFonts w:eastAsia="Times New Roman" w:cs="Arial"/>
          <w:color w:val="000000"/>
          <w:szCs w:val="20"/>
          <w:lang w:val="en-US"/>
        </w:rPr>
        <w:t>mg</w:t>
      </w:r>
      <w:r w:rsidRPr="001814D1">
        <w:rPr>
          <w:rFonts w:eastAsia="Times New Roman" w:cs="Arial"/>
          <w:color w:val="000000"/>
          <w:szCs w:val="20"/>
          <w:lang w:eastAsia="bg-BG"/>
        </w:rPr>
        <w:t xml:space="preserve">/ден, 2 при база </w:t>
      </w:r>
      <w:r w:rsidRPr="001814D1">
        <w:rPr>
          <w:rFonts w:eastAsia="Times New Roman" w:cs="Arial"/>
          <w:color w:val="000000"/>
          <w:szCs w:val="20"/>
          <w:lang w:val="en-US"/>
        </w:rPr>
        <w:t>mg</w:t>
      </w:r>
      <w:r w:rsidRPr="001814D1">
        <w:rPr>
          <w:rFonts w:eastAsia="Times New Roman" w:cs="Arial"/>
          <w:color w:val="000000"/>
          <w:szCs w:val="20"/>
          <w:lang w:val="ru-RU"/>
        </w:rPr>
        <w:t>/</w:t>
      </w:r>
      <w:r w:rsidRPr="001814D1">
        <w:rPr>
          <w:rFonts w:eastAsia="Times New Roman" w:cs="Arial"/>
          <w:color w:val="000000"/>
          <w:szCs w:val="20"/>
          <w:lang w:val="en-US"/>
        </w:rPr>
        <w:t>m</w:t>
      </w:r>
      <w:r w:rsidRPr="001814D1">
        <w:rPr>
          <w:rFonts w:eastAsia="Times New Roman" w:cs="Arial"/>
          <w:color w:val="000000"/>
          <w:szCs w:val="20"/>
          <w:lang w:val="ru-RU"/>
        </w:rPr>
        <w:t xml:space="preserve"> </w:t>
      </w:r>
      <w:r w:rsidRPr="001814D1">
        <w:rPr>
          <w:rFonts w:eastAsia="Times New Roman" w:cs="Arial"/>
          <w:color w:val="000000"/>
          <w:szCs w:val="20"/>
          <w:lang w:eastAsia="bg-BG"/>
        </w:rPr>
        <w:t>).</w:t>
      </w:r>
    </w:p>
    <w:p w14:paraId="55C62320" w14:textId="6E7E8231" w:rsidR="001814D1" w:rsidRPr="001814D1" w:rsidRDefault="001814D1" w:rsidP="001814D1"/>
    <w:p w14:paraId="1BA6531D" w14:textId="41275280" w:rsidR="00B6672E" w:rsidRDefault="002C50EE" w:rsidP="00936AD0">
      <w:pPr>
        <w:pStyle w:val="Heading1"/>
      </w:pPr>
      <w:r>
        <w:t>7. ПРИТЕЖАТЕЛ НА РАЗРЕШЕНИЕТО ЗА УПОТРЕБА</w:t>
      </w:r>
    </w:p>
    <w:p w14:paraId="1C94D590" w14:textId="14D1BFB8" w:rsidR="001814D1" w:rsidRDefault="001814D1" w:rsidP="001814D1"/>
    <w:p w14:paraId="555675EA" w14:textId="631EAE25" w:rsidR="001814D1" w:rsidRPr="001D1426" w:rsidRDefault="001814D1" w:rsidP="001814D1">
      <w:pPr>
        <w:rPr>
          <w:sz w:val="24"/>
          <w:szCs w:val="24"/>
        </w:rPr>
      </w:pPr>
      <w:proofErr w:type="spellStart"/>
      <w:r w:rsidRPr="001814D1">
        <w:rPr>
          <w:lang w:val="en-US"/>
        </w:rPr>
        <w:t>Zaklady</w:t>
      </w:r>
      <w:proofErr w:type="spellEnd"/>
      <w:r w:rsidRPr="001D1426">
        <w:t xml:space="preserve"> </w:t>
      </w:r>
      <w:proofErr w:type="spellStart"/>
      <w:r w:rsidRPr="001814D1">
        <w:rPr>
          <w:lang w:val="en-US"/>
        </w:rPr>
        <w:t>Farmace</w:t>
      </w:r>
      <w:r w:rsidR="00467C97">
        <w:rPr>
          <w:lang w:val="en-US"/>
        </w:rPr>
        <w:t>utyczne</w:t>
      </w:r>
      <w:bookmarkStart w:id="1" w:name="_GoBack"/>
      <w:bookmarkEnd w:id="1"/>
      <w:proofErr w:type="spellEnd"/>
      <w:r w:rsidRPr="001D1426">
        <w:t xml:space="preserve"> </w:t>
      </w:r>
      <w:r w:rsidRPr="001814D1">
        <w:rPr>
          <w:lang w:val="en-US"/>
        </w:rPr>
        <w:t>POLPHARMA</w:t>
      </w:r>
      <w:r w:rsidRPr="001D1426">
        <w:t xml:space="preserve"> </w:t>
      </w:r>
      <w:r w:rsidRPr="001814D1">
        <w:rPr>
          <w:lang w:val="en-US"/>
        </w:rPr>
        <w:t>S</w:t>
      </w:r>
      <w:r w:rsidRPr="001D1426">
        <w:t>.</w:t>
      </w:r>
      <w:r w:rsidRPr="001814D1">
        <w:rPr>
          <w:lang w:val="en-US"/>
        </w:rPr>
        <w:t>A</w:t>
      </w:r>
      <w:r w:rsidRPr="001D1426">
        <w:t>.</w:t>
      </w:r>
    </w:p>
    <w:p w14:paraId="70F67CC7" w14:textId="77777777" w:rsidR="001814D1" w:rsidRPr="001814D1" w:rsidRDefault="001814D1" w:rsidP="001814D1">
      <w:pPr>
        <w:rPr>
          <w:sz w:val="24"/>
          <w:szCs w:val="24"/>
          <w:lang w:val="ru-RU"/>
        </w:rPr>
      </w:pPr>
      <w:proofErr w:type="spellStart"/>
      <w:proofErr w:type="gramStart"/>
      <w:r w:rsidRPr="001814D1">
        <w:rPr>
          <w:lang w:val="en-US"/>
        </w:rPr>
        <w:t>ul</w:t>
      </w:r>
      <w:proofErr w:type="spellEnd"/>
      <w:proofErr w:type="gramEnd"/>
      <w:r w:rsidRPr="001814D1">
        <w:rPr>
          <w:lang w:val="ru-RU"/>
        </w:rPr>
        <w:t xml:space="preserve">. </w:t>
      </w:r>
      <w:proofErr w:type="spellStart"/>
      <w:r w:rsidRPr="001814D1">
        <w:rPr>
          <w:lang w:val="en-US"/>
        </w:rPr>
        <w:t>Pelplinska</w:t>
      </w:r>
      <w:proofErr w:type="spellEnd"/>
      <w:r w:rsidRPr="001814D1">
        <w:rPr>
          <w:lang w:val="ru-RU"/>
        </w:rPr>
        <w:t xml:space="preserve"> 19</w:t>
      </w:r>
      <w:proofErr w:type="gramStart"/>
      <w:r w:rsidRPr="001814D1">
        <w:rPr>
          <w:lang w:val="ru-RU"/>
        </w:rPr>
        <w:t>,83</w:t>
      </w:r>
      <w:proofErr w:type="gramEnd"/>
      <w:r w:rsidRPr="001814D1">
        <w:rPr>
          <w:lang w:val="ru-RU"/>
        </w:rPr>
        <w:t xml:space="preserve">-200 </w:t>
      </w:r>
      <w:proofErr w:type="spellStart"/>
      <w:r w:rsidRPr="001814D1">
        <w:rPr>
          <w:lang w:val="en-US"/>
        </w:rPr>
        <w:t>Starogard</w:t>
      </w:r>
      <w:proofErr w:type="spellEnd"/>
      <w:r w:rsidRPr="001814D1">
        <w:rPr>
          <w:lang w:val="ru-RU"/>
        </w:rPr>
        <w:t xml:space="preserve"> </w:t>
      </w:r>
      <w:proofErr w:type="spellStart"/>
      <w:r w:rsidRPr="001814D1">
        <w:rPr>
          <w:lang w:val="en-US"/>
        </w:rPr>
        <w:t>Gdariski</w:t>
      </w:r>
      <w:proofErr w:type="spellEnd"/>
      <w:r w:rsidRPr="001814D1">
        <w:rPr>
          <w:lang w:val="ru-RU"/>
        </w:rPr>
        <w:t xml:space="preserve">, </w:t>
      </w:r>
      <w:r w:rsidRPr="001814D1">
        <w:rPr>
          <w:lang w:eastAsia="bg-BG"/>
        </w:rPr>
        <w:t>Полша</w:t>
      </w:r>
    </w:p>
    <w:p w14:paraId="4DB4B77B" w14:textId="77777777" w:rsidR="001814D1" w:rsidRPr="001814D1" w:rsidRDefault="001814D1" w:rsidP="001814D1">
      <w:pPr>
        <w:rPr>
          <w:lang w:val="ru-RU"/>
        </w:rPr>
      </w:pPr>
    </w:p>
    <w:p w14:paraId="508F3A54" w14:textId="3B1DD847" w:rsidR="00B6672E" w:rsidRDefault="00936AD0" w:rsidP="00936AD0">
      <w:pPr>
        <w:pStyle w:val="Heading1"/>
      </w:pPr>
      <w:r>
        <w:t>8.</w:t>
      </w:r>
      <w:r w:rsidR="002C50EE">
        <w:t>НОМЕР НА РАЗРЕШЕНИЕТО ЗА УПОТРЕБА</w:t>
      </w:r>
    </w:p>
    <w:p w14:paraId="02FEEA8C" w14:textId="0878ACAB" w:rsidR="001814D1" w:rsidRDefault="001814D1" w:rsidP="001814D1"/>
    <w:p w14:paraId="1884CB42" w14:textId="6CA30502" w:rsidR="001814D1" w:rsidRPr="001814D1" w:rsidRDefault="001814D1" w:rsidP="001814D1">
      <w:r>
        <w:rPr>
          <w:lang w:val="en-US"/>
        </w:rPr>
        <w:t>Per</w:t>
      </w:r>
      <w:r w:rsidRPr="001814D1">
        <w:rPr>
          <w:lang w:val="ru-RU"/>
        </w:rPr>
        <w:t xml:space="preserve">. </w:t>
      </w:r>
      <w:r w:rsidR="001D1426">
        <w:t>№20190261</w:t>
      </w:r>
    </w:p>
    <w:p w14:paraId="3BC5EC53" w14:textId="0E21795C" w:rsidR="00875EEC" w:rsidRDefault="002C50EE" w:rsidP="005726E3">
      <w:pPr>
        <w:pStyle w:val="Heading1"/>
      </w:pPr>
      <w:r>
        <w:t>9. ДАТА НА ПЪРВО РАЗРЕШАВАНЕ/ПОДНОВЯВАНЕ НА РАЗРЕШЕНИЕТО ЗА УПОТРЕБА</w:t>
      </w:r>
    </w:p>
    <w:p w14:paraId="35398647" w14:textId="7AE1330C" w:rsidR="001814D1" w:rsidRDefault="001814D1" w:rsidP="001814D1"/>
    <w:p w14:paraId="2C704AB9" w14:textId="63DB4F3D" w:rsidR="001814D1" w:rsidRPr="001814D1" w:rsidRDefault="001814D1" w:rsidP="001814D1">
      <w:r>
        <w:t>Дата на първо разрешаване: 13.11.2019</w:t>
      </w:r>
    </w:p>
    <w:p w14:paraId="43FB38A2" w14:textId="1E62F256" w:rsidR="007C605B" w:rsidRPr="003E3126" w:rsidRDefault="002C50EE" w:rsidP="005726E3">
      <w:pPr>
        <w:pStyle w:val="Heading1"/>
      </w:pPr>
      <w:r>
        <w:t>10. ДАТА НА АКТУАЛИЗИРАНЕ НА ТЕКСТА</w:t>
      </w:r>
      <w:bookmarkEnd w:id="0"/>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0DB06FB"/>
    <w:multiLevelType w:val="hybridMultilevel"/>
    <w:tmpl w:val="60A86380"/>
    <w:lvl w:ilvl="0" w:tplc="D53CE4DC">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5"/>
  </w:num>
  <w:num w:numId="11">
    <w:abstractNumId w:val="32"/>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9"/>
  </w:num>
  <w:num w:numId="19">
    <w:abstractNumId w:val="28"/>
  </w:num>
  <w:num w:numId="20">
    <w:abstractNumId w:val="25"/>
  </w:num>
  <w:num w:numId="21">
    <w:abstractNumId w:val="19"/>
  </w:num>
  <w:num w:numId="22">
    <w:abstractNumId w:val="27"/>
  </w:num>
  <w:num w:numId="23">
    <w:abstractNumId w:val="20"/>
  </w:num>
  <w:num w:numId="24">
    <w:abstractNumId w:val="10"/>
  </w:num>
  <w:num w:numId="25">
    <w:abstractNumId w:val="24"/>
  </w:num>
  <w:num w:numId="26">
    <w:abstractNumId w:val="23"/>
  </w:num>
  <w:num w:numId="27">
    <w:abstractNumId w:val="33"/>
  </w:num>
  <w:num w:numId="28">
    <w:abstractNumId w:val="7"/>
  </w:num>
  <w:num w:numId="29">
    <w:abstractNumId w:val="22"/>
  </w:num>
  <w:num w:numId="30">
    <w:abstractNumId w:val="36"/>
  </w:num>
  <w:num w:numId="31">
    <w:abstractNumId w:val="6"/>
  </w:num>
  <w:num w:numId="32">
    <w:abstractNumId w:val="35"/>
  </w:num>
  <w:num w:numId="33">
    <w:abstractNumId w:val="30"/>
  </w:num>
  <w:num w:numId="34">
    <w:abstractNumId w:val="34"/>
  </w:num>
  <w:num w:numId="35">
    <w:abstractNumId w:val="8"/>
  </w:num>
  <w:num w:numId="36">
    <w:abstractNumId w:val="1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14D1"/>
    <w:rsid w:val="00185A46"/>
    <w:rsid w:val="001915B6"/>
    <w:rsid w:val="001D1426"/>
    <w:rsid w:val="001D1B23"/>
    <w:rsid w:val="00232DA1"/>
    <w:rsid w:val="002B3C38"/>
    <w:rsid w:val="002B4DBB"/>
    <w:rsid w:val="002C50EE"/>
    <w:rsid w:val="00340A0A"/>
    <w:rsid w:val="003765DC"/>
    <w:rsid w:val="00395555"/>
    <w:rsid w:val="003E3126"/>
    <w:rsid w:val="00426E5F"/>
    <w:rsid w:val="00467C97"/>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94BD1"/>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7881</Words>
  <Characters>44924</Characters>
  <Application>Microsoft Office Word</Application>
  <DocSecurity>0</DocSecurity>
  <Lines>374</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3</cp:revision>
  <dcterms:created xsi:type="dcterms:W3CDTF">2022-10-31T00:10:00Z</dcterms:created>
  <dcterms:modified xsi:type="dcterms:W3CDTF">2022-10-31T00:11:00Z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