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3B239815" w14:textId="07CAFA3B" w:rsidR="00AA23EC" w:rsidRDefault="00DD466D" w:rsidP="00DD466D">
      <w:pPr>
        <w:pStyle w:val="Heading1"/>
      </w:pPr>
      <w:r>
        <w:t>1.ИМЕ НА ЛЕКАРСТВЕНИЯ ПРОДУКТ</w:t>
      </w:r>
    </w:p>
    <w:p w14:paraId="10EE6D52" w14:textId="25E4ABFF" w:rsidR="005D1D7A" w:rsidRDefault="005D1D7A" w:rsidP="005D1D7A"/>
    <w:p w14:paraId="6126FE26" w14:textId="77777777" w:rsidR="005D1D7A" w:rsidRDefault="005D1D7A" w:rsidP="005D1D7A">
      <w:pPr>
        <w:rPr>
          <w:lang w:eastAsia="bg-BG"/>
        </w:rPr>
      </w:pPr>
      <w:r>
        <w:rPr>
          <w:lang w:eastAsia="bg-BG"/>
        </w:rPr>
        <w:t xml:space="preserve">Регаин 20 </w:t>
      </w:r>
      <w:r>
        <w:t xml:space="preserve">mg/ml </w:t>
      </w:r>
      <w:r>
        <w:rPr>
          <w:lang w:eastAsia="bg-BG"/>
        </w:rPr>
        <w:t xml:space="preserve">разтвор за кожа </w:t>
      </w:r>
    </w:p>
    <w:p w14:paraId="50A71ADF" w14:textId="7FF7D157" w:rsidR="005D1D7A" w:rsidRPr="005D1D7A" w:rsidRDefault="005D1D7A" w:rsidP="005D1D7A">
      <w:r>
        <w:t xml:space="preserve">Regaine </w:t>
      </w:r>
      <w:r>
        <w:rPr>
          <w:lang w:eastAsia="bg-BG"/>
        </w:rPr>
        <w:t xml:space="preserve">20 </w:t>
      </w:r>
      <w:r>
        <w:t>mg/ml cutaneous solution</w:t>
      </w:r>
    </w:p>
    <w:p w14:paraId="0A368469" w14:textId="2FF0E846" w:rsidR="00C0049F" w:rsidRDefault="00DD466D" w:rsidP="009F1313">
      <w:pPr>
        <w:pStyle w:val="Heading1"/>
      </w:pPr>
      <w:r>
        <w:t>2. КАЧЕСТВЕН И КОЛИЧЕСТВЕН СЪСТАВ</w:t>
      </w:r>
    </w:p>
    <w:p w14:paraId="480B918F" w14:textId="7EDBE367" w:rsidR="005D1D7A" w:rsidRDefault="005D1D7A" w:rsidP="005D1D7A"/>
    <w:p w14:paraId="6B5B6DB9" w14:textId="77777777" w:rsidR="005D1D7A" w:rsidRPr="005D1D7A" w:rsidRDefault="005D1D7A" w:rsidP="005D1D7A">
      <w:pPr>
        <w:rPr>
          <w:sz w:val="24"/>
          <w:szCs w:val="24"/>
        </w:rPr>
      </w:pPr>
      <w:r w:rsidRPr="005D1D7A">
        <w:rPr>
          <w:lang w:eastAsia="bg-BG"/>
        </w:rPr>
        <w:t xml:space="preserve">1 </w:t>
      </w:r>
      <w:r w:rsidRPr="005D1D7A">
        <w:rPr>
          <w:lang w:val="en-US"/>
        </w:rPr>
        <w:t>ml</w:t>
      </w:r>
      <w:r w:rsidRPr="005D1D7A">
        <w:t xml:space="preserve"> </w:t>
      </w:r>
      <w:r w:rsidRPr="005D1D7A">
        <w:rPr>
          <w:lang w:eastAsia="bg-BG"/>
        </w:rPr>
        <w:t xml:space="preserve">разтвор съдържа 20 </w:t>
      </w:r>
      <w:r w:rsidRPr="005D1D7A">
        <w:rPr>
          <w:lang w:val="en-US"/>
        </w:rPr>
        <w:t>mg</w:t>
      </w:r>
      <w:r w:rsidRPr="005D1D7A">
        <w:t xml:space="preserve"> </w:t>
      </w:r>
      <w:r w:rsidRPr="005D1D7A">
        <w:rPr>
          <w:lang w:eastAsia="bg-BG"/>
        </w:rPr>
        <w:t xml:space="preserve">Миноксидил </w:t>
      </w:r>
      <w:r w:rsidRPr="005D1D7A">
        <w:rPr>
          <w:i/>
          <w:iCs/>
        </w:rPr>
        <w:t>(</w:t>
      </w:r>
      <w:proofErr w:type="spellStart"/>
      <w:r w:rsidRPr="005D1D7A">
        <w:rPr>
          <w:i/>
          <w:iCs/>
          <w:lang w:val="en-US"/>
        </w:rPr>
        <w:t>Minoxidil</w:t>
      </w:r>
      <w:proofErr w:type="spellEnd"/>
      <w:r w:rsidRPr="005D1D7A">
        <w:rPr>
          <w:i/>
          <w:iCs/>
        </w:rPr>
        <w:t>)</w:t>
      </w:r>
    </w:p>
    <w:p w14:paraId="2D8D53FC" w14:textId="77777777" w:rsidR="005D1D7A" w:rsidRPr="005D1D7A" w:rsidRDefault="005D1D7A" w:rsidP="005D1D7A">
      <w:pPr>
        <w:rPr>
          <w:sz w:val="24"/>
          <w:szCs w:val="24"/>
        </w:rPr>
      </w:pPr>
      <w:r w:rsidRPr="005D1D7A">
        <w:rPr>
          <w:i/>
          <w:iCs/>
          <w:lang w:eastAsia="bg-BG"/>
        </w:rPr>
        <w:t>Помощни вещества:</w:t>
      </w:r>
    </w:p>
    <w:p w14:paraId="54AFD90F" w14:textId="21DBB51A" w:rsidR="005D1D7A" w:rsidRPr="005D1D7A" w:rsidRDefault="005D1D7A" w:rsidP="005D1D7A">
      <w:r w:rsidRPr="005D1D7A">
        <w:rPr>
          <w:lang w:eastAsia="bg-BG"/>
        </w:rPr>
        <w:t xml:space="preserve">1 </w:t>
      </w:r>
      <w:r w:rsidRPr="005D1D7A">
        <w:rPr>
          <w:lang w:val="en-US"/>
        </w:rPr>
        <w:t>ml</w:t>
      </w:r>
      <w:r w:rsidRPr="005D1D7A">
        <w:rPr>
          <w:lang w:val="ru-RU"/>
        </w:rPr>
        <w:t xml:space="preserve"> </w:t>
      </w:r>
      <w:r w:rsidRPr="005D1D7A">
        <w:rPr>
          <w:lang w:eastAsia="bg-BG"/>
        </w:rPr>
        <w:t xml:space="preserve">дермален разтвор съдържа 0,2 </w:t>
      </w:r>
      <w:r w:rsidRPr="005D1D7A">
        <w:rPr>
          <w:lang w:val="en-US"/>
        </w:rPr>
        <w:t>ml</w:t>
      </w:r>
      <w:r w:rsidRPr="005D1D7A">
        <w:rPr>
          <w:lang w:val="ru-RU"/>
        </w:rPr>
        <w:t xml:space="preserve"> </w:t>
      </w:r>
      <w:r w:rsidRPr="005D1D7A">
        <w:rPr>
          <w:lang w:eastAsia="bg-BG"/>
        </w:rPr>
        <w:t>пропиленгликол.</w:t>
      </w:r>
    </w:p>
    <w:p w14:paraId="614984C4" w14:textId="04BF7606" w:rsidR="008A6AF2" w:rsidRDefault="00DD466D" w:rsidP="002C50EE">
      <w:pPr>
        <w:pStyle w:val="Heading1"/>
      </w:pPr>
      <w:r>
        <w:t>3. ЛЕКАРСТВЕНА ФОРМА</w:t>
      </w:r>
    </w:p>
    <w:p w14:paraId="401F73E9" w14:textId="11AE802C" w:rsidR="005D1D7A" w:rsidRDefault="005D1D7A" w:rsidP="005D1D7A"/>
    <w:p w14:paraId="6DFAA582" w14:textId="77777777" w:rsidR="005D1D7A" w:rsidRPr="005D1D7A" w:rsidRDefault="005D1D7A" w:rsidP="005D1D7A">
      <w:pPr>
        <w:rPr>
          <w:sz w:val="24"/>
          <w:szCs w:val="24"/>
        </w:rPr>
      </w:pPr>
      <w:r w:rsidRPr="005D1D7A">
        <w:rPr>
          <w:lang w:eastAsia="bg-BG"/>
        </w:rPr>
        <w:t>Разтвор за кожа.</w:t>
      </w:r>
    </w:p>
    <w:p w14:paraId="43AC4D8F" w14:textId="77777777" w:rsidR="005D1D7A" w:rsidRPr="005D1D7A" w:rsidRDefault="005D1D7A" w:rsidP="005D1D7A">
      <w:pPr>
        <w:rPr>
          <w:sz w:val="24"/>
          <w:szCs w:val="24"/>
        </w:rPr>
      </w:pPr>
      <w:r w:rsidRPr="005D1D7A">
        <w:rPr>
          <w:lang w:eastAsia="bg-BG"/>
        </w:rPr>
        <w:t>Бистър, безцветен до светложълт разтвор.</w:t>
      </w:r>
    </w:p>
    <w:p w14:paraId="6E77D93F" w14:textId="77777777" w:rsidR="005D1D7A" w:rsidRPr="005D1D7A" w:rsidRDefault="005D1D7A" w:rsidP="005D1D7A"/>
    <w:p w14:paraId="490FC2C4" w14:textId="32682B15" w:rsidR="002C50EE" w:rsidRDefault="002C50EE" w:rsidP="002C50EE">
      <w:pPr>
        <w:pStyle w:val="Heading1"/>
      </w:pPr>
      <w:r>
        <w:t>4. КЛИНИЧНИ ДАННИ</w:t>
      </w:r>
    </w:p>
    <w:p w14:paraId="754A29C8" w14:textId="34304510" w:rsidR="00C0049F" w:rsidRDefault="002C50EE" w:rsidP="009F1313">
      <w:pPr>
        <w:pStyle w:val="Heading2"/>
      </w:pPr>
      <w:r>
        <w:t>4.1. Терапевтични показания</w:t>
      </w:r>
    </w:p>
    <w:p w14:paraId="1A864943" w14:textId="44283EFD" w:rsidR="00395555" w:rsidRDefault="00395555" w:rsidP="00395555"/>
    <w:p w14:paraId="5B5E9D3F" w14:textId="77777777" w:rsidR="005D1D7A" w:rsidRPr="005D1D7A" w:rsidRDefault="005D1D7A" w:rsidP="005D1D7A">
      <w:pPr>
        <w:rPr>
          <w:sz w:val="24"/>
          <w:szCs w:val="24"/>
        </w:rPr>
      </w:pPr>
      <w:r w:rsidRPr="005D1D7A">
        <w:rPr>
          <w:lang w:eastAsia="bg-BG"/>
        </w:rPr>
        <w:t>Лечение на андрогенна алопеция при мъже и жени.</w:t>
      </w:r>
    </w:p>
    <w:p w14:paraId="57055A28" w14:textId="77777777" w:rsidR="005D1D7A" w:rsidRPr="00395555" w:rsidRDefault="005D1D7A" w:rsidP="00395555"/>
    <w:p w14:paraId="7C0CA5EB" w14:textId="57C3663C" w:rsidR="00C0049F" w:rsidRDefault="002C50EE" w:rsidP="009F1313">
      <w:pPr>
        <w:pStyle w:val="Heading2"/>
      </w:pPr>
      <w:r>
        <w:t>4.2. Дозировка и начин на приложение</w:t>
      </w:r>
    </w:p>
    <w:p w14:paraId="496AA7D0" w14:textId="77777777" w:rsidR="005D1D7A" w:rsidRDefault="005D1D7A" w:rsidP="005D1D7A">
      <w:pPr>
        <w:spacing w:line="240" w:lineRule="auto"/>
        <w:rPr>
          <w:rFonts w:ascii="Times New Roman" w:eastAsia="Times New Roman" w:hAnsi="Times New Roman" w:cs="Times New Roman"/>
          <w:i/>
          <w:iCs/>
          <w:color w:val="000000"/>
          <w:sz w:val="20"/>
          <w:szCs w:val="20"/>
          <w:u w:val="single"/>
          <w:lang w:eastAsia="bg-BG"/>
        </w:rPr>
      </w:pPr>
    </w:p>
    <w:p w14:paraId="195D0C2A" w14:textId="774912FF" w:rsidR="005D1D7A" w:rsidRPr="005D1D7A" w:rsidRDefault="005D1D7A" w:rsidP="005D1D7A">
      <w:pPr>
        <w:spacing w:line="240" w:lineRule="auto"/>
        <w:rPr>
          <w:rFonts w:eastAsia="Times New Roman" w:cs="Arial"/>
        </w:rPr>
      </w:pPr>
      <w:r w:rsidRPr="005D1D7A">
        <w:rPr>
          <w:rFonts w:eastAsia="Times New Roman" w:cs="Arial"/>
          <w:i/>
          <w:iCs/>
          <w:color w:val="000000"/>
          <w:u w:val="single"/>
          <w:lang w:eastAsia="bg-BG"/>
        </w:rPr>
        <w:t>Възрастни над 18 години</w:t>
      </w:r>
    </w:p>
    <w:p w14:paraId="0FE59243" w14:textId="77777777" w:rsidR="005D1D7A" w:rsidRPr="005D1D7A" w:rsidRDefault="005D1D7A" w:rsidP="005D1D7A">
      <w:pPr>
        <w:spacing w:line="240" w:lineRule="auto"/>
        <w:rPr>
          <w:rFonts w:eastAsia="Times New Roman" w:cs="Arial"/>
          <w:color w:val="000000"/>
          <w:lang w:eastAsia="bg-BG"/>
        </w:rPr>
      </w:pPr>
    </w:p>
    <w:p w14:paraId="21A87184" w14:textId="51D5BDF7" w:rsidR="005D1D7A" w:rsidRPr="005D1D7A" w:rsidRDefault="005D1D7A" w:rsidP="005D1D7A">
      <w:pPr>
        <w:spacing w:line="240" w:lineRule="auto"/>
        <w:rPr>
          <w:rFonts w:eastAsia="Times New Roman" w:cs="Arial"/>
        </w:rPr>
      </w:pPr>
      <w:r w:rsidRPr="005D1D7A">
        <w:rPr>
          <w:rFonts w:eastAsia="Times New Roman" w:cs="Arial"/>
          <w:color w:val="000000"/>
          <w:lang w:eastAsia="bg-BG"/>
        </w:rPr>
        <w:t xml:space="preserve">Един </w:t>
      </w:r>
      <w:r w:rsidRPr="005D1D7A">
        <w:rPr>
          <w:rFonts w:eastAsia="Times New Roman" w:cs="Arial"/>
          <w:color w:val="000000"/>
          <w:lang w:val="en-US"/>
        </w:rPr>
        <w:t>ml</w:t>
      </w:r>
      <w:r w:rsidRPr="005D1D7A">
        <w:rPr>
          <w:rFonts w:eastAsia="Times New Roman" w:cs="Arial"/>
          <w:color w:val="000000"/>
          <w:lang w:val="ru-RU"/>
        </w:rPr>
        <w:t xml:space="preserve"> </w:t>
      </w:r>
      <w:r w:rsidRPr="005D1D7A">
        <w:rPr>
          <w:rFonts w:eastAsia="Times New Roman" w:cs="Arial"/>
          <w:color w:val="000000"/>
          <w:lang w:eastAsia="bg-BG"/>
        </w:rPr>
        <w:t>от разтвора се прилага два пъти дневно (веднъж сутрин и веднъж вечер) върху скалпа в зоната на загуба на косата, започвайки от средата и разнасяйки върху засегната област с върха на пръстите (да не се втрива). Тази доза трябва да се прилага независимо от размера на засегнатите зони.</w:t>
      </w:r>
    </w:p>
    <w:p w14:paraId="7E926911" w14:textId="77777777" w:rsidR="005D1D7A" w:rsidRPr="005D1D7A" w:rsidRDefault="005D1D7A" w:rsidP="005D1D7A">
      <w:pPr>
        <w:spacing w:line="240" w:lineRule="auto"/>
        <w:rPr>
          <w:rFonts w:eastAsia="Times New Roman" w:cs="Arial"/>
          <w:color w:val="000000"/>
          <w:lang w:eastAsia="bg-BG"/>
        </w:rPr>
      </w:pPr>
    </w:p>
    <w:p w14:paraId="561788A7" w14:textId="1BB4B50D" w:rsidR="005D1D7A" w:rsidRPr="005D1D7A" w:rsidRDefault="005D1D7A" w:rsidP="005D1D7A">
      <w:pPr>
        <w:spacing w:line="240" w:lineRule="auto"/>
        <w:rPr>
          <w:rFonts w:eastAsia="Times New Roman" w:cs="Arial"/>
        </w:rPr>
      </w:pPr>
      <w:r w:rsidRPr="005D1D7A">
        <w:rPr>
          <w:rFonts w:eastAsia="Times New Roman" w:cs="Arial"/>
          <w:color w:val="000000"/>
          <w:lang w:eastAsia="bg-BG"/>
        </w:rPr>
        <w:t>Регаин трябва да се прилага само върху скалпа, а не върху други части на тялото. Ако се използват върховете на пръстите за разнасянето на Регаин върху скалпа, след това ръцете трябва щателно да се измият, за да се предотврати попадане на активната съставка по други части на тялото.</w:t>
      </w:r>
    </w:p>
    <w:p w14:paraId="49220754" w14:textId="77777777" w:rsidR="005D1D7A" w:rsidRPr="005D1D7A" w:rsidRDefault="005D1D7A" w:rsidP="005D1D7A">
      <w:pPr>
        <w:spacing w:line="240" w:lineRule="auto"/>
        <w:rPr>
          <w:rFonts w:eastAsia="Times New Roman" w:cs="Arial"/>
          <w:color w:val="000000"/>
          <w:lang w:eastAsia="bg-BG"/>
        </w:rPr>
      </w:pPr>
    </w:p>
    <w:p w14:paraId="5FE2553E" w14:textId="3BA1CC29" w:rsidR="005D1D7A" w:rsidRPr="005D1D7A" w:rsidRDefault="005D1D7A" w:rsidP="005D1D7A">
      <w:pPr>
        <w:spacing w:line="240" w:lineRule="auto"/>
        <w:rPr>
          <w:rFonts w:eastAsia="Times New Roman" w:cs="Arial"/>
        </w:rPr>
      </w:pPr>
      <w:r w:rsidRPr="005D1D7A">
        <w:rPr>
          <w:rFonts w:eastAsia="Times New Roman" w:cs="Arial"/>
          <w:color w:val="000000"/>
          <w:lang w:eastAsia="bg-BG"/>
        </w:rPr>
        <w:t>Ръцете трябва да бъдат измити щателно след всяко приложение.</w:t>
      </w:r>
    </w:p>
    <w:p w14:paraId="393B8673" w14:textId="77777777" w:rsidR="005D1D7A" w:rsidRPr="005D1D7A" w:rsidRDefault="005D1D7A" w:rsidP="005D1D7A">
      <w:pPr>
        <w:spacing w:line="240" w:lineRule="auto"/>
        <w:rPr>
          <w:rFonts w:eastAsia="Times New Roman" w:cs="Arial"/>
          <w:i/>
          <w:iCs/>
          <w:color w:val="000000"/>
          <w:u w:val="single"/>
          <w:lang w:eastAsia="bg-BG"/>
        </w:rPr>
      </w:pPr>
    </w:p>
    <w:p w14:paraId="08ED1EEB" w14:textId="7528CC88" w:rsidR="005D1D7A" w:rsidRPr="005D1D7A" w:rsidRDefault="005D1D7A" w:rsidP="005D1D7A">
      <w:pPr>
        <w:pStyle w:val="Heading3"/>
        <w:rPr>
          <w:rFonts w:eastAsia="Times New Roman"/>
          <w:u w:val="single"/>
        </w:rPr>
      </w:pPr>
      <w:r w:rsidRPr="005D1D7A">
        <w:rPr>
          <w:rFonts w:eastAsia="Times New Roman"/>
          <w:u w:val="single"/>
          <w:lang w:eastAsia="bg-BG"/>
        </w:rPr>
        <w:t>Начин на приложение</w:t>
      </w:r>
    </w:p>
    <w:p w14:paraId="0BC7C65C" w14:textId="77777777" w:rsidR="005D1D7A" w:rsidRPr="005D1D7A" w:rsidRDefault="005D1D7A" w:rsidP="005D1D7A">
      <w:pPr>
        <w:spacing w:line="240" w:lineRule="auto"/>
        <w:rPr>
          <w:rFonts w:eastAsia="Times New Roman" w:cs="Arial"/>
        </w:rPr>
      </w:pPr>
      <w:r w:rsidRPr="005D1D7A">
        <w:rPr>
          <w:rFonts w:eastAsia="Times New Roman" w:cs="Arial"/>
          <w:color w:val="000000"/>
          <w:lang w:eastAsia="bg-BG"/>
        </w:rPr>
        <w:t>За външно приложение.</w:t>
      </w:r>
    </w:p>
    <w:p w14:paraId="0A11789D" w14:textId="77777777" w:rsidR="005D1D7A" w:rsidRPr="005D1D7A" w:rsidRDefault="005D1D7A" w:rsidP="005D1D7A">
      <w:pPr>
        <w:spacing w:line="240" w:lineRule="auto"/>
        <w:rPr>
          <w:rFonts w:eastAsia="Times New Roman" w:cs="Arial"/>
        </w:rPr>
      </w:pPr>
      <w:r w:rsidRPr="005D1D7A">
        <w:rPr>
          <w:rFonts w:eastAsia="Times New Roman" w:cs="Arial"/>
          <w:color w:val="000000"/>
          <w:lang w:eastAsia="bg-BG"/>
        </w:rPr>
        <w:t>Косата и скалпът трябва да бъдат напълно сухи.</w:t>
      </w:r>
    </w:p>
    <w:p w14:paraId="2EB3E1B0" w14:textId="77777777" w:rsidR="005D1D7A" w:rsidRPr="005D1D7A" w:rsidRDefault="005D1D7A" w:rsidP="005D1D7A">
      <w:pPr>
        <w:spacing w:line="240" w:lineRule="auto"/>
        <w:rPr>
          <w:rFonts w:eastAsia="Times New Roman" w:cs="Arial"/>
          <w:i/>
          <w:iCs/>
          <w:color w:val="000000"/>
          <w:u w:val="single"/>
          <w:lang w:eastAsia="bg-BG"/>
        </w:rPr>
      </w:pPr>
    </w:p>
    <w:p w14:paraId="5B4CD38F" w14:textId="6B797CC1" w:rsidR="005D1D7A" w:rsidRPr="005D1D7A" w:rsidRDefault="005D1D7A" w:rsidP="005D1D7A">
      <w:pPr>
        <w:spacing w:line="240" w:lineRule="auto"/>
        <w:rPr>
          <w:rFonts w:eastAsia="Times New Roman" w:cs="Arial"/>
        </w:rPr>
      </w:pPr>
      <w:r w:rsidRPr="005D1D7A">
        <w:rPr>
          <w:rFonts w:eastAsia="Times New Roman" w:cs="Arial"/>
          <w:i/>
          <w:iCs/>
          <w:color w:val="000000"/>
          <w:u w:val="single"/>
          <w:lang w:eastAsia="bg-BG"/>
        </w:rPr>
        <w:t>Продължителност на лечението</w:t>
      </w:r>
    </w:p>
    <w:p w14:paraId="21D7465D" w14:textId="77777777" w:rsidR="005D1D7A" w:rsidRPr="005D1D7A" w:rsidRDefault="005D1D7A" w:rsidP="005D1D7A">
      <w:pPr>
        <w:spacing w:line="240" w:lineRule="auto"/>
        <w:rPr>
          <w:rFonts w:eastAsia="Times New Roman" w:cs="Arial"/>
          <w:color w:val="000000"/>
          <w:lang w:eastAsia="bg-BG"/>
        </w:rPr>
      </w:pPr>
    </w:p>
    <w:p w14:paraId="2D5CFB74" w14:textId="45E5F43B" w:rsidR="005D1D7A" w:rsidRPr="005D1D7A" w:rsidRDefault="005D1D7A" w:rsidP="005D1D7A">
      <w:pPr>
        <w:spacing w:line="240" w:lineRule="auto"/>
        <w:rPr>
          <w:rFonts w:eastAsia="Times New Roman" w:cs="Arial"/>
        </w:rPr>
      </w:pPr>
      <w:r w:rsidRPr="005D1D7A">
        <w:rPr>
          <w:rFonts w:eastAsia="Times New Roman" w:cs="Arial"/>
          <w:color w:val="000000"/>
          <w:lang w:eastAsia="bg-BG"/>
        </w:rPr>
        <w:t>Изискват се най-малко 2 до 4 месеца двукратно ежедневно приложение преди появата на видими резултати.</w:t>
      </w:r>
    </w:p>
    <w:p w14:paraId="7C5F34CC" w14:textId="77777777" w:rsidR="005D1D7A" w:rsidRPr="005D1D7A" w:rsidRDefault="005D1D7A" w:rsidP="005D1D7A">
      <w:pPr>
        <w:rPr>
          <w:rFonts w:eastAsia="Times New Roman" w:cs="Arial"/>
          <w:color w:val="000000"/>
          <w:u w:val="single"/>
          <w:lang w:eastAsia="bg-BG"/>
        </w:rPr>
      </w:pPr>
    </w:p>
    <w:p w14:paraId="7E35E3C2" w14:textId="5AB329D6" w:rsidR="005D1D7A" w:rsidRPr="005D1D7A" w:rsidRDefault="005D1D7A" w:rsidP="005D1D7A">
      <w:pPr>
        <w:rPr>
          <w:rFonts w:eastAsia="Times New Roman" w:cs="Arial"/>
          <w:color w:val="000000"/>
          <w:lang w:val="ru-RU"/>
        </w:rPr>
      </w:pPr>
      <w:r w:rsidRPr="005D1D7A">
        <w:rPr>
          <w:rFonts w:eastAsia="Times New Roman" w:cs="Arial"/>
          <w:color w:val="000000"/>
          <w:u w:val="single"/>
          <w:lang w:eastAsia="bg-BG"/>
        </w:rPr>
        <w:t>Спрей-помпа:</w:t>
      </w:r>
      <w:r w:rsidRPr="005D1D7A">
        <w:rPr>
          <w:rFonts w:eastAsia="Times New Roman" w:cs="Arial"/>
          <w:color w:val="000000"/>
          <w:lang w:eastAsia="bg-BG"/>
        </w:rPr>
        <w:t xml:space="preserve"> Този апликатор е особено подходящ за лечение на по-големи участъци. Да се отстрани по-голямата външна капачка и след това вътрешната капачка на винт.</w:t>
      </w:r>
      <w:r w:rsidRPr="005D1D7A">
        <w:rPr>
          <w:rFonts w:eastAsia="Times New Roman" w:cs="Arial"/>
          <w:b/>
          <w:bCs/>
          <w:color w:val="000000"/>
          <w:lang w:eastAsia="bg-BG"/>
        </w:rPr>
        <w:t xml:space="preserve"> </w:t>
      </w:r>
      <w:r w:rsidRPr="005D1D7A">
        <w:rPr>
          <w:rFonts w:eastAsia="Times New Roman" w:cs="Arial"/>
          <w:color w:val="000000"/>
          <w:lang w:eastAsia="bg-BG"/>
        </w:rPr>
        <w:t xml:space="preserve">Да се постави спрей-помпата върху пластмасовата бутилка и да се затегне здраво (Фигура </w:t>
      </w:r>
      <w:r w:rsidRPr="005D1D7A">
        <w:rPr>
          <w:rFonts w:eastAsia="Times New Roman" w:cs="Arial"/>
          <w:color w:val="000000"/>
          <w:lang w:val="en-US"/>
        </w:rPr>
        <w:t>I</w:t>
      </w:r>
      <w:r w:rsidRPr="005D1D7A">
        <w:rPr>
          <w:rFonts w:eastAsia="Times New Roman" w:cs="Arial"/>
          <w:color w:val="000000"/>
          <w:lang w:val="ru-RU"/>
        </w:rPr>
        <w:t>).</w:t>
      </w:r>
    </w:p>
    <w:p w14:paraId="2658DE98" w14:textId="3A603D9E" w:rsidR="005D1D7A" w:rsidRPr="005D1D7A" w:rsidRDefault="005D1D7A" w:rsidP="005D1D7A">
      <w:pPr>
        <w:rPr>
          <w:rFonts w:eastAsia="Times New Roman" w:cs="Arial"/>
          <w:color w:val="000000"/>
          <w:lang w:val="ru-RU"/>
        </w:rPr>
      </w:pPr>
    </w:p>
    <w:p w14:paraId="30433944" w14:textId="77777777" w:rsidR="005D1D7A" w:rsidRPr="005D1D7A" w:rsidRDefault="005D1D7A" w:rsidP="005D1D7A">
      <w:pPr>
        <w:spacing w:line="240" w:lineRule="auto"/>
        <w:rPr>
          <w:rFonts w:eastAsia="Times New Roman" w:cs="Arial"/>
        </w:rPr>
      </w:pPr>
      <w:r w:rsidRPr="005D1D7A">
        <w:rPr>
          <w:rFonts w:eastAsia="Times New Roman" w:cs="Arial"/>
          <w:color w:val="000000"/>
          <w:lang w:eastAsia="bg-BG"/>
        </w:rPr>
        <w:t>Да се отстрани прозрачната капачка. Да се насочи помпата в средата на плешивата повърхност, да се натисне помпата и да се разнесе Регаин с върха на пръстите върху цялата повърхност.</w:t>
      </w:r>
    </w:p>
    <w:p w14:paraId="1DF8AE89" w14:textId="3893734A" w:rsidR="005D1D7A" w:rsidRDefault="005D1D7A" w:rsidP="005D1D7A">
      <w:pPr>
        <w:spacing w:line="240" w:lineRule="auto"/>
        <w:rPr>
          <w:rFonts w:eastAsia="Times New Roman" w:cs="Arial"/>
          <w:color w:val="000000"/>
          <w:lang w:eastAsia="bg-BG"/>
        </w:rPr>
      </w:pPr>
      <w:r w:rsidRPr="005D1D7A">
        <w:rPr>
          <w:rFonts w:eastAsia="Times New Roman" w:cs="Arial"/>
          <w:color w:val="000000"/>
          <w:lang w:eastAsia="bg-BG"/>
        </w:rPr>
        <w:t xml:space="preserve">Да се повтори процедурата 6 пъти; това съответства на доза от 1 </w:t>
      </w:r>
      <w:r w:rsidRPr="005D1D7A">
        <w:rPr>
          <w:rFonts w:eastAsia="Times New Roman" w:cs="Arial"/>
          <w:color w:val="000000"/>
          <w:lang w:val="en-US"/>
        </w:rPr>
        <w:t>ml</w:t>
      </w:r>
      <w:r w:rsidRPr="005D1D7A">
        <w:rPr>
          <w:rFonts w:eastAsia="Times New Roman" w:cs="Arial"/>
          <w:color w:val="000000"/>
          <w:lang w:val="ru-RU"/>
        </w:rPr>
        <w:t xml:space="preserve"> </w:t>
      </w:r>
      <w:r w:rsidRPr="005D1D7A">
        <w:rPr>
          <w:rFonts w:eastAsia="Times New Roman" w:cs="Arial"/>
          <w:color w:val="000000"/>
          <w:lang w:eastAsia="bg-BG"/>
        </w:rPr>
        <w:t>(Фигура II). Да не се вдишва пулверизираното лекарство. След употреба да се постави прозрачната капачка и по-голямата външна капачка върху пластмасовата бутилка.</w:t>
      </w:r>
    </w:p>
    <w:p w14:paraId="0BBAA36B" w14:textId="121C08EE" w:rsidR="005D1D7A" w:rsidRDefault="005D1D7A" w:rsidP="005D1D7A">
      <w:pPr>
        <w:spacing w:line="240" w:lineRule="auto"/>
        <w:rPr>
          <w:rFonts w:eastAsia="Times New Roman" w:cs="Arial"/>
          <w:color w:val="000000"/>
          <w:lang w:eastAsia="bg-BG"/>
        </w:rPr>
      </w:pPr>
    </w:p>
    <w:p w14:paraId="588F49C2" w14:textId="7B0BBEBB" w:rsidR="005D1D7A" w:rsidRPr="005D1D7A" w:rsidRDefault="005D1D7A" w:rsidP="005D1D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0" distB="0" distL="0" distR="0" wp14:anchorId="0CA113A2" wp14:editId="76DE284A">
            <wp:extent cx="3134162" cy="1648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PNG"/>
                    <pic:cNvPicPr/>
                  </pic:nvPicPr>
                  <pic:blipFill>
                    <a:blip r:embed="rId5">
                      <a:extLst>
                        <a:ext uri="{28A0092B-C50C-407E-A947-70E740481C1C}">
                          <a14:useLocalDpi xmlns:a14="http://schemas.microsoft.com/office/drawing/2010/main" val="0"/>
                        </a:ext>
                      </a:extLst>
                    </a:blip>
                    <a:stretch>
                      <a:fillRect/>
                    </a:stretch>
                  </pic:blipFill>
                  <pic:spPr>
                    <a:xfrm>
                      <a:off x="0" y="0"/>
                      <a:ext cx="3134162" cy="1648055"/>
                    </a:xfrm>
                    <a:prstGeom prst="rect">
                      <a:avLst/>
                    </a:prstGeom>
                  </pic:spPr>
                </pic:pic>
              </a:graphicData>
            </a:graphic>
          </wp:inline>
        </w:drawing>
      </w:r>
    </w:p>
    <w:p w14:paraId="7BF4A7FB" w14:textId="77777777" w:rsidR="005D1D7A" w:rsidRPr="005D1D7A" w:rsidRDefault="005D1D7A" w:rsidP="005D1D7A">
      <w:pPr>
        <w:rPr>
          <w:rFonts w:ascii="Times New Roman" w:hAnsi="Times New Roman" w:cs="Times New Roman"/>
          <w:sz w:val="24"/>
          <w:szCs w:val="24"/>
        </w:rPr>
      </w:pPr>
      <w:r w:rsidRPr="005D1D7A">
        <w:rPr>
          <w:lang w:eastAsia="bg-BG"/>
        </w:rPr>
        <w:t>Фигура I: Спрей-помпа за по-големи плешиви повърхности</w:t>
      </w:r>
    </w:p>
    <w:p w14:paraId="1928AC6B" w14:textId="73DD36B3" w:rsidR="005D1D7A" w:rsidRDefault="005D1D7A" w:rsidP="005D1D7A"/>
    <w:p w14:paraId="08886E3C" w14:textId="488DE424" w:rsidR="005D1D7A" w:rsidRDefault="005D1D7A" w:rsidP="005D1D7A">
      <w:r>
        <w:rPr>
          <w:noProof/>
          <w:lang w:val="en-US"/>
        </w:rPr>
        <w:drawing>
          <wp:inline distT="0" distB="0" distL="0" distR="0" wp14:anchorId="1B486BAF" wp14:editId="7B215384">
            <wp:extent cx="3038899" cy="198147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PNG"/>
                    <pic:cNvPicPr/>
                  </pic:nvPicPr>
                  <pic:blipFill>
                    <a:blip r:embed="rId6">
                      <a:extLst>
                        <a:ext uri="{28A0092B-C50C-407E-A947-70E740481C1C}">
                          <a14:useLocalDpi xmlns:a14="http://schemas.microsoft.com/office/drawing/2010/main" val="0"/>
                        </a:ext>
                      </a:extLst>
                    </a:blip>
                    <a:stretch>
                      <a:fillRect/>
                    </a:stretch>
                  </pic:blipFill>
                  <pic:spPr>
                    <a:xfrm>
                      <a:off x="0" y="0"/>
                      <a:ext cx="3038899" cy="1981477"/>
                    </a:xfrm>
                    <a:prstGeom prst="rect">
                      <a:avLst/>
                    </a:prstGeom>
                  </pic:spPr>
                </pic:pic>
              </a:graphicData>
            </a:graphic>
          </wp:inline>
        </w:drawing>
      </w:r>
    </w:p>
    <w:p w14:paraId="195E7D7C" w14:textId="77777777" w:rsidR="005D1D7A" w:rsidRPr="005D1D7A" w:rsidRDefault="005D1D7A" w:rsidP="005D1D7A">
      <w:pPr>
        <w:rPr>
          <w:rFonts w:ascii="Times New Roman" w:hAnsi="Times New Roman" w:cs="Times New Roman"/>
          <w:sz w:val="24"/>
          <w:szCs w:val="24"/>
        </w:rPr>
      </w:pPr>
      <w:r w:rsidRPr="005D1D7A">
        <w:rPr>
          <w:lang w:eastAsia="bg-BG"/>
        </w:rPr>
        <w:t xml:space="preserve">Фигура II: Натиснете спрей-помпата шест пъти = 1 </w:t>
      </w:r>
      <w:r w:rsidRPr="005D1D7A">
        <w:rPr>
          <w:lang w:val="en-US"/>
        </w:rPr>
        <w:t>ml</w:t>
      </w:r>
    </w:p>
    <w:p w14:paraId="06761638" w14:textId="5900BFFC" w:rsidR="005D1D7A" w:rsidRDefault="005D1D7A" w:rsidP="005D1D7A"/>
    <w:p w14:paraId="16D1DCF1" w14:textId="77777777" w:rsidR="005D1D7A" w:rsidRPr="005D1D7A" w:rsidRDefault="005D1D7A" w:rsidP="005D1D7A">
      <w:pPr>
        <w:rPr>
          <w:sz w:val="24"/>
          <w:szCs w:val="24"/>
        </w:rPr>
      </w:pPr>
      <w:r w:rsidRPr="005D1D7A">
        <w:rPr>
          <w:u w:val="single"/>
          <w:lang w:eastAsia="bg-BG"/>
        </w:rPr>
        <w:t>Спрей-помпа с удължител.</w:t>
      </w:r>
      <w:r w:rsidRPr="005D1D7A">
        <w:rPr>
          <w:lang w:eastAsia="bg-BG"/>
        </w:rPr>
        <w:t xml:space="preserve"> Този апликатор е подходящ за нанасяне на Регаин върху по-малки повърхности или под косата. За да се използва удължителят, да се прикрепи спрей-помпата върху пластмасовата бутилка. Да се отстрани бутонът от спрей-помпата и да се замести с удължителя (Фигура III). Да се отстрани капачката от удължителя. Да се нанесе Регаин както е описано в параграфа за спрей-помпата (Фигура IV). След употреба да се постави капачката върху удължителя.</w:t>
      </w:r>
    </w:p>
    <w:p w14:paraId="0CD1FA65" w14:textId="0C15BD2E" w:rsidR="005D1D7A" w:rsidRDefault="005D1D7A" w:rsidP="005D1D7A"/>
    <w:p w14:paraId="390746F5" w14:textId="45AD31D4" w:rsidR="005D1D7A" w:rsidRDefault="005D1D7A" w:rsidP="005D1D7A">
      <w:r>
        <w:rPr>
          <w:noProof/>
          <w:lang w:val="en-US"/>
        </w:rPr>
        <w:lastRenderedPageBreak/>
        <w:drawing>
          <wp:inline distT="0" distB="0" distL="0" distR="0" wp14:anchorId="16C32127" wp14:editId="4254AE3D">
            <wp:extent cx="3038899" cy="251495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PNG"/>
                    <pic:cNvPicPr/>
                  </pic:nvPicPr>
                  <pic:blipFill>
                    <a:blip r:embed="rId7">
                      <a:extLst>
                        <a:ext uri="{28A0092B-C50C-407E-A947-70E740481C1C}">
                          <a14:useLocalDpi xmlns:a14="http://schemas.microsoft.com/office/drawing/2010/main" val="0"/>
                        </a:ext>
                      </a:extLst>
                    </a:blip>
                    <a:stretch>
                      <a:fillRect/>
                    </a:stretch>
                  </pic:blipFill>
                  <pic:spPr>
                    <a:xfrm>
                      <a:off x="0" y="0"/>
                      <a:ext cx="3038899" cy="2514951"/>
                    </a:xfrm>
                    <a:prstGeom prst="rect">
                      <a:avLst/>
                    </a:prstGeom>
                  </pic:spPr>
                </pic:pic>
              </a:graphicData>
            </a:graphic>
          </wp:inline>
        </w:drawing>
      </w:r>
    </w:p>
    <w:p w14:paraId="09FCB1DC" w14:textId="77777777" w:rsidR="005D1D7A" w:rsidRPr="005D1D7A" w:rsidRDefault="005D1D7A" w:rsidP="005D1D7A">
      <w:pPr>
        <w:rPr>
          <w:rFonts w:ascii="Times New Roman" w:hAnsi="Times New Roman" w:cs="Times New Roman"/>
          <w:sz w:val="24"/>
          <w:szCs w:val="24"/>
        </w:rPr>
      </w:pPr>
      <w:r w:rsidRPr="005D1D7A">
        <w:rPr>
          <w:lang w:eastAsia="bg-BG"/>
        </w:rPr>
        <w:t xml:space="preserve">Фигура </w:t>
      </w:r>
      <w:r w:rsidRPr="005D1D7A">
        <w:rPr>
          <w:lang w:val="en-US"/>
        </w:rPr>
        <w:t>III</w:t>
      </w:r>
      <w:r w:rsidRPr="005D1D7A">
        <w:rPr>
          <w:lang w:val="ru-RU"/>
        </w:rPr>
        <w:t xml:space="preserve">: </w:t>
      </w:r>
      <w:r w:rsidRPr="005D1D7A">
        <w:rPr>
          <w:lang w:eastAsia="bg-BG"/>
        </w:rPr>
        <w:t>Спрей-помпа с удължител за лечение</w:t>
      </w:r>
    </w:p>
    <w:p w14:paraId="205D596D" w14:textId="397F17D4" w:rsidR="005D1D7A" w:rsidRDefault="005D1D7A" w:rsidP="005D1D7A">
      <w:pPr>
        <w:rPr>
          <w:lang w:eastAsia="bg-BG"/>
        </w:rPr>
      </w:pPr>
      <w:r w:rsidRPr="005D1D7A">
        <w:rPr>
          <w:lang w:eastAsia="bg-BG"/>
        </w:rPr>
        <w:t>на по-малки повърхности или повърхности под косата.</w:t>
      </w:r>
    </w:p>
    <w:p w14:paraId="5BC1EC37" w14:textId="398FEFC5" w:rsidR="005D1D7A" w:rsidRDefault="005D1D7A" w:rsidP="005D1D7A">
      <w:pPr>
        <w:rPr>
          <w:lang w:eastAsia="bg-BG"/>
        </w:rPr>
      </w:pPr>
    </w:p>
    <w:p w14:paraId="61EE20B8" w14:textId="46358557" w:rsidR="005D1D7A" w:rsidRDefault="005D1D7A" w:rsidP="005D1D7A">
      <w:r>
        <w:rPr>
          <w:noProof/>
          <w:lang w:val="en-US"/>
        </w:rPr>
        <w:drawing>
          <wp:inline distT="0" distB="0" distL="0" distR="0" wp14:anchorId="745B649B" wp14:editId="47EE2FC0">
            <wp:extent cx="3134162" cy="27245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NG"/>
                    <pic:cNvPicPr/>
                  </pic:nvPicPr>
                  <pic:blipFill>
                    <a:blip r:embed="rId8">
                      <a:extLst>
                        <a:ext uri="{28A0092B-C50C-407E-A947-70E740481C1C}">
                          <a14:useLocalDpi xmlns:a14="http://schemas.microsoft.com/office/drawing/2010/main" val="0"/>
                        </a:ext>
                      </a:extLst>
                    </a:blip>
                    <a:stretch>
                      <a:fillRect/>
                    </a:stretch>
                  </pic:blipFill>
                  <pic:spPr>
                    <a:xfrm>
                      <a:off x="0" y="0"/>
                      <a:ext cx="3134162" cy="2724530"/>
                    </a:xfrm>
                    <a:prstGeom prst="rect">
                      <a:avLst/>
                    </a:prstGeom>
                  </pic:spPr>
                </pic:pic>
              </a:graphicData>
            </a:graphic>
          </wp:inline>
        </w:drawing>
      </w:r>
    </w:p>
    <w:p w14:paraId="0E492311" w14:textId="2CC54A35" w:rsidR="005D1D7A" w:rsidRDefault="005D1D7A" w:rsidP="005D1D7A">
      <w:pPr>
        <w:rPr>
          <w:lang w:val="en-US"/>
        </w:rPr>
      </w:pPr>
      <w:r>
        <w:t xml:space="preserve">Фигура IV: Натиснеге спрей-помпата шест пъти = 1 </w:t>
      </w:r>
      <w:r>
        <w:rPr>
          <w:lang w:val="en-US"/>
        </w:rPr>
        <w:t>ml</w:t>
      </w:r>
    </w:p>
    <w:p w14:paraId="27BCA7A0" w14:textId="0B776CD6" w:rsidR="005D1D7A" w:rsidRDefault="005D1D7A" w:rsidP="005D1D7A">
      <w:pPr>
        <w:rPr>
          <w:lang w:val="en-US"/>
        </w:rPr>
      </w:pPr>
    </w:p>
    <w:p w14:paraId="672477BB" w14:textId="77777777" w:rsidR="005D1D7A" w:rsidRPr="005D1D7A" w:rsidRDefault="005D1D7A" w:rsidP="005D1D7A">
      <w:pPr>
        <w:spacing w:line="240" w:lineRule="auto"/>
        <w:rPr>
          <w:rFonts w:eastAsia="Times New Roman" w:cs="Arial"/>
        </w:rPr>
      </w:pPr>
      <w:r w:rsidRPr="005D1D7A">
        <w:rPr>
          <w:rFonts w:eastAsia="Times New Roman" w:cs="Arial"/>
          <w:i/>
          <w:iCs/>
          <w:color w:val="000000"/>
          <w:lang w:eastAsia="bg-BG"/>
        </w:rPr>
        <w:t>Употреба при педиатрична популация</w:t>
      </w:r>
    </w:p>
    <w:p w14:paraId="7F96FAB2" w14:textId="2896AA13" w:rsidR="005D1D7A" w:rsidRDefault="005D1D7A" w:rsidP="005D1D7A">
      <w:pPr>
        <w:rPr>
          <w:rFonts w:eastAsia="Times New Roman" w:cs="Arial"/>
          <w:color w:val="000000"/>
          <w:lang w:eastAsia="bg-BG"/>
        </w:rPr>
      </w:pPr>
      <w:r w:rsidRPr="005D1D7A">
        <w:rPr>
          <w:rFonts w:eastAsia="Times New Roman" w:cs="Arial"/>
          <w:color w:val="000000"/>
          <w:lang w:eastAsia="bg-BG"/>
        </w:rPr>
        <w:t>Регаин не се препоръчва за употреба при при деца на възраст под 18 години поради лиса на данни за безопасност и ефикасност.</w:t>
      </w:r>
    </w:p>
    <w:p w14:paraId="37075858" w14:textId="2FD4FFB6" w:rsidR="005D1D7A" w:rsidRDefault="005D1D7A" w:rsidP="005D1D7A">
      <w:pPr>
        <w:rPr>
          <w:rFonts w:eastAsia="Times New Roman" w:cs="Arial"/>
          <w:color w:val="000000"/>
          <w:lang w:eastAsia="bg-BG"/>
        </w:rPr>
      </w:pPr>
    </w:p>
    <w:p w14:paraId="41AACC34" w14:textId="77777777" w:rsidR="005D1D7A" w:rsidRPr="005D1D7A" w:rsidRDefault="005D1D7A" w:rsidP="005D1D7A">
      <w:pPr>
        <w:spacing w:line="240" w:lineRule="auto"/>
        <w:rPr>
          <w:rFonts w:eastAsia="Times New Roman" w:cs="Arial"/>
          <w:sz w:val="28"/>
          <w:szCs w:val="24"/>
        </w:rPr>
      </w:pPr>
      <w:r w:rsidRPr="005D1D7A">
        <w:rPr>
          <w:rFonts w:eastAsia="Times New Roman" w:cs="Arial"/>
          <w:i/>
          <w:iCs/>
          <w:color w:val="000000"/>
          <w:szCs w:val="20"/>
          <w:lang w:eastAsia="bg-BG"/>
        </w:rPr>
        <w:t>Употреба при хора е напреднала възраст</w:t>
      </w:r>
    </w:p>
    <w:p w14:paraId="5068BFC1"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Регаин не се препоръчва за употреба при лица по-възрастни от 65 години поради липса на данни за безопасност и ефикасност.</w:t>
      </w:r>
    </w:p>
    <w:p w14:paraId="1962B77F" w14:textId="77777777" w:rsidR="005D1D7A" w:rsidRPr="005D1D7A" w:rsidRDefault="005D1D7A" w:rsidP="005D1D7A">
      <w:pPr>
        <w:rPr>
          <w:rFonts w:eastAsia="Times New Roman" w:cs="Arial"/>
          <w:color w:val="000000"/>
          <w:lang w:eastAsia="bg-BG"/>
        </w:rPr>
      </w:pPr>
    </w:p>
    <w:p w14:paraId="62B13D0B" w14:textId="08C85058" w:rsidR="00395555" w:rsidRDefault="002C50EE" w:rsidP="008A6AF2">
      <w:pPr>
        <w:pStyle w:val="Heading2"/>
      </w:pPr>
      <w:r>
        <w:t>4.3. Противопоказания</w:t>
      </w:r>
    </w:p>
    <w:p w14:paraId="07BF0881" w14:textId="46B5E9BF" w:rsidR="005D1D7A" w:rsidRDefault="005D1D7A" w:rsidP="005D1D7A"/>
    <w:p w14:paraId="4BD516A8" w14:textId="279E1DA2" w:rsidR="005D1D7A" w:rsidRDefault="005D1D7A" w:rsidP="005D1D7A">
      <w:pPr>
        <w:rPr>
          <w:lang w:eastAsia="bg-BG"/>
        </w:rPr>
      </w:pPr>
      <w:r w:rsidRPr="005D1D7A">
        <w:rPr>
          <w:lang w:eastAsia="bg-BG"/>
        </w:rPr>
        <w:t>Свръхчувствителност към активното вещество или към някое от помощните вещества, изброени в точка 6.1.</w:t>
      </w:r>
    </w:p>
    <w:p w14:paraId="77E39109" w14:textId="77777777" w:rsidR="005D1D7A" w:rsidRPr="005D1D7A" w:rsidRDefault="005D1D7A" w:rsidP="005D1D7A">
      <w:pPr>
        <w:rPr>
          <w:sz w:val="24"/>
          <w:szCs w:val="24"/>
        </w:rPr>
      </w:pPr>
    </w:p>
    <w:p w14:paraId="5A4AC413" w14:textId="70400785" w:rsidR="00395555" w:rsidRDefault="002C50EE" w:rsidP="008A6AF2">
      <w:pPr>
        <w:pStyle w:val="Heading2"/>
      </w:pPr>
      <w:r>
        <w:t>4.4. Специални предупреждения и предпазни мерки при употреба</w:t>
      </w:r>
    </w:p>
    <w:p w14:paraId="636D5FE4" w14:textId="7604A14A" w:rsidR="005D1D7A" w:rsidRDefault="005D1D7A" w:rsidP="005D1D7A"/>
    <w:p w14:paraId="671615CB" w14:textId="77777777" w:rsidR="005D1D7A" w:rsidRPr="005D1D7A" w:rsidRDefault="005D1D7A" w:rsidP="005D1D7A">
      <w:pPr>
        <w:rPr>
          <w:sz w:val="24"/>
          <w:szCs w:val="24"/>
        </w:rPr>
      </w:pPr>
      <w:r w:rsidRPr="005D1D7A">
        <w:rPr>
          <w:lang w:eastAsia="bg-BG"/>
        </w:rPr>
        <w:t>Пациенти с анамнеза за сърдечно-съдови заболявания или аритмия трябва да се консултират с лекар преди да използват миноксидил.</w:t>
      </w:r>
    </w:p>
    <w:p w14:paraId="76A23706" w14:textId="77777777" w:rsidR="005D1D7A" w:rsidRDefault="005D1D7A" w:rsidP="005D1D7A">
      <w:pPr>
        <w:rPr>
          <w:lang w:eastAsia="bg-BG"/>
        </w:rPr>
      </w:pPr>
    </w:p>
    <w:p w14:paraId="554EF100" w14:textId="30639043" w:rsidR="005D1D7A" w:rsidRPr="005D1D7A" w:rsidRDefault="005D1D7A" w:rsidP="005D1D7A">
      <w:pPr>
        <w:rPr>
          <w:sz w:val="24"/>
          <w:szCs w:val="24"/>
        </w:rPr>
      </w:pPr>
      <w:r w:rsidRPr="005D1D7A">
        <w:rPr>
          <w:lang w:eastAsia="bg-BG"/>
        </w:rPr>
        <w:t>Миноксидил не трябва да се използва при внезапна загуба и/или когато загубата на коса е неравномерна, или ако загубата на коса е вследствие на неизвестна причина.</w:t>
      </w:r>
    </w:p>
    <w:p w14:paraId="51792A96" w14:textId="77777777" w:rsidR="005D1D7A" w:rsidRDefault="005D1D7A" w:rsidP="005D1D7A">
      <w:pPr>
        <w:rPr>
          <w:lang w:eastAsia="bg-BG"/>
        </w:rPr>
      </w:pPr>
    </w:p>
    <w:p w14:paraId="50806830" w14:textId="54D383EE" w:rsidR="005D1D7A" w:rsidRPr="005D1D7A" w:rsidRDefault="005D1D7A" w:rsidP="005D1D7A">
      <w:pPr>
        <w:rPr>
          <w:sz w:val="24"/>
          <w:szCs w:val="24"/>
        </w:rPr>
      </w:pPr>
      <w:r w:rsidRPr="005D1D7A">
        <w:rPr>
          <w:lang w:eastAsia="bg-BG"/>
        </w:rPr>
        <w:t>Жени: Миноксидил не трябва да се прилага локално, ако косопадът се дължи на раждане.</w:t>
      </w:r>
    </w:p>
    <w:p w14:paraId="77215555" w14:textId="77777777" w:rsidR="005D1D7A" w:rsidRDefault="005D1D7A" w:rsidP="005D1D7A">
      <w:pPr>
        <w:rPr>
          <w:lang w:eastAsia="bg-BG"/>
        </w:rPr>
      </w:pPr>
    </w:p>
    <w:p w14:paraId="6929D572" w14:textId="0E83F381" w:rsidR="005D1D7A" w:rsidRPr="005D1D7A" w:rsidRDefault="005D1D7A" w:rsidP="005D1D7A">
      <w:pPr>
        <w:rPr>
          <w:sz w:val="24"/>
          <w:szCs w:val="24"/>
        </w:rPr>
      </w:pPr>
      <w:r w:rsidRPr="005D1D7A">
        <w:rPr>
          <w:lang w:eastAsia="bg-BG"/>
        </w:rPr>
        <w:t>Миноксидил трябва да се прилага само върху нормален и здрав скалп. Да не се прилага, ако скалпът е зачервен, възпален, инфектиран, раздразнен или болезнен.</w:t>
      </w:r>
    </w:p>
    <w:p w14:paraId="7D78633C" w14:textId="77777777" w:rsidR="005D1D7A" w:rsidRDefault="005D1D7A" w:rsidP="005D1D7A">
      <w:pPr>
        <w:rPr>
          <w:lang w:eastAsia="bg-BG"/>
        </w:rPr>
      </w:pPr>
    </w:p>
    <w:p w14:paraId="04EE78B8" w14:textId="71985EC3" w:rsidR="005D1D7A" w:rsidRPr="005D1D7A" w:rsidRDefault="005D1D7A" w:rsidP="005D1D7A">
      <w:pPr>
        <w:rPr>
          <w:sz w:val="24"/>
          <w:szCs w:val="24"/>
        </w:rPr>
      </w:pPr>
      <w:r w:rsidRPr="005D1D7A">
        <w:rPr>
          <w:lang w:eastAsia="bg-BG"/>
        </w:rPr>
        <w:t>Миноксидил за локално приложение не трябва да се използва едновременно с каквито и да е други медикаменти върху скалпа.</w:t>
      </w:r>
    </w:p>
    <w:p w14:paraId="777228E9" w14:textId="77777777" w:rsidR="005D1D7A" w:rsidRDefault="005D1D7A" w:rsidP="005D1D7A">
      <w:pPr>
        <w:rPr>
          <w:lang w:eastAsia="bg-BG"/>
        </w:rPr>
      </w:pPr>
    </w:p>
    <w:p w14:paraId="4B99D973" w14:textId="33DE6FC2" w:rsidR="005D1D7A" w:rsidRPr="005D1D7A" w:rsidRDefault="005D1D7A" w:rsidP="005D1D7A">
      <w:pPr>
        <w:rPr>
          <w:sz w:val="24"/>
          <w:szCs w:val="24"/>
        </w:rPr>
      </w:pPr>
      <w:r w:rsidRPr="005D1D7A">
        <w:rPr>
          <w:lang w:eastAsia="bg-BG"/>
        </w:rPr>
        <w:t>Пациентите трябва да спрат използването на миноксидил и да се консултират с лекар, ако се открие хипотония или ако пациентите изпитат болка в гърдите, учестено сърцебиене, прималяване или замайване, внезапно и без обяснение увеличение на теглото, подути ръце или крака, упорито зачервяване или дразнене на скалпа или се появят други неочаквани нови симптоми (вижте т. 4.8).</w:t>
      </w:r>
    </w:p>
    <w:p w14:paraId="0A6A878A" w14:textId="77777777" w:rsidR="005D1D7A" w:rsidRDefault="005D1D7A" w:rsidP="005D1D7A">
      <w:pPr>
        <w:rPr>
          <w:lang w:eastAsia="bg-BG"/>
        </w:rPr>
      </w:pPr>
    </w:p>
    <w:p w14:paraId="6837E9DD" w14:textId="10C90251" w:rsidR="005D1D7A" w:rsidRPr="005D1D7A" w:rsidRDefault="005D1D7A" w:rsidP="005D1D7A">
      <w:pPr>
        <w:rPr>
          <w:sz w:val="24"/>
          <w:szCs w:val="24"/>
        </w:rPr>
      </w:pPr>
      <w:r w:rsidRPr="005D1D7A">
        <w:rPr>
          <w:lang w:eastAsia="bg-BG"/>
        </w:rPr>
        <w:t>Някои помощни вещества в продукта може да предизвикат парене и/или дразнене. При случаен контакт с чувствителни повърхности (очи, кожа с нарушена цялост и лигавици), участъкът трябва да се промие с голямо количество хладка чешмяна вода.</w:t>
      </w:r>
    </w:p>
    <w:p w14:paraId="36BD21DE" w14:textId="77777777" w:rsidR="005D1D7A" w:rsidRDefault="005D1D7A" w:rsidP="005D1D7A">
      <w:pPr>
        <w:rPr>
          <w:lang w:eastAsia="bg-BG"/>
        </w:rPr>
      </w:pPr>
    </w:p>
    <w:p w14:paraId="4413C25D" w14:textId="6FAF64DB" w:rsidR="005D1D7A" w:rsidRPr="005D1D7A" w:rsidRDefault="005D1D7A" w:rsidP="005D1D7A">
      <w:pPr>
        <w:rPr>
          <w:sz w:val="24"/>
          <w:szCs w:val="24"/>
        </w:rPr>
      </w:pPr>
      <w:r w:rsidRPr="005D1D7A">
        <w:rPr>
          <w:lang w:eastAsia="bg-BG"/>
        </w:rPr>
        <w:t>Вдишването на изпаренията при впръскване следва да се избягва.</w:t>
      </w:r>
    </w:p>
    <w:p w14:paraId="744E01FE" w14:textId="77777777" w:rsidR="005D1D7A" w:rsidRDefault="005D1D7A" w:rsidP="005D1D7A">
      <w:pPr>
        <w:rPr>
          <w:lang w:eastAsia="bg-BG"/>
        </w:rPr>
      </w:pPr>
    </w:p>
    <w:p w14:paraId="45144606" w14:textId="1B3250AF" w:rsidR="005D1D7A" w:rsidRPr="005D1D7A" w:rsidRDefault="005D1D7A" w:rsidP="005D1D7A">
      <w:pPr>
        <w:rPr>
          <w:sz w:val="24"/>
          <w:szCs w:val="24"/>
        </w:rPr>
      </w:pPr>
      <w:r w:rsidRPr="005D1D7A">
        <w:rPr>
          <w:lang w:eastAsia="bg-BG"/>
        </w:rPr>
        <w:t>Случайното поглъщане може да предизвика сериозни нежелани сърдечни събития. Поради това този продукт трябва да се съхранява на място, недостъпно за деца.</w:t>
      </w:r>
    </w:p>
    <w:p w14:paraId="2D150A21" w14:textId="77777777" w:rsidR="005D1D7A" w:rsidRDefault="005D1D7A" w:rsidP="005D1D7A">
      <w:pPr>
        <w:rPr>
          <w:lang w:eastAsia="bg-BG"/>
        </w:rPr>
      </w:pPr>
    </w:p>
    <w:p w14:paraId="35CF1EA9" w14:textId="4CB09370" w:rsidR="005D1D7A" w:rsidRPr="005D1D7A" w:rsidRDefault="005D1D7A" w:rsidP="005D1D7A">
      <w:pPr>
        <w:rPr>
          <w:sz w:val="24"/>
          <w:szCs w:val="24"/>
        </w:rPr>
      </w:pPr>
      <w:r w:rsidRPr="005D1D7A">
        <w:rPr>
          <w:lang w:eastAsia="bg-BG"/>
        </w:rPr>
        <w:t>Използването на по-голяма доза или по-често отколкото е препоръчана няма да подобри резултата.</w:t>
      </w:r>
    </w:p>
    <w:p w14:paraId="258DD1A6" w14:textId="77777777" w:rsidR="005D1D7A" w:rsidRDefault="005D1D7A" w:rsidP="005D1D7A">
      <w:pPr>
        <w:rPr>
          <w:lang w:eastAsia="bg-BG"/>
        </w:rPr>
      </w:pPr>
    </w:p>
    <w:p w14:paraId="65D80200" w14:textId="260EEC59" w:rsidR="005D1D7A" w:rsidRPr="005D1D7A" w:rsidRDefault="005D1D7A" w:rsidP="005D1D7A">
      <w:pPr>
        <w:rPr>
          <w:sz w:val="24"/>
          <w:szCs w:val="24"/>
        </w:rPr>
      </w:pPr>
      <w:r w:rsidRPr="005D1D7A">
        <w:rPr>
          <w:lang w:eastAsia="bg-BG"/>
        </w:rPr>
        <w:t>Продължителното използване е необходимо, за да се увеличи и поддържа растежът на косата или загубата на коса може да започне отново.</w:t>
      </w:r>
    </w:p>
    <w:p w14:paraId="16145BB5" w14:textId="77777777" w:rsidR="005D1D7A" w:rsidRDefault="005D1D7A" w:rsidP="005D1D7A">
      <w:pPr>
        <w:rPr>
          <w:lang w:eastAsia="bg-BG"/>
        </w:rPr>
      </w:pPr>
    </w:p>
    <w:p w14:paraId="2AD19437" w14:textId="0781B549" w:rsidR="005D1D7A" w:rsidRPr="005D1D7A" w:rsidRDefault="005D1D7A" w:rsidP="005D1D7A">
      <w:pPr>
        <w:rPr>
          <w:lang w:eastAsia="bg-BG"/>
        </w:rPr>
      </w:pPr>
      <w:r w:rsidRPr="005D1D7A">
        <w:rPr>
          <w:lang w:eastAsia="bg-BG"/>
        </w:rPr>
        <w:t>Временно увеличение на косопада може да се появи в рамките на първите 2-6 седмици от лечението.</w:t>
      </w:r>
    </w:p>
    <w:p w14:paraId="452FD021" w14:textId="77777777" w:rsidR="005D1D7A" w:rsidRPr="005D1D7A" w:rsidRDefault="005D1D7A" w:rsidP="005D1D7A">
      <w:pPr>
        <w:rPr>
          <w:sz w:val="24"/>
          <w:szCs w:val="24"/>
        </w:rPr>
      </w:pPr>
      <w:r w:rsidRPr="005D1D7A">
        <w:rPr>
          <w:lang w:eastAsia="bg-BG"/>
        </w:rPr>
        <w:t>Нежелан растеж на косми може да бъде причинен от прехвърлянето на продукта в области, различни от скалпа.</w:t>
      </w:r>
    </w:p>
    <w:p w14:paraId="56506D22" w14:textId="77777777" w:rsidR="005D1D7A" w:rsidRPr="005D1D7A" w:rsidRDefault="005D1D7A" w:rsidP="005D1D7A">
      <w:pPr>
        <w:rPr>
          <w:sz w:val="24"/>
          <w:szCs w:val="24"/>
        </w:rPr>
      </w:pPr>
      <w:r w:rsidRPr="005D1D7A">
        <w:rPr>
          <w:lang w:eastAsia="bg-BG"/>
        </w:rPr>
        <w:t>Ако симптомите продължават или се влошат, или се появят нови симптоми пациентите трябва да спрат употребата и да се консултирате с лекар.</w:t>
      </w:r>
    </w:p>
    <w:p w14:paraId="1925A3A2" w14:textId="77777777" w:rsidR="005D1D7A" w:rsidRDefault="005D1D7A" w:rsidP="005D1D7A">
      <w:pPr>
        <w:rPr>
          <w:lang w:eastAsia="bg-BG"/>
        </w:rPr>
      </w:pPr>
    </w:p>
    <w:p w14:paraId="6677A7D0" w14:textId="5B8F07A8" w:rsidR="005D1D7A" w:rsidRPr="005D1D7A" w:rsidRDefault="005D1D7A" w:rsidP="005D1D7A">
      <w:pPr>
        <w:rPr>
          <w:sz w:val="24"/>
          <w:szCs w:val="24"/>
        </w:rPr>
      </w:pPr>
      <w:r w:rsidRPr="005D1D7A">
        <w:rPr>
          <w:lang w:eastAsia="bg-BG"/>
        </w:rPr>
        <w:t>Пропиленгликол, който е помощно вещество в продукта, може да причини дразнене на кожата.</w:t>
      </w:r>
    </w:p>
    <w:p w14:paraId="2C83E904" w14:textId="77777777" w:rsidR="005D1D7A" w:rsidRDefault="005D1D7A" w:rsidP="005D1D7A">
      <w:pPr>
        <w:rPr>
          <w:lang w:eastAsia="bg-BG"/>
        </w:rPr>
      </w:pPr>
    </w:p>
    <w:p w14:paraId="2AAC9091" w14:textId="4825D578" w:rsidR="005D1D7A" w:rsidRDefault="005D1D7A" w:rsidP="005D1D7A">
      <w:pPr>
        <w:rPr>
          <w:lang w:eastAsia="bg-BG"/>
        </w:rPr>
      </w:pPr>
      <w:r w:rsidRPr="005D1D7A">
        <w:rPr>
          <w:lang w:eastAsia="bg-BG"/>
        </w:rPr>
        <w:t xml:space="preserve">Това лекарство съдържа 220 </w:t>
      </w:r>
      <w:r w:rsidRPr="005D1D7A">
        <w:rPr>
          <w:lang w:val="en-US"/>
        </w:rPr>
        <w:t>mg</w:t>
      </w:r>
      <w:r w:rsidRPr="005D1D7A">
        <w:rPr>
          <w:lang w:val="ru-RU"/>
        </w:rPr>
        <w:t xml:space="preserve"> </w:t>
      </w:r>
      <w:r w:rsidRPr="005D1D7A">
        <w:rPr>
          <w:lang w:eastAsia="bg-BG"/>
        </w:rPr>
        <w:t xml:space="preserve">пропиленгликол във всеки </w:t>
      </w:r>
      <w:r w:rsidRPr="005D1D7A">
        <w:rPr>
          <w:lang w:val="en-US"/>
        </w:rPr>
        <w:t>g</w:t>
      </w:r>
      <w:r w:rsidRPr="005D1D7A">
        <w:rPr>
          <w:lang w:val="ru-RU"/>
        </w:rPr>
        <w:t xml:space="preserve"> </w:t>
      </w:r>
      <w:r w:rsidRPr="005D1D7A">
        <w:rPr>
          <w:lang w:eastAsia="bg-BG"/>
        </w:rPr>
        <w:t>(грам).</w:t>
      </w:r>
    </w:p>
    <w:p w14:paraId="6E7B32D5" w14:textId="075A1835" w:rsidR="005D1D7A" w:rsidRDefault="005D1D7A" w:rsidP="005D1D7A">
      <w:pPr>
        <w:rPr>
          <w:lang w:eastAsia="bg-BG"/>
        </w:rPr>
      </w:pPr>
    </w:p>
    <w:p w14:paraId="49D935EC" w14:textId="77777777" w:rsidR="005D1D7A" w:rsidRPr="005D1D7A" w:rsidRDefault="005D1D7A" w:rsidP="005D1D7A">
      <w:pPr>
        <w:rPr>
          <w:sz w:val="24"/>
          <w:szCs w:val="24"/>
        </w:rPr>
      </w:pPr>
      <w:r w:rsidRPr="005D1D7A">
        <w:rPr>
          <w:lang w:eastAsia="bg-BG"/>
        </w:rPr>
        <w:t>Етанолът, който е помощно вещество в продукта, може да предизвика парене и раздразнение. В случай на инцидентен контакт с чувствителни повърхности (очи, наранена кожа и лигавици), засегнатото поле трябва да бъде изплакнато обилно със студена чешмяна вода.</w:t>
      </w:r>
    </w:p>
    <w:p w14:paraId="7CB8530E" w14:textId="77777777" w:rsidR="005D1D7A" w:rsidRDefault="005D1D7A" w:rsidP="005D1D7A">
      <w:pPr>
        <w:rPr>
          <w:lang w:eastAsia="bg-BG"/>
        </w:rPr>
      </w:pPr>
    </w:p>
    <w:p w14:paraId="265F626D" w14:textId="46574A07" w:rsidR="005D1D7A" w:rsidRDefault="005D1D7A" w:rsidP="005D1D7A">
      <w:pPr>
        <w:rPr>
          <w:lang w:eastAsia="bg-BG"/>
        </w:rPr>
      </w:pPr>
      <w:r w:rsidRPr="005D1D7A">
        <w:rPr>
          <w:lang w:eastAsia="bg-BG"/>
        </w:rPr>
        <w:t>Поради алкохолното си съдържание продуктът е запалим и не трябва да се прилага в близост до открит огън и други източници на топлина.</w:t>
      </w:r>
    </w:p>
    <w:p w14:paraId="1DBFD7D2" w14:textId="77777777" w:rsidR="005D1D7A" w:rsidRPr="005D1D7A" w:rsidRDefault="005D1D7A" w:rsidP="005D1D7A"/>
    <w:p w14:paraId="1244F76A" w14:textId="63C74EA1" w:rsidR="00395555" w:rsidRDefault="002C50EE" w:rsidP="008A6AF2">
      <w:pPr>
        <w:pStyle w:val="Heading2"/>
      </w:pPr>
      <w:r>
        <w:t>4.5. Взаимодействие с други лекарствени продукти и други форми на взаимодействие</w:t>
      </w:r>
    </w:p>
    <w:p w14:paraId="7020714B" w14:textId="27A73F49" w:rsidR="005D1D7A" w:rsidRDefault="005D1D7A" w:rsidP="005D1D7A"/>
    <w:p w14:paraId="59DA5C7F" w14:textId="77777777" w:rsidR="005D1D7A" w:rsidRPr="005D1D7A" w:rsidRDefault="005D1D7A" w:rsidP="005D1D7A">
      <w:pPr>
        <w:rPr>
          <w:sz w:val="24"/>
          <w:szCs w:val="24"/>
        </w:rPr>
      </w:pPr>
      <w:r w:rsidRPr="005D1D7A">
        <w:rPr>
          <w:lang w:eastAsia="bg-BG"/>
        </w:rPr>
        <w:t>Миноксидил за локално приложение не трябва да се използва едновременно с каквито и да е други лекарствени продукти върху скалпа.</w:t>
      </w:r>
    </w:p>
    <w:p w14:paraId="3056FC0F" w14:textId="77777777" w:rsidR="005D1D7A" w:rsidRDefault="005D1D7A" w:rsidP="005D1D7A">
      <w:pPr>
        <w:rPr>
          <w:lang w:eastAsia="bg-BG"/>
        </w:rPr>
      </w:pPr>
    </w:p>
    <w:p w14:paraId="291B4DA4" w14:textId="7C10ECBD" w:rsidR="005D1D7A" w:rsidRPr="005D1D7A" w:rsidRDefault="005D1D7A" w:rsidP="005D1D7A">
      <w:pPr>
        <w:rPr>
          <w:sz w:val="24"/>
          <w:szCs w:val="24"/>
        </w:rPr>
      </w:pPr>
      <w:r w:rsidRPr="005D1D7A">
        <w:rPr>
          <w:lang w:eastAsia="bg-BG"/>
        </w:rPr>
        <w:t>Има съобщения, че гванетидин взаимодейства с пероралните форми на миноксидил, което води до бързо и изразено понижение на кръвното налягане.</w:t>
      </w:r>
    </w:p>
    <w:p w14:paraId="5DFADD84" w14:textId="77777777" w:rsidR="005D1D7A" w:rsidRDefault="005D1D7A" w:rsidP="005D1D7A">
      <w:pPr>
        <w:rPr>
          <w:lang w:eastAsia="bg-BG"/>
        </w:rPr>
      </w:pPr>
    </w:p>
    <w:p w14:paraId="5633A2DE" w14:textId="1410866C" w:rsidR="005D1D7A" w:rsidRDefault="005D1D7A" w:rsidP="005D1D7A">
      <w:pPr>
        <w:rPr>
          <w:lang w:eastAsia="bg-BG"/>
        </w:rPr>
      </w:pPr>
      <w:r w:rsidRPr="005D1D7A">
        <w:rPr>
          <w:lang w:eastAsia="bg-BG"/>
        </w:rPr>
        <w:t>Да не се използва миноксидил за локално приложение едновременно с локалните кортикостероиди третиноин или антралин, тъй като тези лекарства за локално приложение могат да променят пермеабилитета на кожата и може да доведат до промяна в абсорбцията на миноксидил.</w:t>
      </w:r>
    </w:p>
    <w:p w14:paraId="59018ED6" w14:textId="77777777" w:rsidR="005D1D7A" w:rsidRPr="005D1D7A" w:rsidRDefault="005D1D7A" w:rsidP="005D1D7A"/>
    <w:p w14:paraId="6EADE4D6" w14:textId="2BD18B06" w:rsidR="00395555" w:rsidRDefault="002C50EE" w:rsidP="008A6AF2">
      <w:pPr>
        <w:pStyle w:val="Heading2"/>
      </w:pPr>
      <w:r>
        <w:t>4.6. Фертилитет, бременност и кърмене</w:t>
      </w:r>
    </w:p>
    <w:p w14:paraId="20CF3282" w14:textId="47D16A16" w:rsidR="005D1D7A" w:rsidRDefault="005D1D7A" w:rsidP="005D1D7A"/>
    <w:p w14:paraId="25D27C4B" w14:textId="77777777" w:rsidR="005D1D7A" w:rsidRPr="005D1D7A" w:rsidRDefault="005D1D7A" w:rsidP="005D1D7A">
      <w:pPr>
        <w:rPr>
          <w:sz w:val="24"/>
          <w:szCs w:val="24"/>
        </w:rPr>
      </w:pPr>
      <w:r w:rsidRPr="005D1D7A">
        <w:rPr>
          <w:lang w:eastAsia="bg-BG"/>
        </w:rPr>
        <w:t>Няма адекватни и добре контролирани проучвания при бременни жени.</w:t>
      </w:r>
    </w:p>
    <w:p w14:paraId="599705BB" w14:textId="77777777" w:rsidR="005D1D7A" w:rsidRDefault="005D1D7A" w:rsidP="005D1D7A">
      <w:pPr>
        <w:rPr>
          <w:lang w:eastAsia="bg-BG"/>
        </w:rPr>
      </w:pPr>
    </w:p>
    <w:p w14:paraId="16F70BEF" w14:textId="771E1EF8" w:rsidR="005D1D7A" w:rsidRPr="005D1D7A" w:rsidRDefault="005D1D7A" w:rsidP="005D1D7A">
      <w:pPr>
        <w:rPr>
          <w:sz w:val="24"/>
          <w:szCs w:val="24"/>
        </w:rPr>
      </w:pPr>
      <w:r w:rsidRPr="005D1D7A">
        <w:rPr>
          <w:lang w:eastAsia="bg-BG"/>
        </w:rPr>
        <w:t>Изпитванията при животни показват риск за плода при прилагане на дози, които в сравнение с нивата, достигани при хора, са много високи. Съществува потенциален риск от увреждане на плода при хората (вижте точка 5.3).</w:t>
      </w:r>
    </w:p>
    <w:p w14:paraId="68D965AA" w14:textId="77777777" w:rsidR="005D1D7A" w:rsidRDefault="005D1D7A" w:rsidP="005D1D7A">
      <w:pPr>
        <w:rPr>
          <w:lang w:eastAsia="bg-BG"/>
        </w:rPr>
      </w:pPr>
    </w:p>
    <w:p w14:paraId="1E919CA1" w14:textId="2970D649" w:rsidR="005D1D7A" w:rsidRPr="005D1D7A" w:rsidRDefault="005D1D7A" w:rsidP="005D1D7A">
      <w:pPr>
        <w:rPr>
          <w:sz w:val="24"/>
          <w:szCs w:val="24"/>
        </w:rPr>
      </w:pPr>
      <w:r w:rsidRPr="005D1D7A">
        <w:rPr>
          <w:lang w:eastAsia="bg-BG"/>
        </w:rPr>
        <w:t>Системно абсорбираният миноксидил се екскретира в майчиното мляко.</w:t>
      </w:r>
    </w:p>
    <w:p w14:paraId="4CD1D8A3" w14:textId="77777777" w:rsidR="005D1D7A" w:rsidRDefault="005D1D7A" w:rsidP="005D1D7A">
      <w:pPr>
        <w:rPr>
          <w:lang w:eastAsia="bg-BG"/>
        </w:rPr>
      </w:pPr>
    </w:p>
    <w:p w14:paraId="47DFA50F" w14:textId="25049447" w:rsidR="005D1D7A" w:rsidRDefault="005D1D7A" w:rsidP="005D1D7A">
      <w:pPr>
        <w:rPr>
          <w:lang w:eastAsia="bg-BG"/>
        </w:rPr>
      </w:pPr>
      <w:r w:rsidRPr="005D1D7A">
        <w:rPr>
          <w:lang w:eastAsia="bg-BG"/>
        </w:rPr>
        <w:t>Миноксидил за локално приложение не трябва да се използва по време на бременност или кърмене.</w:t>
      </w:r>
    </w:p>
    <w:p w14:paraId="3BB9321F" w14:textId="77777777" w:rsidR="005D1D7A" w:rsidRPr="005D1D7A" w:rsidRDefault="005D1D7A" w:rsidP="005D1D7A"/>
    <w:p w14:paraId="5766770B" w14:textId="11C3B7AB" w:rsidR="00395555" w:rsidRDefault="002C50EE" w:rsidP="008A6AF2">
      <w:pPr>
        <w:pStyle w:val="Heading2"/>
      </w:pPr>
      <w:r>
        <w:t>4.7. Ефекти върху способността за шофиране и работа с машини</w:t>
      </w:r>
    </w:p>
    <w:p w14:paraId="1C69E1B5" w14:textId="4AC4B04B" w:rsidR="005D1D7A" w:rsidRDefault="005D1D7A" w:rsidP="005D1D7A"/>
    <w:p w14:paraId="68F8742D" w14:textId="77777777" w:rsidR="005D1D7A" w:rsidRPr="005D1D7A" w:rsidRDefault="005D1D7A" w:rsidP="005D1D7A">
      <w:pPr>
        <w:rPr>
          <w:sz w:val="24"/>
          <w:szCs w:val="24"/>
        </w:rPr>
      </w:pPr>
      <w:r w:rsidRPr="005D1D7A">
        <w:rPr>
          <w:lang w:eastAsia="bg-BG"/>
        </w:rPr>
        <w:t>Може да причини замайване или хипотония (вижте точка 4.8). В такъв случай да не се шофира или работи с машини.</w:t>
      </w:r>
    </w:p>
    <w:p w14:paraId="76AC0FB3" w14:textId="77777777" w:rsidR="005D1D7A" w:rsidRPr="005D1D7A" w:rsidRDefault="005D1D7A" w:rsidP="005D1D7A"/>
    <w:p w14:paraId="4FE16E21" w14:textId="1E8DBE96" w:rsidR="00395555" w:rsidRDefault="002C50EE" w:rsidP="008A6AF2">
      <w:pPr>
        <w:pStyle w:val="Heading2"/>
      </w:pPr>
      <w:r>
        <w:t>4.8. Нежелани лекарствени реакции</w:t>
      </w:r>
    </w:p>
    <w:p w14:paraId="3ED54AF9" w14:textId="17A9FB11" w:rsidR="005D1D7A" w:rsidRDefault="005D1D7A" w:rsidP="005D1D7A"/>
    <w:p w14:paraId="7046918B"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Данни от клинични изпитвания</w:t>
      </w:r>
    </w:p>
    <w:p w14:paraId="5E4A7915"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lastRenderedPageBreak/>
        <w:t>Данните за безопасността на миноксидил за локално приложение от клиничните изпитвания се основават на данни от 7 плацебо-контролиран и рандомизирани клинични изпитвания при възрастни, оценяващи 2% или 5% разтвор на миноксидил, и две плацебо-контролиран и рандомизирани клинични изпитвания при възрастни, оценяващи 5% пяна.</w:t>
      </w:r>
    </w:p>
    <w:p w14:paraId="7C6A2C77" w14:textId="77777777" w:rsidR="005D1D7A" w:rsidRPr="005D1D7A" w:rsidRDefault="005D1D7A" w:rsidP="005D1D7A">
      <w:pPr>
        <w:spacing w:line="240" w:lineRule="auto"/>
        <w:rPr>
          <w:rFonts w:eastAsia="Times New Roman" w:cs="Arial"/>
          <w:color w:val="000000"/>
          <w:szCs w:val="20"/>
          <w:lang w:eastAsia="bg-BG"/>
        </w:rPr>
      </w:pPr>
    </w:p>
    <w:p w14:paraId="6A13F092" w14:textId="42240F42"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Таблица 1 включва нежеланите събития на 7-те проучвания за разтвора.</w:t>
      </w:r>
    </w:p>
    <w:p w14:paraId="703A304F" w14:textId="77777777" w:rsidR="005D1D7A" w:rsidRPr="005D1D7A" w:rsidRDefault="005D1D7A" w:rsidP="005D1D7A">
      <w:pPr>
        <w:spacing w:line="240" w:lineRule="auto"/>
        <w:rPr>
          <w:rFonts w:eastAsia="Times New Roman" w:cs="Arial"/>
          <w:color w:val="000000"/>
          <w:szCs w:val="20"/>
          <w:lang w:eastAsia="bg-BG"/>
        </w:rPr>
      </w:pPr>
    </w:p>
    <w:p w14:paraId="1A00F7FE" w14:textId="1038DB1A"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Нежеланите събития, установени в клиничните изпитвания с миноксидил за локално приложение, са включени в Таблица 1; честотата е определена според следната конвенция:</w:t>
      </w:r>
    </w:p>
    <w:p w14:paraId="323694C7"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Много чести ≥1/10</w:t>
      </w:r>
    </w:p>
    <w:p w14:paraId="72F67766"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Чести ≥1/100 и &lt; 1/10</w:t>
      </w:r>
    </w:p>
    <w:p w14:paraId="744F6D7A"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Нечести ≥1/1000 и &lt;1/100</w:t>
      </w:r>
    </w:p>
    <w:p w14:paraId="2627D10A"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Редки ≥1/10 000 и &lt; 1 /1000</w:t>
      </w:r>
    </w:p>
    <w:p w14:paraId="608B3FE0"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М ного редки &lt;1/10 000</w:t>
      </w:r>
    </w:p>
    <w:p w14:paraId="6F116F06" w14:textId="035C4BED" w:rsidR="005D1D7A" w:rsidRPr="005D1D7A" w:rsidRDefault="005D1D7A" w:rsidP="005D1D7A">
      <w:pPr>
        <w:rPr>
          <w:rFonts w:eastAsia="Times New Roman" w:cs="Arial"/>
          <w:color w:val="000000"/>
          <w:szCs w:val="20"/>
          <w:lang w:eastAsia="bg-BG"/>
        </w:rPr>
      </w:pPr>
      <w:r w:rsidRPr="005D1D7A">
        <w:rPr>
          <w:rFonts w:eastAsia="Times New Roman" w:cs="Arial"/>
          <w:color w:val="000000"/>
          <w:szCs w:val="20"/>
          <w:lang w:eastAsia="bg-BG"/>
        </w:rPr>
        <w:t>С неизвестна честота (от наличните данни не може да бъде направена оценка)</w:t>
      </w:r>
    </w:p>
    <w:p w14:paraId="06D97514" w14:textId="5F6D39A9" w:rsidR="005D1D7A" w:rsidRPr="005D1D7A" w:rsidRDefault="005D1D7A" w:rsidP="005D1D7A">
      <w:pPr>
        <w:rPr>
          <w:rFonts w:eastAsia="Times New Roman" w:cs="Arial"/>
          <w:color w:val="000000"/>
          <w:szCs w:val="20"/>
          <w:lang w:eastAsia="bg-BG"/>
        </w:rPr>
      </w:pPr>
    </w:p>
    <w:p w14:paraId="2AE93A61" w14:textId="3496AAFB" w:rsidR="005D1D7A" w:rsidRDefault="005D1D7A" w:rsidP="005D1D7A">
      <w:pPr>
        <w:spacing w:line="240" w:lineRule="auto"/>
        <w:rPr>
          <w:rFonts w:eastAsia="Times New Roman" w:cs="Arial"/>
          <w:color w:val="000000"/>
          <w:szCs w:val="20"/>
          <w:lang w:eastAsia="bg-BG"/>
        </w:rPr>
      </w:pPr>
      <w:r w:rsidRPr="005D1D7A">
        <w:rPr>
          <w:rFonts w:eastAsia="Times New Roman" w:cs="Arial"/>
          <w:color w:val="000000"/>
          <w:szCs w:val="20"/>
          <w:lang w:eastAsia="bg-BG"/>
        </w:rPr>
        <w:t>Таблица 1: Нежелани събития, съобщени от ≥ 1% от възрастните лица, лекувани с миноксидил за локално приложение в рандомизараните плацебо-контролирани клинични изпитвания с 2% или 5% разтвор</w:t>
      </w:r>
    </w:p>
    <w:p w14:paraId="132A1FC6" w14:textId="5211B86F" w:rsidR="005D1D7A" w:rsidRDefault="005D1D7A" w:rsidP="005D1D7A">
      <w:pPr>
        <w:spacing w:line="240" w:lineRule="auto"/>
        <w:rPr>
          <w:rFonts w:eastAsia="Times New Roman" w:cs="Arial"/>
          <w:color w:val="000000"/>
          <w:szCs w:val="20"/>
          <w:lang w:eastAsia="bg-BG"/>
        </w:rPr>
      </w:pPr>
    </w:p>
    <w:tbl>
      <w:tblPr>
        <w:tblStyle w:val="TableGrid"/>
        <w:tblW w:w="0" w:type="auto"/>
        <w:tblLook w:val="04A0" w:firstRow="1" w:lastRow="0" w:firstColumn="1" w:lastColumn="0" w:noHBand="0" w:noVBand="1"/>
      </w:tblPr>
      <w:tblGrid>
        <w:gridCol w:w="3131"/>
        <w:gridCol w:w="3114"/>
        <w:gridCol w:w="3105"/>
      </w:tblGrid>
      <w:tr w:rsidR="005D1D7A" w14:paraId="51C35613" w14:textId="77777777" w:rsidTr="005D1D7A">
        <w:tc>
          <w:tcPr>
            <w:tcW w:w="3192" w:type="dxa"/>
          </w:tcPr>
          <w:p w14:paraId="4203F67B" w14:textId="11103EFA" w:rsidR="005D1D7A" w:rsidRPr="005D1D7A" w:rsidRDefault="005D1D7A" w:rsidP="005D1D7A">
            <w:pPr>
              <w:spacing w:line="240" w:lineRule="auto"/>
              <w:rPr>
                <w:rFonts w:ascii="Times New Roman" w:eastAsia="Times New Roman" w:hAnsi="Times New Roman" w:cs="Times New Roman"/>
                <w:szCs w:val="24"/>
              </w:rPr>
            </w:pPr>
            <w:r w:rsidRPr="005D1D7A">
              <w:rPr>
                <w:b/>
                <w:bCs/>
                <w:szCs w:val="20"/>
              </w:rPr>
              <w:t>Системо-органен клас Предпочитан термин</w:t>
            </w:r>
          </w:p>
        </w:tc>
        <w:tc>
          <w:tcPr>
            <w:tcW w:w="3192" w:type="dxa"/>
          </w:tcPr>
          <w:p w14:paraId="2D139358" w14:textId="374CBA1D" w:rsidR="005D1D7A" w:rsidRPr="005D1D7A" w:rsidRDefault="005D1D7A" w:rsidP="005D1D7A">
            <w:pPr>
              <w:spacing w:line="240" w:lineRule="auto"/>
              <w:rPr>
                <w:rFonts w:ascii="Times New Roman" w:eastAsia="Times New Roman" w:hAnsi="Times New Roman" w:cs="Times New Roman"/>
                <w:szCs w:val="24"/>
              </w:rPr>
            </w:pPr>
            <w:r w:rsidRPr="005D1D7A">
              <w:rPr>
                <w:b/>
                <w:bCs/>
                <w:szCs w:val="20"/>
              </w:rPr>
              <w:t xml:space="preserve">Миноксидил за локално приложение </w:t>
            </w:r>
            <w:r w:rsidRPr="005D1D7A">
              <w:rPr>
                <w:b/>
                <w:bCs/>
                <w:szCs w:val="20"/>
                <w:lang w:val="ru-RU"/>
              </w:rPr>
              <w:t>(</w:t>
            </w:r>
            <w:r w:rsidRPr="005D1D7A">
              <w:rPr>
                <w:b/>
                <w:bCs/>
                <w:szCs w:val="20"/>
                <w:lang w:val="en-US"/>
              </w:rPr>
              <w:t>N</w:t>
            </w:r>
            <w:r w:rsidRPr="005D1D7A">
              <w:rPr>
                <w:b/>
                <w:bCs/>
                <w:szCs w:val="20"/>
                <w:lang w:val="ru-RU"/>
              </w:rPr>
              <w:t xml:space="preserve">=1197) </w:t>
            </w:r>
            <w:r w:rsidRPr="005D1D7A">
              <w:rPr>
                <w:b/>
                <w:bCs/>
                <w:szCs w:val="20"/>
              </w:rPr>
              <w:t>%(честота)</w:t>
            </w:r>
          </w:p>
        </w:tc>
        <w:tc>
          <w:tcPr>
            <w:tcW w:w="3192" w:type="dxa"/>
          </w:tcPr>
          <w:p w14:paraId="63085575" w14:textId="158CB458" w:rsidR="005D1D7A" w:rsidRPr="005D1D7A" w:rsidRDefault="005D1D7A" w:rsidP="005D1D7A">
            <w:pPr>
              <w:spacing w:line="240" w:lineRule="auto"/>
              <w:rPr>
                <w:rFonts w:ascii="Times New Roman" w:eastAsia="Times New Roman" w:hAnsi="Times New Roman" w:cs="Times New Roman"/>
                <w:szCs w:val="24"/>
              </w:rPr>
            </w:pPr>
            <w:r w:rsidRPr="005D1D7A">
              <w:rPr>
                <w:b/>
                <w:bCs/>
                <w:szCs w:val="20"/>
              </w:rPr>
              <w:t xml:space="preserve">Плацебо </w:t>
            </w:r>
            <w:r w:rsidRPr="005D1D7A">
              <w:rPr>
                <w:b/>
                <w:bCs/>
                <w:szCs w:val="20"/>
                <w:lang w:val="en-US"/>
              </w:rPr>
              <w:t xml:space="preserve">(N=365) </w:t>
            </w:r>
            <w:r w:rsidRPr="005D1D7A">
              <w:rPr>
                <w:b/>
                <w:bCs/>
                <w:szCs w:val="20"/>
              </w:rPr>
              <w:t>%(честота)</w:t>
            </w:r>
          </w:p>
        </w:tc>
      </w:tr>
      <w:tr w:rsidR="005D1D7A" w14:paraId="40E903CA" w14:textId="77777777" w:rsidTr="005D1D7A">
        <w:tc>
          <w:tcPr>
            <w:tcW w:w="3192" w:type="dxa"/>
          </w:tcPr>
          <w:p w14:paraId="51EF4439" w14:textId="77777777" w:rsidR="005D1D7A" w:rsidRPr="005D1D7A" w:rsidRDefault="005D1D7A" w:rsidP="005D1D7A">
            <w:r w:rsidRPr="005D1D7A">
              <w:rPr>
                <w:b/>
                <w:bCs/>
                <w:szCs w:val="20"/>
              </w:rPr>
              <w:t>Общи нарушения и ефекти на мястото на приложение</w:t>
            </w:r>
          </w:p>
          <w:p w14:paraId="4DC9F84F" w14:textId="631917A5" w:rsidR="005D1D7A" w:rsidRPr="005D1D7A" w:rsidRDefault="005D1D7A" w:rsidP="005D1D7A">
            <w:pPr>
              <w:spacing w:line="240" w:lineRule="auto"/>
              <w:rPr>
                <w:rFonts w:ascii="Times New Roman" w:eastAsia="Times New Roman" w:hAnsi="Times New Roman" w:cs="Times New Roman"/>
                <w:szCs w:val="24"/>
              </w:rPr>
            </w:pPr>
            <w:r w:rsidRPr="005D1D7A">
              <w:rPr>
                <w:i/>
                <w:iCs/>
                <w:szCs w:val="20"/>
              </w:rPr>
              <w:t>Периферен оток</w:t>
            </w:r>
          </w:p>
        </w:tc>
        <w:tc>
          <w:tcPr>
            <w:tcW w:w="3192" w:type="dxa"/>
          </w:tcPr>
          <w:p w14:paraId="5B7E776A" w14:textId="77777777" w:rsidR="005D1D7A" w:rsidRDefault="005D1D7A" w:rsidP="005D1D7A">
            <w:pPr>
              <w:spacing w:line="240" w:lineRule="auto"/>
              <w:rPr>
                <w:szCs w:val="20"/>
              </w:rPr>
            </w:pPr>
          </w:p>
          <w:p w14:paraId="3A308E1C" w14:textId="77777777" w:rsidR="005D1D7A" w:rsidRDefault="005D1D7A" w:rsidP="005D1D7A">
            <w:pPr>
              <w:spacing w:line="240" w:lineRule="auto"/>
              <w:rPr>
                <w:szCs w:val="20"/>
              </w:rPr>
            </w:pPr>
          </w:p>
          <w:p w14:paraId="5847CDA2" w14:textId="1DB815FF" w:rsidR="005D1D7A" w:rsidRPr="005D1D7A" w:rsidRDefault="005D1D7A" w:rsidP="005D1D7A">
            <w:pPr>
              <w:spacing w:line="240" w:lineRule="auto"/>
              <w:rPr>
                <w:rFonts w:ascii="Times New Roman" w:eastAsia="Times New Roman" w:hAnsi="Times New Roman" w:cs="Times New Roman"/>
                <w:szCs w:val="24"/>
              </w:rPr>
            </w:pPr>
            <w:r w:rsidRPr="005D1D7A">
              <w:rPr>
                <w:szCs w:val="20"/>
              </w:rPr>
              <w:t>3,3 (чести)</w:t>
            </w:r>
          </w:p>
        </w:tc>
        <w:tc>
          <w:tcPr>
            <w:tcW w:w="3192" w:type="dxa"/>
          </w:tcPr>
          <w:p w14:paraId="13DE4749" w14:textId="77777777" w:rsidR="005D1D7A" w:rsidRDefault="005D1D7A" w:rsidP="005D1D7A">
            <w:pPr>
              <w:spacing w:line="240" w:lineRule="auto"/>
              <w:rPr>
                <w:szCs w:val="20"/>
              </w:rPr>
            </w:pPr>
          </w:p>
          <w:p w14:paraId="2527D911" w14:textId="77777777" w:rsidR="005D1D7A" w:rsidRDefault="005D1D7A" w:rsidP="005D1D7A">
            <w:pPr>
              <w:spacing w:line="240" w:lineRule="auto"/>
              <w:rPr>
                <w:szCs w:val="20"/>
              </w:rPr>
            </w:pPr>
          </w:p>
          <w:p w14:paraId="55A89F02" w14:textId="51618493" w:rsidR="005D1D7A" w:rsidRPr="005D1D7A" w:rsidRDefault="005D1D7A" w:rsidP="005D1D7A">
            <w:pPr>
              <w:spacing w:line="240" w:lineRule="auto"/>
              <w:rPr>
                <w:rFonts w:ascii="Times New Roman" w:eastAsia="Times New Roman" w:hAnsi="Times New Roman" w:cs="Times New Roman"/>
                <w:szCs w:val="24"/>
              </w:rPr>
            </w:pPr>
            <w:r w:rsidRPr="005D1D7A">
              <w:rPr>
                <w:szCs w:val="20"/>
              </w:rPr>
              <w:t>1,6</w:t>
            </w:r>
          </w:p>
        </w:tc>
      </w:tr>
      <w:tr w:rsidR="005D1D7A" w14:paraId="76FAC839" w14:textId="77777777" w:rsidTr="005D1D7A">
        <w:tc>
          <w:tcPr>
            <w:tcW w:w="3192" w:type="dxa"/>
          </w:tcPr>
          <w:p w14:paraId="04A853E8" w14:textId="77777777" w:rsidR="005D1D7A" w:rsidRPr="005D1D7A" w:rsidRDefault="005D1D7A" w:rsidP="005D1D7A">
            <w:r w:rsidRPr="005D1D7A">
              <w:rPr>
                <w:b/>
                <w:bCs/>
                <w:szCs w:val="20"/>
              </w:rPr>
              <w:t>Нарушения на нервната система</w:t>
            </w:r>
          </w:p>
          <w:p w14:paraId="46434415" w14:textId="48A79491" w:rsidR="005D1D7A" w:rsidRPr="005D1D7A" w:rsidRDefault="005D1D7A" w:rsidP="005D1D7A">
            <w:pPr>
              <w:spacing w:line="240" w:lineRule="auto"/>
              <w:rPr>
                <w:rFonts w:ascii="Times New Roman" w:eastAsia="Times New Roman" w:hAnsi="Times New Roman" w:cs="Times New Roman"/>
                <w:szCs w:val="24"/>
              </w:rPr>
            </w:pPr>
            <w:r w:rsidRPr="005D1D7A">
              <w:rPr>
                <w:i/>
                <w:iCs/>
                <w:szCs w:val="20"/>
              </w:rPr>
              <w:t>Главоболие</w:t>
            </w:r>
          </w:p>
        </w:tc>
        <w:tc>
          <w:tcPr>
            <w:tcW w:w="3192" w:type="dxa"/>
          </w:tcPr>
          <w:p w14:paraId="1D458B39" w14:textId="77777777" w:rsidR="005D1D7A" w:rsidRDefault="005D1D7A" w:rsidP="005D1D7A">
            <w:pPr>
              <w:spacing w:line="240" w:lineRule="auto"/>
              <w:rPr>
                <w:szCs w:val="20"/>
              </w:rPr>
            </w:pPr>
          </w:p>
          <w:p w14:paraId="24DEBBB8" w14:textId="77777777" w:rsidR="005D1D7A" w:rsidRDefault="005D1D7A" w:rsidP="005D1D7A">
            <w:pPr>
              <w:spacing w:line="240" w:lineRule="auto"/>
              <w:rPr>
                <w:szCs w:val="20"/>
              </w:rPr>
            </w:pPr>
          </w:p>
          <w:p w14:paraId="1D97C275" w14:textId="0FFAD58A" w:rsidR="005D1D7A" w:rsidRPr="005D1D7A" w:rsidRDefault="005D1D7A" w:rsidP="005D1D7A">
            <w:pPr>
              <w:spacing w:line="240" w:lineRule="auto"/>
              <w:rPr>
                <w:rFonts w:ascii="Times New Roman" w:eastAsia="Times New Roman" w:hAnsi="Times New Roman" w:cs="Times New Roman"/>
                <w:szCs w:val="24"/>
              </w:rPr>
            </w:pPr>
            <w:r w:rsidRPr="005D1D7A">
              <w:rPr>
                <w:szCs w:val="20"/>
              </w:rPr>
              <w:t>15,0 (много чести)</w:t>
            </w:r>
          </w:p>
        </w:tc>
        <w:tc>
          <w:tcPr>
            <w:tcW w:w="3192" w:type="dxa"/>
          </w:tcPr>
          <w:p w14:paraId="7349BB44" w14:textId="77777777" w:rsidR="005D1D7A" w:rsidRDefault="005D1D7A" w:rsidP="005D1D7A">
            <w:pPr>
              <w:spacing w:line="240" w:lineRule="auto"/>
              <w:rPr>
                <w:szCs w:val="20"/>
              </w:rPr>
            </w:pPr>
          </w:p>
          <w:p w14:paraId="5D331314" w14:textId="77777777" w:rsidR="005D1D7A" w:rsidRDefault="005D1D7A" w:rsidP="005D1D7A">
            <w:pPr>
              <w:spacing w:line="240" w:lineRule="auto"/>
              <w:rPr>
                <w:szCs w:val="20"/>
              </w:rPr>
            </w:pPr>
          </w:p>
          <w:p w14:paraId="620BBA66" w14:textId="0100202D" w:rsidR="005D1D7A" w:rsidRPr="005D1D7A" w:rsidRDefault="005D1D7A" w:rsidP="005D1D7A">
            <w:pPr>
              <w:spacing w:line="240" w:lineRule="auto"/>
              <w:rPr>
                <w:rFonts w:ascii="Times New Roman" w:eastAsia="Times New Roman" w:hAnsi="Times New Roman" w:cs="Times New Roman"/>
                <w:szCs w:val="24"/>
              </w:rPr>
            </w:pPr>
            <w:r w:rsidRPr="005D1D7A">
              <w:rPr>
                <w:szCs w:val="20"/>
              </w:rPr>
              <w:t>12,6</w:t>
            </w:r>
          </w:p>
        </w:tc>
      </w:tr>
      <w:tr w:rsidR="005D1D7A" w14:paraId="57032E01" w14:textId="77777777" w:rsidTr="005D1D7A">
        <w:tc>
          <w:tcPr>
            <w:tcW w:w="3192" w:type="dxa"/>
          </w:tcPr>
          <w:p w14:paraId="66D649D0" w14:textId="77777777" w:rsidR="005D1D7A" w:rsidRPr="005D1D7A" w:rsidRDefault="005D1D7A" w:rsidP="005D1D7A">
            <w:r w:rsidRPr="005D1D7A">
              <w:rPr>
                <w:b/>
                <w:bCs/>
                <w:szCs w:val="20"/>
              </w:rPr>
              <w:t>Респираторни, гръдни и медиастинални нарушения</w:t>
            </w:r>
          </w:p>
          <w:p w14:paraId="0DE02580" w14:textId="45DA8EE6" w:rsidR="005D1D7A" w:rsidRPr="005D1D7A" w:rsidRDefault="005D1D7A" w:rsidP="005D1D7A">
            <w:pPr>
              <w:spacing w:line="240" w:lineRule="auto"/>
              <w:rPr>
                <w:rFonts w:ascii="Times New Roman" w:eastAsia="Times New Roman" w:hAnsi="Times New Roman" w:cs="Times New Roman"/>
                <w:szCs w:val="24"/>
              </w:rPr>
            </w:pPr>
            <w:r w:rsidRPr="005D1D7A">
              <w:rPr>
                <w:i/>
                <w:iCs/>
                <w:szCs w:val="20"/>
              </w:rPr>
              <w:t>Диспнея</w:t>
            </w:r>
          </w:p>
        </w:tc>
        <w:tc>
          <w:tcPr>
            <w:tcW w:w="3192" w:type="dxa"/>
          </w:tcPr>
          <w:p w14:paraId="44C0D418" w14:textId="77777777" w:rsidR="005D1D7A" w:rsidRDefault="005D1D7A" w:rsidP="005D1D7A">
            <w:pPr>
              <w:spacing w:line="240" w:lineRule="auto"/>
              <w:rPr>
                <w:szCs w:val="20"/>
              </w:rPr>
            </w:pPr>
          </w:p>
          <w:p w14:paraId="6739A35E" w14:textId="77777777" w:rsidR="005D1D7A" w:rsidRDefault="005D1D7A" w:rsidP="005D1D7A">
            <w:pPr>
              <w:spacing w:line="240" w:lineRule="auto"/>
              <w:rPr>
                <w:szCs w:val="20"/>
              </w:rPr>
            </w:pPr>
          </w:p>
          <w:p w14:paraId="2B18DD8E" w14:textId="77777777" w:rsidR="005D1D7A" w:rsidRDefault="005D1D7A" w:rsidP="005D1D7A">
            <w:pPr>
              <w:spacing w:line="240" w:lineRule="auto"/>
              <w:rPr>
                <w:szCs w:val="20"/>
              </w:rPr>
            </w:pPr>
          </w:p>
          <w:p w14:paraId="6B0B5D77" w14:textId="293D2DF5" w:rsidR="005D1D7A" w:rsidRPr="005D1D7A" w:rsidRDefault="005D1D7A" w:rsidP="005D1D7A">
            <w:pPr>
              <w:spacing w:line="240" w:lineRule="auto"/>
              <w:rPr>
                <w:rFonts w:ascii="Times New Roman" w:eastAsia="Times New Roman" w:hAnsi="Times New Roman" w:cs="Times New Roman"/>
                <w:szCs w:val="24"/>
              </w:rPr>
            </w:pPr>
            <w:r w:rsidRPr="005D1D7A">
              <w:rPr>
                <w:szCs w:val="20"/>
              </w:rPr>
              <w:t>1,2 (чести)</w:t>
            </w:r>
          </w:p>
        </w:tc>
        <w:tc>
          <w:tcPr>
            <w:tcW w:w="3192" w:type="dxa"/>
          </w:tcPr>
          <w:p w14:paraId="1C14C967" w14:textId="77777777" w:rsidR="005D1D7A" w:rsidRDefault="005D1D7A" w:rsidP="005D1D7A">
            <w:pPr>
              <w:spacing w:line="240" w:lineRule="auto"/>
              <w:rPr>
                <w:szCs w:val="20"/>
              </w:rPr>
            </w:pPr>
          </w:p>
          <w:p w14:paraId="7DBA0765" w14:textId="77777777" w:rsidR="005D1D7A" w:rsidRDefault="005D1D7A" w:rsidP="005D1D7A">
            <w:pPr>
              <w:spacing w:line="240" w:lineRule="auto"/>
              <w:rPr>
                <w:szCs w:val="20"/>
              </w:rPr>
            </w:pPr>
          </w:p>
          <w:p w14:paraId="667A9549" w14:textId="77777777" w:rsidR="005D1D7A" w:rsidRDefault="005D1D7A" w:rsidP="005D1D7A">
            <w:pPr>
              <w:spacing w:line="240" w:lineRule="auto"/>
              <w:rPr>
                <w:szCs w:val="20"/>
              </w:rPr>
            </w:pPr>
          </w:p>
          <w:p w14:paraId="2E0D8063" w14:textId="64BA9F35" w:rsidR="005D1D7A" w:rsidRPr="005D1D7A" w:rsidRDefault="005D1D7A" w:rsidP="005D1D7A">
            <w:pPr>
              <w:spacing w:line="240" w:lineRule="auto"/>
              <w:rPr>
                <w:rFonts w:ascii="Times New Roman" w:eastAsia="Times New Roman" w:hAnsi="Times New Roman" w:cs="Times New Roman"/>
                <w:szCs w:val="24"/>
              </w:rPr>
            </w:pPr>
            <w:r w:rsidRPr="005D1D7A">
              <w:rPr>
                <w:szCs w:val="20"/>
              </w:rPr>
              <w:t>1,1</w:t>
            </w:r>
          </w:p>
        </w:tc>
      </w:tr>
      <w:tr w:rsidR="005D1D7A" w14:paraId="03D60707" w14:textId="77777777" w:rsidTr="005D1D7A">
        <w:tc>
          <w:tcPr>
            <w:tcW w:w="3192" w:type="dxa"/>
          </w:tcPr>
          <w:p w14:paraId="1C5A33DB" w14:textId="77777777" w:rsidR="005D1D7A" w:rsidRPr="005D1D7A" w:rsidRDefault="005D1D7A" w:rsidP="005D1D7A">
            <w:r w:rsidRPr="005D1D7A">
              <w:rPr>
                <w:b/>
                <w:bCs/>
                <w:szCs w:val="20"/>
              </w:rPr>
              <w:t>Нарушения на кожата и подкожната тъкан</w:t>
            </w:r>
          </w:p>
          <w:p w14:paraId="4B8417CC" w14:textId="77777777" w:rsidR="005D1D7A" w:rsidRPr="005D1D7A" w:rsidRDefault="005D1D7A" w:rsidP="005D1D7A">
            <w:r w:rsidRPr="005D1D7A">
              <w:rPr>
                <w:i/>
                <w:iCs/>
                <w:szCs w:val="20"/>
              </w:rPr>
              <w:t>Дерматит</w:t>
            </w:r>
          </w:p>
          <w:p w14:paraId="2591D2A4" w14:textId="77777777" w:rsidR="005D1D7A" w:rsidRPr="005D1D7A" w:rsidRDefault="005D1D7A" w:rsidP="005D1D7A">
            <w:r w:rsidRPr="005D1D7A">
              <w:rPr>
                <w:i/>
                <w:iCs/>
                <w:szCs w:val="20"/>
              </w:rPr>
              <w:t>Акнеиформен дерматит</w:t>
            </w:r>
          </w:p>
          <w:p w14:paraId="664A95C6" w14:textId="77777777" w:rsidR="005D1D7A" w:rsidRPr="005D1D7A" w:rsidRDefault="005D1D7A" w:rsidP="005D1D7A">
            <w:r w:rsidRPr="005D1D7A">
              <w:rPr>
                <w:i/>
                <w:iCs/>
                <w:szCs w:val="20"/>
              </w:rPr>
              <w:t>Хипертрихоза</w:t>
            </w:r>
          </w:p>
          <w:p w14:paraId="5660AF9C" w14:textId="77777777" w:rsidR="005D1D7A" w:rsidRPr="005D1D7A" w:rsidRDefault="005D1D7A" w:rsidP="005D1D7A">
            <w:r w:rsidRPr="005D1D7A">
              <w:rPr>
                <w:i/>
                <w:iCs/>
                <w:szCs w:val="20"/>
              </w:rPr>
              <w:t>Пруритус</w:t>
            </w:r>
          </w:p>
          <w:p w14:paraId="3008C69D" w14:textId="563DD5FA" w:rsidR="005D1D7A" w:rsidRPr="005D1D7A" w:rsidRDefault="005D1D7A" w:rsidP="005D1D7A">
            <w:pPr>
              <w:spacing w:line="240" w:lineRule="auto"/>
              <w:rPr>
                <w:rFonts w:ascii="Times New Roman" w:eastAsia="Times New Roman" w:hAnsi="Times New Roman" w:cs="Times New Roman"/>
                <w:szCs w:val="24"/>
              </w:rPr>
            </w:pPr>
            <w:r w:rsidRPr="005D1D7A">
              <w:rPr>
                <w:i/>
                <w:iCs/>
                <w:szCs w:val="20"/>
              </w:rPr>
              <w:t>Обрив</w:t>
            </w:r>
          </w:p>
        </w:tc>
        <w:tc>
          <w:tcPr>
            <w:tcW w:w="3192" w:type="dxa"/>
          </w:tcPr>
          <w:p w14:paraId="0D57DC59" w14:textId="77777777" w:rsidR="005D1D7A" w:rsidRDefault="005D1D7A" w:rsidP="005D1D7A">
            <w:pPr>
              <w:spacing w:line="240" w:lineRule="auto"/>
              <w:rPr>
                <w:szCs w:val="20"/>
              </w:rPr>
            </w:pPr>
          </w:p>
          <w:p w14:paraId="4C0E5B7E" w14:textId="77777777" w:rsidR="005D1D7A" w:rsidRDefault="005D1D7A" w:rsidP="005D1D7A">
            <w:pPr>
              <w:spacing w:line="240" w:lineRule="auto"/>
              <w:rPr>
                <w:szCs w:val="20"/>
              </w:rPr>
            </w:pPr>
          </w:p>
          <w:p w14:paraId="60E1BAB5" w14:textId="77777777" w:rsidR="005D1D7A" w:rsidRDefault="005D1D7A" w:rsidP="005D1D7A">
            <w:pPr>
              <w:spacing w:line="240" w:lineRule="auto"/>
              <w:rPr>
                <w:szCs w:val="20"/>
              </w:rPr>
            </w:pPr>
            <w:r w:rsidRPr="005D1D7A">
              <w:rPr>
                <w:szCs w:val="20"/>
              </w:rPr>
              <w:t xml:space="preserve">1,5 (чести) </w:t>
            </w:r>
          </w:p>
          <w:p w14:paraId="651AD8AA" w14:textId="77777777" w:rsidR="005D1D7A" w:rsidRDefault="005D1D7A" w:rsidP="005D1D7A">
            <w:pPr>
              <w:spacing w:line="240" w:lineRule="auto"/>
              <w:rPr>
                <w:szCs w:val="20"/>
              </w:rPr>
            </w:pPr>
            <w:r w:rsidRPr="005D1D7A">
              <w:rPr>
                <w:szCs w:val="20"/>
              </w:rPr>
              <w:t xml:space="preserve">1,6 (чести) </w:t>
            </w:r>
          </w:p>
          <w:p w14:paraId="0790D45B" w14:textId="77777777" w:rsidR="005D1D7A" w:rsidRDefault="005D1D7A" w:rsidP="005D1D7A">
            <w:pPr>
              <w:spacing w:line="240" w:lineRule="auto"/>
              <w:rPr>
                <w:szCs w:val="20"/>
              </w:rPr>
            </w:pPr>
            <w:r w:rsidRPr="005D1D7A">
              <w:rPr>
                <w:szCs w:val="20"/>
              </w:rPr>
              <w:t xml:space="preserve">1,8 (чести) </w:t>
            </w:r>
          </w:p>
          <w:p w14:paraId="66BF3F48" w14:textId="77777777" w:rsidR="005D1D7A" w:rsidRDefault="005D1D7A" w:rsidP="005D1D7A">
            <w:pPr>
              <w:spacing w:line="240" w:lineRule="auto"/>
              <w:rPr>
                <w:szCs w:val="20"/>
              </w:rPr>
            </w:pPr>
            <w:r w:rsidRPr="005D1D7A">
              <w:rPr>
                <w:szCs w:val="20"/>
              </w:rPr>
              <w:t xml:space="preserve">3,6 (чести) </w:t>
            </w:r>
          </w:p>
          <w:p w14:paraId="5BB83E3D" w14:textId="5A2F6194" w:rsidR="005D1D7A" w:rsidRPr="005D1D7A" w:rsidRDefault="005D1D7A" w:rsidP="005D1D7A">
            <w:pPr>
              <w:spacing w:line="240" w:lineRule="auto"/>
              <w:rPr>
                <w:rFonts w:ascii="Times New Roman" w:eastAsia="Times New Roman" w:hAnsi="Times New Roman" w:cs="Times New Roman"/>
                <w:szCs w:val="24"/>
              </w:rPr>
            </w:pPr>
            <w:r w:rsidRPr="005D1D7A">
              <w:rPr>
                <w:szCs w:val="20"/>
              </w:rPr>
              <w:t>1,7 (чести)</w:t>
            </w:r>
          </w:p>
        </w:tc>
        <w:tc>
          <w:tcPr>
            <w:tcW w:w="3192" w:type="dxa"/>
          </w:tcPr>
          <w:p w14:paraId="58C57B56" w14:textId="77777777" w:rsidR="005D1D7A" w:rsidRDefault="005D1D7A" w:rsidP="005D1D7A">
            <w:pPr>
              <w:spacing w:line="240" w:lineRule="auto"/>
              <w:rPr>
                <w:szCs w:val="20"/>
              </w:rPr>
            </w:pPr>
          </w:p>
          <w:p w14:paraId="0959F30C" w14:textId="77777777" w:rsidR="005D1D7A" w:rsidRDefault="005D1D7A" w:rsidP="005D1D7A">
            <w:pPr>
              <w:spacing w:line="240" w:lineRule="auto"/>
              <w:rPr>
                <w:szCs w:val="20"/>
              </w:rPr>
            </w:pPr>
          </w:p>
          <w:p w14:paraId="2204606B" w14:textId="77777777" w:rsidR="005D1D7A" w:rsidRDefault="005D1D7A" w:rsidP="005D1D7A">
            <w:pPr>
              <w:spacing w:line="240" w:lineRule="auto"/>
              <w:rPr>
                <w:szCs w:val="20"/>
              </w:rPr>
            </w:pPr>
            <w:r w:rsidRPr="005D1D7A">
              <w:rPr>
                <w:szCs w:val="20"/>
              </w:rPr>
              <w:t xml:space="preserve">1,1 </w:t>
            </w:r>
          </w:p>
          <w:p w14:paraId="4B56F642" w14:textId="77777777" w:rsidR="005D1D7A" w:rsidRDefault="005D1D7A" w:rsidP="005D1D7A">
            <w:pPr>
              <w:spacing w:line="240" w:lineRule="auto"/>
              <w:rPr>
                <w:szCs w:val="20"/>
              </w:rPr>
            </w:pPr>
            <w:r w:rsidRPr="005D1D7A">
              <w:rPr>
                <w:szCs w:val="20"/>
              </w:rPr>
              <w:t xml:space="preserve">1,4 </w:t>
            </w:r>
          </w:p>
          <w:p w14:paraId="38FFDFFA" w14:textId="77777777" w:rsidR="005D1D7A" w:rsidRDefault="005D1D7A" w:rsidP="005D1D7A">
            <w:pPr>
              <w:spacing w:line="240" w:lineRule="auto"/>
              <w:rPr>
                <w:szCs w:val="20"/>
              </w:rPr>
            </w:pPr>
            <w:r w:rsidRPr="005D1D7A">
              <w:rPr>
                <w:szCs w:val="20"/>
              </w:rPr>
              <w:t xml:space="preserve">0,3 </w:t>
            </w:r>
          </w:p>
          <w:p w14:paraId="7B132BE1" w14:textId="77777777" w:rsidR="005D1D7A" w:rsidRDefault="005D1D7A" w:rsidP="005D1D7A">
            <w:pPr>
              <w:spacing w:line="240" w:lineRule="auto"/>
              <w:rPr>
                <w:szCs w:val="20"/>
              </w:rPr>
            </w:pPr>
            <w:r w:rsidRPr="005D1D7A">
              <w:rPr>
                <w:szCs w:val="20"/>
              </w:rPr>
              <w:t xml:space="preserve">1,9 </w:t>
            </w:r>
          </w:p>
          <w:p w14:paraId="463895C2" w14:textId="4B40413A" w:rsidR="005D1D7A" w:rsidRPr="005D1D7A" w:rsidRDefault="005D1D7A" w:rsidP="005D1D7A">
            <w:pPr>
              <w:spacing w:line="240" w:lineRule="auto"/>
              <w:rPr>
                <w:rFonts w:ascii="Times New Roman" w:eastAsia="Times New Roman" w:hAnsi="Times New Roman" w:cs="Times New Roman"/>
                <w:szCs w:val="24"/>
              </w:rPr>
            </w:pPr>
            <w:r w:rsidRPr="005D1D7A">
              <w:rPr>
                <w:szCs w:val="20"/>
              </w:rPr>
              <w:t>0,8</w:t>
            </w:r>
          </w:p>
        </w:tc>
      </w:tr>
    </w:tbl>
    <w:p w14:paraId="0CDD5B6F" w14:textId="77777777" w:rsidR="005D1D7A" w:rsidRPr="005D1D7A" w:rsidRDefault="005D1D7A" w:rsidP="005D1D7A">
      <w:pPr>
        <w:spacing w:line="240" w:lineRule="auto"/>
        <w:rPr>
          <w:rFonts w:ascii="Times New Roman" w:eastAsia="Times New Roman" w:hAnsi="Times New Roman" w:cs="Times New Roman"/>
          <w:sz w:val="24"/>
          <w:szCs w:val="24"/>
        </w:rPr>
      </w:pPr>
    </w:p>
    <w:p w14:paraId="193A1A4F"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u w:val="single"/>
          <w:lang w:eastAsia="bg-BG"/>
        </w:rPr>
        <w:t>Данни след пускане на пазара</w:t>
      </w:r>
    </w:p>
    <w:p w14:paraId="7D0D3C43" w14:textId="77777777" w:rsidR="005D1D7A" w:rsidRPr="005D1D7A" w:rsidRDefault="005D1D7A" w:rsidP="005D1D7A">
      <w:pPr>
        <w:spacing w:line="240" w:lineRule="auto"/>
        <w:rPr>
          <w:rFonts w:eastAsia="Times New Roman" w:cs="Arial"/>
          <w:color w:val="000000"/>
          <w:szCs w:val="20"/>
          <w:lang w:eastAsia="bg-BG"/>
        </w:rPr>
      </w:pPr>
    </w:p>
    <w:p w14:paraId="651010DA" w14:textId="4DBD9516"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Следните нежелани лекарствени реакции се свързват с миноксидил за локално приложение след пускането му на пазара.</w:t>
      </w:r>
    </w:p>
    <w:p w14:paraId="2EE9786C" w14:textId="77777777" w:rsidR="005D1D7A" w:rsidRPr="005D1D7A" w:rsidRDefault="005D1D7A" w:rsidP="005D1D7A">
      <w:pPr>
        <w:spacing w:line="240" w:lineRule="auto"/>
        <w:rPr>
          <w:rFonts w:eastAsia="Times New Roman" w:cs="Arial"/>
          <w:color w:val="000000"/>
          <w:szCs w:val="20"/>
          <w:lang w:eastAsia="bg-BG"/>
        </w:rPr>
      </w:pPr>
    </w:p>
    <w:p w14:paraId="34637854" w14:textId="25A465FE"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lastRenderedPageBreak/>
        <w:t>Нежеланите лекарствени реакции по време на постмаркетинговите проучвания с миноксидил за локално приложение са включени в Таблица 2. Тяхната честота е представена, както следва: Много чести ≥1/10</w:t>
      </w:r>
    </w:p>
    <w:p w14:paraId="670BEF07"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Чести ≥1/100 и &lt; 1/10</w:t>
      </w:r>
    </w:p>
    <w:p w14:paraId="4FDDC871"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Нечести ≥1/1000 и &lt;1/100</w:t>
      </w:r>
    </w:p>
    <w:p w14:paraId="0A5F7C48"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Редки ≥1/10 000 и &lt;1/1000</w:t>
      </w:r>
    </w:p>
    <w:p w14:paraId="0C2F98D9"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Много редки &lt;1/10 000</w:t>
      </w:r>
    </w:p>
    <w:p w14:paraId="19076346"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С неизвестна честота (от наличните данни не може да бъде направена оценка)</w:t>
      </w:r>
    </w:p>
    <w:p w14:paraId="2A4EA1DD" w14:textId="77777777" w:rsidR="005D1D7A" w:rsidRPr="005D1D7A" w:rsidRDefault="005D1D7A" w:rsidP="005D1D7A">
      <w:pPr>
        <w:spacing w:line="240" w:lineRule="auto"/>
        <w:rPr>
          <w:rFonts w:eastAsia="Times New Roman" w:cs="Arial"/>
          <w:color w:val="000000"/>
          <w:szCs w:val="20"/>
          <w:lang w:eastAsia="bg-BG"/>
        </w:rPr>
      </w:pPr>
    </w:p>
    <w:p w14:paraId="4B782EE0" w14:textId="5CAB14ED"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Таблица 2: Нежелани лекарствени реакции, установени по време на постмаркетинговото приложение на миноксидил с честота на категориите, изчислена от адекватно планирани клинични изпитвания или епидемиологични проучвания</w:t>
      </w:r>
    </w:p>
    <w:tbl>
      <w:tblPr>
        <w:tblStyle w:val="TableGrid"/>
        <w:tblW w:w="0" w:type="auto"/>
        <w:tblLook w:val="04A0" w:firstRow="1" w:lastRow="0" w:firstColumn="1" w:lastColumn="0" w:noHBand="0" w:noVBand="1"/>
      </w:tblPr>
      <w:tblGrid>
        <w:gridCol w:w="4653"/>
        <w:gridCol w:w="4697"/>
      </w:tblGrid>
      <w:tr w:rsidR="005D1D7A" w14:paraId="33C793FF" w14:textId="77777777" w:rsidTr="005D1D7A">
        <w:tc>
          <w:tcPr>
            <w:tcW w:w="4788" w:type="dxa"/>
          </w:tcPr>
          <w:p w14:paraId="2DB0D47C" w14:textId="620DC93D" w:rsidR="005D1D7A" w:rsidRPr="005D1D7A" w:rsidRDefault="005D1D7A" w:rsidP="005D1D7A">
            <w:r w:rsidRPr="005D1D7A">
              <w:rPr>
                <w:b/>
                <w:bCs/>
                <w:szCs w:val="20"/>
              </w:rPr>
              <w:t>Системо-органен клас Честота на категориите</w:t>
            </w:r>
          </w:p>
        </w:tc>
        <w:tc>
          <w:tcPr>
            <w:tcW w:w="4788" w:type="dxa"/>
          </w:tcPr>
          <w:p w14:paraId="73D454D6" w14:textId="45EE00FA" w:rsidR="005D1D7A" w:rsidRPr="005D1D7A" w:rsidRDefault="005D1D7A" w:rsidP="005D1D7A">
            <w:r w:rsidRPr="005D1D7A">
              <w:rPr>
                <w:b/>
                <w:bCs/>
                <w:szCs w:val="20"/>
              </w:rPr>
              <w:t>Предпочитан термин на нежеланото събитие</w:t>
            </w:r>
          </w:p>
        </w:tc>
      </w:tr>
      <w:tr w:rsidR="005D1D7A" w14:paraId="4D347DF2" w14:textId="77777777" w:rsidTr="005D1D7A">
        <w:tc>
          <w:tcPr>
            <w:tcW w:w="4788" w:type="dxa"/>
          </w:tcPr>
          <w:p w14:paraId="0A857A07" w14:textId="56A857A0" w:rsidR="005D1D7A" w:rsidRPr="005D1D7A" w:rsidRDefault="005D1D7A" w:rsidP="005D1D7A">
            <w:r w:rsidRPr="005D1D7A">
              <w:rPr>
                <w:b/>
                <w:bCs/>
                <w:szCs w:val="20"/>
              </w:rPr>
              <w:t>Нарушения на имунната система</w:t>
            </w:r>
          </w:p>
        </w:tc>
        <w:tc>
          <w:tcPr>
            <w:tcW w:w="4788" w:type="dxa"/>
          </w:tcPr>
          <w:p w14:paraId="3DA71098" w14:textId="77777777" w:rsidR="005D1D7A" w:rsidRPr="005D1D7A" w:rsidRDefault="005D1D7A" w:rsidP="005D1D7A"/>
        </w:tc>
      </w:tr>
      <w:tr w:rsidR="005D1D7A" w14:paraId="6B2A0BD7" w14:textId="77777777" w:rsidTr="005D1D7A">
        <w:tc>
          <w:tcPr>
            <w:tcW w:w="4788" w:type="dxa"/>
          </w:tcPr>
          <w:p w14:paraId="71D087E0" w14:textId="1336890B" w:rsidR="005D1D7A" w:rsidRPr="005D1D7A" w:rsidRDefault="005D1D7A" w:rsidP="005D1D7A">
            <w:r w:rsidRPr="005D1D7A">
              <w:rPr>
                <w:szCs w:val="20"/>
              </w:rPr>
              <w:t>С неизвестна честота</w:t>
            </w:r>
          </w:p>
        </w:tc>
        <w:tc>
          <w:tcPr>
            <w:tcW w:w="4788" w:type="dxa"/>
          </w:tcPr>
          <w:p w14:paraId="67F989D8" w14:textId="2E341E66" w:rsidR="005D1D7A" w:rsidRPr="005D1D7A" w:rsidRDefault="005D1D7A" w:rsidP="005D1D7A">
            <w:r w:rsidRPr="005D1D7A">
              <w:rPr>
                <w:i/>
                <w:iCs/>
                <w:szCs w:val="20"/>
              </w:rPr>
              <w:t xml:space="preserve">Алергични реакции, включително ангиоедем </w:t>
            </w:r>
            <w:r w:rsidRPr="005D1D7A">
              <w:rPr>
                <w:szCs w:val="20"/>
              </w:rPr>
              <w:t>(Проявите на ангиоедем може да включват следните предпочитани термини: оток на устните, подуване на устните, оток на устата, орофарингеално отичане, фарингеален оток, подуване на езика и оток на езика)</w:t>
            </w:r>
          </w:p>
        </w:tc>
      </w:tr>
      <w:tr w:rsidR="005D1D7A" w14:paraId="37D6AD7B" w14:textId="77777777" w:rsidTr="005D1D7A">
        <w:tc>
          <w:tcPr>
            <w:tcW w:w="4788" w:type="dxa"/>
          </w:tcPr>
          <w:p w14:paraId="47153848" w14:textId="207EF9C3" w:rsidR="005D1D7A" w:rsidRPr="005D1D7A" w:rsidRDefault="005D1D7A" w:rsidP="005D1D7A">
            <w:r w:rsidRPr="005D1D7A">
              <w:rPr>
                <w:szCs w:val="20"/>
              </w:rPr>
              <w:t>С неизвестна честота</w:t>
            </w:r>
          </w:p>
        </w:tc>
        <w:tc>
          <w:tcPr>
            <w:tcW w:w="4788" w:type="dxa"/>
          </w:tcPr>
          <w:p w14:paraId="424064FD" w14:textId="77777777" w:rsidR="005D1D7A" w:rsidRPr="005D1D7A" w:rsidRDefault="005D1D7A" w:rsidP="005D1D7A">
            <w:r w:rsidRPr="005D1D7A">
              <w:rPr>
                <w:i/>
                <w:iCs/>
                <w:szCs w:val="20"/>
              </w:rPr>
              <w:t>Свръхчувствителност</w:t>
            </w:r>
          </w:p>
          <w:p w14:paraId="3B6F0BC3" w14:textId="77777777" w:rsidR="005D1D7A" w:rsidRPr="005D1D7A" w:rsidRDefault="005D1D7A" w:rsidP="005D1D7A">
            <w:r w:rsidRPr="005D1D7A">
              <w:rPr>
                <w:szCs w:val="20"/>
              </w:rPr>
              <w:t xml:space="preserve">(Проявите на реакции на свръхчувствителност </w:t>
            </w:r>
            <w:r w:rsidRPr="005D1D7A">
              <w:rPr>
                <w:szCs w:val="20"/>
                <w:u w:val="single"/>
              </w:rPr>
              <w:t xml:space="preserve"> </w:t>
            </w:r>
            <w:r w:rsidRPr="005D1D7A">
              <w:rPr>
                <w:szCs w:val="20"/>
              </w:rPr>
              <w:t>може да включват следните предпочитани термини по</w:t>
            </w:r>
          </w:p>
          <w:p w14:paraId="141D01B1" w14:textId="2E23071E" w:rsidR="005D1D7A" w:rsidRPr="005D1D7A" w:rsidRDefault="005D1D7A" w:rsidP="005D1D7A">
            <w:proofErr w:type="spellStart"/>
            <w:r w:rsidRPr="005D1D7A">
              <w:rPr>
                <w:szCs w:val="20"/>
                <w:lang w:val="en-US"/>
              </w:rPr>
              <w:t>MedDRA</w:t>
            </w:r>
            <w:proofErr w:type="spellEnd"/>
            <w:r w:rsidRPr="005D1D7A">
              <w:rPr>
                <w:szCs w:val="20"/>
                <w:lang w:val="ru-RU"/>
              </w:rPr>
              <w:t xml:space="preserve">: </w:t>
            </w:r>
            <w:r w:rsidRPr="005D1D7A">
              <w:rPr>
                <w:szCs w:val="20"/>
              </w:rPr>
              <w:t>оток на лицето, генерализиран прием. генерализиран сърбеж, подуване на лицето и стягане в гърлото)</w:t>
            </w:r>
          </w:p>
        </w:tc>
      </w:tr>
      <w:tr w:rsidR="005D1D7A" w14:paraId="148192EE" w14:textId="77777777" w:rsidTr="005D1D7A">
        <w:tc>
          <w:tcPr>
            <w:tcW w:w="4788" w:type="dxa"/>
          </w:tcPr>
          <w:p w14:paraId="41CA1AC7" w14:textId="16534638" w:rsidR="005D1D7A" w:rsidRPr="005D1D7A" w:rsidRDefault="005D1D7A" w:rsidP="005D1D7A">
            <w:r w:rsidRPr="005D1D7A">
              <w:rPr>
                <w:szCs w:val="20"/>
              </w:rPr>
              <w:t>С неизвестна честота</w:t>
            </w:r>
          </w:p>
        </w:tc>
        <w:tc>
          <w:tcPr>
            <w:tcW w:w="4788" w:type="dxa"/>
          </w:tcPr>
          <w:p w14:paraId="01722EFF" w14:textId="13B998EE" w:rsidR="005D1D7A" w:rsidRPr="005D1D7A" w:rsidRDefault="005D1D7A" w:rsidP="005D1D7A">
            <w:r w:rsidRPr="005D1D7A">
              <w:rPr>
                <w:i/>
                <w:iCs/>
                <w:szCs w:val="20"/>
              </w:rPr>
              <w:t>Алергичен контактен дерматит</w:t>
            </w:r>
          </w:p>
        </w:tc>
      </w:tr>
      <w:tr w:rsidR="005D1D7A" w14:paraId="12F51CAB" w14:textId="77777777" w:rsidTr="005D1D7A">
        <w:tc>
          <w:tcPr>
            <w:tcW w:w="4788" w:type="dxa"/>
          </w:tcPr>
          <w:p w14:paraId="522C99FB" w14:textId="77777777" w:rsidR="005D1D7A" w:rsidRPr="005D1D7A" w:rsidRDefault="005D1D7A" w:rsidP="005D1D7A">
            <w:r w:rsidRPr="005D1D7A">
              <w:rPr>
                <w:b/>
                <w:bCs/>
                <w:szCs w:val="20"/>
              </w:rPr>
              <w:t>Психични разстройства</w:t>
            </w:r>
          </w:p>
          <w:p w14:paraId="49EE60F8" w14:textId="141C22E1" w:rsidR="005D1D7A" w:rsidRPr="005D1D7A" w:rsidRDefault="005D1D7A" w:rsidP="005D1D7A">
            <w:r w:rsidRPr="005D1D7A">
              <w:rPr>
                <w:szCs w:val="20"/>
              </w:rPr>
              <w:t>С неизвестна честота</w:t>
            </w:r>
          </w:p>
        </w:tc>
        <w:tc>
          <w:tcPr>
            <w:tcW w:w="4788" w:type="dxa"/>
          </w:tcPr>
          <w:p w14:paraId="4D8D9D74" w14:textId="77777777" w:rsidR="005D1D7A" w:rsidRDefault="005D1D7A" w:rsidP="005D1D7A">
            <w:pPr>
              <w:rPr>
                <w:i/>
                <w:iCs/>
                <w:szCs w:val="20"/>
              </w:rPr>
            </w:pPr>
          </w:p>
          <w:p w14:paraId="590AEB63" w14:textId="42A1A040" w:rsidR="005D1D7A" w:rsidRPr="005D1D7A" w:rsidRDefault="005D1D7A" w:rsidP="005D1D7A">
            <w:r w:rsidRPr="005D1D7A">
              <w:rPr>
                <w:i/>
                <w:iCs/>
                <w:szCs w:val="20"/>
              </w:rPr>
              <w:t>Депресивно настроение</w:t>
            </w:r>
          </w:p>
        </w:tc>
      </w:tr>
      <w:tr w:rsidR="005D1D7A" w14:paraId="66776B22" w14:textId="77777777" w:rsidTr="005D1D7A">
        <w:tc>
          <w:tcPr>
            <w:tcW w:w="4788" w:type="dxa"/>
          </w:tcPr>
          <w:p w14:paraId="4D18943D" w14:textId="77777777" w:rsidR="005D1D7A" w:rsidRPr="005D1D7A" w:rsidRDefault="005D1D7A" w:rsidP="005D1D7A">
            <w:r w:rsidRPr="005D1D7A">
              <w:rPr>
                <w:b/>
                <w:bCs/>
                <w:szCs w:val="20"/>
              </w:rPr>
              <w:t>Нарушения на нервната система</w:t>
            </w:r>
          </w:p>
          <w:p w14:paraId="60598E95" w14:textId="42FBB590" w:rsidR="005D1D7A" w:rsidRPr="005D1D7A" w:rsidRDefault="005D1D7A" w:rsidP="005D1D7A">
            <w:r w:rsidRPr="005D1D7A">
              <w:rPr>
                <w:szCs w:val="20"/>
              </w:rPr>
              <w:t>Нечести</w:t>
            </w:r>
          </w:p>
        </w:tc>
        <w:tc>
          <w:tcPr>
            <w:tcW w:w="4788" w:type="dxa"/>
          </w:tcPr>
          <w:p w14:paraId="60D76745" w14:textId="77777777" w:rsidR="005D1D7A" w:rsidRDefault="005D1D7A" w:rsidP="005D1D7A">
            <w:pPr>
              <w:rPr>
                <w:i/>
                <w:iCs/>
                <w:szCs w:val="20"/>
              </w:rPr>
            </w:pPr>
          </w:p>
          <w:p w14:paraId="66BFC863" w14:textId="6BD18B3C" w:rsidR="005D1D7A" w:rsidRPr="005D1D7A" w:rsidRDefault="005D1D7A" w:rsidP="005D1D7A">
            <w:r w:rsidRPr="005D1D7A">
              <w:rPr>
                <w:i/>
                <w:iCs/>
                <w:szCs w:val="20"/>
              </w:rPr>
              <w:t>Замайване</w:t>
            </w:r>
          </w:p>
        </w:tc>
      </w:tr>
      <w:tr w:rsidR="005D1D7A" w14:paraId="6CCDB6EF" w14:textId="77777777" w:rsidTr="005D1D7A">
        <w:tc>
          <w:tcPr>
            <w:tcW w:w="4788" w:type="dxa"/>
          </w:tcPr>
          <w:p w14:paraId="08113507" w14:textId="77777777" w:rsidR="005D1D7A" w:rsidRPr="005D1D7A" w:rsidRDefault="005D1D7A" w:rsidP="005D1D7A">
            <w:r w:rsidRPr="005D1D7A">
              <w:rPr>
                <w:b/>
                <w:bCs/>
                <w:szCs w:val="20"/>
              </w:rPr>
              <w:t>Нарушения на очите</w:t>
            </w:r>
          </w:p>
          <w:p w14:paraId="0E55EA25" w14:textId="172C03F2" w:rsidR="005D1D7A" w:rsidRPr="005D1D7A" w:rsidRDefault="005D1D7A" w:rsidP="005D1D7A">
            <w:r w:rsidRPr="005D1D7A">
              <w:rPr>
                <w:szCs w:val="20"/>
              </w:rPr>
              <w:t>С неизвестна честота</w:t>
            </w:r>
          </w:p>
        </w:tc>
        <w:tc>
          <w:tcPr>
            <w:tcW w:w="4788" w:type="dxa"/>
          </w:tcPr>
          <w:p w14:paraId="04A4B2E5" w14:textId="77777777" w:rsidR="005D1D7A" w:rsidRDefault="005D1D7A" w:rsidP="005D1D7A">
            <w:pPr>
              <w:rPr>
                <w:i/>
                <w:iCs/>
                <w:szCs w:val="20"/>
              </w:rPr>
            </w:pPr>
          </w:p>
          <w:p w14:paraId="11044B69" w14:textId="4CDE3BB0" w:rsidR="005D1D7A" w:rsidRPr="005D1D7A" w:rsidRDefault="005D1D7A" w:rsidP="005D1D7A">
            <w:r w:rsidRPr="005D1D7A">
              <w:rPr>
                <w:i/>
                <w:iCs/>
                <w:szCs w:val="20"/>
              </w:rPr>
              <w:t>Очно дразнене</w:t>
            </w:r>
          </w:p>
        </w:tc>
      </w:tr>
      <w:tr w:rsidR="005D1D7A" w14:paraId="75C48315" w14:textId="77777777" w:rsidTr="005D1D7A">
        <w:tc>
          <w:tcPr>
            <w:tcW w:w="4788" w:type="dxa"/>
          </w:tcPr>
          <w:p w14:paraId="2C972C89" w14:textId="77777777" w:rsidR="005D1D7A" w:rsidRPr="005D1D7A" w:rsidRDefault="005D1D7A" w:rsidP="005D1D7A">
            <w:r w:rsidRPr="005D1D7A">
              <w:rPr>
                <w:b/>
                <w:bCs/>
                <w:szCs w:val="20"/>
              </w:rPr>
              <w:t>Сърдечни нарушения</w:t>
            </w:r>
          </w:p>
          <w:p w14:paraId="2AEFED14" w14:textId="3E94609B" w:rsidR="005D1D7A" w:rsidRPr="005D1D7A" w:rsidRDefault="005D1D7A" w:rsidP="005D1D7A">
            <w:r w:rsidRPr="005D1D7A">
              <w:rPr>
                <w:szCs w:val="20"/>
              </w:rPr>
              <w:t>С неизвестна честота С неизвестна честота</w:t>
            </w:r>
          </w:p>
        </w:tc>
        <w:tc>
          <w:tcPr>
            <w:tcW w:w="4788" w:type="dxa"/>
          </w:tcPr>
          <w:p w14:paraId="0252D35D" w14:textId="77777777" w:rsidR="005D1D7A" w:rsidRDefault="005D1D7A" w:rsidP="005D1D7A">
            <w:pPr>
              <w:rPr>
                <w:i/>
                <w:iCs/>
                <w:szCs w:val="20"/>
              </w:rPr>
            </w:pPr>
          </w:p>
          <w:p w14:paraId="5166F4A7" w14:textId="3D6FBA82" w:rsidR="005D1D7A" w:rsidRPr="005D1D7A" w:rsidRDefault="005D1D7A" w:rsidP="005D1D7A">
            <w:r w:rsidRPr="005D1D7A">
              <w:rPr>
                <w:i/>
                <w:iCs/>
                <w:szCs w:val="20"/>
              </w:rPr>
              <w:t>Тахикардия Сърцебиене</w:t>
            </w:r>
          </w:p>
        </w:tc>
      </w:tr>
      <w:tr w:rsidR="005D1D7A" w14:paraId="3B084E28" w14:textId="77777777" w:rsidTr="005D1D7A">
        <w:tc>
          <w:tcPr>
            <w:tcW w:w="4788" w:type="dxa"/>
          </w:tcPr>
          <w:p w14:paraId="1FD2C3FD" w14:textId="77777777" w:rsidR="005D1D7A" w:rsidRPr="005D1D7A" w:rsidRDefault="005D1D7A" w:rsidP="005D1D7A">
            <w:r w:rsidRPr="005D1D7A">
              <w:rPr>
                <w:b/>
                <w:bCs/>
                <w:szCs w:val="20"/>
              </w:rPr>
              <w:t>Съдови нарушения</w:t>
            </w:r>
          </w:p>
          <w:p w14:paraId="0EE5A35C" w14:textId="73B577C1" w:rsidR="005D1D7A" w:rsidRPr="005D1D7A" w:rsidRDefault="005D1D7A" w:rsidP="005D1D7A">
            <w:r w:rsidRPr="005D1D7A">
              <w:rPr>
                <w:szCs w:val="20"/>
              </w:rPr>
              <w:t>С неизвестна честота</w:t>
            </w:r>
          </w:p>
        </w:tc>
        <w:tc>
          <w:tcPr>
            <w:tcW w:w="4788" w:type="dxa"/>
          </w:tcPr>
          <w:p w14:paraId="4DDBBCFB" w14:textId="77777777" w:rsidR="005D1D7A" w:rsidRDefault="005D1D7A" w:rsidP="005D1D7A">
            <w:pPr>
              <w:rPr>
                <w:i/>
                <w:iCs/>
                <w:szCs w:val="20"/>
              </w:rPr>
            </w:pPr>
          </w:p>
          <w:p w14:paraId="1AB8B519" w14:textId="3E834ADC" w:rsidR="005D1D7A" w:rsidRPr="005D1D7A" w:rsidRDefault="005D1D7A" w:rsidP="005D1D7A">
            <w:r w:rsidRPr="005D1D7A">
              <w:rPr>
                <w:i/>
                <w:iCs/>
                <w:szCs w:val="20"/>
              </w:rPr>
              <w:t>Хипотония</w:t>
            </w:r>
          </w:p>
        </w:tc>
      </w:tr>
      <w:tr w:rsidR="005D1D7A" w14:paraId="2B4E2D60" w14:textId="77777777" w:rsidTr="005D1D7A">
        <w:tc>
          <w:tcPr>
            <w:tcW w:w="4788" w:type="dxa"/>
          </w:tcPr>
          <w:p w14:paraId="4D77A2C2" w14:textId="77777777" w:rsidR="005D1D7A" w:rsidRPr="005D1D7A" w:rsidRDefault="005D1D7A" w:rsidP="005D1D7A">
            <w:r w:rsidRPr="005D1D7A">
              <w:rPr>
                <w:b/>
                <w:bCs/>
                <w:szCs w:val="20"/>
              </w:rPr>
              <w:t>Стомашно-чревни нарушения</w:t>
            </w:r>
          </w:p>
          <w:p w14:paraId="01ABD288" w14:textId="77777777" w:rsidR="005D1D7A" w:rsidRPr="005D1D7A" w:rsidRDefault="005D1D7A" w:rsidP="005D1D7A">
            <w:r w:rsidRPr="005D1D7A">
              <w:rPr>
                <w:szCs w:val="20"/>
              </w:rPr>
              <w:t>Нечести</w:t>
            </w:r>
          </w:p>
          <w:p w14:paraId="48AB38B6" w14:textId="37B86E05" w:rsidR="005D1D7A" w:rsidRPr="005D1D7A" w:rsidRDefault="005D1D7A" w:rsidP="005D1D7A">
            <w:r w:rsidRPr="005D1D7A">
              <w:rPr>
                <w:szCs w:val="20"/>
              </w:rPr>
              <w:t>С неизвестна честота</w:t>
            </w:r>
          </w:p>
        </w:tc>
        <w:tc>
          <w:tcPr>
            <w:tcW w:w="4788" w:type="dxa"/>
          </w:tcPr>
          <w:p w14:paraId="17D000D5" w14:textId="77777777" w:rsidR="005D1D7A" w:rsidRDefault="005D1D7A" w:rsidP="005D1D7A">
            <w:pPr>
              <w:rPr>
                <w:i/>
                <w:iCs/>
                <w:szCs w:val="20"/>
              </w:rPr>
            </w:pPr>
          </w:p>
          <w:p w14:paraId="5BB14589" w14:textId="77777777" w:rsidR="005D1D7A" w:rsidRDefault="005D1D7A" w:rsidP="005D1D7A">
            <w:pPr>
              <w:rPr>
                <w:i/>
                <w:iCs/>
                <w:szCs w:val="20"/>
              </w:rPr>
            </w:pPr>
            <w:r w:rsidRPr="005D1D7A">
              <w:rPr>
                <w:i/>
                <w:iCs/>
                <w:szCs w:val="20"/>
              </w:rPr>
              <w:t xml:space="preserve">Гадене </w:t>
            </w:r>
          </w:p>
          <w:p w14:paraId="6BAB7256" w14:textId="21BC9BC9" w:rsidR="005D1D7A" w:rsidRPr="005D1D7A" w:rsidRDefault="005D1D7A" w:rsidP="005D1D7A">
            <w:r w:rsidRPr="005D1D7A">
              <w:rPr>
                <w:i/>
                <w:iCs/>
                <w:szCs w:val="20"/>
              </w:rPr>
              <w:t>Повръщане</w:t>
            </w:r>
          </w:p>
        </w:tc>
      </w:tr>
      <w:tr w:rsidR="005D1D7A" w14:paraId="72DC2215" w14:textId="77777777" w:rsidTr="00DD78AB">
        <w:trPr>
          <w:trHeight w:val="2439"/>
        </w:trPr>
        <w:tc>
          <w:tcPr>
            <w:tcW w:w="4788" w:type="dxa"/>
          </w:tcPr>
          <w:p w14:paraId="44865D61" w14:textId="77777777" w:rsidR="005D1D7A" w:rsidRPr="005D1D7A" w:rsidRDefault="005D1D7A" w:rsidP="005D1D7A">
            <w:r w:rsidRPr="005D1D7A">
              <w:rPr>
                <w:b/>
                <w:bCs/>
                <w:szCs w:val="20"/>
              </w:rPr>
              <w:lastRenderedPageBreak/>
              <w:t>Нарушения на кожата и подкожната тъкан</w:t>
            </w:r>
          </w:p>
          <w:p w14:paraId="712F9782" w14:textId="71B93943" w:rsidR="005D1D7A" w:rsidRPr="005D1D7A" w:rsidRDefault="005D1D7A" w:rsidP="005D1D7A">
            <w:r w:rsidRPr="005D1D7A">
              <w:rPr>
                <w:szCs w:val="20"/>
              </w:rPr>
              <w:t>С неизвестна честота</w:t>
            </w:r>
          </w:p>
        </w:tc>
        <w:tc>
          <w:tcPr>
            <w:tcW w:w="4788" w:type="dxa"/>
          </w:tcPr>
          <w:p w14:paraId="7576203E" w14:textId="77777777" w:rsidR="005D1D7A" w:rsidRDefault="005D1D7A" w:rsidP="005D1D7A">
            <w:pPr>
              <w:rPr>
                <w:i/>
                <w:iCs/>
                <w:szCs w:val="20"/>
              </w:rPr>
            </w:pPr>
          </w:p>
          <w:p w14:paraId="114C0B5B" w14:textId="77777777" w:rsidR="005D1D7A" w:rsidRDefault="005D1D7A" w:rsidP="005D1D7A">
            <w:pPr>
              <w:rPr>
                <w:i/>
                <w:iCs/>
                <w:szCs w:val="20"/>
              </w:rPr>
            </w:pPr>
          </w:p>
          <w:p w14:paraId="49D45C0C" w14:textId="4FBFEF4C" w:rsidR="005D1D7A" w:rsidRPr="005D1D7A" w:rsidRDefault="005D1D7A" w:rsidP="005D1D7A">
            <w:r w:rsidRPr="005D1D7A">
              <w:rPr>
                <w:i/>
                <w:iCs/>
                <w:szCs w:val="20"/>
              </w:rPr>
              <w:t>Реакции на мястото на приложение:</w:t>
            </w:r>
            <w:r w:rsidRPr="005D1D7A">
              <w:rPr>
                <w:szCs w:val="20"/>
              </w:rPr>
              <w:t xml:space="preserve"> (Те понякога засягат съседни структури като ушите и лицето и обикновено се състоят от сърбеж, дразнене, болка, обрив, оток, сухота на кожата и еритем, но понякога може да бъдат по-тежки и да включват ексфолиация, дерматит, образуване на мехури, кървене и разязвяване)</w:t>
            </w:r>
          </w:p>
        </w:tc>
      </w:tr>
      <w:tr w:rsidR="005D1D7A" w14:paraId="037B0B39" w14:textId="77777777" w:rsidTr="005D1D7A">
        <w:tc>
          <w:tcPr>
            <w:tcW w:w="4788" w:type="dxa"/>
          </w:tcPr>
          <w:p w14:paraId="72F0F458" w14:textId="01EAC7A7" w:rsidR="005D1D7A" w:rsidRPr="005D1D7A" w:rsidRDefault="005D1D7A" w:rsidP="005D1D7A">
            <w:r w:rsidRPr="005D1D7A">
              <w:rPr>
                <w:szCs w:val="20"/>
              </w:rPr>
              <w:t>С неизвестна честота</w:t>
            </w:r>
          </w:p>
        </w:tc>
        <w:tc>
          <w:tcPr>
            <w:tcW w:w="4788" w:type="dxa"/>
          </w:tcPr>
          <w:p w14:paraId="20DAC317" w14:textId="26F9F1D0" w:rsidR="005D1D7A" w:rsidRPr="005D1D7A" w:rsidRDefault="005D1D7A" w:rsidP="005D1D7A">
            <w:r w:rsidRPr="005D1D7A">
              <w:rPr>
                <w:i/>
                <w:iCs/>
                <w:szCs w:val="20"/>
              </w:rPr>
              <w:t>Временно опадане на косата</w:t>
            </w:r>
          </w:p>
        </w:tc>
      </w:tr>
      <w:tr w:rsidR="005D1D7A" w14:paraId="55E5BAB1" w14:textId="77777777" w:rsidTr="005D1D7A">
        <w:tc>
          <w:tcPr>
            <w:tcW w:w="4788" w:type="dxa"/>
          </w:tcPr>
          <w:p w14:paraId="226A3039" w14:textId="5DBE8F7B" w:rsidR="005D1D7A" w:rsidRPr="005D1D7A" w:rsidRDefault="005D1D7A" w:rsidP="005D1D7A">
            <w:r w:rsidRPr="005D1D7A">
              <w:rPr>
                <w:szCs w:val="20"/>
              </w:rPr>
              <w:t>С неизвестна честота</w:t>
            </w:r>
          </w:p>
        </w:tc>
        <w:tc>
          <w:tcPr>
            <w:tcW w:w="4788" w:type="dxa"/>
          </w:tcPr>
          <w:p w14:paraId="5EC8BC1E" w14:textId="72934722" w:rsidR="005D1D7A" w:rsidRPr="005D1D7A" w:rsidRDefault="005D1D7A" w:rsidP="005D1D7A">
            <w:r w:rsidRPr="005D1D7A">
              <w:rPr>
                <w:i/>
                <w:iCs/>
                <w:szCs w:val="20"/>
              </w:rPr>
              <w:t>Промени в цвета на косъма</w:t>
            </w:r>
          </w:p>
        </w:tc>
      </w:tr>
      <w:tr w:rsidR="005D1D7A" w14:paraId="567BE6B3" w14:textId="77777777" w:rsidTr="005D1D7A">
        <w:tc>
          <w:tcPr>
            <w:tcW w:w="4788" w:type="dxa"/>
          </w:tcPr>
          <w:p w14:paraId="6937F270" w14:textId="171CE14F" w:rsidR="005D1D7A" w:rsidRPr="005D1D7A" w:rsidRDefault="005D1D7A" w:rsidP="005D1D7A">
            <w:r w:rsidRPr="005D1D7A">
              <w:rPr>
                <w:szCs w:val="20"/>
              </w:rPr>
              <w:t>С неизвестна честота</w:t>
            </w:r>
          </w:p>
        </w:tc>
        <w:tc>
          <w:tcPr>
            <w:tcW w:w="4788" w:type="dxa"/>
          </w:tcPr>
          <w:p w14:paraId="225CA03C" w14:textId="49FC5436" w:rsidR="005D1D7A" w:rsidRPr="005D1D7A" w:rsidRDefault="005D1D7A" w:rsidP="005D1D7A">
            <w:r w:rsidRPr="005D1D7A">
              <w:rPr>
                <w:i/>
                <w:iCs/>
                <w:szCs w:val="20"/>
              </w:rPr>
              <w:t>Абнормна текстура на косъма</w:t>
            </w:r>
          </w:p>
        </w:tc>
      </w:tr>
      <w:tr w:rsidR="005D1D7A" w14:paraId="360A9BF6" w14:textId="77777777" w:rsidTr="005D1D7A">
        <w:tc>
          <w:tcPr>
            <w:tcW w:w="4788" w:type="dxa"/>
          </w:tcPr>
          <w:p w14:paraId="70378484" w14:textId="77777777" w:rsidR="005D1D7A" w:rsidRPr="005D1D7A" w:rsidRDefault="005D1D7A" w:rsidP="005D1D7A">
            <w:r w:rsidRPr="005D1D7A">
              <w:rPr>
                <w:b/>
                <w:bCs/>
                <w:szCs w:val="20"/>
              </w:rPr>
              <w:t>Общи нарушения и ефекти на мястото на приложение</w:t>
            </w:r>
          </w:p>
          <w:p w14:paraId="6A4E571D" w14:textId="1CE3A12F" w:rsidR="005D1D7A" w:rsidRPr="005D1D7A" w:rsidRDefault="005D1D7A" w:rsidP="005D1D7A">
            <w:r w:rsidRPr="005D1D7A">
              <w:rPr>
                <w:szCs w:val="20"/>
              </w:rPr>
              <w:t>С неизвестна честота</w:t>
            </w:r>
          </w:p>
        </w:tc>
        <w:tc>
          <w:tcPr>
            <w:tcW w:w="4788" w:type="dxa"/>
          </w:tcPr>
          <w:p w14:paraId="118CC948" w14:textId="77777777" w:rsidR="005D1D7A" w:rsidRDefault="005D1D7A" w:rsidP="005D1D7A">
            <w:pPr>
              <w:rPr>
                <w:i/>
                <w:iCs/>
                <w:szCs w:val="20"/>
              </w:rPr>
            </w:pPr>
          </w:p>
          <w:p w14:paraId="1C614717" w14:textId="77777777" w:rsidR="005D1D7A" w:rsidRDefault="005D1D7A" w:rsidP="005D1D7A">
            <w:pPr>
              <w:rPr>
                <w:i/>
                <w:iCs/>
                <w:szCs w:val="20"/>
              </w:rPr>
            </w:pPr>
          </w:p>
          <w:p w14:paraId="5A70D790" w14:textId="611276B7" w:rsidR="005D1D7A" w:rsidRPr="005D1D7A" w:rsidRDefault="005D1D7A" w:rsidP="005D1D7A">
            <w:r w:rsidRPr="005D1D7A">
              <w:rPr>
                <w:i/>
                <w:iCs/>
                <w:szCs w:val="20"/>
              </w:rPr>
              <w:t>Болка в гърдите</w:t>
            </w:r>
          </w:p>
        </w:tc>
      </w:tr>
    </w:tbl>
    <w:p w14:paraId="334E528A" w14:textId="77777777" w:rsidR="005D1D7A" w:rsidRDefault="005D1D7A" w:rsidP="005D1D7A">
      <w:pPr>
        <w:spacing w:line="240" w:lineRule="auto"/>
        <w:rPr>
          <w:rFonts w:eastAsia="Times New Roman" w:cs="Arial"/>
          <w:b/>
          <w:bCs/>
          <w:color w:val="000000"/>
          <w:u w:val="single"/>
          <w:lang w:eastAsia="bg-BG"/>
        </w:rPr>
      </w:pPr>
    </w:p>
    <w:p w14:paraId="3F099F36" w14:textId="3B5B295B" w:rsidR="005D1D7A" w:rsidRPr="005D1D7A" w:rsidRDefault="005D1D7A" w:rsidP="005D1D7A">
      <w:pPr>
        <w:spacing w:line="240" w:lineRule="auto"/>
        <w:rPr>
          <w:rFonts w:eastAsia="Times New Roman" w:cs="Arial"/>
        </w:rPr>
      </w:pPr>
      <w:r w:rsidRPr="005D1D7A">
        <w:rPr>
          <w:rFonts w:eastAsia="Times New Roman" w:cs="Arial"/>
          <w:b/>
          <w:bCs/>
          <w:color w:val="000000"/>
          <w:u w:val="single"/>
          <w:lang w:eastAsia="bg-BG"/>
        </w:rPr>
        <w:t>Съобщаване на подозирани нежелани реакции</w:t>
      </w:r>
    </w:p>
    <w:p w14:paraId="14A7A3F3" w14:textId="77777777" w:rsidR="005D1D7A" w:rsidRPr="005D1D7A" w:rsidRDefault="005D1D7A" w:rsidP="005D1D7A">
      <w:pPr>
        <w:spacing w:line="240" w:lineRule="auto"/>
        <w:rPr>
          <w:rFonts w:eastAsia="Times New Roman" w:cs="Arial"/>
          <w:color w:val="000000"/>
          <w:lang w:eastAsia="bg-BG"/>
        </w:rPr>
      </w:pPr>
    </w:p>
    <w:p w14:paraId="6F2DB102" w14:textId="65840458" w:rsidR="005D1D7A" w:rsidRPr="005D1D7A" w:rsidRDefault="005D1D7A" w:rsidP="005D1D7A">
      <w:pPr>
        <w:spacing w:line="240" w:lineRule="auto"/>
        <w:rPr>
          <w:rFonts w:eastAsia="Times New Roman" w:cs="Arial"/>
        </w:rPr>
      </w:pPr>
      <w:r w:rsidRPr="005D1D7A">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14:paraId="46EC8420" w14:textId="77777777" w:rsidR="005D1D7A" w:rsidRPr="005D1D7A" w:rsidRDefault="005D1D7A" w:rsidP="005D1D7A">
      <w:pPr>
        <w:spacing w:line="240" w:lineRule="auto"/>
        <w:rPr>
          <w:rFonts w:eastAsia="Times New Roman" w:cs="Arial"/>
        </w:rPr>
      </w:pPr>
      <w:r w:rsidRPr="005D1D7A">
        <w:rPr>
          <w:rFonts w:eastAsia="Times New Roman" w:cs="Arial"/>
          <w:color w:val="000000"/>
          <w:lang w:eastAsia="bg-BG"/>
        </w:rPr>
        <w:t>Изпълнителна агенция по лекарствата</w:t>
      </w:r>
    </w:p>
    <w:p w14:paraId="7A9596C3" w14:textId="77777777" w:rsidR="005D1D7A" w:rsidRPr="005D1D7A" w:rsidRDefault="005D1D7A" w:rsidP="005D1D7A">
      <w:pPr>
        <w:spacing w:line="240" w:lineRule="auto"/>
        <w:rPr>
          <w:rFonts w:eastAsia="Times New Roman" w:cs="Arial"/>
        </w:rPr>
      </w:pPr>
      <w:r w:rsidRPr="005D1D7A">
        <w:rPr>
          <w:rFonts w:eastAsia="Times New Roman" w:cs="Arial"/>
          <w:color w:val="000000"/>
          <w:lang w:eastAsia="bg-BG"/>
        </w:rPr>
        <w:t>ул.,Дамян Груев” № 8</w:t>
      </w:r>
    </w:p>
    <w:p w14:paraId="57C5C08F" w14:textId="77777777" w:rsidR="005D1D7A" w:rsidRPr="005D1D7A" w:rsidRDefault="005D1D7A" w:rsidP="005D1D7A">
      <w:pPr>
        <w:spacing w:line="240" w:lineRule="auto"/>
        <w:rPr>
          <w:rFonts w:eastAsia="Times New Roman" w:cs="Arial"/>
        </w:rPr>
      </w:pPr>
      <w:r w:rsidRPr="005D1D7A">
        <w:rPr>
          <w:rFonts w:eastAsia="Times New Roman" w:cs="Arial"/>
          <w:color w:val="000000"/>
          <w:lang w:eastAsia="bg-BG"/>
        </w:rPr>
        <w:t>1303 София</w:t>
      </w:r>
    </w:p>
    <w:p w14:paraId="58790264" w14:textId="77777777" w:rsidR="005D1D7A" w:rsidRPr="005D1D7A" w:rsidRDefault="005D1D7A" w:rsidP="005D1D7A">
      <w:pPr>
        <w:spacing w:line="240" w:lineRule="auto"/>
        <w:rPr>
          <w:rFonts w:eastAsia="Times New Roman" w:cs="Arial"/>
        </w:rPr>
      </w:pPr>
      <w:r w:rsidRPr="005D1D7A">
        <w:rPr>
          <w:rFonts w:eastAsia="Times New Roman" w:cs="Arial"/>
          <w:color w:val="000000"/>
          <w:lang w:eastAsia="bg-BG"/>
        </w:rPr>
        <w:t>Тел.: +359 2 8903417</w:t>
      </w:r>
    </w:p>
    <w:p w14:paraId="7C49E77A" w14:textId="7E495E0A" w:rsidR="005D1D7A" w:rsidRPr="005D1D7A" w:rsidRDefault="005D1D7A" w:rsidP="005D1D7A">
      <w:pPr>
        <w:rPr>
          <w:rFonts w:eastAsia="Times New Roman" w:cs="Arial"/>
        </w:rPr>
      </w:pPr>
      <w:r w:rsidRPr="005D1D7A">
        <w:rPr>
          <w:rFonts w:eastAsia="Times New Roman" w:cs="Arial"/>
          <w:color w:val="000000"/>
          <w:lang w:eastAsia="bg-BG"/>
        </w:rPr>
        <w:t xml:space="preserve">уебсайт: </w:t>
      </w:r>
      <w:hyperlink r:id="rId9" w:history="1">
        <w:r w:rsidRPr="005D1D7A">
          <w:rPr>
            <w:rFonts w:eastAsia="Times New Roman" w:cs="Arial"/>
            <w:color w:val="000000"/>
            <w:u w:val="single"/>
            <w:lang w:val="en-US"/>
          </w:rPr>
          <w:t>www.bda.bg</w:t>
        </w:r>
      </w:hyperlink>
    </w:p>
    <w:p w14:paraId="5FA9B1BF" w14:textId="77777777" w:rsidR="005D1D7A" w:rsidRPr="005D1D7A" w:rsidRDefault="005D1D7A" w:rsidP="005D1D7A"/>
    <w:p w14:paraId="4ED30546" w14:textId="5EC140BD" w:rsidR="007C605B" w:rsidRDefault="002C50EE" w:rsidP="009F1313">
      <w:pPr>
        <w:pStyle w:val="Heading2"/>
      </w:pPr>
      <w:r>
        <w:t>4.9. Предозиране</w:t>
      </w:r>
    </w:p>
    <w:p w14:paraId="36DD6CE0" w14:textId="67A69B86" w:rsidR="005D1D7A" w:rsidRDefault="005D1D7A" w:rsidP="005D1D7A"/>
    <w:p w14:paraId="2F6A4C63" w14:textId="77777777" w:rsidR="005D1D7A" w:rsidRPr="005D1D7A" w:rsidRDefault="005D1D7A" w:rsidP="005D1D7A">
      <w:pPr>
        <w:rPr>
          <w:sz w:val="24"/>
          <w:szCs w:val="24"/>
        </w:rPr>
      </w:pPr>
      <w:r w:rsidRPr="005D1D7A">
        <w:rPr>
          <w:lang w:eastAsia="bg-BG"/>
        </w:rPr>
        <w:t>При анализ на постмаркетинговите данни не са установени нежелани лекарствени реакции, свързани с предозиране на миноксидил.</w:t>
      </w:r>
    </w:p>
    <w:p w14:paraId="1C013F38" w14:textId="77777777" w:rsidR="005D1D7A" w:rsidRPr="005D1D7A" w:rsidRDefault="005D1D7A" w:rsidP="005D1D7A">
      <w:pPr>
        <w:rPr>
          <w:sz w:val="24"/>
          <w:szCs w:val="24"/>
        </w:rPr>
      </w:pPr>
      <w:r w:rsidRPr="005D1D7A">
        <w:rPr>
          <w:lang w:eastAsia="bg-BG"/>
        </w:rPr>
        <w:t>Информацията от литературата представена по-долу описва предозирането при миноксидил.</w:t>
      </w:r>
    </w:p>
    <w:p w14:paraId="2B856F82" w14:textId="77777777" w:rsidR="005D1D7A" w:rsidRDefault="005D1D7A" w:rsidP="005D1D7A">
      <w:pPr>
        <w:rPr>
          <w:lang w:eastAsia="bg-BG"/>
        </w:rPr>
      </w:pPr>
    </w:p>
    <w:p w14:paraId="76E3053B" w14:textId="7D6BCC31" w:rsidR="005D1D7A" w:rsidRPr="005D1D7A" w:rsidRDefault="005D1D7A" w:rsidP="005D1D7A">
      <w:pPr>
        <w:rPr>
          <w:sz w:val="24"/>
          <w:szCs w:val="24"/>
        </w:rPr>
      </w:pPr>
      <w:r w:rsidRPr="005D1D7A">
        <w:rPr>
          <w:lang w:eastAsia="bg-BG"/>
        </w:rPr>
        <w:t>Възможно е да се наблюдава повишена системна абсорбция на миноксидил, ако се прилагат по- високи от препоръчваните дози върху големи участъци от тялото или върху други области освен скалпа, поради което това може да доведе до нежелани реакции.</w:t>
      </w:r>
    </w:p>
    <w:p w14:paraId="5A189DD5" w14:textId="77777777" w:rsidR="005D1D7A" w:rsidRDefault="005D1D7A" w:rsidP="005D1D7A">
      <w:pPr>
        <w:rPr>
          <w:lang w:eastAsia="bg-BG"/>
        </w:rPr>
      </w:pPr>
    </w:p>
    <w:p w14:paraId="7E4CA9FB" w14:textId="682E4093" w:rsidR="005D1D7A" w:rsidRDefault="005D1D7A" w:rsidP="005D1D7A">
      <w:pPr>
        <w:rPr>
          <w:lang w:eastAsia="bg-BG"/>
        </w:rPr>
      </w:pPr>
      <w:r w:rsidRPr="005D1D7A">
        <w:rPr>
          <w:lang w:eastAsia="bg-BG"/>
        </w:rPr>
        <w:t>Предозиране, дължащо се на перорално приложение или прекомерна системна експозиция на миноксидил, може да засили неговите сърдечно-съдови ефекти и да се прояви като хипотония,</w:t>
      </w:r>
      <w:r w:rsidRPr="005D1D7A">
        <w:rPr>
          <w:rFonts w:cs="Arial"/>
          <w:b/>
          <w:bCs/>
          <w:sz w:val="17"/>
          <w:szCs w:val="17"/>
          <w:lang w:eastAsia="bg-BG"/>
        </w:rPr>
        <w:t xml:space="preserve"> </w:t>
      </w:r>
      <w:r>
        <w:rPr>
          <w:lang w:eastAsia="bg-BG"/>
        </w:rPr>
        <w:t>тахикардия и летаргия.</w:t>
      </w:r>
    </w:p>
    <w:p w14:paraId="51703EEA" w14:textId="5A2A65FB" w:rsidR="005D1D7A" w:rsidRDefault="005D1D7A" w:rsidP="005D1D7A">
      <w:pPr>
        <w:rPr>
          <w:lang w:eastAsia="bg-BG"/>
        </w:rPr>
      </w:pPr>
    </w:p>
    <w:p w14:paraId="0558DBEB" w14:textId="77777777" w:rsidR="005D1D7A" w:rsidRPr="005D1D7A" w:rsidRDefault="005D1D7A" w:rsidP="005D1D7A">
      <w:pPr>
        <w:rPr>
          <w:sz w:val="24"/>
          <w:szCs w:val="24"/>
        </w:rPr>
      </w:pPr>
      <w:r w:rsidRPr="005D1D7A">
        <w:rPr>
          <w:lang w:eastAsia="bg-BG"/>
        </w:rPr>
        <w:t>Да се съхранява на място, недостъпно за деца. Ако се погълне, незабавно да се потърси спешна лекарска помощ.</w:t>
      </w:r>
    </w:p>
    <w:p w14:paraId="27973942" w14:textId="77777777" w:rsidR="005D1D7A" w:rsidRPr="005D1D7A" w:rsidRDefault="005D1D7A" w:rsidP="005D1D7A">
      <w:pPr>
        <w:spacing w:line="240" w:lineRule="auto"/>
        <w:rPr>
          <w:rFonts w:ascii="Times New Roman" w:eastAsia="Times New Roman" w:hAnsi="Times New Roman" w:cs="Times New Roman"/>
          <w:sz w:val="24"/>
          <w:szCs w:val="24"/>
        </w:rPr>
      </w:pPr>
    </w:p>
    <w:p w14:paraId="7DA94ED3" w14:textId="77777777" w:rsidR="005D1D7A" w:rsidRPr="005D1D7A" w:rsidRDefault="005D1D7A" w:rsidP="005D1D7A"/>
    <w:p w14:paraId="02081B24" w14:textId="1F46E296" w:rsidR="00395555" w:rsidRPr="00395555" w:rsidRDefault="002C50EE" w:rsidP="008A6AF2">
      <w:pPr>
        <w:pStyle w:val="Heading1"/>
      </w:pPr>
      <w:r>
        <w:lastRenderedPageBreak/>
        <w:t>5. ФАРМАКОЛОГИЧНИ СВОЙСТВА</w:t>
      </w:r>
    </w:p>
    <w:p w14:paraId="5350637D" w14:textId="3CF98277" w:rsidR="00395555" w:rsidRDefault="002C50EE" w:rsidP="008A6AF2">
      <w:pPr>
        <w:pStyle w:val="Heading2"/>
      </w:pPr>
      <w:r>
        <w:t>5.1. Фармакодинамични свойства</w:t>
      </w:r>
    </w:p>
    <w:p w14:paraId="4B0EDCA2" w14:textId="1432FEAF" w:rsidR="005D1D7A" w:rsidRDefault="005D1D7A" w:rsidP="005D1D7A"/>
    <w:p w14:paraId="0BE84E54" w14:textId="77777777" w:rsidR="005D1D7A" w:rsidRPr="005D1D7A" w:rsidRDefault="005D1D7A" w:rsidP="005D1D7A">
      <w:pPr>
        <w:rPr>
          <w:sz w:val="24"/>
          <w:szCs w:val="24"/>
        </w:rPr>
      </w:pPr>
      <w:r w:rsidRPr="005D1D7A">
        <w:rPr>
          <w:lang w:eastAsia="bg-BG"/>
        </w:rPr>
        <w:t xml:space="preserve">Фармакотерапевтична група: дерматологични средства, АТС код: </w:t>
      </w:r>
      <w:r w:rsidRPr="005D1D7A">
        <w:rPr>
          <w:lang w:val="en-US"/>
        </w:rPr>
        <w:t>D</w:t>
      </w:r>
      <w:r w:rsidRPr="005D1D7A">
        <w:rPr>
          <w:lang w:val="ru-RU"/>
        </w:rPr>
        <w:t>1</w:t>
      </w:r>
      <w:r w:rsidRPr="005D1D7A">
        <w:rPr>
          <w:lang w:eastAsia="bg-BG"/>
        </w:rPr>
        <w:t>1АХ01</w:t>
      </w:r>
    </w:p>
    <w:p w14:paraId="2EA73887" w14:textId="77777777" w:rsidR="005D1D7A" w:rsidRDefault="005D1D7A" w:rsidP="005D1D7A">
      <w:pPr>
        <w:rPr>
          <w:lang w:eastAsia="bg-BG"/>
        </w:rPr>
      </w:pPr>
    </w:p>
    <w:p w14:paraId="6A119A25" w14:textId="19D58049" w:rsidR="005D1D7A" w:rsidRPr="005D1D7A" w:rsidRDefault="005D1D7A" w:rsidP="005D1D7A">
      <w:pPr>
        <w:rPr>
          <w:sz w:val="24"/>
          <w:szCs w:val="24"/>
        </w:rPr>
      </w:pPr>
      <w:r w:rsidRPr="005D1D7A">
        <w:rPr>
          <w:lang w:eastAsia="bg-BG"/>
        </w:rPr>
        <w:t>Механизмът, по който миноксидил стимулира растежа на косъма не е напълно ясен, но миноксидил може да спре процеса на косопад при андрогенна алопеция по следния начин:</w:t>
      </w:r>
    </w:p>
    <w:p w14:paraId="40536F08" w14:textId="77777777" w:rsidR="005D1D7A" w:rsidRPr="005D1D7A" w:rsidRDefault="005D1D7A" w:rsidP="005D1D7A">
      <w:pPr>
        <w:pStyle w:val="ListParagraph"/>
        <w:numPr>
          <w:ilvl w:val="0"/>
          <w:numId w:val="32"/>
        </w:numPr>
        <w:rPr>
          <w:lang w:eastAsia="bg-BG"/>
        </w:rPr>
      </w:pPr>
      <w:r w:rsidRPr="005D1D7A">
        <w:rPr>
          <w:lang w:eastAsia="bg-BG"/>
        </w:rPr>
        <w:t>Стимулиране на анагенния растеж</w:t>
      </w:r>
    </w:p>
    <w:p w14:paraId="5BD76DD5" w14:textId="77777777" w:rsidR="005D1D7A" w:rsidRPr="005D1D7A" w:rsidRDefault="005D1D7A" w:rsidP="005D1D7A">
      <w:pPr>
        <w:pStyle w:val="ListParagraph"/>
        <w:numPr>
          <w:ilvl w:val="0"/>
          <w:numId w:val="32"/>
        </w:numPr>
        <w:rPr>
          <w:lang w:eastAsia="bg-BG"/>
        </w:rPr>
      </w:pPr>
      <w:r w:rsidRPr="005D1D7A">
        <w:rPr>
          <w:lang w:eastAsia="bg-BG"/>
        </w:rPr>
        <w:t>Удължаване на анагенната фаза</w:t>
      </w:r>
    </w:p>
    <w:p w14:paraId="03612C29" w14:textId="60305BDF" w:rsidR="005D1D7A" w:rsidRDefault="005D1D7A" w:rsidP="005D1D7A">
      <w:pPr>
        <w:pStyle w:val="ListParagraph"/>
        <w:numPr>
          <w:ilvl w:val="0"/>
          <w:numId w:val="32"/>
        </w:numPr>
        <w:rPr>
          <w:lang w:eastAsia="bg-BG"/>
        </w:rPr>
      </w:pPr>
      <w:r w:rsidRPr="005D1D7A">
        <w:rPr>
          <w:lang w:eastAsia="bg-BG"/>
        </w:rPr>
        <w:t>Стимулиране на анагенното възстановяване от телогенната фаза</w:t>
      </w:r>
    </w:p>
    <w:p w14:paraId="3A416922" w14:textId="77777777" w:rsidR="005D1D7A" w:rsidRPr="005D1D7A" w:rsidRDefault="005D1D7A" w:rsidP="005D1D7A"/>
    <w:p w14:paraId="26535098" w14:textId="720DE2FC" w:rsidR="00395555" w:rsidRDefault="002C50EE" w:rsidP="008A6AF2">
      <w:pPr>
        <w:pStyle w:val="Heading2"/>
      </w:pPr>
      <w:r>
        <w:t>5.2. Фармакокинетични свойства</w:t>
      </w:r>
    </w:p>
    <w:p w14:paraId="19C9C1BB" w14:textId="6C19D0DD" w:rsidR="005D1D7A" w:rsidRDefault="005D1D7A" w:rsidP="005D1D7A"/>
    <w:p w14:paraId="687B0425" w14:textId="77777777" w:rsidR="005D1D7A" w:rsidRPr="005D1D7A" w:rsidRDefault="005D1D7A" w:rsidP="005D1D7A">
      <w:pPr>
        <w:pStyle w:val="Heading3"/>
        <w:rPr>
          <w:rFonts w:eastAsia="Times New Roman"/>
          <w:i/>
          <w:sz w:val="28"/>
          <w:u w:val="single"/>
        </w:rPr>
      </w:pPr>
      <w:r w:rsidRPr="005D1D7A">
        <w:rPr>
          <w:rFonts w:eastAsia="Times New Roman"/>
          <w:i/>
          <w:u w:val="single"/>
          <w:lang w:eastAsia="bg-BG"/>
        </w:rPr>
        <w:t>Абсорбиия</w:t>
      </w:r>
    </w:p>
    <w:p w14:paraId="525AE172"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Около 1% до 2% от локално приложения разтвор на миноксидил се абсорбира системно в сравнение с 90-100% от пероралната форма.</w:t>
      </w:r>
    </w:p>
    <w:p w14:paraId="22DE8759" w14:textId="77777777" w:rsidR="005D1D7A" w:rsidRPr="005D1D7A" w:rsidRDefault="005D1D7A" w:rsidP="005D1D7A">
      <w:pPr>
        <w:spacing w:line="240" w:lineRule="auto"/>
        <w:rPr>
          <w:rFonts w:eastAsia="Times New Roman" w:cs="Arial"/>
          <w:color w:val="000000"/>
          <w:szCs w:val="20"/>
          <w:lang w:eastAsia="bg-BG"/>
        </w:rPr>
      </w:pPr>
    </w:p>
    <w:p w14:paraId="0387C2BC" w14:textId="2ADAB1AA"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 xml:space="preserve">В едно изследване при мъже времевата крива на серумната концентрация на миноксидил </w:t>
      </w:r>
      <w:r w:rsidRPr="005D1D7A">
        <w:rPr>
          <w:rFonts w:eastAsia="Times New Roman" w:cs="Arial"/>
          <w:color w:val="000000"/>
          <w:szCs w:val="20"/>
          <w:lang w:val="ru-RU"/>
        </w:rPr>
        <w:t>(</w:t>
      </w:r>
      <w:r w:rsidRPr="005D1D7A">
        <w:rPr>
          <w:rFonts w:eastAsia="Times New Roman" w:cs="Arial"/>
          <w:color w:val="000000"/>
          <w:szCs w:val="20"/>
          <w:lang w:val="en-US"/>
        </w:rPr>
        <w:t>AUC</w:t>
      </w:r>
      <w:r w:rsidRPr="005D1D7A">
        <w:rPr>
          <w:rFonts w:eastAsia="Times New Roman" w:cs="Arial"/>
          <w:color w:val="000000"/>
          <w:szCs w:val="20"/>
          <w:lang w:val="ru-RU"/>
        </w:rPr>
        <w:t xml:space="preserve">) </w:t>
      </w:r>
      <w:r w:rsidRPr="005D1D7A">
        <w:rPr>
          <w:rFonts w:eastAsia="Times New Roman" w:cs="Arial"/>
          <w:color w:val="000000"/>
          <w:szCs w:val="20"/>
          <w:lang w:eastAsia="bg-BG"/>
        </w:rPr>
        <w:t>за 2% разтвор има средна стойност 7,54</w:t>
      </w:r>
      <w:proofErr w:type="spellStart"/>
      <w:r w:rsidRPr="005D1D7A">
        <w:rPr>
          <w:rFonts w:eastAsia="Times New Roman" w:cs="Arial"/>
          <w:color w:val="000000"/>
          <w:szCs w:val="20"/>
          <w:lang w:val="en-US"/>
        </w:rPr>
        <w:t>nghr</w:t>
      </w:r>
      <w:proofErr w:type="spellEnd"/>
      <w:r w:rsidRPr="005D1D7A">
        <w:rPr>
          <w:rFonts w:eastAsia="Times New Roman" w:cs="Arial"/>
          <w:color w:val="000000"/>
          <w:szCs w:val="20"/>
          <w:lang w:val="ru-RU"/>
        </w:rPr>
        <w:t>/</w:t>
      </w:r>
      <w:r w:rsidRPr="005D1D7A">
        <w:rPr>
          <w:rFonts w:eastAsia="Times New Roman" w:cs="Arial"/>
          <w:color w:val="000000"/>
          <w:szCs w:val="20"/>
          <w:lang w:val="en-US"/>
        </w:rPr>
        <w:t>mL</w:t>
      </w:r>
      <w:r w:rsidRPr="005D1D7A">
        <w:rPr>
          <w:rFonts w:eastAsia="Times New Roman" w:cs="Arial"/>
          <w:color w:val="000000"/>
          <w:szCs w:val="20"/>
          <w:lang w:val="ru-RU"/>
        </w:rPr>
        <w:t xml:space="preserve"> </w:t>
      </w:r>
      <w:r w:rsidRPr="005D1D7A">
        <w:rPr>
          <w:rFonts w:eastAsia="Times New Roman" w:cs="Arial"/>
          <w:color w:val="000000"/>
          <w:szCs w:val="20"/>
          <w:lang w:eastAsia="bg-BG"/>
        </w:rPr>
        <w:t xml:space="preserve">в сравнение със средна </w:t>
      </w:r>
      <w:r w:rsidRPr="005D1D7A">
        <w:rPr>
          <w:rFonts w:eastAsia="Times New Roman" w:cs="Arial"/>
          <w:color w:val="000000"/>
          <w:szCs w:val="20"/>
          <w:lang w:val="en-US"/>
        </w:rPr>
        <w:t>AUC</w:t>
      </w:r>
      <w:r w:rsidRPr="005D1D7A">
        <w:rPr>
          <w:rFonts w:eastAsia="Times New Roman" w:cs="Arial"/>
          <w:color w:val="000000"/>
          <w:szCs w:val="20"/>
          <w:lang w:val="ru-RU"/>
        </w:rPr>
        <w:t xml:space="preserve"> </w:t>
      </w:r>
      <w:r w:rsidRPr="005D1D7A">
        <w:rPr>
          <w:rFonts w:eastAsia="Times New Roman" w:cs="Arial"/>
          <w:color w:val="000000"/>
          <w:szCs w:val="20"/>
          <w:lang w:eastAsia="bg-BG"/>
        </w:rPr>
        <w:t xml:space="preserve">от 35,1 </w:t>
      </w:r>
      <w:proofErr w:type="spellStart"/>
      <w:r w:rsidRPr="005D1D7A">
        <w:rPr>
          <w:rFonts w:eastAsia="Times New Roman" w:cs="Arial"/>
          <w:color w:val="000000"/>
          <w:szCs w:val="20"/>
          <w:lang w:val="en-US"/>
        </w:rPr>
        <w:t>nghr</w:t>
      </w:r>
      <w:proofErr w:type="spellEnd"/>
      <w:r w:rsidRPr="005D1D7A">
        <w:rPr>
          <w:rFonts w:eastAsia="Times New Roman" w:cs="Arial"/>
          <w:color w:val="000000"/>
          <w:szCs w:val="20"/>
          <w:lang w:val="ru-RU"/>
        </w:rPr>
        <w:t>/</w:t>
      </w:r>
      <w:r w:rsidRPr="005D1D7A">
        <w:rPr>
          <w:rFonts w:eastAsia="Times New Roman" w:cs="Arial"/>
          <w:color w:val="000000"/>
          <w:szCs w:val="20"/>
          <w:lang w:val="en-US"/>
        </w:rPr>
        <w:t>mL</w:t>
      </w:r>
      <w:r w:rsidRPr="005D1D7A">
        <w:rPr>
          <w:rFonts w:eastAsia="Times New Roman" w:cs="Arial"/>
          <w:color w:val="000000"/>
          <w:szCs w:val="20"/>
          <w:lang w:val="ru-RU"/>
        </w:rPr>
        <w:t xml:space="preserve"> </w:t>
      </w:r>
      <w:r w:rsidRPr="005D1D7A">
        <w:rPr>
          <w:rFonts w:eastAsia="Times New Roman" w:cs="Arial"/>
          <w:color w:val="000000"/>
          <w:szCs w:val="20"/>
          <w:lang w:eastAsia="bg-BG"/>
        </w:rPr>
        <w:t xml:space="preserve">за 2,5 </w:t>
      </w:r>
      <w:r w:rsidRPr="005D1D7A">
        <w:rPr>
          <w:rFonts w:eastAsia="Times New Roman" w:cs="Arial"/>
          <w:color w:val="000000"/>
          <w:szCs w:val="20"/>
          <w:lang w:val="en-US"/>
        </w:rPr>
        <w:t>mg</w:t>
      </w:r>
      <w:r w:rsidRPr="005D1D7A">
        <w:rPr>
          <w:rFonts w:eastAsia="Times New Roman" w:cs="Arial"/>
          <w:color w:val="000000"/>
          <w:szCs w:val="20"/>
          <w:lang w:val="ru-RU"/>
        </w:rPr>
        <w:t xml:space="preserve"> </w:t>
      </w:r>
      <w:r w:rsidRPr="005D1D7A">
        <w:rPr>
          <w:rFonts w:eastAsia="Times New Roman" w:cs="Arial"/>
          <w:color w:val="000000"/>
          <w:szCs w:val="20"/>
          <w:lang w:eastAsia="bg-BG"/>
        </w:rPr>
        <w:t>перорална форма. Средната максимална плазмена концентрация (С</w:t>
      </w:r>
      <w:r w:rsidRPr="005D1D7A">
        <w:rPr>
          <w:rFonts w:eastAsia="Times New Roman" w:cs="Arial"/>
          <w:color w:val="000000"/>
          <w:szCs w:val="20"/>
          <w:lang w:val="en-US"/>
        </w:rPr>
        <w:t>max</w:t>
      </w:r>
      <w:r w:rsidRPr="005D1D7A">
        <w:rPr>
          <w:rFonts w:eastAsia="Times New Roman" w:cs="Arial"/>
          <w:color w:val="000000"/>
          <w:szCs w:val="20"/>
          <w:lang w:eastAsia="bg-BG"/>
        </w:rPr>
        <w:t xml:space="preserve">) за дермалния разтвор е 1,25 </w:t>
      </w:r>
      <w:r w:rsidRPr="005D1D7A">
        <w:rPr>
          <w:rFonts w:eastAsia="Times New Roman" w:cs="Arial"/>
          <w:color w:val="000000"/>
          <w:szCs w:val="20"/>
          <w:lang w:val="en-US"/>
        </w:rPr>
        <w:t>ng</w:t>
      </w:r>
      <w:r w:rsidRPr="005D1D7A">
        <w:rPr>
          <w:rFonts w:eastAsia="Times New Roman" w:cs="Arial"/>
          <w:color w:val="000000"/>
          <w:szCs w:val="20"/>
          <w:lang w:val="ru-RU"/>
        </w:rPr>
        <w:t>/</w:t>
      </w:r>
      <w:r w:rsidRPr="005D1D7A">
        <w:rPr>
          <w:rFonts w:eastAsia="Times New Roman" w:cs="Arial"/>
          <w:color w:val="000000"/>
          <w:szCs w:val="20"/>
          <w:lang w:val="en-US"/>
        </w:rPr>
        <w:t>mL</w:t>
      </w:r>
      <w:r w:rsidRPr="005D1D7A">
        <w:rPr>
          <w:rFonts w:eastAsia="Times New Roman" w:cs="Arial"/>
          <w:color w:val="000000"/>
          <w:szCs w:val="20"/>
          <w:lang w:val="ru-RU"/>
        </w:rPr>
        <w:t xml:space="preserve">, </w:t>
      </w:r>
      <w:r w:rsidRPr="005D1D7A">
        <w:rPr>
          <w:rFonts w:eastAsia="Times New Roman" w:cs="Arial"/>
          <w:color w:val="000000"/>
          <w:szCs w:val="20"/>
          <w:lang w:eastAsia="bg-BG"/>
        </w:rPr>
        <w:t xml:space="preserve">в сравнение с 18,5 </w:t>
      </w:r>
      <w:r w:rsidRPr="005D1D7A">
        <w:rPr>
          <w:rFonts w:eastAsia="Times New Roman" w:cs="Arial"/>
          <w:color w:val="000000"/>
          <w:szCs w:val="20"/>
          <w:lang w:val="en-US"/>
        </w:rPr>
        <w:t>ng</w:t>
      </w:r>
      <w:r w:rsidRPr="005D1D7A">
        <w:rPr>
          <w:rFonts w:eastAsia="Times New Roman" w:cs="Arial"/>
          <w:color w:val="000000"/>
          <w:szCs w:val="20"/>
          <w:lang w:val="ru-RU"/>
        </w:rPr>
        <w:t>/</w:t>
      </w:r>
      <w:r w:rsidRPr="005D1D7A">
        <w:rPr>
          <w:rFonts w:eastAsia="Times New Roman" w:cs="Arial"/>
          <w:color w:val="000000"/>
          <w:szCs w:val="20"/>
          <w:lang w:val="en-US"/>
        </w:rPr>
        <w:t>ml</w:t>
      </w:r>
      <w:r w:rsidRPr="005D1D7A">
        <w:rPr>
          <w:rFonts w:eastAsia="Times New Roman" w:cs="Arial"/>
          <w:color w:val="000000"/>
          <w:szCs w:val="20"/>
          <w:lang w:val="ru-RU"/>
        </w:rPr>
        <w:t xml:space="preserve"> </w:t>
      </w:r>
      <w:r w:rsidRPr="005D1D7A">
        <w:rPr>
          <w:rFonts w:eastAsia="Times New Roman" w:cs="Arial"/>
          <w:color w:val="000000"/>
          <w:szCs w:val="20"/>
          <w:lang w:eastAsia="bg-BG"/>
        </w:rPr>
        <w:t xml:space="preserve">за пероралната доза от 2,5 </w:t>
      </w:r>
      <w:r w:rsidRPr="005D1D7A">
        <w:rPr>
          <w:rFonts w:eastAsia="Times New Roman" w:cs="Arial"/>
          <w:color w:val="000000"/>
          <w:szCs w:val="20"/>
          <w:lang w:val="en-US"/>
        </w:rPr>
        <w:t>mg</w:t>
      </w:r>
      <w:r w:rsidRPr="005D1D7A">
        <w:rPr>
          <w:rFonts w:eastAsia="Times New Roman" w:cs="Arial"/>
          <w:color w:val="000000"/>
          <w:szCs w:val="20"/>
          <w:lang w:val="ru-RU"/>
        </w:rPr>
        <w:t>.</w:t>
      </w:r>
    </w:p>
    <w:p w14:paraId="1B691F19" w14:textId="77777777" w:rsidR="005D1D7A" w:rsidRPr="005D1D7A" w:rsidRDefault="005D1D7A" w:rsidP="005D1D7A">
      <w:pPr>
        <w:spacing w:line="240" w:lineRule="auto"/>
        <w:rPr>
          <w:rFonts w:eastAsia="Times New Roman" w:cs="Arial"/>
          <w:color w:val="000000"/>
          <w:szCs w:val="20"/>
          <w:lang w:eastAsia="bg-BG"/>
        </w:rPr>
      </w:pPr>
    </w:p>
    <w:p w14:paraId="0A46647E" w14:textId="458F096B"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 xml:space="preserve">В друго клинично изпитване, също при мъже, системната абсорбция на 5% пяна е била около половината от тази на 5% разтвор за локално приложение. Средните </w:t>
      </w:r>
      <w:r w:rsidRPr="005D1D7A">
        <w:rPr>
          <w:rFonts w:eastAsia="Times New Roman" w:cs="Arial"/>
          <w:color w:val="000000"/>
          <w:szCs w:val="20"/>
          <w:lang w:val="en-US"/>
        </w:rPr>
        <w:t>AUC</w:t>
      </w:r>
      <w:r w:rsidRPr="005D1D7A">
        <w:rPr>
          <w:rFonts w:eastAsia="Times New Roman" w:cs="Arial"/>
          <w:color w:val="000000"/>
          <w:szCs w:val="20"/>
          <w:lang w:val="ru-RU"/>
        </w:rPr>
        <w:t xml:space="preserve"> </w:t>
      </w:r>
      <w:r w:rsidRPr="005D1D7A">
        <w:rPr>
          <w:rFonts w:eastAsia="Times New Roman" w:cs="Arial"/>
          <w:color w:val="000000"/>
          <w:szCs w:val="20"/>
          <w:lang w:eastAsia="bg-BG"/>
        </w:rPr>
        <w:t xml:space="preserve">(0-12 </w:t>
      </w:r>
      <w:proofErr w:type="spellStart"/>
      <w:r w:rsidRPr="005D1D7A">
        <w:rPr>
          <w:rFonts w:eastAsia="Times New Roman" w:cs="Arial"/>
          <w:color w:val="000000"/>
          <w:szCs w:val="20"/>
          <w:lang w:val="en-US"/>
        </w:rPr>
        <w:t>hr</w:t>
      </w:r>
      <w:proofErr w:type="spellEnd"/>
      <w:r w:rsidRPr="005D1D7A">
        <w:rPr>
          <w:rFonts w:eastAsia="Times New Roman" w:cs="Arial"/>
          <w:color w:val="000000"/>
          <w:szCs w:val="20"/>
          <w:lang w:val="ru-RU"/>
        </w:rPr>
        <w:t xml:space="preserve">) </w:t>
      </w:r>
      <w:r w:rsidRPr="005D1D7A">
        <w:rPr>
          <w:rFonts w:eastAsia="Times New Roman" w:cs="Arial"/>
          <w:color w:val="000000"/>
          <w:szCs w:val="20"/>
          <w:lang w:eastAsia="bg-BG"/>
        </w:rPr>
        <w:t>и С</w:t>
      </w:r>
      <w:r w:rsidRPr="005D1D7A">
        <w:rPr>
          <w:rFonts w:eastAsia="Times New Roman" w:cs="Arial"/>
          <w:color w:val="000000"/>
          <w:szCs w:val="20"/>
          <w:lang w:val="en-US"/>
        </w:rPr>
        <w:t>max</w:t>
      </w:r>
      <w:r w:rsidRPr="005D1D7A">
        <w:rPr>
          <w:rFonts w:eastAsia="Times New Roman" w:cs="Arial"/>
          <w:color w:val="000000"/>
          <w:szCs w:val="20"/>
          <w:lang w:eastAsia="bg-BG"/>
        </w:rPr>
        <w:t xml:space="preserve"> на 5% пяна, 8,81 </w:t>
      </w:r>
      <w:r w:rsidRPr="005D1D7A">
        <w:rPr>
          <w:rFonts w:eastAsia="Times New Roman" w:cs="Arial"/>
          <w:color w:val="000000"/>
          <w:szCs w:val="20"/>
          <w:lang w:val="en-US"/>
        </w:rPr>
        <w:t>ng</w:t>
      </w:r>
      <w:r w:rsidRPr="005D1D7A">
        <w:rPr>
          <w:rFonts w:eastAsia="Times New Roman" w:cs="Arial"/>
          <w:color w:val="000000"/>
          <w:szCs w:val="20"/>
          <w:lang w:val="ru-RU"/>
        </w:rPr>
        <w:t xml:space="preserve"> </w:t>
      </w:r>
      <w:proofErr w:type="spellStart"/>
      <w:r w:rsidRPr="005D1D7A">
        <w:rPr>
          <w:rFonts w:eastAsia="Times New Roman" w:cs="Arial"/>
          <w:color w:val="000000"/>
          <w:szCs w:val="20"/>
          <w:lang w:val="en-US"/>
        </w:rPr>
        <w:t>hr</w:t>
      </w:r>
      <w:proofErr w:type="spellEnd"/>
      <w:r w:rsidRPr="005D1D7A">
        <w:rPr>
          <w:rFonts w:eastAsia="Times New Roman" w:cs="Arial"/>
          <w:color w:val="000000"/>
          <w:szCs w:val="20"/>
          <w:lang w:val="ru-RU"/>
        </w:rPr>
        <w:t>/</w:t>
      </w:r>
      <w:r w:rsidRPr="005D1D7A">
        <w:rPr>
          <w:rFonts w:eastAsia="Times New Roman" w:cs="Arial"/>
          <w:color w:val="000000"/>
          <w:szCs w:val="20"/>
          <w:lang w:val="en-US"/>
        </w:rPr>
        <w:t>mL</w:t>
      </w:r>
      <w:r w:rsidRPr="005D1D7A">
        <w:rPr>
          <w:rFonts w:eastAsia="Times New Roman" w:cs="Arial"/>
          <w:color w:val="000000"/>
          <w:szCs w:val="20"/>
          <w:lang w:val="ru-RU"/>
        </w:rPr>
        <w:t xml:space="preserve"> </w:t>
      </w:r>
      <w:r w:rsidRPr="005D1D7A">
        <w:rPr>
          <w:rFonts w:eastAsia="Times New Roman" w:cs="Arial"/>
          <w:color w:val="000000"/>
          <w:szCs w:val="20"/>
          <w:lang w:eastAsia="bg-BG"/>
        </w:rPr>
        <w:t xml:space="preserve">и 1,11 </w:t>
      </w:r>
      <w:r w:rsidRPr="005D1D7A">
        <w:rPr>
          <w:rFonts w:eastAsia="Times New Roman" w:cs="Arial"/>
          <w:color w:val="000000"/>
          <w:szCs w:val="20"/>
          <w:lang w:val="en-US"/>
        </w:rPr>
        <w:t>ng</w:t>
      </w:r>
      <w:r w:rsidRPr="005D1D7A">
        <w:rPr>
          <w:rFonts w:eastAsia="Times New Roman" w:cs="Arial"/>
          <w:color w:val="000000"/>
          <w:szCs w:val="20"/>
          <w:lang w:val="ru-RU"/>
        </w:rPr>
        <w:t>/</w:t>
      </w:r>
      <w:r w:rsidRPr="005D1D7A">
        <w:rPr>
          <w:rFonts w:eastAsia="Times New Roman" w:cs="Arial"/>
          <w:color w:val="000000"/>
          <w:szCs w:val="20"/>
          <w:lang w:val="en-US"/>
        </w:rPr>
        <w:t>mL</w:t>
      </w:r>
      <w:r w:rsidRPr="005D1D7A">
        <w:rPr>
          <w:rFonts w:eastAsia="Times New Roman" w:cs="Arial"/>
          <w:color w:val="000000"/>
          <w:szCs w:val="20"/>
          <w:lang w:val="ru-RU"/>
        </w:rPr>
        <w:t xml:space="preserve"> </w:t>
      </w:r>
      <w:r w:rsidRPr="005D1D7A">
        <w:rPr>
          <w:rFonts w:eastAsia="Times New Roman" w:cs="Arial"/>
          <w:color w:val="000000"/>
          <w:szCs w:val="20"/>
          <w:lang w:eastAsia="bg-BG"/>
        </w:rPr>
        <w:t xml:space="preserve">съответно, са приблизително 50% от </w:t>
      </w:r>
      <w:r w:rsidRPr="005D1D7A">
        <w:rPr>
          <w:rFonts w:eastAsia="Times New Roman" w:cs="Arial"/>
          <w:color w:val="000000"/>
          <w:szCs w:val="20"/>
          <w:lang w:val="en-US"/>
        </w:rPr>
        <w:t>AUC</w:t>
      </w:r>
      <w:r w:rsidRPr="005D1D7A">
        <w:rPr>
          <w:rFonts w:eastAsia="Times New Roman" w:cs="Arial"/>
          <w:color w:val="000000"/>
          <w:szCs w:val="20"/>
          <w:lang w:val="ru-RU"/>
        </w:rPr>
        <w:t xml:space="preserve"> </w:t>
      </w:r>
      <w:r w:rsidRPr="005D1D7A">
        <w:rPr>
          <w:rFonts w:eastAsia="Times New Roman" w:cs="Arial"/>
          <w:color w:val="000000"/>
          <w:szCs w:val="20"/>
          <w:lang w:eastAsia="bg-BG"/>
        </w:rPr>
        <w:t xml:space="preserve">(0-12 </w:t>
      </w:r>
      <w:proofErr w:type="spellStart"/>
      <w:r w:rsidRPr="005D1D7A">
        <w:rPr>
          <w:rFonts w:eastAsia="Times New Roman" w:cs="Arial"/>
          <w:color w:val="000000"/>
          <w:szCs w:val="20"/>
          <w:lang w:val="en-US"/>
        </w:rPr>
        <w:t>hr</w:t>
      </w:r>
      <w:proofErr w:type="spellEnd"/>
      <w:r w:rsidRPr="005D1D7A">
        <w:rPr>
          <w:rFonts w:eastAsia="Times New Roman" w:cs="Arial"/>
          <w:color w:val="000000"/>
          <w:szCs w:val="20"/>
          <w:lang w:val="ru-RU"/>
        </w:rPr>
        <w:t xml:space="preserve">) </w:t>
      </w:r>
      <w:r w:rsidRPr="005D1D7A">
        <w:rPr>
          <w:rFonts w:eastAsia="Times New Roman" w:cs="Arial"/>
          <w:color w:val="000000"/>
          <w:szCs w:val="20"/>
          <w:lang w:eastAsia="bg-BG"/>
        </w:rPr>
        <w:t>и С</w:t>
      </w:r>
      <w:r w:rsidRPr="005D1D7A">
        <w:rPr>
          <w:rFonts w:eastAsia="Times New Roman" w:cs="Arial"/>
          <w:color w:val="000000"/>
          <w:szCs w:val="20"/>
          <w:lang w:val="en-US"/>
        </w:rPr>
        <w:t>max</w:t>
      </w:r>
      <w:r w:rsidRPr="005D1D7A">
        <w:rPr>
          <w:rFonts w:eastAsia="Times New Roman" w:cs="Arial"/>
          <w:color w:val="000000"/>
          <w:szCs w:val="20"/>
          <w:lang w:eastAsia="bg-BG"/>
        </w:rPr>
        <w:t xml:space="preserve"> на 5% разтвор - 18,71 </w:t>
      </w:r>
      <w:r w:rsidRPr="005D1D7A">
        <w:rPr>
          <w:rFonts w:eastAsia="Times New Roman" w:cs="Arial"/>
          <w:color w:val="000000"/>
          <w:szCs w:val="20"/>
          <w:lang w:val="en-US"/>
        </w:rPr>
        <w:t>ng</w:t>
      </w:r>
      <w:r w:rsidRPr="005D1D7A">
        <w:rPr>
          <w:rFonts w:eastAsia="Times New Roman" w:cs="Arial"/>
          <w:color w:val="000000"/>
          <w:szCs w:val="20"/>
          <w:lang w:val="ru-RU"/>
        </w:rPr>
        <w:t xml:space="preserve"> </w:t>
      </w:r>
      <w:proofErr w:type="spellStart"/>
      <w:r w:rsidRPr="005D1D7A">
        <w:rPr>
          <w:rFonts w:eastAsia="Times New Roman" w:cs="Arial"/>
          <w:color w:val="000000"/>
          <w:szCs w:val="20"/>
          <w:lang w:val="en-US"/>
        </w:rPr>
        <w:t>hr</w:t>
      </w:r>
      <w:proofErr w:type="spellEnd"/>
      <w:r w:rsidRPr="005D1D7A">
        <w:rPr>
          <w:rFonts w:eastAsia="Times New Roman" w:cs="Arial"/>
          <w:color w:val="000000"/>
          <w:szCs w:val="20"/>
          <w:lang w:val="ru-RU"/>
        </w:rPr>
        <w:t>/</w:t>
      </w:r>
      <w:r w:rsidRPr="005D1D7A">
        <w:rPr>
          <w:rFonts w:eastAsia="Times New Roman" w:cs="Arial"/>
          <w:color w:val="000000"/>
          <w:szCs w:val="20"/>
          <w:lang w:val="en-US"/>
        </w:rPr>
        <w:t>mL</w:t>
      </w:r>
      <w:r w:rsidRPr="005D1D7A">
        <w:rPr>
          <w:rFonts w:eastAsia="Times New Roman" w:cs="Arial"/>
          <w:color w:val="000000"/>
          <w:szCs w:val="20"/>
          <w:lang w:val="ru-RU"/>
        </w:rPr>
        <w:t xml:space="preserve"> </w:t>
      </w:r>
      <w:r w:rsidRPr="005D1D7A">
        <w:rPr>
          <w:rFonts w:eastAsia="Times New Roman" w:cs="Arial"/>
          <w:color w:val="000000"/>
          <w:szCs w:val="20"/>
          <w:lang w:eastAsia="bg-BG"/>
        </w:rPr>
        <w:t xml:space="preserve">и 2,13 </w:t>
      </w:r>
      <w:r w:rsidRPr="005D1D7A">
        <w:rPr>
          <w:rFonts w:eastAsia="Times New Roman" w:cs="Arial"/>
          <w:color w:val="000000"/>
          <w:szCs w:val="20"/>
          <w:lang w:val="en-US"/>
        </w:rPr>
        <w:t>ng</w:t>
      </w:r>
      <w:r w:rsidRPr="005D1D7A">
        <w:rPr>
          <w:rFonts w:eastAsia="Times New Roman" w:cs="Arial"/>
          <w:color w:val="000000"/>
          <w:szCs w:val="20"/>
          <w:lang w:val="ru-RU"/>
        </w:rPr>
        <w:t>/</w:t>
      </w:r>
      <w:r w:rsidRPr="005D1D7A">
        <w:rPr>
          <w:rFonts w:eastAsia="Times New Roman" w:cs="Arial"/>
          <w:color w:val="000000"/>
          <w:szCs w:val="20"/>
          <w:lang w:val="en-US"/>
        </w:rPr>
        <w:t>mL</w:t>
      </w:r>
      <w:r w:rsidRPr="005D1D7A">
        <w:rPr>
          <w:rFonts w:eastAsia="Times New Roman" w:cs="Arial"/>
          <w:color w:val="000000"/>
          <w:szCs w:val="20"/>
          <w:lang w:val="ru-RU"/>
        </w:rPr>
        <w:t xml:space="preserve"> </w:t>
      </w:r>
      <w:r w:rsidRPr="005D1D7A">
        <w:rPr>
          <w:rFonts w:eastAsia="Times New Roman" w:cs="Arial"/>
          <w:color w:val="000000"/>
          <w:szCs w:val="20"/>
          <w:lang w:eastAsia="bg-BG"/>
        </w:rPr>
        <w:t>съответно.</w:t>
      </w:r>
    </w:p>
    <w:p w14:paraId="28977742" w14:textId="77777777" w:rsidR="005D1D7A" w:rsidRPr="005D1D7A" w:rsidRDefault="005D1D7A" w:rsidP="005D1D7A">
      <w:pPr>
        <w:spacing w:line="240" w:lineRule="auto"/>
        <w:rPr>
          <w:rFonts w:eastAsia="Times New Roman" w:cs="Arial"/>
          <w:color w:val="000000"/>
          <w:szCs w:val="20"/>
          <w:lang w:val="en-US"/>
        </w:rPr>
      </w:pPr>
    </w:p>
    <w:p w14:paraId="4989E01C" w14:textId="24A35242"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val="en-US"/>
        </w:rPr>
        <w:t>AUC</w:t>
      </w:r>
      <w:r w:rsidRPr="005D1D7A">
        <w:rPr>
          <w:rFonts w:eastAsia="Times New Roman" w:cs="Arial"/>
          <w:color w:val="000000"/>
          <w:szCs w:val="20"/>
          <w:lang w:val="ru-RU"/>
        </w:rPr>
        <w:t xml:space="preserve"> </w:t>
      </w:r>
      <w:r w:rsidRPr="005D1D7A">
        <w:rPr>
          <w:rFonts w:eastAsia="Times New Roman" w:cs="Arial"/>
          <w:color w:val="000000"/>
          <w:szCs w:val="20"/>
          <w:lang w:eastAsia="bg-BG"/>
        </w:rPr>
        <w:t>на 5% пяна, използвана веднъж дневно е била сходна с тази на 2% разтвор, използван два пъти дневно при жени.</w:t>
      </w:r>
    </w:p>
    <w:p w14:paraId="37A734DA" w14:textId="77777777" w:rsidR="005D1D7A" w:rsidRPr="005D1D7A" w:rsidRDefault="005D1D7A" w:rsidP="005D1D7A">
      <w:pPr>
        <w:spacing w:line="240" w:lineRule="auto"/>
        <w:rPr>
          <w:rFonts w:eastAsia="Times New Roman" w:cs="Arial"/>
          <w:color w:val="000000"/>
          <w:szCs w:val="20"/>
          <w:lang w:eastAsia="bg-BG"/>
        </w:rPr>
      </w:pPr>
    </w:p>
    <w:p w14:paraId="49675DB3" w14:textId="4DFB2AD6"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Времето до получаване на максимална концентрация на миноксидил (Т</w:t>
      </w:r>
      <w:r w:rsidRPr="005D1D7A">
        <w:rPr>
          <w:rFonts w:eastAsia="Times New Roman" w:cs="Arial"/>
          <w:color w:val="000000"/>
          <w:szCs w:val="20"/>
          <w:vertAlign w:val="subscript"/>
          <w:lang w:val="en-US"/>
        </w:rPr>
        <w:t>max</w:t>
      </w:r>
      <w:r w:rsidRPr="005D1D7A">
        <w:rPr>
          <w:rFonts w:eastAsia="Times New Roman" w:cs="Arial"/>
          <w:color w:val="000000"/>
          <w:szCs w:val="20"/>
          <w:lang w:eastAsia="bg-BG"/>
        </w:rPr>
        <w:t xml:space="preserve">) на 5% пяна, 5,42 </w:t>
      </w:r>
      <w:proofErr w:type="spellStart"/>
      <w:r w:rsidRPr="005D1D7A">
        <w:rPr>
          <w:rFonts w:eastAsia="Times New Roman" w:cs="Arial"/>
          <w:color w:val="000000"/>
          <w:szCs w:val="20"/>
          <w:lang w:val="en-US"/>
        </w:rPr>
        <w:t>hr</w:t>
      </w:r>
      <w:proofErr w:type="spellEnd"/>
      <w:r w:rsidRPr="005D1D7A">
        <w:rPr>
          <w:rFonts w:eastAsia="Times New Roman" w:cs="Arial"/>
          <w:color w:val="000000"/>
          <w:szCs w:val="20"/>
          <w:lang w:val="ru-RU"/>
        </w:rPr>
        <w:t xml:space="preserve">, </w:t>
      </w:r>
      <w:r w:rsidRPr="005D1D7A">
        <w:rPr>
          <w:rFonts w:eastAsia="Times New Roman" w:cs="Arial"/>
          <w:color w:val="000000"/>
          <w:szCs w:val="20"/>
          <w:lang w:eastAsia="bg-BG"/>
        </w:rPr>
        <w:t>е подобно на Т</w:t>
      </w:r>
      <w:r w:rsidRPr="005D1D7A">
        <w:rPr>
          <w:rFonts w:eastAsia="Times New Roman" w:cs="Arial"/>
          <w:color w:val="000000"/>
          <w:szCs w:val="20"/>
          <w:vertAlign w:val="subscript"/>
          <w:lang w:val="en-US"/>
        </w:rPr>
        <w:t>max</w:t>
      </w:r>
      <w:r w:rsidRPr="005D1D7A">
        <w:rPr>
          <w:rFonts w:eastAsia="Times New Roman" w:cs="Arial"/>
          <w:color w:val="000000"/>
          <w:szCs w:val="20"/>
          <w:lang w:eastAsia="bg-BG"/>
        </w:rPr>
        <w:t xml:space="preserve"> на 5% разтвор - 5,79 </w:t>
      </w:r>
      <w:proofErr w:type="spellStart"/>
      <w:r w:rsidRPr="005D1D7A">
        <w:rPr>
          <w:rFonts w:eastAsia="Times New Roman" w:cs="Arial"/>
          <w:color w:val="000000"/>
          <w:szCs w:val="20"/>
          <w:lang w:val="en-US"/>
        </w:rPr>
        <w:t>hr</w:t>
      </w:r>
      <w:proofErr w:type="spellEnd"/>
      <w:r w:rsidRPr="005D1D7A">
        <w:rPr>
          <w:rFonts w:eastAsia="Times New Roman" w:cs="Arial"/>
          <w:color w:val="000000"/>
          <w:szCs w:val="20"/>
          <w:lang w:val="ru-RU"/>
        </w:rPr>
        <w:t>.</w:t>
      </w:r>
    </w:p>
    <w:p w14:paraId="7D755AC6" w14:textId="77777777" w:rsidR="005D1D7A" w:rsidRPr="005D1D7A" w:rsidRDefault="005D1D7A" w:rsidP="005D1D7A">
      <w:pPr>
        <w:spacing w:line="240" w:lineRule="auto"/>
        <w:rPr>
          <w:rFonts w:eastAsia="Times New Roman" w:cs="Arial"/>
          <w:color w:val="000000"/>
          <w:szCs w:val="20"/>
          <w:lang w:eastAsia="bg-BG"/>
        </w:rPr>
      </w:pPr>
    </w:p>
    <w:p w14:paraId="1D827977" w14:textId="679FEDDE"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 xml:space="preserve">Хемодинамичните ефекти на миноксидил не се проявяват преди средните серумни концентрации на миноксидил да достигнат 21,7 </w:t>
      </w:r>
      <w:r w:rsidRPr="005D1D7A">
        <w:rPr>
          <w:rFonts w:eastAsia="Times New Roman" w:cs="Arial"/>
          <w:color w:val="000000"/>
          <w:szCs w:val="20"/>
          <w:lang w:val="en-US"/>
        </w:rPr>
        <w:t>ng</w:t>
      </w:r>
      <w:r w:rsidRPr="005D1D7A">
        <w:rPr>
          <w:rFonts w:eastAsia="Times New Roman" w:cs="Arial"/>
          <w:color w:val="000000"/>
          <w:szCs w:val="20"/>
          <w:lang w:val="ru-RU"/>
        </w:rPr>
        <w:t>/</w:t>
      </w:r>
      <w:r w:rsidRPr="005D1D7A">
        <w:rPr>
          <w:rFonts w:eastAsia="Times New Roman" w:cs="Arial"/>
          <w:color w:val="000000"/>
          <w:szCs w:val="20"/>
          <w:lang w:val="en-US"/>
        </w:rPr>
        <w:t>mL</w:t>
      </w:r>
      <w:r w:rsidRPr="005D1D7A">
        <w:rPr>
          <w:rFonts w:eastAsia="Times New Roman" w:cs="Arial"/>
          <w:color w:val="000000"/>
          <w:szCs w:val="20"/>
          <w:lang w:val="ru-RU"/>
        </w:rPr>
        <w:t>.</w:t>
      </w:r>
    </w:p>
    <w:p w14:paraId="4B391322" w14:textId="77777777" w:rsidR="005D1D7A" w:rsidRPr="005D1D7A" w:rsidRDefault="005D1D7A" w:rsidP="005D1D7A">
      <w:pPr>
        <w:spacing w:line="240" w:lineRule="auto"/>
        <w:rPr>
          <w:rFonts w:eastAsia="Times New Roman" w:cs="Arial"/>
          <w:i/>
          <w:iCs/>
          <w:color w:val="000000"/>
          <w:szCs w:val="20"/>
          <w:u w:val="single"/>
          <w:lang w:eastAsia="bg-BG"/>
        </w:rPr>
      </w:pPr>
    </w:p>
    <w:p w14:paraId="317A911D" w14:textId="55C6EB2D" w:rsidR="005D1D7A" w:rsidRPr="005D1D7A" w:rsidRDefault="005D1D7A" w:rsidP="005D1D7A">
      <w:pPr>
        <w:pStyle w:val="Heading3"/>
        <w:rPr>
          <w:rFonts w:eastAsia="Times New Roman"/>
          <w:i/>
          <w:sz w:val="28"/>
          <w:u w:val="single"/>
        </w:rPr>
      </w:pPr>
      <w:r w:rsidRPr="005D1D7A">
        <w:rPr>
          <w:rFonts w:eastAsia="Times New Roman"/>
          <w:i/>
          <w:u w:val="single"/>
          <w:lang w:eastAsia="bg-BG"/>
        </w:rPr>
        <w:t>Разпределение</w:t>
      </w:r>
    </w:p>
    <w:p w14:paraId="461DD8EE"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 xml:space="preserve">Макар статистиката да сочи, че миноксидил не се свързва с плазмените протеини, наскоро един метод на ултрафилтрация </w:t>
      </w:r>
      <w:r w:rsidRPr="005D1D7A">
        <w:rPr>
          <w:rFonts w:eastAsia="Times New Roman" w:cs="Arial"/>
          <w:i/>
          <w:iCs/>
          <w:color w:val="000000"/>
          <w:szCs w:val="20"/>
          <w:lang w:val="en-US"/>
        </w:rPr>
        <w:t>in</w:t>
      </w:r>
      <w:r w:rsidRPr="005D1D7A">
        <w:rPr>
          <w:rFonts w:eastAsia="Times New Roman" w:cs="Arial"/>
          <w:i/>
          <w:iCs/>
          <w:color w:val="000000"/>
          <w:szCs w:val="20"/>
          <w:lang w:val="ru-RU"/>
        </w:rPr>
        <w:t xml:space="preserve"> </w:t>
      </w:r>
      <w:r w:rsidRPr="005D1D7A">
        <w:rPr>
          <w:rFonts w:eastAsia="Times New Roman" w:cs="Arial"/>
          <w:i/>
          <w:iCs/>
          <w:color w:val="000000"/>
          <w:szCs w:val="20"/>
          <w:lang w:val="en-US"/>
        </w:rPr>
        <w:t>vitro</w:t>
      </w:r>
      <w:r w:rsidRPr="005D1D7A">
        <w:rPr>
          <w:rFonts w:eastAsia="Times New Roman" w:cs="Arial"/>
          <w:color w:val="000000"/>
          <w:szCs w:val="20"/>
          <w:lang w:val="ru-RU"/>
        </w:rPr>
        <w:t xml:space="preserve"> </w:t>
      </w:r>
      <w:r w:rsidRPr="005D1D7A">
        <w:rPr>
          <w:rFonts w:eastAsia="Times New Roman" w:cs="Arial"/>
          <w:color w:val="000000"/>
          <w:szCs w:val="20"/>
          <w:lang w:eastAsia="bg-BG"/>
        </w:rPr>
        <w:t>показа обратимо свързване към човешките плазмени протеини между 37 - 39%.</w:t>
      </w:r>
    </w:p>
    <w:p w14:paraId="021802AC"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 xml:space="preserve">Тъй като само 1 - 2% от локално приложения миноксидил се абсорбира, степента на свързване към плазмените протеини </w:t>
      </w:r>
      <w:r w:rsidRPr="005D1D7A">
        <w:rPr>
          <w:rFonts w:eastAsia="Times New Roman" w:cs="Arial"/>
          <w:i/>
          <w:iCs/>
          <w:color w:val="000000"/>
          <w:szCs w:val="20"/>
          <w:lang w:val="en-US"/>
        </w:rPr>
        <w:t>in</w:t>
      </w:r>
      <w:r w:rsidRPr="005D1D7A">
        <w:rPr>
          <w:rFonts w:eastAsia="Times New Roman" w:cs="Arial"/>
          <w:i/>
          <w:iCs/>
          <w:color w:val="000000"/>
          <w:szCs w:val="20"/>
          <w:lang w:val="ru-RU"/>
        </w:rPr>
        <w:t xml:space="preserve"> </w:t>
      </w:r>
      <w:r w:rsidRPr="005D1D7A">
        <w:rPr>
          <w:rFonts w:eastAsia="Times New Roman" w:cs="Arial"/>
          <w:i/>
          <w:iCs/>
          <w:color w:val="000000"/>
          <w:szCs w:val="20"/>
          <w:lang w:val="en-US"/>
        </w:rPr>
        <w:t>vivo</w:t>
      </w:r>
      <w:r w:rsidRPr="005D1D7A">
        <w:rPr>
          <w:rFonts w:eastAsia="Times New Roman" w:cs="Arial"/>
          <w:color w:val="000000"/>
          <w:szCs w:val="20"/>
          <w:lang w:val="ru-RU"/>
        </w:rPr>
        <w:t xml:space="preserve"> </w:t>
      </w:r>
      <w:r w:rsidRPr="005D1D7A">
        <w:rPr>
          <w:rFonts w:eastAsia="Times New Roman" w:cs="Arial"/>
          <w:color w:val="000000"/>
          <w:szCs w:val="20"/>
          <w:lang w:eastAsia="bg-BG"/>
        </w:rPr>
        <w:t>след дермално приложение би била клинично незначима.</w:t>
      </w:r>
    </w:p>
    <w:p w14:paraId="6E2B3CA6"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 xml:space="preserve">Обемът на разпределение след венозно приложение на 4,6 </w:t>
      </w:r>
      <w:r w:rsidRPr="005D1D7A">
        <w:rPr>
          <w:rFonts w:eastAsia="Times New Roman" w:cs="Arial"/>
          <w:color w:val="000000"/>
          <w:szCs w:val="20"/>
          <w:lang w:val="en-US"/>
        </w:rPr>
        <w:t>mg</w:t>
      </w:r>
      <w:r w:rsidRPr="005D1D7A">
        <w:rPr>
          <w:rFonts w:eastAsia="Times New Roman" w:cs="Arial"/>
          <w:color w:val="000000"/>
          <w:szCs w:val="20"/>
          <w:lang w:val="ru-RU"/>
        </w:rPr>
        <w:t xml:space="preserve"> </w:t>
      </w:r>
      <w:r w:rsidRPr="005D1D7A">
        <w:rPr>
          <w:rFonts w:eastAsia="Times New Roman" w:cs="Arial"/>
          <w:color w:val="000000"/>
          <w:szCs w:val="20"/>
          <w:lang w:eastAsia="bg-BG"/>
        </w:rPr>
        <w:t xml:space="preserve">и 18,4 </w:t>
      </w:r>
      <w:r w:rsidRPr="005D1D7A">
        <w:rPr>
          <w:rFonts w:eastAsia="Times New Roman" w:cs="Arial"/>
          <w:color w:val="000000"/>
          <w:szCs w:val="20"/>
          <w:lang w:val="en-US"/>
        </w:rPr>
        <w:t>mg</w:t>
      </w:r>
      <w:r w:rsidRPr="005D1D7A">
        <w:rPr>
          <w:rFonts w:eastAsia="Times New Roman" w:cs="Arial"/>
          <w:color w:val="000000"/>
          <w:szCs w:val="20"/>
          <w:lang w:val="ru-RU"/>
        </w:rPr>
        <w:t xml:space="preserve"> </w:t>
      </w:r>
      <w:r w:rsidRPr="005D1D7A">
        <w:rPr>
          <w:rFonts w:eastAsia="Times New Roman" w:cs="Arial"/>
          <w:color w:val="000000"/>
          <w:szCs w:val="20"/>
          <w:lang w:eastAsia="bg-BG"/>
        </w:rPr>
        <w:t>миноксидил е съответно 73,1 1 и 69,2 1.</w:t>
      </w:r>
    </w:p>
    <w:p w14:paraId="356E9563" w14:textId="1A286B2C" w:rsidR="005D1D7A" w:rsidRPr="005D1D7A" w:rsidRDefault="005D1D7A" w:rsidP="005D1D7A">
      <w:pPr>
        <w:rPr>
          <w:rFonts w:eastAsia="Times New Roman" w:cs="Arial"/>
          <w:color w:val="000000"/>
          <w:szCs w:val="20"/>
          <w:lang w:eastAsia="bg-BG"/>
        </w:rPr>
      </w:pPr>
      <w:r w:rsidRPr="005D1D7A">
        <w:rPr>
          <w:rFonts w:eastAsia="Times New Roman" w:cs="Arial"/>
          <w:color w:val="000000"/>
          <w:szCs w:val="20"/>
          <w:lang w:eastAsia="bg-BG"/>
        </w:rPr>
        <w:lastRenderedPageBreak/>
        <w:t xml:space="preserve">Обемът на разпределение </w:t>
      </w:r>
      <w:r w:rsidRPr="005D1D7A">
        <w:rPr>
          <w:rFonts w:eastAsia="Times New Roman" w:cs="Arial"/>
          <w:color w:val="000000"/>
          <w:szCs w:val="20"/>
          <w:lang w:val="ru-RU"/>
        </w:rPr>
        <w:t>(</w:t>
      </w:r>
      <w:proofErr w:type="spellStart"/>
      <w:r w:rsidRPr="005D1D7A">
        <w:rPr>
          <w:rFonts w:eastAsia="Times New Roman" w:cs="Arial"/>
          <w:color w:val="000000"/>
          <w:szCs w:val="20"/>
          <w:lang w:val="en-US"/>
        </w:rPr>
        <w:t>Vd</w:t>
      </w:r>
      <w:proofErr w:type="spellEnd"/>
      <w:r w:rsidRPr="005D1D7A">
        <w:rPr>
          <w:rFonts w:eastAsia="Times New Roman" w:cs="Arial"/>
          <w:color w:val="000000"/>
          <w:szCs w:val="20"/>
          <w:lang w:val="ru-RU"/>
        </w:rPr>
        <w:t xml:space="preserve">) </w:t>
      </w:r>
      <w:r w:rsidRPr="005D1D7A">
        <w:rPr>
          <w:rFonts w:eastAsia="Times New Roman" w:cs="Arial"/>
          <w:color w:val="000000"/>
          <w:szCs w:val="20"/>
          <w:lang w:eastAsia="bg-BG"/>
        </w:rPr>
        <w:t xml:space="preserve">на дози миноксидил между 1,37 </w:t>
      </w:r>
      <w:r w:rsidRPr="005D1D7A">
        <w:rPr>
          <w:rFonts w:eastAsia="Times New Roman" w:cs="Arial"/>
          <w:color w:val="000000"/>
          <w:szCs w:val="20"/>
          <w:lang w:val="en-US"/>
        </w:rPr>
        <w:t>mg</w:t>
      </w:r>
      <w:r w:rsidRPr="005D1D7A">
        <w:rPr>
          <w:rFonts w:eastAsia="Times New Roman" w:cs="Arial"/>
          <w:color w:val="000000"/>
          <w:szCs w:val="20"/>
          <w:lang w:val="ru-RU"/>
        </w:rPr>
        <w:t xml:space="preserve"> </w:t>
      </w:r>
      <w:r w:rsidRPr="005D1D7A">
        <w:rPr>
          <w:rFonts w:eastAsia="Times New Roman" w:cs="Arial"/>
          <w:color w:val="000000"/>
          <w:szCs w:val="20"/>
          <w:lang w:eastAsia="bg-BG"/>
        </w:rPr>
        <w:t>и 27,4</w:t>
      </w:r>
      <w:r w:rsidRPr="005D1D7A">
        <w:rPr>
          <w:rFonts w:eastAsia="Times New Roman" w:cs="Arial"/>
          <w:color w:val="000000"/>
          <w:szCs w:val="20"/>
          <w:lang w:val="en-US"/>
        </w:rPr>
        <w:t>mg</w:t>
      </w:r>
      <w:r w:rsidRPr="005D1D7A">
        <w:rPr>
          <w:rFonts w:eastAsia="Times New Roman" w:cs="Arial"/>
          <w:color w:val="000000"/>
          <w:szCs w:val="20"/>
          <w:lang w:val="ru-RU"/>
        </w:rPr>
        <w:t xml:space="preserve"> </w:t>
      </w:r>
      <w:r w:rsidRPr="005D1D7A">
        <w:rPr>
          <w:rFonts w:eastAsia="Times New Roman" w:cs="Arial"/>
          <w:color w:val="000000"/>
          <w:szCs w:val="20"/>
          <w:lang w:eastAsia="bg-BG"/>
        </w:rPr>
        <w:t>в спокойно състояние след 12-часова интравенозна инфузия варира от 76,0 до 82,8 съответно.</w:t>
      </w:r>
    </w:p>
    <w:p w14:paraId="1BA43999" w14:textId="0642686B" w:rsidR="005D1D7A" w:rsidRPr="005D1D7A" w:rsidRDefault="005D1D7A" w:rsidP="005D1D7A">
      <w:pPr>
        <w:rPr>
          <w:rFonts w:eastAsia="Times New Roman" w:cs="Arial"/>
          <w:color w:val="000000"/>
          <w:szCs w:val="20"/>
          <w:lang w:eastAsia="bg-BG"/>
        </w:rPr>
      </w:pPr>
    </w:p>
    <w:p w14:paraId="204E283D" w14:textId="77777777" w:rsidR="005D1D7A" w:rsidRPr="005D1D7A" w:rsidRDefault="005D1D7A" w:rsidP="005D1D7A">
      <w:pPr>
        <w:pStyle w:val="Heading3"/>
        <w:rPr>
          <w:rFonts w:eastAsia="Times New Roman"/>
          <w:i/>
          <w:sz w:val="28"/>
          <w:u w:val="single"/>
        </w:rPr>
      </w:pPr>
      <w:r w:rsidRPr="005D1D7A">
        <w:rPr>
          <w:rFonts w:eastAsia="Times New Roman"/>
          <w:i/>
          <w:u w:val="single"/>
          <w:lang w:eastAsia="bg-BG"/>
        </w:rPr>
        <w:t>Биотрансформаиия</w:t>
      </w:r>
    </w:p>
    <w:p w14:paraId="716A6554"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 xml:space="preserve">Около 60% от миноксидил, абсорбиран след локално приложение се метаболизира до </w:t>
      </w:r>
      <w:proofErr w:type="spellStart"/>
      <w:r w:rsidRPr="005D1D7A">
        <w:rPr>
          <w:rFonts w:eastAsia="Times New Roman" w:cs="Arial"/>
          <w:color w:val="000000"/>
          <w:szCs w:val="20"/>
          <w:lang w:val="en-US"/>
        </w:rPr>
        <w:t>minoxidil</w:t>
      </w:r>
      <w:proofErr w:type="spellEnd"/>
      <w:r w:rsidRPr="005D1D7A">
        <w:rPr>
          <w:rFonts w:eastAsia="Times New Roman" w:cs="Arial"/>
          <w:color w:val="000000"/>
          <w:szCs w:val="20"/>
          <w:lang w:val="ru-RU"/>
        </w:rPr>
        <w:t xml:space="preserve"> </w:t>
      </w:r>
      <w:r w:rsidRPr="005D1D7A">
        <w:rPr>
          <w:rFonts w:eastAsia="Times New Roman" w:cs="Arial"/>
          <w:color w:val="000000"/>
          <w:szCs w:val="20"/>
          <w:lang w:val="en-US"/>
        </w:rPr>
        <w:t>glucuronide</w:t>
      </w:r>
      <w:r w:rsidRPr="005D1D7A">
        <w:rPr>
          <w:rFonts w:eastAsia="Times New Roman" w:cs="Arial"/>
          <w:color w:val="000000"/>
          <w:szCs w:val="20"/>
          <w:lang w:val="ru-RU"/>
        </w:rPr>
        <w:t xml:space="preserve">, </w:t>
      </w:r>
      <w:r w:rsidRPr="005D1D7A">
        <w:rPr>
          <w:rFonts w:eastAsia="Times New Roman" w:cs="Arial"/>
          <w:color w:val="000000"/>
          <w:szCs w:val="20"/>
          <w:lang w:eastAsia="bg-BG"/>
        </w:rPr>
        <w:t>главно в черния дроб.</w:t>
      </w:r>
    </w:p>
    <w:p w14:paraId="580489A4" w14:textId="77777777" w:rsidR="005D1D7A" w:rsidRPr="005D1D7A" w:rsidRDefault="005D1D7A" w:rsidP="005D1D7A">
      <w:pPr>
        <w:spacing w:line="240" w:lineRule="auto"/>
        <w:rPr>
          <w:rFonts w:eastAsia="Times New Roman" w:cs="Arial"/>
          <w:i/>
          <w:iCs/>
          <w:color w:val="000000"/>
          <w:szCs w:val="20"/>
          <w:u w:val="single"/>
          <w:lang w:eastAsia="bg-BG"/>
        </w:rPr>
      </w:pPr>
    </w:p>
    <w:p w14:paraId="19BE3810" w14:textId="63D0B033" w:rsidR="005D1D7A" w:rsidRPr="005D1D7A" w:rsidRDefault="005D1D7A" w:rsidP="005D1D7A">
      <w:pPr>
        <w:pStyle w:val="Heading3"/>
        <w:rPr>
          <w:rFonts w:eastAsia="Times New Roman"/>
          <w:i/>
          <w:sz w:val="28"/>
          <w:u w:val="single"/>
        </w:rPr>
      </w:pPr>
      <w:r w:rsidRPr="005D1D7A">
        <w:rPr>
          <w:rFonts w:eastAsia="Times New Roman"/>
          <w:i/>
          <w:u w:val="single"/>
          <w:lang w:eastAsia="bg-BG"/>
        </w:rPr>
        <w:t>Елиминиране</w:t>
      </w:r>
    </w:p>
    <w:p w14:paraId="31796AB2" w14:textId="77777777"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Времето на полуживот на локално приложения миноксидил е средно 22 часа, в сравнение с 1,49 часа за пероралната форма. Деветдесет и седем процента (97%) от миноксидил и неговите метаболити се изхвърля в урината, а 3% се отделя в изпражненията.</w:t>
      </w:r>
    </w:p>
    <w:p w14:paraId="310B2AE2" w14:textId="77777777" w:rsidR="005D1D7A" w:rsidRPr="005D1D7A" w:rsidRDefault="005D1D7A" w:rsidP="005D1D7A">
      <w:pPr>
        <w:spacing w:line="240" w:lineRule="auto"/>
        <w:rPr>
          <w:rFonts w:eastAsia="Times New Roman" w:cs="Arial"/>
          <w:color w:val="000000"/>
          <w:szCs w:val="20"/>
          <w:lang w:eastAsia="bg-BG"/>
        </w:rPr>
      </w:pPr>
    </w:p>
    <w:p w14:paraId="19FF00F0" w14:textId="41212EBF" w:rsidR="005D1D7A" w:rsidRPr="005D1D7A" w:rsidRDefault="005D1D7A" w:rsidP="005D1D7A">
      <w:pPr>
        <w:spacing w:line="240" w:lineRule="auto"/>
        <w:rPr>
          <w:rFonts w:eastAsia="Times New Roman" w:cs="Arial"/>
          <w:sz w:val="28"/>
          <w:szCs w:val="24"/>
        </w:rPr>
      </w:pPr>
      <w:r w:rsidRPr="005D1D7A">
        <w:rPr>
          <w:rFonts w:eastAsia="Times New Roman" w:cs="Arial"/>
          <w:color w:val="000000"/>
          <w:szCs w:val="20"/>
          <w:lang w:eastAsia="bg-BG"/>
        </w:rPr>
        <w:t xml:space="preserve">Бъбречният клирънс на миноксидил и </w:t>
      </w:r>
      <w:proofErr w:type="spellStart"/>
      <w:r w:rsidRPr="005D1D7A">
        <w:rPr>
          <w:rFonts w:eastAsia="Times New Roman" w:cs="Arial"/>
          <w:color w:val="000000"/>
          <w:szCs w:val="20"/>
          <w:lang w:val="en-US"/>
        </w:rPr>
        <w:t>minoxidil</w:t>
      </w:r>
      <w:proofErr w:type="spellEnd"/>
      <w:r w:rsidRPr="005D1D7A">
        <w:rPr>
          <w:rFonts w:eastAsia="Times New Roman" w:cs="Arial"/>
          <w:color w:val="000000"/>
          <w:szCs w:val="20"/>
          <w:lang w:val="ru-RU"/>
        </w:rPr>
        <w:t xml:space="preserve"> </w:t>
      </w:r>
      <w:r w:rsidRPr="005D1D7A">
        <w:rPr>
          <w:rFonts w:eastAsia="Times New Roman" w:cs="Arial"/>
          <w:color w:val="000000"/>
          <w:szCs w:val="20"/>
          <w:lang w:val="en-US"/>
        </w:rPr>
        <w:t>glucuronide</w:t>
      </w:r>
      <w:r w:rsidRPr="005D1D7A">
        <w:rPr>
          <w:rFonts w:eastAsia="Times New Roman" w:cs="Arial"/>
          <w:color w:val="000000"/>
          <w:szCs w:val="20"/>
          <w:lang w:val="ru-RU"/>
        </w:rPr>
        <w:t xml:space="preserve">, </w:t>
      </w:r>
      <w:r w:rsidRPr="005D1D7A">
        <w:rPr>
          <w:rFonts w:eastAsia="Times New Roman" w:cs="Arial"/>
          <w:color w:val="000000"/>
          <w:szCs w:val="20"/>
          <w:lang w:eastAsia="bg-BG"/>
        </w:rPr>
        <w:t xml:space="preserve">изчислен от данните за перорално приложение, е съответно 261 </w:t>
      </w:r>
      <w:r w:rsidRPr="005D1D7A">
        <w:rPr>
          <w:rFonts w:eastAsia="Times New Roman" w:cs="Arial"/>
          <w:color w:val="000000"/>
          <w:szCs w:val="20"/>
          <w:lang w:val="en-US"/>
        </w:rPr>
        <w:t>ml</w:t>
      </w:r>
      <w:r w:rsidRPr="005D1D7A">
        <w:rPr>
          <w:rFonts w:eastAsia="Times New Roman" w:cs="Arial"/>
          <w:color w:val="000000"/>
          <w:szCs w:val="20"/>
          <w:lang w:val="ru-RU"/>
        </w:rPr>
        <w:t>/</w:t>
      </w:r>
      <w:r w:rsidRPr="005D1D7A">
        <w:rPr>
          <w:rFonts w:eastAsia="Times New Roman" w:cs="Arial"/>
          <w:color w:val="000000"/>
          <w:szCs w:val="20"/>
          <w:lang w:val="en-US"/>
        </w:rPr>
        <w:t>min</w:t>
      </w:r>
      <w:r w:rsidRPr="005D1D7A">
        <w:rPr>
          <w:rFonts w:eastAsia="Times New Roman" w:cs="Arial"/>
          <w:color w:val="000000"/>
          <w:szCs w:val="20"/>
          <w:lang w:val="ru-RU"/>
        </w:rPr>
        <w:t xml:space="preserve"> </w:t>
      </w:r>
      <w:r w:rsidRPr="005D1D7A">
        <w:rPr>
          <w:rFonts w:eastAsia="Times New Roman" w:cs="Arial"/>
          <w:color w:val="000000"/>
          <w:szCs w:val="20"/>
          <w:lang w:eastAsia="bg-BG"/>
        </w:rPr>
        <w:t xml:space="preserve">и 290 </w:t>
      </w:r>
      <w:r w:rsidRPr="005D1D7A">
        <w:rPr>
          <w:rFonts w:eastAsia="Times New Roman" w:cs="Arial"/>
          <w:color w:val="000000"/>
          <w:szCs w:val="20"/>
          <w:lang w:val="en-US"/>
        </w:rPr>
        <w:t>ml</w:t>
      </w:r>
      <w:r w:rsidRPr="005D1D7A">
        <w:rPr>
          <w:rFonts w:eastAsia="Times New Roman" w:cs="Arial"/>
          <w:color w:val="000000"/>
          <w:szCs w:val="20"/>
          <w:lang w:val="ru-RU"/>
        </w:rPr>
        <w:t>/</w:t>
      </w:r>
      <w:r w:rsidRPr="005D1D7A">
        <w:rPr>
          <w:rFonts w:eastAsia="Times New Roman" w:cs="Arial"/>
          <w:color w:val="000000"/>
          <w:szCs w:val="20"/>
          <w:lang w:val="en-US"/>
        </w:rPr>
        <w:t>min</w:t>
      </w:r>
      <w:r w:rsidRPr="005D1D7A">
        <w:rPr>
          <w:rFonts w:eastAsia="Times New Roman" w:cs="Arial"/>
          <w:color w:val="000000"/>
          <w:szCs w:val="20"/>
          <w:lang w:val="ru-RU"/>
        </w:rPr>
        <w:t>.</w:t>
      </w:r>
    </w:p>
    <w:p w14:paraId="3CAC8F70" w14:textId="5611815E" w:rsidR="005D1D7A" w:rsidRDefault="005D1D7A" w:rsidP="005D1D7A">
      <w:pPr>
        <w:spacing w:line="240" w:lineRule="auto"/>
        <w:rPr>
          <w:rFonts w:eastAsia="Times New Roman" w:cs="Arial"/>
          <w:color w:val="000000"/>
          <w:szCs w:val="20"/>
          <w:lang w:eastAsia="bg-BG"/>
        </w:rPr>
      </w:pPr>
      <w:r w:rsidRPr="005D1D7A">
        <w:rPr>
          <w:rFonts w:eastAsia="Times New Roman" w:cs="Arial"/>
          <w:color w:val="000000"/>
          <w:szCs w:val="20"/>
          <w:lang w:eastAsia="bg-BG"/>
        </w:rPr>
        <w:t>След прекратяване на лечението, около 95% от локално приложения миноксидил ще бъде елиминиран в рамките на четири дни.</w:t>
      </w:r>
    </w:p>
    <w:p w14:paraId="789CD022" w14:textId="77777777" w:rsidR="005D1D7A" w:rsidRPr="005D1D7A" w:rsidRDefault="005D1D7A" w:rsidP="005D1D7A">
      <w:pPr>
        <w:spacing w:line="240" w:lineRule="auto"/>
        <w:rPr>
          <w:rFonts w:eastAsia="Times New Roman" w:cs="Arial"/>
          <w:color w:val="000000"/>
          <w:szCs w:val="20"/>
          <w:lang w:eastAsia="bg-BG"/>
        </w:rPr>
      </w:pPr>
    </w:p>
    <w:p w14:paraId="028E658A" w14:textId="32E99227" w:rsidR="00395555" w:rsidRDefault="002C50EE" w:rsidP="008A6AF2">
      <w:pPr>
        <w:pStyle w:val="Heading2"/>
      </w:pPr>
      <w:r>
        <w:t>5.3. Предклинични данни за безопасност</w:t>
      </w:r>
    </w:p>
    <w:p w14:paraId="4598A7ED" w14:textId="0C6F0D10" w:rsidR="005D1D7A" w:rsidRDefault="005D1D7A" w:rsidP="005D1D7A"/>
    <w:p w14:paraId="1B54C9C0" w14:textId="3CF82AF7" w:rsidR="005D1D7A" w:rsidRPr="005D1D7A" w:rsidRDefault="005D1D7A" w:rsidP="005D1D7A">
      <w:r>
        <w:t>Предклиничните данни не показват особен риск при хора въз основа на конвенционалните проучвания за токсичност при еднократно и многократно прилагане, генотоксичност, карциногенност и токсичност за репродукцията и развитието.</w:t>
      </w:r>
    </w:p>
    <w:p w14:paraId="6A7820AB" w14:textId="17952CE9" w:rsidR="008A6AF2" w:rsidRDefault="002C50EE" w:rsidP="00395555">
      <w:pPr>
        <w:pStyle w:val="Heading1"/>
      </w:pPr>
      <w:r>
        <w:t>7. ПРИТЕЖАТЕЛ НА РАЗРЕШЕНИЕТО ЗА УПОТРЕБА</w:t>
      </w:r>
    </w:p>
    <w:p w14:paraId="50E89EB1" w14:textId="071CC10C" w:rsidR="005D1D7A" w:rsidRDefault="005D1D7A" w:rsidP="005D1D7A"/>
    <w:p w14:paraId="0D80DA20" w14:textId="77777777" w:rsidR="005D1D7A" w:rsidRPr="005D1D7A" w:rsidRDefault="005D1D7A" w:rsidP="005D1D7A">
      <w:pPr>
        <w:rPr>
          <w:sz w:val="24"/>
          <w:szCs w:val="24"/>
          <w:lang w:val="en-US"/>
        </w:rPr>
      </w:pPr>
      <w:r w:rsidRPr="005D1D7A">
        <w:rPr>
          <w:lang w:val="en-US"/>
        </w:rPr>
        <w:t>McNeil Healthcare (Ireland) Ltd.</w:t>
      </w:r>
    </w:p>
    <w:p w14:paraId="233CC2A3" w14:textId="77777777" w:rsidR="005D1D7A" w:rsidRPr="005D1D7A" w:rsidRDefault="005D1D7A" w:rsidP="005D1D7A">
      <w:pPr>
        <w:rPr>
          <w:sz w:val="24"/>
          <w:szCs w:val="24"/>
          <w:lang w:val="en-US"/>
        </w:rPr>
      </w:pPr>
      <w:proofErr w:type="spellStart"/>
      <w:r w:rsidRPr="005D1D7A">
        <w:rPr>
          <w:lang w:val="en-US"/>
        </w:rPr>
        <w:t>Airton</w:t>
      </w:r>
      <w:proofErr w:type="spellEnd"/>
      <w:r w:rsidRPr="005D1D7A">
        <w:rPr>
          <w:lang w:val="en-US"/>
        </w:rPr>
        <w:t xml:space="preserve"> Road, </w:t>
      </w:r>
      <w:proofErr w:type="spellStart"/>
      <w:r w:rsidRPr="005D1D7A">
        <w:rPr>
          <w:lang w:val="en-US"/>
        </w:rPr>
        <w:t>Tallaght</w:t>
      </w:r>
      <w:proofErr w:type="spellEnd"/>
    </w:p>
    <w:p w14:paraId="6D03A5DA" w14:textId="77777777" w:rsidR="005D1D7A" w:rsidRPr="005D1D7A" w:rsidRDefault="005D1D7A" w:rsidP="005D1D7A">
      <w:pPr>
        <w:rPr>
          <w:sz w:val="24"/>
          <w:szCs w:val="24"/>
          <w:lang w:val="ru-RU"/>
        </w:rPr>
      </w:pPr>
      <w:r w:rsidRPr="005D1D7A">
        <w:rPr>
          <w:lang w:val="en-US"/>
        </w:rPr>
        <w:t>Dublin</w:t>
      </w:r>
      <w:r w:rsidRPr="005D1D7A">
        <w:rPr>
          <w:lang w:val="ru-RU"/>
        </w:rPr>
        <w:t xml:space="preserve"> 24</w:t>
      </w:r>
    </w:p>
    <w:p w14:paraId="3FFE96B4" w14:textId="77777777" w:rsidR="005D1D7A" w:rsidRPr="005D1D7A" w:rsidRDefault="005D1D7A" w:rsidP="005D1D7A">
      <w:pPr>
        <w:rPr>
          <w:sz w:val="24"/>
          <w:szCs w:val="24"/>
          <w:lang w:val="ru-RU"/>
        </w:rPr>
      </w:pPr>
      <w:r w:rsidRPr="005D1D7A">
        <w:rPr>
          <w:lang w:eastAsia="bg-BG"/>
        </w:rPr>
        <w:t>Ирландия</w:t>
      </w:r>
    </w:p>
    <w:p w14:paraId="7526AD8B" w14:textId="77777777" w:rsidR="005D1D7A" w:rsidRPr="005D1D7A" w:rsidRDefault="005D1D7A" w:rsidP="005D1D7A">
      <w:pPr>
        <w:rPr>
          <w:lang w:val="ru-RU"/>
        </w:rPr>
      </w:pPr>
    </w:p>
    <w:p w14:paraId="04840D59" w14:textId="24E850A2" w:rsidR="002C50EE" w:rsidRDefault="002C50EE" w:rsidP="00395555">
      <w:pPr>
        <w:pStyle w:val="Heading1"/>
      </w:pPr>
      <w:r>
        <w:t>8. НОМЕР НА РАЗРЕШЕНИЕТО ЗА УПОТРЕБА</w:t>
      </w:r>
    </w:p>
    <w:p w14:paraId="7F6A1723" w14:textId="24069413" w:rsidR="005D1D7A" w:rsidRDefault="005D1D7A" w:rsidP="005D1D7A"/>
    <w:p w14:paraId="2B6B6835" w14:textId="396062D2" w:rsidR="005D1D7A" w:rsidRPr="005D1D7A" w:rsidRDefault="005D1D7A" w:rsidP="005D1D7A">
      <w:r>
        <w:t>20050511</w:t>
      </w:r>
    </w:p>
    <w:p w14:paraId="2CCB5832" w14:textId="41BBE7C8" w:rsidR="007C605B" w:rsidRDefault="002C50EE" w:rsidP="007C605B">
      <w:pPr>
        <w:pStyle w:val="Heading1"/>
      </w:pPr>
      <w:r>
        <w:t>9. ДАТА НА ПЪРВО РАЗРЕШАВАНЕ/ПОДНОВЯВАНЕ НА РАЗРЕШЕНИЕТО ЗА УПОТРЕБА</w:t>
      </w:r>
    </w:p>
    <w:p w14:paraId="048FC08E" w14:textId="77777777" w:rsidR="005D1D7A" w:rsidRDefault="005D1D7A" w:rsidP="005D1D7A">
      <w:pPr>
        <w:rPr>
          <w:lang w:eastAsia="bg-BG"/>
        </w:rPr>
      </w:pPr>
    </w:p>
    <w:p w14:paraId="70EB8822" w14:textId="3C437FEF" w:rsidR="005D1D7A" w:rsidRPr="005D1D7A" w:rsidRDefault="005D1D7A" w:rsidP="005D1D7A">
      <w:pPr>
        <w:rPr>
          <w:sz w:val="24"/>
          <w:szCs w:val="24"/>
        </w:rPr>
      </w:pPr>
      <w:r w:rsidRPr="005D1D7A">
        <w:rPr>
          <w:lang w:eastAsia="bg-BG"/>
        </w:rPr>
        <w:t>Дата на първо разрешаване: 24.10.2005 г.</w:t>
      </w:r>
    </w:p>
    <w:p w14:paraId="60B7C729" w14:textId="28F78F5C" w:rsidR="005D1D7A" w:rsidRPr="005D1D7A" w:rsidRDefault="005D1D7A" w:rsidP="005D1D7A">
      <w:pPr>
        <w:rPr>
          <w:sz w:val="24"/>
          <w:szCs w:val="24"/>
        </w:rPr>
      </w:pPr>
      <w:r w:rsidRPr="005D1D7A">
        <w:rPr>
          <w:lang w:eastAsia="bg-BG"/>
        </w:rPr>
        <w:t>Дата на подновяване: 25.07.2011 г.</w:t>
      </w:r>
    </w:p>
    <w:p w14:paraId="0E9D0119" w14:textId="0245C6D7" w:rsidR="002C50EE" w:rsidRDefault="002C50EE" w:rsidP="002C50EE">
      <w:pPr>
        <w:pStyle w:val="Heading1"/>
      </w:pPr>
      <w:r>
        <w:t>10. ДАТА НА АКТУАЛИЗИРАНЕ НА ТЕКСТА</w:t>
      </w:r>
    </w:p>
    <w:bookmarkEnd w:id="0"/>
    <w:p w14:paraId="43FB38A2" w14:textId="5F4D4869" w:rsidR="007C605B" w:rsidRPr="003E3126" w:rsidRDefault="005D1D7A" w:rsidP="005D1D7A">
      <w:r>
        <w:t>05/2021 г.</w:t>
      </w:r>
      <w:bookmarkStart w:id="1" w:name="_GoBack"/>
      <w:bookmarkEnd w:id="1"/>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5"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6A75C9"/>
    <w:multiLevelType w:val="hybridMultilevel"/>
    <w:tmpl w:val="009A5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6"/>
  </w:num>
  <w:num w:numId="2">
    <w:abstractNumId w:val="0"/>
  </w:num>
  <w:num w:numId="3">
    <w:abstractNumId w:val="12"/>
  </w:num>
  <w:num w:numId="4">
    <w:abstractNumId w:val="3"/>
  </w:num>
  <w:num w:numId="5">
    <w:abstractNumId w:val="1"/>
  </w:num>
  <w:num w:numId="6">
    <w:abstractNumId w:val="15"/>
  </w:num>
  <w:num w:numId="7">
    <w:abstractNumId w:val="10"/>
  </w:num>
  <w:num w:numId="8">
    <w:abstractNumId w:val="14"/>
  </w:num>
  <w:num w:numId="9">
    <w:abstractNumId w:val="2"/>
  </w:num>
  <w:num w:numId="10">
    <w:abstractNumId w:val="4"/>
  </w:num>
  <w:num w:numId="11">
    <w:abstractNumId w:val="28"/>
  </w:num>
  <w:num w:numId="12">
    <w:abstractNumId w:val="13"/>
  </w:num>
  <w:num w:numId="13">
    <w:abstractNumId w:val="18"/>
  </w:num>
  <w:num w:numId="14">
    <w:abstractNumId w:val="11"/>
  </w:num>
  <w:num w:numId="15">
    <w:abstractNumId w:val="27"/>
  </w:num>
  <w:num w:numId="16">
    <w:abstractNumId w:val="9"/>
  </w:num>
  <w:num w:numId="17">
    <w:abstractNumId w:val="23"/>
  </w:num>
  <w:num w:numId="18">
    <w:abstractNumId w:val="7"/>
  </w:num>
  <w:num w:numId="19">
    <w:abstractNumId w:val="25"/>
  </w:num>
  <w:num w:numId="20">
    <w:abstractNumId w:val="22"/>
  </w:num>
  <w:num w:numId="21">
    <w:abstractNumId w:val="16"/>
  </w:num>
  <w:num w:numId="22">
    <w:abstractNumId w:val="24"/>
  </w:num>
  <w:num w:numId="23">
    <w:abstractNumId w:val="17"/>
  </w:num>
  <w:num w:numId="24">
    <w:abstractNumId w:val="8"/>
  </w:num>
  <w:num w:numId="25">
    <w:abstractNumId w:val="21"/>
  </w:num>
  <w:num w:numId="26">
    <w:abstractNumId w:val="20"/>
  </w:num>
  <w:num w:numId="27">
    <w:abstractNumId w:val="29"/>
  </w:num>
  <w:num w:numId="28">
    <w:abstractNumId w:val="6"/>
  </w:num>
  <w:num w:numId="29">
    <w:abstractNumId w:val="19"/>
  </w:num>
  <w:num w:numId="30">
    <w:abstractNumId w:val="31"/>
  </w:num>
  <w:num w:numId="31">
    <w:abstractNumId w:val="5"/>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D4D6B"/>
    <w:rsid w:val="00517A5B"/>
    <w:rsid w:val="00593A00"/>
    <w:rsid w:val="005A66D9"/>
    <w:rsid w:val="005D1D7A"/>
    <w:rsid w:val="00605BCA"/>
    <w:rsid w:val="006158A1"/>
    <w:rsid w:val="00617B1F"/>
    <w:rsid w:val="00672487"/>
    <w:rsid w:val="00672600"/>
    <w:rsid w:val="00681D4A"/>
    <w:rsid w:val="00685882"/>
    <w:rsid w:val="0075649D"/>
    <w:rsid w:val="007C605B"/>
    <w:rsid w:val="00814073"/>
    <w:rsid w:val="00826F0D"/>
    <w:rsid w:val="00893B92"/>
    <w:rsid w:val="008A6AF2"/>
    <w:rsid w:val="008C70A2"/>
    <w:rsid w:val="009773E4"/>
    <w:rsid w:val="009B171C"/>
    <w:rsid w:val="009F1313"/>
    <w:rsid w:val="00A20351"/>
    <w:rsid w:val="00AA23EC"/>
    <w:rsid w:val="00AC63CE"/>
    <w:rsid w:val="00AE2107"/>
    <w:rsid w:val="00B275A8"/>
    <w:rsid w:val="00BF2600"/>
    <w:rsid w:val="00C0049F"/>
    <w:rsid w:val="00C07B84"/>
    <w:rsid w:val="00C33464"/>
    <w:rsid w:val="00C809A7"/>
    <w:rsid w:val="00C83063"/>
    <w:rsid w:val="00C87E90"/>
    <w:rsid w:val="00CA1B5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da.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2384</Words>
  <Characters>13589</Characters>
  <Application>Microsoft Office Word</Application>
  <DocSecurity>0</DocSecurity>
  <Lines>113</Lines>
  <Paragraphs>31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2022-01-19T01:32:00Z</dcterms:created>
  <dcterms:modified xsi:type="dcterms:W3CDTF">2022-01-19T01:32:00Z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