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09CEB67B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5A3B4435" w14:textId="77777777" w:rsidR="0091385D" w:rsidRPr="0091385D" w:rsidRDefault="0091385D" w:rsidP="0091385D"/>
    <w:p w14:paraId="3320F4BE" w14:textId="2EB48694" w:rsidR="00C40420" w:rsidRDefault="00DD466D" w:rsidP="004A448E">
      <w:pPr>
        <w:pStyle w:val="Heading1"/>
      </w:pPr>
      <w:r>
        <w:t>1.ИМЕ НА ЛЕКАРСТВЕНИЯ ПРОДУКТ</w:t>
      </w:r>
    </w:p>
    <w:p w14:paraId="5E9BA472" w14:textId="7B7F9CBA" w:rsidR="0091385D" w:rsidRDefault="0091385D" w:rsidP="0091385D"/>
    <w:p w14:paraId="72087936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 xml:space="preserve">Релафалк 200 </w:t>
      </w:r>
      <w:r w:rsidRPr="003A044E">
        <w:rPr>
          <w:rFonts w:eastAsia="Times New Roman" w:cs="Arial"/>
          <w:color w:val="000000"/>
          <w:lang w:val="en-US"/>
        </w:rPr>
        <w:t xml:space="preserve">mg </w:t>
      </w:r>
      <w:r w:rsidRPr="003A044E">
        <w:rPr>
          <w:rFonts w:eastAsia="Times New Roman" w:cs="Arial"/>
          <w:color w:val="000000"/>
          <w:lang w:eastAsia="bg-BG"/>
        </w:rPr>
        <w:t>таблетки с изменено освобождаване</w:t>
      </w:r>
    </w:p>
    <w:p w14:paraId="69AC8148" w14:textId="4A1EFE0F" w:rsidR="00EC41ED" w:rsidRPr="003A044E" w:rsidRDefault="003A044E" w:rsidP="003A044E">
      <w:pPr>
        <w:rPr>
          <w:rFonts w:cs="Arial"/>
        </w:rPr>
      </w:pPr>
      <w:proofErr w:type="spellStart"/>
      <w:r w:rsidRPr="003A044E">
        <w:rPr>
          <w:rFonts w:eastAsia="Times New Roman" w:cs="Arial"/>
          <w:color w:val="000000"/>
          <w:lang w:val="en-US"/>
        </w:rPr>
        <w:t>Relafalk</w:t>
      </w:r>
      <w:proofErr w:type="spellEnd"/>
      <w:r w:rsidRPr="003A044E">
        <w:rPr>
          <w:rFonts w:eastAsia="Times New Roman" w:cs="Arial"/>
          <w:color w:val="000000"/>
          <w:lang w:val="en-US"/>
        </w:rPr>
        <w:t xml:space="preserve"> </w:t>
      </w:r>
      <w:r w:rsidRPr="003A044E">
        <w:rPr>
          <w:rFonts w:eastAsia="Times New Roman" w:cs="Arial"/>
          <w:color w:val="000000"/>
          <w:lang w:eastAsia="bg-BG"/>
        </w:rPr>
        <w:t xml:space="preserve">200 </w:t>
      </w:r>
      <w:r w:rsidRPr="003A044E">
        <w:rPr>
          <w:rFonts w:eastAsia="Times New Roman" w:cs="Arial"/>
          <w:color w:val="000000"/>
          <w:lang w:val="en-US"/>
        </w:rPr>
        <w:t>mg modified-</w:t>
      </w:r>
      <w:proofErr w:type="spellStart"/>
      <w:r w:rsidRPr="003A044E">
        <w:rPr>
          <w:rFonts w:eastAsia="Times New Roman" w:cs="Arial"/>
          <w:color w:val="000000"/>
          <w:lang w:val="en-US"/>
        </w:rPr>
        <w:t>releasetablets</w:t>
      </w:r>
      <w:proofErr w:type="spellEnd"/>
    </w:p>
    <w:p w14:paraId="1E8447D1" w14:textId="77777777" w:rsidR="0091385D" w:rsidRPr="0091385D" w:rsidRDefault="0091385D" w:rsidP="0091385D"/>
    <w:p w14:paraId="6920A680" w14:textId="53C3EFCC" w:rsidR="00C40420" w:rsidRDefault="00DD466D" w:rsidP="004A448E">
      <w:pPr>
        <w:pStyle w:val="Heading1"/>
      </w:pPr>
      <w:r>
        <w:t>2. КАЧЕСТВЕН И КОЛИЧЕСТВЕН СЪСТАВ</w:t>
      </w:r>
    </w:p>
    <w:p w14:paraId="1ED33AE8" w14:textId="478BAC70" w:rsidR="0091385D" w:rsidRDefault="0091385D" w:rsidP="0091385D"/>
    <w:p w14:paraId="17BE55D5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 xml:space="preserve">Една таблетка с изменено освобождаване съдържа 200 </w:t>
      </w:r>
      <w:r w:rsidRPr="003A044E">
        <w:rPr>
          <w:rFonts w:eastAsia="Times New Roman" w:cs="Arial"/>
          <w:color w:val="000000"/>
          <w:lang w:val="en-US"/>
        </w:rPr>
        <w:t xml:space="preserve">mg </w:t>
      </w:r>
      <w:r w:rsidRPr="003A044E">
        <w:rPr>
          <w:rFonts w:eastAsia="Times New Roman" w:cs="Arial"/>
          <w:color w:val="000000"/>
          <w:lang w:eastAsia="bg-BG"/>
        </w:rPr>
        <w:t xml:space="preserve">рифамицин натрий </w:t>
      </w:r>
      <w:r w:rsidRPr="003A044E">
        <w:rPr>
          <w:rFonts w:eastAsia="Times New Roman" w:cs="Arial"/>
          <w:color w:val="000000"/>
          <w:lang w:val="en-US"/>
        </w:rPr>
        <w:t>(</w:t>
      </w:r>
      <w:proofErr w:type="spellStart"/>
      <w:r w:rsidRPr="003A044E">
        <w:rPr>
          <w:rFonts w:eastAsia="Times New Roman" w:cs="Arial"/>
          <w:color w:val="000000"/>
          <w:lang w:val="en-US"/>
        </w:rPr>
        <w:t>rifamycinsodium</w:t>
      </w:r>
      <w:proofErr w:type="spellEnd"/>
      <w:r w:rsidRPr="003A044E">
        <w:rPr>
          <w:rFonts w:eastAsia="Times New Roman" w:cs="Arial"/>
          <w:color w:val="000000"/>
          <w:lang w:val="en-US"/>
        </w:rPr>
        <w:t>).</w:t>
      </w:r>
    </w:p>
    <w:p w14:paraId="30EDE57F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BEF7882" w14:textId="46AE89EB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u w:val="single"/>
          <w:lang w:eastAsia="bg-BG"/>
        </w:rPr>
        <w:t>Помощни вещества с известно действие:</w:t>
      </w:r>
    </w:p>
    <w:p w14:paraId="2CEF12E8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 xml:space="preserve">Всяка таблетка съдържа 10 </w:t>
      </w:r>
      <w:r w:rsidRPr="003A044E">
        <w:rPr>
          <w:rFonts w:eastAsia="Times New Roman" w:cs="Arial"/>
          <w:color w:val="000000"/>
          <w:lang w:val="en-US"/>
        </w:rPr>
        <w:t xml:space="preserve">mg </w:t>
      </w:r>
      <w:r w:rsidRPr="003A044E">
        <w:rPr>
          <w:rFonts w:eastAsia="Times New Roman" w:cs="Arial"/>
          <w:color w:val="000000"/>
          <w:lang w:eastAsia="bg-BG"/>
        </w:rPr>
        <w:t xml:space="preserve">соев лецитин и 6,11 </w:t>
      </w:r>
      <w:r w:rsidRPr="003A044E">
        <w:rPr>
          <w:rFonts w:eastAsia="Times New Roman" w:cs="Arial"/>
          <w:color w:val="000000"/>
          <w:lang w:val="en-US"/>
        </w:rPr>
        <w:t xml:space="preserve">mg </w:t>
      </w:r>
      <w:r w:rsidRPr="003A044E">
        <w:rPr>
          <w:rFonts w:eastAsia="Times New Roman" w:cs="Arial"/>
          <w:color w:val="000000"/>
          <w:lang w:eastAsia="bg-BG"/>
        </w:rPr>
        <w:t>натрий.</w:t>
      </w:r>
    </w:p>
    <w:p w14:paraId="129A5B55" w14:textId="77777777" w:rsidR="003A044E" w:rsidRPr="003A044E" w:rsidRDefault="003A044E" w:rsidP="003A044E">
      <w:pPr>
        <w:rPr>
          <w:rFonts w:eastAsia="Times New Roman" w:cs="Arial"/>
          <w:color w:val="000000"/>
          <w:lang w:eastAsia="bg-BG"/>
        </w:rPr>
      </w:pPr>
    </w:p>
    <w:p w14:paraId="54632B43" w14:textId="40081F02" w:rsidR="00EC41ED" w:rsidRPr="003A044E" w:rsidRDefault="003A044E" w:rsidP="003A044E">
      <w:pPr>
        <w:rPr>
          <w:rFonts w:cs="Arial"/>
        </w:rPr>
      </w:pPr>
      <w:r w:rsidRPr="003A044E">
        <w:rPr>
          <w:rFonts w:eastAsia="Times New Roman" w:cs="Arial"/>
          <w:color w:val="000000"/>
          <w:lang w:eastAsia="bg-BG"/>
        </w:rPr>
        <w:t>За пълния списък на помощните вещества вижте точка 6.1.</w:t>
      </w:r>
    </w:p>
    <w:p w14:paraId="3C47C299" w14:textId="77777777" w:rsidR="00A73575" w:rsidRPr="0091385D" w:rsidRDefault="00A73575" w:rsidP="0091385D"/>
    <w:p w14:paraId="614984C4" w14:textId="3FC552C3" w:rsidR="008A6AF2" w:rsidRDefault="00DD466D" w:rsidP="002C50EE">
      <w:pPr>
        <w:pStyle w:val="Heading1"/>
      </w:pPr>
      <w:r>
        <w:t>3. ЛЕКАРСТВЕНА ФОРМА</w:t>
      </w:r>
    </w:p>
    <w:p w14:paraId="1004E96C" w14:textId="67F9C61D" w:rsidR="0091385D" w:rsidRDefault="0091385D" w:rsidP="0091385D"/>
    <w:p w14:paraId="58C53BE5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Таблетка с изменено освобождаване</w:t>
      </w:r>
    </w:p>
    <w:p w14:paraId="111337C5" w14:textId="77777777" w:rsidR="003A044E" w:rsidRPr="003A044E" w:rsidRDefault="003A044E" w:rsidP="003A044E">
      <w:pPr>
        <w:rPr>
          <w:rFonts w:eastAsia="Times New Roman" w:cs="Arial"/>
          <w:color w:val="000000"/>
          <w:lang w:eastAsia="bg-BG"/>
        </w:rPr>
      </w:pPr>
    </w:p>
    <w:p w14:paraId="743244F0" w14:textId="50561291" w:rsidR="00EC41ED" w:rsidRPr="003A044E" w:rsidRDefault="003A044E" w:rsidP="003A044E">
      <w:pPr>
        <w:rPr>
          <w:rFonts w:cs="Arial"/>
        </w:rPr>
      </w:pPr>
      <w:r w:rsidRPr="003A044E">
        <w:rPr>
          <w:rFonts w:eastAsia="Times New Roman" w:cs="Arial"/>
          <w:color w:val="000000"/>
          <w:lang w:eastAsia="bg-BG"/>
        </w:rPr>
        <w:t xml:space="preserve">Жълто-кафява елипсовидна таблетка, обозначени с </w:t>
      </w:r>
      <w:r w:rsidRPr="003A044E">
        <w:rPr>
          <w:rFonts w:eastAsia="Times New Roman" w:cs="Arial"/>
          <w:color w:val="000000"/>
          <w:lang w:val="en-US"/>
        </w:rPr>
        <w:t xml:space="preserve">,,SV2'' </w:t>
      </w:r>
      <w:r w:rsidRPr="003A044E">
        <w:rPr>
          <w:rFonts w:eastAsia="Times New Roman" w:cs="Arial"/>
          <w:color w:val="000000"/>
          <w:lang w:eastAsia="bg-BG"/>
        </w:rPr>
        <w:t xml:space="preserve">от едната страна (приблизителни размери на таблетката: дължина: 19 </w:t>
      </w:r>
      <w:r w:rsidRPr="003A044E">
        <w:rPr>
          <w:rFonts w:eastAsia="Times New Roman" w:cs="Arial"/>
          <w:color w:val="000000"/>
          <w:lang w:val="en-US"/>
        </w:rPr>
        <w:t xml:space="preserve">mm, </w:t>
      </w:r>
      <w:r w:rsidRPr="003A044E">
        <w:rPr>
          <w:rFonts w:eastAsia="Times New Roman" w:cs="Arial"/>
          <w:color w:val="000000"/>
          <w:lang w:eastAsia="bg-BG"/>
        </w:rPr>
        <w:t xml:space="preserve">ширина: 8,9 </w:t>
      </w:r>
      <w:r w:rsidRPr="003A044E">
        <w:rPr>
          <w:rFonts w:eastAsia="Times New Roman" w:cs="Arial"/>
          <w:color w:val="000000"/>
          <w:lang w:val="en-US"/>
        </w:rPr>
        <w:t xml:space="preserve">mm, </w:t>
      </w:r>
      <w:r w:rsidRPr="003A044E">
        <w:rPr>
          <w:rFonts w:eastAsia="Times New Roman" w:cs="Arial"/>
          <w:color w:val="000000"/>
          <w:lang w:eastAsia="bg-BG"/>
        </w:rPr>
        <w:t xml:space="preserve">дебелина: 7,2 </w:t>
      </w:r>
      <w:r w:rsidRPr="003A044E">
        <w:rPr>
          <w:rFonts w:eastAsia="Times New Roman" w:cs="Arial"/>
          <w:color w:val="000000"/>
          <w:lang w:val="en-US"/>
        </w:rPr>
        <w:t>mm)</w:t>
      </w:r>
    </w:p>
    <w:p w14:paraId="7D287A22" w14:textId="77777777" w:rsidR="00A73575" w:rsidRPr="0091385D" w:rsidRDefault="00A73575" w:rsidP="0091385D"/>
    <w:p w14:paraId="490FC2C4" w14:textId="76FABE77" w:rsidR="002C50EE" w:rsidRDefault="002C50EE" w:rsidP="002C50EE">
      <w:pPr>
        <w:pStyle w:val="Heading1"/>
      </w:pPr>
      <w:r>
        <w:t>4. КЛИНИЧНИ ДАННИ</w:t>
      </w:r>
    </w:p>
    <w:p w14:paraId="0C69CBC7" w14:textId="77777777" w:rsidR="0091385D" w:rsidRPr="0091385D" w:rsidRDefault="0091385D" w:rsidP="0091385D"/>
    <w:p w14:paraId="0C8E6903" w14:textId="51BB3E2D" w:rsidR="008134C8" w:rsidRDefault="002C50EE" w:rsidP="004A448E">
      <w:pPr>
        <w:pStyle w:val="Heading2"/>
      </w:pPr>
      <w:r>
        <w:t>4.1. Терапевтични показания</w:t>
      </w:r>
    </w:p>
    <w:p w14:paraId="174D169F" w14:textId="0369962D" w:rsidR="0091385D" w:rsidRDefault="0091385D" w:rsidP="0091385D"/>
    <w:p w14:paraId="27F9E8A2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Релафалк е показан при възрастни за лечение на диария на пътешественика, съпътствана от симптоми като гадене, повръщане, газове/флатуленция, ректалнитенезми, неотложни позиви за дефекация и болка или спазми в корема, без клинични признаци на инвазивен ентерит, като повишена температура, кръв, окултно кървене или левкоцити в изпражненията (вж. точки 4.4 и 5.1).</w:t>
      </w:r>
    </w:p>
    <w:p w14:paraId="6EB73AE1" w14:textId="77777777" w:rsidR="003A044E" w:rsidRPr="003A044E" w:rsidRDefault="003A044E" w:rsidP="003A044E">
      <w:pPr>
        <w:rPr>
          <w:rFonts w:eastAsia="Times New Roman" w:cs="Arial"/>
          <w:color w:val="000000"/>
          <w:lang w:eastAsia="bg-BG"/>
        </w:rPr>
      </w:pPr>
    </w:p>
    <w:p w14:paraId="6DFA4B9D" w14:textId="7298E5DD" w:rsidR="0091385D" w:rsidRPr="003A044E" w:rsidRDefault="003A044E" w:rsidP="003A044E">
      <w:pPr>
        <w:rPr>
          <w:rFonts w:cs="Arial"/>
        </w:rPr>
      </w:pPr>
      <w:r w:rsidRPr="003A044E">
        <w:rPr>
          <w:rFonts w:eastAsia="Times New Roman" w:cs="Arial"/>
          <w:color w:val="000000"/>
          <w:lang w:eastAsia="bg-BG"/>
        </w:rPr>
        <w:t>Трябва да се следват официалните указания за правилна употреба на антибактериални средства.</w:t>
      </w:r>
    </w:p>
    <w:p w14:paraId="642F56D9" w14:textId="77777777" w:rsidR="00EC41ED" w:rsidRPr="0091385D" w:rsidRDefault="00EC41ED" w:rsidP="0091385D"/>
    <w:p w14:paraId="30BE2C7B" w14:textId="3633C1E4" w:rsidR="008134C8" w:rsidRDefault="002C50EE" w:rsidP="004A448E">
      <w:pPr>
        <w:pStyle w:val="Heading2"/>
      </w:pPr>
      <w:r>
        <w:t>4.2. Дозировка и начин на приложение</w:t>
      </w:r>
    </w:p>
    <w:p w14:paraId="7AA22B68" w14:textId="0723B40D" w:rsidR="0091385D" w:rsidRDefault="0091385D" w:rsidP="0091385D"/>
    <w:p w14:paraId="618BAB74" w14:textId="77777777" w:rsidR="003A044E" w:rsidRPr="003A044E" w:rsidRDefault="003A044E" w:rsidP="003A044E">
      <w:pPr>
        <w:pStyle w:val="Heading3"/>
        <w:rPr>
          <w:rFonts w:eastAsia="Times New Roman"/>
          <w:u w:val="single"/>
          <w:lang w:eastAsia="bg-BG"/>
        </w:rPr>
      </w:pPr>
      <w:r w:rsidRPr="003A044E">
        <w:rPr>
          <w:rFonts w:eastAsia="Times New Roman"/>
          <w:u w:val="single"/>
          <w:lang w:eastAsia="bg-BG"/>
        </w:rPr>
        <w:lastRenderedPageBreak/>
        <w:t>Дозировка</w:t>
      </w:r>
    </w:p>
    <w:p w14:paraId="463D6FBC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i/>
          <w:iCs/>
          <w:color w:val="000000"/>
          <w:lang w:eastAsia="bg-BG"/>
        </w:rPr>
        <w:t>Възрастни (&gt; 18-годишна възраст)</w:t>
      </w:r>
    </w:p>
    <w:p w14:paraId="3DF45D08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 xml:space="preserve">Препоръчителната дневна доза е две таблетки сутрин и две таблетки вечер (обща дневна доза: 800 </w:t>
      </w:r>
      <w:r w:rsidRPr="003A044E">
        <w:rPr>
          <w:rFonts w:eastAsia="Times New Roman" w:cs="Arial"/>
          <w:color w:val="000000"/>
          <w:lang w:val="en-US"/>
        </w:rPr>
        <w:t xml:space="preserve">mg </w:t>
      </w:r>
      <w:r w:rsidRPr="003A044E">
        <w:rPr>
          <w:rFonts w:eastAsia="Times New Roman" w:cs="Arial"/>
          <w:color w:val="000000"/>
          <w:lang w:eastAsia="bg-BG"/>
        </w:rPr>
        <w:t>рифамицин натрий) в продължение на три дни.</w:t>
      </w:r>
    </w:p>
    <w:p w14:paraId="422C6A47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2A1DEA9" w14:textId="748234B1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Релафалк не трябва да се използва повече от 3 дни, ако симптомите персистират. Не може да се приема втори курс на лечение (вж. точка 4.4).</w:t>
      </w:r>
    </w:p>
    <w:p w14:paraId="5797C58A" w14:textId="77777777" w:rsidR="003A044E" w:rsidRPr="003A044E" w:rsidRDefault="003A044E" w:rsidP="003A044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6E7E2AA" w14:textId="5B39E875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7FBF1BCE" w14:textId="38EF9BD4" w:rsidR="00EC41ED" w:rsidRPr="003A044E" w:rsidRDefault="003A044E" w:rsidP="003A044E">
      <w:pPr>
        <w:rPr>
          <w:rFonts w:cs="Arial"/>
        </w:rPr>
      </w:pPr>
      <w:r w:rsidRPr="003A044E">
        <w:rPr>
          <w:rFonts w:eastAsia="Times New Roman" w:cs="Arial"/>
          <w:color w:val="000000"/>
          <w:lang w:eastAsia="bg-BG"/>
        </w:rPr>
        <w:t>Безопасността и ефикасността на Релафалк при деца и юноши (&lt;18 години)</w:t>
      </w:r>
      <w:r w:rsidRPr="003A044E">
        <w:rPr>
          <w:rFonts w:eastAsia="Times New Roman" w:cs="Arial"/>
          <w:color w:val="000000"/>
          <w:lang w:val="en-US"/>
        </w:rPr>
        <w:t xml:space="preserve"> </w:t>
      </w:r>
      <w:r w:rsidRPr="003A044E">
        <w:rPr>
          <w:rFonts w:eastAsia="Times New Roman" w:cs="Arial"/>
          <w:color w:val="000000"/>
          <w:lang w:eastAsia="bg-BG"/>
        </w:rPr>
        <w:t>все още не се установени. Релафалк не е предвиден за употреба в педиатричната популация.</w:t>
      </w:r>
    </w:p>
    <w:p w14:paraId="132F3111" w14:textId="3CF608EC" w:rsidR="005B0F27" w:rsidRPr="003A044E" w:rsidRDefault="005B0F27" w:rsidP="0091385D">
      <w:pPr>
        <w:rPr>
          <w:rFonts w:cs="Arial"/>
        </w:rPr>
      </w:pPr>
    </w:p>
    <w:p w14:paraId="13A15DAE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i/>
          <w:iCs/>
          <w:color w:val="000000"/>
          <w:lang w:eastAsia="bg-BG"/>
        </w:rPr>
        <w:t>Пациенти с бъбречно увреждане</w:t>
      </w:r>
    </w:p>
    <w:p w14:paraId="30939ED3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Поради ниската системна бионаличност на рифамицин натрий, бъбречното увреждане не се очаква да повлияе безопасността и ефикасността на лечението с Релафалк и не се налагат корекции на дозата.</w:t>
      </w:r>
    </w:p>
    <w:p w14:paraId="7991F545" w14:textId="77777777" w:rsidR="003A044E" w:rsidRPr="003A044E" w:rsidRDefault="003A044E" w:rsidP="003A044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A40CA7D" w14:textId="21C0B950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i/>
          <w:iCs/>
          <w:color w:val="000000"/>
          <w:lang w:eastAsia="bg-BG"/>
        </w:rPr>
        <w:t>Пациенти с чернодробно увреждане</w:t>
      </w:r>
    </w:p>
    <w:p w14:paraId="12A4DBFA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Поради ниската системна бионаличност на рифамицин натрий, чернодробното увреждане не се очаква да повлияе безопасността и ефикасността на лечението с Релафалк и не се налагат корекции на дозата.</w:t>
      </w:r>
    </w:p>
    <w:p w14:paraId="69918543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997D2FF" w14:textId="6F7B55A5" w:rsidR="003A044E" w:rsidRPr="003A044E" w:rsidRDefault="003A044E" w:rsidP="003A044E">
      <w:pPr>
        <w:pStyle w:val="Heading3"/>
        <w:rPr>
          <w:rFonts w:eastAsia="Times New Roman"/>
          <w:u w:val="single"/>
          <w:lang w:eastAsia="bg-BG"/>
        </w:rPr>
      </w:pPr>
      <w:r w:rsidRPr="003A044E">
        <w:rPr>
          <w:rFonts w:eastAsia="Times New Roman"/>
          <w:u w:val="single"/>
          <w:lang w:eastAsia="bg-BG"/>
        </w:rPr>
        <w:t>Начин на приложение</w:t>
      </w:r>
    </w:p>
    <w:p w14:paraId="30865DEC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Таблетките трябва да се приемат перорално с чаша вода.</w:t>
      </w:r>
    </w:p>
    <w:p w14:paraId="2DCE060B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Те трябва да се поглъщат цели и не трябва да се разтрошават или дъвчат.</w:t>
      </w:r>
    </w:p>
    <w:p w14:paraId="45C12B7D" w14:textId="53CAAFA2" w:rsidR="003A044E" w:rsidRPr="003A044E" w:rsidRDefault="003A044E" w:rsidP="003A044E">
      <w:pPr>
        <w:rPr>
          <w:rFonts w:cs="Arial"/>
        </w:rPr>
      </w:pPr>
      <w:proofErr w:type="spellStart"/>
      <w:r w:rsidRPr="003A044E">
        <w:rPr>
          <w:rFonts w:eastAsia="Times New Roman" w:cs="Arial"/>
          <w:color w:val="000000"/>
          <w:lang w:val="en-US"/>
        </w:rPr>
        <w:t>Relafalk</w:t>
      </w:r>
      <w:proofErr w:type="spellEnd"/>
      <w:r w:rsidRPr="003A044E">
        <w:rPr>
          <w:rFonts w:eastAsia="Times New Roman" w:cs="Arial"/>
          <w:color w:val="000000"/>
          <w:lang w:val="en-US"/>
        </w:rPr>
        <w:t xml:space="preserve"> </w:t>
      </w:r>
      <w:r w:rsidRPr="003A044E">
        <w:rPr>
          <w:rFonts w:eastAsia="Times New Roman" w:cs="Arial"/>
          <w:color w:val="000000"/>
          <w:lang w:eastAsia="bg-BG"/>
        </w:rPr>
        <w:t>може да се приема със или без храна.</w:t>
      </w:r>
    </w:p>
    <w:p w14:paraId="1A2EA2E9" w14:textId="77777777" w:rsidR="003A044E" w:rsidRPr="0091385D" w:rsidRDefault="003A044E" w:rsidP="0091385D"/>
    <w:p w14:paraId="28C984E8" w14:textId="0756AE28" w:rsidR="008134C8" w:rsidRDefault="002C50EE" w:rsidP="004A448E">
      <w:pPr>
        <w:pStyle w:val="Heading2"/>
      </w:pPr>
      <w:r>
        <w:t>4.3. Противопоказания</w:t>
      </w:r>
    </w:p>
    <w:p w14:paraId="2363D607" w14:textId="619A99CE" w:rsidR="0091385D" w:rsidRDefault="0091385D" w:rsidP="0091385D"/>
    <w:p w14:paraId="4CAB67C2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Свръхчувствителност към активното вещество, към някой антибиотик от класа на рифамицин (напр. рифаксимин, рифампицин и рифабутин) или към някое от помощните вещества, изброени в точка 6.1.</w:t>
      </w:r>
    </w:p>
    <w:p w14:paraId="29495501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6B86686" w14:textId="141FF6BC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Стомашно-чревни обструкции, перфорации на стомашно-чревния тракт или тежки улцерозни лезии на червата.</w:t>
      </w:r>
    </w:p>
    <w:p w14:paraId="3D44D158" w14:textId="77777777" w:rsidR="003A044E" w:rsidRPr="003A044E" w:rsidRDefault="003A044E" w:rsidP="003A044E">
      <w:pPr>
        <w:rPr>
          <w:rFonts w:eastAsia="Times New Roman" w:cs="Arial"/>
          <w:color w:val="000000"/>
          <w:lang w:eastAsia="bg-BG"/>
        </w:rPr>
      </w:pPr>
    </w:p>
    <w:p w14:paraId="030B6A4D" w14:textId="414CE047" w:rsidR="00EC41ED" w:rsidRPr="003A044E" w:rsidRDefault="003A044E" w:rsidP="003A044E">
      <w:pPr>
        <w:rPr>
          <w:rFonts w:cs="Arial"/>
        </w:rPr>
      </w:pPr>
      <w:r w:rsidRPr="003A044E">
        <w:rPr>
          <w:rFonts w:eastAsia="Times New Roman" w:cs="Arial"/>
          <w:color w:val="000000"/>
          <w:lang w:eastAsia="bg-BG"/>
        </w:rPr>
        <w:t>Релафалк съдържа соев лецитин. Пациенти с алергия към фъстъци или соя не трябва да приемат това лекарство.</w:t>
      </w:r>
    </w:p>
    <w:p w14:paraId="31B39DC6" w14:textId="77777777" w:rsidR="0091385D" w:rsidRPr="0091385D" w:rsidRDefault="0091385D" w:rsidP="0091385D"/>
    <w:p w14:paraId="212F509C" w14:textId="52B87D4F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AAC2B60" w14:textId="1E0703C7" w:rsidR="0091385D" w:rsidRDefault="0091385D" w:rsidP="0091385D"/>
    <w:p w14:paraId="659E2893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Релафалк не трябва да се използва при пациенти с клинични признаци на инвазивен ентерит, като например повишена температура или кръв в изпражненията.</w:t>
      </w:r>
    </w:p>
    <w:p w14:paraId="44A6BFEC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F8783C3" w14:textId="14741718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Ако се наблюдава влошаване на симптомите, лечението с Релафалк трябва да се спре.</w:t>
      </w:r>
    </w:p>
    <w:p w14:paraId="31DA0810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CD6D36B" w14:textId="2C040900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Ако симптомите не са отшумели след 3 дни лечение, Релафалк трябва да се прекрати. Не трябва да се прилага втори курс на лечение, дори ако симптомите възникнат отново скоро след спиране на лечението.</w:t>
      </w:r>
    </w:p>
    <w:p w14:paraId="25303D0D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87961DA" w14:textId="4C1D9028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 xml:space="preserve">При употреба на почти всички антибактериални средства, включително антибиотиците от класа на рифамицин, има съобщения за диария, свързана с </w:t>
      </w:r>
      <w:proofErr w:type="spellStart"/>
      <w:r w:rsidRPr="003A044E">
        <w:rPr>
          <w:rFonts w:eastAsia="Times New Roman" w:cs="Arial"/>
          <w:i/>
          <w:iCs/>
          <w:color w:val="000000"/>
          <w:lang w:val="en-US"/>
        </w:rPr>
        <w:t>Clostridiumdifficile</w:t>
      </w:r>
      <w:proofErr w:type="spellEnd"/>
    </w:p>
    <w:p w14:paraId="53ABA197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val="en-US"/>
        </w:rPr>
        <w:t xml:space="preserve">CDAD). </w:t>
      </w:r>
      <w:r w:rsidRPr="003A044E">
        <w:rPr>
          <w:rFonts w:eastAsia="Times New Roman" w:cs="Arial"/>
          <w:color w:val="000000"/>
          <w:lang w:eastAsia="bg-BG"/>
        </w:rPr>
        <w:t xml:space="preserve">Не може да се изключи връзка между лечението с рифамицин натрий и </w:t>
      </w:r>
      <w:r w:rsidRPr="003A044E">
        <w:rPr>
          <w:rFonts w:eastAsia="Times New Roman" w:cs="Arial"/>
          <w:color w:val="000000"/>
          <w:lang w:val="en-US"/>
        </w:rPr>
        <w:t xml:space="preserve">CDAD </w:t>
      </w:r>
      <w:r w:rsidRPr="003A044E">
        <w:rPr>
          <w:rFonts w:eastAsia="Times New Roman" w:cs="Arial"/>
          <w:color w:val="000000"/>
          <w:lang w:eastAsia="bg-BG"/>
        </w:rPr>
        <w:t>или псевдомембранозен колит.</w:t>
      </w:r>
    </w:p>
    <w:p w14:paraId="743D8C49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A62FCF0" w14:textId="46A2F27D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Пациенти, които се лекуват с рифамицин за заболяване, причинено от микобактерии, не трябва да получават Релафалк.</w:t>
      </w:r>
    </w:p>
    <w:p w14:paraId="25ABAF1A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28E7049" w14:textId="783BB56B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Тъй като липсват клинични данни за Релафалк при пациенти с бъбречно и чернодробно увреждане, той трябва да се прилага с повишено внимание в тези популации.</w:t>
      </w:r>
    </w:p>
    <w:p w14:paraId="4E113406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D7665FA" w14:textId="46693B35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Пациентите трябва да бъдат информирани, че въпреки пренебрежимо ниската абсорбция на активното вещество (под 1%), подобно на всички антибиотици от класа на рифамицин. Релафалк може да доведе до червеникаво оцветяване на урината.</w:t>
      </w:r>
    </w:p>
    <w:p w14:paraId="44DF6093" w14:textId="77777777" w:rsidR="003A044E" w:rsidRPr="003A044E" w:rsidRDefault="003A044E" w:rsidP="003A044E">
      <w:pPr>
        <w:rPr>
          <w:rFonts w:eastAsia="Times New Roman" w:cs="Arial"/>
          <w:color w:val="000000"/>
          <w:lang w:eastAsia="bg-BG"/>
        </w:rPr>
      </w:pPr>
    </w:p>
    <w:p w14:paraId="0E28BBDE" w14:textId="0505A6DF" w:rsidR="007A2185" w:rsidRPr="003A044E" w:rsidRDefault="003A044E" w:rsidP="003A044E">
      <w:pPr>
        <w:rPr>
          <w:rFonts w:cs="Arial"/>
        </w:rPr>
      </w:pPr>
      <w:r w:rsidRPr="003A044E">
        <w:rPr>
          <w:rFonts w:eastAsia="Times New Roman" w:cs="Arial"/>
          <w:color w:val="000000"/>
          <w:lang w:eastAsia="bg-BG"/>
        </w:rPr>
        <w:t>При избора на рифамицин трябва да се вземе предвид информацията за резистентността към рифамицинна съответните патогени в посещаваните страни.</w:t>
      </w:r>
    </w:p>
    <w:p w14:paraId="24E3E82F" w14:textId="4888BDA5" w:rsidR="0091385D" w:rsidRPr="003A044E" w:rsidRDefault="0091385D" w:rsidP="0091385D">
      <w:pPr>
        <w:rPr>
          <w:rFonts w:cs="Arial"/>
        </w:rPr>
      </w:pPr>
    </w:p>
    <w:p w14:paraId="40E03F67" w14:textId="5344EB06" w:rsidR="003A044E" w:rsidRPr="003A044E" w:rsidRDefault="003A044E" w:rsidP="0091385D">
      <w:pPr>
        <w:rPr>
          <w:rFonts w:cs="Arial"/>
        </w:rPr>
      </w:pPr>
      <w:r w:rsidRPr="003A044E">
        <w:rPr>
          <w:rFonts w:cs="Arial"/>
        </w:rPr>
        <w:t xml:space="preserve">Този лекарствен продукт съдържа по-малко от 1 </w:t>
      </w:r>
      <w:proofErr w:type="spellStart"/>
      <w:r w:rsidRPr="003A044E">
        <w:rPr>
          <w:rFonts w:cs="Arial"/>
          <w:lang w:val="en-US"/>
        </w:rPr>
        <w:t>mmol</w:t>
      </w:r>
      <w:proofErr w:type="spellEnd"/>
      <w:r w:rsidRPr="003A044E">
        <w:rPr>
          <w:rFonts w:cs="Arial"/>
          <w:lang w:val="en-US"/>
        </w:rPr>
        <w:t xml:space="preserve"> </w:t>
      </w:r>
      <w:r w:rsidRPr="003A044E">
        <w:rPr>
          <w:rFonts w:cs="Arial"/>
        </w:rPr>
        <w:t xml:space="preserve">натрий (23 </w:t>
      </w:r>
      <w:r w:rsidRPr="003A044E">
        <w:rPr>
          <w:rFonts w:cs="Arial"/>
          <w:lang w:val="en-US"/>
        </w:rPr>
        <w:t xml:space="preserve">mg) </w:t>
      </w:r>
      <w:r w:rsidRPr="003A044E">
        <w:rPr>
          <w:rFonts w:cs="Arial"/>
        </w:rPr>
        <w:t>на таблетка, т.е. може да се каже, че практически не съдържа натрий.</w:t>
      </w:r>
    </w:p>
    <w:p w14:paraId="279C6815" w14:textId="77777777" w:rsidR="003A044E" w:rsidRPr="0091385D" w:rsidRDefault="003A044E" w:rsidP="0091385D"/>
    <w:p w14:paraId="619DED1E" w14:textId="564F257F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55E4B7C" w14:textId="7D829F6C" w:rsidR="0091385D" w:rsidRDefault="0091385D" w:rsidP="0091385D"/>
    <w:p w14:paraId="2658F3D4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Няма опит от съпътстващо приложение на антибиотици от класа на рифамицин при лечение на системни бактериални инфекции. Поради потенциалния риск от тежко нарушаване на стомашно-чревната микрофлора, трябва да се избягва съпътстващо приложение на Релафалк и други антибиотици от класа на рифамицин.</w:t>
      </w:r>
    </w:p>
    <w:p w14:paraId="055B0E5C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D8ECC4F" w14:textId="70C309C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u w:val="single"/>
          <w:lang w:eastAsia="bg-BG"/>
        </w:rPr>
        <w:t xml:space="preserve">Ефекти върху субстратите на </w:t>
      </w:r>
      <w:r w:rsidRPr="003A044E">
        <w:rPr>
          <w:rFonts w:eastAsia="Times New Roman" w:cs="Arial"/>
          <w:color w:val="000000"/>
          <w:u w:val="single"/>
          <w:lang w:val="en-US"/>
        </w:rPr>
        <w:t>CYP</w:t>
      </w:r>
    </w:p>
    <w:p w14:paraId="2A40B756" w14:textId="48E51A3C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proofErr w:type="spellStart"/>
      <w:proofErr w:type="gramStart"/>
      <w:r w:rsidRPr="003A044E">
        <w:rPr>
          <w:rFonts w:eastAsia="Times New Roman" w:cs="Arial"/>
          <w:i/>
          <w:iCs/>
          <w:color w:val="000000"/>
          <w:lang w:val="en-US"/>
        </w:rPr>
        <w:t>bwitro</w:t>
      </w:r>
      <w:proofErr w:type="spellEnd"/>
      <w:proofErr w:type="gramEnd"/>
      <w:r w:rsidRPr="003A044E">
        <w:rPr>
          <w:rFonts w:eastAsia="Times New Roman" w:cs="Arial"/>
          <w:color w:val="000000"/>
          <w:lang w:val="en-US"/>
        </w:rPr>
        <w:t xml:space="preserve"> </w:t>
      </w:r>
      <w:r w:rsidRPr="003A044E">
        <w:rPr>
          <w:rFonts w:eastAsia="Times New Roman" w:cs="Arial"/>
          <w:color w:val="000000"/>
          <w:lang w:eastAsia="bg-BG"/>
        </w:rPr>
        <w:t xml:space="preserve">данните показват, че рифамицин натрий - подобно на други средства от класа на рифамицин - е силен индуктор на изоензимите </w:t>
      </w:r>
      <w:r w:rsidRPr="003A044E">
        <w:rPr>
          <w:rFonts w:eastAsia="Times New Roman" w:cs="Arial"/>
          <w:color w:val="000000"/>
          <w:lang w:val="en-US"/>
        </w:rPr>
        <w:t xml:space="preserve">CYP2B6 </w:t>
      </w:r>
      <w:r w:rsidRPr="003A044E">
        <w:rPr>
          <w:rFonts w:eastAsia="Times New Roman" w:cs="Arial"/>
          <w:color w:val="000000"/>
          <w:lang w:eastAsia="bg-BG"/>
        </w:rPr>
        <w:t xml:space="preserve">и </w:t>
      </w:r>
      <w:r w:rsidRPr="003A044E">
        <w:rPr>
          <w:rFonts w:eastAsia="Times New Roman" w:cs="Arial"/>
          <w:color w:val="000000"/>
          <w:lang w:val="en-US"/>
        </w:rPr>
        <w:t xml:space="preserve">CYP3A4 </w:t>
      </w:r>
      <w:r w:rsidRPr="003A044E">
        <w:rPr>
          <w:rFonts w:eastAsia="Times New Roman" w:cs="Arial"/>
          <w:color w:val="000000"/>
          <w:lang w:eastAsia="bg-BG"/>
        </w:rPr>
        <w:t xml:space="preserve">на цитохром Р450. Освен това, рифамицин натрий може умерено да инхибира всички изоензими на </w:t>
      </w:r>
      <w:r w:rsidRPr="003A044E">
        <w:rPr>
          <w:rFonts w:eastAsia="Times New Roman" w:cs="Arial"/>
          <w:color w:val="000000"/>
          <w:lang w:val="en-US"/>
        </w:rPr>
        <w:t>CYP.</w:t>
      </w:r>
    </w:p>
    <w:p w14:paraId="4B6EB282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FC62068" w14:textId="424425E6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 xml:space="preserve">Поради пренебрежимо ниската стомашно-чревна абсорбция на рифамицин натрий, потенциалът за системни лекарствени взаимодействия вследствие на индукция или инхибиране на </w:t>
      </w:r>
      <w:r w:rsidRPr="003A044E">
        <w:rPr>
          <w:rFonts w:eastAsia="Times New Roman" w:cs="Arial"/>
          <w:color w:val="000000"/>
          <w:lang w:val="en-US"/>
        </w:rPr>
        <w:t xml:space="preserve">CYP </w:t>
      </w:r>
      <w:r w:rsidRPr="003A044E">
        <w:rPr>
          <w:rFonts w:eastAsia="Times New Roman" w:cs="Arial"/>
          <w:color w:val="000000"/>
          <w:lang w:eastAsia="bg-BG"/>
        </w:rPr>
        <w:t xml:space="preserve">в черния дроб изглежда нисък при пациенти с нормална чернодробна функция. Въпреки това, при пациенти с нарушена чернодробна функция системната експозиция може да е съществено по-висока в сравнение с тази при пациенти с нормална чернодробна функция, вследствие на по-бавния чернодробен клирънс, демонстриран по- рано за рифаксимин, близко свързан антибиотик. При условия на нарушена чернодробна функция не може да се изключи понижение на плазмените концентрации на съпътстващо прилагани субстрати на </w:t>
      </w:r>
      <w:r w:rsidRPr="003A044E">
        <w:rPr>
          <w:rFonts w:eastAsia="Times New Roman" w:cs="Arial"/>
          <w:color w:val="000000"/>
          <w:lang w:val="en-US"/>
        </w:rPr>
        <w:t xml:space="preserve">CYP3A4 </w:t>
      </w:r>
      <w:r w:rsidRPr="003A044E">
        <w:rPr>
          <w:rFonts w:eastAsia="Times New Roman" w:cs="Arial"/>
          <w:color w:val="000000"/>
          <w:lang w:eastAsia="bg-BG"/>
        </w:rPr>
        <w:t>(напр. варфарин, антиепилептици, антиаритмични средства, перорални контрацегггиви).</w:t>
      </w:r>
    </w:p>
    <w:p w14:paraId="54E3CD34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ED5F82B" w14:textId="68425C82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 xml:space="preserve">Тъй като </w:t>
      </w:r>
      <w:r w:rsidRPr="003A044E">
        <w:rPr>
          <w:rFonts w:eastAsia="Times New Roman" w:cs="Arial"/>
          <w:color w:val="000000"/>
          <w:lang w:val="en-US"/>
        </w:rPr>
        <w:t xml:space="preserve">CYP3 </w:t>
      </w:r>
      <w:r w:rsidRPr="003A044E">
        <w:rPr>
          <w:rFonts w:eastAsia="Times New Roman" w:cs="Arial"/>
          <w:color w:val="000000"/>
          <w:lang w:eastAsia="bg-BG"/>
        </w:rPr>
        <w:t xml:space="preserve">А4 е експресиран и в червата, индукцията на </w:t>
      </w:r>
      <w:r w:rsidRPr="003A044E">
        <w:rPr>
          <w:rFonts w:eastAsia="Times New Roman" w:cs="Arial"/>
          <w:color w:val="000000"/>
          <w:lang w:val="en-US"/>
        </w:rPr>
        <w:t>CYP3</w:t>
      </w:r>
      <w:r w:rsidRPr="003A044E">
        <w:rPr>
          <w:rFonts w:eastAsia="Times New Roman" w:cs="Arial"/>
          <w:color w:val="000000"/>
          <w:lang w:eastAsia="bg-BG"/>
        </w:rPr>
        <w:t xml:space="preserve">А4 може потенциално да повлияе предсистемния метаболизъм на лекарствата, което може да доведе до понижени плазмените концентрации на съответните лекарства. Рифамицин натрий се </w:t>
      </w:r>
      <w:r w:rsidRPr="003A044E">
        <w:rPr>
          <w:rFonts w:eastAsia="Times New Roman" w:cs="Arial"/>
          <w:color w:val="000000"/>
          <w:lang w:eastAsia="bg-BG"/>
        </w:rPr>
        <w:lastRenderedPageBreak/>
        <w:t xml:space="preserve">освобождава в дисталните тънки черва, дебелото черво и ректума. Следователно ефикасността на лекарствата, метаболизирани от </w:t>
      </w:r>
      <w:r w:rsidRPr="003A044E">
        <w:rPr>
          <w:rFonts w:eastAsia="Times New Roman" w:cs="Arial"/>
          <w:color w:val="000000"/>
          <w:lang w:val="en-US"/>
        </w:rPr>
        <w:t xml:space="preserve">CYP3A4, </w:t>
      </w:r>
      <w:r w:rsidRPr="003A044E">
        <w:rPr>
          <w:rFonts w:eastAsia="Times New Roman" w:cs="Arial"/>
          <w:color w:val="000000"/>
          <w:lang w:eastAsia="bg-BG"/>
        </w:rPr>
        <w:t>които се абсорбират или действат локално в тези части на червата, може да се понижи от Релафалк. Има вероятност ефектите в тънките черва, основното място на абсорбция на лекарството, да бъдат ограничени.</w:t>
      </w:r>
    </w:p>
    <w:p w14:paraId="758AC8B2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19E60EA" w14:textId="10A71985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u w:val="single"/>
          <w:lang w:eastAsia="bg-BG"/>
        </w:rPr>
        <w:t xml:space="preserve">Ефекти върху субстратите на </w:t>
      </w:r>
      <w:r w:rsidRPr="003A044E">
        <w:rPr>
          <w:rFonts w:eastAsia="Times New Roman" w:cs="Arial"/>
          <w:color w:val="000000"/>
          <w:u w:val="single"/>
          <w:lang w:val="en-US"/>
        </w:rPr>
        <w:t xml:space="preserve">BSEP </w:t>
      </w:r>
      <w:r w:rsidRPr="003A044E">
        <w:rPr>
          <w:rFonts w:eastAsia="Times New Roman" w:cs="Arial"/>
          <w:color w:val="000000"/>
          <w:u w:val="single"/>
          <w:lang w:eastAsia="bg-BG"/>
        </w:rPr>
        <w:t>и ОАТР</w:t>
      </w:r>
    </w:p>
    <w:p w14:paraId="23F8BBF0" w14:textId="5468659B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 xml:space="preserve">Инхибиращ ефект на рифамицин натрий върху експортната помпа за жлъчни соли </w:t>
      </w:r>
      <w:r w:rsidRPr="003A044E">
        <w:rPr>
          <w:rFonts w:eastAsia="Times New Roman" w:cs="Arial"/>
          <w:color w:val="000000"/>
          <w:lang w:val="en-US"/>
        </w:rPr>
        <w:t>(</w:t>
      </w:r>
      <w:proofErr w:type="spellStart"/>
      <w:r w:rsidRPr="003A044E">
        <w:rPr>
          <w:rFonts w:eastAsia="Times New Roman" w:cs="Arial"/>
          <w:color w:val="000000"/>
          <w:lang w:val="en-US"/>
        </w:rPr>
        <w:t>bilesaltexportpump</w:t>
      </w:r>
      <w:proofErr w:type="spellEnd"/>
      <w:r w:rsidRPr="003A044E">
        <w:rPr>
          <w:rFonts w:eastAsia="Times New Roman" w:cs="Arial"/>
          <w:color w:val="000000"/>
          <w:lang w:val="en-US"/>
        </w:rPr>
        <w:t xml:space="preserve">, BSEP) </w:t>
      </w:r>
      <w:r w:rsidRPr="003A044E">
        <w:rPr>
          <w:rFonts w:eastAsia="Times New Roman" w:cs="Arial"/>
          <w:color w:val="000000"/>
          <w:lang w:eastAsia="bg-BG"/>
        </w:rPr>
        <w:t xml:space="preserve">и чернодробните транспортерина органични аниони </w:t>
      </w:r>
      <w:r w:rsidRPr="003A044E">
        <w:rPr>
          <w:rFonts w:eastAsia="Times New Roman" w:cs="Arial"/>
          <w:color w:val="000000"/>
          <w:lang w:val="en-US"/>
        </w:rPr>
        <w:t>(</w:t>
      </w:r>
      <w:proofErr w:type="spellStart"/>
      <w:r w:rsidRPr="003A044E">
        <w:rPr>
          <w:rFonts w:eastAsia="Times New Roman" w:cs="Arial"/>
          <w:color w:val="000000"/>
          <w:lang w:val="en-US"/>
        </w:rPr>
        <w:t>organicaniontransporters</w:t>
      </w:r>
      <w:proofErr w:type="spellEnd"/>
      <w:r w:rsidRPr="003A044E">
        <w:rPr>
          <w:rFonts w:eastAsia="Times New Roman" w:cs="Arial"/>
          <w:color w:val="000000"/>
          <w:lang w:val="en-US"/>
        </w:rPr>
        <w:t xml:space="preserve">, </w:t>
      </w:r>
      <w:r w:rsidRPr="003A044E">
        <w:rPr>
          <w:rFonts w:eastAsia="Times New Roman" w:cs="Arial"/>
          <w:color w:val="000000"/>
          <w:lang w:eastAsia="bg-BG"/>
        </w:rPr>
        <w:t xml:space="preserve">ОАТР) е наблюдаван </w:t>
      </w:r>
      <w:r w:rsidRPr="003A044E">
        <w:rPr>
          <w:rFonts w:eastAsia="Times New Roman" w:cs="Arial"/>
          <w:i/>
          <w:iCs/>
          <w:color w:val="000000"/>
          <w:lang w:val="en-US"/>
        </w:rPr>
        <w:t>in vitro.</w:t>
      </w:r>
      <w:r w:rsidRPr="003A044E">
        <w:rPr>
          <w:rFonts w:eastAsia="Times New Roman" w:cs="Arial"/>
          <w:color w:val="000000"/>
          <w:lang w:val="en-US"/>
        </w:rPr>
        <w:t xml:space="preserve"> </w:t>
      </w:r>
      <w:r w:rsidRPr="003A044E">
        <w:rPr>
          <w:rFonts w:eastAsia="Times New Roman" w:cs="Arial"/>
          <w:color w:val="000000"/>
          <w:lang w:eastAsia="bg-BG"/>
        </w:rPr>
        <w:t>Въпреки че това взаимодействие корелира с инхибиране на жлъчната екскреция на билирубин, бромсулфалеин и индоцианин след системно приложение при хора, клинично значимо инхибиране от Релафалк не се очаква поради пренебрежимата системна експозиция при пациенти с нормална чернодробна функция. Все пак, при пациенти с нарушена чернодробна функция това взаимодействие може потенциално да доведе до очаквана повишена системна експозиция.</w:t>
      </w:r>
    </w:p>
    <w:p w14:paraId="10A7CE6E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84EB23E" w14:textId="350B617D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u w:val="single"/>
          <w:lang w:eastAsia="bg-BG"/>
        </w:rPr>
        <w:t xml:space="preserve">Ефекти на </w:t>
      </w:r>
      <w:r w:rsidRPr="003A044E">
        <w:rPr>
          <w:rFonts w:eastAsia="Times New Roman" w:cs="Arial"/>
          <w:color w:val="000000"/>
          <w:u w:val="single"/>
          <w:lang w:val="en-US"/>
        </w:rPr>
        <w:t>P-</w:t>
      </w:r>
      <w:proofErr w:type="spellStart"/>
      <w:r w:rsidRPr="003A044E">
        <w:rPr>
          <w:rFonts w:eastAsia="Times New Roman" w:cs="Arial"/>
          <w:color w:val="000000"/>
          <w:u w:val="single"/>
          <w:lang w:val="en-US"/>
        </w:rPr>
        <w:t>gp</w:t>
      </w:r>
      <w:proofErr w:type="spellEnd"/>
      <w:r w:rsidRPr="003A044E">
        <w:rPr>
          <w:rFonts w:eastAsia="Times New Roman" w:cs="Arial"/>
          <w:color w:val="000000"/>
          <w:u w:val="single"/>
          <w:lang w:val="en-US"/>
        </w:rPr>
        <w:t xml:space="preserve"> </w:t>
      </w:r>
      <w:r w:rsidRPr="003A044E">
        <w:rPr>
          <w:rFonts w:eastAsia="Times New Roman" w:cs="Arial"/>
          <w:color w:val="000000"/>
          <w:u w:val="single"/>
          <w:lang w:eastAsia="bg-BG"/>
        </w:rPr>
        <w:t>и ВС</w:t>
      </w:r>
      <w:r w:rsidRPr="003A044E">
        <w:rPr>
          <w:rFonts w:eastAsia="Times New Roman" w:cs="Arial"/>
          <w:color w:val="000000"/>
          <w:u w:val="single"/>
          <w:lang w:val="en-US"/>
        </w:rPr>
        <w:t xml:space="preserve">RP </w:t>
      </w:r>
      <w:r w:rsidRPr="003A044E">
        <w:rPr>
          <w:rFonts w:eastAsia="Times New Roman" w:cs="Arial"/>
          <w:color w:val="000000"/>
          <w:u w:val="single"/>
          <w:lang w:eastAsia="bg-BG"/>
        </w:rPr>
        <w:t>инхибитори</w:t>
      </w:r>
    </w:p>
    <w:p w14:paraId="5B2761C5" w14:textId="1E18B603" w:rsidR="0091385D" w:rsidRPr="003A044E" w:rsidRDefault="003A044E" w:rsidP="003A044E">
      <w:pPr>
        <w:rPr>
          <w:rFonts w:cs="Arial"/>
        </w:rPr>
      </w:pPr>
      <w:r w:rsidRPr="003A044E">
        <w:rPr>
          <w:rFonts w:eastAsia="Times New Roman" w:cs="Arial"/>
          <w:color w:val="000000"/>
          <w:lang w:eastAsia="bg-BG"/>
        </w:rPr>
        <w:t xml:space="preserve">Потенциалът за възникване на лекарствени взаимодействия на нивото на чревните транспортни системи не е клинично оценен и не може да се изключи. Едно </w:t>
      </w:r>
      <w:r w:rsidRPr="003A044E">
        <w:rPr>
          <w:rFonts w:eastAsia="Times New Roman" w:cs="Arial"/>
          <w:i/>
          <w:iCs/>
          <w:color w:val="000000"/>
          <w:lang w:val="en-US"/>
        </w:rPr>
        <w:t>in vitro</w:t>
      </w:r>
      <w:r w:rsidRPr="003A044E">
        <w:rPr>
          <w:rFonts w:eastAsia="Times New Roman" w:cs="Arial"/>
          <w:color w:val="000000"/>
          <w:lang w:val="en-US"/>
        </w:rPr>
        <w:t xml:space="preserve"> </w:t>
      </w:r>
      <w:r w:rsidRPr="003A044E">
        <w:rPr>
          <w:rFonts w:eastAsia="Times New Roman" w:cs="Arial"/>
          <w:color w:val="000000"/>
          <w:lang w:eastAsia="bg-BG"/>
        </w:rPr>
        <w:t xml:space="preserve">проучване показва, че рифамицин е субстрат на Р-гликопротеин </w:t>
      </w:r>
      <w:r w:rsidRPr="003A044E">
        <w:rPr>
          <w:rFonts w:eastAsia="Times New Roman" w:cs="Arial"/>
          <w:color w:val="000000"/>
          <w:lang w:val="en-US"/>
        </w:rPr>
        <w:t>(P-</w:t>
      </w:r>
      <w:proofErr w:type="spellStart"/>
      <w:r w:rsidRPr="003A044E">
        <w:rPr>
          <w:rFonts w:eastAsia="Times New Roman" w:cs="Arial"/>
          <w:color w:val="000000"/>
          <w:lang w:val="en-US"/>
        </w:rPr>
        <w:t>gp</w:t>
      </w:r>
      <w:proofErr w:type="spellEnd"/>
      <w:r w:rsidRPr="003A044E">
        <w:rPr>
          <w:rFonts w:eastAsia="Times New Roman" w:cs="Arial"/>
          <w:color w:val="000000"/>
          <w:lang w:val="en-US"/>
        </w:rPr>
        <w:t xml:space="preserve">) </w:t>
      </w:r>
      <w:r w:rsidRPr="003A044E">
        <w:rPr>
          <w:rFonts w:eastAsia="Times New Roman" w:cs="Arial"/>
          <w:color w:val="000000"/>
          <w:lang w:eastAsia="bg-BG"/>
        </w:rPr>
        <w:t xml:space="preserve">и възможен субстрат на протеина на резистентност на рак на гърдата </w:t>
      </w:r>
      <w:r w:rsidRPr="003A044E">
        <w:rPr>
          <w:rFonts w:eastAsia="Times New Roman" w:cs="Arial"/>
          <w:color w:val="000000"/>
          <w:lang w:val="en-US"/>
        </w:rPr>
        <w:t>(</w:t>
      </w:r>
      <w:proofErr w:type="spellStart"/>
      <w:r w:rsidRPr="003A044E">
        <w:rPr>
          <w:rFonts w:eastAsia="Times New Roman" w:cs="Arial"/>
          <w:color w:val="000000"/>
          <w:lang w:val="en-US"/>
        </w:rPr>
        <w:t>breastcancerresistanceprotein</w:t>
      </w:r>
      <w:proofErr w:type="spellEnd"/>
      <w:r w:rsidRPr="003A044E">
        <w:rPr>
          <w:rFonts w:eastAsia="Times New Roman" w:cs="Arial"/>
          <w:color w:val="000000"/>
          <w:lang w:val="en-US"/>
        </w:rPr>
        <w:t xml:space="preserve">, BCRP), </w:t>
      </w:r>
      <w:r w:rsidRPr="003A044E">
        <w:rPr>
          <w:rFonts w:eastAsia="Times New Roman" w:cs="Arial"/>
          <w:color w:val="000000"/>
          <w:lang w:eastAsia="bg-BG"/>
        </w:rPr>
        <w:t xml:space="preserve">подобно на рифаксимин. Едновременното приложение на рифаксимин с циклоспорин, мощен инхибитор на </w:t>
      </w:r>
      <w:r w:rsidRPr="003A044E">
        <w:rPr>
          <w:rFonts w:eastAsia="Times New Roman" w:cs="Arial"/>
          <w:color w:val="000000"/>
          <w:lang w:val="en-US"/>
        </w:rPr>
        <w:t>P-</w:t>
      </w:r>
      <w:proofErr w:type="spellStart"/>
      <w:r w:rsidRPr="003A044E">
        <w:rPr>
          <w:rFonts w:eastAsia="Times New Roman" w:cs="Arial"/>
          <w:color w:val="000000"/>
          <w:lang w:val="en-US"/>
        </w:rPr>
        <w:t>gp</w:t>
      </w:r>
      <w:proofErr w:type="spellEnd"/>
      <w:r w:rsidRPr="003A044E">
        <w:rPr>
          <w:rFonts w:eastAsia="Times New Roman" w:cs="Arial"/>
          <w:color w:val="000000"/>
          <w:lang w:val="en-US"/>
        </w:rPr>
        <w:t xml:space="preserve">, </w:t>
      </w:r>
      <w:r w:rsidRPr="003A044E">
        <w:rPr>
          <w:rFonts w:eastAsia="Times New Roman" w:cs="Arial"/>
          <w:color w:val="000000"/>
          <w:lang w:eastAsia="bg-BG"/>
        </w:rPr>
        <w:t xml:space="preserve">води до съществено повишена системна експозиция на рифаксимин с неизвестна клинична значимост. Подобен ефект може да се очаква за рифамицин натрий,  когато се прилага едновременно с инхибитор на </w:t>
      </w:r>
      <w:r w:rsidRPr="003A044E">
        <w:rPr>
          <w:rFonts w:eastAsia="Times New Roman" w:cs="Arial"/>
          <w:color w:val="000000"/>
          <w:lang w:val="en-US"/>
        </w:rPr>
        <w:t>P-</w:t>
      </w:r>
      <w:proofErr w:type="spellStart"/>
      <w:r w:rsidRPr="003A044E">
        <w:rPr>
          <w:rFonts w:eastAsia="Times New Roman" w:cs="Arial"/>
          <w:color w:val="000000"/>
          <w:lang w:val="en-US"/>
        </w:rPr>
        <w:t>gp</w:t>
      </w:r>
      <w:proofErr w:type="spellEnd"/>
      <w:r w:rsidRPr="003A044E">
        <w:rPr>
          <w:rFonts w:eastAsia="Times New Roman" w:cs="Arial"/>
          <w:color w:val="000000"/>
          <w:lang w:val="en-US"/>
        </w:rPr>
        <w:t xml:space="preserve">. </w:t>
      </w:r>
      <w:r w:rsidRPr="003A044E">
        <w:rPr>
          <w:rFonts w:eastAsia="Times New Roman" w:cs="Arial"/>
          <w:color w:val="000000"/>
          <w:lang w:eastAsia="bg-BG"/>
        </w:rPr>
        <w:t xml:space="preserve">Затова се препоръчва да се внимава  когато Релафалк се прилага едновременно с мощни инхибитори на </w:t>
      </w:r>
      <w:r w:rsidRPr="003A044E">
        <w:rPr>
          <w:rFonts w:eastAsia="Times New Roman" w:cs="Arial"/>
          <w:color w:val="000000"/>
          <w:lang w:val="en-US"/>
        </w:rPr>
        <w:t>P-</w:t>
      </w:r>
      <w:proofErr w:type="spellStart"/>
      <w:r w:rsidRPr="003A044E">
        <w:rPr>
          <w:rFonts w:eastAsia="Times New Roman" w:cs="Arial"/>
          <w:color w:val="000000"/>
          <w:lang w:val="en-US"/>
        </w:rPr>
        <w:t>gp</w:t>
      </w:r>
      <w:proofErr w:type="spellEnd"/>
      <w:r w:rsidRPr="003A044E">
        <w:rPr>
          <w:rFonts w:eastAsia="Times New Roman" w:cs="Arial"/>
          <w:color w:val="000000"/>
          <w:lang w:val="en-US"/>
        </w:rPr>
        <w:t>,</w:t>
      </w:r>
      <w:r w:rsidRPr="003A044E">
        <w:rPr>
          <w:rFonts w:eastAsia="Times New Roman" w:cs="Arial"/>
          <w:color w:val="000000"/>
          <w:lang w:eastAsia="bg-BG"/>
        </w:rPr>
        <w:t xml:space="preserve"> поради потенциално значимото повишаване на абсорбцията на рифамицин натрий.</w:t>
      </w:r>
    </w:p>
    <w:p w14:paraId="0395BD2E" w14:textId="440EDD20" w:rsidR="007A2185" w:rsidRPr="003A044E" w:rsidRDefault="007A2185" w:rsidP="0091385D">
      <w:pPr>
        <w:rPr>
          <w:rFonts w:cs="Arial"/>
        </w:rPr>
      </w:pPr>
    </w:p>
    <w:p w14:paraId="52F935CD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u w:val="single"/>
          <w:lang w:eastAsia="bg-BG"/>
        </w:rPr>
        <w:t xml:space="preserve">Ефекти върху субстратите на </w:t>
      </w:r>
      <w:r w:rsidRPr="003A044E">
        <w:rPr>
          <w:rFonts w:eastAsia="Times New Roman" w:cs="Arial"/>
          <w:color w:val="000000"/>
          <w:u w:val="single"/>
          <w:lang w:val="en-US"/>
        </w:rPr>
        <w:t>P-</w:t>
      </w:r>
      <w:proofErr w:type="spellStart"/>
      <w:r w:rsidRPr="003A044E">
        <w:rPr>
          <w:rFonts w:eastAsia="Times New Roman" w:cs="Arial"/>
          <w:color w:val="000000"/>
          <w:u w:val="single"/>
          <w:lang w:val="en-US"/>
        </w:rPr>
        <w:t>gp</w:t>
      </w:r>
      <w:proofErr w:type="spellEnd"/>
      <w:r w:rsidRPr="003A044E">
        <w:rPr>
          <w:rFonts w:eastAsia="Times New Roman" w:cs="Arial"/>
          <w:color w:val="000000"/>
          <w:u w:val="single"/>
          <w:lang w:val="en-US"/>
        </w:rPr>
        <w:t xml:space="preserve"> </w:t>
      </w:r>
      <w:r w:rsidRPr="003A044E">
        <w:rPr>
          <w:rFonts w:eastAsia="Times New Roman" w:cs="Arial"/>
          <w:color w:val="000000"/>
          <w:u w:val="single"/>
          <w:lang w:eastAsia="bg-BG"/>
        </w:rPr>
        <w:t xml:space="preserve">и </w:t>
      </w:r>
      <w:r w:rsidRPr="003A044E">
        <w:rPr>
          <w:rFonts w:eastAsia="Times New Roman" w:cs="Arial"/>
          <w:color w:val="000000"/>
          <w:u w:val="single"/>
          <w:lang w:val="en-US"/>
        </w:rPr>
        <w:t>BCRP</w:t>
      </w:r>
    </w:p>
    <w:p w14:paraId="3D91D51C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 xml:space="preserve">Според </w:t>
      </w:r>
      <w:r w:rsidRPr="003A044E">
        <w:rPr>
          <w:rFonts w:eastAsia="Times New Roman" w:cs="Arial"/>
          <w:i/>
          <w:iCs/>
          <w:color w:val="000000"/>
          <w:lang w:val="en-US"/>
        </w:rPr>
        <w:t>in</w:t>
      </w:r>
      <w:r w:rsidRPr="003A044E">
        <w:rPr>
          <w:rFonts w:eastAsia="Times New Roman" w:cs="Arial"/>
          <w:i/>
          <w:iCs/>
          <w:color w:val="000000"/>
          <w:lang w:eastAsia="bg-BG"/>
        </w:rPr>
        <w:t xml:space="preserve"> </w:t>
      </w:r>
      <w:r w:rsidRPr="003A044E">
        <w:rPr>
          <w:rFonts w:eastAsia="Times New Roman" w:cs="Arial"/>
          <w:i/>
          <w:iCs/>
          <w:color w:val="000000"/>
          <w:lang w:val="en-US"/>
        </w:rPr>
        <w:t>vitro</w:t>
      </w:r>
      <w:r w:rsidRPr="003A044E">
        <w:rPr>
          <w:rFonts w:eastAsia="Times New Roman" w:cs="Arial"/>
          <w:color w:val="000000"/>
          <w:lang w:val="en-US"/>
        </w:rPr>
        <w:t xml:space="preserve"> </w:t>
      </w:r>
      <w:r w:rsidRPr="003A044E">
        <w:rPr>
          <w:rFonts w:eastAsia="Times New Roman" w:cs="Arial"/>
          <w:color w:val="000000"/>
          <w:lang w:eastAsia="bg-BG"/>
        </w:rPr>
        <w:t xml:space="preserve">данните рифамицин натрий е също и инхибитор на </w:t>
      </w:r>
      <w:r w:rsidRPr="003A044E">
        <w:rPr>
          <w:rFonts w:eastAsia="Times New Roman" w:cs="Arial"/>
          <w:color w:val="000000"/>
          <w:lang w:val="en-US"/>
        </w:rPr>
        <w:t>P-</w:t>
      </w:r>
      <w:proofErr w:type="spellStart"/>
      <w:r w:rsidRPr="003A044E">
        <w:rPr>
          <w:rFonts w:eastAsia="Times New Roman" w:cs="Arial"/>
          <w:color w:val="000000"/>
          <w:lang w:val="en-US"/>
        </w:rPr>
        <w:t>gp</w:t>
      </w:r>
      <w:proofErr w:type="spellEnd"/>
      <w:r w:rsidRPr="003A044E">
        <w:rPr>
          <w:rFonts w:eastAsia="Times New Roman" w:cs="Arial"/>
          <w:color w:val="000000"/>
          <w:lang w:val="en-US"/>
        </w:rPr>
        <w:t xml:space="preserve"> </w:t>
      </w:r>
      <w:r w:rsidRPr="003A044E">
        <w:rPr>
          <w:rFonts w:eastAsia="Times New Roman" w:cs="Arial"/>
          <w:color w:val="000000"/>
          <w:lang w:eastAsia="bg-BG"/>
        </w:rPr>
        <w:t xml:space="preserve">и </w:t>
      </w:r>
      <w:r w:rsidRPr="003A044E">
        <w:rPr>
          <w:rFonts w:eastAsia="Times New Roman" w:cs="Arial"/>
          <w:color w:val="000000"/>
          <w:lang w:val="en-US"/>
        </w:rPr>
        <w:t xml:space="preserve">BCRP </w:t>
      </w:r>
      <w:r w:rsidRPr="003A044E">
        <w:rPr>
          <w:rFonts w:eastAsia="Times New Roman" w:cs="Arial"/>
          <w:color w:val="000000"/>
          <w:lang w:eastAsia="bg-BG"/>
        </w:rPr>
        <w:t xml:space="preserve">и може да доведе до повишаване на плазмените концентрации на лекарства, които са субстрати на един или и на двата мембранни транспортери. Препоръчва се повишено внимание при съпътстващо приложение на рифамицин натрий и лекарства, които са субстрати на </w:t>
      </w:r>
      <w:r w:rsidRPr="003A044E">
        <w:rPr>
          <w:rFonts w:eastAsia="Times New Roman" w:cs="Arial"/>
          <w:color w:val="000000"/>
          <w:lang w:val="en-US"/>
        </w:rPr>
        <w:t>P-</w:t>
      </w:r>
      <w:proofErr w:type="spellStart"/>
      <w:r w:rsidRPr="003A044E">
        <w:rPr>
          <w:rFonts w:eastAsia="Times New Roman" w:cs="Arial"/>
          <w:color w:val="000000"/>
          <w:lang w:val="en-US"/>
        </w:rPr>
        <w:t>gp</w:t>
      </w:r>
      <w:proofErr w:type="spellEnd"/>
      <w:r w:rsidRPr="003A044E">
        <w:rPr>
          <w:rFonts w:eastAsia="Times New Roman" w:cs="Arial"/>
          <w:color w:val="000000"/>
          <w:lang w:val="en-US"/>
        </w:rPr>
        <w:t xml:space="preserve"> </w:t>
      </w:r>
      <w:r w:rsidRPr="003A044E">
        <w:rPr>
          <w:rFonts w:eastAsia="Times New Roman" w:cs="Arial"/>
          <w:color w:val="000000"/>
          <w:lang w:eastAsia="bg-BG"/>
        </w:rPr>
        <w:t xml:space="preserve">и/или </w:t>
      </w:r>
      <w:r w:rsidRPr="003A044E">
        <w:rPr>
          <w:rFonts w:eastAsia="Times New Roman" w:cs="Arial"/>
          <w:color w:val="000000"/>
          <w:lang w:val="en-US"/>
        </w:rPr>
        <w:t>BCRP,</w:t>
      </w:r>
    </w:p>
    <w:p w14:paraId="31346108" w14:textId="77777777" w:rsidR="003A044E" w:rsidRPr="003A044E" w:rsidRDefault="003A044E" w:rsidP="003A044E">
      <w:pPr>
        <w:rPr>
          <w:rFonts w:eastAsia="Times New Roman" w:cs="Arial"/>
          <w:color w:val="000000"/>
          <w:lang w:eastAsia="bg-BG"/>
        </w:rPr>
      </w:pPr>
    </w:p>
    <w:p w14:paraId="0945EB19" w14:textId="659F740F" w:rsidR="003A044E" w:rsidRPr="003A044E" w:rsidRDefault="003A044E" w:rsidP="003A044E">
      <w:pPr>
        <w:rPr>
          <w:rFonts w:cs="Arial"/>
        </w:rPr>
      </w:pPr>
      <w:r w:rsidRPr="003A044E">
        <w:rPr>
          <w:rFonts w:eastAsia="Times New Roman" w:cs="Arial"/>
          <w:color w:val="000000"/>
          <w:lang w:eastAsia="bg-BG"/>
        </w:rPr>
        <w:t>Не са провеждани проучвания за лекарствени взаимодействия, изследващи съпътстващия прием на рифамицин натрий и други лекарства, които често се използват за лечение на диария на пътешественика (напр. лоперамид и активен въглен). Пациентите трябва да се съветват да приемат Релафалк най-малко 2 часа след приложение на активен въглен.</w:t>
      </w:r>
    </w:p>
    <w:p w14:paraId="1A33063B" w14:textId="77777777" w:rsidR="003A044E" w:rsidRPr="0091385D" w:rsidRDefault="003A044E" w:rsidP="0091385D"/>
    <w:p w14:paraId="394A7584" w14:textId="10DEA5B3" w:rsidR="004F498A" w:rsidRDefault="002C50EE" w:rsidP="004A448E">
      <w:pPr>
        <w:pStyle w:val="Heading2"/>
      </w:pPr>
      <w:r>
        <w:t>4.6. Фертилитет, бременност и кърмене</w:t>
      </w:r>
    </w:p>
    <w:p w14:paraId="4887836B" w14:textId="0528FAED" w:rsidR="0091385D" w:rsidRDefault="0091385D" w:rsidP="0091385D"/>
    <w:p w14:paraId="01B87388" w14:textId="77777777" w:rsidR="003A044E" w:rsidRPr="003A044E" w:rsidRDefault="003A044E" w:rsidP="003A044E">
      <w:pPr>
        <w:pStyle w:val="Heading3"/>
        <w:rPr>
          <w:rFonts w:eastAsia="Times New Roman"/>
          <w:u w:val="single"/>
          <w:lang w:eastAsia="bg-BG"/>
        </w:rPr>
      </w:pPr>
      <w:r w:rsidRPr="003A044E">
        <w:rPr>
          <w:rFonts w:eastAsia="Times New Roman"/>
          <w:u w:val="single"/>
          <w:lang w:eastAsia="bg-BG"/>
        </w:rPr>
        <w:t>Бременност</w:t>
      </w:r>
    </w:p>
    <w:p w14:paraId="1C34CA5A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Липсват или има ограничени данни от употребата на рифамицин натрий при бременни жени Проучванията при животни показват висцерални и скелетни вариации при фетуса (вж. точка 5.3).</w:t>
      </w:r>
    </w:p>
    <w:p w14:paraId="30439D0A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lastRenderedPageBreak/>
        <w:t>Като предпазна мярка, Релафалк не трябва да се прилага по време на бременност.</w:t>
      </w:r>
    </w:p>
    <w:p w14:paraId="3619886D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CEC57E9" w14:textId="27CB1CB8" w:rsidR="003A044E" w:rsidRPr="003A044E" w:rsidRDefault="003A044E" w:rsidP="003A044E">
      <w:pPr>
        <w:pStyle w:val="Heading3"/>
        <w:rPr>
          <w:rFonts w:eastAsia="Times New Roman"/>
          <w:u w:val="single"/>
          <w:lang w:eastAsia="bg-BG"/>
        </w:rPr>
      </w:pPr>
      <w:r w:rsidRPr="003A044E">
        <w:rPr>
          <w:rFonts w:eastAsia="Times New Roman"/>
          <w:u w:val="single"/>
          <w:lang w:eastAsia="bg-BG"/>
        </w:rPr>
        <w:t>Кърмене</w:t>
      </w:r>
    </w:p>
    <w:p w14:paraId="01F53FDE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Не е известно дали рифамицин натрий се екскретира в кърмата.</w:t>
      </w:r>
    </w:p>
    <w:p w14:paraId="389FE04C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Не може да се изключи риск за кърмачето.</w:t>
      </w:r>
    </w:p>
    <w:p w14:paraId="686C8360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Трябва да се вземе решение дали да се преустанови кърменето или да се не се приложи терапията с Релафалк, като се вземат предвид ползата от кърменето за детето и ползата от терапията за жената.</w:t>
      </w:r>
    </w:p>
    <w:p w14:paraId="1187DF01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5F8DA76" w14:textId="0C937F50" w:rsidR="003A044E" w:rsidRPr="003A044E" w:rsidRDefault="003A044E" w:rsidP="003A044E">
      <w:pPr>
        <w:pStyle w:val="Heading3"/>
        <w:rPr>
          <w:rFonts w:eastAsia="Times New Roman"/>
          <w:u w:val="single"/>
          <w:lang w:eastAsia="bg-BG"/>
        </w:rPr>
      </w:pPr>
      <w:r w:rsidRPr="003A044E">
        <w:rPr>
          <w:rFonts w:eastAsia="Times New Roman"/>
          <w:u w:val="single"/>
          <w:lang w:eastAsia="bg-BG"/>
        </w:rPr>
        <w:t>Фертилитет</w:t>
      </w:r>
    </w:p>
    <w:p w14:paraId="102F0D07" w14:textId="56E19983" w:rsidR="007A2185" w:rsidRPr="003A044E" w:rsidRDefault="003A044E" w:rsidP="003A044E">
      <w:pPr>
        <w:rPr>
          <w:rFonts w:cs="Arial"/>
        </w:rPr>
      </w:pPr>
      <w:r w:rsidRPr="003A044E">
        <w:rPr>
          <w:rFonts w:eastAsia="Times New Roman" w:cs="Arial"/>
          <w:color w:val="000000"/>
          <w:lang w:eastAsia="bg-BG"/>
        </w:rPr>
        <w:t>Липсва информация за ефектите на рифамицин натрий върху фертилитета при мъже и жени.</w:t>
      </w:r>
    </w:p>
    <w:p w14:paraId="3E8789C3" w14:textId="77777777" w:rsidR="0091385D" w:rsidRPr="0091385D" w:rsidRDefault="0091385D" w:rsidP="0091385D"/>
    <w:p w14:paraId="064DF1DE" w14:textId="70BCC16C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455464C" w14:textId="78136F1E" w:rsidR="0091385D" w:rsidRDefault="0091385D" w:rsidP="0091385D"/>
    <w:p w14:paraId="1C9ABB96" w14:textId="2C0E70EA" w:rsidR="007A2185" w:rsidRDefault="003A044E" w:rsidP="0091385D">
      <w:r>
        <w:t>Не са провеждани проучвания за ефектите върху способността за шофиране и работа с машини. Трябва да се обърне внимание на възникването на замайване и умора във връзка със способността за шофиране и работа с машини.</w:t>
      </w:r>
    </w:p>
    <w:p w14:paraId="35801A15" w14:textId="77777777" w:rsidR="0091385D" w:rsidRPr="0091385D" w:rsidRDefault="0091385D" w:rsidP="0091385D"/>
    <w:p w14:paraId="4838F52A" w14:textId="058F0B9C" w:rsidR="0091385D" w:rsidRDefault="002C50EE" w:rsidP="007A2185">
      <w:pPr>
        <w:pStyle w:val="Heading2"/>
      </w:pPr>
      <w:r>
        <w:t>4.8. Нежелани лекарствени реакции</w:t>
      </w:r>
    </w:p>
    <w:p w14:paraId="76E0B7A2" w14:textId="5BBD2581" w:rsidR="005B0F27" w:rsidRDefault="005B0F27" w:rsidP="0091385D"/>
    <w:p w14:paraId="0254AACC" w14:textId="492762A7" w:rsidR="007A2185" w:rsidRDefault="003A044E" w:rsidP="0091385D">
      <w:r>
        <w:t>В клинични проучвания с рифамицин натрий за лечение на диария на пътешественика са наблюдавани следните нежелани реакции, считани за най-малко възможно свързани с рифамицин натрий:</w:t>
      </w:r>
    </w:p>
    <w:p w14:paraId="07008E38" w14:textId="3B5C9CE3" w:rsidR="003A044E" w:rsidRDefault="003A044E" w:rsidP="009138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A044E" w14:paraId="6667B03A" w14:textId="77777777" w:rsidTr="003A044E">
        <w:tc>
          <w:tcPr>
            <w:tcW w:w="3116" w:type="dxa"/>
          </w:tcPr>
          <w:p w14:paraId="257D34FB" w14:textId="77777777" w:rsidR="003A044E" w:rsidRDefault="003A044E" w:rsidP="003A044E"/>
          <w:p w14:paraId="1AEBB1B3" w14:textId="4F6652DB" w:rsidR="003A044E" w:rsidRDefault="003A044E" w:rsidP="003A044E">
            <w:r>
              <w:rPr>
                <w:b/>
                <w:bCs/>
              </w:rPr>
              <w:t>Снстемо-органеи клас</w:t>
            </w:r>
          </w:p>
        </w:tc>
        <w:tc>
          <w:tcPr>
            <w:tcW w:w="3117" w:type="dxa"/>
          </w:tcPr>
          <w:p w14:paraId="5F0CDFCA" w14:textId="238574F3" w:rsidR="003A044E" w:rsidRDefault="003A044E" w:rsidP="003A044E">
            <w:r>
              <w:rPr>
                <w:b/>
                <w:bCs/>
              </w:rPr>
              <w:t>Чести (≥1/100 до &lt;1/10)</w:t>
            </w:r>
          </w:p>
        </w:tc>
        <w:tc>
          <w:tcPr>
            <w:tcW w:w="3117" w:type="dxa"/>
          </w:tcPr>
          <w:p w14:paraId="0BF23854" w14:textId="51E45C80" w:rsidR="003A044E" w:rsidRDefault="003A044E" w:rsidP="003A044E">
            <w:r>
              <w:rPr>
                <w:b/>
                <w:bCs/>
              </w:rPr>
              <w:t>Нечести (≥1/1 000 до &lt;1/100)</w:t>
            </w:r>
          </w:p>
        </w:tc>
      </w:tr>
      <w:tr w:rsidR="003A044E" w14:paraId="673C992C" w14:textId="77777777" w:rsidTr="003A044E">
        <w:tc>
          <w:tcPr>
            <w:tcW w:w="3116" w:type="dxa"/>
          </w:tcPr>
          <w:p w14:paraId="32E08660" w14:textId="40BD8C9E" w:rsidR="003A044E" w:rsidRDefault="003A044E" w:rsidP="003A044E">
            <w:r>
              <w:rPr>
                <w:i/>
                <w:iCs/>
              </w:rPr>
              <w:t>Нарушения на метаболизма и храненето</w:t>
            </w:r>
          </w:p>
        </w:tc>
        <w:tc>
          <w:tcPr>
            <w:tcW w:w="3117" w:type="dxa"/>
          </w:tcPr>
          <w:p w14:paraId="6A8FDA87" w14:textId="77777777" w:rsidR="003A044E" w:rsidRDefault="003A044E" w:rsidP="003A044E"/>
        </w:tc>
        <w:tc>
          <w:tcPr>
            <w:tcW w:w="3117" w:type="dxa"/>
          </w:tcPr>
          <w:p w14:paraId="2BBF5C17" w14:textId="42C85560" w:rsidR="003A044E" w:rsidRDefault="003A044E" w:rsidP="003A044E">
            <w:r>
              <w:t>Понижен апетит</w:t>
            </w:r>
          </w:p>
        </w:tc>
      </w:tr>
      <w:tr w:rsidR="003A044E" w14:paraId="6E2682C0" w14:textId="77777777" w:rsidTr="003A044E">
        <w:tc>
          <w:tcPr>
            <w:tcW w:w="3116" w:type="dxa"/>
          </w:tcPr>
          <w:p w14:paraId="1ACD1D61" w14:textId="1A8024C3" w:rsidR="003A044E" w:rsidRDefault="003A044E" w:rsidP="003A044E">
            <w:r>
              <w:rPr>
                <w:i/>
                <w:iCs/>
              </w:rPr>
              <w:t>Психични нарушения</w:t>
            </w:r>
          </w:p>
        </w:tc>
        <w:tc>
          <w:tcPr>
            <w:tcW w:w="3117" w:type="dxa"/>
          </w:tcPr>
          <w:p w14:paraId="49ECD766" w14:textId="77777777" w:rsidR="003A044E" w:rsidRDefault="003A044E" w:rsidP="003A044E"/>
        </w:tc>
        <w:tc>
          <w:tcPr>
            <w:tcW w:w="3117" w:type="dxa"/>
          </w:tcPr>
          <w:p w14:paraId="1E1030A2" w14:textId="410EFAFF" w:rsidR="003A044E" w:rsidRDefault="003A044E" w:rsidP="003A044E">
            <w:r>
              <w:t>Безпокойство</w:t>
            </w:r>
          </w:p>
        </w:tc>
      </w:tr>
      <w:tr w:rsidR="003A044E" w14:paraId="47CB2B92" w14:textId="77777777" w:rsidTr="003A044E">
        <w:tc>
          <w:tcPr>
            <w:tcW w:w="3116" w:type="dxa"/>
          </w:tcPr>
          <w:p w14:paraId="56730007" w14:textId="76BFDE47" w:rsidR="003A044E" w:rsidRDefault="003A044E" w:rsidP="003A044E">
            <w:r>
              <w:rPr>
                <w:i/>
                <w:iCs/>
              </w:rPr>
              <w:t>Нарушения на нервната система</w:t>
            </w:r>
          </w:p>
        </w:tc>
        <w:tc>
          <w:tcPr>
            <w:tcW w:w="3117" w:type="dxa"/>
          </w:tcPr>
          <w:p w14:paraId="14D4E530" w14:textId="39BF3B3C" w:rsidR="003A044E" w:rsidRDefault="003A044E" w:rsidP="003A044E">
            <w:r>
              <w:t>Главоболие</w:t>
            </w:r>
          </w:p>
        </w:tc>
        <w:tc>
          <w:tcPr>
            <w:tcW w:w="3117" w:type="dxa"/>
          </w:tcPr>
          <w:p w14:paraId="46691158" w14:textId="77777777" w:rsidR="003A044E" w:rsidRDefault="003A044E" w:rsidP="003A044E"/>
        </w:tc>
      </w:tr>
      <w:tr w:rsidR="003A044E" w14:paraId="476B2558" w14:textId="77777777" w:rsidTr="003A044E">
        <w:tc>
          <w:tcPr>
            <w:tcW w:w="3116" w:type="dxa"/>
          </w:tcPr>
          <w:p w14:paraId="58534845" w14:textId="785046EF" w:rsidR="003A044E" w:rsidRDefault="003A044E" w:rsidP="003A044E">
            <w:r>
              <w:rPr>
                <w:i/>
                <w:iCs/>
              </w:rPr>
              <w:t>Нарушения на ухото и лабиринта</w:t>
            </w:r>
          </w:p>
        </w:tc>
        <w:tc>
          <w:tcPr>
            <w:tcW w:w="3117" w:type="dxa"/>
          </w:tcPr>
          <w:p w14:paraId="0E085CCE" w14:textId="77777777" w:rsidR="003A044E" w:rsidRDefault="003A044E" w:rsidP="003A044E"/>
        </w:tc>
        <w:tc>
          <w:tcPr>
            <w:tcW w:w="3117" w:type="dxa"/>
          </w:tcPr>
          <w:p w14:paraId="71DD073A" w14:textId="3ABE2C5F" w:rsidR="003A044E" w:rsidRDefault="003A044E" w:rsidP="003A044E">
            <w:r>
              <w:t>Световъртеж</w:t>
            </w:r>
          </w:p>
        </w:tc>
      </w:tr>
      <w:tr w:rsidR="003A044E" w14:paraId="66EB8F22" w14:textId="77777777" w:rsidTr="004B69D0">
        <w:tc>
          <w:tcPr>
            <w:tcW w:w="3116" w:type="dxa"/>
          </w:tcPr>
          <w:p w14:paraId="748482BF" w14:textId="23575C7A" w:rsidR="003A044E" w:rsidRDefault="003A044E" w:rsidP="003A044E">
            <w:r>
              <w:rPr>
                <w:i/>
                <w:iCs/>
              </w:rPr>
              <w:t>Стомашно- чревни нарушения</w:t>
            </w:r>
          </w:p>
        </w:tc>
        <w:tc>
          <w:tcPr>
            <w:tcW w:w="3117" w:type="dxa"/>
          </w:tcPr>
          <w:p w14:paraId="1A98DB2A" w14:textId="698370B6" w:rsidR="003A044E" w:rsidRDefault="003A044E" w:rsidP="003A044E">
            <w:r>
              <w:t>Диария</w:t>
            </w:r>
          </w:p>
        </w:tc>
        <w:tc>
          <w:tcPr>
            <w:tcW w:w="3117" w:type="dxa"/>
            <w:vAlign w:val="bottom"/>
          </w:tcPr>
          <w:p w14:paraId="751CA4CF" w14:textId="7287DF64" w:rsidR="003A044E" w:rsidRDefault="003A044E" w:rsidP="003A044E">
            <w:r>
              <w:t>Крампи и спазми в корема, подуване на корема, болка в горната част на корема, болезненост в корема, афтозно разраняване, констипация, неотложни позиви за дефекация, сухота в устата, диспепсия, оригване, флатуленция, хиперхлорхидрия, гадене</w:t>
            </w:r>
          </w:p>
        </w:tc>
      </w:tr>
      <w:tr w:rsidR="003A044E" w14:paraId="74501B61" w14:textId="77777777" w:rsidTr="004B69D0">
        <w:tc>
          <w:tcPr>
            <w:tcW w:w="3116" w:type="dxa"/>
          </w:tcPr>
          <w:p w14:paraId="75DF07F4" w14:textId="6191E108" w:rsidR="003A044E" w:rsidRDefault="003A044E" w:rsidP="003A044E">
            <w:r>
              <w:rPr>
                <w:i/>
                <w:iCs/>
              </w:rPr>
              <w:t>Нарушения на кожата и подкожната тъкан</w:t>
            </w:r>
          </w:p>
        </w:tc>
        <w:tc>
          <w:tcPr>
            <w:tcW w:w="3117" w:type="dxa"/>
          </w:tcPr>
          <w:p w14:paraId="08411E78" w14:textId="77777777" w:rsidR="003A044E" w:rsidRDefault="003A044E" w:rsidP="003A044E"/>
        </w:tc>
        <w:tc>
          <w:tcPr>
            <w:tcW w:w="3117" w:type="dxa"/>
            <w:vAlign w:val="bottom"/>
          </w:tcPr>
          <w:p w14:paraId="453A9AC4" w14:textId="3472EAB7" w:rsidR="003A044E" w:rsidRDefault="003A044E" w:rsidP="003A044E">
            <w:r>
              <w:t>Алопеция, хиперхидроза, нощно изпотяване, пруритус (генерализиран)</w:t>
            </w:r>
          </w:p>
        </w:tc>
      </w:tr>
      <w:tr w:rsidR="003A044E" w14:paraId="4AEF7573" w14:textId="77777777" w:rsidTr="004B69D0">
        <w:tc>
          <w:tcPr>
            <w:tcW w:w="3116" w:type="dxa"/>
          </w:tcPr>
          <w:p w14:paraId="403751B3" w14:textId="37A33D28" w:rsidR="003A044E" w:rsidRDefault="003A044E" w:rsidP="003A044E">
            <w:r>
              <w:rPr>
                <w:i/>
                <w:iCs/>
              </w:rPr>
              <w:lastRenderedPageBreak/>
              <w:t>Нарушения на мускулно- скелетната система и съединителната тъкан</w:t>
            </w:r>
          </w:p>
        </w:tc>
        <w:tc>
          <w:tcPr>
            <w:tcW w:w="3117" w:type="dxa"/>
          </w:tcPr>
          <w:p w14:paraId="25460470" w14:textId="77777777" w:rsidR="003A044E" w:rsidRDefault="003A044E" w:rsidP="003A044E"/>
        </w:tc>
        <w:tc>
          <w:tcPr>
            <w:tcW w:w="3117" w:type="dxa"/>
            <w:vAlign w:val="bottom"/>
          </w:tcPr>
          <w:p w14:paraId="0A251050" w14:textId="0C6DF6BC" w:rsidR="003A044E" w:rsidRDefault="003A044E" w:rsidP="003A044E">
            <w:r>
              <w:t>Артралгия, болка в гърба, болка в слабините, мускулни спазми, мускулна слабост, миалгия, болка в крайниците</w:t>
            </w:r>
          </w:p>
        </w:tc>
      </w:tr>
      <w:tr w:rsidR="003A044E" w14:paraId="1BD742C1" w14:textId="77777777" w:rsidTr="004B69D0">
        <w:tc>
          <w:tcPr>
            <w:tcW w:w="3116" w:type="dxa"/>
            <w:vAlign w:val="bottom"/>
          </w:tcPr>
          <w:p w14:paraId="5F7992F1" w14:textId="719F3D8C" w:rsidR="003A044E" w:rsidRDefault="003A044E" w:rsidP="003A044E">
            <w:r>
              <w:rPr>
                <w:i/>
                <w:iCs/>
              </w:rPr>
              <w:t>Нарушения на бъбреците и пикочните пътища</w:t>
            </w:r>
          </w:p>
        </w:tc>
        <w:tc>
          <w:tcPr>
            <w:tcW w:w="3117" w:type="dxa"/>
          </w:tcPr>
          <w:p w14:paraId="56072368" w14:textId="77777777" w:rsidR="003A044E" w:rsidRDefault="003A044E" w:rsidP="003A044E"/>
        </w:tc>
        <w:tc>
          <w:tcPr>
            <w:tcW w:w="3117" w:type="dxa"/>
            <w:vAlign w:val="center"/>
          </w:tcPr>
          <w:p w14:paraId="6AE63049" w14:textId="050906FE" w:rsidR="003A044E" w:rsidRDefault="003A044E" w:rsidP="003A044E">
            <w:r>
              <w:t>Хроматурия, дизурия, олигурия</w:t>
            </w:r>
          </w:p>
        </w:tc>
      </w:tr>
      <w:tr w:rsidR="003A044E" w14:paraId="76B08156" w14:textId="77777777" w:rsidTr="004B69D0">
        <w:tc>
          <w:tcPr>
            <w:tcW w:w="3116" w:type="dxa"/>
            <w:vAlign w:val="bottom"/>
          </w:tcPr>
          <w:p w14:paraId="2C289EB0" w14:textId="465DFDBD" w:rsidR="003A044E" w:rsidRDefault="003A044E" w:rsidP="003A044E">
            <w:r>
              <w:rPr>
                <w:i/>
                <w:iCs/>
              </w:rPr>
              <w:t>Общи нарушения и ефекти на мястото на приложение</w:t>
            </w:r>
          </w:p>
        </w:tc>
        <w:tc>
          <w:tcPr>
            <w:tcW w:w="3117" w:type="dxa"/>
          </w:tcPr>
          <w:p w14:paraId="2D5C7EBC" w14:textId="77777777" w:rsidR="003A044E" w:rsidRDefault="003A044E" w:rsidP="003A044E"/>
        </w:tc>
        <w:tc>
          <w:tcPr>
            <w:tcW w:w="3117" w:type="dxa"/>
            <w:vAlign w:val="center"/>
          </w:tcPr>
          <w:p w14:paraId="5076BFFF" w14:textId="1EDC0FBB" w:rsidR="003A044E" w:rsidRDefault="003A044E" w:rsidP="003A044E">
            <w:r>
              <w:t>Астения, болка в гърдите, общо неразположение, болка, пирексия</w:t>
            </w:r>
          </w:p>
        </w:tc>
      </w:tr>
      <w:tr w:rsidR="003A044E" w14:paraId="599D9853" w14:textId="77777777" w:rsidTr="004B69D0">
        <w:tc>
          <w:tcPr>
            <w:tcW w:w="3116" w:type="dxa"/>
          </w:tcPr>
          <w:p w14:paraId="6C5EA911" w14:textId="7B544B20" w:rsidR="003A044E" w:rsidRDefault="003A044E" w:rsidP="003A044E">
            <w:r>
              <w:rPr>
                <w:i/>
                <w:iCs/>
              </w:rPr>
              <w:t>Изследвания</w:t>
            </w:r>
          </w:p>
        </w:tc>
        <w:tc>
          <w:tcPr>
            <w:tcW w:w="3117" w:type="dxa"/>
          </w:tcPr>
          <w:p w14:paraId="0688CF84" w14:textId="77777777" w:rsidR="003A044E" w:rsidRDefault="003A044E" w:rsidP="003A044E"/>
        </w:tc>
        <w:tc>
          <w:tcPr>
            <w:tcW w:w="3117" w:type="dxa"/>
            <w:vAlign w:val="bottom"/>
          </w:tcPr>
          <w:p w14:paraId="498DA271" w14:textId="6BD314CA" w:rsidR="003A044E" w:rsidRDefault="003A044E" w:rsidP="003A044E">
            <w:r>
              <w:t>Повишена АЛАТ, повишен креатинин в кръвта, повишена урея в кръвта</w:t>
            </w:r>
          </w:p>
        </w:tc>
      </w:tr>
    </w:tbl>
    <w:p w14:paraId="6AFB8030" w14:textId="0DE988BD" w:rsidR="003A044E" w:rsidRDefault="003A044E" w:rsidP="0091385D"/>
    <w:p w14:paraId="532F734E" w14:textId="3077DD7F" w:rsidR="003A044E" w:rsidRDefault="003A044E" w:rsidP="0091385D">
      <w:r>
        <w:t>Следните известни нежелани реакции на терапевтичния клас (антибактериални средства от класа на рифамицин) могат да възникнат и при Релафалк (честота ≈ с неизвестна честота):</w:t>
      </w:r>
    </w:p>
    <w:p w14:paraId="01792822" w14:textId="20054F69" w:rsidR="003A044E" w:rsidRDefault="003A044E" w:rsidP="009138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044E" w14:paraId="7956CF02" w14:textId="77777777" w:rsidTr="00B97F35">
        <w:tc>
          <w:tcPr>
            <w:tcW w:w="4675" w:type="dxa"/>
            <w:vAlign w:val="bottom"/>
          </w:tcPr>
          <w:p w14:paraId="3CE82CB6" w14:textId="575D39C8" w:rsidR="003A044E" w:rsidRDefault="003A044E" w:rsidP="003A044E">
            <w:r>
              <w:rPr>
                <w:b/>
                <w:bCs/>
              </w:rPr>
              <w:t>Системо-органен клас</w:t>
            </w:r>
          </w:p>
        </w:tc>
        <w:tc>
          <w:tcPr>
            <w:tcW w:w="4675" w:type="dxa"/>
            <w:vAlign w:val="bottom"/>
          </w:tcPr>
          <w:p w14:paraId="3208093A" w14:textId="2E7E8433" w:rsidR="003A044E" w:rsidRDefault="003A044E" w:rsidP="003A044E">
            <w:r>
              <w:rPr>
                <w:b/>
                <w:bCs/>
              </w:rPr>
              <w:t>Нежелани реакции</w:t>
            </w:r>
          </w:p>
        </w:tc>
      </w:tr>
      <w:tr w:rsidR="003A044E" w14:paraId="28CA5076" w14:textId="77777777" w:rsidTr="00B97F35">
        <w:tc>
          <w:tcPr>
            <w:tcW w:w="4675" w:type="dxa"/>
            <w:vAlign w:val="bottom"/>
          </w:tcPr>
          <w:p w14:paraId="125070DF" w14:textId="46A26A80" w:rsidR="003A044E" w:rsidRDefault="003A044E" w:rsidP="003A044E">
            <w:r>
              <w:rPr>
                <w:i/>
                <w:iCs/>
              </w:rPr>
              <w:t>Инфекции и инфестации</w:t>
            </w:r>
          </w:p>
        </w:tc>
        <w:tc>
          <w:tcPr>
            <w:tcW w:w="4675" w:type="dxa"/>
            <w:vAlign w:val="bottom"/>
          </w:tcPr>
          <w:p w14:paraId="3306D947" w14:textId="5FDC7F66" w:rsidR="003A044E" w:rsidRDefault="003A044E" w:rsidP="003A044E">
            <w:r>
              <w:t>Клостридиални инфекции, кандидоза</w:t>
            </w:r>
          </w:p>
        </w:tc>
      </w:tr>
      <w:tr w:rsidR="003A044E" w14:paraId="069052E3" w14:textId="77777777" w:rsidTr="00B97F35">
        <w:tc>
          <w:tcPr>
            <w:tcW w:w="4675" w:type="dxa"/>
            <w:vAlign w:val="bottom"/>
          </w:tcPr>
          <w:p w14:paraId="747D8645" w14:textId="29105029" w:rsidR="003A044E" w:rsidRDefault="003A044E" w:rsidP="003A044E">
            <w:r>
              <w:rPr>
                <w:i/>
                <w:iCs/>
              </w:rPr>
              <w:t>Нарушения на кръвта и лимфната система</w:t>
            </w:r>
          </w:p>
        </w:tc>
        <w:tc>
          <w:tcPr>
            <w:tcW w:w="4675" w:type="dxa"/>
            <w:vAlign w:val="center"/>
          </w:tcPr>
          <w:p w14:paraId="0E95093E" w14:textId="71E00225" w:rsidR="003A044E" w:rsidRDefault="003A044E" w:rsidP="003A044E">
            <w:r>
              <w:t>Тромбоцитопения</w:t>
            </w:r>
          </w:p>
        </w:tc>
      </w:tr>
      <w:tr w:rsidR="003A044E" w14:paraId="1F88F597" w14:textId="77777777" w:rsidTr="00B97F35">
        <w:tc>
          <w:tcPr>
            <w:tcW w:w="4675" w:type="dxa"/>
            <w:vAlign w:val="bottom"/>
          </w:tcPr>
          <w:p w14:paraId="69C88D41" w14:textId="39BF29B2" w:rsidR="003A044E" w:rsidRDefault="003A044E" w:rsidP="003A044E">
            <w:r>
              <w:rPr>
                <w:i/>
                <w:iCs/>
              </w:rPr>
              <w:t>Нарушения на имунната система</w:t>
            </w:r>
          </w:p>
        </w:tc>
        <w:tc>
          <w:tcPr>
            <w:tcW w:w="4675" w:type="dxa"/>
            <w:vAlign w:val="bottom"/>
          </w:tcPr>
          <w:p w14:paraId="4DDFD8B2" w14:textId="75AF6D00" w:rsidR="003A044E" w:rsidRDefault="003A044E" w:rsidP="003A044E">
            <w:r>
              <w:t>Анафилактични реакции, свръхчувствителност</w:t>
            </w:r>
          </w:p>
        </w:tc>
      </w:tr>
      <w:tr w:rsidR="003A044E" w14:paraId="4288B3FE" w14:textId="77777777" w:rsidTr="00B97F35">
        <w:tc>
          <w:tcPr>
            <w:tcW w:w="4675" w:type="dxa"/>
            <w:vAlign w:val="bottom"/>
          </w:tcPr>
          <w:p w14:paraId="64425BEC" w14:textId="65F582F2" w:rsidR="003A044E" w:rsidRDefault="003A044E" w:rsidP="003A044E">
            <w:r>
              <w:rPr>
                <w:i/>
                <w:iCs/>
              </w:rPr>
              <w:t>Нарушения на кожата и подкожната тъкан</w:t>
            </w:r>
          </w:p>
        </w:tc>
        <w:tc>
          <w:tcPr>
            <w:tcW w:w="4675" w:type="dxa"/>
            <w:vAlign w:val="bottom"/>
          </w:tcPr>
          <w:p w14:paraId="60CD642B" w14:textId="16AD7820" w:rsidR="003A044E" w:rsidRDefault="003A044E" w:rsidP="003A044E">
            <w:r>
              <w:t>Сърбящ обрив, дерматит (ексфолиативен), ангиоедем</w:t>
            </w:r>
          </w:p>
        </w:tc>
      </w:tr>
      <w:tr w:rsidR="003A044E" w14:paraId="5D5C6076" w14:textId="77777777" w:rsidTr="00B97F35">
        <w:tc>
          <w:tcPr>
            <w:tcW w:w="4675" w:type="dxa"/>
            <w:vAlign w:val="bottom"/>
          </w:tcPr>
          <w:p w14:paraId="116DE01B" w14:textId="17E620EB" w:rsidR="003A044E" w:rsidRDefault="003A044E" w:rsidP="003A044E">
            <w:r>
              <w:rPr>
                <w:i/>
                <w:iCs/>
              </w:rPr>
              <w:t>Общи нарушения и ефекти на мястото на приложение</w:t>
            </w:r>
          </w:p>
        </w:tc>
        <w:tc>
          <w:tcPr>
            <w:tcW w:w="4675" w:type="dxa"/>
          </w:tcPr>
          <w:p w14:paraId="3F3B3490" w14:textId="7289A12C" w:rsidR="003A044E" w:rsidRDefault="003A044E" w:rsidP="003A044E">
            <w:r>
              <w:t>Периферен едем</w:t>
            </w:r>
          </w:p>
        </w:tc>
      </w:tr>
    </w:tbl>
    <w:p w14:paraId="06C42553" w14:textId="77777777" w:rsidR="003A044E" w:rsidRDefault="003A044E" w:rsidP="0091385D"/>
    <w:p w14:paraId="5328F455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65324AAD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</w:t>
      </w:r>
    </w:p>
    <w:p w14:paraId="5567BAF8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изисква да съобщават всяка подозирана нежелана реакция чрез:</w:t>
      </w:r>
    </w:p>
    <w:p w14:paraId="077C9A0F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Изпълнителнаагенцияполекарствата</w:t>
      </w:r>
    </w:p>
    <w:p w14:paraId="522EDC62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ул. „Дамян</w:t>
      </w:r>
      <w:r w:rsidRPr="003A044E">
        <w:rPr>
          <w:rFonts w:eastAsia="Times New Roman" w:cs="Arial"/>
          <w:color w:val="000000"/>
          <w:lang w:val="en-US"/>
        </w:rPr>
        <w:t xml:space="preserve"> </w:t>
      </w:r>
      <w:r w:rsidRPr="003A044E">
        <w:rPr>
          <w:rFonts w:eastAsia="Times New Roman" w:cs="Arial"/>
          <w:color w:val="000000"/>
          <w:lang w:eastAsia="bg-BG"/>
        </w:rPr>
        <w:t>Груев” № 8</w:t>
      </w:r>
    </w:p>
    <w:p w14:paraId="6AC97883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1303 София</w:t>
      </w:r>
    </w:p>
    <w:p w14:paraId="4E211C6B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Тел.:+35928903417</w:t>
      </w:r>
    </w:p>
    <w:p w14:paraId="443BC107" w14:textId="674C2530" w:rsidR="005B0F27" w:rsidRPr="003A044E" w:rsidRDefault="003A044E" w:rsidP="003A044E">
      <w:pPr>
        <w:rPr>
          <w:rFonts w:cs="Arial"/>
        </w:rPr>
      </w:pPr>
      <w:r w:rsidRPr="003A044E">
        <w:rPr>
          <w:rFonts w:eastAsia="Times New Roman" w:cs="Arial"/>
          <w:color w:val="000000"/>
          <w:lang w:eastAsia="bg-BG"/>
        </w:rPr>
        <w:t xml:space="preserve">уебсайт: </w:t>
      </w:r>
      <w:hyperlink r:id="rId5" w:history="1">
        <w:r w:rsidRPr="003A044E">
          <w:rPr>
            <w:rFonts w:eastAsia="Times New Roman" w:cs="Arial"/>
            <w:color w:val="000000"/>
            <w:lang w:val="en-US"/>
          </w:rPr>
          <w:t>www.bda.bg</w:t>
        </w:r>
      </w:hyperlink>
      <w:bookmarkStart w:id="1" w:name="_GoBack"/>
      <w:bookmarkEnd w:id="1"/>
    </w:p>
    <w:p w14:paraId="2099D99D" w14:textId="77777777" w:rsidR="003A044E" w:rsidRPr="0091385D" w:rsidRDefault="003A044E" w:rsidP="0091385D"/>
    <w:p w14:paraId="0A023CE0" w14:textId="13F87CFD" w:rsidR="00CF77F7" w:rsidRDefault="002C50EE" w:rsidP="004A448E">
      <w:pPr>
        <w:pStyle w:val="Heading2"/>
      </w:pPr>
      <w:r>
        <w:t>4.9. Предозиране</w:t>
      </w:r>
    </w:p>
    <w:p w14:paraId="3EDFC3FC" w14:textId="771B3817" w:rsidR="0091385D" w:rsidRDefault="0091385D" w:rsidP="0091385D"/>
    <w:p w14:paraId="75EC0066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Няма съобщения за случаи на предозиране.</w:t>
      </w:r>
    </w:p>
    <w:p w14:paraId="38C84543" w14:textId="77777777" w:rsidR="003A044E" w:rsidRPr="003A044E" w:rsidRDefault="003A044E" w:rsidP="003A044E">
      <w:pPr>
        <w:rPr>
          <w:rFonts w:eastAsia="Times New Roman" w:cs="Arial"/>
          <w:color w:val="000000"/>
          <w:lang w:eastAsia="bg-BG"/>
        </w:rPr>
      </w:pPr>
    </w:p>
    <w:p w14:paraId="6A43B8F3" w14:textId="7882461A" w:rsidR="007A2185" w:rsidRPr="003A044E" w:rsidRDefault="003A044E" w:rsidP="003A044E">
      <w:pPr>
        <w:rPr>
          <w:rFonts w:cs="Arial"/>
        </w:rPr>
      </w:pPr>
      <w:r w:rsidRPr="003A044E">
        <w:rPr>
          <w:rFonts w:eastAsia="Times New Roman" w:cs="Arial"/>
          <w:color w:val="000000"/>
          <w:lang w:eastAsia="bg-BG"/>
        </w:rPr>
        <w:t xml:space="preserve">В клинични проучвания при пациенти, страдащи от диария на пътешественика, дози до 1 200 </w:t>
      </w:r>
      <w:r w:rsidRPr="003A044E">
        <w:rPr>
          <w:rFonts w:eastAsia="Times New Roman" w:cs="Arial"/>
          <w:color w:val="000000"/>
          <w:lang w:val="en-US"/>
        </w:rPr>
        <w:t>mg</w:t>
      </w:r>
      <w:r w:rsidRPr="003A044E">
        <w:rPr>
          <w:rFonts w:eastAsia="Times New Roman" w:cs="Arial"/>
          <w:color w:val="000000"/>
          <w:lang w:eastAsia="bg-BG"/>
        </w:rPr>
        <w:t>/ден се понасят добре, без каквито и да било тежки клинични симптоми.</w:t>
      </w:r>
    </w:p>
    <w:p w14:paraId="48FF1584" w14:textId="77777777" w:rsidR="0091385D" w:rsidRPr="0091385D" w:rsidRDefault="0091385D" w:rsidP="0091385D"/>
    <w:p w14:paraId="02081B24" w14:textId="7CE94171" w:rsidR="00395555" w:rsidRDefault="002C50EE" w:rsidP="008A6AF2">
      <w:pPr>
        <w:pStyle w:val="Heading1"/>
      </w:pPr>
      <w:r>
        <w:lastRenderedPageBreak/>
        <w:t>5. ФАРМАКОЛОГИЧНИ СВОЙСТВА</w:t>
      </w:r>
    </w:p>
    <w:p w14:paraId="1B8079C0" w14:textId="77777777" w:rsidR="0091385D" w:rsidRPr="0091385D" w:rsidRDefault="0091385D" w:rsidP="0091385D"/>
    <w:p w14:paraId="32B6DE66" w14:textId="2ACB6B3B" w:rsidR="00CF77F7" w:rsidRDefault="002C50EE" w:rsidP="004A448E">
      <w:pPr>
        <w:pStyle w:val="Heading2"/>
      </w:pPr>
      <w:r>
        <w:t>5.1. Фармакодинамични свойства</w:t>
      </w:r>
    </w:p>
    <w:p w14:paraId="58DD7DEA" w14:textId="73F11A6B" w:rsidR="0091385D" w:rsidRDefault="0091385D" w:rsidP="0091385D"/>
    <w:p w14:paraId="5EE491EB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Фармакотерапевтична група: Антидиарийни средства, интестинални противовъзпалителни/ антиинфскциозни средства, антибиотици, АТС код: А07АА13</w:t>
      </w:r>
    </w:p>
    <w:p w14:paraId="7880F67D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1BEBE70" w14:textId="2C05E0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0D9C8EE8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Рифамицин натрий е антибактериално лекарство от класа на рифамицин, което се свързва необратимо с бета субединицата на бактериалния ензим ДНК-зависима РНК полимераза и следователно инхибира бактериалния РНК синтез.</w:t>
      </w:r>
    </w:p>
    <w:p w14:paraId="4A2300F2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Рифамицин натрий има широк антибактериален спектър срещу повечето Грам-положителни и Грам-отрицателни, аеробни и анаеробни бактерии, отговорни за чревните инфекции.</w:t>
      </w:r>
    </w:p>
    <w:p w14:paraId="3BE82A44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Поради много ниската абсорбция от стомашно-чревния тракт, рифамицин натрий действа локално в чревния лумен и не е клинично ефективен срещу инвазивен ентерит.</w:t>
      </w:r>
    </w:p>
    <w:p w14:paraId="56CA5AAF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4AA5130" w14:textId="196F1D79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u w:val="single"/>
          <w:lang w:eastAsia="bg-BG"/>
        </w:rPr>
        <w:t>Механизъм нарезистентност</w:t>
      </w:r>
    </w:p>
    <w:p w14:paraId="24F97A27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Основният механизъм на развитие на резистентност към рифамицин натрий изглежда включва мутация в гена гроВ, кодиращ бактериалната РНК полимераза.</w:t>
      </w:r>
    </w:p>
    <w:p w14:paraId="06983D2A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1CFEA3C" w14:textId="499F7D5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Честотата на резистентнитесубпопулации между бактериите, изолирани от пациенти с диария на пътешественика след лечение с рифамицин натрий, е много ниска.</w:t>
      </w:r>
    </w:p>
    <w:p w14:paraId="506B90D1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059BEE2" w14:textId="12A1489E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u w:val="single"/>
          <w:lang w:eastAsia="bg-BG"/>
        </w:rPr>
        <w:t>Чувствителност</w:t>
      </w:r>
    </w:p>
    <w:p w14:paraId="3DFCE20E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 xml:space="preserve">Рифамицин натрий е антибактериално средство, което не се абсорбира, </w:t>
      </w:r>
      <w:r w:rsidRPr="003A044E">
        <w:rPr>
          <w:rFonts w:eastAsia="Times New Roman" w:cs="Arial"/>
          <w:i/>
          <w:iCs/>
          <w:color w:val="000000"/>
          <w:lang w:val="en-US"/>
        </w:rPr>
        <w:t>In vitro</w:t>
      </w:r>
      <w:r w:rsidRPr="003A044E">
        <w:rPr>
          <w:rFonts w:eastAsia="Times New Roman" w:cs="Arial"/>
          <w:color w:val="000000"/>
          <w:lang w:val="en-US"/>
        </w:rPr>
        <w:t xml:space="preserve"> </w:t>
      </w:r>
      <w:r w:rsidRPr="003A044E">
        <w:rPr>
          <w:rFonts w:eastAsia="Times New Roman" w:cs="Arial"/>
          <w:color w:val="000000"/>
          <w:lang w:eastAsia="bg-BG"/>
        </w:rPr>
        <w:t>изследване на чувствителността не може да се използва за надеждно установяване на чувствителността или резистентността на бактериите към рифамицин. Към момента няма достатъчно данни в подкрепа на установяването на клиничен праг за изследване на чувствителността.</w:t>
      </w:r>
    </w:p>
    <w:p w14:paraId="2AEE4A33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97919F7" w14:textId="538831E0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u w:val="single"/>
          <w:lang w:eastAsia="bg-BG"/>
        </w:rPr>
        <w:t>Клинична ефикасност и безопасност</w:t>
      </w:r>
    </w:p>
    <w:p w14:paraId="25E5DB45" w14:textId="77777777" w:rsidR="003A044E" w:rsidRPr="003A044E" w:rsidRDefault="003A044E" w:rsidP="003A044E">
      <w:pPr>
        <w:spacing w:line="240" w:lineRule="auto"/>
        <w:rPr>
          <w:rFonts w:eastAsia="Times New Roman" w:cs="Arial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 xml:space="preserve">Клиничните проучвания при пациенти с диария на пътешественика показват ефикасността на рифамицин натрий за намаляване на продължителността на диарията на пътешественика, както и за микробиологична ерадикация на ентеропатогените, свързани с диарията на пътешественика, като например ЕТЕС (ентеротоксигенниЕ. </w:t>
      </w:r>
      <w:r w:rsidRPr="003A044E">
        <w:rPr>
          <w:rFonts w:eastAsia="Times New Roman" w:cs="Arial"/>
          <w:i/>
          <w:iCs/>
          <w:color w:val="000000"/>
          <w:lang w:eastAsia="bg-BG"/>
        </w:rPr>
        <w:t>со</w:t>
      </w:r>
      <w:r w:rsidRPr="003A044E">
        <w:rPr>
          <w:rFonts w:eastAsia="Times New Roman" w:cs="Arial"/>
          <w:i/>
          <w:iCs/>
          <w:color w:val="000000"/>
          <w:lang w:val="en-US"/>
        </w:rPr>
        <w:t>li</w:t>
      </w:r>
      <w:r w:rsidRPr="003A044E">
        <w:rPr>
          <w:rFonts w:eastAsia="Times New Roman" w:cs="Arial"/>
          <w:i/>
          <w:iCs/>
          <w:color w:val="000000"/>
          <w:lang w:eastAsia="bg-BG"/>
        </w:rPr>
        <w:t>)</w:t>
      </w:r>
      <w:r w:rsidRPr="003A044E">
        <w:rPr>
          <w:rFonts w:eastAsia="Times New Roman" w:cs="Arial"/>
          <w:color w:val="000000"/>
          <w:lang w:eastAsia="bg-BG"/>
        </w:rPr>
        <w:t xml:space="preserve"> или ЕАЕС (ентероагрегиращиЕ. </w:t>
      </w:r>
      <w:proofErr w:type="gramStart"/>
      <w:r w:rsidRPr="003A044E">
        <w:rPr>
          <w:rFonts w:eastAsia="Times New Roman" w:cs="Arial"/>
          <w:i/>
          <w:iCs/>
          <w:color w:val="000000"/>
          <w:lang w:val="en-US"/>
        </w:rPr>
        <w:t>coli</w:t>
      </w:r>
      <w:proofErr w:type="gramEnd"/>
      <w:r w:rsidRPr="003A044E">
        <w:rPr>
          <w:rFonts w:eastAsia="Times New Roman" w:cs="Arial"/>
          <w:i/>
          <w:iCs/>
          <w:color w:val="000000"/>
          <w:lang w:val="en-US"/>
        </w:rPr>
        <w:t>).</w:t>
      </w:r>
    </w:p>
    <w:p w14:paraId="7DCD998A" w14:textId="77777777" w:rsidR="003A044E" w:rsidRPr="003A044E" w:rsidRDefault="003A044E" w:rsidP="003A044E">
      <w:pPr>
        <w:rPr>
          <w:rFonts w:eastAsia="Times New Roman" w:cs="Arial"/>
          <w:color w:val="000000"/>
          <w:lang w:eastAsia="bg-BG"/>
        </w:rPr>
      </w:pPr>
    </w:p>
    <w:p w14:paraId="038F692B" w14:textId="067D21A2" w:rsidR="007A2185" w:rsidRPr="003A044E" w:rsidRDefault="003A044E" w:rsidP="003A044E">
      <w:pPr>
        <w:rPr>
          <w:rFonts w:eastAsia="Times New Roman" w:cs="Arial"/>
          <w:color w:val="000000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В двете рандомизирани, двойно-слепи основни проучвания са включени 1 099 международни пътешественици на възраст от 18 до 87 години с диария на пътешественика. Диарията на пътешественика е дефинирана като най-малко три неоформени изпражнения в рамките на 24 часа, придружени от най-малко един умерен до тежък съпътстващ симптом като гадене, повръщане, газове/флатуленция, ректалнитенезми, неотложни позиви за дефекация и болка или спазми в корема, без клинични признаци на инвазивен ентерит, като повишена температура или лъскави кървави изпражненията. Основните резултати за ефикасност са представени в следната таблица:</w:t>
      </w:r>
    </w:p>
    <w:p w14:paraId="09800006" w14:textId="0E8D9430" w:rsidR="003A044E" w:rsidRDefault="003A044E" w:rsidP="003A044E">
      <w:pPr>
        <w:rPr>
          <w:rFonts w:ascii="Times New Roman" w:eastAsia="Times New Roman" w:hAnsi="Times New Roman" w:cs="Times New Roman"/>
          <w:color w:val="000000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853"/>
        <w:gridCol w:w="1841"/>
        <w:gridCol w:w="1853"/>
        <w:gridCol w:w="1997"/>
      </w:tblGrid>
      <w:tr w:rsidR="003A044E" w14:paraId="397C4E1F" w14:textId="77777777" w:rsidTr="003A044E">
        <w:tc>
          <w:tcPr>
            <w:tcW w:w="1806" w:type="dxa"/>
            <w:vMerge w:val="restart"/>
          </w:tcPr>
          <w:p w14:paraId="59BDB170" w14:textId="77777777" w:rsidR="003A044E" w:rsidRDefault="003A044E" w:rsidP="003A044E"/>
        </w:tc>
        <w:tc>
          <w:tcPr>
            <w:tcW w:w="3694" w:type="dxa"/>
            <w:gridSpan w:val="2"/>
          </w:tcPr>
          <w:p w14:paraId="6B62C1A7" w14:textId="02CFE654" w:rsidR="003A044E" w:rsidRDefault="003A044E" w:rsidP="003A044E">
            <w:r>
              <w:rPr>
                <w:b/>
                <w:bCs/>
              </w:rPr>
              <w:t>Плацебо-контролирано проучване</w:t>
            </w:r>
          </w:p>
        </w:tc>
        <w:tc>
          <w:tcPr>
            <w:tcW w:w="3850" w:type="dxa"/>
            <w:gridSpan w:val="2"/>
          </w:tcPr>
          <w:p w14:paraId="529BAE58" w14:textId="7CC3D823" w:rsidR="003A044E" w:rsidRDefault="003A044E" w:rsidP="003A044E">
            <w:r>
              <w:rPr>
                <w:b/>
                <w:bCs/>
              </w:rPr>
              <w:t>Стандартно-контролирано проучване</w:t>
            </w:r>
          </w:p>
        </w:tc>
      </w:tr>
      <w:tr w:rsidR="003A044E" w14:paraId="2BD3D0F7" w14:textId="77777777" w:rsidTr="003A044E">
        <w:tc>
          <w:tcPr>
            <w:tcW w:w="1806" w:type="dxa"/>
            <w:vMerge/>
          </w:tcPr>
          <w:p w14:paraId="70CDC12B" w14:textId="77777777" w:rsidR="003A044E" w:rsidRDefault="003A044E" w:rsidP="003A044E"/>
        </w:tc>
        <w:tc>
          <w:tcPr>
            <w:tcW w:w="1853" w:type="dxa"/>
          </w:tcPr>
          <w:p w14:paraId="20787A85" w14:textId="7FD43AFC" w:rsidR="003A044E" w:rsidRDefault="003A044E" w:rsidP="003A044E">
            <w:r>
              <w:t>Рифамицин натрий (</w:t>
            </w:r>
            <w:r>
              <w:rPr>
                <w:lang w:val="en-US"/>
              </w:rPr>
              <w:t>n=</w:t>
            </w:r>
            <w:r>
              <w:t>199)</w:t>
            </w:r>
          </w:p>
        </w:tc>
        <w:tc>
          <w:tcPr>
            <w:tcW w:w="1841" w:type="dxa"/>
          </w:tcPr>
          <w:p w14:paraId="0BE7D7DA" w14:textId="77777777" w:rsidR="003A044E" w:rsidRDefault="003A044E" w:rsidP="003A044E">
            <w:r>
              <w:t>Плацебо</w:t>
            </w:r>
          </w:p>
          <w:p w14:paraId="4901095F" w14:textId="585074E0" w:rsidR="003A044E" w:rsidRDefault="003A044E" w:rsidP="003A044E">
            <w:r>
              <w:t>(</w:t>
            </w:r>
            <w:r>
              <w:rPr>
                <w:lang w:val="en-US"/>
              </w:rPr>
              <w:t>n</w:t>
            </w:r>
            <w:r>
              <w:t xml:space="preserve"> = 65)</w:t>
            </w:r>
          </w:p>
        </w:tc>
        <w:tc>
          <w:tcPr>
            <w:tcW w:w="1853" w:type="dxa"/>
          </w:tcPr>
          <w:p w14:paraId="47D15F2C" w14:textId="21A0956F" w:rsidR="003A044E" w:rsidRDefault="003A044E" w:rsidP="003A044E">
            <w:r>
              <w:t>Рифамицин натрий (</w:t>
            </w:r>
            <w:r>
              <w:rPr>
                <w:lang w:val="en-US"/>
              </w:rPr>
              <w:t>n</w:t>
            </w:r>
            <w:r>
              <w:t xml:space="preserve"> = 420)</w:t>
            </w:r>
          </w:p>
        </w:tc>
        <w:tc>
          <w:tcPr>
            <w:tcW w:w="1997" w:type="dxa"/>
          </w:tcPr>
          <w:p w14:paraId="463CF6C5" w14:textId="289197EC" w:rsidR="003A044E" w:rsidRDefault="003A044E" w:rsidP="003A044E">
            <w:r>
              <w:t>Ципрофлоксацин (</w:t>
            </w:r>
            <w:r>
              <w:rPr>
                <w:lang w:val="en-US"/>
              </w:rPr>
              <w:t>n</w:t>
            </w:r>
            <w:r>
              <w:t xml:space="preserve"> =415)</w:t>
            </w:r>
          </w:p>
        </w:tc>
      </w:tr>
      <w:tr w:rsidR="003A044E" w14:paraId="47334FF0" w14:textId="77777777" w:rsidTr="003A044E">
        <w:tc>
          <w:tcPr>
            <w:tcW w:w="1806" w:type="dxa"/>
          </w:tcPr>
          <w:p w14:paraId="78044EB2" w14:textId="7A6E7229" w:rsidR="003A044E" w:rsidRDefault="003A044E" w:rsidP="003A044E">
            <w:r>
              <w:rPr>
                <w:lang w:val="en-US"/>
              </w:rPr>
              <w:t xml:space="preserve">TLUS* </w:t>
            </w:r>
            <w:r>
              <w:t>(медиана)</w:t>
            </w:r>
          </w:p>
        </w:tc>
        <w:tc>
          <w:tcPr>
            <w:tcW w:w="1853" w:type="dxa"/>
          </w:tcPr>
          <w:p w14:paraId="584C00FE" w14:textId="747DEEFB" w:rsidR="003A044E" w:rsidRDefault="003A044E" w:rsidP="003A044E">
            <w:r>
              <w:t>46,0 часа</w:t>
            </w:r>
          </w:p>
        </w:tc>
        <w:tc>
          <w:tcPr>
            <w:tcW w:w="1841" w:type="dxa"/>
          </w:tcPr>
          <w:p w14:paraId="76CEF3B3" w14:textId="1E460082" w:rsidR="003A044E" w:rsidRDefault="003A044E" w:rsidP="003A044E">
            <w:r>
              <w:t>68,0 часа</w:t>
            </w:r>
          </w:p>
        </w:tc>
        <w:tc>
          <w:tcPr>
            <w:tcW w:w="1853" w:type="dxa"/>
          </w:tcPr>
          <w:p w14:paraId="7C681BA6" w14:textId="7E8E2F4C" w:rsidR="003A044E" w:rsidRDefault="003A044E" w:rsidP="003A044E">
            <w:r>
              <w:t>44,3 часа</w:t>
            </w:r>
          </w:p>
        </w:tc>
        <w:tc>
          <w:tcPr>
            <w:tcW w:w="1997" w:type="dxa"/>
          </w:tcPr>
          <w:p w14:paraId="40F9B8CC" w14:textId="2FB98007" w:rsidR="003A044E" w:rsidRDefault="003A044E" w:rsidP="003A044E">
            <w:r>
              <w:t>40,3 часа</w:t>
            </w:r>
          </w:p>
        </w:tc>
      </w:tr>
      <w:tr w:rsidR="003A044E" w14:paraId="254133B1" w14:textId="77777777" w:rsidTr="003A044E">
        <w:tc>
          <w:tcPr>
            <w:tcW w:w="1806" w:type="dxa"/>
          </w:tcPr>
          <w:p w14:paraId="7A1E8ECB" w14:textId="77777777" w:rsidR="003A044E" w:rsidRDefault="003A044E" w:rsidP="003A044E">
            <w:r>
              <w:t>Честата на клинично излекуване</w:t>
            </w:r>
            <w:r>
              <w:rPr>
                <w:vertAlign w:val="superscript"/>
              </w:rPr>
              <w:t>#</w:t>
            </w:r>
          </w:p>
          <w:p w14:paraId="0159045A" w14:textId="77777777" w:rsidR="003A044E" w:rsidRDefault="003A044E" w:rsidP="003A044E">
            <w:r>
              <w:t>(%)</w:t>
            </w:r>
          </w:p>
          <w:p w14:paraId="168E7E43" w14:textId="4F0894E3" w:rsidR="003A044E" w:rsidRDefault="003A044E" w:rsidP="003A044E">
            <w:r>
              <w:tab/>
            </w:r>
          </w:p>
        </w:tc>
        <w:tc>
          <w:tcPr>
            <w:tcW w:w="1853" w:type="dxa"/>
          </w:tcPr>
          <w:p w14:paraId="738E7C2C" w14:textId="7A716B79" w:rsidR="003A044E" w:rsidRDefault="003A044E" w:rsidP="003A044E">
            <w:r>
              <w:t>81,4%</w:t>
            </w:r>
          </w:p>
        </w:tc>
        <w:tc>
          <w:tcPr>
            <w:tcW w:w="1841" w:type="dxa"/>
          </w:tcPr>
          <w:p w14:paraId="3C3E87CA" w14:textId="6C35067A" w:rsidR="003A044E" w:rsidRDefault="003A044E" w:rsidP="003A044E">
            <w:r>
              <w:t>56,9%</w:t>
            </w:r>
          </w:p>
        </w:tc>
        <w:tc>
          <w:tcPr>
            <w:tcW w:w="1853" w:type="dxa"/>
          </w:tcPr>
          <w:p w14:paraId="45EC2820" w14:textId="49466A89" w:rsidR="003A044E" w:rsidRDefault="003A044E" w:rsidP="003A044E">
            <w:r>
              <w:t>85,0%</w:t>
            </w:r>
          </w:p>
        </w:tc>
        <w:tc>
          <w:tcPr>
            <w:tcW w:w="1997" w:type="dxa"/>
          </w:tcPr>
          <w:p w14:paraId="0FCC2201" w14:textId="2D71D91F" w:rsidR="003A044E" w:rsidRDefault="003A044E" w:rsidP="003A044E">
            <w:r>
              <w:t>84,8%</w:t>
            </w:r>
          </w:p>
        </w:tc>
      </w:tr>
    </w:tbl>
    <w:p w14:paraId="687ABD24" w14:textId="77777777" w:rsidR="003A044E" w:rsidRDefault="003A044E" w:rsidP="003A044E"/>
    <w:p w14:paraId="03BCA905" w14:textId="77777777" w:rsidR="003A044E" w:rsidRPr="003A044E" w:rsidRDefault="003A044E" w:rsidP="003A04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 xml:space="preserve">* </w:t>
      </w:r>
      <w:r w:rsidRPr="003A044E">
        <w:rPr>
          <w:rFonts w:eastAsia="Times New Roman" w:cs="Arial"/>
          <w:color w:val="000000"/>
          <w:lang w:val="en-US"/>
        </w:rPr>
        <w:t xml:space="preserve">TLUS: </w:t>
      </w:r>
      <w:proofErr w:type="spellStart"/>
      <w:r w:rsidRPr="003A044E">
        <w:rPr>
          <w:rFonts w:eastAsia="Times New Roman" w:cs="Arial"/>
          <w:color w:val="000000"/>
          <w:lang w:val="en-US"/>
        </w:rPr>
        <w:t>timetothelastunformedstool</w:t>
      </w:r>
      <w:proofErr w:type="spellEnd"/>
      <w:r w:rsidRPr="003A044E">
        <w:rPr>
          <w:rFonts w:eastAsia="Times New Roman" w:cs="Arial"/>
          <w:color w:val="000000"/>
          <w:lang w:val="en-US"/>
        </w:rPr>
        <w:t xml:space="preserve"> </w:t>
      </w:r>
      <w:r w:rsidRPr="003A044E">
        <w:rPr>
          <w:rFonts w:eastAsia="Times New Roman" w:cs="Arial"/>
          <w:color w:val="000000"/>
          <w:lang w:eastAsia="bg-BG"/>
        </w:rPr>
        <w:t>(време до последните неоформени изпражнения).</w:t>
      </w:r>
    </w:p>
    <w:p w14:paraId="77ACC794" w14:textId="77777777" w:rsidR="003A044E" w:rsidRPr="003A044E" w:rsidRDefault="003A044E" w:rsidP="003A04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# Клинично излекуване: 24-часов период без клинични симптоми, с изключение на лека флатуленция, без повишена температура, без воднисти изпражнения и не повече от 2 меки изпражнения ИЛИ 48-часов период без изпражнения или само оформени изпражнения и липса на повишена температура, със или без симптоми на чревна инфекция.</w:t>
      </w:r>
    </w:p>
    <w:p w14:paraId="3E81DF89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A7183C2" w14:textId="1FE20FB9" w:rsidR="003A044E" w:rsidRPr="003A044E" w:rsidRDefault="003A044E" w:rsidP="003A04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За информация относно наблюдаваните нежелани реакции вижте точка 4.8.</w:t>
      </w:r>
    </w:p>
    <w:p w14:paraId="3DF58C7F" w14:textId="77777777" w:rsidR="003A044E" w:rsidRPr="003A044E" w:rsidRDefault="003A044E" w:rsidP="003A044E">
      <w:pPr>
        <w:rPr>
          <w:rFonts w:eastAsia="Times New Roman" w:cs="Arial"/>
          <w:color w:val="000000"/>
          <w:lang w:eastAsia="bg-BG"/>
        </w:rPr>
      </w:pPr>
    </w:p>
    <w:p w14:paraId="36152471" w14:textId="17694E82" w:rsidR="0091385D" w:rsidRPr="003A044E" w:rsidRDefault="003A044E" w:rsidP="003A044E">
      <w:pPr>
        <w:rPr>
          <w:rFonts w:cs="Arial"/>
        </w:rPr>
      </w:pPr>
      <w:r w:rsidRPr="003A044E">
        <w:rPr>
          <w:rFonts w:eastAsia="Times New Roman" w:cs="Arial"/>
          <w:color w:val="000000"/>
          <w:lang w:eastAsia="bg-BG"/>
        </w:rPr>
        <w:t>Липсва информация за ефекта на Релафалк върху чревната флора.</w:t>
      </w:r>
    </w:p>
    <w:p w14:paraId="355E4370" w14:textId="77777777" w:rsidR="003A044E" w:rsidRPr="0091385D" w:rsidRDefault="003A044E" w:rsidP="0091385D"/>
    <w:p w14:paraId="5031193D" w14:textId="408B9A83" w:rsidR="0091385D" w:rsidRDefault="002C50EE" w:rsidP="007A2185">
      <w:pPr>
        <w:pStyle w:val="Heading2"/>
      </w:pPr>
      <w:r>
        <w:t>5.2. Фармакокинетични свойства</w:t>
      </w:r>
    </w:p>
    <w:p w14:paraId="46B35D05" w14:textId="6A0462F4" w:rsidR="007A2185" w:rsidRDefault="007A2185" w:rsidP="007A2185"/>
    <w:p w14:paraId="50798A2D" w14:textId="77777777" w:rsidR="003A044E" w:rsidRPr="003A044E" w:rsidRDefault="003A044E" w:rsidP="003A044E">
      <w:pPr>
        <w:pStyle w:val="Heading3"/>
        <w:rPr>
          <w:rFonts w:eastAsia="Times New Roman"/>
          <w:u w:val="single"/>
          <w:lang w:eastAsia="bg-BG"/>
        </w:rPr>
      </w:pPr>
      <w:bookmarkStart w:id="2" w:name="bookmark0"/>
      <w:bookmarkEnd w:id="2"/>
      <w:r w:rsidRPr="003A044E">
        <w:rPr>
          <w:rFonts w:eastAsia="Times New Roman"/>
          <w:u w:val="single"/>
          <w:lang w:eastAsia="bg-BG"/>
        </w:rPr>
        <w:t>Абсорбция</w:t>
      </w:r>
    </w:p>
    <w:p w14:paraId="61B6B0AB" w14:textId="77777777" w:rsidR="003A044E" w:rsidRPr="003A044E" w:rsidRDefault="003A044E" w:rsidP="003A04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 xml:space="preserve">След приложение на еднократни дози от 400 </w:t>
      </w:r>
      <w:r w:rsidRPr="003A044E">
        <w:rPr>
          <w:rFonts w:eastAsia="Times New Roman" w:cs="Arial"/>
          <w:color w:val="000000"/>
          <w:lang w:val="en-US"/>
        </w:rPr>
        <w:t xml:space="preserve">mg </w:t>
      </w:r>
      <w:r w:rsidRPr="003A044E">
        <w:rPr>
          <w:rFonts w:eastAsia="Times New Roman" w:cs="Arial"/>
          <w:color w:val="000000"/>
          <w:lang w:eastAsia="bg-BG"/>
        </w:rPr>
        <w:t xml:space="preserve">Релафалк при здрави доброволци мъже и жени в състояние на гладно и след нахранване, рифамицин натрий над долната граница за количествено определяне (2 </w:t>
      </w:r>
      <w:r w:rsidRPr="003A044E">
        <w:rPr>
          <w:rFonts w:eastAsia="Times New Roman" w:cs="Arial"/>
          <w:color w:val="000000"/>
          <w:lang w:val="en-US"/>
        </w:rPr>
        <w:t xml:space="preserve">ng/ml) </w:t>
      </w:r>
      <w:r w:rsidRPr="003A044E">
        <w:rPr>
          <w:rFonts w:eastAsia="Times New Roman" w:cs="Arial"/>
          <w:color w:val="000000"/>
          <w:lang w:eastAsia="bg-BG"/>
        </w:rPr>
        <w:t>е открит само в няколко плазмени проби и не е могло да бъдат проведени фармакокинетични анализи.</w:t>
      </w:r>
    </w:p>
    <w:p w14:paraId="38A48589" w14:textId="77777777" w:rsidR="003A044E" w:rsidRPr="003A044E" w:rsidRDefault="003A044E" w:rsidP="003A04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Абсолютната бионаличност, изчислена от фракцията на пероралната доза, екскретирана в урината, в сравнение с интравенозно приложение на рифамицин натрий, е само 0,04%. Проучването потвърждава, че абсорбцията на рифамицин натрий след еднократно приложение на Релафалк е пренебрежима в състояние на гладно и след нахранване при здрави доброволци. Слабата абсорбция на рифамицин натрий допълнително се понижава от лекарствената форма на лекарствения продукт, която освобождава активното вещество едва в дебелото черво.</w:t>
      </w:r>
    </w:p>
    <w:p w14:paraId="70359DF0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AA3A473" w14:textId="71EEC62D" w:rsidR="003A044E" w:rsidRPr="003A044E" w:rsidRDefault="003A044E" w:rsidP="003A044E">
      <w:pPr>
        <w:pStyle w:val="Heading3"/>
        <w:rPr>
          <w:rFonts w:eastAsia="Times New Roman"/>
          <w:u w:val="single"/>
          <w:lang w:eastAsia="bg-BG"/>
        </w:rPr>
      </w:pPr>
      <w:r w:rsidRPr="003A044E">
        <w:rPr>
          <w:rFonts w:eastAsia="Times New Roman"/>
          <w:u w:val="single"/>
          <w:lang w:eastAsia="bg-BG"/>
        </w:rPr>
        <w:t>Разпределение</w:t>
      </w:r>
    </w:p>
    <w:p w14:paraId="12E894CA" w14:textId="77777777" w:rsidR="003A044E" w:rsidRPr="003A044E" w:rsidRDefault="003A044E" w:rsidP="003A04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Тъй като рифамицин натрий, освободен от Релафалк, практически не се абсорбира, той остава почти изцяло в лумена на червото.</w:t>
      </w:r>
    </w:p>
    <w:p w14:paraId="0EED77FB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FA0C805" w14:textId="53F8E81D" w:rsidR="003A044E" w:rsidRPr="003A044E" w:rsidRDefault="003A044E" w:rsidP="003A044E">
      <w:pPr>
        <w:pStyle w:val="Heading3"/>
        <w:rPr>
          <w:rFonts w:eastAsia="Times New Roman"/>
          <w:u w:val="single"/>
          <w:lang w:eastAsia="bg-BG"/>
        </w:rPr>
      </w:pPr>
      <w:r w:rsidRPr="003A044E">
        <w:rPr>
          <w:rFonts w:eastAsia="Times New Roman"/>
          <w:u w:val="single"/>
          <w:lang w:eastAsia="bg-BG"/>
        </w:rPr>
        <w:t>Биотрансформация</w:t>
      </w:r>
    </w:p>
    <w:p w14:paraId="56266253" w14:textId="77777777" w:rsidR="003A044E" w:rsidRPr="003A044E" w:rsidRDefault="003A044E" w:rsidP="003A04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Няма индикации за съответна биотрансформация на рифамицин натрий.</w:t>
      </w:r>
    </w:p>
    <w:p w14:paraId="467545BF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996E365" w14:textId="47208AAF" w:rsidR="003A044E" w:rsidRPr="003A044E" w:rsidRDefault="003A044E" w:rsidP="003A044E">
      <w:pPr>
        <w:pStyle w:val="Heading3"/>
        <w:rPr>
          <w:rFonts w:eastAsia="Times New Roman"/>
          <w:u w:val="single"/>
          <w:lang w:eastAsia="bg-BG"/>
        </w:rPr>
      </w:pPr>
      <w:r w:rsidRPr="003A044E">
        <w:rPr>
          <w:rFonts w:eastAsia="Times New Roman"/>
          <w:u w:val="single"/>
          <w:lang w:eastAsia="bg-BG"/>
        </w:rPr>
        <w:lastRenderedPageBreak/>
        <w:t>Елиминиране</w:t>
      </w:r>
    </w:p>
    <w:p w14:paraId="45551830" w14:textId="4C9E59FB" w:rsidR="007A2185" w:rsidRPr="003A044E" w:rsidRDefault="003A044E" w:rsidP="003A044E">
      <w:pPr>
        <w:rPr>
          <w:rFonts w:cs="Arial"/>
        </w:rPr>
      </w:pPr>
      <w:r w:rsidRPr="003A044E">
        <w:rPr>
          <w:rFonts w:eastAsia="Times New Roman" w:cs="Arial"/>
          <w:color w:val="000000"/>
          <w:lang w:eastAsia="bg-BG"/>
        </w:rPr>
        <w:t xml:space="preserve">След единични дози от 400 </w:t>
      </w:r>
      <w:r w:rsidRPr="003A044E">
        <w:rPr>
          <w:rFonts w:eastAsia="Times New Roman" w:cs="Arial"/>
          <w:color w:val="000000"/>
          <w:lang w:val="en-US"/>
        </w:rPr>
        <w:t xml:space="preserve">mg </w:t>
      </w:r>
      <w:r w:rsidRPr="003A044E">
        <w:rPr>
          <w:rFonts w:eastAsia="Times New Roman" w:cs="Arial"/>
          <w:color w:val="000000"/>
          <w:lang w:eastAsia="bg-BG"/>
        </w:rPr>
        <w:t xml:space="preserve">рифамицин натрий, освободен от Релафалк, средната фракция на бъбречна екскреция на пероралната доза е 0,001% на гладно, и 0,0004% след нахранване. Средното общо фекално елиминиране на рифамицин натрий е 348,7 </w:t>
      </w:r>
      <w:r w:rsidRPr="003A044E">
        <w:rPr>
          <w:rFonts w:eastAsia="Times New Roman" w:cs="Arial"/>
          <w:color w:val="000000"/>
          <w:lang w:val="en-US"/>
        </w:rPr>
        <w:t xml:space="preserve">mg, </w:t>
      </w:r>
      <w:r w:rsidRPr="003A044E">
        <w:rPr>
          <w:rFonts w:eastAsia="Times New Roman" w:cs="Arial"/>
          <w:color w:val="000000"/>
          <w:lang w:eastAsia="bg-BG"/>
        </w:rPr>
        <w:t>което съответства на 87,2% от приложената доза.</w:t>
      </w:r>
    </w:p>
    <w:p w14:paraId="4EE1BB0B" w14:textId="77777777" w:rsidR="0091385D" w:rsidRPr="0091385D" w:rsidRDefault="0091385D" w:rsidP="0091385D"/>
    <w:p w14:paraId="648E39DA" w14:textId="44D16CBD" w:rsidR="00CF77F7" w:rsidRDefault="002C50EE" w:rsidP="004A448E">
      <w:pPr>
        <w:pStyle w:val="Heading2"/>
      </w:pPr>
      <w:r>
        <w:t>5.3. Предклинични данни за безопасност</w:t>
      </w:r>
    </w:p>
    <w:p w14:paraId="20E967BE" w14:textId="751DCF54" w:rsidR="0091385D" w:rsidRDefault="0091385D" w:rsidP="0091385D"/>
    <w:p w14:paraId="19C01FC2" w14:textId="77777777" w:rsidR="003A044E" w:rsidRPr="003A044E" w:rsidRDefault="003A044E" w:rsidP="003A04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Неклиничните данни не показват особен риск за хора на базата на конвенционалните фармакологични проучвания за безопасност, токсичност при многократно прилагане и генотоксичност.</w:t>
      </w:r>
    </w:p>
    <w:p w14:paraId="1B558421" w14:textId="77777777" w:rsidR="003A044E" w:rsidRPr="003A044E" w:rsidRDefault="003A044E" w:rsidP="003A044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A8F1F21" w14:textId="1D35283E" w:rsidR="003A044E" w:rsidRPr="003A044E" w:rsidRDefault="003A044E" w:rsidP="003A04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В проучвания на ембриофеталното развитие, проведени при плъхове и зайци, са</w:t>
      </w:r>
    </w:p>
    <w:p w14:paraId="0F409030" w14:textId="77777777" w:rsidR="003A044E" w:rsidRPr="003A044E" w:rsidRDefault="003A044E" w:rsidP="003A044E">
      <w:pPr>
        <w:rPr>
          <w:rFonts w:eastAsia="Times New Roman" w:cs="Arial"/>
          <w:sz w:val="24"/>
          <w:szCs w:val="24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наблюдавани понижено тегло на фетусаи по-висока честота на висцерални или скелетни</w:t>
      </w:r>
      <w:r w:rsidRPr="003A044E">
        <w:rPr>
          <w:rFonts w:eastAsia="Times New Roman" w:cs="Arial"/>
          <w:color w:val="000000"/>
          <w:lang w:val="en-US" w:eastAsia="bg-BG"/>
        </w:rPr>
        <w:t xml:space="preserve"> </w:t>
      </w:r>
      <w:r w:rsidRPr="003A044E">
        <w:rPr>
          <w:rFonts w:eastAsia="Times New Roman" w:cs="Arial"/>
          <w:color w:val="000000"/>
          <w:lang w:eastAsia="bg-BG"/>
        </w:rPr>
        <w:t>вариации при токсични за майката дозови нива. Клиничната значимост на тези находки не е известна.</w:t>
      </w:r>
    </w:p>
    <w:p w14:paraId="44B5618B" w14:textId="77777777" w:rsidR="003A044E" w:rsidRPr="003A044E" w:rsidRDefault="003A044E" w:rsidP="003A044E">
      <w:pPr>
        <w:rPr>
          <w:rFonts w:eastAsia="Times New Roman" w:cs="Arial"/>
          <w:color w:val="000000"/>
          <w:lang w:eastAsia="bg-BG"/>
        </w:rPr>
      </w:pPr>
    </w:p>
    <w:p w14:paraId="13A7B62A" w14:textId="7B033280" w:rsidR="007A2185" w:rsidRPr="003A044E" w:rsidRDefault="003A044E" w:rsidP="003A044E">
      <w:pPr>
        <w:rPr>
          <w:rFonts w:cs="Arial"/>
          <w:lang w:val="en-US"/>
        </w:rPr>
      </w:pPr>
      <w:r w:rsidRPr="003A044E">
        <w:rPr>
          <w:rFonts w:eastAsia="Times New Roman" w:cs="Arial"/>
          <w:color w:val="000000"/>
          <w:lang w:eastAsia="bg-BG"/>
        </w:rPr>
        <w:t>Липсва информация за ефектите на рифамицин натрий върху фертилитета при мъже и жени.</w:t>
      </w:r>
    </w:p>
    <w:p w14:paraId="12FFA9B2" w14:textId="77777777" w:rsidR="007A2185" w:rsidRPr="0091385D" w:rsidRDefault="007A2185" w:rsidP="0091385D"/>
    <w:p w14:paraId="6A7820AB" w14:textId="353DB6D2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1B9B651E" w14:textId="24042B6C" w:rsidR="0091385D" w:rsidRDefault="0091385D" w:rsidP="0091385D"/>
    <w:p w14:paraId="756FC562" w14:textId="77777777" w:rsidR="003A044E" w:rsidRPr="003A044E" w:rsidRDefault="003A044E" w:rsidP="003A044E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r w:rsidRPr="003A044E">
        <w:rPr>
          <w:rFonts w:eastAsia="Times New Roman" w:cs="Arial"/>
          <w:color w:val="000000"/>
          <w:lang w:val="en-US"/>
        </w:rPr>
        <w:t>Dr. Falk Pharma GmbH</w:t>
      </w:r>
    </w:p>
    <w:p w14:paraId="5BF42FCB" w14:textId="77777777" w:rsidR="003A044E" w:rsidRPr="003A044E" w:rsidRDefault="003A044E" w:rsidP="003A044E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proofErr w:type="spellStart"/>
      <w:r w:rsidRPr="003A044E">
        <w:rPr>
          <w:rFonts w:eastAsia="Times New Roman" w:cs="Arial"/>
          <w:color w:val="000000"/>
          <w:lang w:val="en-US"/>
        </w:rPr>
        <w:t>Leinenweberstr</w:t>
      </w:r>
      <w:proofErr w:type="spellEnd"/>
      <w:r w:rsidRPr="003A044E">
        <w:rPr>
          <w:rFonts w:eastAsia="Times New Roman" w:cs="Arial"/>
          <w:color w:val="000000"/>
          <w:lang w:val="en-US"/>
        </w:rPr>
        <w:t>. 5</w:t>
      </w:r>
    </w:p>
    <w:p w14:paraId="41DA6DDD" w14:textId="77777777" w:rsidR="003A044E" w:rsidRPr="003A044E" w:rsidRDefault="003A044E" w:rsidP="003A044E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r w:rsidRPr="003A044E">
        <w:rPr>
          <w:rFonts w:eastAsia="Times New Roman" w:cs="Arial"/>
          <w:color w:val="000000"/>
          <w:lang w:val="en-US"/>
        </w:rPr>
        <w:t>79108 Freiburg</w:t>
      </w:r>
    </w:p>
    <w:p w14:paraId="4F02909F" w14:textId="19B25199" w:rsidR="007A2185" w:rsidRPr="003A044E" w:rsidRDefault="003A044E" w:rsidP="003A044E">
      <w:pPr>
        <w:rPr>
          <w:rFonts w:eastAsia="Times New Roman" w:cs="Arial"/>
          <w:color w:val="000000"/>
          <w:lang w:eastAsia="bg-BG"/>
        </w:rPr>
      </w:pPr>
      <w:r w:rsidRPr="003A044E">
        <w:rPr>
          <w:rFonts w:eastAsia="Times New Roman" w:cs="Arial"/>
          <w:color w:val="000000"/>
          <w:lang w:eastAsia="bg-BG"/>
        </w:rPr>
        <w:t>Германия</w:t>
      </w:r>
    </w:p>
    <w:p w14:paraId="68F12030" w14:textId="55EA47DE" w:rsidR="003A044E" w:rsidRPr="003A044E" w:rsidRDefault="003A044E" w:rsidP="003A044E">
      <w:pPr>
        <w:rPr>
          <w:rFonts w:cs="Arial"/>
        </w:rPr>
      </w:pPr>
      <w:r w:rsidRPr="003A044E">
        <w:rPr>
          <w:rFonts w:cs="Arial"/>
          <w:lang w:eastAsia="bg-BG"/>
        </w:rPr>
        <w:t xml:space="preserve">имейл: </w:t>
      </w:r>
      <w:hyperlink r:id="rId6" w:history="1">
        <w:r w:rsidRPr="003A044E">
          <w:rPr>
            <w:rFonts w:cs="Arial"/>
            <w:u w:val="single"/>
          </w:rPr>
          <w:t>zentrale@drfalkpharma.de</w:t>
        </w:r>
      </w:hyperlink>
    </w:p>
    <w:p w14:paraId="129C7566" w14:textId="77777777" w:rsidR="0091385D" w:rsidRPr="0091385D" w:rsidRDefault="0091385D" w:rsidP="0091385D"/>
    <w:p w14:paraId="7BA1BA64" w14:textId="17509450" w:rsidR="00CF77F7" w:rsidRDefault="002C50EE" w:rsidP="004A448E">
      <w:pPr>
        <w:pStyle w:val="Heading1"/>
      </w:pPr>
      <w:r>
        <w:t>8. НОМЕР НА РАЗРЕШЕНИЕТО ЗА УПОТРЕБА</w:t>
      </w:r>
    </w:p>
    <w:p w14:paraId="095674C4" w14:textId="3072FB0E" w:rsidR="0091385D" w:rsidRDefault="0091385D" w:rsidP="0091385D"/>
    <w:p w14:paraId="46161304" w14:textId="3DD4F5EB" w:rsidR="007A2185" w:rsidRPr="003A044E" w:rsidRDefault="003A044E" w:rsidP="0091385D">
      <w:pPr>
        <w:rPr>
          <w:rFonts w:cs="Arial"/>
        </w:rPr>
      </w:pPr>
      <w:r w:rsidRPr="003A044E">
        <w:rPr>
          <w:rFonts w:cs="Arial"/>
        </w:rPr>
        <w:t>Регистрационен №: 20190054</w:t>
      </w:r>
    </w:p>
    <w:p w14:paraId="62EF7F8B" w14:textId="77777777" w:rsidR="0091385D" w:rsidRPr="0091385D" w:rsidRDefault="0091385D" w:rsidP="0091385D"/>
    <w:p w14:paraId="2CCB5832" w14:textId="18FCD9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72B3414" w14:textId="57E44C81" w:rsidR="0091385D" w:rsidRDefault="0091385D" w:rsidP="0091385D"/>
    <w:p w14:paraId="6C57D8B6" w14:textId="6F8809DC" w:rsidR="007A2185" w:rsidRPr="003A044E" w:rsidRDefault="003A044E" w:rsidP="0091385D">
      <w:pPr>
        <w:rPr>
          <w:rFonts w:cs="Arial"/>
        </w:rPr>
      </w:pPr>
      <w:r w:rsidRPr="003A044E">
        <w:rPr>
          <w:rFonts w:cs="Arial"/>
        </w:rPr>
        <w:t>Дата на първо разрешаване: 18.03.2019</w:t>
      </w:r>
    </w:p>
    <w:p w14:paraId="0A56E09D" w14:textId="77777777" w:rsidR="0091385D" w:rsidRPr="0091385D" w:rsidRDefault="0091385D" w:rsidP="0091385D"/>
    <w:p w14:paraId="0E9D0119" w14:textId="1FEC128A" w:rsidR="002C50EE" w:rsidRDefault="002C50EE" w:rsidP="002C50EE">
      <w:pPr>
        <w:pStyle w:val="Heading1"/>
      </w:pPr>
      <w:r>
        <w:t>10. ДАТА НА АКТУАЛИЗИРАНЕ НА ТЕКСТА</w:t>
      </w:r>
    </w:p>
    <w:p w14:paraId="3E8FFCC4" w14:textId="0121B4E2" w:rsidR="0091385D" w:rsidRDefault="0091385D" w:rsidP="0091385D"/>
    <w:p w14:paraId="0524F1D6" w14:textId="6135A03C" w:rsidR="007A2185" w:rsidRPr="003A044E" w:rsidRDefault="003A044E" w:rsidP="0091385D">
      <w:pPr>
        <w:rPr>
          <w:rFonts w:cs="Arial"/>
        </w:rPr>
      </w:pPr>
      <w:r w:rsidRPr="003A044E">
        <w:rPr>
          <w:rFonts w:cs="Arial"/>
        </w:rPr>
        <w:t>03/2022</w:t>
      </w:r>
    </w:p>
    <w:p w14:paraId="6B00148E" w14:textId="77777777" w:rsidR="0091385D" w:rsidRPr="0091385D" w:rsidRDefault="0091385D" w:rsidP="0091385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A6795"/>
    <w:multiLevelType w:val="hybridMultilevel"/>
    <w:tmpl w:val="0540A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7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6"/>
  </w:num>
  <w:num w:numId="7">
    <w:abstractNumId w:val="10"/>
  </w:num>
  <w:num w:numId="8">
    <w:abstractNumId w:val="15"/>
  </w:num>
  <w:num w:numId="9">
    <w:abstractNumId w:val="2"/>
  </w:num>
  <w:num w:numId="10">
    <w:abstractNumId w:val="4"/>
  </w:num>
  <w:num w:numId="11">
    <w:abstractNumId w:val="30"/>
  </w:num>
  <w:num w:numId="12">
    <w:abstractNumId w:val="14"/>
  </w:num>
  <w:num w:numId="13">
    <w:abstractNumId w:val="19"/>
  </w:num>
  <w:num w:numId="14">
    <w:abstractNumId w:val="11"/>
  </w:num>
  <w:num w:numId="15">
    <w:abstractNumId w:val="29"/>
  </w:num>
  <w:num w:numId="16">
    <w:abstractNumId w:val="9"/>
  </w:num>
  <w:num w:numId="17">
    <w:abstractNumId w:val="24"/>
  </w:num>
  <w:num w:numId="18">
    <w:abstractNumId w:val="7"/>
  </w:num>
  <w:num w:numId="19">
    <w:abstractNumId w:val="26"/>
  </w:num>
  <w:num w:numId="20">
    <w:abstractNumId w:val="23"/>
  </w:num>
  <w:num w:numId="21">
    <w:abstractNumId w:val="17"/>
  </w:num>
  <w:num w:numId="22">
    <w:abstractNumId w:val="25"/>
  </w:num>
  <w:num w:numId="23">
    <w:abstractNumId w:val="18"/>
  </w:num>
  <w:num w:numId="24">
    <w:abstractNumId w:val="8"/>
  </w:num>
  <w:num w:numId="25">
    <w:abstractNumId w:val="22"/>
  </w:num>
  <w:num w:numId="26">
    <w:abstractNumId w:val="21"/>
  </w:num>
  <w:num w:numId="27">
    <w:abstractNumId w:val="31"/>
  </w:num>
  <w:num w:numId="28">
    <w:abstractNumId w:val="6"/>
  </w:num>
  <w:num w:numId="29">
    <w:abstractNumId w:val="20"/>
  </w:num>
  <w:num w:numId="30">
    <w:abstractNumId w:val="34"/>
  </w:num>
  <w:num w:numId="31">
    <w:abstractNumId w:val="5"/>
  </w:num>
  <w:num w:numId="32">
    <w:abstractNumId w:val="33"/>
  </w:num>
  <w:num w:numId="33">
    <w:abstractNumId w:val="28"/>
  </w:num>
  <w:num w:numId="34">
    <w:abstractNumId w:val="3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A044E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5B0F27"/>
    <w:rsid w:val="00605BCA"/>
    <w:rsid w:val="006158A1"/>
    <w:rsid w:val="00617B1F"/>
    <w:rsid w:val="00672487"/>
    <w:rsid w:val="00672600"/>
    <w:rsid w:val="00681D4A"/>
    <w:rsid w:val="00682341"/>
    <w:rsid w:val="00685882"/>
    <w:rsid w:val="0075649D"/>
    <w:rsid w:val="007A2185"/>
    <w:rsid w:val="007C605B"/>
    <w:rsid w:val="008134C8"/>
    <w:rsid w:val="00814073"/>
    <w:rsid w:val="00826F0D"/>
    <w:rsid w:val="00893B92"/>
    <w:rsid w:val="008A6AF2"/>
    <w:rsid w:val="008C70A2"/>
    <w:rsid w:val="008F1AF3"/>
    <w:rsid w:val="0091385D"/>
    <w:rsid w:val="009773E4"/>
    <w:rsid w:val="009B171C"/>
    <w:rsid w:val="009F1313"/>
    <w:rsid w:val="00A20351"/>
    <w:rsid w:val="00A65A81"/>
    <w:rsid w:val="00A73575"/>
    <w:rsid w:val="00AA23EC"/>
    <w:rsid w:val="00AC63CE"/>
    <w:rsid w:val="00AE2107"/>
    <w:rsid w:val="00B275A8"/>
    <w:rsid w:val="00BB3B9C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EC41ED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trale@drfalkpharma.de" TargetMode="Externa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2646</Words>
  <Characters>15087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2023-03-28T10:24:00Z</dcterms:created>
  <dcterms:modified xsi:type="dcterms:W3CDTF">2023-03-28T10:24:00Z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