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7F353E32" w:rsidR="00DB32D3" w:rsidRDefault="00DD466D" w:rsidP="005726E3">
      <w:pPr>
        <w:pStyle w:val="Heading1"/>
      </w:pPr>
      <w:r>
        <w:t>1.ИМЕ НА ЛЕКАРСТВЕНИЯ ПРОДУКТ</w:t>
      </w:r>
    </w:p>
    <w:p w14:paraId="38A011C8" w14:textId="6FD6E4D1" w:rsidR="000C2AA1" w:rsidRDefault="000C2AA1" w:rsidP="000C2AA1"/>
    <w:p w14:paraId="72DC472E" w14:textId="77777777" w:rsidR="000C2AA1" w:rsidRPr="000C2AA1" w:rsidRDefault="000C2AA1" w:rsidP="000C2AA1">
      <w:pPr>
        <w:rPr>
          <w:sz w:val="24"/>
          <w:szCs w:val="24"/>
        </w:rPr>
      </w:pPr>
      <w:r w:rsidRPr="000C2AA1">
        <w:rPr>
          <w:lang w:eastAsia="bg-BG"/>
        </w:rPr>
        <w:t xml:space="preserve">Ремирта 30 </w:t>
      </w:r>
      <w:r w:rsidRPr="000C2AA1">
        <w:rPr>
          <w:lang w:val="en-US"/>
        </w:rPr>
        <w:t>mg</w:t>
      </w:r>
      <w:r w:rsidRPr="000C2AA1">
        <w:t xml:space="preserve"> </w:t>
      </w:r>
      <w:r w:rsidRPr="000C2AA1">
        <w:rPr>
          <w:lang w:eastAsia="bg-BG"/>
        </w:rPr>
        <w:t>филмирани таблетки</w:t>
      </w:r>
    </w:p>
    <w:p w14:paraId="22152ADA" w14:textId="07A393E5" w:rsidR="000C2AA1" w:rsidRPr="000C2AA1" w:rsidRDefault="000C2AA1" w:rsidP="000C2AA1">
      <w:proofErr w:type="spellStart"/>
      <w:r w:rsidRPr="000C2AA1">
        <w:rPr>
          <w:lang w:val="en-US"/>
        </w:rPr>
        <w:t>Remirta</w:t>
      </w:r>
      <w:proofErr w:type="spellEnd"/>
      <w:r w:rsidRPr="000C2AA1">
        <w:t xml:space="preserve"> </w:t>
      </w:r>
      <w:r w:rsidRPr="000C2AA1">
        <w:rPr>
          <w:lang w:eastAsia="bg-BG"/>
        </w:rPr>
        <w:t xml:space="preserve">30 </w:t>
      </w:r>
      <w:r w:rsidRPr="000C2AA1">
        <w:rPr>
          <w:lang w:val="en-US"/>
        </w:rPr>
        <w:t>mg</w:t>
      </w:r>
      <w:r w:rsidRPr="000C2AA1">
        <w:t xml:space="preserve"> </w:t>
      </w:r>
      <w:r w:rsidRPr="000C2AA1">
        <w:rPr>
          <w:lang w:val="en-US"/>
        </w:rPr>
        <w:t>film</w:t>
      </w:r>
      <w:r w:rsidRPr="000C2AA1">
        <w:t>-</w:t>
      </w:r>
      <w:r w:rsidRPr="000C2AA1">
        <w:rPr>
          <w:lang w:val="en-US"/>
        </w:rPr>
        <w:t>coated</w:t>
      </w:r>
      <w:r w:rsidRPr="000C2AA1">
        <w:t xml:space="preserve"> </w:t>
      </w:r>
      <w:r w:rsidRPr="000C2AA1">
        <w:rPr>
          <w:lang w:val="en-US"/>
        </w:rPr>
        <w:t>tablets</w:t>
      </w:r>
    </w:p>
    <w:p w14:paraId="48E6CABE" w14:textId="296D6620" w:rsidR="00DB32D3" w:rsidRDefault="00DD466D" w:rsidP="005726E3">
      <w:pPr>
        <w:pStyle w:val="Heading1"/>
      </w:pPr>
      <w:r>
        <w:t>2. КАЧЕСТВЕН И КОЛИЧЕСТВЕН СЪСТАВ</w:t>
      </w:r>
    </w:p>
    <w:p w14:paraId="64F39A5C" w14:textId="7075B939" w:rsidR="000C2AA1" w:rsidRDefault="000C2AA1" w:rsidP="000C2AA1"/>
    <w:p w14:paraId="1D7AA363" w14:textId="77777777" w:rsidR="000C2AA1" w:rsidRPr="000C2AA1" w:rsidRDefault="000C2AA1" w:rsidP="000C2AA1">
      <w:pPr>
        <w:rPr>
          <w:sz w:val="24"/>
          <w:szCs w:val="24"/>
        </w:rPr>
      </w:pPr>
      <w:r w:rsidRPr="000C2AA1">
        <w:rPr>
          <w:lang w:eastAsia="bg-BG"/>
        </w:rPr>
        <w:t xml:space="preserve">Всяка филмирана таблетка съдържа 30 </w:t>
      </w:r>
      <w:r w:rsidRPr="000C2AA1">
        <w:rPr>
          <w:lang w:val="en-US"/>
        </w:rPr>
        <w:t>mg</w:t>
      </w:r>
      <w:r w:rsidRPr="000C2AA1">
        <w:t xml:space="preserve"> </w:t>
      </w:r>
      <w:r w:rsidRPr="000C2AA1">
        <w:rPr>
          <w:lang w:eastAsia="bg-BG"/>
        </w:rPr>
        <w:t xml:space="preserve">миртазапин </w:t>
      </w:r>
      <w:r w:rsidRPr="000C2AA1">
        <w:rPr>
          <w:i/>
          <w:iCs/>
        </w:rPr>
        <w:t>(</w:t>
      </w:r>
      <w:r w:rsidRPr="000C2AA1">
        <w:rPr>
          <w:i/>
          <w:iCs/>
          <w:lang w:val="en-US"/>
        </w:rPr>
        <w:t>mirtazapine</w:t>
      </w:r>
      <w:r w:rsidRPr="000C2AA1">
        <w:rPr>
          <w:i/>
          <w:iCs/>
        </w:rPr>
        <w:t>)</w:t>
      </w:r>
      <w:r w:rsidRPr="000C2AA1">
        <w:rPr>
          <w:i/>
          <w:iCs/>
          <w:lang w:eastAsia="bg-BG"/>
        </w:rPr>
        <w:t>.</w:t>
      </w:r>
    </w:p>
    <w:p w14:paraId="5965FE95" w14:textId="77777777" w:rsidR="000C2AA1" w:rsidRDefault="000C2AA1" w:rsidP="000C2AA1">
      <w:pPr>
        <w:rPr>
          <w:u w:val="single"/>
          <w:lang w:eastAsia="bg-BG"/>
        </w:rPr>
      </w:pPr>
    </w:p>
    <w:p w14:paraId="04DAD56D" w14:textId="0BFBE3FC" w:rsidR="000C2AA1" w:rsidRPr="000C2AA1" w:rsidRDefault="000C2AA1" w:rsidP="000C2AA1">
      <w:pPr>
        <w:rPr>
          <w:sz w:val="24"/>
          <w:szCs w:val="24"/>
        </w:rPr>
      </w:pPr>
      <w:r w:rsidRPr="000C2AA1">
        <w:rPr>
          <w:u w:val="single"/>
          <w:lang w:eastAsia="bg-BG"/>
        </w:rPr>
        <w:t>Помощно вещество с известно действие</w:t>
      </w:r>
      <w:r w:rsidRPr="000C2AA1">
        <w:rPr>
          <w:lang w:eastAsia="bg-BG"/>
        </w:rPr>
        <w:t>:</w:t>
      </w:r>
    </w:p>
    <w:p w14:paraId="6F4FBEEF" w14:textId="5A3A5C83" w:rsidR="000C2AA1" w:rsidRPr="000C2AA1" w:rsidRDefault="000C2AA1" w:rsidP="000C2AA1">
      <w:r w:rsidRPr="000C2AA1">
        <w:rPr>
          <w:lang w:eastAsia="bg-BG"/>
        </w:rPr>
        <w:t xml:space="preserve">Всяка филмирана таблетка съдържа 203,6 </w:t>
      </w:r>
      <w:r w:rsidRPr="000C2AA1">
        <w:rPr>
          <w:lang w:val="en-US"/>
        </w:rPr>
        <w:t>mg</w:t>
      </w:r>
      <w:r w:rsidRPr="000C2AA1">
        <w:rPr>
          <w:lang w:val="ru-RU"/>
        </w:rPr>
        <w:t xml:space="preserve"> </w:t>
      </w:r>
      <w:r w:rsidRPr="000C2AA1">
        <w:rPr>
          <w:lang w:eastAsia="bg-BG"/>
        </w:rPr>
        <w:t>лактоза монохидрат.</w:t>
      </w:r>
    </w:p>
    <w:p w14:paraId="614984C4" w14:textId="38E47145" w:rsidR="008A6AF2" w:rsidRDefault="00DD466D" w:rsidP="002C50EE">
      <w:pPr>
        <w:pStyle w:val="Heading1"/>
      </w:pPr>
      <w:r>
        <w:t>3. ЛЕКАРСТВЕНА ФОРМА</w:t>
      </w:r>
    </w:p>
    <w:p w14:paraId="2EDA476C" w14:textId="06F2CE88" w:rsidR="000C2AA1" w:rsidRDefault="000C2AA1" w:rsidP="000C2AA1"/>
    <w:p w14:paraId="2C6D2A63" w14:textId="77777777" w:rsidR="000C2AA1" w:rsidRPr="000C2AA1" w:rsidRDefault="000C2AA1" w:rsidP="000C2AA1">
      <w:pPr>
        <w:rPr>
          <w:sz w:val="24"/>
          <w:szCs w:val="24"/>
        </w:rPr>
      </w:pPr>
      <w:r w:rsidRPr="000C2AA1">
        <w:rPr>
          <w:lang w:eastAsia="bg-BG"/>
        </w:rPr>
        <w:t>Филмирана таблетка</w:t>
      </w:r>
    </w:p>
    <w:p w14:paraId="7B7E0971" w14:textId="77777777" w:rsidR="000C2AA1" w:rsidRDefault="000C2AA1" w:rsidP="000C2AA1">
      <w:pPr>
        <w:rPr>
          <w:lang w:eastAsia="bg-BG"/>
        </w:rPr>
      </w:pPr>
    </w:p>
    <w:p w14:paraId="72FFE450" w14:textId="5DE6D4C9" w:rsidR="000C2AA1" w:rsidRPr="000C2AA1" w:rsidRDefault="000C2AA1" w:rsidP="000C2AA1">
      <w:pPr>
        <w:rPr>
          <w:sz w:val="24"/>
          <w:szCs w:val="24"/>
        </w:rPr>
      </w:pPr>
      <w:r w:rsidRPr="000C2AA1">
        <w:rPr>
          <w:lang w:eastAsia="bg-BG"/>
        </w:rPr>
        <w:t xml:space="preserve">Кафеникави, овални, биконвексни филмирани таблетки с размери 12,7 х 6,5 </w:t>
      </w:r>
      <w:r w:rsidRPr="000C2AA1">
        <w:rPr>
          <w:lang w:val="en-US"/>
        </w:rPr>
        <w:t>mm</w:t>
      </w:r>
      <w:r w:rsidRPr="000C2AA1">
        <w:rPr>
          <w:lang w:val="ru-RU"/>
        </w:rPr>
        <w:t xml:space="preserve"> </w:t>
      </w:r>
      <w:r w:rsidRPr="000C2AA1">
        <w:rPr>
          <w:lang w:eastAsia="bg-BG"/>
        </w:rPr>
        <w:t>с делителна черта от двете страни, маркирани с „I“.</w:t>
      </w:r>
    </w:p>
    <w:p w14:paraId="2BE9F825" w14:textId="77777777" w:rsidR="000C2AA1" w:rsidRPr="000C2AA1" w:rsidRDefault="000C2AA1" w:rsidP="000C2AA1"/>
    <w:p w14:paraId="490FC2C4" w14:textId="6899DE43" w:rsidR="002C50EE" w:rsidRDefault="002C50EE" w:rsidP="002C50EE">
      <w:pPr>
        <w:pStyle w:val="Heading1"/>
      </w:pPr>
      <w:r>
        <w:t>4. КЛИНИЧНИ ДАННИ</w:t>
      </w:r>
    </w:p>
    <w:p w14:paraId="0771830A" w14:textId="2D3D3FDE" w:rsidR="00DB32D3" w:rsidRDefault="002C50EE" w:rsidP="005726E3">
      <w:pPr>
        <w:pStyle w:val="Heading2"/>
      </w:pPr>
      <w:r>
        <w:t>4.1. Терапевтични показания</w:t>
      </w:r>
    </w:p>
    <w:p w14:paraId="21C7FF64" w14:textId="109D6DB5" w:rsidR="000C2AA1" w:rsidRDefault="000C2AA1" w:rsidP="000C2AA1"/>
    <w:p w14:paraId="02866C15" w14:textId="2B6BEFA4" w:rsidR="000C2AA1" w:rsidRDefault="000C2AA1" w:rsidP="000C2AA1">
      <w:r>
        <w:t>Лечение на голям депресивен епизод.</w:t>
      </w:r>
    </w:p>
    <w:p w14:paraId="66D522AB" w14:textId="77777777" w:rsidR="000C2AA1" w:rsidRPr="000C2AA1" w:rsidRDefault="000C2AA1" w:rsidP="000C2AA1"/>
    <w:p w14:paraId="7647A102" w14:textId="12D9AF83" w:rsidR="00DB32D3" w:rsidRDefault="002C50EE" w:rsidP="005726E3">
      <w:pPr>
        <w:pStyle w:val="Heading2"/>
      </w:pPr>
      <w:r>
        <w:t>4.2. Дозировка и начин на приложение</w:t>
      </w:r>
    </w:p>
    <w:p w14:paraId="442EFB2C" w14:textId="5966A4DE" w:rsidR="000C2AA1" w:rsidRDefault="000C2AA1" w:rsidP="000C2AA1"/>
    <w:p w14:paraId="6D19B932" w14:textId="77777777" w:rsidR="000C2AA1" w:rsidRPr="000C2AA1" w:rsidRDefault="000C2AA1" w:rsidP="000C2AA1">
      <w:pPr>
        <w:pStyle w:val="Heading3"/>
        <w:rPr>
          <w:rFonts w:eastAsia="Times New Roman"/>
          <w:sz w:val="28"/>
          <w:u w:val="single"/>
        </w:rPr>
      </w:pPr>
      <w:r w:rsidRPr="000C2AA1">
        <w:rPr>
          <w:rFonts w:eastAsia="Times New Roman"/>
          <w:u w:val="single"/>
          <w:lang w:eastAsia="bg-BG"/>
        </w:rPr>
        <w:t>Дозировка</w:t>
      </w:r>
    </w:p>
    <w:p w14:paraId="0EE29FF7" w14:textId="77777777" w:rsidR="000C2AA1" w:rsidRPr="000C2AA1" w:rsidRDefault="000C2AA1" w:rsidP="000C2AA1">
      <w:pPr>
        <w:spacing w:line="240" w:lineRule="auto"/>
        <w:rPr>
          <w:rFonts w:eastAsia="Times New Roman" w:cs="Arial"/>
          <w:sz w:val="28"/>
          <w:szCs w:val="24"/>
        </w:rPr>
      </w:pPr>
      <w:r w:rsidRPr="000C2AA1">
        <w:rPr>
          <w:rFonts w:eastAsia="Times New Roman" w:cs="Arial"/>
          <w:i/>
          <w:iCs/>
          <w:color w:val="000000"/>
          <w:szCs w:val="20"/>
          <w:lang w:eastAsia="bg-BG"/>
        </w:rPr>
        <w:t>Възрастни</w:t>
      </w:r>
    </w:p>
    <w:p w14:paraId="271F7051"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 xml:space="preserve">Ефективната дневна доза обикновено е между 15 </w:t>
      </w:r>
      <w:r w:rsidRPr="000C2AA1">
        <w:rPr>
          <w:rFonts w:eastAsia="Times New Roman" w:cs="Arial"/>
          <w:color w:val="000000"/>
          <w:szCs w:val="20"/>
          <w:lang w:val="en-US"/>
        </w:rPr>
        <w:t>mg</w:t>
      </w:r>
      <w:r w:rsidRPr="000C2AA1">
        <w:rPr>
          <w:rFonts w:eastAsia="Times New Roman" w:cs="Arial"/>
          <w:color w:val="000000"/>
          <w:szCs w:val="20"/>
          <w:lang w:val="ru-RU"/>
        </w:rPr>
        <w:t xml:space="preserve"> </w:t>
      </w:r>
      <w:r w:rsidRPr="000C2AA1">
        <w:rPr>
          <w:rFonts w:eastAsia="Times New Roman" w:cs="Arial"/>
          <w:color w:val="000000"/>
          <w:szCs w:val="20"/>
          <w:lang w:eastAsia="bg-BG"/>
        </w:rPr>
        <w:t xml:space="preserve">и 45 </w:t>
      </w:r>
      <w:r w:rsidRPr="000C2AA1">
        <w:rPr>
          <w:rFonts w:eastAsia="Times New Roman" w:cs="Arial"/>
          <w:color w:val="000000"/>
          <w:szCs w:val="20"/>
          <w:lang w:val="en-US"/>
        </w:rPr>
        <w:t>mg</w:t>
      </w:r>
      <w:r w:rsidRPr="000C2AA1">
        <w:rPr>
          <w:rFonts w:eastAsia="Times New Roman" w:cs="Arial"/>
          <w:color w:val="000000"/>
          <w:szCs w:val="20"/>
          <w:lang w:val="ru-RU"/>
        </w:rPr>
        <w:t xml:space="preserve">; </w:t>
      </w:r>
      <w:r w:rsidRPr="000C2AA1">
        <w:rPr>
          <w:rFonts w:eastAsia="Times New Roman" w:cs="Arial"/>
          <w:color w:val="000000"/>
          <w:szCs w:val="20"/>
          <w:lang w:eastAsia="bg-BG"/>
        </w:rPr>
        <w:t xml:space="preserve">началната доза е 15 или 30 </w:t>
      </w:r>
      <w:r w:rsidRPr="000C2AA1">
        <w:rPr>
          <w:rFonts w:eastAsia="Times New Roman" w:cs="Arial"/>
          <w:color w:val="000000"/>
          <w:szCs w:val="20"/>
          <w:lang w:val="en-US"/>
        </w:rPr>
        <w:t>mg</w:t>
      </w:r>
      <w:r w:rsidRPr="000C2AA1">
        <w:rPr>
          <w:rFonts w:eastAsia="Times New Roman" w:cs="Arial"/>
          <w:color w:val="000000"/>
          <w:szCs w:val="20"/>
          <w:lang w:val="ru-RU"/>
        </w:rPr>
        <w:t xml:space="preserve">. </w:t>
      </w:r>
      <w:r w:rsidRPr="000C2AA1">
        <w:rPr>
          <w:rFonts w:eastAsia="Times New Roman" w:cs="Arial"/>
          <w:color w:val="000000"/>
          <w:szCs w:val="20"/>
          <w:lang w:eastAsia="bg-BG"/>
        </w:rPr>
        <w:t>Миртазапин започва да проявява ефекта си обикновено след 1-2 седмици лечение. Лечение с подходяща доза трябва да доведе до положителен ефект до 2-4 седмици. При недостатъчен ефект дозата може да се повиши до максималната доза. Ако след още 2-4 седмици няма ефект, тогава лечението трябва да бъде прекратено.</w:t>
      </w:r>
    </w:p>
    <w:p w14:paraId="37E01D5A" w14:textId="77777777" w:rsidR="000C2AA1" w:rsidRPr="000C2AA1" w:rsidRDefault="000C2AA1" w:rsidP="000C2AA1">
      <w:pPr>
        <w:spacing w:line="240" w:lineRule="auto"/>
        <w:rPr>
          <w:rFonts w:eastAsia="Times New Roman" w:cs="Arial"/>
          <w:i/>
          <w:iCs/>
          <w:color w:val="000000"/>
          <w:szCs w:val="20"/>
          <w:lang w:eastAsia="bg-BG"/>
        </w:rPr>
      </w:pPr>
    </w:p>
    <w:p w14:paraId="7C24A5FE" w14:textId="30473C46" w:rsidR="000C2AA1" w:rsidRPr="000C2AA1" w:rsidRDefault="000C2AA1" w:rsidP="000C2AA1">
      <w:pPr>
        <w:spacing w:line="240" w:lineRule="auto"/>
        <w:rPr>
          <w:rFonts w:eastAsia="Times New Roman" w:cs="Arial"/>
          <w:sz w:val="28"/>
          <w:szCs w:val="24"/>
        </w:rPr>
      </w:pPr>
      <w:r w:rsidRPr="000C2AA1">
        <w:rPr>
          <w:rFonts w:eastAsia="Times New Roman" w:cs="Arial"/>
          <w:i/>
          <w:iCs/>
          <w:color w:val="000000"/>
          <w:szCs w:val="20"/>
          <w:lang w:eastAsia="bg-BG"/>
        </w:rPr>
        <w:t>Пациенти в старческа възраст</w:t>
      </w:r>
    </w:p>
    <w:p w14:paraId="250107EC"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Препоръчваната доза е същата, като тази при възрастни. При пациенти в старческа възраст повишаване на дозата трябва да става под строго наблюдение, за да се постигне задоволително и безопасно повлияване.</w:t>
      </w:r>
    </w:p>
    <w:p w14:paraId="509A81B0" w14:textId="77777777" w:rsidR="000C2AA1" w:rsidRPr="000C2AA1" w:rsidRDefault="000C2AA1" w:rsidP="000C2AA1">
      <w:pPr>
        <w:spacing w:line="240" w:lineRule="auto"/>
        <w:rPr>
          <w:rFonts w:eastAsia="Times New Roman" w:cs="Arial"/>
          <w:i/>
          <w:iCs/>
          <w:color w:val="000000"/>
          <w:szCs w:val="20"/>
          <w:lang w:eastAsia="bg-BG"/>
        </w:rPr>
      </w:pPr>
    </w:p>
    <w:p w14:paraId="3399ABF2" w14:textId="2BD2C9F5" w:rsidR="000C2AA1" w:rsidRPr="000C2AA1" w:rsidRDefault="000C2AA1" w:rsidP="000C2AA1">
      <w:pPr>
        <w:spacing w:line="240" w:lineRule="auto"/>
        <w:rPr>
          <w:rFonts w:eastAsia="Times New Roman" w:cs="Arial"/>
          <w:sz w:val="28"/>
          <w:szCs w:val="24"/>
        </w:rPr>
      </w:pPr>
      <w:r w:rsidRPr="000C2AA1">
        <w:rPr>
          <w:rFonts w:eastAsia="Times New Roman" w:cs="Arial"/>
          <w:i/>
          <w:iCs/>
          <w:color w:val="000000"/>
          <w:szCs w:val="20"/>
          <w:lang w:eastAsia="bg-BG"/>
        </w:rPr>
        <w:t>Деца и юноши на възраст под 18 години</w:t>
      </w:r>
    </w:p>
    <w:p w14:paraId="29663A22"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lastRenderedPageBreak/>
        <w:t>Миртазапин не трябва да се използва при деца и юноши на възраст под 18 години (вж. точка 4.4), тъй като ефикасността не е установена в две краткотрайни клинични проучвания (вж. точка 5.1) и от съображения за сигурност (вж. точки 4.4, 4.8 и 5.1).</w:t>
      </w:r>
    </w:p>
    <w:p w14:paraId="491540CA" w14:textId="77777777" w:rsidR="000C2AA1" w:rsidRPr="000C2AA1" w:rsidRDefault="000C2AA1" w:rsidP="000C2AA1">
      <w:pPr>
        <w:spacing w:line="240" w:lineRule="auto"/>
        <w:rPr>
          <w:rFonts w:eastAsia="Times New Roman" w:cs="Arial"/>
          <w:i/>
          <w:iCs/>
          <w:color w:val="000000"/>
          <w:szCs w:val="20"/>
          <w:lang w:eastAsia="bg-BG"/>
        </w:rPr>
      </w:pPr>
    </w:p>
    <w:p w14:paraId="51D0EE50" w14:textId="1FDF0025" w:rsidR="000C2AA1" w:rsidRPr="000C2AA1" w:rsidRDefault="000C2AA1" w:rsidP="000C2AA1">
      <w:pPr>
        <w:spacing w:line="240" w:lineRule="auto"/>
        <w:rPr>
          <w:rFonts w:eastAsia="Times New Roman" w:cs="Arial"/>
          <w:sz w:val="28"/>
          <w:szCs w:val="24"/>
        </w:rPr>
      </w:pPr>
      <w:r w:rsidRPr="000C2AA1">
        <w:rPr>
          <w:rFonts w:eastAsia="Times New Roman" w:cs="Arial"/>
          <w:i/>
          <w:iCs/>
          <w:color w:val="000000"/>
          <w:szCs w:val="20"/>
          <w:lang w:eastAsia="bg-BG"/>
        </w:rPr>
        <w:t>Бъбречно увреждане</w:t>
      </w:r>
    </w:p>
    <w:p w14:paraId="2775E94B" w14:textId="4F636BCF" w:rsidR="000C2AA1" w:rsidRPr="000C2AA1" w:rsidRDefault="000C2AA1" w:rsidP="000C2AA1">
      <w:pPr>
        <w:rPr>
          <w:rFonts w:eastAsia="Times New Roman" w:cs="Arial"/>
          <w:color w:val="000000"/>
          <w:szCs w:val="20"/>
          <w:lang w:eastAsia="bg-BG"/>
        </w:rPr>
      </w:pPr>
      <w:r w:rsidRPr="000C2AA1">
        <w:rPr>
          <w:rFonts w:eastAsia="Times New Roman" w:cs="Arial"/>
          <w:color w:val="000000"/>
          <w:szCs w:val="20"/>
          <w:lang w:eastAsia="bg-BG"/>
        </w:rPr>
        <w:t xml:space="preserve">Клирънсът на миртазапин може да бъде понижен при пациенти с умерено до тежко нарушение на бъбречната функция (креатининов клирънс &lt; 40 </w:t>
      </w:r>
      <w:r w:rsidRPr="000C2AA1">
        <w:rPr>
          <w:rFonts w:eastAsia="Times New Roman" w:cs="Arial"/>
          <w:color w:val="000000"/>
          <w:szCs w:val="20"/>
          <w:lang w:val="en-US"/>
        </w:rPr>
        <w:t>ml</w:t>
      </w:r>
      <w:r w:rsidRPr="000C2AA1">
        <w:rPr>
          <w:rFonts w:eastAsia="Times New Roman" w:cs="Arial"/>
          <w:color w:val="000000"/>
          <w:szCs w:val="20"/>
          <w:lang w:val="ru-RU"/>
        </w:rPr>
        <w:t>/</w:t>
      </w:r>
      <w:r w:rsidRPr="000C2AA1">
        <w:rPr>
          <w:rFonts w:eastAsia="Times New Roman" w:cs="Arial"/>
          <w:color w:val="000000"/>
          <w:szCs w:val="20"/>
          <w:lang w:val="en-US"/>
        </w:rPr>
        <w:t>min</w:t>
      </w:r>
      <w:r w:rsidRPr="000C2AA1">
        <w:rPr>
          <w:rFonts w:eastAsia="Times New Roman" w:cs="Arial"/>
          <w:color w:val="000000"/>
          <w:szCs w:val="20"/>
          <w:lang w:val="ru-RU"/>
        </w:rPr>
        <w:t xml:space="preserve">). </w:t>
      </w:r>
      <w:r w:rsidRPr="000C2AA1">
        <w:rPr>
          <w:rFonts w:eastAsia="Times New Roman" w:cs="Arial"/>
          <w:color w:val="000000"/>
          <w:szCs w:val="20"/>
          <w:lang w:eastAsia="bg-BG"/>
        </w:rPr>
        <w:t>Това трябва да се вземе под внимание, когато се предписва миртазапин на тази категория пациенти (вж. точка 4.4)</w:t>
      </w:r>
    </w:p>
    <w:p w14:paraId="342BC9A7" w14:textId="0EE3E343" w:rsidR="000C2AA1" w:rsidRPr="000C2AA1" w:rsidRDefault="000C2AA1" w:rsidP="000C2AA1">
      <w:pPr>
        <w:rPr>
          <w:rFonts w:eastAsia="Times New Roman" w:cs="Arial"/>
          <w:color w:val="000000"/>
          <w:szCs w:val="20"/>
          <w:lang w:eastAsia="bg-BG"/>
        </w:rPr>
      </w:pPr>
    </w:p>
    <w:p w14:paraId="5AD54CEA" w14:textId="77777777" w:rsidR="000C2AA1" w:rsidRPr="000C2AA1" w:rsidRDefault="000C2AA1" w:rsidP="000C2AA1">
      <w:pPr>
        <w:spacing w:line="240" w:lineRule="auto"/>
        <w:rPr>
          <w:rFonts w:eastAsia="Times New Roman" w:cs="Arial"/>
          <w:sz w:val="28"/>
          <w:szCs w:val="24"/>
        </w:rPr>
      </w:pPr>
      <w:r w:rsidRPr="000C2AA1">
        <w:rPr>
          <w:rFonts w:eastAsia="Times New Roman" w:cs="Arial"/>
          <w:i/>
          <w:iCs/>
          <w:color w:val="000000"/>
          <w:szCs w:val="20"/>
          <w:lang w:eastAsia="bg-BG"/>
        </w:rPr>
        <w:t>Чернодробно увреждане</w:t>
      </w:r>
    </w:p>
    <w:p w14:paraId="43F4923C"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Клирънсът на миртазапин може да бъде понижен при пациенти с нарушена чернодробна функция. Това трябва да се има предвид при лечение с него, особено при пациенти с тежко чернодробно увреждание, тъй като липсват изследвания при тази категория пациенти (вж. точка 4.4)</w:t>
      </w:r>
    </w:p>
    <w:p w14:paraId="1CCA4444" w14:textId="77777777" w:rsidR="000C2AA1" w:rsidRPr="000C2AA1" w:rsidRDefault="000C2AA1" w:rsidP="000C2AA1">
      <w:pPr>
        <w:spacing w:line="240" w:lineRule="auto"/>
        <w:rPr>
          <w:rFonts w:eastAsia="Times New Roman" w:cs="Arial"/>
          <w:color w:val="000000"/>
          <w:szCs w:val="20"/>
          <w:lang w:eastAsia="bg-BG"/>
        </w:rPr>
      </w:pPr>
    </w:p>
    <w:p w14:paraId="189AF0D9" w14:textId="1F806C5F"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Елиминационният полуживот на миртазарин е 20-40 часа, поради което е подходящо да се прилага еднократно дневно, за предпочитане вечер преди лягане. Миртазапин може да се прилага двукратно дневно (сутрин и вечер преди лягане, като по-високата доза трябва да се приема вечер).</w:t>
      </w:r>
    </w:p>
    <w:p w14:paraId="0FB14A6A" w14:textId="77777777" w:rsidR="000C2AA1" w:rsidRPr="000C2AA1" w:rsidRDefault="000C2AA1" w:rsidP="000C2AA1">
      <w:pPr>
        <w:spacing w:line="240" w:lineRule="auto"/>
        <w:rPr>
          <w:rFonts w:eastAsia="Times New Roman" w:cs="Arial"/>
          <w:color w:val="000000"/>
          <w:szCs w:val="20"/>
          <w:u w:val="single"/>
          <w:lang w:eastAsia="bg-BG"/>
        </w:rPr>
      </w:pPr>
    </w:p>
    <w:p w14:paraId="0B1681A3" w14:textId="0B567ACA" w:rsidR="000C2AA1" w:rsidRPr="000C2AA1" w:rsidRDefault="000C2AA1" w:rsidP="000C2AA1">
      <w:pPr>
        <w:pStyle w:val="Heading3"/>
        <w:rPr>
          <w:rFonts w:eastAsia="Times New Roman"/>
          <w:sz w:val="28"/>
          <w:u w:val="single"/>
        </w:rPr>
      </w:pPr>
      <w:r w:rsidRPr="000C2AA1">
        <w:rPr>
          <w:rFonts w:eastAsia="Times New Roman"/>
          <w:u w:val="single"/>
          <w:lang w:eastAsia="bg-BG"/>
        </w:rPr>
        <w:t>Начин на приложение</w:t>
      </w:r>
    </w:p>
    <w:p w14:paraId="797804A8"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Таблетките се приемат през устата, с течност, без да се дъвчат.</w:t>
      </w:r>
    </w:p>
    <w:p w14:paraId="12C596CE" w14:textId="77777777" w:rsidR="000C2AA1" w:rsidRPr="000C2AA1" w:rsidRDefault="000C2AA1" w:rsidP="000C2AA1">
      <w:pPr>
        <w:spacing w:line="240" w:lineRule="auto"/>
        <w:rPr>
          <w:rFonts w:eastAsia="Times New Roman" w:cs="Arial"/>
          <w:color w:val="000000"/>
          <w:szCs w:val="20"/>
          <w:lang w:eastAsia="bg-BG"/>
        </w:rPr>
      </w:pPr>
    </w:p>
    <w:p w14:paraId="0C5794F3" w14:textId="229A413D"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Пациенти с депресия трябва да се лекуват за достатъчно дълъг период от поне 6 месеца, за да е сигурно, че не проявяват симптоми на депресия.</w:t>
      </w:r>
    </w:p>
    <w:p w14:paraId="06EBE419" w14:textId="77777777" w:rsidR="000C2AA1" w:rsidRPr="000C2AA1" w:rsidRDefault="000C2AA1" w:rsidP="000C2AA1">
      <w:pPr>
        <w:spacing w:line="240" w:lineRule="auto"/>
        <w:rPr>
          <w:rFonts w:eastAsia="Times New Roman" w:cs="Arial"/>
          <w:color w:val="000000"/>
          <w:szCs w:val="20"/>
          <w:lang w:eastAsia="bg-BG"/>
        </w:rPr>
      </w:pPr>
    </w:p>
    <w:p w14:paraId="16F9E1C2" w14:textId="16A9B0AF" w:rsidR="000C2AA1" w:rsidRPr="000C2AA1" w:rsidRDefault="000C2AA1" w:rsidP="000C2AA1">
      <w:pPr>
        <w:spacing w:line="240" w:lineRule="auto"/>
        <w:rPr>
          <w:rFonts w:ascii="Times New Roman" w:eastAsia="Times New Roman" w:hAnsi="Times New Roman" w:cs="Times New Roman"/>
          <w:sz w:val="24"/>
          <w:szCs w:val="24"/>
        </w:rPr>
      </w:pPr>
      <w:r w:rsidRPr="000C2AA1">
        <w:rPr>
          <w:rFonts w:eastAsia="Times New Roman" w:cs="Arial"/>
          <w:color w:val="000000"/>
          <w:szCs w:val="20"/>
          <w:lang w:eastAsia="bg-BG"/>
        </w:rPr>
        <w:t>Препоръчително е лечението с миртазапин да се прекратява постепенно, за да се избегнат симптомите на отнемане (вж точка 4.4).</w:t>
      </w:r>
    </w:p>
    <w:p w14:paraId="579241C7" w14:textId="77777777" w:rsidR="000C2AA1" w:rsidRPr="000C2AA1" w:rsidRDefault="000C2AA1" w:rsidP="000C2AA1"/>
    <w:p w14:paraId="74903285" w14:textId="5FC1D13E" w:rsidR="00DB32D3" w:rsidRDefault="002C50EE" w:rsidP="005726E3">
      <w:pPr>
        <w:pStyle w:val="Heading2"/>
      </w:pPr>
      <w:r>
        <w:t>4.3. Противопоказания</w:t>
      </w:r>
    </w:p>
    <w:p w14:paraId="29852299" w14:textId="738D10B6" w:rsidR="000C2AA1" w:rsidRDefault="000C2AA1" w:rsidP="000C2AA1"/>
    <w:p w14:paraId="12B1C1BB" w14:textId="77777777" w:rsidR="000C2AA1" w:rsidRPr="000C2AA1" w:rsidRDefault="000C2AA1" w:rsidP="000C2AA1">
      <w:pPr>
        <w:pStyle w:val="ListParagraph"/>
        <w:numPr>
          <w:ilvl w:val="0"/>
          <w:numId w:val="37"/>
        </w:numPr>
        <w:rPr>
          <w:sz w:val="24"/>
          <w:szCs w:val="24"/>
        </w:rPr>
      </w:pPr>
      <w:r w:rsidRPr="000C2AA1">
        <w:rPr>
          <w:lang w:eastAsia="bg-BG"/>
        </w:rPr>
        <w:t>Свръхчувствителност към активното вещество или към някое от помощните вещества, изброени в точка 6.1.</w:t>
      </w:r>
    </w:p>
    <w:p w14:paraId="60734BF7" w14:textId="619E5863" w:rsidR="000C2AA1" w:rsidRPr="000C2AA1" w:rsidRDefault="000C2AA1" w:rsidP="000C2AA1">
      <w:pPr>
        <w:pStyle w:val="ListParagraph"/>
        <w:numPr>
          <w:ilvl w:val="0"/>
          <w:numId w:val="37"/>
        </w:numPr>
        <w:rPr>
          <w:sz w:val="24"/>
          <w:szCs w:val="24"/>
        </w:rPr>
      </w:pPr>
      <w:r w:rsidRPr="000C2AA1">
        <w:rPr>
          <w:lang w:eastAsia="bg-BG"/>
        </w:rPr>
        <w:t>Едновременно приложение на миртазапин с моноаминооксидазни инхибитори (МАО) (вж. точка 4.5).</w:t>
      </w:r>
    </w:p>
    <w:p w14:paraId="05C6FAC0" w14:textId="77777777" w:rsidR="000C2AA1" w:rsidRPr="000C2AA1" w:rsidRDefault="000C2AA1" w:rsidP="000C2AA1"/>
    <w:p w14:paraId="76DC8E58" w14:textId="4861EEC3" w:rsidR="00DB32D3" w:rsidRDefault="002C50EE" w:rsidP="005726E3">
      <w:pPr>
        <w:pStyle w:val="Heading2"/>
      </w:pPr>
      <w:r>
        <w:t>4.4. Специални предупреждения и предпазни мерки при употреба</w:t>
      </w:r>
    </w:p>
    <w:p w14:paraId="701181C8" w14:textId="6AACD8C7" w:rsidR="000C2AA1" w:rsidRDefault="000C2AA1" w:rsidP="000C2AA1"/>
    <w:p w14:paraId="2723FEC0" w14:textId="77777777" w:rsidR="000C2AA1" w:rsidRPr="000C2AA1" w:rsidRDefault="000C2AA1" w:rsidP="000C2AA1">
      <w:pPr>
        <w:spacing w:line="240" w:lineRule="auto"/>
        <w:rPr>
          <w:rFonts w:eastAsia="Times New Roman" w:cs="Arial"/>
        </w:rPr>
      </w:pPr>
      <w:r w:rsidRPr="000C2AA1">
        <w:rPr>
          <w:rFonts w:eastAsia="Times New Roman" w:cs="Arial"/>
          <w:i/>
          <w:iCs/>
          <w:color w:val="000000"/>
          <w:u w:val="single"/>
          <w:lang w:eastAsia="bg-BG"/>
        </w:rPr>
        <w:t>Приложение при дена и юноши под 18 години</w:t>
      </w:r>
    </w:p>
    <w:p w14:paraId="2AF0E4EB"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Миртазапин не трябва да се прилага за лечение на деца и юноши под 18 годишна възраст. Наблюдавани са по-чести прояви на суицидно поведение (намерения и мисли за самоубийство) и враждебност (най-вече агресия, противопоставяне и гняв) при клинични проучвания сред деца и юноши, лекувани с антидепресанти, в сравнение при тези с плацебо. Ако въз основа на клинична необходимост, въпреки това, се вземе решение за такова лечение, пациентът трябва да се наблюдава внимателно за поява на сиуцидни симптоми. Като допълнение, липсват данни от продължителни проучвания при деца и юноши относно растежа, съзряването и когнитивното и поведенческо развитие.</w:t>
      </w:r>
    </w:p>
    <w:p w14:paraId="5F050BA3" w14:textId="77777777" w:rsidR="000C2AA1" w:rsidRPr="000C2AA1" w:rsidRDefault="000C2AA1" w:rsidP="000C2AA1">
      <w:pPr>
        <w:spacing w:line="240" w:lineRule="auto"/>
        <w:rPr>
          <w:rFonts w:eastAsia="Times New Roman" w:cs="Arial"/>
          <w:i/>
          <w:iCs/>
          <w:color w:val="000000"/>
          <w:u w:val="single"/>
          <w:lang w:eastAsia="bg-BG"/>
        </w:rPr>
      </w:pPr>
    </w:p>
    <w:p w14:paraId="768AC4B0" w14:textId="0617EDA8" w:rsidR="000C2AA1" w:rsidRPr="000C2AA1" w:rsidRDefault="000C2AA1" w:rsidP="000C2AA1">
      <w:pPr>
        <w:spacing w:line="240" w:lineRule="auto"/>
        <w:rPr>
          <w:rFonts w:eastAsia="Times New Roman" w:cs="Arial"/>
        </w:rPr>
      </w:pPr>
      <w:r w:rsidRPr="000C2AA1">
        <w:rPr>
          <w:rFonts w:eastAsia="Times New Roman" w:cs="Arial"/>
          <w:i/>
          <w:iCs/>
          <w:color w:val="000000"/>
          <w:u w:val="single"/>
          <w:lang w:eastAsia="bg-BG"/>
        </w:rPr>
        <w:t>Самоубийство/Суииидни мисли или клинично влошаване</w:t>
      </w:r>
    </w:p>
    <w:p w14:paraId="44A8926B"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Депресията е свързана с повишен риск от суицидни мисли, самонараняване и самоубийство (суицидно-свързани събития). Този риск съществува до настъпване на значима ремисия. Тъй като подобрение може да не настъпи в първите няколко седмици от лечението, пациентите трябва да бъдат проследявани внимателно до настъпването на такова подобрение. Общият клиничен опит показва, че рискът от самоубийство може да се повиши в началните стадии на възстановяването.</w:t>
      </w:r>
    </w:p>
    <w:p w14:paraId="3F53E71F" w14:textId="77777777" w:rsidR="000C2AA1" w:rsidRPr="000C2AA1" w:rsidRDefault="000C2AA1" w:rsidP="000C2AA1">
      <w:pPr>
        <w:rPr>
          <w:rFonts w:eastAsia="Times New Roman" w:cs="Arial"/>
        </w:rPr>
      </w:pPr>
      <w:r w:rsidRPr="000C2AA1">
        <w:rPr>
          <w:rFonts w:eastAsia="Times New Roman" w:cs="Arial"/>
          <w:color w:val="000000"/>
          <w:lang w:eastAsia="bg-BG"/>
        </w:rPr>
        <w:t>Пациенти с анамнеза за суицидни опити, или такива със значими суицидни идеи преди започване на лечението са изложени на по-голям риск от суицидни мисли и намерения и трябва да бъдат наблюдавани внимателно по време на лечението. Мета анализ на плацебо- контролирани клинични изпитвания на антидепресанти при възрастни пациенти с психически нарушения показва повишен риск от суицидно поведение при пациенти под  25 годишна възраст лекувани с антидепресанти в сравнение с тези, които са получавали плацебо. Внимателно наблюдение на пациентите и по-специално на тези с повишен риск трябва да придружава лекарствената терапия, особено по време на началното лечение и при промени на дозата. Трябва да се обърне внимание на пациентите (и на грижещите се за тях лица) относно необходимостта да следят за всяко клинично влошаване, както и за появата на суицидни мисли и опити и за необичайни промени в поведението, и незабавно да потърсят лекарска помощ, ако се появят такива симптоми.</w:t>
      </w:r>
    </w:p>
    <w:p w14:paraId="482481CE" w14:textId="77777777" w:rsidR="000C2AA1" w:rsidRPr="000C2AA1" w:rsidRDefault="000C2AA1" w:rsidP="000C2AA1">
      <w:pPr>
        <w:spacing w:line="240" w:lineRule="auto"/>
        <w:rPr>
          <w:rFonts w:eastAsia="Times New Roman" w:cs="Arial"/>
          <w:color w:val="000000"/>
          <w:lang w:eastAsia="bg-BG"/>
        </w:rPr>
      </w:pPr>
    </w:p>
    <w:p w14:paraId="10D66F6D" w14:textId="1CE2E97F" w:rsidR="000C2AA1" w:rsidRPr="000C2AA1" w:rsidRDefault="000C2AA1" w:rsidP="000C2AA1">
      <w:pPr>
        <w:spacing w:line="240" w:lineRule="auto"/>
        <w:rPr>
          <w:rFonts w:eastAsia="Times New Roman" w:cs="Arial"/>
        </w:rPr>
      </w:pPr>
      <w:r w:rsidRPr="000C2AA1">
        <w:rPr>
          <w:rFonts w:eastAsia="Times New Roman" w:cs="Arial"/>
          <w:color w:val="000000"/>
          <w:lang w:eastAsia="bg-BG"/>
        </w:rPr>
        <w:t>Поради възможността да се наблюдават суицидни инциденти, особено в началото на лечението, на пациентите трябва да бъдат дадени само ограничен брой таблетки.</w:t>
      </w:r>
    </w:p>
    <w:p w14:paraId="4FB48EB5" w14:textId="77777777" w:rsidR="000C2AA1" w:rsidRPr="000C2AA1" w:rsidRDefault="000C2AA1" w:rsidP="000C2AA1">
      <w:pPr>
        <w:spacing w:line="240" w:lineRule="auto"/>
        <w:rPr>
          <w:rFonts w:eastAsia="Times New Roman" w:cs="Arial"/>
          <w:i/>
          <w:iCs/>
          <w:color w:val="000000"/>
          <w:u w:val="single"/>
          <w:lang w:eastAsia="bg-BG"/>
        </w:rPr>
      </w:pPr>
    </w:p>
    <w:p w14:paraId="0D7D4FF0" w14:textId="3B949F6B" w:rsidR="000C2AA1" w:rsidRPr="000C2AA1" w:rsidRDefault="000C2AA1" w:rsidP="000C2AA1">
      <w:pPr>
        <w:spacing w:line="240" w:lineRule="auto"/>
        <w:rPr>
          <w:rFonts w:eastAsia="Times New Roman" w:cs="Arial"/>
        </w:rPr>
      </w:pPr>
      <w:r w:rsidRPr="000C2AA1">
        <w:rPr>
          <w:rFonts w:eastAsia="Times New Roman" w:cs="Arial"/>
          <w:i/>
          <w:iCs/>
          <w:color w:val="000000"/>
          <w:u w:val="single"/>
          <w:lang w:eastAsia="bg-BG"/>
        </w:rPr>
        <w:t>Потискане на костно-мозъчната функция</w:t>
      </w:r>
    </w:p>
    <w:p w14:paraId="1B706B87"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По време на лечение с миртазапин е докладвано потискане на функцията на костния мозък, обикновено проявяващо се като гранулоцитопения или агранулоцитоза. Обратима агранулоцитоза е докладвана като рядко събитие при клинични изпитвания с миртазапин. В постмаркетинговия период на миртазапин са докладвани много редки случаи на агранулоцитоза, предимно обратима, но в някои случаи фатална. Фаталните случаи най-вече засягат пациенти на възраст над 65 години. Лекарят трябва да третира с повишено внимание симтоми като треска, възпалено гърло, стоматит или други признаци на инфекция. Когато такива симтоми се появят, лечението трябва да бъде преустановено и да се изследва кръвната картина.</w:t>
      </w:r>
    </w:p>
    <w:p w14:paraId="3B5B0A57" w14:textId="77777777" w:rsidR="000C2AA1" w:rsidRPr="000C2AA1" w:rsidRDefault="000C2AA1" w:rsidP="000C2AA1">
      <w:pPr>
        <w:spacing w:line="240" w:lineRule="auto"/>
        <w:rPr>
          <w:rFonts w:eastAsia="Times New Roman" w:cs="Arial"/>
          <w:i/>
          <w:iCs/>
          <w:color w:val="000000"/>
          <w:u w:val="single"/>
          <w:lang w:eastAsia="bg-BG"/>
        </w:rPr>
      </w:pPr>
    </w:p>
    <w:p w14:paraId="42D9DC81" w14:textId="5CD3907E" w:rsidR="000C2AA1" w:rsidRPr="000C2AA1" w:rsidRDefault="000C2AA1" w:rsidP="000C2AA1">
      <w:pPr>
        <w:spacing w:line="240" w:lineRule="auto"/>
        <w:rPr>
          <w:rFonts w:eastAsia="Times New Roman" w:cs="Arial"/>
        </w:rPr>
      </w:pPr>
      <w:r w:rsidRPr="000C2AA1">
        <w:rPr>
          <w:rFonts w:eastAsia="Times New Roman" w:cs="Arial"/>
          <w:i/>
          <w:iCs/>
          <w:color w:val="000000"/>
          <w:u w:val="single"/>
          <w:lang w:eastAsia="bg-BG"/>
        </w:rPr>
        <w:t>Тежки кожни нежелани реакции</w:t>
      </w:r>
    </w:p>
    <w:p w14:paraId="3AED1F20"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 xml:space="preserve">Тежки кожни нежелани реакции (ТКНР), включително синдром на </w:t>
      </w:r>
      <w:r w:rsidRPr="000C2AA1">
        <w:rPr>
          <w:rFonts w:eastAsia="Times New Roman" w:cs="Arial"/>
          <w:color w:val="000000"/>
          <w:lang w:val="en-US"/>
        </w:rPr>
        <w:t>Stevens</w:t>
      </w:r>
      <w:r w:rsidRPr="000C2AA1">
        <w:rPr>
          <w:rFonts w:eastAsia="Times New Roman" w:cs="Arial"/>
          <w:color w:val="000000"/>
          <w:lang w:val="ru-RU"/>
        </w:rPr>
        <w:t>-</w:t>
      </w:r>
      <w:r w:rsidRPr="000C2AA1">
        <w:rPr>
          <w:rFonts w:eastAsia="Times New Roman" w:cs="Arial"/>
          <w:color w:val="000000"/>
          <w:lang w:val="en-US"/>
        </w:rPr>
        <w:t>Johnson</w:t>
      </w:r>
      <w:r w:rsidRPr="000C2AA1">
        <w:rPr>
          <w:rFonts w:eastAsia="Times New Roman" w:cs="Arial"/>
          <w:color w:val="000000"/>
          <w:lang w:val="ru-RU"/>
        </w:rPr>
        <w:t xml:space="preserve"> </w:t>
      </w:r>
      <w:r w:rsidRPr="000C2AA1">
        <w:rPr>
          <w:rFonts w:eastAsia="Times New Roman" w:cs="Arial"/>
          <w:color w:val="000000"/>
          <w:lang w:eastAsia="bg-BG"/>
        </w:rPr>
        <w:t xml:space="preserve">(ССД) и токсична епидермална некролиза (ТЕН), лекарствена реакция с еозинофилия и системни симптоми </w:t>
      </w:r>
      <w:r w:rsidRPr="000C2AA1">
        <w:rPr>
          <w:rFonts w:eastAsia="Times New Roman" w:cs="Arial"/>
          <w:color w:val="000000"/>
          <w:lang w:val="ru-RU"/>
        </w:rPr>
        <w:t>(</w:t>
      </w:r>
      <w:r w:rsidRPr="000C2AA1">
        <w:rPr>
          <w:rFonts w:eastAsia="Times New Roman" w:cs="Arial"/>
          <w:color w:val="000000"/>
          <w:lang w:val="en-US"/>
        </w:rPr>
        <w:t>DRESS</w:t>
      </w:r>
      <w:r w:rsidRPr="000C2AA1">
        <w:rPr>
          <w:rFonts w:eastAsia="Times New Roman" w:cs="Arial"/>
          <w:color w:val="000000"/>
          <w:lang w:val="ru-RU"/>
        </w:rPr>
        <w:t xml:space="preserve">), </w:t>
      </w:r>
      <w:r w:rsidRPr="000C2AA1">
        <w:rPr>
          <w:rFonts w:eastAsia="Times New Roman" w:cs="Arial"/>
          <w:color w:val="000000"/>
          <w:lang w:eastAsia="bg-BG"/>
        </w:rPr>
        <w:t>булозен дерматит и еритема мултиформе, които могат да бъдат животозастрашаващи или с летален изход, са съобщавани във връзка с лечението с миртазапин. Ако се появят признаци и симптоми, предполагащи тези реакции, приемът на миртазапин трябва незабавно да се спре.</w:t>
      </w:r>
    </w:p>
    <w:p w14:paraId="35CFD56F"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Ако пациентът е развил някои от тези реакции при употребата на миртазапин, лечението с миртазапин не трябва да се започва отново при този пациент.</w:t>
      </w:r>
    </w:p>
    <w:p w14:paraId="10598C01" w14:textId="77777777" w:rsidR="000C2AA1" w:rsidRPr="000C2AA1" w:rsidRDefault="000C2AA1" w:rsidP="000C2AA1">
      <w:pPr>
        <w:spacing w:line="240" w:lineRule="auto"/>
        <w:rPr>
          <w:rFonts w:eastAsia="Times New Roman" w:cs="Arial"/>
          <w:i/>
          <w:iCs/>
          <w:color w:val="000000"/>
          <w:u w:val="single"/>
          <w:lang w:eastAsia="bg-BG"/>
        </w:rPr>
      </w:pPr>
    </w:p>
    <w:p w14:paraId="013BCFC1" w14:textId="2EA879E8" w:rsidR="000C2AA1" w:rsidRPr="000C2AA1" w:rsidRDefault="000C2AA1" w:rsidP="000C2AA1">
      <w:pPr>
        <w:spacing w:line="240" w:lineRule="auto"/>
        <w:rPr>
          <w:rFonts w:eastAsia="Times New Roman" w:cs="Arial"/>
        </w:rPr>
      </w:pPr>
      <w:r w:rsidRPr="000C2AA1">
        <w:rPr>
          <w:rFonts w:eastAsia="Times New Roman" w:cs="Arial"/>
          <w:i/>
          <w:iCs/>
          <w:color w:val="000000"/>
          <w:u w:val="single"/>
          <w:lang w:eastAsia="bg-BG"/>
        </w:rPr>
        <w:t>Жълтеница</w:t>
      </w:r>
    </w:p>
    <w:p w14:paraId="6E9DDD14"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Ако се появи жълтеница, лечението трябва да се прекрати.</w:t>
      </w:r>
    </w:p>
    <w:p w14:paraId="40C6A79A" w14:textId="77777777" w:rsidR="000C2AA1" w:rsidRPr="000C2AA1" w:rsidRDefault="000C2AA1" w:rsidP="000C2AA1">
      <w:pPr>
        <w:spacing w:line="240" w:lineRule="auto"/>
        <w:rPr>
          <w:rFonts w:eastAsia="Times New Roman" w:cs="Arial"/>
          <w:i/>
          <w:iCs/>
          <w:color w:val="000000"/>
          <w:u w:val="single"/>
          <w:lang w:eastAsia="bg-BG"/>
        </w:rPr>
      </w:pPr>
    </w:p>
    <w:p w14:paraId="39372A6C" w14:textId="565CCA38" w:rsidR="000C2AA1" w:rsidRPr="000C2AA1" w:rsidRDefault="000C2AA1" w:rsidP="000C2AA1">
      <w:pPr>
        <w:spacing w:line="240" w:lineRule="auto"/>
        <w:rPr>
          <w:rFonts w:eastAsia="Times New Roman" w:cs="Arial"/>
        </w:rPr>
      </w:pPr>
      <w:r w:rsidRPr="000C2AA1">
        <w:rPr>
          <w:rFonts w:eastAsia="Times New Roman" w:cs="Arial"/>
          <w:i/>
          <w:iCs/>
          <w:color w:val="000000"/>
          <w:u w:val="single"/>
          <w:lang w:eastAsia="bg-BG"/>
        </w:rPr>
        <w:t>Състояния, които трябва да се наблюдават</w:t>
      </w:r>
    </w:p>
    <w:p w14:paraId="6956F7F3" w14:textId="77777777" w:rsidR="000C2AA1" w:rsidRPr="000C2AA1" w:rsidRDefault="000C2AA1" w:rsidP="000C2AA1">
      <w:pPr>
        <w:spacing w:line="240" w:lineRule="auto"/>
        <w:rPr>
          <w:rFonts w:eastAsia="Times New Roman" w:cs="Arial"/>
          <w:color w:val="000000"/>
          <w:lang w:eastAsia="bg-BG"/>
        </w:rPr>
      </w:pPr>
    </w:p>
    <w:p w14:paraId="4E4E5662" w14:textId="77777777" w:rsidR="000C2AA1" w:rsidRPr="000C2AA1" w:rsidRDefault="000C2AA1" w:rsidP="000C2AA1">
      <w:pPr>
        <w:spacing w:line="240" w:lineRule="auto"/>
        <w:rPr>
          <w:rFonts w:eastAsia="Times New Roman" w:cs="Arial"/>
          <w:color w:val="000000"/>
          <w:lang w:eastAsia="bg-BG"/>
        </w:rPr>
      </w:pPr>
      <w:r w:rsidRPr="000C2AA1">
        <w:rPr>
          <w:rFonts w:eastAsia="Times New Roman" w:cs="Arial"/>
          <w:color w:val="000000"/>
          <w:lang w:eastAsia="bg-BG"/>
        </w:rPr>
        <w:lastRenderedPageBreak/>
        <w:t>Внимателно дозиране, както и редовно и стриктно наблюдение е необходимо при пациенти с:</w:t>
      </w:r>
    </w:p>
    <w:p w14:paraId="25240042" w14:textId="77777777" w:rsidR="000C2AA1" w:rsidRPr="000C2AA1" w:rsidRDefault="000C2AA1" w:rsidP="000C2AA1">
      <w:pPr>
        <w:pStyle w:val="ListParagraph"/>
        <w:numPr>
          <w:ilvl w:val="0"/>
          <w:numId w:val="38"/>
        </w:numPr>
        <w:spacing w:line="240" w:lineRule="auto"/>
        <w:rPr>
          <w:rFonts w:eastAsia="Times New Roman" w:cs="Arial"/>
        </w:rPr>
      </w:pPr>
      <w:r w:rsidRPr="000C2AA1">
        <w:rPr>
          <w:rFonts w:eastAsia="Times New Roman" w:cs="Arial"/>
          <w:i/>
          <w:iCs/>
          <w:color w:val="000000"/>
          <w:lang w:eastAsia="bg-BG"/>
        </w:rPr>
        <w:t>Епилепсия и органичен мозъчен синдром</w:t>
      </w:r>
      <w:r w:rsidRPr="000C2AA1">
        <w:rPr>
          <w:rFonts w:eastAsia="Times New Roman" w:cs="Arial"/>
          <w:color w:val="000000"/>
          <w:lang w:eastAsia="bg-BG"/>
        </w:rPr>
        <w:t xml:space="preserve"> - Въпреки, че клиничният опит показва, че епилептични пристъпи са редки по време на лечение с миртазапин, както и с други антидепресанти, миртазапин трябва да се прилага предпазливо при пациенти с анамнеза за такива пристъпи. Лечението трябва да бъде преустановено при всеки пациент, който започне да получава пристъпи, или при когото честотата на пристъпите се повишава.</w:t>
      </w:r>
    </w:p>
    <w:p w14:paraId="0F0649B3" w14:textId="77777777" w:rsidR="000C2AA1" w:rsidRPr="000C2AA1" w:rsidRDefault="000C2AA1" w:rsidP="000C2AA1">
      <w:pPr>
        <w:pStyle w:val="ListParagraph"/>
        <w:numPr>
          <w:ilvl w:val="0"/>
          <w:numId w:val="38"/>
        </w:numPr>
        <w:spacing w:line="240" w:lineRule="auto"/>
        <w:rPr>
          <w:rFonts w:eastAsia="Times New Roman" w:cs="Arial"/>
        </w:rPr>
      </w:pPr>
      <w:r w:rsidRPr="000C2AA1">
        <w:rPr>
          <w:rFonts w:eastAsia="Times New Roman" w:cs="Arial"/>
          <w:i/>
          <w:iCs/>
          <w:color w:val="000000"/>
          <w:lang w:eastAsia="bg-BG"/>
        </w:rPr>
        <w:t>Чернодробно увреждане -</w:t>
      </w:r>
      <w:r w:rsidRPr="000C2AA1">
        <w:rPr>
          <w:rFonts w:eastAsia="Times New Roman" w:cs="Arial"/>
          <w:color w:val="000000"/>
          <w:lang w:eastAsia="bg-BG"/>
        </w:rPr>
        <w:t xml:space="preserve"> След еднократно перорално приложение на миртазапин 15 </w:t>
      </w:r>
      <w:r w:rsidRPr="000C2AA1">
        <w:rPr>
          <w:rFonts w:eastAsia="Times New Roman" w:cs="Arial"/>
          <w:color w:val="000000"/>
          <w:lang w:val="en-US"/>
        </w:rPr>
        <w:t>mg</w:t>
      </w:r>
      <w:r w:rsidRPr="000C2AA1">
        <w:rPr>
          <w:rFonts w:eastAsia="Times New Roman" w:cs="Arial"/>
          <w:color w:val="000000"/>
          <w:lang w:val="ru-RU"/>
        </w:rPr>
        <w:t xml:space="preserve">, </w:t>
      </w:r>
      <w:r w:rsidRPr="000C2AA1">
        <w:rPr>
          <w:rFonts w:eastAsia="Times New Roman" w:cs="Arial"/>
          <w:color w:val="000000"/>
          <w:lang w:eastAsia="bg-BG"/>
        </w:rPr>
        <w:t>неговият клирънс е показал намаляване с приблизително 35% при пациенти с леко до умерено нарушена чернодробна функция, в сравнение с хора с нормална функция на черния дроб. Средната плазмена концентрация на миртазапин е повишена с около 55%.</w:t>
      </w:r>
    </w:p>
    <w:p w14:paraId="2201DDBE" w14:textId="77777777" w:rsidR="000C2AA1" w:rsidRPr="000C2AA1" w:rsidRDefault="000C2AA1" w:rsidP="000C2AA1">
      <w:pPr>
        <w:pStyle w:val="ListParagraph"/>
        <w:numPr>
          <w:ilvl w:val="0"/>
          <w:numId w:val="38"/>
        </w:numPr>
        <w:spacing w:line="240" w:lineRule="auto"/>
        <w:rPr>
          <w:rFonts w:eastAsia="Times New Roman" w:cs="Arial"/>
        </w:rPr>
      </w:pPr>
      <w:r w:rsidRPr="000C2AA1">
        <w:rPr>
          <w:rFonts w:eastAsia="Times New Roman" w:cs="Arial"/>
          <w:i/>
          <w:iCs/>
          <w:color w:val="000000"/>
          <w:lang w:eastAsia="bg-BG"/>
        </w:rPr>
        <w:t>Бъбречно увреждане -</w:t>
      </w:r>
      <w:r w:rsidRPr="000C2AA1">
        <w:rPr>
          <w:rFonts w:eastAsia="Times New Roman" w:cs="Arial"/>
          <w:color w:val="000000"/>
          <w:lang w:eastAsia="bg-BG"/>
        </w:rPr>
        <w:t xml:space="preserve"> След еднократна перорална доза от 15 </w:t>
      </w:r>
      <w:r w:rsidRPr="000C2AA1">
        <w:rPr>
          <w:rFonts w:eastAsia="Times New Roman" w:cs="Arial"/>
          <w:color w:val="000000"/>
          <w:lang w:val="en-US"/>
        </w:rPr>
        <w:t>mg</w:t>
      </w:r>
      <w:r w:rsidRPr="000C2AA1">
        <w:rPr>
          <w:rFonts w:eastAsia="Times New Roman" w:cs="Arial"/>
          <w:color w:val="000000"/>
          <w:lang w:val="ru-RU"/>
        </w:rPr>
        <w:t xml:space="preserve"> </w:t>
      </w:r>
      <w:r w:rsidRPr="000C2AA1">
        <w:rPr>
          <w:rFonts w:eastAsia="Times New Roman" w:cs="Arial"/>
          <w:color w:val="000000"/>
          <w:lang w:eastAsia="bg-BG"/>
        </w:rPr>
        <w:t xml:space="preserve">миртазапин при пациенти с умерено нарушена (креатининов клирънс &lt; 40 </w:t>
      </w:r>
      <w:r w:rsidRPr="000C2AA1">
        <w:rPr>
          <w:rFonts w:eastAsia="Times New Roman" w:cs="Arial"/>
          <w:color w:val="000000"/>
          <w:lang w:val="en-US"/>
        </w:rPr>
        <w:t>ml</w:t>
      </w:r>
      <w:r w:rsidRPr="000C2AA1">
        <w:rPr>
          <w:rFonts w:eastAsia="Times New Roman" w:cs="Arial"/>
          <w:color w:val="000000"/>
          <w:lang w:val="ru-RU"/>
        </w:rPr>
        <w:t>/</w:t>
      </w:r>
      <w:r w:rsidRPr="000C2AA1">
        <w:rPr>
          <w:rFonts w:eastAsia="Times New Roman" w:cs="Arial"/>
          <w:color w:val="000000"/>
          <w:lang w:val="en-US"/>
        </w:rPr>
        <w:t>min</w:t>
      </w:r>
      <w:r w:rsidRPr="000C2AA1">
        <w:rPr>
          <w:rFonts w:eastAsia="Times New Roman" w:cs="Arial"/>
          <w:color w:val="000000"/>
          <w:lang w:val="ru-RU"/>
        </w:rPr>
        <w:t xml:space="preserve">) </w:t>
      </w:r>
      <w:r w:rsidRPr="000C2AA1">
        <w:rPr>
          <w:rFonts w:eastAsia="Times New Roman" w:cs="Arial"/>
          <w:color w:val="000000"/>
          <w:lang w:eastAsia="bg-BG"/>
        </w:rPr>
        <w:t xml:space="preserve">и тежко нарушена (креатининов клирънс ≤10 </w:t>
      </w:r>
      <w:r w:rsidRPr="000C2AA1">
        <w:rPr>
          <w:rFonts w:eastAsia="Times New Roman" w:cs="Arial"/>
          <w:color w:val="000000"/>
          <w:lang w:val="en-US"/>
        </w:rPr>
        <w:t>ml</w:t>
      </w:r>
      <w:r w:rsidRPr="000C2AA1">
        <w:rPr>
          <w:rFonts w:eastAsia="Times New Roman" w:cs="Arial"/>
          <w:color w:val="000000"/>
          <w:lang w:val="ru-RU"/>
        </w:rPr>
        <w:t>/</w:t>
      </w:r>
      <w:r w:rsidRPr="000C2AA1">
        <w:rPr>
          <w:rFonts w:eastAsia="Times New Roman" w:cs="Arial"/>
          <w:color w:val="000000"/>
          <w:lang w:val="en-US"/>
        </w:rPr>
        <w:t>min</w:t>
      </w:r>
      <w:r w:rsidRPr="000C2AA1">
        <w:rPr>
          <w:rFonts w:eastAsia="Times New Roman" w:cs="Arial"/>
          <w:color w:val="000000"/>
          <w:lang w:val="ru-RU"/>
        </w:rPr>
        <w:t xml:space="preserve">) </w:t>
      </w:r>
      <w:r w:rsidRPr="000C2AA1">
        <w:rPr>
          <w:rFonts w:eastAsia="Times New Roman" w:cs="Arial"/>
          <w:color w:val="000000"/>
          <w:lang w:eastAsia="bg-BG"/>
        </w:rPr>
        <w:t xml:space="preserve">бъбречна функция, клирънсът на миртазапин се е понижил с около 30% и 50% съответно, в сравнение с пациенти с нормална бъбречна функция. Средните плазмени концентрации на миртазапин са се повишили с около 55% и 115% съответно. Не са установени сигнификантни различия при пациенти с леко нарушение на бъбречна функция (креатининов клирънс &lt; 80 </w:t>
      </w:r>
      <w:r w:rsidRPr="000C2AA1">
        <w:rPr>
          <w:rFonts w:eastAsia="Times New Roman" w:cs="Arial"/>
          <w:color w:val="000000"/>
          <w:lang w:val="en-US"/>
        </w:rPr>
        <w:t>ml</w:t>
      </w:r>
      <w:r w:rsidRPr="000C2AA1">
        <w:rPr>
          <w:rFonts w:eastAsia="Times New Roman" w:cs="Arial"/>
          <w:color w:val="000000"/>
          <w:lang w:val="ru-RU"/>
        </w:rPr>
        <w:t>/</w:t>
      </w:r>
      <w:r w:rsidRPr="000C2AA1">
        <w:rPr>
          <w:rFonts w:eastAsia="Times New Roman" w:cs="Arial"/>
          <w:color w:val="000000"/>
          <w:lang w:val="en-US"/>
        </w:rPr>
        <w:t>min</w:t>
      </w:r>
      <w:r w:rsidRPr="000C2AA1">
        <w:rPr>
          <w:rFonts w:eastAsia="Times New Roman" w:cs="Arial"/>
          <w:color w:val="000000"/>
          <w:lang w:val="ru-RU"/>
        </w:rPr>
        <w:t xml:space="preserve">) </w:t>
      </w:r>
      <w:r w:rsidRPr="000C2AA1">
        <w:rPr>
          <w:rFonts w:eastAsia="Times New Roman" w:cs="Arial"/>
          <w:color w:val="000000"/>
          <w:lang w:eastAsia="bg-BG"/>
        </w:rPr>
        <w:t>при сравняване с контролната група.</w:t>
      </w:r>
    </w:p>
    <w:p w14:paraId="78BCC76D" w14:textId="77777777" w:rsidR="000C2AA1" w:rsidRPr="000C2AA1" w:rsidRDefault="000C2AA1" w:rsidP="000C2AA1">
      <w:pPr>
        <w:pStyle w:val="ListParagraph"/>
        <w:numPr>
          <w:ilvl w:val="0"/>
          <w:numId w:val="38"/>
        </w:numPr>
        <w:spacing w:line="240" w:lineRule="auto"/>
        <w:rPr>
          <w:rFonts w:eastAsia="Times New Roman" w:cs="Arial"/>
        </w:rPr>
      </w:pPr>
      <w:r w:rsidRPr="000C2AA1">
        <w:rPr>
          <w:rFonts w:eastAsia="Times New Roman" w:cs="Arial"/>
          <w:i/>
          <w:iCs/>
          <w:color w:val="000000"/>
          <w:lang w:eastAsia="bg-BG"/>
        </w:rPr>
        <w:t>Заболявания на сърцето, като нарушения в сърдечната проводимост, ангина пекторис и скоро преживян миокарден инфаркт,</w:t>
      </w:r>
      <w:r w:rsidRPr="000C2AA1">
        <w:rPr>
          <w:rFonts w:eastAsia="Times New Roman" w:cs="Arial"/>
          <w:color w:val="000000"/>
          <w:lang w:eastAsia="bg-BG"/>
        </w:rPr>
        <w:t xml:space="preserve"> където е необходимо да се вземат обичайните</w:t>
      </w:r>
      <w:r w:rsidRPr="000C2AA1">
        <w:rPr>
          <w:rFonts w:eastAsia="Times New Roman" w:cs="Arial"/>
          <w:color w:val="000000"/>
          <w:u w:val="single"/>
          <w:lang w:eastAsia="bg-BG"/>
        </w:rPr>
        <w:t xml:space="preserve"> </w:t>
      </w:r>
      <w:r w:rsidRPr="000C2AA1">
        <w:rPr>
          <w:rFonts w:eastAsia="Times New Roman" w:cs="Arial"/>
          <w:color w:val="000000"/>
          <w:lang w:eastAsia="bg-BG"/>
        </w:rPr>
        <w:t>предпазни мерки и внимателно да се прилагат съпътстващи медикаменти.</w:t>
      </w:r>
    </w:p>
    <w:p w14:paraId="794F51F5" w14:textId="77777777" w:rsidR="000C2AA1" w:rsidRPr="000C2AA1" w:rsidRDefault="000C2AA1" w:rsidP="000C2AA1">
      <w:pPr>
        <w:pStyle w:val="ListParagraph"/>
        <w:numPr>
          <w:ilvl w:val="0"/>
          <w:numId w:val="38"/>
        </w:numPr>
        <w:spacing w:line="240" w:lineRule="auto"/>
        <w:rPr>
          <w:rFonts w:eastAsia="Times New Roman" w:cs="Arial"/>
        </w:rPr>
      </w:pPr>
      <w:r w:rsidRPr="000C2AA1">
        <w:rPr>
          <w:rFonts w:eastAsia="Times New Roman" w:cs="Arial"/>
          <w:i/>
          <w:iCs/>
          <w:color w:val="000000"/>
          <w:lang w:eastAsia="bg-BG"/>
        </w:rPr>
        <w:t>Ниско артериално налягане.</w:t>
      </w:r>
    </w:p>
    <w:p w14:paraId="4696A91F" w14:textId="33674BB5" w:rsidR="000C2AA1" w:rsidRPr="000C2AA1" w:rsidRDefault="000C2AA1" w:rsidP="000C2AA1">
      <w:pPr>
        <w:pStyle w:val="ListParagraph"/>
        <w:numPr>
          <w:ilvl w:val="0"/>
          <w:numId w:val="38"/>
        </w:numPr>
        <w:spacing w:line="240" w:lineRule="auto"/>
        <w:rPr>
          <w:rFonts w:eastAsia="Times New Roman" w:cs="Arial"/>
        </w:rPr>
      </w:pPr>
      <w:r w:rsidRPr="000C2AA1">
        <w:rPr>
          <w:rFonts w:eastAsia="Times New Roman" w:cs="Arial"/>
          <w:i/>
          <w:iCs/>
          <w:color w:val="000000"/>
          <w:lang w:eastAsia="bg-BG"/>
        </w:rPr>
        <w:t>Захарен диабет -</w:t>
      </w:r>
      <w:r w:rsidRPr="000C2AA1">
        <w:rPr>
          <w:rFonts w:eastAsia="Times New Roman" w:cs="Arial"/>
          <w:color w:val="000000"/>
          <w:lang w:eastAsia="bg-BG"/>
        </w:rPr>
        <w:t xml:space="preserve"> При пациенти с диабет антидепресантите могат да променят гликемичния контрол. Възможно е да се наложи промяна в дозата на инсулин и/или на пероралните хипогликемични продукти, като се препоръчва внимателно наблюдение на пациентите.</w:t>
      </w:r>
    </w:p>
    <w:p w14:paraId="040545B4" w14:textId="1CD0361F" w:rsidR="000C2AA1" w:rsidRPr="000C2AA1" w:rsidRDefault="000C2AA1" w:rsidP="000C2AA1">
      <w:pPr>
        <w:rPr>
          <w:rFonts w:cs="Arial"/>
        </w:rPr>
      </w:pPr>
    </w:p>
    <w:p w14:paraId="47555D8C"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Както при други антидепресанти, трябва да се обърне внимание на следното:</w:t>
      </w:r>
    </w:p>
    <w:p w14:paraId="5B577979" w14:textId="77777777" w:rsidR="000C2AA1" w:rsidRPr="000C2AA1" w:rsidRDefault="000C2AA1" w:rsidP="000C2AA1">
      <w:pPr>
        <w:pStyle w:val="ListParagraph"/>
        <w:numPr>
          <w:ilvl w:val="0"/>
          <w:numId w:val="39"/>
        </w:numPr>
        <w:spacing w:line="240" w:lineRule="auto"/>
        <w:rPr>
          <w:rFonts w:eastAsia="Times New Roman" w:cs="Arial"/>
        </w:rPr>
      </w:pPr>
      <w:r w:rsidRPr="000C2AA1">
        <w:rPr>
          <w:rFonts w:eastAsia="Times New Roman" w:cs="Arial"/>
          <w:color w:val="000000"/>
          <w:lang w:eastAsia="bg-BG"/>
        </w:rPr>
        <w:t>Влошаване на психотични симптоми може да настъпи, когато антидепресанти се прилагат на пациенти с шизофрения или други психотични нарушения; параноидните мисли могат да се засилят.</w:t>
      </w:r>
    </w:p>
    <w:p w14:paraId="245DF8A1" w14:textId="77777777" w:rsidR="000C2AA1" w:rsidRPr="000C2AA1" w:rsidRDefault="000C2AA1" w:rsidP="000C2AA1">
      <w:pPr>
        <w:pStyle w:val="ListParagraph"/>
        <w:numPr>
          <w:ilvl w:val="0"/>
          <w:numId w:val="39"/>
        </w:numPr>
        <w:spacing w:line="240" w:lineRule="auto"/>
        <w:rPr>
          <w:rFonts w:eastAsia="Times New Roman" w:cs="Arial"/>
        </w:rPr>
      </w:pPr>
      <w:r w:rsidRPr="000C2AA1">
        <w:rPr>
          <w:rFonts w:eastAsia="Times New Roman" w:cs="Arial"/>
          <w:color w:val="000000"/>
          <w:lang w:eastAsia="bg-BG"/>
        </w:rPr>
        <w:t>Когато се лекува депресивната фаза на биполярно разстройство, тя може да се трансформира в маниакална фаза. Пациенти с анамнеза за мания/хипомания трябва да бъдат внимателно проследявани. Миртазапин трябва да бъде преустановен при всеки пациент, навлизащ в маниакална фаза.</w:t>
      </w:r>
    </w:p>
    <w:p w14:paraId="04450A32" w14:textId="77777777" w:rsidR="000C2AA1" w:rsidRPr="000C2AA1" w:rsidRDefault="000C2AA1" w:rsidP="000C2AA1">
      <w:pPr>
        <w:pStyle w:val="ListParagraph"/>
        <w:numPr>
          <w:ilvl w:val="0"/>
          <w:numId w:val="39"/>
        </w:numPr>
        <w:spacing w:line="240" w:lineRule="auto"/>
        <w:rPr>
          <w:rFonts w:eastAsia="Times New Roman" w:cs="Arial"/>
        </w:rPr>
      </w:pPr>
      <w:r w:rsidRPr="000C2AA1">
        <w:rPr>
          <w:rFonts w:eastAsia="Times New Roman" w:cs="Arial"/>
          <w:color w:val="000000"/>
          <w:lang w:eastAsia="bg-BG"/>
        </w:rPr>
        <w:t>Въпреки, че миртазапин не води до пристрастяване, постмаркетинговият опит показва, че рязко преустановяване на лечението след продължителен период на прилагане може понякога да доведе до симтоми на отнемане. Повечето от реакциите на отнемане са леки и самоограничаващи се. Сред различните симптоми на отнемане, най-често са докладвани замаяност, възбуда, тревожност, главоболие и гадене. Въпреки, че са докладвани като симтоми на отнемане, трябва да се вземе под внимание, че тези симптоми може да се дължат на самото заболяване. Както е упоменато в точка 4.2, препоръчително е лечението с миртазапин да се преустановява постепенно.</w:t>
      </w:r>
    </w:p>
    <w:p w14:paraId="0416A6AB" w14:textId="77777777" w:rsidR="000C2AA1" w:rsidRPr="000C2AA1" w:rsidRDefault="000C2AA1" w:rsidP="000C2AA1">
      <w:pPr>
        <w:pStyle w:val="ListParagraph"/>
        <w:numPr>
          <w:ilvl w:val="0"/>
          <w:numId w:val="39"/>
        </w:numPr>
        <w:spacing w:line="240" w:lineRule="auto"/>
        <w:rPr>
          <w:rFonts w:eastAsia="Times New Roman" w:cs="Arial"/>
        </w:rPr>
      </w:pPr>
      <w:r w:rsidRPr="000C2AA1">
        <w:rPr>
          <w:rFonts w:eastAsia="Times New Roman" w:cs="Arial"/>
          <w:color w:val="000000"/>
          <w:lang w:eastAsia="bg-BG"/>
        </w:rPr>
        <w:t xml:space="preserve">Пациенти с нарушения в уринирането като хипертрофия на простатата и пациенти с остра тесноъгьлна глаукома и повишено вътреочно налягане трябва да се </w:t>
      </w:r>
      <w:r w:rsidRPr="000C2AA1">
        <w:rPr>
          <w:rFonts w:eastAsia="Times New Roman" w:cs="Arial"/>
          <w:color w:val="000000"/>
          <w:lang w:eastAsia="bg-BG"/>
        </w:rPr>
        <w:lastRenderedPageBreak/>
        <w:t>лекуват с повишено внимание (въпреки, че съществува малка вероятност от проблеми с миртазапин, поради неговото много слабо антихолинергично действие).</w:t>
      </w:r>
    </w:p>
    <w:p w14:paraId="03C6D944" w14:textId="323DB35C" w:rsidR="000C2AA1" w:rsidRPr="000C2AA1" w:rsidRDefault="000C2AA1" w:rsidP="000C2AA1">
      <w:pPr>
        <w:pStyle w:val="ListParagraph"/>
        <w:numPr>
          <w:ilvl w:val="0"/>
          <w:numId w:val="39"/>
        </w:numPr>
        <w:spacing w:line="240" w:lineRule="auto"/>
        <w:rPr>
          <w:rFonts w:eastAsia="Times New Roman" w:cs="Arial"/>
        </w:rPr>
      </w:pPr>
      <w:r w:rsidRPr="000C2AA1">
        <w:rPr>
          <w:rFonts w:eastAsia="Times New Roman" w:cs="Arial"/>
          <w:color w:val="000000"/>
          <w:lang w:eastAsia="bg-BG"/>
        </w:rPr>
        <w:t>Акатизия/психомоторно безпокойство: Употребата на антидепресанти се свързва с развитие на акатизия, характеризираща се със субективно неприятно или изтощително безпокойство и нужда от движение, често съпровождана от неспособност за седене и стоене на едно място. Това е най-вероятно да се прояви в рамките на първите няколко седмици от лечението. При пациенти, които получат тези симтоми, повишаването на дозата може да бъде вредно.</w:t>
      </w:r>
    </w:p>
    <w:p w14:paraId="711CD7BA" w14:textId="77777777" w:rsidR="000C2AA1" w:rsidRPr="000C2AA1" w:rsidRDefault="000C2AA1" w:rsidP="000C2AA1">
      <w:pPr>
        <w:spacing w:line="240" w:lineRule="auto"/>
        <w:rPr>
          <w:rFonts w:eastAsia="Times New Roman" w:cs="Arial"/>
          <w:i/>
          <w:iCs/>
          <w:color w:val="000000"/>
          <w:u w:val="single"/>
          <w:lang w:eastAsia="bg-BG"/>
        </w:rPr>
      </w:pPr>
    </w:p>
    <w:p w14:paraId="7E89AB17" w14:textId="7404A437" w:rsidR="000C2AA1" w:rsidRPr="000C2AA1" w:rsidRDefault="000C2AA1" w:rsidP="000C2AA1">
      <w:pPr>
        <w:spacing w:line="240" w:lineRule="auto"/>
        <w:rPr>
          <w:rFonts w:eastAsia="Times New Roman" w:cs="Arial"/>
        </w:rPr>
      </w:pPr>
      <w:r w:rsidRPr="000C2AA1">
        <w:rPr>
          <w:rFonts w:eastAsia="Times New Roman" w:cs="Arial"/>
          <w:i/>
          <w:iCs/>
          <w:color w:val="000000"/>
          <w:u w:val="single"/>
          <w:lang w:eastAsia="bg-BG"/>
        </w:rPr>
        <w:t>Хипонатриемия</w:t>
      </w:r>
    </w:p>
    <w:p w14:paraId="027583B3"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Хипонатриемия, която вероятно е резултат от неадекватната секреция на антидиуретичен хормон, е съобщавана много рядко при употребата на миртазапин. Внимателно трябва да се проследяват пациенти с повишен риск, като пациенти в напреднала възраст или при едновременна употреба на лекарствени продукти, които могат да предизвикат хипонатриемия.</w:t>
      </w:r>
    </w:p>
    <w:p w14:paraId="0910C2A2" w14:textId="77777777" w:rsidR="000C2AA1" w:rsidRPr="000C2AA1" w:rsidRDefault="000C2AA1" w:rsidP="000C2AA1">
      <w:pPr>
        <w:spacing w:line="240" w:lineRule="auto"/>
        <w:rPr>
          <w:rFonts w:eastAsia="Times New Roman" w:cs="Arial"/>
          <w:i/>
          <w:iCs/>
          <w:color w:val="000000"/>
          <w:u w:val="single"/>
          <w:lang w:eastAsia="bg-BG"/>
        </w:rPr>
      </w:pPr>
    </w:p>
    <w:p w14:paraId="714A24B2" w14:textId="7A8CDD3F" w:rsidR="000C2AA1" w:rsidRPr="000C2AA1" w:rsidRDefault="000C2AA1" w:rsidP="000C2AA1">
      <w:pPr>
        <w:spacing w:line="240" w:lineRule="auto"/>
        <w:rPr>
          <w:rFonts w:eastAsia="Times New Roman" w:cs="Arial"/>
        </w:rPr>
      </w:pPr>
      <w:r w:rsidRPr="000C2AA1">
        <w:rPr>
          <w:rFonts w:eastAsia="Times New Roman" w:cs="Arial"/>
          <w:i/>
          <w:iCs/>
          <w:color w:val="000000"/>
          <w:u w:val="single"/>
          <w:lang w:eastAsia="bg-BG"/>
        </w:rPr>
        <w:t>Серотонинов синдром</w:t>
      </w:r>
    </w:p>
    <w:p w14:paraId="446EA31F"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 xml:space="preserve">Взаимодействие със серотонин активни субстанции: серотонинов синдром може да се прояви, когато селективните инхибитори на обратното захващане на серотонина </w:t>
      </w:r>
      <w:r w:rsidRPr="000C2AA1">
        <w:rPr>
          <w:rFonts w:eastAsia="Times New Roman" w:cs="Arial"/>
          <w:color w:val="000000"/>
          <w:lang w:val="ru-RU"/>
        </w:rPr>
        <w:t>(</w:t>
      </w:r>
      <w:r w:rsidRPr="000C2AA1">
        <w:rPr>
          <w:rFonts w:eastAsia="Times New Roman" w:cs="Arial"/>
          <w:color w:val="000000"/>
          <w:lang w:val="en-US"/>
        </w:rPr>
        <w:t>SSRIs</w:t>
      </w:r>
      <w:r w:rsidRPr="000C2AA1">
        <w:rPr>
          <w:rFonts w:eastAsia="Times New Roman" w:cs="Arial"/>
          <w:color w:val="000000"/>
          <w:lang w:val="ru-RU"/>
        </w:rPr>
        <w:t xml:space="preserve">) </w:t>
      </w:r>
      <w:r w:rsidRPr="000C2AA1">
        <w:rPr>
          <w:rFonts w:eastAsia="Times New Roman" w:cs="Arial"/>
          <w:color w:val="000000"/>
          <w:lang w:eastAsia="bg-BG"/>
        </w:rPr>
        <w:t>се използват едновременно с други серотонин активни субстанции (вж. точка 4.5). Симптоми на серотониновия синдром могат да бъдат хипертермия, ригидност, миоклонус, автономна нестабилност с възможни бързи флуктуации на виталните показатели, промени в менталния статус, което включва обърканост, раздразнителност, прекомерна възбуда, прогресиращи до делириум и кома. Ако се наблюдават такива събития лечението с миртазепин трябва да бъде прекратено и да бъде проведена симптоматична поддържаща терапия. Постмаркетинговите наблюдения показват, че серотонинов синдром се наблюдава много рядко при пациенти, лекувани само с миртазапин (вж. точка 4.8).</w:t>
      </w:r>
    </w:p>
    <w:p w14:paraId="32E0AB57" w14:textId="77777777" w:rsidR="000C2AA1" w:rsidRPr="000C2AA1" w:rsidRDefault="000C2AA1" w:rsidP="000C2AA1">
      <w:pPr>
        <w:spacing w:line="240" w:lineRule="auto"/>
        <w:rPr>
          <w:rFonts w:eastAsia="Times New Roman" w:cs="Arial"/>
          <w:i/>
          <w:iCs/>
          <w:color w:val="000000"/>
          <w:u w:val="single"/>
          <w:lang w:eastAsia="bg-BG"/>
        </w:rPr>
      </w:pPr>
    </w:p>
    <w:p w14:paraId="6374C0BD" w14:textId="6307875B" w:rsidR="000C2AA1" w:rsidRPr="000C2AA1" w:rsidRDefault="000C2AA1" w:rsidP="000C2AA1">
      <w:pPr>
        <w:spacing w:line="240" w:lineRule="auto"/>
        <w:rPr>
          <w:rFonts w:eastAsia="Times New Roman" w:cs="Arial"/>
        </w:rPr>
      </w:pPr>
      <w:r w:rsidRPr="000C2AA1">
        <w:rPr>
          <w:rFonts w:eastAsia="Times New Roman" w:cs="Arial"/>
          <w:i/>
          <w:iCs/>
          <w:color w:val="000000"/>
          <w:u w:val="single"/>
          <w:lang w:eastAsia="bg-BG"/>
        </w:rPr>
        <w:t>Пациенти в старческа възраст</w:t>
      </w:r>
    </w:p>
    <w:p w14:paraId="111302C2"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Пациентите в старческа възраст често са по-чувствителни, особено по отношение на нежеланите реакции на антидепресантите. По време на клинични проучвания с миртазапин, нежелани реакции не са съобщавани по-често при пациенти в старческа възраст в сравнение с другите възрастови групи.</w:t>
      </w:r>
    </w:p>
    <w:p w14:paraId="2F27B4BF" w14:textId="77777777" w:rsidR="000C2AA1" w:rsidRPr="000C2AA1" w:rsidRDefault="000C2AA1" w:rsidP="000C2AA1">
      <w:pPr>
        <w:spacing w:line="240" w:lineRule="auto"/>
        <w:rPr>
          <w:rFonts w:eastAsia="Times New Roman" w:cs="Arial"/>
          <w:i/>
          <w:iCs/>
          <w:color w:val="000000"/>
          <w:u w:val="single"/>
          <w:lang w:eastAsia="bg-BG"/>
        </w:rPr>
      </w:pPr>
    </w:p>
    <w:p w14:paraId="215D75C4" w14:textId="7019F70E" w:rsidR="000C2AA1" w:rsidRPr="000C2AA1" w:rsidRDefault="000C2AA1" w:rsidP="000C2AA1">
      <w:pPr>
        <w:spacing w:line="240" w:lineRule="auto"/>
        <w:rPr>
          <w:rFonts w:eastAsia="Times New Roman" w:cs="Arial"/>
        </w:rPr>
      </w:pPr>
      <w:r w:rsidRPr="000C2AA1">
        <w:rPr>
          <w:rFonts w:eastAsia="Times New Roman" w:cs="Arial"/>
          <w:i/>
          <w:iCs/>
          <w:color w:val="000000"/>
          <w:u w:val="single"/>
          <w:lang w:eastAsia="bg-BG"/>
        </w:rPr>
        <w:t>Помощни вещества</w:t>
      </w:r>
    </w:p>
    <w:p w14:paraId="197B96E7" w14:textId="77777777" w:rsidR="000C2AA1" w:rsidRPr="000C2AA1" w:rsidRDefault="000C2AA1" w:rsidP="000C2AA1">
      <w:pPr>
        <w:spacing w:line="240" w:lineRule="auto"/>
        <w:rPr>
          <w:rFonts w:eastAsia="Times New Roman" w:cs="Arial"/>
        </w:rPr>
      </w:pPr>
      <w:r w:rsidRPr="000C2AA1">
        <w:rPr>
          <w:rFonts w:eastAsia="Times New Roman" w:cs="Arial"/>
          <w:i/>
          <w:iCs/>
          <w:color w:val="000000"/>
          <w:lang w:eastAsia="bg-BG"/>
        </w:rPr>
        <w:t>Лактоза</w:t>
      </w:r>
    </w:p>
    <w:p w14:paraId="7AB91528" w14:textId="3F4478BF" w:rsidR="000C2AA1" w:rsidRPr="000C2AA1" w:rsidRDefault="000C2AA1" w:rsidP="000C2AA1">
      <w:pPr>
        <w:rPr>
          <w:rFonts w:eastAsia="Times New Roman" w:cs="Arial"/>
          <w:color w:val="000000"/>
          <w:lang w:eastAsia="bg-BG"/>
        </w:rPr>
      </w:pPr>
      <w:r w:rsidRPr="000C2AA1">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40D91F76" w14:textId="6498D72B" w:rsidR="000C2AA1" w:rsidRPr="000C2AA1" w:rsidRDefault="000C2AA1" w:rsidP="000C2AA1">
      <w:pPr>
        <w:rPr>
          <w:rFonts w:eastAsia="Times New Roman" w:cs="Arial"/>
          <w:color w:val="000000"/>
          <w:lang w:eastAsia="bg-BG"/>
        </w:rPr>
      </w:pPr>
    </w:p>
    <w:p w14:paraId="25B13833" w14:textId="77777777" w:rsidR="000C2AA1" w:rsidRPr="000C2AA1" w:rsidRDefault="000C2AA1" w:rsidP="000C2AA1">
      <w:pPr>
        <w:spacing w:line="240" w:lineRule="auto"/>
        <w:rPr>
          <w:rFonts w:eastAsia="Times New Roman" w:cs="Arial"/>
        </w:rPr>
      </w:pPr>
      <w:r w:rsidRPr="000C2AA1">
        <w:rPr>
          <w:rFonts w:eastAsia="Times New Roman" w:cs="Arial"/>
          <w:i/>
          <w:iCs/>
          <w:color w:val="000000"/>
          <w:lang w:eastAsia="bg-BG"/>
        </w:rPr>
        <w:t>Натрий</w:t>
      </w:r>
    </w:p>
    <w:p w14:paraId="1AC5BD0B"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 xml:space="preserve">Този лекарствен продукт съдържа по-малко от 1 </w:t>
      </w:r>
      <w:proofErr w:type="spellStart"/>
      <w:r w:rsidRPr="000C2AA1">
        <w:rPr>
          <w:rFonts w:eastAsia="Times New Roman" w:cs="Arial"/>
          <w:color w:val="000000"/>
          <w:lang w:val="en-US"/>
        </w:rPr>
        <w:t>mmol</w:t>
      </w:r>
      <w:proofErr w:type="spellEnd"/>
      <w:r w:rsidRPr="000C2AA1">
        <w:rPr>
          <w:rFonts w:eastAsia="Times New Roman" w:cs="Arial"/>
          <w:color w:val="000000"/>
          <w:lang w:val="ru-RU"/>
        </w:rPr>
        <w:t xml:space="preserve"> </w:t>
      </w:r>
      <w:r w:rsidRPr="000C2AA1">
        <w:rPr>
          <w:rFonts w:eastAsia="Times New Roman" w:cs="Arial"/>
          <w:color w:val="000000"/>
          <w:lang w:eastAsia="bg-BG"/>
        </w:rPr>
        <w:t xml:space="preserve">натрий (23 </w:t>
      </w:r>
      <w:r w:rsidRPr="000C2AA1">
        <w:rPr>
          <w:rFonts w:eastAsia="Times New Roman" w:cs="Arial"/>
          <w:color w:val="000000"/>
          <w:lang w:val="en-US"/>
        </w:rPr>
        <w:t>mg</w:t>
      </w:r>
      <w:r w:rsidRPr="000C2AA1">
        <w:rPr>
          <w:rFonts w:eastAsia="Times New Roman" w:cs="Arial"/>
          <w:color w:val="000000"/>
          <w:lang w:val="ru-RU"/>
        </w:rPr>
        <w:t xml:space="preserve">) </w:t>
      </w:r>
      <w:r w:rsidRPr="000C2AA1">
        <w:rPr>
          <w:rFonts w:eastAsia="Times New Roman" w:cs="Arial"/>
          <w:color w:val="000000"/>
          <w:lang w:eastAsia="bg-BG"/>
        </w:rPr>
        <w:t>на филмирана таблетка, т.е. може да се каже, че практически не съдържа натрий.</w:t>
      </w:r>
    </w:p>
    <w:p w14:paraId="56837CA3" w14:textId="77777777" w:rsidR="000C2AA1" w:rsidRPr="000C2AA1" w:rsidRDefault="000C2AA1" w:rsidP="000C2AA1"/>
    <w:p w14:paraId="62F27C9B" w14:textId="3B9F752F"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F5F5DBE" w14:textId="389C41C7" w:rsidR="000C2AA1" w:rsidRDefault="000C2AA1" w:rsidP="000C2AA1"/>
    <w:p w14:paraId="69B3C52C" w14:textId="77777777" w:rsidR="000C2AA1" w:rsidRPr="000C2AA1" w:rsidRDefault="000C2AA1" w:rsidP="000C2AA1">
      <w:pPr>
        <w:spacing w:line="240" w:lineRule="auto"/>
        <w:rPr>
          <w:rFonts w:eastAsia="Times New Roman" w:cs="Arial"/>
          <w:sz w:val="28"/>
          <w:szCs w:val="24"/>
        </w:rPr>
      </w:pPr>
      <w:r w:rsidRPr="000C2AA1">
        <w:rPr>
          <w:rFonts w:eastAsia="Times New Roman" w:cs="Arial"/>
          <w:i/>
          <w:iCs/>
          <w:color w:val="000000"/>
          <w:szCs w:val="20"/>
          <w:u w:val="single"/>
          <w:lang w:eastAsia="bg-BG"/>
        </w:rPr>
        <w:t>Фармакодинамични взаимодействия</w:t>
      </w:r>
    </w:p>
    <w:p w14:paraId="30A0133C" w14:textId="77777777" w:rsidR="000C2AA1" w:rsidRPr="000C2AA1" w:rsidRDefault="000C2AA1" w:rsidP="000C2AA1">
      <w:pPr>
        <w:pStyle w:val="ListParagraph"/>
        <w:numPr>
          <w:ilvl w:val="0"/>
          <w:numId w:val="40"/>
        </w:numPr>
        <w:spacing w:line="240" w:lineRule="auto"/>
        <w:rPr>
          <w:rFonts w:eastAsia="Times New Roman" w:cs="Arial"/>
          <w:color w:val="000000"/>
          <w:szCs w:val="20"/>
          <w:lang w:eastAsia="bg-BG"/>
        </w:rPr>
      </w:pPr>
      <w:r w:rsidRPr="000C2AA1">
        <w:rPr>
          <w:rFonts w:eastAsia="Times New Roman" w:cs="Arial"/>
          <w:color w:val="000000"/>
          <w:szCs w:val="20"/>
          <w:lang w:eastAsia="bg-BG"/>
        </w:rPr>
        <w:lastRenderedPageBreak/>
        <w:t>Миртазапин не трябва да се прилага едновременно с МАО-инхибитори или в рамките на две седмици след преустановяване на лечение с МАО-инхибитори. Съответно трябва да изминат около две седмици, преди пациенти, лекувани с миртазапин, да бъдат подложени на лечение с МАО-инхибитори (вж. точка 4.3).</w:t>
      </w:r>
    </w:p>
    <w:p w14:paraId="080EAE01"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 xml:space="preserve">В допълнение, както при </w:t>
      </w:r>
      <w:r w:rsidRPr="000C2AA1">
        <w:rPr>
          <w:rFonts w:eastAsia="Times New Roman" w:cs="Arial"/>
          <w:color w:val="000000"/>
          <w:szCs w:val="20"/>
          <w:lang w:val="en-US"/>
        </w:rPr>
        <w:t>SSRI</w:t>
      </w:r>
      <w:r w:rsidRPr="000C2AA1">
        <w:rPr>
          <w:rFonts w:eastAsia="Times New Roman" w:cs="Arial"/>
          <w:color w:val="000000"/>
          <w:szCs w:val="20"/>
          <w:lang w:val="ru-RU"/>
        </w:rPr>
        <w:t xml:space="preserve">, </w:t>
      </w:r>
      <w:r w:rsidRPr="000C2AA1">
        <w:rPr>
          <w:rFonts w:eastAsia="Times New Roman" w:cs="Arial"/>
          <w:color w:val="000000"/>
          <w:szCs w:val="20"/>
          <w:lang w:eastAsia="bg-BG"/>
        </w:rPr>
        <w:t xml:space="preserve">едновременно прилагане с други серотонинергични активни вещества </w:t>
      </w:r>
      <w:r w:rsidRPr="000C2AA1">
        <w:rPr>
          <w:rFonts w:eastAsia="Times New Roman" w:cs="Arial"/>
          <w:color w:val="000000"/>
          <w:szCs w:val="20"/>
          <w:lang w:val="ru-RU"/>
        </w:rPr>
        <w:t>(</w:t>
      </w:r>
      <w:r w:rsidRPr="000C2AA1">
        <w:rPr>
          <w:rFonts w:eastAsia="Times New Roman" w:cs="Arial"/>
          <w:color w:val="000000"/>
          <w:szCs w:val="20"/>
          <w:lang w:val="en-US"/>
        </w:rPr>
        <w:t>L</w:t>
      </w:r>
      <w:r w:rsidRPr="000C2AA1">
        <w:rPr>
          <w:rFonts w:eastAsia="Times New Roman" w:cs="Arial"/>
          <w:color w:val="000000"/>
          <w:szCs w:val="20"/>
          <w:lang w:eastAsia="bg-BG"/>
        </w:rPr>
        <w:t xml:space="preserve">-триптофан, триптани, трамадол, линезолид, </w:t>
      </w:r>
      <w:r w:rsidRPr="000C2AA1">
        <w:rPr>
          <w:rFonts w:eastAsia="Times New Roman" w:cs="Arial"/>
          <w:color w:val="000000"/>
          <w:szCs w:val="20"/>
          <w:lang w:val="en-US"/>
        </w:rPr>
        <w:t>SSRIs</w:t>
      </w:r>
      <w:r w:rsidRPr="000C2AA1">
        <w:rPr>
          <w:rFonts w:eastAsia="Times New Roman" w:cs="Arial"/>
          <w:color w:val="000000"/>
          <w:szCs w:val="20"/>
          <w:lang w:val="ru-RU"/>
        </w:rPr>
        <w:t xml:space="preserve">, </w:t>
      </w:r>
      <w:r w:rsidRPr="000C2AA1">
        <w:rPr>
          <w:rFonts w:eastAsia="Times New Roman" w:cs="Arial"/>
          <w:color w:val="000000"/>
          <w:szCs w:val="20"/>
          <w:lang w:eastAsia="bg-BG"/>
        </w:rPr>
        <w:t xml:space="preserve">венлафаксин, литий и продукти, съдържащи жълт кантарион - </w:t>
      </w:r>
      <w:proofErr w:type="spellStart"/>
      <w:r w:rsidRPr="000C2AA1">
        <w:rPr>
          <w:rFonts w:eastAsia="Times New Roman" w:cs="Arial"/>
          <w:color w:val="000000"/>
          <w:szCs w:val="20"/>
          <w:lang w:val="en-US"/>
        </w:rPr>
        <w:t>Hypericum</w:t>
      </w:r>
      <w:proofErr w:type="spellEnd"/>
      <w:r w:rsidRPr="000C2AA1">
        <w:rPr>
          <w:rFonts w:eastAsia="Times New Roman" w:cs="Arial"/>
          <w:color w:val="000000"/>
          <w:szCs w:val="20"/>
          <w:lang w:val="ru-RU"/>
        </w:rPr>
        <w:t xml:space="preserve"> </w:t>
      </w:r>
      <w:proofErr w:type="spellStart"/>
      <w:r w:rsidRPr="000C2AA1">
        <w:rPr>
          <w:rFonts w:eastAsia="Times New Roman" w:cs="Arial"/>
          <w:color w:val="000000"/>
          <w:szCs w:val="20"/>
          <w:lang w:val="en-US"/>
        </w:rPr>
        <w:t>perforatum</w:t>
      </w:r>
      <w:proofErr w:type="spellEnd"/>
      <w:r w:rsidRPr="000C2AA1">
        <w:rPr>
          <w:rFonts w:eastAsia="Times New Roman" w:cs="Arial"/>
          <w:color w:val="000000"/>
          <w:szCs w:val="20"/>
          <w:lang w:val="ru-RU"/>
        </w:rPr>
        <w:t xml:space="preserve">) </w:t>
      </w:r>
      <w:r w:rsidRPr="000C2AA1">
        <w:rPr>
          <w:rFonts w:eastAsia="Times New Roman" w:cs="Arial"/>
          <w:color w:val="000000"/>
          <w:szCs w:val="20"/>
          <w:lang w:eastAsia="bg-BG"/>
        </w:rPr>
        <w:t>може да доведе до поява на ефекти, свързани със серотонина (серотонинов синдром: вж. точка 4.4).</w:t>
      </w:r>
    </w:p>
    <w:p w14:paraId="36362199"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Препоръчва се повишено внимание и се изисква внимателно клинично наблюдение, когато тези активни вещества се комбинират с миртазапин.</w:t>
      </w:r>
    </w:p>
    <w:p w14:paraId="3DE56481" w14:textId="77777777" w:rsidR="000C2AA1" w:rsidRPr="000C2AA1" w:rsidRDefault="000C2AA1" w:rsidP="000C2AA1">
      <w:pPr>
        <w:pStyle w:val="ListParagraph"/>
        <w:numPr>
          <w:ilvl w:val="0"/>
          <w:numId w:val="40"/>
        </w:numPr>
        <w:spacing w:line="240" w:lineRule="auto"/>
        <w:rPr>
          <w:rFonts w:eastAsia="Times New Roman" w:cs="Arial"/>
          <w:color w:val="000000"/>
          <w:szCs w:val="20"/>
          <w:lang w:eastAsia="bg-BG"/>
        </w:rPr>
      </w:pPr>
      <w:r w:rsidRPr="000C2AA1">
        <w:rPr>
          <w:rFonts w:eastAsia="Times New Roman" w:cs="Arial"/>
          <w:color w:val="000000"/>
          <w:szCs w:val="20"/>
          <w:lang w:eastAsia="bg-BG"/>
        </w:rPr>
        <w:t>Миртазапин може да увеличи седативното действие на бензодиазепините и другите седативи (особено при повечето антипсихотици, антихистамин Н1 антагонисти, опиати). Необходимо е повишено внимание, когато тези лекарствени продукти се предписват заедно с миртазапин.</w:t>
      </w:r>
    </w:p>
    <w:p w14:paraId="7F8D1625" w14:textId="77777777" w:rsidR="000C2AA1" w:rsidRPr="000C2AA1" w:rsidRDefault="000C2AA1" w:rsidP="000C2AA1">
      <w:pPr>
        <w:pStyle w:val="ListParagraph"/>
        <w:numPr>
          <w:ilvl w:val="0"/>
          <w:numId w:val="40"/>
        </w:numPr>
        <w:spacing w:line="240" w:lineRule="auto"/>
        <w:rPr>
          <w:rFonts w:eastAsia="Times New Roman" w:cs="Arial"/>
          <w:color w:val="000000"/>
          <w:szCs w:val="20"/>
          <w:lang w:eastAsia="bg-BG"/>
        </w:rPr>
      </w:pPr>
      <w:r w:rsidRPr="000C2AA1">
        <w:rPr>
          <w:rFonts w:eastAsia="Times New Roman" w:cs="Arial"/>
          <w:color w:val="000000"/>
          <w:szCs w:val="20"/>
          <w:lang w:eastAsia="bg-BG"/>
        </w:rPr>
        <w:t>Миртазапин може да повиши ефекта на алкохола като депресант на централната нервна система (ЦНС). Затова пациентите трябва да бъдат посъветвани да избягват алкохолни напитки, докато приемат миртазапин.</w:t>
      </w:r>
    </w:p>
    <w:p w14:paraId="5176C2DB" w14:textId="178C61B5" w:rsidR="000C2AA1" w:rsidRPr="000C2AA1" w:rsidRDefault="000C2AA1" w:rsidP="000C2AA1">
      <w:pPr>
        <w:pStyle w:val="ListParagraph"/>
        <w:numPr>
          <w:ilvl w:val="0"/>
          <w:numId w:val="40"/>
        </w:numPr>
        <w:spacing w:line="240" w:lineRule="auto"/>
        <w:rPr>
          <w:rFonts w:eastAsia="Times New Roman" w:cs="Arial"/>
          <w:color w:val="000000"/>
          <w:szCs w:val="20"/>
          <w:lang w:eastAsia="bg-BG"/>
        </w:rPr>
      </w:pPr>
      <w:r w:rsidRPr="000C2AA1">
        <w:rPr>
          <w:rFonts w:eastAsia="Times New Roman" w:cs="Arial"/>
          <w:color w:val="000000"/>
          <w:szCs w:val="20"/>
          <w:lang w:eastAsia="bg-BG"/>
        </w:rPr>
        <w:t xml:space="preserve">Миртазапин в доза 30 </w:t>
      </w:r>
      <w:r w:rsidRPr="000C2AA1">
        <w:rPr>
          <w:rFonts w:eastAsia="Times New Roman" w:cs="Arial"/>
          <w:color w:val="000000"/>
          <w:szCs w:val="20"/>
          <w:lang w:val="en-US"/>
        </w:rPr>
        <w:t>mg</w:t>
      </w:r>
      <w:r w:rsidRPr="000C2AA1">
        <w:rPr>
          <w:rFonts w:eastAsia="Times New Roman" w:cs="Arial"/>
          <w:color w:val="000000"/>
          <w:szCs w:val="20"/>
          <w:lang w:val="ru-RU"/>
        </w:rPr>
        <w:t xml:space="preserve"> </w:t>
      </w:r>
      <w:r w:rsidRPr="000C2AA1">
        <w:rPr>
          <w:rFonts w:eastAsia="Times New Roman" w:cs="Arial"/>
          <w:color w:val="000000"/>
          <w:szCs w:val="20"/>
          <w:lang w:eastAsia="bg-BG"/>
        </w:rPr>
        <w:t xml:space="preserve">веднъж дневно причинява малко, но статистически значимо повишаване на международното нормализирано съотношение </w:t>
      </w:r>
      <w:r w:rsidRPr="000C2AA1">
        <w:rPr>
          <w:rFonts w:eastAsia="Times New Roman" w:cs="Arial"/>
          <w:color w:val="000000"/>
          <w:szCs w:val="20"/>
          <w:lang w:val="ru-RU"/>
        </w:rPr>
        <w:t>(</w:t>
      </w:r>
      <w:r w:rsidRPr="000C2AA1">
        <w:rPr>
          <w:rFonts w:eastAsia="Times New Roman" w:cs="Arial"/>
          <w:color w:val="000000"/>
          <w:szCs w:val="20"/>
          <w:lang w:val="en-US"/>
        </w:rPr>
        <w:t>FNR</w:t>
      </w:r>
      <w:r w:rsidRPr="000C2AA1">
        <w:rPr>
          <w:rFonts w:eastAsia="Times New Roman" w:cs="Arial"/>
          <w:color w:val="000000"/>
          <w:szCs w:val="20"/>
          <w:lang w:val="ru-RU"/>
        </w:rPr>
        <w:t xml:space="preserve">) </w:t>
      </w:r>
      <w:r w:rsidRPr="000C2AA1">
        <w:rPr>
          <w:rFonts w:eastAsia="Times New Roman" w:cs="Arial"/>
          <w:color w:val="000000"/>
          <w:szCs w:val="20"/>
          <w:lang w:eastAsia="bg-BG"/>
        </w:rPr>
        <w:t xml:space="preserve">при пациенти, лекувани с варфарин. Тъй като по-изразен ефект не може да бъде изключен при по-високи дози миртазапин, препоръчително е да се проследява </w:t>
      </w:r>
      <w:r w:rsidRPr="000C2AA1">
        <w:rPr>
          <w:rFonts w:eastAsia="Times New Roman" w:cs="Arial"/>
          <w:color w:val="000000"/>
          <w:szCs w:val="20"/>
          <w:lang w:val="en-US"/>
        </w:rPr>
        <w:t>INR</w:t>
      </w:r>
      <w:r w:rsidRPr="000C2AA1">
        <w:rPr>
          <w:rFonts w:eastAsia="Times New Roman" w:cs="Arial"/>
          <w:color w:val="000000"/>
          <w:szCs w:val="20"/>
          <w:lang w:val="ru-RU"/>
        </w:rPr>
        <w:t xml:space="preserve"> </w:t>
      </w:r>
      <w:r w:rsidRPr="000C2AA1">
        <w:rPr>
          <w:rFonts w:eastAsia="Times New Roman" w:cs="Arial"/>
          <w:color w:val="000000"/>
          <w:szCs w:val="20"/>
          <w:lang w:eastAsia="bg-BG"/>
        </w:rPr>
        <w:t>в случай на едновременно лечение с варфарин и миртазапин.</w:t>
      </w:r>
    </w:p>
    <w:p w14:paraId="6B5187A2" w14:textId="77777777" w:rsidR="000C2AA1" w:rsidRPr="000C2AA1" w:rsidRDefault="000C2AA1" w:rsidP="000C2AA1">
      <w:pPr>
        <w:spacing w:line="240" w:lineRule="auto"/>
        <w:rPr>
          <w:rFonts w:eastAsia="Times New Roman" w:cs="Arial"/>
          <w:i/>
          <w:iCs/>
          <w:color w:val="000000"/>
          <w:szCs w:val="20"/>
          <w:u w:val="single"/>
          <w:lang w:eastAsia="bg-BG"/>
        </w:rPr>
      </w:pPr>
    </w:p>
    <w:p w14:paraId="541E20C0" w14:textId="62978EE3" w:rsidR="000C2AA1" w:rsidRPr="000C2AA1" w:rsidRDefault="000C2AA1" w:rsidP="000C2AA1">
      <w:pPr>
        <w:spacing w:line="240" w:lineRule="auto"/>
        <w:rPr>
          <w:rFonts w:eastAsia="Times New Roman" w:cs="Arial"/>
          <w:sz w:val="28"/>
          <w:szCs w:val="24"/>
        </w:rPr>
      </w:pPr>
      <w:r w:rsidRPr="000C2AA1">
        <w:rPr>
          <w:rFonts w:eastAsia="Times New Roman" w:cs="Arial"/>
          <w:i/>
          <w:iCs/>
          <w:color w:val="000000"/>
          <w:szCs w:val="20"/>
          <w:u w:val="single"/>
          <w:lang w:eastAsia="bg-BG"/>
        </w:rPr>
        <w:t>Фармакокинетични взаимодействия.</w:t>
      </w:r>
    </w:p>
    <w:p w14:paraId="713D5314" w14:textId="77777777" w:rsidR="000C2AA1" w:rsidRPr="000C2AA1" w:rsidRDefault="000C2AA1" w:rsidP="000C2AA1">
      <w:pPr>
        <w:pStyle w:val="ListParagraph"/>
        <w:numPr>
          <w:ilvl w:val="0"/>
          <w:numId w:val="41"/>
        </w:numPr>
        <w:spacing w:line="240" w:lineRule="auto"/>
        <w:rPr>
          <w:rFonts w:eastAsia="Times New Roman" w:cs="Arial"/>
          <w:color w:val="000000"/>
          <w:szCs w:val="20"/>
          <w:lang w:eastAsia="bg-BG"/>
        </w:rPr>
      </w:pPr>
      <w:r w:rsidRPr="000C2AA1">
        <w:rPr>
          <w:rFonts w:eastAsia="Times New Roman" w:cs="Arial"/>
          <w:color w:val="000000"/>
          <w:szCs w:val="20"/>
          <w:lang w:eastAsia="bg-BG"/>
        </w:rPr>
        <w:t xml:space="preserve">Карбамазепин и фенитоин, които са </w:t>
      </w:r>
      <w:r w:rsidRPr="000C2AA1">
        <w:rPr>
          <w:rFonts w:eastAsia="Times New Roman" w:cs="Arial"/>
          <w:color w:val="000000"/>
          <w:szCs w:val="20"/>
          <w:lang w:val="en-US"/>
        </w:rPr>
        <w:t>CYP</w:t>
      </w:r>
      <w:r w:rsidRPr="000C2AA1">
        <w:rPr>
          <w:rFonts w:eastAsia="Times New Roman" w:cs="Arial"/>
          <w:color w:val="000000"/>
          <w:szCs w:val="20"/>
          <w:lang w:val="ru-RU"/>
        </w:rPr>
        <w:t>3</w:t>
      </w:r>
      <w:r w:rsidRPr="000C2AA1">
        <w:rPr>
          <w:rFonts w:eastAsia="Times New Roman" w:cs="Arial"/>
          <w:color w:val="000000"/>
          <w:szCs w:val="20"/>
          <w:lang w:val="en-US"/>
        </w:rPr>
        <w:t>A</w:t>
      </w:r>
      <w:r w:rsidRPr="000C2AA1">
        <w:rPr>
          <w:rFonts w:eastAsia="Times New Roman" w:cs="Arial"/>
          <w:color w:val="000000"/>
          <w:szCs w:val="20"/>
          <w:lang w:val="ru-RU"/>
        </w:rPr>
        <w:t xml:space="preserve">4 </w:t>
      </w:r>
      <w:r w:rsidRPr="000C2AA1">
        <w:rPr>
          <w:rFonts w:eastAsia="Times New Roman" w:cs="Arial"/>
          <w:color w:val="000000"/>
          <w:szCs w:val="20"/>
          <w:lang w:eastAsia="bg-BG"/>
        </w:rPr>
        <w:t>индуктори, повишават клирьиса на миртазапин около два пъти, което води до понижение на средните плазмени концентрации на миртазапин съответно с 60% и 45%. Когато карбамазепин или някой друг индуктор на чернодробния метаболизъм (като рифампицин) се добави към терапия с миртазапин, може да се наложи дозата на миртазапин да се повиши. Ако лечението с такъв лекарствен продукт бъде преустановено, може да бъде необходимо да се понижи дозата миртазапин.</w:t>
      </w:r>
    </w:p>
    <w:p w14:paraId="3ACD6A2E" w14:textId="77777777" w:rsidR="000C2AA1" w:rsidRPr="000C2AA1" w:rsidRDefault="000C2AA1" w:rsidP="000C2AA1">
      <w:pPr>
        <w:pStyle w:val="ListParagraph"/>
        <w:numPr>
          <w:ilvl w:val="0"/>
          <w:numId w:val="41"/>
        </w:numPr>
        <w:spacing w:line="240" w:lineRule="auto"/>
        <w:rPr>
          <w:rFonts w:eastAsia="Times New Roman" w:cs="Arial"/>
          <w:color w:val="000000"/>
          <w:szCs w:val="20"/>
          <w:lang w:eastAsia="bg-BG"/>
        </w:rPr>
      </w:pPr>
      <w:r w:rsidRPr="000C2AA1">
        <w:rPr>
          <w:rFonts w:eastAsia="Times New Roman" w:cs="Arial"/>
          <w:color w:val="000000"/>
          <w:szCs w:val="20"/>
          <w:lang w:eastAsia="bg-BG"/>
        </w:rPr>
        <w:t xml:space="preserve">Едновременно прилагане на силния </w:t>
      </w:r>
      <w:r w:rsidRPr="000C2AA1">
        <w:rPr>
          <w:rFonts w:eastAsia="Times New Roman" w:cs="Arial"/>
          <w:color w:val="000000"/>
          <w:szCs w:val="20"/>
          <w:lang w:val="en-US"/>
        </w:rPr>
        <w:t>CYP</w:t>
      </w:r>
      <w:r w:rsidRPr="000C2AA1">
        <w:rPr>
          <w:rFonts w:eastAsia="Times New Roman" w:cs="Arial"/>
          <w:color w:val="000000"/>
          <w:szCs w:val="20"/>
          <w:lang w:val="ru-RU"/>
        </w:rPr>
        <w:t>3</w:t>
      </w:r>
      <w:r w:rsidRPr="000C2AA1">
        <w:rPr>
          <w:rFonts w:eastAsia="Times New Roman" w:cs="Arial"/>
          <w:color w:val="000000"/>
          <w:szCs w:val="20"/>
          <w:lang w:val="en-US"/>
        </w:rPr>
        <w:t>A</w:t>
      </w:r>
      <w:r w:rsidRPr="000C2AA1">
        <w:rPr>
          <w:rFonts w:eastAsia="Times New Roman" w:cs="Arial"/>
          <w:color w:val="000000"/>
          <w:szCs w:val="20"/>
          <w:lang w:val="ru-RU"/>
        </w:rPr>
        <w:t xml:space="preserve">4 </w:t>
      </w:r>
      <w:r w:rsidRPr="000C2AA1">
        <w:rPr>
          <w:rFonts w:eastAsia="Times New Roman" w:cs="Arial"/>
          <w:color w:val="000000"/>
          <w:szCs w:val="20"/>
          <w:lang w:eastAsia="bg-BG"/>
        </w:rPr>
        <w:t xml:space="preserve">инхибитор кетоконазол повишава максималната плазмена концентрация и </w:t>
      </w:r>
      <w:r w:rsidRPr="000C2AA1">
        <w:rPr>
          <w:rFonts w:eastAsia="Times New Roman" w:cs="Arial"/>
          <w:color w:val="000000"/>
          <w:szCs w:val="20"/>
          <w:lang w:val="en-US"/>
        </w:rPr>
        <w:t>AUC</w:t>
      </w:r>
      <w:r w:rsidRPr="000C2AA1">
        <w:rPr>
          <w:rFonts w:eastAsia="Times New Roman" w:cs="Arial"/>
          <w:color w:val="000000"/>
          <w:szCs w:val="20"/>
          <w:lang w:val="ru-RU"/>
        </w:rPr>
        <w:t xml:space="preserve"> </w:t>
      </w:r>
      <w:r w:rsidRPr="000C2AA1">
        <w:rPr>
          <w:rFonts w:eastAsia="Times New Roman" w:cs="Arial"/>
          <w:color w:val="000000"/>
          <w:szCs w:val="20"/>
          <w:lang w:eastAsia="bg-BG"/>
        </w:rPr>
        <w:t>на миртазапин съответно с приблизително 40% и 50%.</w:t>
      </w:r>
    </w:p>
    <w:p w14:paraId="55AADC54" w14:textId="77777777" w:rsidR="000C2AA1" w:rsidRPr="000C2AA1" w:rsidRDefault="000C2AA1" w:rsidP="000C2AA1">
      <w:pPr>
        <w:pStyle w:val="ListParagraph"/>
        <w:numPr>
          <w:ilvl w:val="0"/>
          <w:numId w:val="41"/>
        </w:numPr>
        <w:spacing w:line="240" w:lineRule="auto"/>
        <w:rPr>
          <w:rFonts w:eastAsia="Times New Roman" w:cs="Arial"/>
          <w:color w:val="000000"/>
          <w:szCs w:val="20"/>
          <w:lang w:eastAsia="bg-BG"/>
        </w:rPr>
      </w:pPr>
      <w:r w:rsidRPr="000C2AA1">
        <w:rPr>
          <w:rFonts w:eastAsia="Times New Roman" w:cs="Arial"/>
          <w:color w:val="000000"/>
          <w:szCs w:val="20"/>
          <w:lang w:eastAsia="bg-BG"/>
        </w:rPr>
        <w:t xml:space="preserve">Когато циметидин (слаб инхибитор на </w:t>
      </w:r>
      <w:r w:rsidRPr="000C2AA1">
        <w:rPr>
          <w:rFonts w:eastAsia="Times New Roman" w:cs="Arial"/>
          <w:color w:val="000000"/>
          <w:szCs w:val="20"/>
          <w:lang w:val="en-US"/>
        </w:rPr>
        <w:t>CYP</w:t>
      </w:r>
      <w:r w:rsidRPr="000C2AA1">
        <w:rPr>
          <w:rFonts w:eastAsia="Times New Roman" w:cs="Arial"/>
          <w:color w:val="000000"/>
          <w:szCs w:val="20"/>
          <w:lang w:val="ru-RU"/>
        </w:rPr>
        <w:t>1</w:t>
      </w:r>
      <w:r w:rsidRPr="000C2AA1">
        <w:rPr>
          <w:rFonts w:eastAsia="Times New Roman" w:cs="Arial"/>
          <w:color w:val="000000"/>
          <w:szCs w:val="20"/>
          <w:lang w:eastAsia="bg-BG"/>
        </w:rPr>
        <w:t xml:space="preserve">А2, </w:t>
      </w:r>
      <w:r w:rsidRPr="000C2AA1">
        <w:rPr>
          <w:rFonts w:eastAsia="Times New Roman" w:cs="Arial"/>
          <w:color w:val="000000"/>
          <w:szCs w:val="20"/>
          <w:lang w:val="en-US"/>
        </w:rPr>
        <w:t>CYP</w:t>
      </w:r>
      <w:r w:rsidRPr="000C2AA1">
        <w:rPr>
          <w:rFonts w:eastAsia="Times New Roman" w:cs="Arial"/>
          <w:color w:val="000000"/>
          <w:szCs w:val="20"/>
          <w:lang w:val="ru-RU"/>
        </w:rPr>
        <w:t>2</w:t>
      </w:r>
      <w:r w:rsidRPr="000C2AA1">
        <w:rPr>
          <w:rFonts w:eastAsia="Times New Roman" w:cs="Arial"/>
          <w:color w:val="000000"/>
          <w:szCs w:val="20"/>
          <w:lang w:val="en-US"/>
        </w:rPr>
        <w:t>D</w:t>
      </w:r>
      <w:r w:rsidRPr="000C2AA1">
        <w:rPr>
          <w:rFonts w:eastAsia="Times New Roman" w:cs="Arial"/>
          <w:color w:val="000000"/>
          <w:szCs w:val="20"/>
          <w:lang w:val="ru-RU"/>
        </w:rPr>
        <w:t xml:space="preserve">6 </w:t>
      </w:r>
      <w:r w:rsidRPr="000C2AA1">
        <w:rPr>
          <w:rFonts w:eastAsia="Times New Roman" w:cs="Arial"/>
          <w:color w:val="000000"/>
          <w:szCs w:val="20"/>
          <w:lang w:eastAsia="bg-BG"/>
        </w:rPr>
        <w:t xml:space="preserve">и </w:t>
      </w:r>
      <w:r w:rsidRPr="000C2AA1">
        <w:rPr>
          <w:rFonts w:eastAsia="Times New Roman" w:cs="Arial"/>
          <w:color w:val="000000"/>
          <w:szCs w:val="20"/>
          <w:lang w:val="en-US"/>
        </w:rPr>
        <w:t>CYP</w:t>
      </w:r>
      <w:r w:rsidRPr="000C2AA1">
        <w:rPr>
          <w:rFonts w:eastAsia="Times New Roman" w:cs="Arial"/>
          <w:color w:val="000000"/>
          <w:szCs w:val="20"/>
          <w:lang w:val="ru-RU"/>
        </w:rPr>
        <w:t>3</w:t>
      </w:r>
      <w:r w:rsidRPr="000C2AA1">
        <w:rPr>
          <w:rFonts w:eastAsia="Times New Roman" w:cs="Arial"/>
          <w:color w:val="000000"/>
          <w:szCs w:val="20"/>
          <w:lang w:val="en-US"/>
        </w:rPr>
        <w:t>A</w:t>
      </w:r>
      <w:r w:rsidRPr="000C2AA1">
        <w:rPr>
          <w:rFonts w:eastAsia="Times New Roman" w:cs="Arial"/>
          <w:color w:val="000000"/>
          <w:szCs w:val="20"/>
          <w:lang w:val="ru-RU"/>
        </w:rPr>
        <w:t xml:space="preserve">4) </w:t>
      </w:r>
      <w:r w:rsidRPr="000C2AA1">
        <w:rPr>
          <w:rFonts w:eastAsia="Times New Roman" w:cs="Arial"/>
          <w:color w:val="000000"/>
          <w:szCs w:val="20"/>
          <w:lang w:eastAsia="bg-BG"/>
        </w:rPr>
        <w:t xml:space="preserve">се прилага с миртазапин, средната плазмена концентрация на миртазапин може да се повиши с повече от 50%. Необходимо е внимание и може да се наложи дозата да бъде понижена, когато миртазапин се прилага едновременно със силни </w:t>
      </w:r>
      <w:r w:rsidRPr="000C2AA1">
        <w:rPr>
          <w:rFonts w:eastAsia="Times New Roman" w:cs="Arial"/>
          <w:color w:val="000000"/>
          <w:szCs w:val="20"/>
          <w:lang w:val="en-US"/>
        </w:rPr>
        <w:t>CYP</w:t>
      </w:r>
      <w:r w:rsidRPr="000C2AA1">
        <w:rPr>
          <w:rFonts w:eastAsia="Times New Roman" w:cs="Arial"/>
          <w:color w:val="000000"/>
          <w:szCs w:val="20"/>
          <w:lang w:val="ru-RU"/>
        </w:rPr>
        <w:t>3</w:t>
      </w:r>
      <w:r w:rsidRPr="000C2AA1">
        <w:rPr>
          <w:rFonts w:eastAsia="Times New Roman" w:cs="Arial"/>
          <w:color w:val="000000"/>
          <w:szCs w:val="20"/>
          <w:lang w:val="en-US"/>
        </w:rPr>
        <w:t>A</w:t>
      </w:r>
      <w:r w:rsidRPr="000C2AA1">
        <w:rPr>
          <w:rFonts w:eastAsia="Times New Roman" w:cs="Arial"/>
          <w:color w:val="000000"/>
          <w:szCs w:val="20"/>
          <w:lang w:val="ru-RU"/>
        </w:rPr>
        <w:t xml:space="preserve">4 </w:t>
      </w:r>
      <w:r w:rsidRPr="000C2AA1">
        <w:rPr>
          <w:rFonts w:eastAsia="Times New Roman" w:cs="Arial"/>
          <w:color w:val="000000"/>
          <w:szCs w:val="20"/>
          <w:lang w:eastAsia="bg-BG"/>
        </w:rPr>
        <w:t xml:space="preserve">инхибитори, </w:t>
      </w:r>
      <w:r w:rsidRPr="000C2AA1">
        <w:rPr>
          <w:rFonts w:eastAsia="Times New Roman" w:cs="Arial"/>
          <w:color w:val="000000"/>
          <w:szCs w:val="20"/>
          <w:lang w:val="en-US"/>
        </w:rPr>
        <w:t>HI</w:t>
      </w:r>
      <w:r w:rsidRPr="000C2AA1">
        <w:rPr>
          <w:rFonts w:eastAsia="Times New Roman" w:cs="Arial"/>
          <w:color w:val="000000"/>
          <w:szCs w:val="20"/>
          <w:lang w:eastAsia="bg-BG"/>
        </w:rPr>
        <w:t>V протеазни инхибитори, азолови антимикотици, еритромицин или нефазодон.</w:t>
      </w:r>
    </w:p>
    <w:p w14:paraId="481F05A1" w14:textId="47126B68" w:rsidR="000C2AA1" w:rsidRPr="000C2AA1" w:rsidRDefault="000C2AA1" w:rsidP="000C2AA1">
      <w:pPr>
        <w:pStyle w:val="ListParagraph"/>
        <w:numPr>
          <w:ilvl w:val="0"/>
          <w:numId w:val="41"/>
        </w:numPr>
        <w:spacing w:line="240" w:lineRule="auto"/>
        <w:rPr>
          <w:rFonts w:ascii="Times New Roman" w:eastAsia="Times New Roman" w:hAnsi="Times New Roman" w:cs="Times New Roman"/>
          <w:color w:val="000000"/>
          <w:sz w:val="20"/>
          <w:szCs w:val="20"/>
          <w:lang w:eastAsia="bg-BG"/>
        </w:rPr>
      </w:pPr>
      <w:r w:rsidRPr="000C2AA1">
        <w:rPr>
          <w:rFonts w:eastAsia="Times New Roman" w:cs="Arial"/>
          <w:color w:val="000000"/>
          <w:szCs w:val="20"/>
          <w:lang w:eastAsia="bg-BG"/>
        </w:rPr>
        <w:t>Проучвания за лекарствени взаимодействия не показват никакви значими фармакокинетични ефекти върху съпътстващо лечение с миртазапин и пароксетин, амитриптилин, рисперидон или литий.</w:t>
      </w:r>
    </w:p>
    <w:p w14:paraId="5D943D97" w14:textId="77777777" w:rsidR="000C2AA1" w:rsidRPr="000C2AA1" w:rsidRDefault="000C2AA1" w:rsidP="000C2AA1"/>
    <w:p w14:paraId="006BE4EC" w14:textId="119B4B23" w:rsidR="00DB32D3" w:rsidRDefault="002C50EE" w:rsidP="005726E3">
      <w:pPr>
        <w:pStyle w:val="Heading2"/>
      </w:pPr>
      <w:r>
        <w:t>4.6. Фертилитет, бременност и кърмене</w:t>
      </w:r>
    </w:p>
    <w:p w14:paraId="0D9E3371" w14:textId="09283299" w:rsidR="000C2AA1" w:rsidRDefault="000C2AA1" w:rsidP="000C2AA1"/>
    <w:p w14:paraId="644093EB" w14:textId="77777777" w:rsidR="000C2AA1" w:rsidRPr="000C2AA1" w:rsidRDefault="000C2AA1" w:rsidP="000C2AA1">
      <w:pPr>
        <w:pStyle w:val="Heading3"/>
        <w:rPr>
          <w:rFonts w:eastAsia="Times New Roman"/>
          <w:sz w:val="28"/>
          <w:u w:val="single"/>
        </w:rPr>
      </w:pPr>
      <w:r w:rsidRPr="000C2AA1">
        <w:rPr>
          <w:rFonts w:eastAsia="Times New Roman"/>
          <w:u w:val="single"/>
          <w:lang w:eastAsia="bg-BG"/>
        </w:rPr>
        <w:t>Бременност</w:t>
      </w:r>
    </w:p>
    <w:p w14:paraId="6629C210" w14:textId="32DD6CA8" w:rsidR="000C2AA1" w:rsidRPr="000C2AA1" w:rsidRDefault="000C2AA1" w:rsidP="000C2AA1">
      <w:pPr>
        <w:rPr>
          <w:rFonts w:eastAsia="Times New Roman" w:cs="Arial"/>
          <w:color w:val="000000"/>
          <w:szCs w:val="20"/>
          <w:lang w:eastAsia="bg-BG"/>
        </w:rPr>
      </w:pPr>
      <w:r w:rsidRPr="000C2AA1">
        <w:rPr>
          <w:rFonts w:eastAsia="Times New Roman" w:cs="Arial"/>
          <w:color w:val="000000"/>
          <w:szCs w:val="20"/>
          <w:lang w:eastAsia="bg-BG"/>
        </w:rPr>
        <w:t>Ограничените данни, получени при употребата на миртазапин при бременни</w:t>
      </w:r>
      <w:r w:rsidRPr="000C2AA1">
        <w:rPr>
          <w:rFonts w:eastAsia="Times New Roman" w:cs="Arial"/>
          <w:color w:val="000000"/>
          <w:szCs w:val="20"/>
          <w:lang w:val="ru-RU"/>
        </w:rPr>
        <w:t xml:space="preserve"> </w:t>
      </w:r>
      <w:r w:rsidRPr="000C2AA1">
        <w:rPr>
          <w:rFonts w:eastAsia="Times New Roman" w:cs="Arial"/>
          <w:color w:val="000000"/>
          <w:szCs w:val="20"/>
          <w:lang w:eastAsia="bg-BG"/>
        </w:rPr>
        <w:t xml:space="preserve">жени, не показват повишаване на риска от конгенитални малформации. Проучванията при животни </w:t>
      </w:r>
      <w:r w:rsidRPr="000C2AA1">
        <w:rPr>
          <w:rFonts w:eastAsia="Times New Roman" w:cs="Arial"/>
          <w:color w:val="000000"/>
          <w:szCs w:val="20"/>
          <w:lang w:eastAsia="bg-BG"/>
        </w:rPr>
        <w:lastRenderedPageBreak/>
        <w:t>не показват никакви клинично значими тератогенни ефекти, но се наблюдава токсичност на развитието (вж. точка 5.3).</w:t>
      </w:r>
    </w:p>
    <w:p w14:paraId="739E26C5" w14:textId="1542472F" w:rsidR="000C2AA1" w:rsidRPr="000C2AA1" w:rsidRDefault="000C2AA1" w:rsidP="000C2AA1">
      <w:pPr>
        <w:rPr>
          <w:rFonts w:eastAsia="Times New Roman" w:cs="Arial"/>
          <w:color w:val="000000"/>
          <w:szCs w:val="20"/>
          <w:lang w:eastAsia="bg-BG"/>
        </w:rPr>
      </w:pPr>
    </w:p>
    <w:p w14:paraId="3945DD48"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Епидемиологичните данни сочат, че използването на селективни инхибитори на обратното захващане на серотонина по време на бременност, особено в края на бременността, може да увеличи риска от персистираща белодробна хипертония при новороденото. Въпреки, че не са провеждани изследвания за установяване на връзката между персистиращата белодробна хипертония при новороденото и лечението с миртазапин, потенциален риск не може да бъде изключен, като се има предвид подобния механизъм на действие (повишаване на серотониновите концентрации).</w:t>
      </w:r>
    </w:p>
    <w:p w14:paraId="49984968" w14:textId="77777777" w:rsidR="000C2AA1" w:rsidRPr="000C2AA1" w:rsidRDefault="000C2AA1" w:rsidP="000C2AA1">
      <w:pPr>
        <w:spacing w:line="240" w:lineRule="auto"/>
        <w:rPr>
          <w:rFonts w:eastAsia="Times New Roman" w:cs="Arial"/>
          <w:color w:val="000000"/>
          <w:szCs w:val="20"/>
          <w:lang w:eastAsia="bg-BG"/>
        </w:rPr>
      </w:pPr>
    </w:p>
    <w:p w14:paraId="4846DEAF" w14:textId="2D1995E5"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Изисква се повишено внимание при изписването му на бременни жени. Ако миртазапин се използва до или непосредствено преди раждането се препоръчва постнатално мониториране на новороденото за възможна поява на ефект на отнемане.</w:t>
      </w:r>
    </w:p>
    <w:p w14:paraId="40F5B47A" w14:textId="77777777" w:rsidR="000C2AA1" w:rsidRPr="000C2AA1" w:rsidRDefault="000C2AA1" w:rsidP="000C2AA1">
      <w:pPr>
        <w:spacing w:line="240" w:lineRule="auto"/>
        <w:rPr>
          <w:rFonts w:eastAsia="Times New Roman" w:cs="Arial"/>
          <w:color w:val="000000"/>
          <w:szCs w:val="20"/>
          <w:u w:val="single"/>
          <w:lang w:eastAsia="bg-BG"/>
        </w:rPr>
      </w:pPr>
    </w:p>
    <w:p w14:paraId="61D9BD02" w14:textId="7CF43DD9" w:rsidR="000C2AA1" w:rsidRPr="000C2AA1" w:rsidRDefault="000C2AA1" w:rsidP="000C2AA1">
      <w:pPr>
        <w:pStyle w:val="Heading3"/>
        <w:rPr>
          <w:rFonts w:eastAsia="Times New Roman"/>
          <w:sz w:val="28"/>
          <w:u w:val="single"/>
        </w:rPr>
      </w:pPr>
      <w:r w:rsidRPr="000C2AA1">
        <w:rPr>
          <w:rFonts w:eastAsia="Times New Roman"/>
          <w:u w:val="single"/>
          <w:lang w:eastAsia="bg-BG"/>
        </w:rPr>
        <w:t>Кърмене</w:t>
      </w:r>
    </w:p>
    <w:p w14:paraId="2AB1940B" w14:textId="7245051A" w:rsidR="000C2AA1" w:rsidRPr="000C2AA1" w:rsidRDefault="000C2AA1" w:rsidP="000C2AA1">
      <w:pPr>
        <w:rPr>
          <w:rFonts w:eastAsia="Times New Roman" w:cs="Arial"/>
          <w:color w:val="000000"/>
          <w:szCs w:val="20"/>
          <w:lang w:eastAsia="bg-BG"/>
        </w:rPr>
      </w:pPr>
      <w:r w:rsidRPr="000C2AA1">
        <w:rPr>
          <w:rFonts w:eastAsia="Times New Roman" w:cs="Arial"/>
          <w:color w:val="000000"/>
          <w:szCs w:val="20"/>
          <w:lang w:eastAsia="bg-BG"/>
        </w:rPr>
        <w:t>Проучвания при животни и ограничени данни от приложение при хора показват, че миртазапин се екскретира в кърмата в много малки количества. Трябва да се вземе решение или за продължаване/прекратяване на кърменето или за продължаване/прекратяване на терапията, като се отчетат предимствата на кърменето за детето и ползата от лечението за майката.</w:t>
      </w:r>
    </w:p>
    <w:p w14:paraId="5CE1ACFB" w14:textId="77777777" w:rsidR="000C2AA1" w:rsidRPr="000C2AA1" w:rsidRDefault="000C2AA1" w:rsidP="000C2AA1"/>
    <w:p w14:paraId="128BA3A8" w14:textId="0331E679" w:rsidR="00DB32D3" w:rsidRDefault="002C50EE" w:rsidP="005726E3">
      <w:pPr>
        <w:pStyle w:val="Heading2"/>
      </w:pPr>
      <w:r>
        <w:t>4.7. Ефекти върху способността за шофиране и работа с машини</w:t>
      </w:r>
    </w:p>
    <w:p w14:paraId="2C635007" w14:textId="7901EC7E" w:rsidR="000C2AA1" w:rsidRDefault="000C2AA1" w:rsidP="000C2AA1"/>
    <w:p w14:paraId="59DA8759" w14:textId="44085B36" w:rsidR="000C2AA1" w:rsidRDefault="000C2AA1" w:rsidP="000C2AA1">
      <w:r>
        <w:t>Миртазапин има слабо или умерено влияние върху способността за шофиране и работа с машини. Възможно е да бъде нарушена концентрацията и бдителността, особено в началото на лечението. Пациентите трябва да избягват извършването на потенциално опасни дейности, които изискват бдителност и добра концентрация, като управление на моторни превозни средства и работа с машини, когато са засегнати от тези ефекти.</w:t>
      </w:r>
    </w:p>
    <w:p w14:paraId="0FA00A20" w14:textId="77777777" w:rsidR="000C2AA1" w:rsidRPr="000C2AA1" w:rsidRDefault="000C2AA1" w:rsidP="000C2AA1"/>
    <w:p w14:paraId="44CE30A3" w14:textId="0B93E0DF" w:rsidR="007122AD" w:rsidRDefault="002C50EE" w:rsidP="00936AD0">
      <w:pPr>
        <w:pStyle w:val="Heading2"/>
      </w:pPr>
      <w:r>
        <w:t>4.8. Нежелани лекарствени реакции</w:t>
      </w:r>
    </w:p>
    <w:p w14:paraId="43267845" w14:textId="35E0BDD1" w:rsidR="000C2AA1" w:rsidRDefault="000C2AA1" w:rsidP="000C2AA1"/>
    <w:p w14:paraId="0C827F29"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Пациентите с депресия проявяват редица симптоми, които са свързани със самото заболяване. Затова понякога е трудно да се определи кои симптоми са в резултат от заболяването и кои са във връзка с лечението с миртазапин.</w:t>
      </w:r>
    </w:p>
    <w:p w14:paraId="155F00BC" w14:textId="77777777" w:rsidR="000C2AA1" w:rsidRPr="000C2AA1" w:rsidRDefault="000C2AA1" w:rsidP="000C2AA1">
      <w:pPr>
        <w:spacing w:line="240" w:lineRule="auto"/>
        <w:rPr>
          <w:rFonts w:eastAsia="Times New Roman" w:cs="Arial"/>
          <w:color w:val="000000"/>
          <w:szCs w:val="20"/>
          <w:lang w:eastAsia="bg-BG"/>
        </w:rPr>
      </w:pPr>
    </w:p>
    <w:p w14:paraId="0554EEF0" w14:textId="3DD0FBF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Най често докладваните нежелани реакции, наблюдавани при повече от 5% от пациентите, лекувани с миртазапин в рандомизирани, плацебо-контролирани клинични проучвания (виж по-долу) са: сомнолентност, седация, сухота в устата, повишаване на теглото, повишаване на апетита, замаяност и умора.</w:t>
      </w:r>
    </w:p>
    <w:p w14:paraId="7535DAC7" w14:textId="77777777" w:rsidR="000C2AA1" w:rsidRPr="000C2AA1" w:rsidRDefault="000C2AA1" w:rsidP="000C2AA1">
      <w:pPr>
        <w:spacing w:line="240" w:lineRule="auto"/>
        <w:rPr>
          <w:rFonts w:eastAsia="Times New Roman" w:cs="Arial"/>
          <w:color w:val="000000"/>
          <w:szCs w:val="20"/>
          <w:lang w:eastAsia="bg-BG"/>
        </w:rPr>
      </w:pPr>
    </w:p>
    <w:p w14:paraId="265F12A7" w14:textId="78ABE324"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Всички рандомизирани плацебо-контролирани проучвания при пациенти (включително с индикации, различни от голямо депресивно разстройство) са оценени за наличие на нежелани реакции при употребата на миртазапин.</w:t>
      </w:r>
    </w:p>
    <w:p w14:paraId="285B639E" w14:textId="4FFDCEB6"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 xml:space="preserve">Мета-анализът включва 20 проучвания с планирана продължителност на лечението до 12 седмици, с 1 501 пациенти (134 човекогодини), получаващи миртазапин в дози до 60 </w:t>
      </w:r>
      <w:r w:rsidRPr="000C2AA1">
        <w:rPr>
          <w:rFonts w:eastAsia="Times New Roman" w:cs="Arial"/>
          <w:color w:val="000000"/>
          <w:szCs w:val="20"/>
          <w:lang w:val="en-US"/>
        </w:rPr>
        <w:t>mg</w:t>
      </w:r>
      <w:r w:rsidRPr="000C2AA1">
        <w:rPr>
          <w:rFonts w:eastAsia="Times New Roman" w:cs="Arial"/>
          <w:color w:val="000000"/>
          <w:szCs w:val="20"/>
          <w:lang w:val="ru-RU"/>
        </w:rPr>
        <w:t xml:space="preserve"> </w:t>
      </w:r>
      <w:r w:rsidRPr="000C2AA1">
        <w:rPr>
          <w:rFonts w:eastAsia="Times New Roman" w:cs="Arial"/>
          <w:color w:val="000000"/>
          <w:szCs w:val="20"/>
          <w:lang w:eastAsia="bg-BG"/>
        </w:rPr>
        <w:t>и 850 пациенти (79 човекогодини), получаващи плацебо. Фазите на удължаване на тези проучвания са изключени, за да се поддържа сравнимост с третирането с плацебо.</w:t>
      </w:r>
    </w:p>
    <w:p w14:paraId="50DDB11A" w14:textId="77777777" w:rsidR="000C2AA1" w:rsidRPr="000C2AA1" w:rsidRDefault="000C2AA1" w:rsidP="000C2AA1">
      <w:pPr>
        <w:spacing w:line="240" w:lineRule="auto"/>
        <w:rPr>
          <w:rFonts w:eastAsia="Times New Roman" w:cs="Arial"/>
          <w:color w:val="000000"/>
          <w:szCs w:val="20"/>
          <w:lang w:eastAsia="bg-BG"/>
        </w:rPr>
      </w:pPr>
    </w:p>
    <w:p w14:paraId="55095ACC" w14:textId="56F00431"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 xml:space="preserve">Тежки кожни нежелани реакции (ТКНР), включително синдром на </w:t>
      </w:r>
      <w:r w:rsidRPr="000C2AA1">
        <w:rPr>
          <w:rFonts w:eastAsia="Times New Roman" w:cs="Arial"/>
          <w:color w:val="000000"/>
          <w:szCs w:val="20"/>
          <w:lang w:val="en-US"/>
        </w:rPr>
        <w:t>Stevens</w:t>
      </w:r>
      <w:r w:rsidRPr="000C2AA1">
        <w:rPr>
          <w:rFonts w:eastAsia="Times New Roman" w:cs="Arial"/>
          <w:color w:val="000000"/>
          <w:szCs w:val="20"/>
        </w:rPr>
        <w:t>-</w:t>
      </w:r>
      <w:r w:rsidRPr="000C2AA1">
        <w:rPr>
          <w:rFonts w:eastAsia="Times New Roman" w:cs="Arial"/>
          <w:color w:val="000000"/>
          <w:szCs w:val="20"/>
          <w:lang w:val="en-US"/>
        </w:rPr>
        <w:t>Johnson</w:t>
      </w:r>
      <w:r w:rsidRPr="000C2AA1">
        <w:rPr>
          <w:rFonts w:eastAsia="Times New Roman" w:cs="Arial"/>
          <w:color w:val="000000"/>
          <w:szCs w:val="20"/>
        </w:rPr>
        <w:t xml:space="preserve"> </w:t>
      </w:r>
      <w:r w:rsidRPr="000C2AA1">
        <w:rPr>
          <w:rFonts w:eastAsia="Times New Roman" w:cs="Arial"/>
          <w:color w:val="000000"/>
          <w:szCs w:val="20"/>
          <w:lang w:eastAsia="bg-BG"/>
        </w:rPr>
        <w:t xml:space="preserve">(ССД), токсична епцдермална некролиза (ТЕН), лекарствена реакция с еозинофилия и системни симптоми </w:t>
      </w:r>
      <w:r w:rsidRPr="000C2AA1">
        <w:rPr>
          <w:rFonts w:eastAsia="Times New Roman" w:cs="Arial"/>
          <w:color w:val="000000"/>
          <w:szCs w:val="20"/>
        </w:rPr>
        <w:t>(</w:t>
      </w:r>
      <w:r w:rsidRPr="000C2AA1">
        <w:rPr>
          <w:rFonts w:eastAsia="Times New Roman" w:cs="Arial"/>
          <w:color w:val="000000"/>
          <w:szCs w:val="20"/>
          <w:lang w:val="en-US"/>
        </w:rPr>
        <w:t>DRESS</w:t>
      </w:r>
      <w:r w:rsidRPr="000C2AA1">
        <w:rPr>
          <w:rFonts w:eastAsia="Times New Roman" w:cs="Arial"/>
          <w:color w:val="000000"/>
          <w:szCs w:val="20"/>
        </w:rPr>
        <w:t xml:space="preserve">), </w:t>
      </w:r>
      <w:r w:rsidRPr="000C2AA1">
        <w:rPr>
          <w:rFonts w:eastAsia="Times New Roman" w:cs="Arial"/>
          <w:color w:val="000000"/>
          <w:szCs w:val="20"/>
          <w:lang w:eastAsia="bg-BG"/>
        </w:rPr>
        <w:t>булозен дерматит и еритема мултиформе са съобщавани във връзка с лечението с миртазапин (вж. точка 4.4).</w:t>
      </w:r>
    </w:p>
    <w:p w14:paraId="2896F7EA" w14:textId="77777777" w:rsidR="000C2AA1" w:rsidRPr="000C2AA1" w:rsidRDefault="000C2AA1" w:rsidP="000C2AA1">
      <w:pPr>
        <w:spacing w:line="240" w:lineRule="auto"/>
        <w:rPr>
          <w:rFonts w:eastAsia="Times New Roman" w:cs="Arial"/>
          <w:color w:val="000000"/>
          <w:szCs w:val="20"/>
          <w:lang w:eastAsia="bg-BG"/>
        </w:rPr>
      </w:pPr>
    </w:p>
    <w:p w14:paraId="62ED1900" w14:textId="63E02276"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Таблица 1 показва категоризиране на нежеланите реакции, установени в клиничните проучвания, които са статистически сигнификантно по-чести при лечение с миртазапин в сравнение с плацебо, като са прибавени и нежелани реакции от спонтанни съобщения.</w:t>
      </w:r>
    </w:p>
    <w:p w14:paraId="3CE50D7C"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Честотата на нежеланите лекарствени реакции от спонтанни съобщения се базирана на честотата на тези събития по време на клинични изпитвания. Честотата на нежеланите реакции от спонтанни съобщения, които не са наблюдавани в рандомизираните плацебо контролирани</w:t>
      </w:r>
    </w:p>
    <w:p w14:paraId="6C91A5A1" w14:textId="42B186D4" w:rsidR="000C2AA1" w:rsidRPr="000C2AA1" w:rsidRDefault="000C2AA1" w:rsidP="000C2AA1">
      <w:pPr>
        <w:rPr>
          <w:rFonts w:eastAsia="Times New Roman" w:cs="Arial"/>
          <w:color w:val="000000"/>
          <w:szCs w:val="20"/>
          <w:lang w:eastAsia="bg-BG"/>
        </w:rPr>
      </w:pPr>
      <w:r w:rsidRPr="000C2AA1">
        <w:rPr>
          <w:rFonts w:eastAsia="Times New Roman" w:cs="Arial"/>
          <w:color w:val="000000"/>
          <w:szCs w:val="20"/>
          <w:lang w:eastAsia="bg-BG"/>
        </w:rPr>
        <w:t>проучвания при пациенти с миртазапин е класифицирана като ‘‘неизвестна”.</w:t>
      </w:r>
    </w:p>
    <w:p w14:paraId="2F8E3D0C" w14:textId="7EC8BA84" w:rsidR="000C2AA1" w:rsidRPr="000C2AA1" w:rsidRDefault="000C2AA1" w:rsidP="000C2AA1">
      <w:pPr>
        <w:rPr>
          <w:rFonts w:eastAsia="Times New Roman" w:cs="Arial"/>
          <w:color w:val="000000"/>
          <w:szCs w:val="20"/>
          <w:lang w:eastAsia="bg-BG"/>
        </w:rPr>
      </w:pPr>
    </w:p>
    <w:p w14:paraId="75A84CE4" w14:textId="46AD1C28" w:rsidR="000C2AA1" w:rsidRDefault="000C2AA1" w:rsidP="000C2AA1">
      <w:pPr>
        <w:rPr>
          <w:rFonts w:cs="Arial"/>
          <w:b/>
          <w:bCs/>
          <w:szCs w:val="20"/>
        </w:rPr>
      </w:pPr>
      <w:r w:rsidRPr="000C2AA1">
        <w:rPr>
          <w:rFonts w:cs="Arial"/>
          <w:b/>
          <w:bCs/>
          <w:szCs w:val="20"/>
        </w:rPr>
        <w:t>Таблица 1. Нежелани реакции при употребата на мнртазапин</w:t>
      </w:r>
    </w:p>
    <w:tbl>
      <w:tblPr>
        <w:tblStyle w:val="TableGrid"/>
        <w:tblW w:w="0" w:type="auto"/>
        <w:tblLook w:val="04A0" w:firstRow="1" w:lastRow="0" w:firstColumn="1" w:lastColumn="0" w:noHBand="0" w:noVBand="1"/>
      </w:tblPr>
      <w:tblGrid>
        <w:gridCol w:w="1469"/>
        <w:gridCol w:w="1712"/>
        <w:gridCol w:w="1407"/>
        <w:gridCol w:w="1452"/>
        <w:gridCol w:w="1415"/>
        <w:gridCol w:w="1895"/>
      </w:tblGrid>
      <w:tr w:rsidR="000C2AA1" w14:paraId="39BCC12C" w14:textId="77777777" w:rsidTr="000C2AA1">
        <w:tc>
          <w:tcPr>
            <w:tcW w:w="1504" w:type="dxa"/>
            <w:vAlign w:val="bottom"/>
          </w:tcPr>
          <w:p w14:paraId="29F0C4B0" w14:textId="520069AE" w:rsidR="000C2AA1" w:rsidRPr="000C2AA1" w:rsidRDefault="000C2AA1" w:rsidP="000C2AA1">
            <w:pPr>
              <w:rPr>
                <w:rFonts w:cs="Arial"/>
              </w:rPr>
            </w:pPr>
            <w:r w:rsidRPr="000C2AA1">
              <w:rPr>
                <w:rFonts w:cs="Arial"/>
                <w:b/>
                <w:bCs/>
              </w:rPr>
              <w:t>Системо- органни класове</w:t>
            </w:r>
          </w:p>
        </w:tc>
        <w:tc>
          <w:tcPr>
            <w:tcW w:w="1754" w:type="dxa"/>
          </w:tcPr>
          <w:p w14:paraId="14B65042" w14:textId="74E314E5" w:rsidR="000C2AA1" w:rsidRPr="000C2AA1" w:rsidRDefault="000C2AA1" w:rsidP="000C2AA1">
            <w:pPr>
              <w:rPr>
                <w:rFonts w:cs="Arial"/>
              </w:rPr>
            </w:pPr>
            <w:r w:rsidRPr="000C2AA1">
              <w:rPr>
                <w:rFonts w:cs="Arial"/>
                <w:b/>
                <w:bCs/>
              </w:rPr>
              <w:t>Много чести (≥1/10)</w:t>
            </w:r>
          </w:p>
        </w:tc>
        <w:tc>
          <w:tcPr>
            <w:tcW w:w="1440" w:type="dxa"/>
            <w:vAlign w:val="bottom"/>
          </w:tcPr>
          <w:p w14:paraId="46A5897B" w14:textId="77777777" w:rsidR="000C2AA1" w:rsidRPr="000C2AA1" w:rsidRDefault="000C2AA1" w:rsidP="000C2AA1">
            <w:pPr>
              <w:rPr>
                <w:rFonts w:cs="Arial"/>
              </w:rPr>
            </w:pPr>
            <w:r w:rsidRPr="000C2AA1">
              <w:rPr>
                <w:rFonts w:cs="Arial"/>
                <w:b/>
                <w:bCs/>
              </w:rPr>
              <w:t>Чести (≥1/100 до</w:t>
            </w:r>
          </w:p>
          <w:p w14:paraId="3131AFEC" w14:textId="579809ED" w:rsidR="000C2AA1" w:rsidRPr="000C2AA1" w:rsidRDefault="000C2AA1" w:rsidP="000C2AA1">
            <w:pPr>
              <w:rPr>
                <w:rFonts w:cs="Arial"/>
              </w:rPr>
            </w:pPr>
            <w:r w:rsidRPr="000C2AA1">
              <w:rPr>
                <w:rFonts w:cs="Arial"/>
                <w:b/>
                <w:bCs/>
              </w:rPr>
              <w:t>&lt;1/10)</w:t>
            </w:r>
          </w:p>
        </w:tc>
        <w:tc>
          <w:tcPr>
            <w:tcW w:w="1487" w:type="dxa"/>
            <w:vAlign w:val="bottom"/>
          </w:tcPr>
          <w:p w14:paraId="5A36B033" w14:textId="7EC1A58E" w:rsidR="000C2AA1" w:rsidRPr="000C2AA1" w:rsidRDefault="000C2AA1" w:rsidP="000C2AA1">
            <w:pPr>
              <w:rPr>
                <w:rFonts w:cs="Arial"/>
              </w:rPr>
            </w:pPr>
            <w:r w:rsidRPr="000C2AA1">
              <w:rPr>
                <w:rFonts w:cs="Arial"/>
                <w:b/>
                <w:bCs/>
              </w:rPr>
              <w:t>Не чести (≥1/1 000 до &lt;1/100)</w:t>
            </w:r>
          </w:p>
        </w:tc>
        <w:tc>
          <w:tcPr>
            <w:tcW w:w="1449" w:type="dxa"/>
            <w:vAlign w:val="bottom"/>
          </w:tcPr>
          <w:p w14:paraId="65F93E55" w14:textId="77777777" w:rsidR="000C2AA1" w:rsidRPr="000C2AA1" w:rsidRDefault="000C2AA1" w:rsidP="000C2AA1">
            <w:pPr>
              <w:rPr>
                <w:rFonts w:cs="Arial"/>
              </w:rPr>
            </w:pPr>
            <w:r w:rsidRPr="000C2AA1">
              <w:rPr>
                <w:rFonts w:cs="Arial"/>
                <w:b/>
                <w:bCs/>
              </w:rPr>
              <w:t>Редки (≥1/10 000 до</w:t>
            </w:r>
          </w:p>
          <w:p w14:paraId="7F126898" w14:textId="25D92590" w:rsidR="000C2AA1" w:rsidRPr="000C2AA1" w:rsidRDefault="000C2AA1" w:rsidP="000C2AA1">
            <w:pPr>
              <w:rPr>
                <w:rFonts w:cs="Arial"/>
              </w:rPr>
            </w:pPr>
            <w:r w:rsidRPr="000C2AA1">
              <w:rPr>
                <w:rFonts w:cs="Arial"/>
                <w:b/>
                <w:bCs/>
              </w:rPr>
              <w:t>&lt;1/1000)</w:t>
            </w:r>
          </w:p>
        </w:tc>
        <w:tc>
          <w:tcPr>
            <w:tcW w:w="1942" w:type="dxa"/>
          </w:tcPr>
          <w:p w14:paraId="004387C8" w14:textId="1682C142" w:rsidR="000C2AA1" w:rsidRPr="000C2AA1" w:rsidRDefault="000C2AA1" w:rsidP="000C2AA1">
            <w:pPr>
              <w:rPr>
                <w:rFonts w:cs="Arial"/>
              </w:rPr>
            </w:pPr>
            <w:r w:rsidRPr="000C2AA1">
              <w:rPr>
                <w:rFonts w:cs="Arial"/>
                <w:b/>
                <w:bCs/>
              </w:rPr>
              <w:t>Неизвестна честота</w:t>
            </w:r>
          </w:p>
        </w:tc>
      </w:tr>
      <w:tr w:rsidR="000C2AA1" w14:paraId="6CD579EE" w14:textId="77777777" w:rsidTr="000C2AA1">
        <w:tc>
          <w:tcPr>
            <w:tcW w:w="1504" w:type="dxa"/>
          </w:tcPr>
          <w:p w14:paraId="194B93B3" w14:textId="313CC071" w:rsidR="000C2AA1" w:rsidRPr="000C2AA1" w:rsidRDefault="000C2AA1" w:rsidP="000C2AA1">
            <w:pPr>
              <w:rPr>
                <w:rFonts w:cs="Arial"/>
              </w:rPr>
            </w:pPr>
            <w:r w:rsidRPr="000C2AA1">
              <w:rPr>
                <w:rFonts w:cs="Arial"/>
                <w:i/>
                <w:iCs/>
              </w:rPr>
              <w:t>Нарушения на кръвта и лимфната система</w:t>
            </w:r>
          </w:p>
        </w:tc>
        <w:tc>
          <w:tcPr>
            <w:tcW w:w="1754" w:type="dxa"/>
          </w:tcPr>
          <w:p w14:paraId="036DEC4F" w14:textId="77777777" w:rsidR="000C2AA1" w:rsidRPr="000C2AA1" w:rsidRDefault="000C2AA1" w:rsidP="000C2AA1">
            <w:pPr>
              <w:rPr>
                <w:rFonts w:cs="Arial"/>
              </w:rPr>
            </w:pPr>
          </w:p>
        </w:tc>
        <w:tc>
          <w:tcPr>
            <w:tcW w:w="1440" w:type="dxa"/>
          </w:tcPr>
          <w:p w14:paraId="2B0F419B" w14:textId="77777777" w:rsidR="000C2AA1" w:rsidRPr="000C2AA1" w:rsidRDefault="000C2AA1" w:rsidP="000C2AA1">
            <w:pPr>
              <w:rPr>
                <w:rFonts w:cs="Arial"/>
              </w:rPr>
            </w:pPr>
          </w:p>
        </w:tc>
        <w:tc>
          <w:tcPr>
            <w:tcW w:w="1487" w:type="dxa"/>
          </w:tcPr>
          <w:p w14:paraId="0354A5EA" w14:textId="77777777" w:rsidR="000C2AA1" w:rsidRPr="000C2AA1" w:rsidRDefault="000C2AA1" w:rsidP="000C2AA1">
            <w:pPr>
              <w:rPr>
                <w:rFonts w:cs="Arial"/>
              </w:rPr>
            </w:pPr>
          </w:p>
        </w:tc>
        <w:tc>
          <w:tcPr>
            <w:tcW w:w="1449" w:type="dxa"/>
          </w:tcPr>
          <w:p w14:paraId="616DA3E0" w14:textId="77777777" w:rsidR="000C2AA1" w:rsidRPr="000C2AA1" w:rsidRDefault="000C2AA1" w:rsidP="000C2AA1">
            <w:pPr>
              <w:rPr>
                <w:rFonts w:cs="Arial"/>
              </w:rPr>
            </w:pPr>
          </w:p>
        </w:tc>
        <w:tc>
          <w:tcPr>
            <w:tcW w:w="1942" w:type="dxa"/>
            <w:vAlign w:val="bottom"/>
          </w:tcPr>
          <w:p w14:paraId="4634A61D" w14:textId="02AF8320" w:rsidR="000C2AA1" w:rsidRPr="000C2AA1" w:rsidRDefault="000C2AA1" w:rsidP="000C2AA1">
            <w:pPr>
              <w:rPr>
                <w:rFonts w:cs="Arial"/>
              </w:rPr>
            </w:pPr>
            <w:r w:rsidRPr="000C2AA1">
              <w:rPr>
                <w:rFonts w:cs="Arial"/>
              </w:rPr>
              <w:t>Потискане на костномозъчната функция (гранулоцитопения, агранулоцитоза, апластична анемия, тромбоцитопения) Еозинофилия</w:t>
            </w:r>
          </w:p>
        </w:tc>
      </w:tr>
      <w:tr w:rsidR="000C2AA1" w14:paraId="7113A7C8" w14:textId="77777777" w:rsidTr="000C2AA1">
        <w:tc>
          <w:tcPr>
            <w:tcW w:w="1504" w:type="dxa"/>
          </w:tcPr>
          <w:p w14:paraId="54B37FAB" w14:textId="22460E76" w:rsidR="000C2AA1" w:rsidRPr="000C2AA1" w:rsidRDefault="000C2AA1" w:rsidP="000C2AA1">
            <w:pPr>
              <w:rPr>
                <w:rFonts w:cs="Arial"/>
              </w:rPr>
            </w:pPr>
            <w:r w:rsidRPr="000C2AA1">
              <w:rPr>
                <w:rFonts w:cs="Arial"/>
                <w:i/>
                <w:iCs/>
              </w:rPr>
              <w:t>Нарушения на ендокринната система</w:t>
            </w:r>
          </w:p>
        </w:tc>
        <w:tc>
          <w:tcPr>
            <w:tcW w:w="1754" w:type="dxa"/>
          </w:tcPr>
          <w:p w14:paraId="0535A5A8" w14:textId="77777777" w:rsidR="000C2AA1" w:rsidRPr="000C2AA1" w:rsidRDefault="000C2AA1" w:rsidP="000C2AA1">
            <w:pPr>
              <w:rPr>
                <w:rFonts w:cs="Arial"/>
              </w:rPr>
            </w:pPr>
          </w:p>
        </w:tc>
        <w:tc>
          <w:tcPr>
            <w:tcW w:w="1440" w:type="dxa"/>
          </w:tcPr>
          <w:p w14:paraId="7620CC09" w14:textId="77777777" w:rsidR="000C2AA1" w:rsidRPr="000C2AA1" w:rsidRDefault="000C2AA1" w:rsidP="000C2AA1">
            <w:pPr>
              <w:rPr>
                <w:rFonts w:cs="Arial"/>
              </w:rPr>
            </w:pPr>
          </w:p>
        </w:tc>
        <w:tc>
          <w:tcPr>
            <w:tcW w:w="1487" w:type="dxa"/>
          </w:tcPr>
          <w:p w14:paraId="63406356" w14:textId="77777777" w:rsidR="000C2AA1" w:rsidRPr="000C2AA1" w:rsidRDefault="000C2AA1" w:rsidP="000C2AA1">
            <w:pPr>
              <w:rPr>
                <w:rFonts w:cs="Arial"/>
              </w:rPr>
            </w:pPr>
          </w:p>
        </w:tc>
        <w:tc>
          <w:tcPr>
            <w:tcW w:w="1449" w:type="dxa"/>
          </w:tcPr>
          <w:p w14:paraId="382FD400" w14:textId="77777777" w:rsidR="000C2AA1" w:rsidRPr="000C2AA1" w:rsidRDefault="000C2AA1" w:rsidP="000C2AA1">
            <w:pPr>
              <w:rPr>
                <w:rFonts w:cs="Arial"/>
              </w:rPr>
            </w:pPr>
          </w:p>
        </w:tc>
        <w:tc>
          <w:tcPr>
            <w:tcW w:w="1942" w:type="dxa"/>
            <w:vAlign w:val="bottom"/>
          </w:tcPr>
          <w:p w14:paraId="1DE4E436" w14:textId="74A5824F" w:rsidR="000C2AA1" w:rsidRPr="000C2AA1" w:rsidRDefault="000C2AA1" w:rsidP="000C2AA1">
            <w:pPr>
              <w:rPr>
                <w:rFonts w:cs="Arial"/>
              </w:rPr>
            </w:pPr>
            <w:r w:rsidRPr="000C2AA1">
              <w:rPr>
                <w:rFonts w:cs="Arial"/>
              </w:rPr>
              <w:t>Неадекватна секреция на антидиур етичен хормон</w:t>
            </w:r>
          </w:p>
        </w:tc>
      </w:tr>
      <w:tr w:rsidR="000C2AA1" w14:paraId="268B8345" w14:textId="77777777" w:rsidTr="000C2AA1">
        <w:tc>
          <w:tcPr>
            <w:tcW w:w="1504" w:type="dxa"/>
            <w:vAlign w:val="bottom"/>
          </w:tcPr>
          <w:p w14:paraId="1A189E64" w14:textId="0C84FF72" w:rsidR="000C2AA1" w:rsidRPr="000C2AA1" w:rsidRDefault="000C2AA1" w:rsidP="000C2AA1">
            <w:pPr>
              <w:rPr>
                <w:rFonts w:cs="Arial"/>
              </w:rPr>
            </w:pPr>
            <w:r w:rsidRPr="000C2AA1">
              <w:rPr>
                <w:rFonts w:cs="Arial"/>
                <w:i/>
                <w:iCs/>
              </w:rPr>
              <w:t>Нарушения на метаболизма и храненето</w:t>
            </w:r>
          </w:p>
        </w:tc>
        <w:tc>
          <w:tcPr>
            <w:tcW w:w="1754" w:type="dxa"/>
            <w:vAlign w:val="bottom"/>
          </w:tcPr>
          <w:p w14:paraId="65487DDF" w14:textId="77777777" w:rsidR="000C2AA1" w:rsidRPr="000C2AA1" w:rsidRDefault="000C2AA1" w:rsidP="000C2AA1">
            <w:pPr>
              <w:rPr>
                <w:rFonts w:cs="Arial"/>
              </w:rPr>
            </w:pPr>
            <w:r w:rsidRPr="000C2AA1">
              <w:rPr>
                <w:rFonts w:cs="Arial"/>
              </w:rPr>
              <w:t>Покачване на тегло</w:t>
            </w:r>
            <w:r w:rsidRPr="000C2AA1">
              <w:rPr>
                <w:rFonts w:cs="Arial"/>
                <w:vertAlign w:val="superscript"/>
              </w:rPr>
              <w:t>1</w:t>
            </w:r>
          </w:p>
          <w:p w14:paraId="3D812A2F" w14:textId="2911BC77" w:rsidR="000C2AA1" w:rsidRPr="000C2AA1" w:rsidRDefault="000C2AA1" w:rsidP="000C2AA1">
            <w:pPr>
              <w:rPr>
                <w:rFonts w:cs="Arial"/>
              </w:rPr>
            </w:pPr>
            <w:r w:rsidRPr="000C2AA1">
              <w:rPr>
                <w:rFonts w:cs="Arial"/>
              </w:rPr>
              <w:t>Повишен апетит</w:t>
            </w:r>
            <w:r w:rsidRPr="000C2AA1">
              <w:rPr>
                <w:rFonts w:cs="Arial"/>
                <w:vertAlign w:val="superscript"/>
              </w:rPr>
              <w:t>1</w:t>
            </w:r>
          </w:p>
        </w:tc>
        <w:tc>
          <w:tcPr>
            <w:tcW w:w="1440" w:type="dxa"/>
          </w:tcPr>
          <w:p w14:paraId="1F3C2E55" w14:textId="77777777" w:rsidR="000C2AA1" w:rsidRPr="000C2AA1" w:rsidRDefault="000C2AA1" w:rsidP="000C2AA1">
            <w:pPr>
              <w:rPr>
                <w:rFonts w:cs="Arial"/>
              </w:rPr>
            </w:pPr>
          </w:p>
        </w:tc>
        <w:tc>
          <w:tcPr>
            <w:tcW w:w="1487" w:type="dxa"/>
          </w:tcPr>
          <w:p w14:paraId="62CA43E0" w14:textId="77777777" w:rsidR="000C2AA1" w:rsidRPr="000C2AA1" w:rsidRDefault="000C2AA1" w:rsidP="000C2AA1">
            <w:pPr>
              <w:rPr>
                <w:rFonts w:cs="Arial"/>
              </w:rPr>
            </w:pPr>
          </w:p>
        </w:tc>
        <w:tc>
          <w:tcPr>
            <w:tcW w:w="1449" w:type="dxa"/>
          </w:tcPr>
          <w:p w14:paraId="049ACFC8" w14:textId="77777777" w:rsidR="000C2AA1" w:rsidRPr="000C2AA1" w:rsidRDefault="000C2AA1" w:rsidP="000C2AA1">
            <w:pPr>
              <w:rPr>
                <w:rFonts w:cs="Arial"/>
              </w:rPr>
            </w:pPr>
          </w:p>
        </w:tc>
        <w:tc>
          <w:tcPr>
            <w:tcW w:w="1942" w:type="dxa"/>
          </w:tcPr>
          <w:p w14:paraId="4221D23F" w14:textId="2877DCA6" w:rsidR="000C2AA1" w:rsidRPr="000C2AA1" w:rsidRDefault="000C2AA1" w:rsidP="000C2AA1">
            <w:pPr>
              <w:rPr>
                <w:rFonts w:cs="Arial"/>
              </w:rPr>
            </w:pPr>
            <w:r w:rsidRPr="000C2AA1">
              <w:rPr>
                <w:rFonts w:cs="Arial"/>
              </w:rPr>
              <w:t>Хипонатриемия</w:t>
            </w:r>
          </w:p>
        </w:tc>
      </w:tr>
      <w:tr w:rsidR="000C2AA1" w14:paraId="48913783" w14:textId="77777777" w:rsidTr="000C2AA1">
        <w:tc>
          <w:tcPr>
            <w:tcW w:w="1504" w:type="dxa"/>
          </w:tcPr>
          <w:p w14:paraId="5137B360" w14:textId="1958A7B8" w:rsidR="000C2AA1" w:rsidRPr="000C2AA1" w:rsidRDefault="000C2AA1" w:rsidP="000C2AA1">
            <w:pPr>
              <w:rPr>
                <w:rFonts w:cs="Arial"/>
              </w:rPr>
            </w:pPr>
            <w:r w:rsidRPr="000C2AA1">
              <w:rPr>
                <w:rFonts w:cs="Arial"/>
                <w:i/>
                <w:iCs/>
              </w:rPr>
              <w:t>Психични нарушения</w:t>
            </w:r>
          </w:p>
        </w:tc>
        <w:tc>
          <w:tcPr>
            <w:tcW w:w="1754" w:type="dxa"/>
          </w:tcPr>
          <w:p w14:paraId="60E94463" w14:textId="77777777" w:rsidR="000C2AA1" w:rsidRPr="000C2AA1" w:rsidRDefault="000C2AA1" w:rsidP="000C2AA1">
            <w:pPr>
              <w:rPr>
                <w:rFonts w:cs="Arial"/>
              </w:rPr>
            </w:pPr>
          </w:p>
        </w:tc>
        <w:tc>
          <w:tcPr>
            <w:tcW w:w="1440" w:type="dxa"/>
          </w:tcPr>
          <w:p w14:paraId="6FF173FC" w14:textId="79270865" w:rsidR="000C2AA1" w:rsidRPr="000C2AA1" w:rsidRDefault="000C2AA1" w:rsidP="000C2AA1">
            <w:pPr>
              <w:rPr>
                <w:rFonts w:cs="Arial"/>
              </w:rPr>
            </w:pPr>
            <w:r w:rsidRPr="000C2AA1">
              <w:rPr>
                <w:rFonts w:cs="Arial"/>
              </w:rPr>
              <w:t>Необичайни сънища Обърканост Тревожност</w:t>
            </w:r>
            <w:r w:rsidRPr="000C2AA1">
              <w:rPr>
                <w:rFonts w:cs="Arial"/>
                <w:vertAlign w:val="superscript"/>
              </w:rPr>
              <w:t xml:space="preserve">2,5 </w:t>
            </w:r>
            <w:r w:rsidRPr="000C2AA1">
              <w:rPr>
                <w:rFonts w:cs="Arial"/>
              </w:rPr>
              <w:t>Безсъние</w:t>
            </w:r>
            <w:r w:rsidRPr="000C2AA1">
              <w:rPr>
                <w:rFonts w:cs="Arial"/>
                <w:vertAlign w:val="superscript"/>
              </w:rPr>
              <w:t>3,5</w:t>
            </w:r>
          </w:p>
        </w:tc>
        <w:tc>
          <w:tcPr>
            <w:tcW w:w="1487" w:type="dxa"/>
            <w:vAlign w:val="bottom"/>
          </w:tcPr>
          <w:p w14:paraId="1CFB8B93" w14:textId="697A00A0" w:rsidR="000C2AA1" w:rsidRPr="000C2AA1" w:rsidRDefault="000C2AA1" w:rsidP="000C2AA1">
            <w:pPr>
              <w:rPr>
                <w:rFonts w:cs="Arial"/>
              </w:rPr>
            </w:pPr>
            <w:r w:rsidRPr="000C2AA1">
              <w:rPr>
                <w:rFonts w:cs="Arial"/>
              </w:rPr>
              <w:t>Нощни кошмари</w:t>
            </w:r>
            <w:r w:rsidRPr="000C2AA1">
              <w:rPr>
                <w:rFonts w:cs="Arial"/>
                <w:vertAlign w:val="superscript"/>
              </w:rPr>
              <w:t xml:space="preserve">2 </w:t>
            </w:r>
            <w:r w:rsidRPr="000C2AA1">
              <w:rPr>
                <w:rFonts w:cs="Arial"/>
              </w:rPr>
              <w:t>Мания Възбуда</w:t>
            </w:r>
            <w:r w:rsidRPr="000C2AA1">
              <w:rPr>
                <w:rFonts w:cs="Arial"/>
                <w:vertAlign w:val="superscript"/>
              </w:rPr>
              <w:t xml:space="preserve">2 </w:t>
            </w:r>
            <w:r w:rsidRPr="000C2AA1">
              <w:rPr>
                <w:rFonts w:cs="Arial"/>
              </w:rPr>
              <w:t>Халюцинации Психомото</w:t>
            </w:r>
            <w:r w:rsidRPr="000C2AA1">
              <w:rPr>
                <w:rFonts w:cs="Arial"/>
              </w:rPr>
              <w:lastRenderedPageBreak/>
              <w:t>рна възбуда (вкл. акатизия, хиперкинезия)</w:t>
            </w:r>
          </w:p>
        </w:tc>
        <w:tc>
          <w:tcPr>
            <w:tcW w:w="1449" w:type="dxa"/>
          </w:tcPr>
          <w:p w14:paraId="79265825" w14:textId="0876F6BC" w:rsidR="000C2AA1" w:rsidRPr="000C2AA1" w:rsidRDefault="000C2AA1" w:rsidP="000C2AA1">
            <w:pPr>
              <w:rPr>
                <w:rFonts w:cs="Arial"/>
              </w:rPr>
            </w:pPr>
            <w:r w:rsidRPr="000C2AA1">
              <w:rPr>
                <w:rFonts w:cs="Arial"/>
              </w:rPr>
              <w:lastRenderedPageBreak/>
              <w:t>Агресия</w:t>
            </w:r>
          </w:p>
        </w:tc>
        <w:tc>
          <w:tcPr>
            <w:tcW w:w="1942" w:type="dxa"/>
          </w:tcPr>
          <w:p w14:paraId="56E44065" w14:textId="77777777" w:rsidR="000C2AA1" w:rsidRPr="000C2AA1" w:rsidRDefault="000C2AA1" w:rsidP="000C2AA1">
            <w:pPr>
              <w:rPr>
                <w:rFonts w:cs="Arial"/>
              </w:rPr>
            </w:pPr>
            <w:r w:rsidRPr="000C2AA1">
              <w:rPr>
                <w:rFonts w:cs="Arial"/>
              </w:rPr>
              <w:t>Суицидни идеи</w:t>
            </w:r>
            <w:r w:rsidRPr="000C2AA1">
              <w:rPr>
                <w:rFonts w:cs="Arial"/>
                <w:vertAlign w:val="superscript"/>
              </w:rPr>
              <w:t>6</w:t>
            </w:r>
          </w:p>
          <w:p w14:paraId="4F108A29" w14:textId="0D874214" w:rsidR="000C2AA1" w:rsidRPr="000C2AA1" w:rsidRDefault="000C2AA1" w:rsidP="000C2AA1">
            <w:pPr>
              <w:rPr>
                <w:rFonts w:cs="Arial"/>
              </w:rPr>
            </w:pPr>
            <w:r w:rsidRPr="000C2AA1">
              <w:rPr>
                <w:rFonts w:cs="Arial"/>
              </w:rPr>
              <w:t>Суицидно поведение</w:t>
            </w:r>
            <w:r w:rsidRPr="000C2AA1">
              <w:rPr>
                <w:rFonts w:cs="Arial"/>
                <w:vertAlign w:val="superscript"/>
              </w:rPr>
              <w:t>6</w:t>
            </w:r>
          </w:p>
        </w:tc>
      </w:tr>
      <w:tr w:rsidR="000C2AA1" w14:paraId="1BA482BA" w14:textId="77777777" w:rsidTr="000C2AA1">
        <w:tc>
          <w:tcPr>
            <w:tcW w:w="1504" w:type="dxa"/>
          </w:tcPr>
          <w:p w14:paraId="060B76A8" w14:textId="73D0AA59" w:rsidR="000C2AA1" w:rsidRPr="000C2AA1" w:rsidRDefault="000C2AA1" w:rsidP="000C2AA1">
            <w:pPr>
              <w:rPr>
                <w:rFonts w:cs="Arial"/>
              </w:rPr>
            </w:pPr>
            <w:r w:rsidRPr="000C2AA1">
              <w:rPr>
                <w:rFonts w:cs="Arial"/>
                <w:i/>
                <w:iCs/>
              </w:rPr>
              <w:t>Нарушения на нервната система</w:t>
            </w:r>
          </w:p>
        </w:tc>
        <w:tc>
          <w:tcPr>
            <w:tcW w:w="1754" w:type="dxa"/>
          </w:tcPr>
          <w:p w14:paraId="27241C22" w14:textId="77777777" w:rsidR="000C2AA1" w:rsidRPr="000C2AA1" w:rsidRDefault="000C2AA1" w:rsidP="000C2AA1">
            <w:pPr>
              <w:rPr>
                <w:rFonts w:cs="Arial"/>
              </w:rPr>
            </w:pPr>
            <w:r w:rsidRPr="000C2AA1">
              <w:rPr>
                <w:rFonts w:cs="Arial"/>
              </w:rPr>
              <w:t>Сомнолентност</w:t>
            </w:r>
            <w:r w:rsidRPr="000C2AA1">
              <w:rPr>
                <w:rFonts w:cs="Arial"/>
                <w:vertAlign w:val="superscript"/>
              </w:rPr>
              <w:t>1,4</w:t>
            </w:r>
          </w:p>
          <w:p w14:paraId="2F580B4F" w14:textId="77777777" w:rsidR="000C2AA1" w:rsidRPr="000C2AA1" w:rsidRDefault="000C2AA1" w:rsidP="000C2AA1">
            <w:pPr>
              <w:rPr>
                <w:rFonts w:cs="Arial"/>
              </w:rPr>
            </w:pPr>
            <w:r w:rsidRPr="000C2AA1">
              <w:rPr>
                <w:rFonts w:cs="Arial"/>
              </w:rPr>
              <w:t>Седация</w:t>
            </w:r>
            <w:r w:rsidRPr="000C2AA1">
              <w:rPr>
                <w:rFonts w:cs="Arial"/>
                <w:vertAlign w:val="superscript"/>
              </w:rPr>
              <w:t>1,4</w:t>
            </w:r>
          </w:p>
          <w:p w14:paraId="00D3CB40" w14:textId="5FB6B010" w:rsidR="000C2AA1" w:rsidRPr="000C2AA1" w:rsidRDefault="000C2AA1" w:rsidP="000C2AA1">
            <w:pPr>
              <w:rPr>
                <w:rFonts w:cs="Arial"/>
              </w:rPr>
            </w:pPr>
            <w:r w:rsidRPr="000C2AA1">
              <w:rPr>
                <w:rFonts w:cs="Arial"/>
              </w:rPr>
              <w:t>Главоболие</w:t>
            </w:r>
            <w:r w:rsidRPr="000C2AA1">
              <w:rPr>
                <w:rFonts w:cs="Arial"/>
                <w:vertAlign w:val="superscript"/>
              </w:rPr>
              <w:t>2</w:t>
            </w:r>
          </w:p>
        </w:tc>
        <w:tc>
          <w:tcPr>
            <w:tcW w:w="1440" w:type="dxa"/>
          </w:tcPr>
          <w:p w14:paraId="5828FCE9" w14:textId="7E8D31E5" w:rsidR="000C2AA1" w:rsidRPr="000C2AA1" w:rsidRDefault="000C2AA1" w:rsidP="000C2AA1">
            <w:pPr>
              <w:rPr>
                <w:rFonts w:cs="Arial"/>
              </w:rPr>
            </w:pPr>
            <w:r w:rsidRPr="000C2AA1">
              <w:rPr>
                <w:rFonts w:cs="Arial"/>
              </w:rPr>
              <w:t>Летаргия</w:t>
            </w:r>
            <w:r w:rsidRPr="000C2AA1">
              <w:rPr>
                <w:rFonts w:cs="Arial"/>
                <w:vertAlign w:val="superscript"/>
              </w:rPr>
              <w:t xml:space="preserve">1 </w:t>
            </w:r>
            <w:r w:rsidRPr="000C2AA1">
              <w:rPr>
                <w:rFonts w:cs="Arial"/>
              </w:rPr>
              <w:t>Замаяност Тремор Амнезия</w:t>
            </w:r>
            <w:r w:rsidRPr="000C2AA1">
              <w:rPr>
                <w:rFonts w:cs="Arial"/>
                <w:vertAlign w:val="superscript"/>
              </w:rPr>
              <w:t>7</w:t>
            </w:r>
          </w:p>
        </w:tc>
        <w:tc>
          <w:tcPr>
            <w:tcW w:w="1487" w:type="dxa"/>
          </w:tcPr>
          <w:p w14:paraId="377B6C5C" w14:textId="09C02777" w:rsidR="000C2AA1" w:rsidRPr="000C2AA1" w:rsidRDefault="000C2AA1" w:rsidP="000C2AA1">
            <w:pPr>
              <w:rPr>
                <w:rFonts w:cs="Arial"/>
              </w:rPr>
            </w:pPr>
            <w:r w:rsidRPr="000C2AA1">
              <w:rPr>
                <w:rFonts w:cs="Arial"/>
              </w:rPr>
              <w:t>Парестезии</w:t>
            </w:r>
            <w:r w:rsidRPr="000C2AA1">
              <w:rPr>
                <w:rFonts w:cs="Arial"/>
                <w:vertAlign w:val="superscript"/>
              </w:rPr>
              <w:t xml:space="preserve">2 </w:t>
            </w:r>
            <w:r w:rsidRPr="000C2AA1">
              <w:rPr>
                <w:rFonts w:cs="Arial"/>
              </w:rPr>
              <w:t>Неспокойни крака Синкоп</w:t>
            </w:r>
          </w:p>
        </w:tc>
        <w:tc>
          <w:tcPr>
            <w:tcW w:w="1449" w:type="dxa"/>
          </w:tcPr>
          <w:p w14:paraId="14F8D214" w14:textId="2BB6AAB7" w:rsidR="000C2AA1" w:rsidRPr="000C2AA1" w:rsidRDefault="000C2AA1" w:rsidP="000C2AA1">
            <w:pPr>
              <w:rPr>
                <w:rFonts w:cs="Arial"/>
              </w:rPr>
            </w:pPr>
            <w:r w:rsidRPr="000C2AA1">
              <w:rPr>
                <w:rFonts w:cs="Arial"/>
              </w:rPr>
              <w:t>Миоклонус</w:t>
            </w:r>
          </w:p>
        </w:tc>
        <w:tc>
          <w:tcPr>
            <w:tcW w:w="1942" w:type="dxa"/>
            <w:vAlign w:val="bottom"/>
          </w:tcPr>
          <w:p w14:paraId="289FF5C6" w14:textId="19C007F3" w:rsidR="000C2AA1" w:rsidRPr="000C2AA1" w:rsidRDefault="000C2AA1" w:rsidP="000C2AA1">
            <w:pPr>
              <w:rPr>
                <w:rFonts w:cs="Arial"/>
              </w:rPr>
            </w:pPr>
            <w:r w:rsidRPr="000C2AA1">
              <w:rPr>
                <w:rFonts w:cs="Arial"/>
              </w:rPr>
              <w:t>Конвулсии (инсулт) Серотонинов синдром Орални парестезии Дизартрия</w:t>
            </w:r>
          </w:p>
        </w:tc>
      </w:tr>
      <w:tr w:rsidR="000C2AA1" w14:paraId="7E378CB7" w14:textId="77777777" w:rsidTr="000C2AA1">
        <w:tc>
          <w:tcPr>
            <w:tcW w:w="1504" w:type="dxa"/>
            <w:vAlign w:val="bottom"/>
          </w:tcPr>
          <w:p w14:paraId="1137CC3A" w14:textId="76FDA41B" w:rsidR="000C2AA1" w:rsidRPr="000C2AA1" w:rsidRDefault="000C2AA1" w:rsidP="000C2AA1">
            <w:pPr>
              <w:rPr>
                <w:rFonts w:cs="Arial"/>
              </w:rPr>
            </w:pPr>
            <w:r w:rsidRPr="000C2AA1">
              <w:rPr>
                <w:rFonts w:cs="Arial"/>
                <w:i/>
                <w:iCs/>
              </w:rPr>
              <w:t>Съдови нарушения</w:t>
            </w:r>
          </w:p>
        </w:tc>
        <w:tc>
          <w:tcPr>
            <w:tcW w:w="1754" w:type="dxa"/>
          </w:tcPr>
          <w:p w14:paraId="24A27875" w14:textId="77777777" w:rsidR="000C2AA1" w:rsidRPr="000C2AA1" w:rsidRDefault="000C2AA1" w:rsidP="000C2AA1">
            <w:pPr>
              <w:rPr>
                <w:rFonts w:cs="Arial"/>
              </w:rPr>
            </w:pPr>
          </w:p>
        </w:tc>
        <w:tc>
          <w:tcPr>
            <w:tcW w:w="1440" w:type="dxa"/>
            <w:vAlign w:val="bottom"/>
          </w:tcPr>
          <w:p w14:paraId="07F3DA81" w14:textId="7B8D8DCD" w:rsidR="000C2AA1" w:rsidRPr="000C2AA1" w:rsidRDefault="000C2AA1" w:rsidP="000C2AA1">
            <w:pPr>
              <w:rPr>
                <w:rFonts w:cs="Arial"/>
              </w:rPr>
            </w:pPr>
            <w:r w:rsidRPr="000C2AA1">
              <w:rPr>
                <w:rFonts w:cs="Arial"/>
              </w:rPr>
              <w:t>Ортостатична хипотония</w:t>
            </w:r>
          </w:p>
        </w:tc>
        <w:tc>
          <w:tcPr>
            <w:tcW w:w="1487" w:type="dxa"/>
          </w:tcPr>
          <w:p w14:paraId="31122A9B" w14:textId="0085E431" w:rsidR="000C2AA1" w:rsidRPr="000C2AA1" w:rsidRDefault="000C2AA1" w:rsidP="000C2AA1">
            <w:pPr>
              <w:rPr>
                <w:rFonts w:cs="Arial"/>
              </w:rPr>
            </w:pPr>
            <w:r w:rsidRPr="000C2AA1">
              <w:rPr>
                <w:rFonts w:cs="Arial"/>
              </w:rPr>
              <w:t>Хипотония</w:t>
            </w:r>
            <w:r w:rsidRPr="000C2AA1">
              <w:rPr>
                <w:rFonts w:cs="Arial"/>
                <w:vertAlign w:val="superscript"/>
              </w:rPr>
              <w:t>2</w:t>
            </w:r>
          </w:p>
        </w:tc>
        <w:tc>
          <w:tcPr>
            <w:tcW w:w="1449" w:type="dxa"/>
          </w:tcPr>
          <w:p w14:paraId="20F94870" w14:textId="77777777" w:rsidR="000C2AA1" w:rsidRPr="000C2AA1" w:rsidRDefault="000C2AA1" w:rsidP="000C2AA1">
            <w:pPr>
              <w:rPr>
                <w:rFonts w:cs="Arial"/>
              </w:rPr>
            </w:pPr>
          </w:p>
        </w:tc>
        <w:tc>
          <w:tcPr>
            <w:tcW w:w="1942" w:type="dxa"/>
          </w:tcPr>
          <w:p w14:paraId="165CB925" w14:textId="77777777" w:rsidR="000C2AA1" w:rsidRPr="000C2AA1" w:rsidRDefault="000C2AA1" w:rsidP="000C2AA1">
            <w:pPr>
              <w:rPr>
                <w:rFonts w:cs="Arial"/>
              </w:rPr>
            </w:pPr>
          </w:p>
        </w:tc>
      </w:tr>
      <w:tr w:rsidR="000C2AA1" w14:paraId="2DB656E6" w14:textId="77777777" w:rsidTr="000C2AA1">
        <w:tc>
          <w:tcPr>
            <w:tcW w:w="1504" w:type="dxa"/>
          </w:tcPr>
          <w:p w14:paraId="341E453D" w14:textId="2B8FE2E0" w:rsidR="000C2AA1" w:rsidRPr="000C2AA1" w:rsidRDefault="000C2AA1" w:rsidP="000C2AA1">
            <w:pPr>
              <w:rPr>
                <w:rFonts w:cs="Arial"/>
              </w:rPr>
            </w:pPr>
            <w:r w:rsidRPr="000C2AA1">
              <w:rPr>
                <w:rFonts w:cs="Arial"/>
                <w:i/>
                <w:iCs/>
              </w:rPr>
              <w:t>Стомашно- чревни нарушения</w:t>
            </w:r>
          </w:p>
        </w:tc>
        <w:tc>
          <w:tcPr>
            <w:tcW w:w="1754" w:type="dxa"/>
          </w:tcPr>
          <w:p w14:paraId="0852F946" w14:textId="49FF7242" w:rsidR="000C2AA1" w:rsidRPr="000C2AA1" w:rsidRDefault="000C2AA1" w:rsidP="000C2AA1">
            <w:pPr>
              <w:rPr>
                <w:rFonts w:cs="Arial"/>
              </w:rPr>
            </w:pPr>
            <w:r w:rsidRPr="000C2AA1">
              <w:rPr>
                <w:rFonts w:cs="Arial"/>
              </w:rPr>
              <w:t>Сухота в устата</w:t>
            </w:r>
          </w:p>
        </w:tc>
        <w:tc>
          <w:tcPr>
            <w:tcW w:w="1440" w:type="dxa"/>
            <w:vAlign w:val="bottom"/>
          </w:tcPr>
          <w:p w14:paraId="7231AA2C" w14:textId="67CF2CDF" w:rsidR="000C2AA1" w:rsidRPr="000C2AA1" w:rsidRDefault="000C2AA1" w:rsidP="000C2AA1">
            <w:pPr>
              <w:rPr>
                <w:rFonts w:cs="Arial"/>
              </w:rPr>
            </w:pPr>
            <w:r w:rsidRPr="000C2AA1">
              <w:rPr>
                <w:rFonts w:cs="Arial"/>
              </w:rPr>
              <w:t>Гадене</w:t>
            </w:r>
            <w:r w:rsidRPr="000C2AA1">
              <w:rPr>
                <w:rFonts w:cs="Arial"/>
                <w:vertAlign w:val="superscript"/>
              </w:rPr>
              <w:t xml:space="preserve">3 </w:t>
            </w:r>
            <w:r w:rsidRPr="000C2AA1">
              <w:rPr>
                <w:rFonts w:cs="Arial"/>
              </w:rPr>
              <w:t>Диария</w:t>
            </w:r>
            <w:r w:rsidRPr="000C2AA1">
              <w:rPr>
                <w:rFonts w:cs="Arial"/>
                <w:vertAlign w:val="superscript"/>
              </w:rPr>
              <w:t xml:space="preserve">2 </w:t>
            </w:r>
            <w:r w:rsidRPr="000C2AA1">
              <w:rPr>
                <w:rFonts w:cs="Arial"/>
              </w:rPr>
              <w:t>Повръщане</w:t>
            </w:r>
            <w:r w:rsidRPr="000C2AA1">
              <w:rPr>
                <w:rFonts w:cs="Arial"/>
                <w:vertAlign w:val="superscript"/>
              </w:rPr>
              <w:t xml:space="preserve">2 </w:t>
            </w:r>
            <w:r w:rsidRPr="000C2AA1">
              <w:rPr>
                <w:rFonts w:cs="Arial"/>
              </w:rPr>
              <w:t>Запек</w:t>
            </w:r>
            <w:r w:rsidRPr="000C2AA1">
              <w:rPr>
                <w:rFonts w:cs="Arial"/>
                <w:vertAlign w:val="superscript"/>
              </w:rPr>
              <w:t>1</w:t>
            </w:r>
          </w:p>
        </w:tc>
        <w:tc>
          <w:tcPr>
            <w:tcW w:w="1487" w:type="dxa"/>
          </w:tcPr>
          <w:p w14:paraId="765A5F94" w14:textId="11F955E9" w:rsidR="000C2AA1" w:rsidRPr="000C2AA1" w:rsidRDefault="000C2AA1" w:rsidP="000C2AA1">
            <w:pPr>
              <w:rPr>
                <w:rFonts w:cs="Arial"/>
              </w:rPr>
            </w:pPr>
            <w:r w:rsidRPr="000C2AA1">
              <w:rPr>
                <w:rFonts w:cs="Arial"/>
              </w:rPr>
              <w:t>Орална хипоестезия</w:t>
            </w:r>
          </w:p>
        </w:tc>
        <w:tc>
          <w:tcPr>
            <w:tcW w:w="1449" w:type="dxa"/>
          </w:tcPr>
          <w:p w14:paraId="0411ABE0" w14:textId="25617887" w:rsidR="000C2AA1" w:rsidRPr="000C2AA1" w:rsidRDefault="000C2AA1" w:rsidP="000C2AA1">
            <w:pPr>
              <w:rPr>
                <w:rFonts w:cs="Arial"/>
              </w:rPr>
            </w:pPr>
            <w:r w:rsidRPr="000C2AA1">
              <w:rPr>
                <w:rFonts w:cs="Arial"/>
              </w:rPr>
              <w:t>Панкреатит</w:t>
            </w:r>
          </w:p>
        </w:tc>
        <w:tc>
          <w:tcPr>
            <w:tcW w:w="1942" w:type="dxa"/>
            <w:vAlign w:val="bottom"/>
          </w:tcPr>
          <w:p w14:paraId="34FB74A3" w14:textId="2759A551" w:rsidR="000C2AA1" w:rsidRPr="000C2AA1" w:rsidRDefault="000C2AA1" w:rsidP="000C2AA1">
            <w:pPr>
              <w:rPr>
                <w:rFonts w:cs="Arial"/>
              </w:rPr>
            </w:pPr>
            <w:r w:rsidRPr="000C2AA1">
              <w:rPr>
                <w:rFonts w:cs="Arial"/>
              </w:rPr>
              <w:t>Едем в областта на устата Повишена саливация</w:t>
            </w:r>
          </w:p>
        </w:tc>
      </w:tr>
      <w:tr w:rsidR="000C2AA1" w14:paraId="4A77933D" w14:textId="77777777" w:rsidTr="000C2AA1">
        <w:tc>
          <w:tcPr>
            <w:tcW w:w="1504" w:type="dxa"/>
            <w:vAlign w:val="bottom"/>
          </w:tcPr>
          <w:p w14:paraId="47308C8C" w14:textId="3527D8D6" w:rsidR="000C2AA1" w:rsidRPr="000C2AA1" w:rsidRDefault="000C2AA1" w:rsidP="000C2AA1">
            <w:pPr>
              <w:rPr>
                <w:rFonts w:cs="Arial"/>
              </w:rPr>
            </w:pPr>
            <w:r w:rsidRPr="000C2AA1">
              <w:rPr>
                <w:rFonts w:cs="Arial"/>
                <w:i/>
                <w:iCs/>
              </w:rPr>
              <w:t>Хепато- билиарни нарушения</w:t>
            </w:r>
          </w:p>
        </w:tc>
        <w:tc>
          <w:tcPr>
            <w:tcW w:w="1754" w:type="dxa"/>
          </w:tcPr>
          <w:p w14:paraId="2C8CAC47" w14:textId="77777777" w:rsidR="000C2AA1" w:rsidRPr="000C2AA1" w:rsidRDefault="000C2AA1" w:rsidP="000C2AA1">
            <w:pPr>
              <w:rPr>
                <w:rFonts w:cs="Arial"/>
              </w:rPr>
            </w:pPr>
          </w:p>
        </w:tc>
        <w:tc>
          <w:tcPr>
            <w:tcW w:w="1440" w:type="dxa"/>
          </w:tcPr>
          <w:p w14:paraId="2BB9FC55" w14:textId="77777777" w:rsidR="000C2AA1" w:rsidRPr="000C2AA1" w:rsidRDefault="000C2AA1" w:rsidP="000C2AA1">
            <w:pPr>
              <w:rPr>
                <w:rFonts w:cs="Arial"/>
              </w:rPr>
            </w:pPr>
          </w:p>
        </w:tc>
        <w:tc>
          <w:tcPr>
            <w:tcW w:w="1487" w:type="dxa"/>
          </w:tcPr>
          <w:p w14:paraId="191208DF" w14:textId="77777777" w:rsidR="000C2AA1" w:rsidRPr="000C2AA1" w:rsidRDefault="000C2AA1" w:rsidP="000C2AA1">
            <w:pPr>
              <w:rPr>
                <w:rFonts w:cs="Arial"/>
              </w:rPr>
            </w:pPr>
          </w:p>
        </w:tc>
        <w:tc>
          <w:tcPr>
            <w:tcW w:w="1449" w:type="dxa"/>
            <w:vAlign w:val="bottom"/>
          </w:tcPr>
          <w:p w14:paraId="63EB0B22" w14:textId="54B65D5C" w:rsidR="000C2AA1" w:rsidRPr="000C2AA1" w:rsidRDefault="000C2AA1" w:rsidP="000C2AA1">
            <w:pPr>
              <w:rPr>
                <w:rFonts w:cs="Arial"/>
              </w:rPr>
            </w:pPr>
            <w:r w:rsidRPr="000C2AA1">
              <w:rPr>
                <w:rFonts w:cs="Arial"/>
              </w:rPr>
              <w:t>Повишаване на серумните трансаминази</w:t>
            </w:r>
          </w:p>
        </w:tc>
        <w:tc>
          <w:tcPr>
            <w:tcW w:w="1942" w:type="dxa"/>
          </w:tcPr>
          <w:p w14:paraId="4B16F310" w14:textId="77777777" w:rsidR="000C2AA1" w:rsidRPr="000C2AA1" w:rsidRDefault="000C2AA1" w:rsidP="000C2AA1">
            <w:pPr>
              <w:rPr>
                <w:rFonts w:cs="Arial"/>
              </w:rPr>
            </w:pPr>
          </w:p>
        </w:tc>
      </w:tr>
      <w:tr w:rsidR="000C2AA1" w14:paraId="2D153D30" w14:textId="77777777" w:rsidTr="000C2AA1">
        <w:tc>
          <w:tcPr>
            <w:tcW w:w="1504" w:type="dxa"/>
            <w:vAlign w:val="bottom"/>
          </w:tcPr>
          <w:p w14:paraId="6858709C" w14:textId="73288788" w:rsidR="000C2AA1" w:rsidRPr="000C2AA1" w:rsidRDefault="000C2AA1" w:rsidP="000C2AA1">
            <w:pPr>
              <w:rPr>
                <w:rFonts w:cs="Arial"/>
              </w:rPr>
            </w:pPr>
            <w:r w:rsidRPr="000C2AA1">
              <w:rPr>
                <w:rFonts w:cs="Arial"/>
                <w:i/>
                <w:iCs/>
              </w:rPr>
              <w:t>Нарушения на бъбреците и пикочните пътища</w:t>
            </w:r>
          </w:p>
        </w:tc>
        <w:tc>
          <w:tcPr>
            <w:tcW w:w="1754" w:type="dxa"/>
          </w:tcPr>
          <w:p w14:paraId="23E50EA1" w14:textId="77777777" w:rsidR="000C2AA1" w:rsidRPr="000C2AA1" w:rsidRDefault="000C2AA1" w:rsidP="000C2AA1">
            <w:pPr>
              <w:rPr>
                <w:rFonts w:cs="Arial"/>
              </w:rPr>
            </w:pPr>
          </w:p>
        </w:tc>
        <w:tc>
          <w:tcPr>
            <w:tcW w:w="1440" w:type="dxa"/>
          </w:tcPr>
          <w:p w14:paraId="256EF6EE" w14:textId="77777777" w:rsidR="000C2AA1" w:rsidRPr="000C2AA1" w:rsidRDefault="000C2AA1" w:rsidP="000C2AA1">
            <w:pPr>
              <w:rPr>
                <w:rFonts w:cs="Arial"/>
              </w:rPr>
            </w:pPr>
          </w:p>
        </w:tc>
        <w:tc>
          <w:tcPr>
            <w:tcW w:w="1487" w:type="dxa"/>
          </w:tcPr>
          <w:p w14:paraId="2D03C408" w14:textId="77777777" w:rsidR="000C2AA1" w:rsidRPr="000C2AA1" w:rsidRDefault="000C2AA1" w:rsidP="000C2AA1">
            <w:pPr>
              <w:rPr>
                <w:rFonts w:cs="Arial"/>
              </w:rPr>
            </w:pPr>
          </w:p>
        </w:tc>
        <w:tc>
          <w:tcPr>
            <w:tcW w:w="1449" w:type="dxa"/>
          </w:tcPr>
          <w:p w14:paraId="048429E5" w14:textId="77777777" w:rsidR="000C2AA1" w:rsidRPr="000C2AA1" w:rsidRDefault="000C2AA1" w:rsidP="000C2AA1">
            <w:pPr>
              <w:rPr>
                <w:rFonts w:cs="Arial"/>
              </w:rPr>
            </w:pPr>
          </w:p>
        </w:tc>
        <w:tc>
          <w:tcPr>
            <w:tcW w:w="1942" w:type="dxa"/>
          </w:tcPr>
          <w:p w14:paraId="5D47F880" w14:textId="74E468EF" w:rsidR="000C2AA1" w:rsidRPr="000C2AA1" w:rsidRDefault="000C2AA1" w:rsidP="000C2AA1">
            <w:pPr>
              <w:rPr>
                <w:rFonts w:cs="Arial"/>
              </w:rPr>
            </w:pPr>
            <w:r w:rsidRPr="000C2AA1">
              <w:rPr>
                <w:rFonts w:cs="Arial"/>
              </w:rPr>
              <w:t>Ретенцияна урината</w:t>
            </w:r>
          </w:p>
        </w:tc>
      </w:tr>
      <w:tr w:rsidR="000C2AA1" w14:paraId="74C90509" w14:textId="77777777" w:rsidTr="000C2AA1">
        <w:tc>
          <w:tcPr>
            <w:tcW w:w="1504" w:type="dxa"/>
          </w:tcPr>
          <w:p w14:paraId="22D9297D" w14:textId="799A94D4" w:rsidR="000C2AA1" w:rsidRPr="000C2AA1" w:rsidRDefault="000C2AA1" w:rsidP="000C2AA1">
            <w:pPr>
              <w:rPr>
                <w:rFonts w:cs="Arial"/>
              </w:rPr>
            </w:pPr>
            <w:r w:rsidRPr="000C2AA1">
              <w:rPr>
                <w:rFonts w:cs="Arial"/>
                <w:i/>
                <w:iCs/>
              </w:rPr>
              <w:t>Нарушения на кожата и подкожната тъкан</w:t>
            </w:r>
          </w:p>
        </w:tc>
        <w:tc>
          <w:tcPr>
            <w:tcW w:w="1754" w:type="dxa"/>
          </w:tcPr>
          <w:p w14:paraId="00196C18" w14:textId="77777777" w:rsidR="000C2AA1" w:rsidRPr="000C2AA1" w:rsidRDefault="000C2AA1" w:rsidP="000C2AA1">
            <w:pPr>
              <w:rPr>
                <w:rFonts w:cs="Arial"/>
              </w:rPr>
            </w:pPr>
          </w:p>
        </w:tc>
        <w:tc>
          <w:tcPr>
            <w:tcW w:w="1440" w:type="dxa"/>
          </w:tcPr>
          <w:p w14:paraId="6A54735D" w14:textId="3A4C7A88" w:rsidR="000C2AA1" w:rsidRPr="000C2AA1" w:rsidRDefault="000C2AA1" w:rsidP="000C2AA1">
            <w:pPr>
              <w:rPr>
                <w:rFonts w:cs="Arial"/>
              </w:rPr>
            </w:pPr>
            <w:r w:rsidRPr="000C2AA1">
              <w:rPr>
                <w:rFonts w:cs="Arial"/>
              </w:rPr>
              <w:t>Екзантем</w:t>
            </w:r>
            <w:r w:rsidRPr="000C2AA1">
              <w:rPr>
                <w:rFonts w:cs="Arial"/>
                <w:vertAlign w:val="superscript"/>
              </w:rPr>
              <w:t>2</w:t>
            </w:r>
          </w:p>
        </w:tc>
        <w:tc>
          <w:tcPr>
            <w:tcW w:w="1487" w:type="dxa"/>
          </w:tcPr>
          <w:p w14:paraId="44DA9BCA" w14:textId="77777777" w:rsidR="000C2AA1" w:rsidRPr="000C2AA1" w:rsidRDefault="000C2AA1" w:rsidP="000C2AA1">
            <w:pPr>
              <w:rPr>
                <w:rFonts w:cs="Arial"/>
              </w:rPr>
            </w:pPr>
          </w:p>
        </w:tc>
        <w:tc>
          <w:tcPr>
            <w:tcW w:w="1449" w:type="dxa"/>
            <w:vAlign w:val="bottom"/>
          </w:tcPr>
          <w:p w14:paraId="1197762B" w14:textId="77777777" w:rsidR="000C2AA1" w:rsidRPr="000C2AA1" w:rsidRDefault="000C2AA1" w:rsidP="000C2AA1">
            <w:pPr>
              <w:rPr>
                <w:rFonts w:cs="Arial"/>
              </w:rPr>
            </w:pPr>
          </w:p>
        </w:tc>
        <w:tc>
          <w:tcPr>
            <w:tcW w:w="1942" w:type="dxa"/>
          </w:tcPr>
          <w:p w14:paraId="23059471" w14:textId="77777777" w:rsidR="000C2AA1" w:rsidRPr="000C2AA1" w:rsidRDefault="000C2AA1" w:rsidP="000C2AA1">
            <w:pPr>
              <w:rPr>
                <w:rFonts w:cs="Arial"/>
              </w:rPr>
            </w:pPr>
            <w:r w:rsidRPr="000C2AA1">
              <w:rPr>
                <w:rFonts w:cs="Arial"/>
              </w:rPr>
              <w:t>Синдром на Стивънс-Джонсън Булозен дерматит Еритема мултиформе Токсична епидермална</w:t>
            </w:r>
          </w:p>
          <w:p w14:paraId="281C6F25" w14:textId="77777777" w:rsidR="000C2AA1" w:rsidRPr="000C2AA1" w:rsidRDefault="000C2AA1" w:rsidP="000C2AA1">
            <w:pPr>
              <w:rPr>
                <w:rFonts w:cs="Arial"/>
              </w:rPr>
            </w:pPr>
            <w:r w:rsidRPr="000C2AA1">
              <w:rPr>
                <w:rFonts w:cs="Arial"/>
              </w:rPr>
              <w:t>некролиза</w:t>
            </w:r>
          </w:p>
          <w:p w14:paraId="65E0ABD7" w14:textId="77777777" w:rsidR="000C2AA1" w:rsidRPr="000C2AA1" w:rsidRDefault="000C2AA1" w:rsidP="000C2AA1">
            <w:pPr>
              <w:rPr>
                <w:rFonts w:cs="Arial"/>
              </w:rPr>
            </w:pPr>
            <w:r w:rsidRPr="000C2AA1">
              <w:rPr>
                <w:rFonts w:cs="Arial"/>
              </w:rPr>
              <w:t>Лекарствена реакция с</w:t>
            </w:r>
          </w:p>
          <w:p w14:paraId="772D494B" w14:textId="77777777" w:rsidR="000C2AA1" w:rsidRPr="000C2AA1" w:rsidRDefault="000C2AA1" w:rsidP="000C2AA1">
            <w:pPr>
              <w:rPr>
                <w:rFonts w:cs="Arial"/>
              </w:rPr>
            </w:pPr>
            <w:r w:rsidRPr="000C2AA1">
              <w:rPr>
                <w:rFonts w:cs="Arial"/>
              </w:rPr>
              <w:t>еозинофилит и</w:t>
            </w:r>
          </w:p>
          <w:p w14:paraId="1F61BB8F" w14:textId="77777777" w:rsidR="000C2AA1" w:rsidRPr="000C2AA1" w:rsidRDefault="000C2AA1" w:rsidP="000C2AA1">
            <w:pPr>
              <w:rPr>
                <w:rFonts w:cs="Arial"/>
              </w:rPr>
            </w:pPr>
            <w:r w:rsidRPr="000C2AA1">
              <w:rPr>
                <w:rFonts w:cs="Arial"/>
              </w:rPr>
              <w:t>системни</w:t>
            </w:r>
          </w:p>
          <w:p w14:paraId="7A9D04AB" w14:textId="0365136D" w:rsidR="000C2AA1" w:rsidRPr="000C2AA1" w:rsidRDefault="000C2AA1" w:rsidP="000C2AA1">
            <w:pPr>
              <w:rPr>
                <w:rFonts w:cs="Arial"/>
              </w:rPr>
            </w:pPr>
            <w:r w:rsidRPr="000C2AA1">
              <w:rPr>
                <w:rFonts w:cs="Arial"/>
              </w:rPr>
              <w:lastRenderedPageBreak/>
              <w:t>симптоми (</w:t>
            </w:r>
            <w:r w:rsidRPr="000C2AA1">
              <w:rPr>
                <w:rFonts w:cs="Arial"/>
                <w:lang w:val="en-US"/>
              </w:rPr>
              <w:t>DRESS)</w:t>
            </w:r>
          </w:p>
        </w:tc>
      </w:tr>
      <w:tr w:rsidR="000C2AA1" w14:paraId="6331ABF6" w14:textId="77777777" w:rsidTr="000C2AA1">
        <w:tc>
          <w:tcPr>
            <w:tcW w:w="1504" w:type="dxa"/>
            <w:vAlign w:val="bottom"/>
          </w:tcPr>
          <w:p w14:paraId="5ED32048" w14:textId="69C2624C" w:rsidR="000C2AA1" w:rsidRPr="000C2AA1" w:rsidRDefault="000C2AA1" w:rsidP="000C2AA1">
            <w:pPr>
              <w:rPr>
                <w:rFonts w:cs="Arial"/>
              </w:rPr>
            </w:pPr>
            <w:r w:rsidRPr="000C2AA1">
              <w:rPr>
                <w:rFonts w:cs="Arial"/>
                <w:i/>
                <w:iCs/>
              </w:rPr>
              <w:lastRenderedPageBreak/>
              <w:t xml:space="preserve">Нарушения на </w:t>
            </w:r>
            <w:r w:rsidRPr="000C2AA1">
              <w:rPr>
                <w:rFonts w:cs="Arial"/>
                <w:i/>
                <w:iCs/>
              </w:rPr>
              <w:t>мускулно- скелетната система</w:t>
            </w:r>
          </w:p>
        </w:tc>
        <w:tc>
          <w:tcPr>
            <w:tcW w:w="1754" w:type="dxa"/>
          </w:tcPr>
          <w:p w14:paraId="648A474A" w14:textId="77777777" w:rsidR="000C2AA1" w:rsidRPr="000C2AA1" w:rsidRDefault="000C2AA1" w:rsidP="000C2AA1">
            <w:pPr>
              <w:rPr>
                <w:rFonts w:cs="Arial"/>
              </w:rPr>
            </w:pPr>
          </w:p>
        </w:tc>
        <w:tc>
          <w:tcPr>
            <w:tcW w:w="1440" w:type="dxa"/>
            <w:vAlign w:val="bottom"/>
          </w:tcPr>
          <w:p w14:paraId="3BDB246D" w14:textId="77777777" w:rsidR="000C2AA1" w:rsidRPr="000C2AA1" w:rsidRDefault="000C2AA1" w:rsidP="000C2AA1">
            <w:pPr>
              <w:rPr>
                <w:rFonts w:cs="Arial"/>
              </w:rPr>
            </w:pPr>
            <w:r w:rsidRPr="000C2AA1">
              <w:rPr>
                <w:rFonts w:cs="Arial"/>
              </w:rPr>
              <w:t>Артралгия</w:t>
            </w:r>
          </w:p>
          <w:p w14:paraId="3ABE1D11" w14:textId="77777777" w:rsidR="000C2AA1" w:rsidRPr="000C2AA1" w:rsidRDefault="000C2AA1" w:rsidP="000C2AA1">
            <w:pPr>
              <w:spacing w:line="240" w:lineRule="auto"/>
              <w:rPr>
                <w:rFonts w:eastAsia="Times New Roman" w:cs="Arial"/>
                <w:color w:val="000000"/>
                <w:lang w:eastAsia="bg-BG"/>
              </w:rPr>
            </w:pPr>
          </w:p>
          <w:p w14:paraId="36D7DB91" w14:textId="004A3ACB" w:rsidR="000C2AA1" w:rsidRPr="000C2AA1" w:rsidRDefault="000C2AA1" w:rsidP="000C2AA1">
            <w:pPr>
              <w:spacing w:line="240" w:lineRule="auto"/>
              <w:rPr>
                <w:rFonts w:eastAsia="Times New Roman" w:cs="Arial"/>
                <w:color w:val="000000"/>
                <w:lang w:eastAsia="bg-BG"/>
              </w:rPr>
            </w:pPr>
            <w:r w:rsidRPr="000C2AA1">
              <w:rPr>
                <w:rFonts w:eastAsia="Times New Roman" w:cs="Arial"/>
                <w:color w:val="000000"/>
                <w:lang w:eastAsia="bg-BG"/>
              </w:rPr>
              <w:t>Миалгия</w:t>
            </w:r>
          </w:p>
          <w:p w14:paraId="120F2491"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Болки в гърба</w:t>
            </w:r>
            <w:r w:rsidRPr="000C2AA1">
              <w:rPr>
                <w:rFonts w:eastAsia="Times New Roman" w:cs="Arial"/>
                <w:color w:val="000000"/>
                <w:vertAlign w:val="superscript"/>
                <w:lang w:eastAsia="bg-BG"/>
              </w:rPr>
              <w:t>1</w:t>
            </w:r>
          </w:p>
          <w:p w14:paraId="27DDD99F" w14:textId="6141FEDC" w:rsidR="000C2AA1" w:rsidRPr="000C2AA1" w:rsidRDefault="000C2AA1" w:rsidP="000C2AA1">
            <w:pPr>
              <w:rPr>
                <w:rFonts w:cs="Arial"/>
              </w:rPr>
            </w:pPr>
          </w:p>
        </w:tc>
        <w:tc>
          <w:tcPr>
            <w:tcW w:w="1487" w:type="dxa"/>
          </w:tcPr>
          <w:p w14:paraId="04F26648" w14:textId="77777777" w:rsidR="000C2AA1" w:rsidRPr="000C2AA1" w:rsidRDefault="000C2AA1" w:rsidP="000C2AA1">
            <w:pPr>
              <w:rPr>
                <w:rFonts w:cs="Arial"/>
              </w:rPr>
            </w:pPr>
          </w:p>
        </w:tc>
        <w:tc>
          <w:tcPr>
            <w:tcW w:w="1449" w:type="dxa"/>
            <w:vAlign w:val="bottom"/>
          </w:tcPr>
          <w:p w14:paraId="624A9080" w14:textId="77777777" w:rsidR="000C2AA1" w:rsidRPr="000C2AA1" w:rsidRDefault="000C2AA1" w:rsidP="000C2AA1">
            <w:pPr>
              <w:rPr>
                <w:rFonts w:cs="Arial"/>
              </w:rPr>
            </w:pPr>
          </w:p>
        </w:tc>
        <w:tc>
          <w:tcPr>
            <w:tcW w:w="1942" w:type="dxa"/>
          </w:tcPr>
          <w:p w14:paraId="61966F1E" w14:textId="05BF3DD8" w:rsidR="000C2AA1" w:rsidRPr="000C2AA1" w:rsidRDefault="000C2AA1" w:rsidP="000C2AA1">
            <w:pPr>
              <w:rPr>
                <w:rFonts w:cs="Arial"/>
              </w:rPr>
            </w:pPr>
            <w:r w:rsidRPr="000C2AA1">
              <w:rPr>
                <w:rFonts w:cs="Arial"/>
              </w:rPr>
              <w:t>Рабдомиолиза</w:t>
            </w:r>
            <w:r w:rsidRPr="000C2AA1">
              <w:rPr>
                <w:rFonts w:cs="Arial"/>
                <w:vertAlign w:val="superscript"/>
              </w:rPr>
              <w:t>1</w:t>
            </w:r>
          </w:p>
        </w:tc>
      </w:tr>
      <w:tr w:rsidR="000C2AA1" w14:paraId="74EB8BD4" w14:textId="77777777" w:rsidTr="000C2AA1">
        <w:tc>
          <w:tcPr>
            <w:tcW w:w="1504" w:type="dxa"/>
          </w:tcPr>
          <w:p w14:paraId="039EE2F3" w14:textId="7FD11F57" w:rsidR="000C2AA1" w:rsidRPr="000C2AA1" w:rsidRDefault="000C2AA1" w:rsidP="000C2AA1">
            <w:pPr>
              <w:rPr>
                <w:rFonts w:cs="Arial"/>
              </w:rPr>
            </w:pPr>
            <w:r w:rsidRPr="000C2AA1">
              <w:rPr>
                <w:rFonts w:cs="Arial"/>
                <w:i/>
                <w:iCs/>
              </w:rPr>
              <w:t>Общи нарушения и ефекти на мястото на приложение</w:t>
            </w:r>
          </w:p>
        </w:tc>
        <w:tc>
          <w:tcPr>
            <w:tcW w:w="1754" w:type="dxa"/>
          </w:tcPr>
          <w:p w14:paraId="01752AF2" w14:textId="77777777" w:rsidR="000C2AA1" w:rsidRPr="000C2AA1" w:rsidRDefault="000C2AA1" w:rsidP="000C2AA1">
            <w:pPr>
              <w:rPr>
                <w:rFonts w:cs="Arial"/>
              </w:rPr>
            </w:pPr>
          </w:p>
        </w:tc>
        <w:tc>
          <w:tcPr>
            <w:tcW w:w="1440" w:type="dxa"/>
          </w:tcPr>
          <w:p w14:paraId="14AC3A4E" w14:textId="77777777" w:rsidR="000C2AA1" w:rsidRPr="000C2AA1" w:rsidRDefault="000C2AA1" w:rsidP="000C2AA1">
            <w:pPr>
              <w:rPr>
                <w:rFonts w:cs="Arial"/>
              </w:rPr>
            </w:pPr>
            <w:r w:rsidRPr="000C2AA1">
              <w:rPr>
                <w:rFonts w:cs="Arial"/>
              </w:rPr>
              <w:t>Периферен оток</w:t>
            </w:r>
            <w:r w:rsidRPr="000C2AA1">
              <w:rPr>
                <w:rFonts w:cs="Arial"/>
                <w:vertAlign w:val="superscript"/>
              </w:rPr>
              <w:t>1</w:t>
            </w:r>
          </w:p>
          <w:p w14:paraId="06FD2EE7" w14:textId="2E4572D1" w:rsidR="000C2AA1" w:rsidRPr="000C2AA1" w:rsidRDefault="000C2AA1" w:rsidP="000C2AA1">
            <w:pPr>
              <w:rPr>
                <w:rFonts w:cs="Arial"/>
              </w:rPr>
            </w:pPr>
            <w:r w:rsidRPr="000C2AA1">
              <w:rPr>
                <w:rFonts w:cs="Arial"/>
              </w:rPr>
              <w:t>Умора</w:t>
            </w:r>
          </w:p>
        </w:tc>
        <w:tc>
          <w:tcPr>
            <w:tcW w:w="1487" w:type="dxa"/>
          </w:tcPr>
          <w:p w14:paraId="39FD151C" w14:textId="77777777" w:rsidR="000C2AA1" w:rsidRPr="000C2AA1" w:rsidRDefault="000C2AA1" w:rsidP="000C2AA1">
            <w:pPr>
              <w:rPr>
                <w:rFonts w:cs="Arial"/>
              </w:rPr>
            </w:pPr>
          </w:p>
        </w:tc>
        <w:tc>
          <w:tcPr>
            <w:tcW w:w="1449" w:type="dxa"/>
          </w:tcPr>
          <w:p w14:paraId="3D1F9333" w14:textId="77777777" w:rsidR="000C2AA1" w:rsidRPr="000C2AA1" w:rsidRDefault="000C2AA1" w:rsidP="000C2AA1">
            <w:pPr>
              <w:rPr>
                <w:rFonts w:cs="Arial"/>
              </w:rPr>
            </w:pPr>
          </w:p>
        </w:tc>
        <w:tc>
          <w:tcPr>
            <w:tcW w:w="1942" w:type="dxa"/>
          </w:tcPr>
          <w:p w14:paraId="7F5EDA59" w14:textId="39528368" w:rsidR="000C2AA1" w:rsidRPr="000C2AA1" w:rsidRDefault="000C2AA1" w:rsidP="000C2AA1">
            <w:pPr>
              <w:rPr>
                <w:rFonts w:cs="Arial"/>
              </w:rPr>
            </w:pPr>
            <w:r w:rsidRPr="000C2AA1">
              <w:rPr>
                <w:rFonts w:cs="Arial"/>
              </w:rPr>
              <w:t>Сомнамбулизъм</w:t>
            </w:r>
          </w:p>
        </w:tc>
      </w:tr>
      <w:tr w:rsidR="000C2AA1" w14:paraId="00116353" w14:textId="77777777" w:rsidTr="000C2AA1">
        <w:tc>
          <w:tcPr>
            <w:tcW w:w="1504" w:type="dxa"/>
          </w:tcPr>
          <w:p w14:paraId="0B603BD4" w14:textId="2D881190" w:rsidR="000C2AA1" w:rsidRPr="000C2AA1" w:rsidRDefault="000C2AA1" w:rsidP="000C2AA1">
            <w:pPr>
              <w:rPr>
                <w:rFonts w:cs="Arial"/>
              </w:rPr>
            </w:pPr>
            <w:r w:rsidRPr="000C2AA1">
              <w:rPr>
                <w:rFonts w:cs="Arial"/>
                <w:i/>
                <w:iCs/>
              </w:rPr>
              <w:t>Изследвания</w:t>
            </w:r>
          </w:p>
        </w:tc>
        <w:tc>
          <w:tcPr>
            <w:tcW w:w="1754" w:type="dxa"/>
          </w:tcPr>
          <w:p w14:paraId="05E3F894" w14:textId="77777777" w:rsidR="000C2AA1" w:rsidRPr="000C2AA1" w:rsidRDefault="000C2AA1" w:rsidP="000C2AA1">
            <w:pPr>
              <w:rPr>
                <w:rFonts w:cs="Arial"/>
              </w:rPr>
            </w:pPr>
          </w:p>
        </w:tc>
        <w:tc>
          <w:tcPr>
            <w:tcW w:w="1440" w:type="dxa"/>
          </w:tcPr>
          <w:p w14:paraId="15C400F6" w14:textId="77777777" w:rsidR="000C2AA1" w:rsidRPr="000C2AA1" w:rsidRDefault="000C2AA1" w:rsidP="000C2AA1">
            <w:pPr>
              <w:rPr>
                <w:rFonts w:cs="Arial"/>
              </w:rPr>
            </w:pPr>
          </w:p>
        </w:tc>
        <w:tc>
          <w:tcPr>
            <w:tcW w:w="1487" w:type="dxa"/>
          </w:tcPr>
          <w:p w14:paraId="1B65A3E1" w14:textId="77777777" w:rsidR="000C2AA1" w:rsidRPr="000C2AA1" w:rsidRDefault="000C2AA1" w:rsidP="000C2AA1">
            <w:pPr>
              <w:rPr>
                <w:rFonts w:cs="Arial"/>
              </w:rPr>
            </w:pPr>
          </w:p>
        </w:tc>
        <w:tc>
          <w:tcPr>
            <w:tcW w:w="1449" w:type="dxa"/>
          </w:tcPr>
          <w:p w14:paraId="254C9F4B" w14:textId="77777777" w:rsidR="000C2AA1" w:rsidRPr="000C2AA1" w:rsidRDefault="000C2AA1" w:rsidP="000C2AA1">
            <w:pPr>
              <w:rPr>
                <w:rFonts w:cs="Arial"/>
              </w:rPr>
            </w:pPr>
          </w:p>
        </w:tc>
        <w:tc>
          <w:tcPr>
            <w:tcW w:w="1942" w:type="dxa"/>
          </w:tcPr>
          <w:p w14:paraId="0787CEB3" w14:textId="5816808D" w:rsidR="000C2AA1" w:rsidRPr="000C2AA1" w:rsidRDefault="000C2AA1" w:rsidP="000C2AA1">
            <w:pPr>
              <w:rPr>
                <w:rFonts w:cs="Arial"/>
              </w:rPr>
            </w:pPr>
            <w:r w:rsidRPr="000C2AA1">
              <w:rPr>
                <w:rFonts w:cs="Arial"/>
              </w:rPr>
              <w:t>Повишени стойности на креатинкиназата</w:t>
            </w:r>
            <w:r w:rsidRPr="000C2AA1">
              <w:rPr>
                <w:rFonts w:cs="Arial"/>
                <w:vertAlign w:val="superscript"/>
              </w:rPr>
              <w:t>8</w:t>
            </w:r>
          </w:p>
        </w:tc>
      </w:tr>
    </w:tbl>
    <w:p w14:paraId="2CE42E56" w14:textId="77777777" w:rsidR="000C2AA1" w:rsidRPr="000C2AA1" w:rsidRDefault="000C2AA1" w:rsidP="000C2AA1">
      <w:pPr>
        <w:spacing w:line="240" w:lineRule="auto"/>
        <w:rPr>
          <w:rFonts w:eastAsia="Times New Roman" w:cs="Arial"/>
        </w:rPr>
      </w:pPr>
      <w:r w:rsidRPr="000C2AA1">
        <w:rPr>
          <w:rFonts w:eastAsia="Times New Roman" w:cs="Arial"/>
          <w:color w:val="000000"/>
          <w:vertAlign w:val="superscript"/>
          <w:lang w:eastAsia="bg-BG"/>
        </w:rPr>
        <w:t>1</w:t>
      </w:r>
      <w:r w:rsidRPr="000C2AA1">
        <w:rPr>
          <w:rFonts w:eastAsia="Times New Roman" w:cs="Arial"/>
          <w:color w:val="000000"/>
          <w:lang w:eastAsia="bg-BG"/>
        </w:rPr>
        <w:t xml:space="preserve"> При клинични проучвания тези събития се наблюдават статистически сигнификангно по-често по време на лечение с миртазапин, отколкото при прилагане на плацебо.</w:t>
      </w:r>
    </w:p>
    <w:p w14:paraId="48D26EA9" w14:textId="77777777" w:rsidR="000C2AA1" w:rsidRPr="000C2AA1" w:rsidRDefault="000C2AA1" w:rsidP="000C2AA1">
      <w:pPr>
        <w:spacing w:line="240" w:lineRule="auto"/>
        <w:rPr>
          <w:rFonts w:eastAsia="Times New Roman" w:cs="Arial"/>
        </w:rPr>
      </w:pPr>
      <w:r w:rsidRPr="000C2AA1">
        <w:rPr>
          <w:rFonts w:eastAsia="Times New Roman" w:cs="Arial"/>
          <w:color w:val="000000"/>
          <w:vertAlign w:val="superscript"/>
          <w:lang w:eastAsia="bg-BG"/>
        </w:rPr>
        <w:t>2</w:t>
      </w:r>
      <w:r w:rsidRPr="000C2AA1">
        <w:rPr>
          <w:rFonts w:eastAsia="Times New Roman" w:cs="Arial"/>
          <w:color w:val="000000"/>
          <w:lang w:eastAsia="bg-BG"/>
        </w:rPr>
        <w:t xml:space="preserve"> При клинични проучвания тези събития се наблюдават по-често при прилагане на плацебо, отколкото при лечение с миртазапин, въпреки че това по-често е статистически незначимо.</w:t>
      </w:r>
    </w:p>
    <w:p w14:paraId="4BEC25EE" w14:textId="77777777" w:rsidR="000C2AA1" w:rsidRPr="000C2AA1" w:rsidRDefault="000C2AA1" w:rsidP="000C2AA1">
      <w:pPr>
        <w:spacing w:line="240" w:lineRule="auto"/>
        <w:rPr>
          <w:rFonts w:eastAsia="Times New Roman" w:cs="Arial"/>
        </w:rPr>
      </w:pPr>
      <w:r w:rsidRPr="000C2AA1">
        <w:rPr>
          <w:rFonts w:eastAsia="Times New Roman" w:cs="Arial"/>
          <w:color w:val="000000"/>
          <w:vertAlign w:val="superscript"/>
          <w:lang w:eastAsia="bg-BG"/>
        </w:rPr>
        <w:t>3</w:t>
      </w:r>
      <w:r w:rsidRPr="000C2AA1">
        <w:rPr>
          <w:rFonts w:eastAsia="Times New Roman" w:cs="Arial"/>
          <w:color w:val="000000"/>
          <w:lang w:eastAsia="bg-BG"/>
        </w:rPr>
        <w:t xml:space="preserve"> При клинични проучвания тези събития се наблюдават статистически значимо по-често при прилагане на плацебо, отколкото на миртазапин.</w:t>
      </w:r>
    </w:p>
    <w:p w14:paraId="3D7801D0" w14:textId="77777777" w:rsidR="000C2AA1" w:rsidRPr="000C2AA1" w:rsidRDefault="000C2AA1" w:rsidP="000C2AA1">
      <w:pPr>
        <w:spacing w:line="240" w:lineRule="auto"/>
        <w:rPr>
          <w:rFonts w:eastAsia="Times New Roman" w:cs="Arial"/>
        </w:rPr>
      </w:pPr>
      <w:r w:rsidRPr="000C2AA1">
        <w:rPr>
          <w:rFonts w:eastAsia="Times New Roman" w:cs="Arial"/>
          <w:color w:val="000000"/>
          <w:vertAlign w:val="superscript"/>
          <w:lang w:val="ru-RU"/>
        </w:rPr>
        <w:t>4</w:t>
      </w:r>
      <w:r w:rsidRPr="000C2AA1">
        <w:rPr>
          <w:rFonts w:eastAsia="Times New Roman" w:cs="Arial"/>
          <w:color w:val="000000"/>
          <w:lang w:val="en-US"/>
        </w:rPr>
        <w:t>N</w:t>
      </w:r>
      <w:r w:rsidRPr="000C2AA1">
        <w:rPr>
          <w:rFonts w:eastAsia="Times New Roman" w:cs="Arial"/>
          <w:color w:val="000000"/>
          <w:lang w:val="ru-RU"/>
        </w:rPr>
        <w:t>.</w:t>
      </w:r>
      <w:r w:rsidRPr="000C2AA1">
        <w:rPr>
          <w:rFonts w:eastAsia="Times New Roman" w:cs="Arial"/>
          <w:color w:val="000000"/>
          <w:lang w:val="en-US"/>
        </w:rPr>
        <w:t>B</w:t>
      </w:r>
      <w:r w:rsidRPr="000C2AA1">
        <w:rPr>
          <w:rFonts w:eastAsia="Times New Roman" w:cs="Arial"/>
          <w:color w:val="000000"/>
          <w:lang w:val="ru-RU"/>
        </w:rPr>
        <w:t xml:space="preserve">. </w:t>
      </w:r>
      <w:r w:rsidRPr="000C2AA1">
        <w:rPr>
          <w:rFonts w:eastAsia="Times New Roman" w:cs="Arial"/>
          <w:color w:val="000000"/>
          <w:lang w:eastAsia="bg-BG"/>
        </w:rPr>
        <w:t>редукция на дозата като цяло не води до намаляване на сомнолентността/седацията, но може да намали ефикасността на антидепресантите.</w:t>
      </w:r>
    </w:p>
    <w:p w14:paraId="3FEA670C" w14:textId="69E112EE" w:rsidR="000C2AA1" w:rsidRPr="000C2AA1" w:rsidRDefault="000C2AA1" w:rsidP="000C2AA1">
      <w:pPr>
        <w:spacing w:line="240" w:lineRule="auto"/>
        <w:rPr>
          <w:rFonts w:eastAsia="Times New Roman" w:cs="Arial"/>
        </w:rPr>
      </w:pPr>
      <w:r w:rsidRPr="000C2AA1">
        <w:rPr>
          <w:rFonts w:eastAsia="Times New Roman" w:cs="Arial"/>
          <w:color w:val="000000"/>
          <w:vertAlign w:val="superscript"/>
          <w:lang w:eastAsia="bg-BG"/>
        </w:rPr>
        <w:t>5</w:t>
      </w:r>
      <w:r w:rsidRPr="000C2AA1">
        <w:rPr>
          <w:rFonts w:eastAsia="Times New Roman" w:cs="Arial"/>
          <w:color w:val="000000"/>
          <w:lang w:eastAsia="bg-BG"/>
        </w:rPr>
        <w:t>По време на лечение с антидепресанти е възможно да се появят или да се засилят вече наличните тревожност и</w:t>
      </w:r>
    </w:p>
    <w:p w14:paraId="1E801313"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безсъние (които е възможно да са симптоми на депресията). Има съобщения за поява и влошаване на тревожността и безсънието при лечение с миртазапин.</w:t>
      </w:r>
    </w:p>
    <w:p w14:paraId="32687FF8" w14:textId="6E7036AB" w:rsidR="000C2AA1" w:rsidRPr="000C2AA1" w:rsidRDefault="000C2AA1" w:rsidP="000C2AA1">
      <w:pPr>
        <w:spacing w:line="240" w:lineRule="auto"/>
        <w:rPr>
          <w:rFonts w:eastAsia="Times New Roman" w:cs="Arial"/>
        </w:rPr>
      </w:pPr>
      <w:r w:rsidRPr="000C2AA1">
        <w:rPr>
          <w:rFonts w:eastAsia="Times New Roman" w:cs="Arial"/>
          <w:color w:val="000000"/>
          <w:vertAlign w:val="superscript"/>
          <w:lang w:eastAsia="bg-BG"/>
        </w:rPr>
        <w:t>6</w:t>
      </w:r>
      <w:r w:rsidRPr="000C2AA1">
        <w:rPr>
          <w:rFonts w:eastAsia="Times New Roman" w:cs="Arial"/>
          <w:color w:val="000000"/>
          <w:lang w:eastAsia="bg-BG"/>
        </w:rPr>
        <w:t>Случаи на суицидни идеи и суицидно поведение са докладвани при лечение с миртазапин или наскоро след</w:t>
      </w:r>
    </w:p>
    <w:p w14:paraId="6E020C2E"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прекъсване на лечението (вж. точка 4.4).</w:t>
      </w:r>
    </w:p>
    <w:p w14:paraId="5F9A3EAA" w14:textId="77777777" w:rsidR="000C2AA1" w:rsidRPr="000C2AA1" w:rsidRDefault="000C2AA1" w:rsidP="000C2AA1">
      <w:pPr>
        <w:spacing w:line="240" w:lineRule="auto"/>
        <w:rPr>
          <w:rFonts w:eastAsia="Times New Roman" w:cs="Arial"/>
        </w:rPr>
      </w:pPr>
      <w:r w:rsidRPr="000C2AA1">
        <w:rPr>
          <w:rFonts w:eastAsia="Times New Roman" w:cs="Arial"/>
          <w:color w:val="000000"/>
          <w:vertAlign w:val="superscript"/>
          <w:lang w:eastAsia="bg-BG"/>
        </w:rPr>
        <w:t>7</w:t>
      </w:r>
      <w:r w:rsidRPr="000C2AA1">
        <w:rPr>
          <w:rFonts w:eastAsia="Times New Roman" w:cs="Arial"/>
          <w:color w:val="000000"/>
          <w:lang w:eastAsia="bg-BG"/>
        </w:rPr>
        <w:t xml:space="preserve"> В повечето случаи пациентите се възстановяват след спиране на лечението.</w:t>
      </w:r>
    </w:p>
    <w:p w14:paraId="0BE54763" w14:textId="77777777" w:rsidR="000C2AA1" w:rsidRPr="000C2AA1" w:rsidRDefault="000C2AA1" w:rsidP="000C2AA1">
      <w:pPr>
        <w:spacing w:line="240" w:lineRule="auto"/>
        <w:rPr>
          <w:rFonts w:eastAsia="Times New Roman" w:cs="Arial"/>
          <w:color w:val="000000"/>
          <w:lang w:eastAsia="bg-BG"/>
        </w:rPr>
      </w:pPr>
    </w:p>
    <w:p w14:paraId="3B62E6A3" w14:textId="61EE3E9F" w:rsidR="000C2AA1" w:rsidRPr="000C2AA1" w:rsidRDefault="000C2AA1" w:rsidP="000C2AA1">
      <w:pPr>
        <w:spacing w:line="240" w:lineRule="auto"/>
        <w:rPr>
          <w:rFonts w:eastAsia="Times New Roman" w:cs="Arial"/>
        </w:rPr>
      </w:pPr>
      <w:r w:rsidRPr="000C2AA1">
        <w:rPr>
          <w:rFonts w:eastAsia="Times New Roman" w:cs="Arial"/>
          <w:color w:val="000000"/>
          <w:lang w:eastAsia="bg-BG"/>
        </w:rPr>
        <w:t>В клинични проучвания е наблюдавано преходно повишаване в стойностите на трансаминазите и гамаглутамилтрансферазата, като свързаните с това нежелани реакции не са били сигнификантно по-чести при лечение с миртазапин, в сравнение с плацебо.</w:t>
      </w:r>
    </w:p>
    <w:p w14:paraId="1E65F5ED" w14:textId="77777777" w:rsidR="000C2AA1" w:rsidRPr="000C2AA1" w:rsidRDefault="000C2AA1" w:rsidP="000C2AA1">
      <w:pPr>
        <w:spacing w:line="240" w:lineRule="auto"/>
        <w:rPr>
          <w:rFonts w:eastAsia="Times New Roman" w:cs="Arial"/>
          <w:color w:val="000000"/>
          <w:u w:val="single"/>
          <w:lang w:eastAsia="bg-BG"/>
        </w:rPr>
      </w:pPr>
    </w:p>
    <w:p w14:paraId="5C36BDC0" w14:textId="75F04A79" w:rsidR="000C2AA1" w:rsidRPr="000C2AA1" w:rsidRDefault="000C2AA1" w:rsidP="000C2AA1">
      <w:pPr>
        <w:spacing w:line="240" w:lineRule="auto"/>
        <w:rPr>
          <w:rFonts w:eastAsia="Times New Roman" w:cs="Arial"/>
        </w:rPr>
      </w:pPr>
      <w:r w:rsidRPr="000C2AA1">
        <w:rPr>
          <w:rFonts w:eastAsia="Times New Roman" w:cs="Arial"/>
          <w:color w:val="000000"/>
          <w:u w:val="single"/>
          <w:lang w:eastAsia="bg-BG"/>
        </w:rPr>
        <w:t>Педиатрична популация</w:t>
      </w:r>
    </w:p>
    <w:p w14:paraId="3B1A53FB" w14:textId="77777777" w:rsidR="000C2AA1" w:rsidRPr="000C2AA1" w:rsidRDefault="000C2AA1" w:rsidP="000C2AA1">
      <w:pPr>
        <w:spacing w:line="240" w:lineRule="auto"/>
        <w:rPr>
          <w:rFonts w:eastAsia="Times New Roman" w:cs="Arial"/>
        </w:rPr>
      </w:pPr>
      <w:r w:rsidRPr="000C2AA1">
        <w:rPr>
          <w:rFonts w:eastAsia="Times New Roman" w:cs="Arial"/>
          <w:color w:val="000000"/>
          <w:lang w:eastAsia="bg-BG"/>
        </w:rPr>
        <w:t>Следните нежелани реакции са наблюдавани при деца, главно в клинични проучвания: повишаване на телесното тегло, уртикария и хипертриглицеридемия (вж. точка 5.1).</w:t>
      </w:r>
    </w:p>
    <w:p w14:paraId="14575EB7" w14:textId="77777777" w:rsidR="000C2AA1" w:rsidRPr="000C2AA1" w:rsidRDefault="000C2AA1" w:rsidP="000C2AA1">
      <w:pPr>
        <w:spacing w:line="240" w:lineRule="auto"/>
        <w:rPr>
          <w:rFonts w:eastAsia="Times New Roman" w:cs="Arial"/>
          <w:color w:val="000000"/>
          <w:u w:val="single"/>
          <w:lang w:eastAsia="bg-BG"/>
        </w:rPr>
      </w:pPr>
    </w:p>
    <w:p w14:paraId="7C1486DE" w14:textId="48984337" w:rsidR="000C2AA1" w:rsidRPr="000C2AA1" w:rsidRDefault="000C2AA1" w:rsidP="000C2AA1">
      <w:pPr>
        <w:spacing w:line="240" w:lineRule="auto"/>
        <w:rPr>
          <w:rFonts w:eastAsia="Times New Roman" w:cs="Arial"/>
        </w:rPr>
      </w:pPr>
      <w:r w:rsidRPr="000C2AA1">
        <w:rPr>
          <w:rFonts w:eastAsia="Times New Roman" w:cs="Arial"/>
          <w:color w:val="000000"/>
          <w:u w:val="single"/>
          <w:lang w:eastAsia="bg-BG"/>
        </w:rPr>
        <w:t>Съобщаване на подозирани нежелани реакции</w:t>
      </w:r>
    </w:p>
    <w:p w14:paraId="7A1DFADA" w14:textId="3A86E5D0" w:rsidR="000C2AA1" w:rsidRPr="000C2AA1" w:rsidRDefault="000C2AA1" w:rsidP="000C2AA1">
      <w:pPr>
        <w:rPr>
          <w:rFonts w:cs="Arial"/>
        </w:rPr>
      </w:pPr>
      <w:r w:rsidRPr="000C2AA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w:t>
      </w:r>
      <w:r w:rsidRPr="000C2AA1">
        <w:rPr>
          <w:rFonts w:eastAsia="Times New Roman" w:cs="Arial"/>
          <w:color w:val="000000"/>
          <w:lang w:eastAsia="bg-BG"/>
        </w:rPr>
        <w:lastRenderedPageBreak/>
        <w:t xml:space="preserve">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hyperlink r:id="rId5" w:history="1">
        <w:r w:rsidRPr="000C2AA1">
          <w:rPr>
            <w:rFonts w:eastAsia="Times New Roman" w:cs="Arial"/>
            <w:color w:val="000000"/>
            <w:u w:val="single"/>
            <w:lang w:val="en-US"/>
          </w:rPr>
          <w:t>www.bda.bg</w:t>
        </w:r>
      </w:hyperlink>
      <w:r w:rsidRPr="000C2AA1">
        <w:rPr>
          <w:rFonts w:eastAsia="Times New Roman" w:cs="Arial"/>
          <w:color w:val="000000"/>
          <w:lang w:val="en-US"/>
        </w:rPr>
        <w:t>.</w:t>
      </w:r>
    </w:p>
    <w:p w14:paraId="5A87DBA3" w14:textId="6AF35AAF" w:rsidR="007122AD" w:rsidRDefault="002C50EE" w:rsidP="00936AD0">
      <w:pPr>
        <w:pStyle w:val="Heading2"/>
      </w:pPr>
      <w:r>
        <w:t>4.9. Предозиране</w:t>
      </w:r>
    </w:p>
    <w:p w14:paraId="14EACE2F" w14:textId="0EF4960D" w:rsidR="000C2AA1" w:rsidRDefault="000C2AA1" w:rsidP="000C2AA1"/>
    <w:p w14:paraId="7B0599A2" w14:textId="77777777" w:rsidR="000C2AA1" w:rsidRPr="000C2AA1" w:rsidRDefault="000C2AA1" w:rsidP="000C2AA1">
      <w:pPr>
        <w:rPr>
          <w:sz w:val="24"/>
          <w:szCs w:val="24"/>
        </w:rPr>
      </w:pPr>
      <w:r w:rsidRPr="000C2AA1">
        <w:rPr>
          <w:lang w:eastAsia="bg-BG"/>
        </w:rPr>
        <w:t>Понастоящем опитът относно самостоятелно предозиране с миртазапин показва, че симптомите са обикновено леки. Докладвани са потискане на централната нервна система с дезориентация и удължено седиране заедно с тахикардия и лека хипер- или хипотония. Съществува обаче вероятност за по-сериозен изход (включително смъртни случаи) при дозировки, много по- високи от терапевтичната доза, особено при смесени предозирания. Случаите на предозиране трябва да получават подходящо симптоматично и поддържащо лечение на жизнените функции. Активен въглен или стомашна промивка трябва също да се имат предвид.</w:t>
      </w:r>
    </w:p>
    <w:p w14:paraId="582D344F" w14:textId="77777777" w:rsidR="000C2AA1" w:rsidRPr="000C2AA1" w:rsidRDefault="000C2AA1" w:rsidP="000C2AA1"/>
    <w:p w14:paraId="02081B24" w14:textId="36FE76F4" w:rsidR="00395555" w:rsidRPr="00395555" w:rsidRDefault="002C50EE" w:rsidP="008A6AF2">
      <w:pPr>
        <w:pStyle w:val="Heading1"/>
      </w:pPr>
      <w:r>
        <w:t>5. ФАРМАКОЛОГИЧНИ СВОЙСТВА</w:t>
      </w:r>
    </w:p>
    <w:p w14:paraId="6339E404" w14:textId="20E3E6D9" w:rsidR="00875EEC" w:rsidRDefault="002C50EE" w:rsidP="005726E3">
      <w:pPr>
        <w:pStyle w:val="Heading2"/>
      </w:pPr>
      <w:r>
        <w:t>5.1. Фармакодинамични свойства</w:t>
      </w:r>
    </w:p>
    <w:p w14:paraId="621BC435" w14:textId="5E4319FE" w:rsidR="000C2AA1" w:rsidRDefault="000C2AA1" w:rsidP="000C2AA1"/>
    <w:p w14:paraId="4F48FEF6" w14:textId="26B59F02" w:rsidR="000C2AA1" w:rsidRPr="000C2AA1" w:rsidRDefault="000C2AA1" w:rsidP="000C2AA1">
      <w:pPr>
        <w:rPr>
          <w:rFonts w:cs="Arial"/>
          <w:szCs w:val="20"/>
        </w:rPr>
      </w:pPr>
      <w:r w:rsidRPr="000C2AA1">
        <w:rPr>
          <w:rFonts w:cs="Arial"/>
          <w:szCs w:val="20"/>
        </w:rPr>
        <w:t xml:space="preserve">Фармакотерапевтична група: Други антидепресанти, АТС код: </w:t>
      </w:r>
      <w:r w:rsidRPr="000C2AA1">
        <w:rPr>
          <w:rFonts w:cs="Arial"/>
          <w:szCs w:val="20"/>
          <w:lang w:val="en-US"/>
        </w:rPr>
        <w:t>N</w:t>
      </w:r>
      <w:r w:rsidRPr="000C2AA1">
        <w:rPr>
          <w:rFonts w:cs="Arial"/>
          <w:szCs w:val="20"/>
          <w:lang w:val="ru-RU"/>
        </w:rPr>
        <w:t>06</w:t>
      </w:r>
      <w:r w:rsidRPr="000C2AA1">
        <w:rPr>
          <w:rFonts w:cs="Arial"/>
          <w:szCs w:val="20"/>
          <w:lang w:val="en-US"/>
        </w:rPr>
        <w:t>AX</w:t>
      </w:r>
      <w:r w:rsidRPr="000C2AA1">
        <w:rPr>
          <w:rFonts w:cs="Arial"/>
          <w:szCs w:val="20"/>
          <w:lang w:val="ru-RU"/>
        </w:rPr>
        <w:t>1</w:t>
      </w:r>
      <w:r w:rsidRPr="000C2AA1">
        <w:rPr>
          <w:rFonts w:cs="Arial"/>
          <w:szCs w:val="20"/>
        </w:rPr>
        <w:t>1</w:t>
      </w:r>
    </w:p>
    <w:p w14:paraId="20A1D7F6" w14:textId="7BE6AFBC" w:rsidR="000C2AA1" w:rsidRPr="000C2AA1" w:rsidRDefault="000C2AA1" w:rsidP="000C2AA1">
      <w:pPr>
        <w:rPr>
          <w:rFonts w:cs="Arial"/>
          <w:szCs w:val="20"/>
        </w:rPr>
      </w:pPr>
    </w:p>
    <w:p w14:paraId="2C3EFC09"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u w:val="single"/>
          <w:lang w:eastAsia="bg-BG"/>
        </w:rPr>
        <w:t>Механизъм на действие и фармакодинамични ефекти</w:t>
      </w:r>
    </w:p>
    <w:p w14:paraId="0757B586"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 xml:space="preserve">Миртазапин е централно активен пресинаптичен алфа2-антагонист, който увеличава централната норадренергична и серогонинергична невротрансмисия. Увеличаването на серотонинергичната невротрансмисия е специфично медиирана посредством 5-НТ1 рецептори, защото 5-НТ2 и 5-НТЗ рецепторите са блокирани от миртазапин. Предполага се, че и двата енантиомера на миртазапин допринасят за антидепресантното действие - </w:t>
      </w:r>
      <w:r w:rsidRPr="000C2AA1">
        <w:rPr>
          <w:rFonts w:eastAsia="Times New Roman" w:cs="Arial"/>
          <w:color w:val="000000"/>
          <w:szCs w:val="20"/>
          <w:lang w:val="en-US"/>
        </w:rPr>
        <w:t>S</w:t>
      </w:r>
      <w:r w:rsidRPr="000C2AA1">
        <w:rPr>
          <w:rFonts w:eastAsia="Times New Roman" w:cs="Arial"/>
          <w:color w:val="000000"/>
          <w:szCs w:val="20"/>
          <w:lang w:val="ru-RU"/>
        </w:rPr>
        <w:t xml:space="preserve">(+) </w:t>
      </w:r>
      <w:r w:rsidRPr="000C2AA1">
        <w:rPr>
          <w:rFonts w:eastAsia="Times New Roman" w:cs="Arial"/>
          <w:color w:val="000000"/>
          <w:szCs w:val="20"/>
          <w:lang w:eastAsia="bg-BG"/>
        </w:rPr>
        <w:t xml:space="preserve">енантиомерът чрез блокиране на α2 и 5-НТ2 рецепторите, </w:t>
      </w:r>
      <w:r w:rsidRPr="000C2AA1">
        <w:rPr>
          <w:rFonts w:eastAsia="Times New Roman" w:cs="Arial"/>
          <w:color w:val="000000"/>
          <w:szCs w:val="20"/>
          <w:lang w:val="en-US"/>
        </w:rPr>
        <w:t>a</w:t>
      </w:r>
      <w:r w:rsidRPr="000C2AA1">
        <w:rPr>
          <w:rFonts w:eastAsia="Times New Roman" w:cs="Arial"/>
          <w:color w:val="000000"/>
          <w:szCs w:val="20"/>
          <w:lang w:val="ru-RU"/>
        </w:rPr>
        <w:t xml:space="preserve"> </w:t>
      </w:r>
      <w:r w:rsidRPr="000C2AA1">
        <w:rPr>
          <w:rFonts w:eastAsia="Times New Roman" w:cs="Arial"/>
          <w:color w:val="000000"/>
          <w:szCs w:val="20"/>
          <w:lang w:val="en-US"/>
        </w:rPr>
        <w:t>R</w:t>
      </w:r>
      <w:r w:rsidRPr="000C2AA1">
        <w:rPr>
          <w:rFonts w:eastAsia="Times New Roman" w:cs="Arial"/>
          <w:color w:val="000000"/>
          <w:szCs w:val="20"/>
          <w:lang w:val="ru-RU"/>
        </w:rPr>
        <w:t xml:space="preserve">(-) </w:t>
      </w:r>
      <w:r w:rsidRPr="000C2AA1">
        <w:rPr>
          <w:rFonts w:eastAsia="Times New Roman" w:cs="Arial"/>
          <w:color w:val="000000"/>
          <w:szCs w:val="20"/>
          <w:lang w:eastAsia="bg-BG"/>
        </w:rPr>
        <w:t xml:space="preserve">енантиомерът чрез блокиране на 5-НТЗ рецепторите. Хистаминовата </w:t>
      </w:r>
      <w:r w:rsidRPr="000C2AA1">
        <w:rPr>
          <w:rFonts w:eastAsia="Times New Roman" w:cs="Arial"/>
          <w:color w:val="000000"/>
          <w:szCs w:val="20"/>
          <w:lang w:val="en-US"/>
        </w:rPr>
        <w:t>H</w:t>
      </w:r>
      <w:r w:rsidRPr="000C2AA1">
        <w:rPr>
          <w:rFonts w:eastAsia="Times New Roman" w:cs="Arial"/>
          <w:color w:val="000000"/>
          <w:szCs w:val="20"/>
          <w:lang w:val="ru-RU"/>
        </w:rPr>
        <w:t>1</w:t>
      </w:r>
      <w:r w:rsidRPr="000C2AA1">
        <w:rPr>
          <w:rFonts w:eastAsia="Times New Roman" w:cs="Arial"/>
          <w:color w:val="000000"/>
          <w:szCs w:val="20"/>
          <w:lang w:eastAsia="bg-BG"/>
        </w:rPr>
        <w:t>-антагонистична активност на миртазапин се свързва с неговите седативни свойства. Той практически няма антихолинергично действие и при терапевтични дози практически няма ефект върху сърдечно-съдовата система.</w:t>
      </w:r>
    </w:p>
    <w:p w14:paraId="2DEFE954" w14:textId="77777777" w:rsidR="000C2AA1" w:rsidRPr="000C2AA1" w:rsidRDefault="000C2AA1" w:rsidP="000C2AA1">
      <w:pPr>
        <w:spacing w:line="240" w:lineRule="auto"/>
        <w:rPr>
          <w:rFonts w:eastAsia="Times New Roman" w:cs="Arial"/>
          <w:color w:val="000000"/>
          <w:szCs w:val="20"/>
          <w:u w:val="single"/>
          <w:lang w:eastAsia="bg-BG"/>
        </w:rPr>
      </w:pPr>
    </w:p>
    <w:p w14:paraId="4ADB7766" w14:textId="361DBD32"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u w:val="single"/>
          <w:lang w:eastAsia="bg-BG"/>
        </w:rPr>
        <w:t>Педиатрична популация</w:t>
      </w:r>
    </w:p>
    <w:p w14:paraId="5BF0C86A" w14:textId="67D6FDE6" w:rsidR="000C2AA1" w:rsidRPr="000C2AA1" w:rsidRDefault="000C2AA1" w:rsidP="000C2AA1">
      <w:pPr>
        <w:rPr>
          <w:rFonts w:eastAsia="Times New Roman" w:cs="Arial"/>
          <w:color w:val="000000"/>
          <w:szCs w:val="20"/>
          <w:lang w:eastAsia="bg-BG"/>
        </w:rPr>
      </w:pPr>
      <w:r w:rsidRPr="000C2AA1">
        <w:rPr>
          <w:rFonts w:eastAsia="Times New Roman" w:cs="Arial"/>
          <w:color w:val="000000"/>
          <w:szCs w:val="20"/>
          <w:lang w:eastAsia="bg-BG"/>
        </w:rPr>
        <w:t>В две рандомизирани, двойно-слепи, плацебо контролирани проучвания при деца на възраст между 7 и 18 години с голямо депресивно разстройство (</w:t>
      </w:r>
      <w:r w:rsidRPr="000C2AA1">
        <w:rPr>
          <w:rFonts w:eastAsia="Times New Roman" w:cs="Arial"/>
          <w:color w:val="000000"/>
          <w:szCs w:val="20"/>
          <w:lang w:val="en-US"/>
        </w:rPr>
        <w:t>n</w:t>
      </w:r>
      <w:r w:rsidRPr="000C2AA1">
        <w:rPr>
          <w:rFonts w:eastAsia="Times New Roman" w:cs="Arial"/>
          <w:color w:val="000000"/>
          <w:szCs w:val="20"/>
          <w:lang w:eastAsia="bg-BG"/>
        </w:rPr>
        <w:t xml:space="preserve">=259) и използване на променлива доза за първите 4 седмици (15-45 </w:t>
      </w:r>
      <w:r w:rsidRPr="000C2AA1">
        <w:rPr>
          <w:rFonts w:eastAsia="Times New Roman" w:cs="Arial"/>
          <w:color w:val="000000"/>
          <w:szCs w:val="20"/>
          <w:lang w:val="en-US"/>
        </w:rPr>
        <w:t>mg</w:t>
      </w:r>
      <w:r w:rsidRPr="000C2AA1">
        <w:rPr>
          <w:rFonts w:eastAsia="Times New Roman" w:cs="Arial"/>
          <w:color w:val="000000"/>
          <w:szCs w:val="20"/>
          <w:lang w:val="ru-RU"/>
        </w:rPr>
        <w:t xml:space="preserve"> </w:t>
      </w:r>
      <w:r w:rsidRPr="000C2AA1">
        <w:rPr>
          <w:rFonts w:eastAsia="Times New Roman" w:cs="Arial"/>
          <w:color w:val="000000"/>
          <w:szCs w:val="20"/>
          <w:lang w:eastAsia="bg-BG"/>
        </w:rPr>
        <w:t xml:space="preserve">миртазапин), последвано от фиксирана доза (15,30 или 45 </w:t>
      </w:r>
      <w:r w:rsidRPr="000C2AA1">
        <w:rPr>
          <w:rFonts w:eastAsia="Times New Roman" w:cs="Arial"/>
          <w:color w:val="000000"/>
          <w:szCs w:val="20"/>
          <w:lang w:val="en-US"/>
        </w:rPr>
        <w:t>mg</w:t>
      </w:r>
      <w:r w:rsidRPr="000C2AA1">
        <w:rPr>
          <w:rFonts w:eastAsia="Times New Roman" w:cs="Arial"/>
          <w:color w:val="000000"/>
          <w:szCs w:val="20"/>
          <w:lang w:val="ru-RU"/>
        </w:rPr>
        <w:t xml:space="preserve"> </w:t>
      </w:r>
      <w:r w:rsidRPr="000C2AA1">
        <w:rPr>
          <w:rFonts w:eastAsia="Times New Roman" w:cs="Arial"/>
          <w:color w:val="000000"/>
          <w:szCs w:val="20"/>
          <w:lang w:eastAsia="bg-BG"/>
        </w:rPr>
        <w:t>миртазапин) за още 4 седмици, не са установени сигнификантни различия между миртазапин и плацебо по отношение на първичните и вторични критерии. Наблюдавано е сигнификантно повишаване на телесното тегло (≥ 7%) при 48,8% от третираните с миртазапин пациенти, сравнено с 5,7% в плацебо групата. Наблюдавани са също така и уртикария (11,8% спрямо 6,8%) и хипергриглицеридемия (2,9% спрямо 0%).</w:t>
      </w:r>
    </w:p>
    <w:p w14:paraId="3DD75E36" w14:textId="77777777" w:rsidR="000C2AA1" w:rsidRPr="000C2AA1" w:rsidRDefault="000C2AA1" w:rsidP="000C2AA1"/>
    <w:p w14:paraId="346B622B" w14:textId="31161DCA" w:rsidR="00875EEC" w:rsidRDefault="002C50EE" w:rsidP="005726E3">
      <w:pPr>
        <w:pStyle w:val="Heading2"/>
      </w:pPr>
      <w:r>
        <w:t>5.2. Фармакокинетични свойства</w:t>
      </w:r>
    </w:p>
    <w:p w14:paraId="388195F1" w14:textId="5E6203EF" w:rsidR="000C2AA1" w:rsidRDefault="000C2AA1" w:rsidP="000C2AA1"/>
    <w:p w14:paraId="1D20EA1B" w14:textId="77777777" w:rsidR="000C2AA1" w:rsidRPr="000C2AA1" w:rsidRDefault="000C2AA1" w:rsidP="000C2AA1">
      <w:pPr>
        <w:pStyle w:val="Heading3"/>
        <w:rPr>
          <w:rFonts w:eastAsia="Times New Roman"/>
          <w:sz w:val="28"/>
          <w:u w:val="single"/>
        </w:rPr>
      </w:pPr>
      <w:r w:rsidRPr="000C2AA1">
        <w:rPr>
          <w:rFonts w:eastAsia="Times New Roman"/>
          <w:u w:val="single"/>
          <w:lang w:eastAsia="bg-BG"/>
        </w:rPr>
        <w:lastRenderedPageBreak/>
        <w:t>Абсорбция</w:t>
      </w:r>
    </w:p>
    <w:p w14:paraId="12C1DAFD"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 xml:space="preserve">След перорален прием на миртазапин, активното вещество се резорбира бързо и добре (бионаличност </w:t>
      </w:r>
      <w:r w:rsidRPr="000C2AA1">
        <w:rPr>
          <w:rFonts w:eastAsia="Times New Roman" w:cs="Arial"/>
          <w:color w:val="000000"/>
          <w:szCs w:val="20"/>
          <w:lang w:val="ru-RU"/>
        </w:rPr>
        <w:t>≈</w:t>
      </w:r>
      <w:r w:rsidRPr="000C2AA1">
        <w:rPr>
          <w:rFonts w:eastAsia="Times New Roman" w:cs="Arial"/>
          <w:color w:val="000000"/>
          <w:szCs w:val="20"/>
          <w:lang w:eastAsia="bg-BG"/>
        </w:rPr>
        <w:t xml:space="preserve">50%), достигайки максимална плазмена концентрация след приблизително 2 часа. </w:t>
      </w:r>
      <w:r w:rsidRPr="000C2AA1">
        <w:rPr>
          <w:rFonts w:eastAsia="Times New Roman" w:cs="Arial"/>
          <w:color w:val="000000"/>
          <w:szCs w:val="20"/>
          <w:lang w:val="en-US"/>
        </w:rPr>
        <w:t>Steady</w:t>
      </w:r>
      <w:r w:rsidRPr="000C2AA1">
        <w:rPr>
          <w:rFonts w:eastAsia="Times New Roman" w:cs="Arial"/>
          <w:color w:val="000000"/>
          <w:szCs w:val="20"/>
          <w:lang w:val="ru-RU"/>
        </w:rPr>
        <w:t xml:space="preserve"> </w:t>
      </w:r>
      <w:r w:rsidRPr="000C2AA1">
        <w:rPr>
          <w:rFonts w:eastAsia="Times New Roman" w:cs="Arial"/>
          <w:color w:val="000000"/>
          <w:szCs w:val="20"/>
          <w:lang w:val="en-US"/>
        </w:rPr>
        <w:t>state</w:t>
      </w:r>
      <w:r w:rsidRPr="000C2AA1">
        <w:rPr>
          <w:rFonts w:eastAsia="Times New Roman" w:cs="Arial"/>
          <w:color w:val="000000"/>
          <w:szCs w:val="20"/>
          <w:lang w:val="ru-RU"/>
        </w:rPr>
        <w:t xml:space="preserve"> </w:t>
      </w:r>
      <w:r w:rsidRPr="000C2AA1">
        <w:rPr>
          <w:rFonts w:eastAsia="Times New Roman" w:cs="Arial"/>
          <w:color w:val="000000"/>
          <w:szCs w:val="20"/>
          <w:lang w:eastAsia="bg-BG"/>
        </w:rPr>
        <w:t>се достига след 3-4 дни, след което не се наблюдава по-нататъшно кумулиране. Приемането на храна не оказва влияние върху фармакокинетиката на продукта.</w:t>
      </w:r>
    </w:p>
    <w:p w14:paraId="7C5ADCFA" w14:textId="77777777" w:rsidR="000C2AA1" w:rsidRPr="000C2AA1" w:rsidRDefault="000C2AA1" w:rsidP="000C2AA1">
      <w:pPr>
        <w:spacing w:line="240" w:lineRule="auto"/>
        <w:rPr>
          <w:rFonts w:eastAsia="Times New Roman" w:cs="Arial"/>
          <w:color w:val="000000"/>
          <w:szCs w:val="20"/>
          <w:u w:val="single"/>
          <w:lang w:eastAsia="bg-BG"/>
        </w:rPr>
      </w:pPr>
    </w:p>
    <w:p w14:paraId="31FAD2D5" w14:textId="30245197" w:rsidR="000C2AA1" w:rsidRPr="000C2AA1" w:rsidRDefault="000C2AA1" w:rsidP="000C2AA1">
      <w:pPr>
        <w:pStyle w:val="Heading3"/>
        <w:rPr>
          <w:rFonts w:eastAsia="Times New Roman"/>
          <w:sz w:val="28"/>
          <w:u w:val="single"/>
        </w:rPr>
      </w:pPr>
      <w:r w:rsidRPr="000C2AA1">
        <w:rPr>
          <w:rFonts w:eastAsia="Times New Roman"/>
          <w:u w:val="single"/>
          <w:lang w:eastAsia="bg-BG"/>
        </w:rPr>
        <w:t>Разпределение</w:t>
      </w:r>
    </w:p>
    <w:p w14:paraId="7E7714AF"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Свързването с плазмените протеини е около 85%.</w:t>
      </w:r>
    </w:p>
    <w:p w14:paraId="54BBBB57" w14:textId="77777777" w:rsidR="000C2AA1" w:rsidRPr="000C2AA1" w:rsidRDefault="000C2AA1" w:rsidP="000C2AA1">
      <w:pPr>
        <w:spacing w:line="240" w:lineRule="auto"/>
        <w:rPr>
          <w:rFonts w:eastAsia="Times New Roman" w:cs="Arial"/>
          <w:color w:val="000000"/>
          <w:szCs w:val="20"/>
          <w:u w:val="single"/>
          <w:lang w:eastAsia="bg-BG"/>
        </w:rPr>
      </w:pPr>
    </w:p>
    <w:p w14:paraId="39617F93" w14:textId="44DC5BD4" w:rsidR="000C2AA1" w:rsidRPr="000C2AA1" w:rsidRDefault="000C2AA1" w:rsidP="000C2AA1">
      <w:pPr>
        <w:pStyle w:val="Heading3"/>
        <w:rPr>
          <w:rFonts w:eastAsia="Times New Roman"/>
          <w:sz w:val="28"/>
          <w:u w:val="single"/>
        </w:rPr>
      </w:pPr>
      <w:r w:rsidRPr="000C2AA1">
        <w:rPr>
          <w:rFonts w:eastAsia="Times New Roman"/>
          <w:u w:val="single"/>
          <w:lang w:eastAsia="bg-BG"/>
        </w:rPr>
        <w:t>Биотрансформация</w:t>
      </w:r>
    </w:p>
    <w:p w14:paraId="6C6809EF"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 xml:space="preserve">Миртазапин се метаболизира екстензивно и се елиминира чрез урината и фекалиите в продължение на няколко дни. Основни пътища за метаболизиране са деметилиране и окисление, следвани от конюгиране. </w:t>
      </w:r>
      <w:r w:rsidRPr="000C2AA1">
        <w:rPr>
          <w:rFonts w:eastAsia="Times New Roman" w:cs="Arial"/>
          <w:color w:val="000000"/>
          <w:szCs w:val="20"/>
          <w:lang w:val="en-US"/>
        </w:rPr>
        <w:t>In</w:t>
      </w:r>
      <w:r w:rsidRPr="000C2AA1">
        <w:rPr>
          <w:rFonts w:eastAsia="Times New Roman" w:cs="Arial"/>
          <w:color w:val="000000"/>
          <w:szCs w:val="20"/>
          <w:lang w:val="ru-RU"/>
        </w:rPr>
        <w:t xml:space="preserve"> </w:t>
      </w:r>
      <w:r w:rsidRPr="000C2AA1">
        <w:rPr>
          <w:rFonts w:eastAsia="Times New Roman" w:cs="Arial"/>
          <w:color w:val="000000"/>
          <w:szCs w:val="20"/>
          <w:lang w:val="en-US"/>
        </w:rPr>
        <w:t>vitro</w:t>
      </w:r>
      <w:r w:rsidRPr="000C2AA1">
        <w:rPr>
          <w:rFonts w:eastAsia="Times New Roman" w:cs="Arial"/>
          <w:color w:val="000000"/>
          <w:szCs w:val="20"/>
          <w:lang w:val="ru-RU"/>
        </w:rPr>
        <w:t xml:space="preserve"> </w:t>
      </w:r>
      <w:r w:rsidRPr="000C2AA1">
        <w:rPr>
          <w:rFonts w:eastAsia="Times New Roman" w:cs="Arial"/>
          <w:color w:val="000000"/>
          <w:szCs w:val="20"/>
          <w:lang w:eastAsia="bg-BG"/>
        </w:rPr>
        <w:t xml:space="preserve">данни от човешки чернодробни микрозоми показват, че цитохром Р450 ензимите </w:t>
      </w:r>
      <w:r w:rsidRPr="000C2AA1">
        <w:rPr>
          <w:rFonts w:eastAsia="Times New Roman" w:cs="Arial"/>
          <w:color w:val="000000"/>
          <w:szCs w:val="20"/>
          <w:lang w:val="en-US"/>
        </w:rPr>
        <w:t>CYP</w:t>
      </w:r>
      <w:r w:rsidRPr="000C2AA1">
        <w:rPr>
          <w:rFonts w:eastAsia="Times New Roman" w:cs="Arial"/>
          <w:color w:val="000000"/>
          <w:szCs w:val="20"/>
          <w:lang w:val="ru-RU"/>
        </w:rPr>
        <w:t>2</w:t>
      </w:r>
      <w:r w:rsidRPr="000C2AA1">
        <w:rPr>
          <w:rFonts w:eastAsia="Times New Roman" w:cs="Arial"/>
          <w:color w:val="000000"/>
          <w:szCs w:val="20"/>
          <w:lang w:val="en-US"/>
        </w:rPr>
        <w:t>D</w:t>
      </w:r>
      <w:r w:rsidRPr="000C2AA1">
        <w:rPr>
          <w:rFonts w:eastAsia="Times New Roman" w:cs="Arial"/>
          <w:color w:val="000000"/>
          <w:szCs w:val="20"/>
          <w:lang w:val="ru-RU"/>
        </w:rPr>
        <w:t xml:space="preserve">6 </w:t>
      </w:r>
      <w:r w:rsidRPr="000C2AA1">
        <w:rPr>
          <w:rFonts w:eastAsia="Times New Roman" w:cs="Arial"/>
          <w:color w:val="000000"/>
          <w:szCs w:val="20"/>
          <w:lang w:eastAsia="bg-BG"/>
        </w:rPr>
        <w:t xml:space="preserve">и </w:t>
      </w:r>
      <w:r w:rsidRPr="000C2AA1">
        <w:rPr>
          <w:rFonts w:eastAsia="Times New Roman" w:cs="Arial"/>
          <w:color w:val="000000"/>
          <w:szCs w:val="20"/>
          <w:lang w:val="en-US"/>
        </w:rPr>
        <w:t>CYP</w:t>
      </w:r>
      <w:r w:rsidRPr="000C2AA1">
        <w:rPr>
          <w:rFonts w:eastAsia="Times New Roman" w:cs="Arial"/>
          <w:color w:val="000000"/>
          <w:szCs w:val="20"/>
          <w:lang w:val="ru-RU"/>
        </w:rPr>
        <w:t>1</w:t>
      </w:r>
      <w:r w:rsidRPr="000C2AA1">
        <w:rPr>
          <w:rFonts w:eastAsia="Times New Roman" w:cs="Arial"/>
          <w:color w:val="000000"/>
          <w:szCs w:val="20"/>
          <w:lang w:val="en-US"/>
        </w:rPr>
        <w:t>A</w:t>
      </w:r>
      <w:r w:rsidRPr="000C2AA1">
        <w:rPr>
          <w:rFonts w:eastAsia="Times New Roman" w:cs="Arial"/>
          <w:color w:val="000000"/>
          <w:szCs w:val="20"/>
          <w:lang w:val="ru-RU"/>
        </w:rPr>
        <w:t xml:space="preserve">2 </w:t>
      </w:r>
      <w:r w:rsidRPr="000C2AA1">
        <w:rPr>
          <w:rFonts w:eastAsia="Times New Roman" w:cs="Arial"/>
          <w:color w:val="000000"/>
          <w:szCs w:val="20"/>
          <w:lang w:eastAsia="bg-BG"/>
        </w:rPr>
        <w:t xml:space="preserve">са свързани с формирането на 8- хидроксиметаболита на миртазапин, докато </w:t>
      </w:r>
      <w:r w:rsidRPr="000C2AA1">
        <w:rPr>
          <w:rFonts w:eastAsia="Times New Roman" w:cs="Arial"/>
          <w:color w:val="000000"/>
          <w:szCs w:val="20"/>
          <w:lang w:val="en-US"/>
        </w:rPr>
        <w:t>CYP</w:t>
      </w:r>
      <w:r w:rsidRPr="000C2AA1">
        <w:rPr>
          <w:rFonts w:eastAsia="Times New Roman" w:cs="Arial"/>
          <w:color w:val="000000"/>
          <w:szCs w:val="20"/>
          <w:lang w:val="ru-RU"/>
        </w:rPr>
        <w:t>3</w:t>
      </w:r>
      <w:r w:rsidRPr="000C2AA1">
        <w:rPr>
          <w:rFonts w:eastAsia="Times New Roman" w:cs="Arial"/>
          <w:color w:val="000000"/>
          <w:szCs w:val="20"/>
          <w:lang w:val="en-US"/>
        </w:rPr>
        <w:t>A</w:t>
      </w:r>
      <w:r w:rsidRPr="000C2AA1">
        <w:rPr>
          <w:rFonts w:eastAsia="Times New Roman" w:cs="Arial"/>
          <w:color w:val="000000"/>
          <w:szCs w:val="20"/>
          <w:lang w:val="ru-RU"/>
        </w:rPr>
        <w:t xml:space="preserve">4 </w:t>
      </w:r>
      <w:r w:rsidRPr="000C2AA1">
        <w:rPr>
          <w:rFonts w:eastAsia="Times New Roman" w:cs="Arial"/>
          <w:color w:val="000000"/>
          <w:szCs w:val="20"/>
          <w:lang w:eastAsia="bg-BG"/>
        </w:rPr>
        <w:t xml:space="preserve">е отговорен за формирането на </w:t>
      </w:r>
      <w:r w:rsidRPr="000C2AA1">
        <w:rPr>
          <w:rFonts w:eastAsia="Times New Roman" w:cs="Arial"/>
          <w:color w:val="000000"/>
          <w:szCs w:val="20"/>
          <w:lang w:val="en-US"/>
        </w:rPr>
        <w:t>N</w:t>
      </w:r>
      <w:r w:rsidRPr="000C2AA1">
        <w:rPr>
          <w:rFonts w:eastAsia="Times New Roman" w:cs="Arial"/>
          <w:color w:val="000000"/>
          <w:szCs w:val="20"/>
          <w:lang w:eastAsia="bg-BG"/>
        </w:rPr>
        <w:t xml:space="preserve">-деметил и </w:t>
      </w:r>
      <w:r w:rsidRPr="000C2AA1">
        <w:rPr>
          <w:rFonts w:eastAsia="Times New Roman" w:cs="Arial"/>
          <w:color w:val="000000"/>
          <w:szCs w:val="20"/>
          <w:lang w:val="en-US"/>
        </w:rPr>
        <w:t>N</w:t>
      </w:r>
      <w:r w:rsidRPr="000C2AA1">
        <w:rPr>
          <w:rFonts w:eastAsia="Times New Roman" w:cs="Arial"/>
          <w:color w:val="000000"/>
          <w:szCs w:val="20"/>
          <w:lang w:eastAsia="bg-BG"/>
        </w:rPr>
        <w:t>-оксидни метаболити. Деметил-метаболитьт е фармакологично активен и показва същия фармакокинетичен профил като основното вещество.</w:t>
      </w:r>
    </w:p>
    <w:p w14:paraId="73723124" w14:textId="77777777" w:rsidR="000C2AA1" w:rsidRPr="000C2AA1" w:rsidRDefault="000C2AA1" w:rsidP="000C2AA1">
      <w:pPr>
        <w:spacing w:line="240" w:lineRule="auto"/>
        <w:rPr>
          <w:rFonts w:eastAsia="Times New Roman" w:cs="Arial"/>
          <w:color w:val="000000"/>
          <w:szCs w:val="20"/>
          <w:u w:val="single"/>
          <w:lang w:eastAsia="bg-BG"/>
        </w:rPr>
      </w:pPr>
    </w:p>
    <w:p w14:paraId="6E52065D" w14:textId="410EE4F4" w:rsidR="000C2AA1" w:rsidRPr="000C2AA1" w:rsidRDefault="000C2AA1" w:rsidP="000C2AA1">
      <w:pPr>
        <w:pStyle w:val="Heading3"/>
        <w:rPr>
          <w:rFonts w:eastAsia="Times New Roman"/>
          <w:sz w:val="28"/>
          <w:u w:val="single"/>
        </w:rPr>
      </w:pPr>
      <w:r w:rsidRPr="000C2AA1">
        <w:rPr>
          <w:rFonts w:eastAsia="Times New Roman"/>
          <w:u w:val="single"/>
          <w:lang w:eastAsia="bg-BG"/>
        </w:rPr>
        <w:t>Елиминиране</w:t>
      </w:r>
    </w:p>
    <w:p w14:paraId="5BCB1764" w14:textId="77777777" w:rsidR="000C2AA1" w:rsidRPr="000C2AA1" w:rsidRDefault="000C2AA1" w:rsidP="000C2AA1">
      <w:pPr>
        <w:spacing w:line="240" w:lineRule="auto"/>
        <w:rPr>
          <w:rFonts w:eastAsia="Times New Roman" w:cs="Arial"/>
          <w:sz w:val="28"/>
          <w:szCs w:val="24"/>
        </w:rPr>
      </w:pPr>
      <w:r w:rsidRPr="000C2AA1">
        <w:rPr>
          <w:rFonts w:eastAsia="Times New Roman" w:cs="Arial"/>
          <w:color w:val="000000"/>
          <w:szCs w:val="20"/>
          <w:lang w:eastAsia="bg-BG"/>
        </w:rPr>
        <w:t>Средният полуживот на елиминиране е 20-40 часа; в отделни случаи се докладва по-дълъг полуживот (около 65 часа), а по-кратък полуживот е наблюдаван при млади мъже. Времето на полуживот е достатъчно за еднократно дневно дозиране. Клирънсът на миртазапин може да бъде намален в резултат на бъбречна или чернодробна недостатъчност,</w:t>
      </w:r>
    </w:p>
    <w:p w14:paraId="2A77C9E9" w14:textId="77777777" w:rsidR="000C2AA1" w:rsidRPr="000C2AA1" w:rsidRDefault="000C2AA1" w:rsidP="000C2AA1">
      <w:pPr>
        <w:spacing w:line="240" w:lineRule="auto"/>
        <w:rPr>
          <w:rFonts w:eastAsia="Times New Roman" w:cs="Arial"/>
          <w:color w:val="000000"/>
          <w:szCs w:val="20"/>
          <w:u w:val="single"/>
          <w:lang w:eastAsia="bg-BG"/>
        </w:rPr>
      </w:pPr>
    </w:p>
    <w:p w14:paraId="194D500A" w14:textId="7ED41D5F" w:rsidR="000C2AA1" w:rsidRPr="000C2AA1" w:rsidRDefault="000C2AA1" w:rsidP="000C2AA1">
      <w:pPr>
        <w:pStyle w:val="Heading3"/>
        <w:rPr>
          <w:rFonts w:eastAsia="Times New Roman"/>
          <w:sz w:val="28"/>
          <w:u w:val="single"/>
        </w:rPr>
      </w:pPr>
      <w:r w:rsidRPr="000C2AA1">
        <w:rPr>
          <w:rFonts w:eastAsia="Times New Roman"/>
          <w:u w:val="single"/>
          <w:lang w:eastAsia="bg-BG"/>
        </w:rPr>
        <w:t>Линейност/нелинейност</w:t>
      </w:r>
    </w:p>
    <w:p w14:paraId="713DC94E" w14:textId="5089C7FC" w:rsidR="000C2AA1" w:rsidRDefault="000C2AA1" w:rsidP="000C2AA1">
      <w:pPr>
        <w:rPr>
          <w:rFonts w:ascii="Times New Roman" w:eastAsia="Times New Roman" w:hAnsi="Times New Roman" w:cs="Times New Roman"/>
          <w:color w:val="000000"/>
          <w:sz w:val="20"/>
          <w:szCs w:val="20"/>
          <w:lang w:eastAsia="bg-BG"/>
        </w:rPr>
      </w:pPr>
      <w:r w:rsidRPr="000C2AA1">
        <w:rPr>
          <w:rFonts w:eastAsia="Times New Roman" w:cs="Arial"/>
          <w:color w:val="000000"/>
          <w:szCs w:val="20"/>
          <w:lang w:eastAsia="bg-BG"/>
        </w:rPr>
        <w:t>Миртазапин показва линейна фармакокинетика в препоръчваните дозови граници.</w:t>
      </w:r>
    </w:p>
    <w:p w14:paraId="50C9EE4E" w14:textId="77777777" w:rsidR="000C2AA1" w:rsidRPr="000C2AA1" w:rsidRDefault="000C2AA1" w:rsidP="000C2AA1"/>
    <w:p w14:paraId="4F31844C" w14:textId="5CC97244" w:rsidR="00875EEC" w:rsidRDefault="002C50EE" w:rsidP="005726E3">
      <w:pPr>
        <w:pStyle w:val="Heading2"/>
      </w:pPr>
      <w:r>
        <w:t>5.3. Предклинични данни за безопасност</w:t>
      </w:r>
    </w:p>
    <w:p w14:paraId="3731761E" w14:textId="7F8D2773" w:rsidR="000C2AA1" w:rsidRDefault="000C2AA1" w:rsidP="000C2AA1"/>
    <w:p w14:paraId="223C0C13" w14:textId="77777777" w:rsidR="000C2AA1" w:rsidRPr="000C2AA1" w:rsidRDefault="000C2AA1" w:rsidP="000C2AA1">
      <w:pPr>
        <w:rPr>
          <w:sz w:val="24"/>
          <w:szCs w:val="24"/>
        </w:rPr>
      </w:pPr>
      <w:r w:rsidRPr="000C2AA1">
        <w:rPr>
          <w:lang w:eastAsia="bg-BG"/>
        </w:rPr>
        <w:t>Предклиничните данни не показват особен риск за хората на база на конвенционалните фармакологични проучвания за безопасност, токсичност при многократно прилагане, карциногенен потенциал или генотоксичен потенциал.</w:t>
      </w:r>
    </w:p>
    <w:p w14:paraId="38750B04" w14:textId="77777777" w:rsidR="000C2AA1" w:rsidRPr="000C2AA1" w:rsidRDefault="000C2AA1" w:rsidP="000C2AA1">
      <w:pPr>
        <w:rPr>
          <w:sz w:val="24"/>
          <w:szCs w:val="24"/>
        </w:rPr>
      </w:pPr>
      <w:r w:rsidRPr="000C2AA1">
        <w:rPr>
          <w:lang w:eastAsia="bg-BG"/>
        </w:rPr>
        <w:t>В проучвания на репродуктивната токсичност при плъхове и зайци не се наблюдават тератогенни ефекти. При системна експозиция, два пъти по-висока в сравнение с максималната</w:t>
      </w:r>
      <w:r>
        <w:rPr>
          <w:lang w:eastAsia="bg-BG"/>
        </w:rPr>
        <w:t xml:space="preserve"> </w:t>
      </w:r>
      <w:r w:rsidRPr="000C2AA1">
        <w:rPr>
          <w:lang w:eastAsia="bg-BG"/>
        </w:rPr>
        <w:t>терапевтична експозиция при хора, се наблюдава повишена постимплантационна загубата на ембриони/фетуси, понижаване на теглото на малките при раждане и понижаване на броя на оцелелите малки през първите три дни от кърменето при плъхове.</w:t>
      </w:r>
    </w:p>
    <w:p w14:paraId="652F5CB6" w14:textId="290C3DDA" w:rsidR="000C2AA1" w:rsidRPr="000C2AA1" w:rsidRDefault="000C2AA1" w:rsidP="000C2AA1">
      <w:pPr>
        <w:rPr>
          <w:sz w:val="24"/>
          <w:szCs w:val="24"/>
        </w:rPr>
      </w:pPr>
      <w:r w:rsidRPr="000C2AA1">
        <w:rPr>
          <w:lang w:eastAsia="bg-BG"/>
        </w:rPr>
        <w:t>Миртазапин не е бил генотоксичен в поредица от изследвания за генна мутация и увреждания на хромозомите и ДНК. Тумори на щитовидната жлеза, открити при проучване на карциногенния потенциал, проведено върху плъхове, и хепатоцелуларни неоплазми, открити при проучване на карциногенния потенциал, проведено върху мишки, се считат за видовоспецифични, негенотоксични реакции, свързани с дългосрочно лечение с високи дози индуктори на чернодробните ензими.</w:t>
      </w:r>
    </w:p>
    <w:p w14:paraId="1BA6531D" w14:textId="55AD947C" w:rsidR="00B6672E" w:rsidRDefault="002C50EE" w:rsidP="00936AD0">
      <w:pPr>
        <w:pStyle w:val="Heading1"/>
      </w:pPr>
      <w:r>
        <w:lastRenderedPageBreak/>
        <w:t>7. ПРИТЕЖАТЕЛ НА РАЗРЕШЕНИЕТО ЗА УПОТРЕБА</w:t>
      </w:r>
    </w:p>
    <w:p w14:paraId="7F262D0A" w14:textId="769ACA39" w:rsidR="000C2AA1" w:rsidRDefault="000C2AA1" w:rsidP="000C2AA1"/>
    <w:p w14:paraId="2B4CD4A2" w14:textId="2C546405" w:rsidR="000C2AA1" w:rsidRDefault="000C2AA1" w:rsidP="000C2AA1">
      <w:r>
        <w:t>Тева Фарма ЕАД</w:t>
      </w:r>
    </w:p>
    <w:p w14:paraId="68C20F58" w14:textId="77777777" w:rsidR="000C2AA1" w:rsidRDefault="000C2AA1" w:rsidP="000C2AA1">
      <w:r>
        <w:t xml:space="preserve">ул. „Люба Величкова" № 9, </w:t>
      </w:r>
    </w:p>
    <w:p w14:paraId="0C6FA8F0" w14:textId="77777777" w:rsidR="000C2AA1" w:rsidRDefault="000C2AA1" w:rsidP="000C2AA1">
      <w:r>
        <w:t xml:space="preserve">1407 София, </w:t>
      </w:r>
    </w:p>
    <w:p w14:paraId="3C8DE364" w14:textId="77D39E5F" w:rsidR="000C2AA1" w:rsidRPr="000C2AA1" w:rsidRDefault="000C2AA1" w:rsidP="000C2AA1">
      <w:r>
        <w:t>България</w:t>
      </w:r>
    </w:p>
    <w:p w14:paraId="508F3A54" w14:textId="32B0AD92" w:rsidR="00B6672E" w:rsidRDefault="00936AD0" w:rsidP="00936AD0">
      <w:pPr>
        <w:pStyle w:val="Heading1"/>
      </w:pPr>
      <w:r>
        <w:t>8.</w:t>
      </w:r>
      <w:r w:rsidR="002C50EE">
        <w:t>НОМЕР НА РАЗРЕШЕНИЕТО ЗА УПОТРЕБА</w:t>
      </w:r>
    </w:p>
    <w:p w14:paraId="3EFF7E39" w14:textId="6A9A35C8" w:rsidR="000C2AA1" w:rsidRDefault="000C2AA1" w:rsidP="000C2AA1"/>
    <w:p w14:paraId="390E3B22" w14:textId="44C117C7" w:rsidR="000C2AA1" w:rsidRPr="000C2AA1" w:rsidRDefault="000C2AA1" w:rsidP="000C2AA1">
      <w:r>
        <w:rPr>
          <w:lang w:val="en-US"/>
        </w:rPr>
        <w:t>Per</w:t>
      </w:r>
      <w:r w:rsidRPr="000C2AA1">
        <w:rPr>
          <w:lang w:val="ru-RU"/>
        </w:rPr>
        <w:t xml:space="preserve">. </w:t>
      </w:r>
      <w:r>
        <w:t>№: 20060271</w:t>
      </w:r>
    </w:p>
    <w:p w14:paraId="3BC5EC53" w14:textId="3EBA0F13" w:rsidR="00875EEC" w:rsidRDefault="002C50EE" w:rsidP="005726E3">
      <w:pPr>
        <w:pStyle w:val="Heading1"/>
      </w:pPr>
      <w:r>
        <w:t>9. ДАТА НА ПЪРВО РАЗРЕШАВАНЕ/ПОДНОВЯВАНЕ НА РАЗРЕШЕНИЕТО ЗА УПОТРЕБА</w:t>
      </w:r>
    </w:p>
    <w:p w14:paraId="02E12752" w14:textId="12AE18FC" w:rsidR="000C2AA1" w:rsidRDefault="000C2AA1" w:rsidP="000C2AA1"/>
    <w:p w14:paraId="5A98505E" w14:textId="77777777" w:rsidR="000C2AA1" w:rsidRPr="000C2AA1" w:rsidRDefault="000C2AA1" w:rsidP="000C2AA1">
      <w:pPr>
        <w:rPr>
          <w:sz w:val="24"/>
          <w:szCs w:val="24"/>
        </w:rPr>
      </w:pPr>
      <w:r w:rsidRPr="000C2AA1">
        <w:rPr>
          <w:lang w:eastAsia="bg-BG"/>
        </w:rPr>
        <w:t>Дата на първо разрешаване: 13.06.2006 г.</w:t>
      </w:r>
    </w:p>
    <w:p w14:paraId="204FFC05" w14:textId="77777777" w:rsidR="000C2AA1" w:rsidRPr="000C2AA1" w:rsidRDefault="000C2AA1" w:rsidP="000C2AA1">
      <w:pPr>
        <w:rPr>
          <w:sz w:val="24"/>
          <w:szCs w:val="24"/>
        </w:rPr>
      </w:pPr>
      <w:r w:rsidRPr="000C2AA1">
        <w:rPr>
          <w:lang w:eastAsia="bg-BG"/>
        </w:rPr>
        <w:t>Дата на последно подновяване: 28.07.2011 г.</w:t>
      </w:r>
    </w:p>
    <w:p w14:paraId="3C0124C3" w14:textId="77777777" w:rsidR="000C2AA1" w:rsidRPr="000C2AA1" w:rsidRDefault="000C2AA1" w:rsidP="000C2AA1"/>
    <w:p w14:paraId="43FB38A2" w14:textId="37840570" w:rsidR="007C605B" w:rsidRDefault="002C50EE" w:rsidP="005726E3">
      <w:pPr>
        <w:pStyle w:val="Heading1"/>
      </w:pPr>
      <w:r>
        <w:t>10. ДАТА НА АКТУАЛИЗИРАНЕ НА ТЕКСТА</w:t>
      </w:r>
      <w:bookmarkEnd w:id="0"/>
    </w:p>
    <w:p w14:paraId="5ED16750" w14:textId="227548CC" w:rsidR="000C2AA1" w:rsidRDefault="000C2AA1" w:rsidP="000C2AA1"/>
    <w:p w14:paraId="087680B2" w14:textId="2E699B2A" w:rsidR="000C2AA1" w:rsidRPr="00DE4611" w:rsidRDefault="000C2AA1" w:rsidP="000C2AA1">
      <w:pPr>
        <w:rPr>
          <w:lang w:val="en-US"/>
        </w:rPr>
      </w:pPr>
      <w:r>
        <w:t>05/01/2021</w:t>
      </w:r>
      <w:bookmarkStart w:id="1" w:name="_GoBack"/>
      <w:bookmarkEnd w:id="1"/>
    </w:p>
    <w:sectPr w:rsidR="000C2AA1" w:rsidRPr="00DE4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32B95"/>
    <w:multiLevelType w:val="hybridMultilevel"/>
    <w:tmpl w:val="7C1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40405"/>
    <w:multiLevelType w:val="hybridMultilevel"/>
    <w:tmpl w:val="C7BC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C2ACE"/>
    <w:multiLevelType w:val="hybridMultilevel"/>
    <w:tmpl w:val="D1A6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73884"/>
    <w:multiLevelType w:val="hybridMultilevel"/>
    <w:tmpl w:val="D7A8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71EC3"/>
    <w:multiLevelType w:val="hybridMultilevel"/>
    <w:tmpl w:val="C88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5"/>
  </w:num>
  <w:num w:numId="4">
    <w:abstractNumId w:val="3"/>
  </w:num>
  <w:num w:numId="5">
    <w:abstractNumId w:val="1"/>
  </w:num>
  <w:num w:numId="6">
    <w:abstractNumId w:val="20"/>
  </w:num>
  <w:num w:numId="7">
    <w:abstractNumId w:val="13"/>
  </w:num>
  <w:num w:numId="8">
    <w:abstractNumId w:val="19"/>
  </w:num>
  <w:num w:numId="9">
    <w:abstractNumId w:val="2"/>
  </w:num>
  <w:num w:numId="10">
    <w:abstractNumId w:val="4"/>
  </w:num>
  <w:num w:numId="11">
    <w:abstractNumId w:val="34"/>
  </w:num>
  <w:num w:numId="12">
    <w:abstractNumId w:val="18"/>
  </w:num>
  <w:num w:numId="13">
    <w:abstractNumId w:val="23"/>
  </w:num>
  <w:num w:numId="14">
    <w:abstractNumId w:val="14"/>
  </w:num>
  <w:num w:numId="15">
    <w:abstractNumId w:val="33"/>
  </w:num>
  <w:num w:numId="16">
    <w:abstractNumId w:val="12"/>
  </w:num>
  <w:num w:numId="17">
    <w:abstractNumId w:val="28"/>
  </w:num>
  <w:num w:numId="18">
    <w:abstractNumId w:val="8"/>
  </w:num>
  <w:num w:numId="19">
    <w:abstractNumId w:val="30"/>
  </w:num>
  <w:num w:numId="20">
    <w:abstractNumId w:val="27"/>
  </w:num>
  <w:num w:numId="21">
    <w:abstractNumId w:val="21"/>
  </w:num>
  <w:num w:numId="22">
    <w:abstractNumId w:val="29"/>
  </w:num>
  <w:num w:numId="23">
    <w:abstractNumId w:val="22"/>
  </w:num>
  <w:num w:numId="24">
    <w:abstractNumId w:val="9"/>
  </w:num>
  <w:num w:numId="25">
    <w:abstractNumId w:val="26"/>
  </w:num>
  <w:num w:numId="26">
    <w:abstractNumId w:val="25"/>
  </w:num>
  <w:num w:numId="27">
    <w:abstractNumId w:val="37"/>
  </w:num>
  <w:num w:numId="28">
    <w:abstractNumId w:val="6"/>
  </w:num>
  <w:num w:numId="29">
    <w:abstractNumId w:val="24"/>
  </w:num>
  <w:num w:numId="30">
    <w:abstractNumId w:val="40"/>
  </w:num>
  <w:num w:numId="31">
    <w:abstractNumId w:val="5"/>
  </w:num>
  <w:num w:numId="32">
    <w:abstractNumId w:val="39"/>
  </w:num>
  <w:num w:numId="33">
    <w:abstractNumId w:val="32"/>
  </w:num>
  <w:num w:numId="34">
    <w:abstractNumId w:val="38"/>
  </w:num>
  <w:num w:numId="35">
    <w:abstractNumId w:val="7"/>
  </w:num>
  <w:num w:numId="36">
    <w:abstractNumId w:val="10"/>
  </w:num>
  <w:num w:numId="37">
    <w:abstractNumId w:val="11"/>
  </w:num>
  <w:num w:numId="38">
    <w:abstractNumId w:val="16"/>
  </w:num>
  <w:num w:numId="39">
    <w:abstractNumId w:val="36"/>
  </w:num>
  <w:num w:numId="40">
    <w:abstractNumId w:val="3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C2AA1"/>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DE4611"/>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4207</Words>
  <Characters>23982</Characters>
  <Application>Microsoft Office Word</Application>
  <DocSecurity>0</DocSecurity>
  <Lines>199</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2022-10-31T12:36:00Z</dcterms:created>
  <dcterms:modified xsi:type="dcterms:W3CDTF">2022-10-31T12:36:00Z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