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rPr>
          <w:lang w:val="bg-BG"/>
        </w:rPr>
      </w:pPr>
      <w:bookmarkStart w:id="0" w:name="_Hlk63124480"/>
      <w:r>
        <w:rPr>
          <w:lang w:val="bg-BG"/>
        </w:rPr>
        <w:t>КРАТКА ХАРАКТЕРИСТИКА НА ПРОДУКТА</w:t>
      </w:r>
    </w:p>
    <w:p w14:paraId="1BBB3756" w14:textId="5163B46C" w:rsidR="00C07B84" w:rsidRDefault="00DD466D" w:rsidP="00DD466D">
      <w:pPr>
        <w:pStyle w:val="Heading1"/>
        <w:rPr>
          <w:lang w:val="bg-BG"/>
        </w:rPr>
      </w:pPr>
      <w:r>
        <w:rPr>
          <w:lang w:val="bg-BG"/>
        </w:rPr>
        <w:t>1.ИМЕ НА ЛЕКАРСТВЕНИЯ ПРОДУКТ</w:t>
      </w:r>
    </w:p>
    <w:p w14:paraId="6AEF8976" w14:textId="77777777" w:rsidR="005B1BD5" w:rsidRPr="005B1BD5" w:rsidRDefault="005B1BD5" w:rsidP="005B1BD5">
      <w:pPr>
        <w:rPr>
          <w:sz w:val="24"/>
          <w:szCs w:val="24"/>
          <w:lang w:val="bg-BG"/>
        </w:rPr>
      </w:pPr>
      <w:proofErr w:type="spellStart"/>
      <w:r w:rsidRPr="005B1BD5">
        <w:rPr>
          <w:lang w:val="bg-BG" w:eastAsia="bg-BG"/>
        </w:rPr>
        <w:t>Ремотив</w:t>
      </w:r>
      <w:proofErr w:type="spellEnd"/>
      <w:r w:rsidRPr="005B1BD5">
        <w:rPr>
          <w:lang w:val="bg-BG" w:eastAsia="bg-BG"/>
        </w:rPr>
        <w:t xml:space="preserve"> 250 </w:t>
      </w:r>
      <w:r w:rsidRPr="005B1BD5">
        <w:t xml:space="preserve">mg </w:t>
      </w:r>
      <w:r w:rsidRPr="005B1BD5">
        <w:rPr>
          <w:lang w:val="bg-BG" w:eastAsia="bg-BG"/>
        </w:rPr>
        <w:t>филмирани таблетки</w:t>
      </w:r>
    </w:p>
    <w:p w14:paraId="790D8353" w14:textId="7B24A5D9" w:rsidR="005B1BD5" w:rsidRPr="005B1BD5" w:rsidRDefault="005B1BD5" w:rsidP="005B1BD5">
      <w:pPr>
        <w:rPr>
          <w:sz w:val="24"/>
          <w:szCs w:val="24"/>
          <w:lang w:val="bg-BG"/>
        </w:rPr>
      </w:pPr>
      <w:proofErr w:type="spellStart"/>
      <w:r w:rsidRPr="005B1BD5">
        <w:t>Remotiv</w:t>
      </w:r>
      <w:proofErr w:type="spellEnd"/>
      <w:r w:rsidRPr="005B1BD5">
        <w:t xml:space="preserve"> </w:t>
      </w:r>
      <w:r w:rsidRPr="005B1BD5">
        <w:rPr>
          <w:lang w:val="bg-BG" w:eastAsia="bg-BG"/>
        </w:rPr>
        <w:t xml:space="preserve">®250 </w:t>
      </w:r>
      <w:r w:rsidRPr="005B1BD5">
        <w:t>mg film-coated tablets</w:t>
      </w:r>
    </w:p>
    <w:p w14:paraId="3A916BC0" w14:textId="47FB61B1" w:rsidR="00DD466D" w:rsidRDefault="00DD466D" w:rsidP="00DD466D">
      <w:pPr>
        <w:pStyle w:val="Heading1"/>
        <w:rPr>
          <w:lang w:val="bg-BG"/>
        </w:rPr>
      </w:pPr>
      <w:r>
        <w:rPr>
          <w:lang w:val="bg-BG"/>
        </w:rPr>
        <w:t>2. КАЧЕСТВЕН И КОЛИЧЕСТВЕН СЪСТАВ</w:t>
      </w:r>
    </w:p>
    <w:p w14:paraId="5E917E99" w14:textId="77777777" w:rsidR="005B1BD5" w:rsidRDefault="005B1BD5" w:rsidP="005B1BD5">
      <w:pPr>
        <w:rPr>
          <w:lang w:val="bg-BG" w:eastAsia="bg-BG"/>
        </w:rPr>
      </w:pPr>
    </w:p>
    <w:p w14:paraId="3F13B4C1" w14:textId="08632510" w:rsidR="005B1BD5" w:rsidRPr="005B1BD5" w:rsidRDefault="005B1BD5" w:rsidP="005B1BD5">
      <w:pPr>
        <w:rPr>
          <w:sz w:val="24"/>
          <w:szCs w:val="24"/>
          <w:lang w:val="bg-BG"/>
        </w:rPr>
      </w:pPr>
      <w:r w:rsidRPr="005B1BD5">
        <w:rPr>
          <w:lang w:val="bg-BG" w:eastAsia="bg-BG"/>
        </w:rPr>
        <w:t>1 филмирана таблетка съдържа:</w:t>
      </w:r>
    </w:p>
    <w:p w14:paraId="11DF9C18" w14:textId="720A18B7" w:rsidR="005B1BD5" w:rsidRPr="005B1BD5" w:rsidRDefault="005B1BD5" w:rsidP="005B1BD5">
      <w:pPr>
        <w:rPr>
          <w:lang w:val="bg-BG"/>
        </w:rPr>
      </w:pPr>
      <w:r w:rsidRPr="005B1BD5">
        <w:rPr>
          <w:lang w:val="bg-BG" w:eastAsia="bg-BG"/>
        </w:rPr>
        <w:t xml:space="preserve">250 </w:t>
      </w:r>
      <w:r w:rsidRPr="005B1BD5">
        <w:t xml:space="preserve">mg </w:t>
      </w:r>
      <w:r w:rsidRPr="005B1BD5">
        <w:rPr>
          <w:lang w:val="bg-BG" w:eastAsia="bg-BG"/>
        </w:rPr>
        <w:t xml:space="preserve">количествено дефиниран сух екстракт </w:t>
      </w:r>
      <w:r w:rsidRPr="005B1BD5">
        <w:t xml:space="preserve">(Ze </w:t>
      </w:r>
      <w:r w:rsidRPr="005B1BD5">
        <w:rPr>
          <w:lang w:val="bg-BG" w:eastAsia="bg-BG"/>
        </w:rPr>
        <w:t xml:space="preserve">117) от Жълт кантарион </w:t>
      </w:r>
      <w:r w:rsidRPr="005B1BD5">
        <w:rPr>
          <w:i/>
          <w:iCs/>
        </w:rPr>
        <w:t xml:space="preserve">(Hypericum </w:t>
      </w:r>
      <w:proofErr w:type="spellStart"/>
      <w:r w:rsidRPr="005B1BD5">
        <w:rPr>
          <w:i/>
          <w:iCs/>
        </w:rPr>
        <w:t>perforatum</w:t>
      </w:r>
      <w:proofErr w:type="spellEnd"/>
      <w:r w:rsidRPr="005B1BD5">
        <w:rPr>
          <w:i/>
          <w:iCs/>
        </w:rPr>
        <w:t xml:space="preserve"> L)</w:t>
      </w:r>
      <w:r w:rsidRPr="005B1BD5">
        <w:t xml:space="preserve"> DER </w:t>
      </w:r>
      <w:proofErr w:type="spellStart"/>
      <w:r w:rsidRPr="005B1BD5">
        <w:rPr>
          <w:lang w:val="bg-BG" w:eastAsia="bg-BG"/>
        </w:rPr>
        <w:t>нативен</w:t>
      </w:r>
      <w:proofErr w:type="spellEnd"/>
      <w:r w:rsidRPr="005B1BD5">
        <w:rPr>
          <w:lang w:val="bg-BG" w:eastAsia="bg-BG"/>
        </w:rPr>
        <w:t xml:space="preserve"> </w:t>
      </w:r>
      <w:r w:rsidRPr="005B1BD5">
        <w:t xml:space="preserve">4-7: 1, </w:t>
      </w:r>
      <w:r w:rsidRPr="005B1BD5">
        <w:rPr>
          <w:lang w:val="bg-BG" w:eastAsia="bg-BG"/>
        </w:rPr>
        <w:t xml:space="preserve">съответстващ на 0,25-0,75 </w:t>
      </w:r>
      <w:r w:rsidRPr="005B1BD5">
        <w:t xml:space="preserve">mg </w:t>
      </w:r>
      <w:r w:rsidRPr="005B1BD5">
        <w:rPr>
          <w:lang w:val="bg-BG" w:eastAsia="bg-BG"/>
        </w:rPr>
        <w:t xml:space="preserve">тотални </w:t>
      </w:r>
      <w:proofErr w:type="spellStart"/>
      <w:r w:rsidRPr="005B1BD5">
        <w:rPr>
          <w:lang w:val="bg-BG" w:eastAsia="bg-BG"/>
        </w:rPr>
        <w:t>хиперицини</w:t>
      </w:r>
      <w:proofErr w:type="spellEnd"/>
      <w:r w:rsidRPr="005B1BD5">
        <w:rPr>
          <w:lang w:val="bg-BG" w:eastAsia="bg-BG"/>
        </w:rPr>
        <w:t xml:space="preserve">, минимум 6,0% </w:t>
      </w:r>
      <w:proofErr w:type="spellStart"/>
      <w:r w:rsidRPr="005B1BD5">
        <w:rPr>
          <w:lang w:val="bg-BG" w:eastAsia="bg-BG"/>
        </w:rPr>
        <w:t>флавоноиди</w:t>
      </w:r>
      <w:proofErr w:type="spellEnd"/>
      <w:r w:rsidRPr="005B1BD5">
        <w:rPr>
          <w:lang w:val="bg-BG" w:eastAsia="bg-BG"/>
        </w:rPr>
        <w:t xml:space="preserve"> (като </w:t>
      </w:r>
      <w:proofErr w:type="spellStart"/>
      <w:r w:rsidRPr="005B1BD5">
        <w:rPr>
          <w:lang w:val="bg-BG" w:eastAsia="bg-BG"/>
        </w:rPr>
        <w:t>рутозид</w:t>
      </w:r>
      <w:proofErr w:type="spellEnd"/>
      <w:r w:rsidRPr="005B1BD5">
        <w:rPr>
          <w:lang w:val="bg-BG" w:eastAsia="bg-BG"/>
        </w:rPr>
        <w:t xml:space="preserve">); </w:t>
      </w:r>
      <w:proofErr w:type="spellStart"/>
      <w:r w:rsidRPr="005B1BD5">
        <w:rPr>
          <w:lang w:val="bg-BG" w:eastAsia="bg-BG"/>
        </w:rPr>
        <w:t>екстрагенг</w:t>
      </w:r>
      <w:proofErr w:type="spellEnd"/>
      <w:r w:rsidRPr="005B1BD5">
        <w:rPr>
          <w:lang w:val="bg-BG" w:eastAsia="bg-BG"/>
        </w:rPr>
        <w:t xml:space="preserve"> етанол 57,9% (</w:t>
      </w:r>
      <w:proofErr w:type="spellStart"/>
      <w:r w:rsidRPr="005B1BD5">
        <w:rPr>
          <w:lang w:val="bg-BG" w:eastAsia="bg-BG"/>
        </w:rPr>
        <w:t>об</w:t>
      </w:r>
      <w:proofErr w:type="spellEnd"/>
      <w:r w:rsidRPr="005B1BD5">
        <w:rPr>
          <w:lang w:val="bg-BG" w:eastAsia="bg-BG"/>
        </w:rPr>
        <w:t>/</w:t>
      </w:r>
      <w:proofErr w:type="spellStart"/>
      <w:r w:rsidRPr="005B1BD5">
        <w:rPr>
          <w:lang w:val="bg-BG" w:eastAsia="bg-BG"/>
        </w:rPr>
        <w:t>об</w:t>
      </w:r>
      <w:proofErr w:type="spellEnd"/>
      <w:r w:rsidRPr="005B1BD5">
        <w:rPr>
          <w:lang w:val="bg-BG" w:eastAsia="bg-BG"/>
        </w:rPr>
        <w:t>).</w:t>
      </w:r>
    </w:p>
    <w:p w14:paraId="74A1D0A0" w14:textId="0EB29EBC" w:rsidR="002B4DBB" w:rsidRDefault="00DD466D" w:rsidP="00C07B84">
      <w:pPr>
        <w:pStyle w:val="Heading1"/>
        <w:rPr>
          <w:lang w:val="bg-BG"/>
        </w:rPr>
      </w:pPr>
      <w:r>
        <w:rPr>
          <w:lang w:val="bg-BG"/>
        </w:rPr>
        <w:t>3. ЛЕКАРСТВЕНА ФОРМА</w:t>
      </w:r>
    </w:p>
    <w:p w14:paraId="335C9B55" w14:textId="77777777" w:rsidR="005B1BD5" w:rsidRPr="005B1BD5" w:rsidRDefault="005B1BD5" w:rsidP="005B1BD5">
      <w:pPr>
        <w:rPr>
          <w:sz w:val="24"/>
          <w:szCs w:val="24"/>
          <w:lang w:val="bg-BG"/>
        </w:rPr>
      </w:pPr>
      <w:r w:rsidRPr="005B1BD5">
        <w:rPr>
          <w:lang w:val="bg-BG" w:eastAsia="bg-BG"/>
        </w:rPr>
        <w:t>Филмирани таблетки.</w:t>
      </w:r>
    </w:p>
    <w:p w14:paraId="75803C07" w14:textId="02BFCCC5" w:rsidR="005B1BD5" w:rsidRPr="005B1BD5" w:rsidRDefault="005B1BD5" w:rsidP="005B1BD5">
      <w:pPr>
        <w:rPr>
          <w:lang w:val="bg-BG"/>
        </w:rPr>
      </w:pPr>
      <w:r w:rsidRPr="005B1BD5">
        <w:rPr>
          <w:lang w:val="bg-BG" w:eastAsia="bg-BG"/>
        </w:rPr>
        <w:t>Розови, кръгли, двойноизпъкнали филмирани таблетки.</w:t>
      </w:r>
    </w:p>
    <w:p w14:paraId="490FC2C4" w14:textId="77777777" w:rsidR="002C50EE" w:rsidRDefault="002C50EE" w:rsidP="002C50EE">
      <w:pPr>
        <w:pStyle w:val="Heading1"/>
      </w:pPr>
      <w:r>
        <w:t>4. КЛИНИЧНИ ДАННИ</w:t>
      </w:r>
    </w:p>
    <w:p w14:paraId="103298BB" w14:textId="131F6096" w:rsidR="002B4DBB" w:rsidRDefault="002C50EE" w:rsidP="00C07B84">
      <w:pPr>
        <w:pStyle w:val="Heading2"/>
      </w:pPr>
      <w:r>
        <w:t xml:space="preserve">4.1. </w:t>
      </w:r>
      <w:proofErr w:type="spellStart"/>
      <w:r>
        <w:t>Терапевтични</w:t>
      </w:r>
      <w:proofErr w:type="spellEnd"/>
      <w:r>
        <w:t xml:space="preserve"> </w:t>
      </w:r>
      <w:proofErr w:type="spellStart"/>
      <w:r>
        <w:t>показания</w:t>
      </w:r>
      <w:proofErr w:type="spellEnd"/>
    </w:p>
    <w:p w14:paraId="077BF24F" w14:textId="77777777" w:rsidR="005B1BD5" w:rsidRDefault="005B1BD5" w:rsidP="005B1BD5">
      <w:pPr>
        <w:rPr>
          <w:lang w:val="bg-BG" w:eastAsia="bg-BG"/>
        </w:rPr>
      </w:pPr>
    </w:p>
    <w:p w14:paraId="682FD8C4" w14:textId="0E9BBBAF" w:rsidR="005B1BD5" w:rsidRPr="005B1BD5" w:rsidRDefault="005B1BD5" w:rsidP="005B1BD5">
      <w:pPr>
        <w:rPr>
          <w:sz w:val="24"/>
          <w:szCs w:val="24"/>
          <w:lang w:val="bg-BG"/>
        </w:rPr>
      </w:pPr>
      <w:r w:rsidRPr="005B1BD5">
        <w:rPr>
          <w:lang w:val="bg-BG" w:eastAsia="bg-BG"/>
        </w:rPr>
        <w:t>Растителен лекарствен продукт, използван за краткосрочно лечение на симптомите при леки до умерени депресии. Депресивно настроение, лабилно настроение, вътрешно безпокойство, тревожност, състояния на напрегнатост, включително трудно заспиване и неспокоен сън.</w:t>
      </w:r>
    </w:p>
    <w:p w14:paraId="35C904C1" w14:textId="77777777" w:rsidR="005B1BD5" w:rsidRPr="005B1BD5" w:rsidRDefault="005B1BD5" w:rsidP="005B1BD5"/>
    <w:p w14:paraId="71891A7D" w14:textId="390B69FC" w:rsidR="001915B6" w:rsidRDefault="002C50EE" w:rsidP="00C07B84">
      <w:pPr>
        <w:pStyle w:val="Heading2"/>
      </w:pPr>
      <w:r>
        <w:t xml:space="preserve">4.2. </w:t>
      </w:r>
      <w:proofErr w:type="spellStart"/>
      <w:r>
        <w:t>Дозировка</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приложение</w:t>
      </w:r>
      <w:proofErr w:type="spellEnd"/>
    </w:p>
    <w:p w14:paraId="1663FE1A" w14:textId="77777777" w:rsidR="005B1BD5" w:rsidRDefault="005B1BD5" w:rsidP="005B1BD5">
      <w:pPr>
        <w:spacing w:line="240" w:lineRule="auto"/>
        <w:rPr>
          <w:rFonts w:ascii="Times New Roman" w:eastAsia="Times New Roman" w:hAnsi="Times New Roman" w:cs="Times New Roman"/>
          <w:color w:val="000000"/>
          <w:u w:val="single"/>
          <w:lang w:val="bg-BG" w:eastAsia="bg-BG"/>
        </w:rPr>
      </w:pPr>
    </w:p>
    <w:p w14:paraId="606D1245" w14:textId="658ABC3B" w:rsidR="005B1BD5" w:rsidRPr="005B1BD5" w:rsidRDefault="005B1BD5" w:rsidP="005B1BD5">
      <w:pPr>
        <w:pStyle w:val="Heading3"/>
        <w:rPr>
          <w:rFonts w:eastAsia="Times New Roman"/>
          <w:u w:val="single"/>
          <w:lang w:val="bg-BG"/>
        </w:rPr>
      </w:pPr>
      <w:r w:rsidRPr="005B1BD5">
        <w:rPr>
          <w:rFonts w:eastAsia="Times New Roman"/>
          <w:u w:val="single"/>
          <w:lang w:val="bg-BG" w:eastAsia="bg-BG"/>
        </w:rPr>
        <w:t>Дозировка</w:t>
      </w:r>
    </w:p>
    <w:p w14:paraId="5362D042" w14:textId="773C1ECF" w:rsidR="005B1BD5" w:rsidRPr="005B1BD5" w:rsidRDefault="005B1BD5" w:rsidP="005B1BD5">
      <w:pPr>
        <w:rPr>
          <w:sz w:val="24"/>
          <w:szCs w:val="24"/>
          <w:lang w:val="bg-BG"/>
        </w:rPr>
      </w:pPr>
      <w:r w:rsidRPr="005B1BD5">
        <w:rPr>
          <w:i/>
          <w:iCs/>
          <w:lang w:val="bg-BG" w:eastAsia="bg-BG"/>
        </w:rPr>
        <w:t>Възрастни хора и хора в старческа възраст</w:t>
      </w:r>
    </w:p>
    <w:p w14:paraId="10DC6319" w14:textId="77777777" w:rsidR="005B1BD5" w:rsidRPr="005B1BD5" w:rsidRDefault="005B1BD5" w:rsidP="005B1BD5">
      <w:pPr>
        <w:rPr>
          <w:sz w:val="24"/>
          <w:szCs w:val="24"/>
          <w:lang w:val="bg-BG"/>
        </w:rPr>
      </w:pPr>
      <w:r w:rsidRPr="005B1BD5">
        <w:rPr>
          <w:lang w:val="bg-BG" w:eastAsia="bg-BG"/>
        </w:rPr>
        <w:t>Една филмирана таблетка сутрин и вечер, за предпочитане по време на или след хранене, несдъвкана и с малко течност.</w:t>
      </w:r>
    </w:p>
    <w:p w14:paraId="1C90B9FF" w14:textId="77777777" w:rsidR="005B1BD5" w:rsidRDefault="005B1BD5" w:rsidP="005B1BD5">
      <w:pPr>
        <w:rPr>
          <w:i/>
          <w:iCs/>
          <w:lang w:val="bg-BG" w:eastAsia="bg-BG"/>
        </w:rPr>
      </w:pPr>
    </w:p>
    <w:p w14:paraId="71D277DE" w14:textId="5F320257" w:rsidR="005B1BD5" w:rsidRPr="005B1BD5" w:rsidRDefault="005B1BD5" w:rsidP="005B1BD5">
      <w:pPr>
        <w:rPr>
          <w:sz w:val="24"/>
          <w:szCs w:val="24"/>
          <w:lang w:val="bg-BG"/>
        </w:rPr>
      </w:pPr>
      <w:r w:rsidRPr="005B1BD5">
        <w:rPr>
          <w:i/>
          <w:iCs/>
          <w:lang w:val="bg-BG" w:eastAsia="bg-BG"/>
        </w:rPr>
        <w:t>Педиатрична популация</w:t>
      </w:r>
    </w:p>
    <w:p w14:paraId="324D6BEC" w14:textId="1517D6AF" w:rsidR="005B1BD5" w:rsidRDefault="005B1BD5" w:rsidP="005B1BD5">
      <w:pPr>
        <w:rPr>
          <w:lang w:val="bg-BG" w:eastAsia="bg-BG"/>
        </w:rPr>
      </w:pPr>
      <w:r w:rsidRPr="005B1BD5">
        <w:rPr>
          <w:lang w:val="bg-BG" w:eastAsia="bg-BG"/>
        </w:rPr>
        <w:t>Употребата при деца и юноши под 18-годишна възраст не се препоръчва, тъй като няма налични данни.</w:t>
      </w:r>
    </w:p>
    <w:p w14:paraId="4E93A3A2" w14:textId="10F95033" w:rsidR="005B1BD5" w:rsidRDefault="005B1BD5" w:rsidP="005B1BD5">
      <w:pPr>
        <w:rPr>
          <w:lang w:val="bg-BG" w:eastAsia="bg-BG"/>
        </w:rPr>
      </w:pPr>
    </w:p>
    <w:p w14:paraId="7BCB7681" w14:textId="77777777" w:rsidR="005B1BD5" w:rsidRPr="005B1BD5" w:rsidRDefault="005B1BD5" w:rsidP="005B1BD5">
      <w:pPr>
        <w:rPr>
          <w:sz w:val="24"/>
          <w:szCs w:val="24"/>
          <w:u w:val="single"/>
          <w:lang w:val="bg-BG"/>
        </w:rPr>
      </w:pPr>
      <w:r w:rsidRPr="005B1BD5">
        <w:rPr>
          <w:u w:val="single"/>
          <w:lang w:val="bg-BG" w:eastAsia="bg-BG"/>
        </w:rPr>
        <w:t>Продължителност на употреба</w:t>
      </w:r>
    </w:p>
    <w:p w14:paraId="478E304B" w14:textId="77777777" w:rsidR="005B1BD5" w:rsidRPr="005B1BD5" w:rsidRDefault="005B1BD5" w:rsidP="005B1BD5">
      <w:pPr>
        <w:rPr>
          <w:sz w:val="24"/>
          <w:szCs w:val="24"/>
          <w:lang w:val="bg-BG"/>
        </w:rPr>
      </w:pPr>
      <w:r w:rsidRPr="005B1BD5">
        <w:rPr>
          <w:lang w:val="bg-BG" w:eastAsia="bg-BG"/>
        </w:rPr>
        <w:t xml:space="preserve">Началото на ефекта може да се очаква в рамките на 4 седмици от лечението. Лечението с 250 </w:t>
      </w:r>
      <w:r w:rsidRPr="005B1BD5">
        <w:t xml:space="preserve">mg </w:t>
      </w:r>
      <w:r w:rsidRPr="005B1BD5">
        <w:rPr>
          <w:lang w:val="bg-BG" w:eastAsia="bg-BG"/>
        </w:rPr>
        <w:t>филмирани таблетки от жълт кантарион е симптоматично и трябва да продължи за адекватен период от време, но не по-дълго от 6 седмици без съвет от лекар. Ако симптомите се запазят по време на употребата на лекарствения продукт, трябва да се потърси лекарска помощ.</w:t>
      </w:r>
    </w:p>
    <w:p w14:paraId="55F15667" w14:textId="77777777" w:rsidR="005B1BD5" w:rsidRDefault="005B1BD5" w:rsidP="005B1BD5">
      <w:pPr>
        <w:rPr>
          <w:lang w:val="bg-BG" w:eastAsia="bg-BG"/>
        </w:rPr>
      </w:pPr>
    </w:p>
    <w:p w14:paraId="34DF89C9" w14:textId="1961BF37" w:rsidR="005B1BD5" w:rsidRPr="005B1BD5" w:rsidRDefault="005B1BD5" w:rsidP="005B1BD5">
      <w:pPr>
        <w:pStyle w:val="Heading3"/>
        <w:rPr>
          <w:rFonts w:eastAsia="Times New Roman"/>
          <w:u w:val="single"/>
          <w:lang w:val="bg-BG"/>
        </w:rPr>
      </w:pPr>
      <w:r w:rsidRPr="005B1BD5">
        <w:rPr>
          <w:rFonts w:eastAsia="Times New Roman"/>
          <w:u w:val="single"/>
          <w:lang w:val="bg-BG" w:eastAsia="bg-BG"/>
        </w:rPr>
        <w:lastRenderedPageBreak/>
        <w:t>Начин на приложение:</w:t>
      </w:r>
    </w:p>
    <w:p w14:paraId="7EB5A401" w14:textId="77777777" w:rsidR="005B1BD5" w:rsidRPr="005B1BD5" w:rsidRDefault="005B1BD5" w:rsidP="005B1BD5">
      <w:pPr>
        <w:rPr>
          <w:sz w:val="24"/>
          <w:szCs w:val="24"/>
          <w:lang w:val="bg-BG"/>
        </w:rPr>
      </w:pPr>
      <w:r w:rsidRPr="005B1BD5">
        <w:rPr>
          <w:lang w:val="bg-BG" w:eastAsia="bg-BG"/>
        </w:rPr>
        <w:t>Перорално приложение.</w:t>
      </w:r>
    </w:p>
    <w:p w14:paraId="05EDC59D" w14:textId="77777777" w:rsidR="005B1BD5" w:rsidRPr="005B1BD5" w:rsidRDefault="005B1BD5" w:rsidP="005B1BD5"/>
    <w:p w14:paraId="3194B1C9" w14:textId="268C9AD1" w:rsidR="001915B6" w:rsidRDefault="002C50EE" w:rsidP="00C07B84">
      <w:pPr>
        <w:pStyle w:val="Heading2"/>
      </w:pPr>
      <w:r>
        <w:t xml:space="preserve">4.3. </w:t>
      </w:r>
      <w:proofErr w:type="spellStart"/>
      <w:r>
        <w:t>Противопоказания</w:t>
      </w:r>
      <w:proofErr w:type="spellEnd"/>
    </w:p>
    <w:p w14:paraId="48442051" w14:textId="77777777" w:rsidR="005B1BD5" w:rsidRDefault="005B1BD5" w:rsidP="005B1BD5">
      <w:pPr>
        <w:rPr>
          <w:lang w:val="bg-BG" w:eastAsia="bg-BG"/>
        </w:rPr>
      </w:pPr>
    </w:p>
    <w:p w14:paraId="19C94B65" w14:textId="78B80FD4" w:rsidR="005B1BD5" w:rsidRPr="005B1BD5" w:rsidRDefault="005B1BD5" w:rsidP="005B1BD5">
      <w:pPr>
        <w:rPr>
          <w:sz w:val="24"/>
          <w:szCs w:val="24"/>
          <w:lang w:val="bg-BG"/>
        </w:rPr>
      </w:pPr>
      <w:r w:rsidRPr="005B1BD5">
        <w:rPr>
          <w:lang w:val="bg-BG" w:eastAsia="bg-BG"/>
        </w:rPr>
        <w:t>Известна свръхчувствителност към активното вещество или към някоя от съставките (</w:t>
      </w:r>
      <w:proofErr w:type="spellStart"/>
      <w:r w:rsidRPr="005B1BD5">
        <w:rPr>
          <w:lang w:val="bg-BG" w:eastAsia="bg-BG"/>
        </w:rPr>
        <w:t>ексципиентите</w:t>
      </w:r>
      <w:proofErr w:type="spellEnd"/>
      <w:r w:rsidRPr="005B1BD5">
        <w:rPr>
          <w:lang w:val="bg-BG" w:eastAsia="bg-BG"/>
        </w:rPr>
        <w:t>) на лекарствения продукт. Известна свръхчувствителност към светлина.</w:t>
      </w:r>
    </w:p>
    <w:p w14:paraId="5A5E220E" w14:textId="77777777" w:rsidR="005B1BD5" w:rsidRPr="005B1BD5" w:rsidRDefault="005B1BD5" w:rsidP="005B1BD5">
      <w:pPr>
        <w:rPr>
          <w:sz w:val="24"/>
          <w:szCs w:val="24"/>
          <w:lang w:val="bg-BG"/>
        </w:rPr>
      </w:pPr>
      <w:r w:rsidRPr="005B1BD5">
        <w:rPr>
          <w:lang w:val="bg-BG" w:eastAsia="bg-BG"/>
        </w:rPr>
        <w:t>Тежка депресия.</w:t>
      </w:r>
    </w:p>
    <w:p w14:paraId="684D4E0C" w14:textId="77777777" w:rsidR="005B1BD5" w:rsidRPr="005B1BD5" w:rsidRDefault="005B1BD5" w:rsidP="005B1BD5">
      <w:pPr>
        <w:rPr>
          <w:sz w:val="24"/>
          <w:szCs w:val="24"/>
          <w:lang w:val="bg-BG"/>
        </w:rPr>
      </w:pPr>
      <w:r w:rsidRPr="005B1BD5">
        <w:rPr>
          <w:lang w:val="bg-BG" w:eastAsia="bg-BG"/>
        </w:rPr>
        <w:t xml:space="preserve">Едновременната употреба с определени </w:t>
      </w:r>
      <w:proofErr w:type="spellStart"/>
      <w:r w:rsidRPr="005B1BD5">
        <w:rPr>
          <w:lang w:val="bg-BG" w:eastAsia="bg-BG"/>
        </w:rPr>
        <w:t>имуносупресори</w:t>
      </w:r>
      <w:proofErr w:type="spellEnd"/>
      <w:r w:rsidRPr="005B1BD5">
        <w:rPr>
          <w:lang w:val="bg-BG" w:eastAsia="bg-BG"/>
        </w:rPr>
        <w:t xml:space="preserve"> (циклоспорин, </w:t>
      </w:r>
      <w:proofErr w:type="spellStart"/>
      <w:r w:rsidRPr="005B1BD5">
        <w:rPr>
          <w:lang w:val="bg-BG" w:eastAsia="bg-BG"/>
        </w:rPr>
        <w:t>такролимус</w:t>
      </w:r>
      <w:proofErr w:type="spellEnd"/>
      <w:r w:rsidRPr="005B1BD5">
        <w:rPr>
          <w:lang w:val="bg-BG" w:eastAsia="bg-BG"/>
        </w:rPr>
        <w:t xml:space="preserve"> или </w:t>
      </w:r>
      <w:proofErr w:type="spellStart"/>
      <w:r w:rsidRPr="005B1BD5">
        <w:rPr>
          <w:lang w:val="bg-BG" w:eastAsia="bg-BG"/>
        </w:rPr>
        <w:t>сиролимус</w:t>
      </w:r>
      <w:proofErr w:type="spellEnd"/>
      <w:r w:rsidRPr="005B1BD5">
        <w:rPr>
          <w:lang w:val="bg-BG" w:eastAsia="bg-BG"/>
        </w:rPr>
        <w:t xml:space="preserve"> за системна употреба), някои антиретровирусни ХИВ-лекарства от групата на </w:t>
      </w:r>
      <w:proofErr w:type="spellStart"/>
      <w:r w:rsidRPr="005B1BD5">
        <w:rPr>
          <w:lang w:val="bg-BG" w:eastAsia="bg-BG"/>
        </w:rPr>
        <w:t>ненуклеозидните</w:t>
      </w:r>
      <w:proofErr w:type="spellEnd"/>
      <w:r w:rsidRPr="005B1BD5">
        <w:rPr>
          <w:lang w:val="bg-BG" w:eastAsia="bg-BG"/>
        </w:rPr>
        <w:t xml:space="preserve"> инхибитори на обратната </w:t>
      </w:r>
      <w:proofErr w:type="spellStart"/>
      <w:r w:rsidRPr="005B1BD5">
        <w:rPr>
          <w:lang w:val="bg-BG" w:eastAsia="bg-BG"/>
        </w:rPr>
        <w:t>транскриптаза</w:t>
      </w:r>
      <w:proofErr w:type="spellEnd"/>
      <w:r w:rsidRPr="005B1BD5">
        <w:rPr>
          <w:lang w:val="bg-BG" w:eastAsia="bg-BG"/>
        </w:rPr>
        <w:t xml:space="preserve"> (например </w:t>
      </w:r>
      <w:proofErr w:type="spellStart"/>
      <w:r w:rsidRPr="005B1BD5">
        <w:rPr>
          <w:lang w:val="bg-BG" w:eastAsia="bg-BG"/>
        </w:rPr>
        <w:t>невирапин</w:t>
      </w:r>
      <w:proofErr w:type="spellEnd"/>
      <w:r w:rsidRPr="005B1BD5">
        <w:rPr>
          <w:lang w:val="bg-BG" w:eastAsia="bg-BG"/>
        </w:rPr>
        <w:t xml:space="preserve">), </w:t>
      </w:r>
      <w:proofErr w:type="spellStart"/>
      <w:r w:rsidRPr="005B1BD5">
        <w:rPr>
          <w:lang w:val="bg-BG" w:eastAsia="bg-BG"/>
        </w:rPr>
        <w:t>протеазни</w:t>
      </w:r>
      <w:proofErr w:type="spellEnd"/>
      <w:r w:rsidRPr="005B1BD5">
        <w:rPr>
          <w:lang w:val="bg-BG" w:eastAsia="bg-BG"/>
        </w:rPr>
        <w:t xml:space="preserve"> инхибитори (например </w:t>
      </w:r>
      <w:proofErr w:type="spellStart"/>
      <w:r w:rsidRPr="005B1BD5">
        <w:rPr>
          <w:lang w:val="bg-BG" w:eastAsia="bg-BG"/>
        </w:rPr>
        <w:t>индинавир</w:t>
      </w:r>
      <w:proofErr w:type="spellEnd"/>
      <w:r w:rsidRPr="005B1BD5">
        <w:rPr>
          <w:lang w:val="bg-BG" w:eastAsia="bg-BG"/>
        </w:rPr>
        <w:t xml:space="preserve">, </w:t>
      </w:r>
      <w:proofErr w:type="spellStart"/>
      <w:r w:rsidRPr="005B1BD5">
        <w:rPr>
          <w:lang w:val="bg-BG" w:eastAsia="bg-BG"/>
        </w:rPr>
        <w:t>ампренавир</w:t>
      </w:r>
      <w:proofErr w:type="spellEnd"/>
      <w:r w:rsidRPr="005B1BD5">
        <w:rPr>
          <w:lang w:val="bg-BG" w:eastAsia="bg-BG"/>
        </w:rPr>
        <w:t xml:space="preserve">), някои </w:t>
      </w:r>
      <w:proofErr w:type="spellStart"/>
      <w:r w:rsidRPr="005B1BD5">
        <w:rPr>
          <w:lang w:val="bg-BG" w:eastAsia="bg-BG"/>
        </w:rPr>
        <w:t>цитостатици</w:t>
      </w:r>
      <w:proofErr w:type="spellEnd"/>
      <w:r w:rsidRPr="005B1BD5">
        <w:rPr>
          <w:lang w:val="bg-BG" w:eastAsia="bg-BG"/>
        </w:rPr>
        <w:t xml:space="preserve">, като </w:t>
      </w:r>
      <w:proofErr w:type="spellStart"/>
      <w:r w:rsidRPr="005B1BD5">
        <w:rPr>
          <w:lang w:val="bg-BG" w:eastAsia="bg-BG"/>
        </w:rPr>
        <w:t>иматиниб</w:t>
      </w:r>
      <w:proofErr w:type="spellEnd"/>
      <w:r w:rsidRPr="005B1BD5">
        <w:rPr>
          <w:lang w:val="bg-BG" w:eastAsia="bg-BG"/>
        </w:rPr>
        <w:t xml:space="preserve">, </w:t>
      </w:r>
      <w:proofErr w:type="spellStart"/>
      <w:r w:rsidRPr="005B1BD5">
        <w:rPr>
          <w:lang w:val="bg-BG" w:eastAsia="bg-BG"/>
        </w:rPr>
        <w:t>иринотекан</w:t>
      </w:r>
      <w:proofErr w:type="spellEnd"/>
      <w:r w:rsidRPr="005B1BD5">
        <w:rPr>
          <w:lang w:val="bg-BG" w:eastAsia="bg-BG"/>
        </w:rPr>
        <w:t xml:space="preserve">), перорални антикоагуланти от </w:t>
      </w:r>
      <w:proofErr w:type="spellStart"/>
      <w:r w:rsidRPr="005B1BD5">
        <w:rPr>
          <w:lang w:val="bg-BG" w:eastAsia="bg-BG"/>
        </w:rPr>
        <w:t>кумаринов</w:t>
      </w:r>
      <w:proofErr w:type="spellEnd"/>
      <w:r w:rsidRPr="005B1BD5">
        <w:rPr>
          <w:lang w:val="bg-BG" w:eastAsia="bg-BG"/>
        </w:rPr>
        <w:t xml:space="preserve"> тип (напр. </w:t>
      </w:r>
      <w:proofErr w:type="spellStart"/>
      <w:r w:rsidRPr="005B1BD5">
        <w:rPr>
          <w:lang w:val="bg-BG" w:eastAsia="bg-BG"/>
        </w:rPr>
        <w:t>варфарин</w:t>
      </w:r>
      <w:proofErr w:type="spellEnd"/>
      <w:r w:rsidRPr="005B1BD5">
        <w:rPr>
          <w:lang w:val="bg-BG" w:eastAsia="bg-BG"/>
        </w:rPr>
        <w:t xml:space="preserve">) и инхибитори на фактор Ха (напр. </w:t>
      </w:r>
      <w:proofErr w:type="spellStart"/>
      <w:r w:rsidRPr="005B1BD5">
        <w:rPr>
          <w:lang w:val="bg-BG" w:eastAsia="bg-BG"/>
        </w:rPr>
        <w:t>апиксабан</w:t>
      </w:r>
      <w:proofErr w:type="spellEnd"/>
      <w:r w:rsidRPr="005B1BD5">
        <w:rPr>
          <w:lang w:val="bg-BG" w:eastAsia="bg-BG"/>
        </w:rPr>
        <w:t xml:space="preserve">, </w:t>
      </w:r>
      <w:proofErr w:type="spellStart"/>
      <w:r w:rsidRPr="005B1BD5">
        <w:rPr>
          <w:lang w:val="bg-BG" w:eastAsia="bg-BG"/>
        </w:rPr>
        <w:t>ривароксабан</w:t>
      </w:r>
      <w:proofErr w:type="spellEnd"/>
      <w:r w:rsidRPr="005B1BD5">
        <w:rPr>
          <w:lang w:val="bg-BG" w:eastAsia="bg-BG"/>
        </w:rPr>
        <w:t>). Вижте също точка 4.5. Взаимодействия с други лекарствени продукти и други форми на взаимодействие.</w:t>
      </w:r>
    </w:p>
    <w:p w14:paraId="7B1BFEE4" w14:textId="77777777" w:rsidR="005B1BD5" w:rsidRPr="005B1BD5" w:rsidRDefault="005B1BD5" w:rsidP="005B1BD5"/>
    <w:p w14:paraId="4B2B2AB1" w14:textId="78989744" w:rsidR="00605BCA" w:rsidRDefault="002C50EE" w:rsidP="00C07B84">
      <w:pPr>
        <w:pStyle w:val="Heading2"/>
      </w:pPr>
      <w:r>
        <w:t xml:space="preserve">4.4. </w:t>
      </w:r>
      <w:proofErr w:type="spellStart"/>
      <w:r>
        <w:t>Специални</w:t>
      </w:r>
      <w:proofErr w:type="spellEnd"/>
      <w:r>
        <w:t xml:space="preserve"> </w:t>
      </w:r>
      <w:proofErr w:type="spellStart"/>
      <w:r>
        <w:t>предупреждения</w:t>
      </w:r>
      <w:proofErr w:type="spellEnd"/>
      <w:r>
        <w:t xml:space="preserve"> и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употреба</w:t>
      </w:r>
      <w:proofErr w:type="spellEnd"/>
    </w:p>
    <w:p w14:paraId="267ACD7F" w14:textId="77777777" w:rsidR="005B1BD5" w:rsidRDefault="005B1BD5" w:rsidP="005B1BD5">
      <w:pPr>
        <w:rPr>
          <w:lang w:val="bg-BG" w:eastAsia="bg-BG"/>
        </w:rPr>
      </w:pPr>
    </w:p>
    <w:p w14:paraId="0C11A590" w14:textId="3C7D1AD2" w:rsidR="005B1BD5" w:rsidRPr="005B1BD5" w:rsidRDefault="005B1BD5" w:rsidP="005B1BD5">
      <w:pPr>
        <w:rPr>
          <w:sz w:val="24"/>
          <w:szCs w:val="24"/>
          <w:lang w:val="bg-BG"/>
        </w:rPr>
      </w:pPr>
      <w:r w:rsidRPr="005B1BD5">
        <w:rPr>
          <w:lang w:val="bg-BG" w:eastAsia="bg-BG"/>
        </w:rPr>
        <w:t>Освен описаните по-горе абсолютни противопоказани лекарствени продукти, продуктите от жълт кантарион трябва да се приемат с някои други лекарства (по-специално медикаменти, отпускани по лекарско предписание и лекарства с тесен терапевтичен прозорец) само след критична оценка, поради известните взаимодействия с няколко групи вещества.</w:t>
      </w:r>
    </w:p>
    <w:p w14:paraId="1C0929A8" w14:textId="77777777" w:rsidR="005B1BD5" w:rsidRPr="005B1BD5" w:rsidRDefault="005B1BD5" w:rsidP="005B1BD5">
      <w:pPr>
        <w:rPr>
          <w:sz w:val="24"/>
          <w:szCs w:val="24"/>
          <w:lang w:val="bg-BG"/>
        </w:rPr>
      </w:pPr>
      <w:r w:rsidRPr="005B1BD5">
        <w:rPr>
          <w:lang w:val="bg-BG" w:eastAsia="bg-BG"/>
        </w:rPr>
        <w:t>Ако трябва да се приемат едновременно други лекарства, е необходимо да се подхожда с повишено внимание в началото и в края на терапията, както и при промяна на дозата на продуктите от жълт кантарион.</w:t>
      </w:r>
    </w:p>
    <w:p w14:paraId="268FC92E" w14:textId="77777777" w:rsidR="005B1BD5" w:rsidRPr="005B1BD5" w:rsidRDefault="005B1BD5" w:rsidP="005B1BD5">
      <w:pPr>
        <w:rPr>
          <w:sz w:val="24"/>
          <w:szCs w:val="24"/>
          <w:lang w:val="bg-BG"/>
        </w:rPr>
      </w:pPr>
      <w:r w:rsidRPr="005B1BD5">
        <w:rPr>
          <w:lang w:val="bg-BG" w:eastAsia="bg-BG"/>
        </w:rPr>
        <w:t xml:space="preserve">Както е случаят по време на лечението с всички лекарства за терапия на депресивни епизоди, може да се появят повишени суицидни </w:t>
      </w:r>
      <w:proofErr w:type="spellStart"/>
      <w:r w:rsidRPr="005B1BD5">
        <w:rPr>
          <w:lang w:val="bg-BG" w:eastAsia="bg-BG"/>
        </w:rPr>
        <w:t>идеации</w:t>
      </w:r>
      <w:proofErr w:type="spellEnd"/>
      <w:r w:rsidRPr="005B1BD5">
        <w:rPr>
          <w:lang w:val="bg-BG" w:eastAsia="bg-BG"/>
        </w:rPr>
        <w:t xml:space="preserve"> или опити за самоубийство.</w:t>
      </w:r>
    </w:p>
    <w:p w14:paraId="7525B78F" w14:textId="77777777" w:rsidR="005B1BD5" w:rsidRPr="005B1BD5" w:rsidRDefault="005B1BD5" w:rsidP="005B1BD5">
      <w:pPr>
        <w:rPr>
          <w:sz w:val="24"/>
          <w:szCs w:val="24"/>
          <w:lang w:val="bg-BG"/>
        </w:rPr>
      </w:pPr>
      <w:r w:rsidRPr="005B1BD5">
        <w:rPr>
          <w:lang w:val="bg-BG" w:eastAsia="bg-BG"/>
        </w:rPr>
        <w:t xml:space="preserve">Много рядко и особено при лица със светъл тен на кожата, могат да възникнат нежелани реакции на кожата (зачервяване, подобно на слънчево изгаряне) или очите след приемането на препарати от жълт кантарион и последващо излагане на слънчева светлина. Ако възникнат такива симптоми, лечението трябва да бъде преустановено. По време на лечението трябва да се избягва интензивно излагане на </w:t>
      </w:r>
      <w:r w:rsidRPr="005B1BD5">
        <w:t xml:space="preserve">UV- </w:t>
      </w:r>
      <w:r w:rsidRPr="005B1BD5">
        <w:rPr>
          <w:lang w:val="bg-BG" w:eastAsia="bg-BG"/>
        </w:rPr>
        <w:t>лъчение.</w:t>
      </w:r>
    </w:p>
    <w:p w14:paraId="01059C1F" w14:textId="77777777" w:rsidR="005B1BD5" w:rsidRDefault="005B1BD5" w:rsidP="005B1BD5">
      <w:pPr>
        <w:rPr>
          <w:lang w:val="bg-BG" w:eastAsia="bg-BG"/>
        </w:rPr>
      </w:pPr>
    </w:p>
    <w:p w14:paraId="42FFDE96" w14:textId="502A477E" w:rsidR="005B1BD5" w:rsidRPr="005B1BD5" w:rsidRDefault="005B1BD5" w:rsidP="005B1BD5">
      <w:pPr>
        <w:rPr>
          <w:sz w:val="24"/>
          <w:szCs w:val="24"/>
          <w:lang w:val="bg-BG"/>
        </w:rPr>
      </w:pPr>
      <w:r w:rsidRPr="005B1BD5">
        <w:rPr>
          <w:lang w:val="bg-BG" w:eastAsia="bg-BG"/>
        </w:rPr>
        <w:t xml:space="preserve">Лечението с </w:t>
      </w:r>
      <w:proofErr w:type="spellStart"/>
      <w:r w:rsidRPr="005B1BD5">
        <w:rPr>
          <w:lang w:val="bg-BG" w:eastAsia="bg-BG"/>
        </w:rPr>
        <w:t>Ремотив</w:t>
      </w:r>
      <w:proofErr w:type="spellEnd"/>
      <w:r w:rsidRPr="005B1BD5">
        <w:rPr>
          <w:lang w:val="bg-BG" w:eastAsia="bg-BG"/>
        </w:rPr>
        <w:t xml:space="preserve"> 250 </w:t>
      </w:r>
      <w:r w:rsidRPr="005B1BD5">
        <w:t xml:space="preserve">mg </w:t>
      </w:r>
      <w:r w:rsidRPr="005B1BD5">
        <w:rPr>
          <w:lang w:val="bg-BG" w:eastAsia="bg-BG"/>
        </w:rPr>
        <w:t>филмирани таблетки от жълт кантарион трябва да се преустанови най-малко 5 дни преди хирургична намеса и да започне отново само след консултация с лекар.</w:t>
      </w:r>
    </w:p>
    <w:p w14:paraId="6D0B0139" w14:textId="77777777" w:rsidR="005B1BD5" w:rsidRPr="005B1BD5" w:rsidRDefault="005B1BD5" w:rsidP="005B1BD5">
      <w:pPr>
        <w:rPr>
          <w:sz w:val="24"/>
          <w:szCs w:val="24"/>
          <w:lang w:val="bg-BG"/>
        </w:rPr>
      </w:pPr>
      <w:r w:rsidRPr="005B1BD5">
        <w:rPr>
          <w:lang w:val="bg-BG" w:eastAsia="bg-BG"/>
        </w:rPr>
        <w:t>Повишената ензимна активност се връща до нормалното ниво в рамките на 1 седмица след спирането.</w:t>
      </w:r>
    </w:p>
    <w:p w14:paraId="58A0DDC3" w14:textId="77777777" w:rsidR="005B1BD5" w:rsidRDefault="005B1BD5" w:rsidP="005B1BD5">
      <w:pPr>
        <w:rPr>
          <w:lang w:val="bg-BG" w:eastAsia="bg-BG"/>
        </w:rPr>
      </w:pPr>
    </w:p>
    <w:p w14:paraId="5A3AD4A7" w14:textId="4F430197" w:rsidR="005B1BD5" w:rsidRPr="005B1BD5" w:rsidRDefault="005B1BD5" w:rsidP="005B1BD5">
      <w:pPr>
        <w:rPr>
          <w:sz w:val="24"/>
          <w:szCs w:val="24"/>
          <w:lang w:val="bg-BG"/>
        </w:rPr>
      </w:pPr>
      <w:r w:rsidRPr="005B1BD5">
        <w:rPr>
          <w:lang w:val="bg-BG" w:eastAsia="bg-BG"/>
        </w:rPr>
        <w:t xml:space="preserve">Пациенти с редки наследствени проблеми на непоносимост към </w:t>
      </w:r>
      <w:proofErr w:type="spellStart"/>
      <w:r w:rsidRPr="005B1BD5">
        <w:rPr>
          <w:lang w:val="bg-BG" w:eastAsia="bg-BG"/>
        </w:rPr>
        <w:t>галактоза</w:t>
      </w:r>
      <w:proofErr w:type="spellEnd"/>
      <w:r w:rsidRPr="005B1BD5">
        <w:rPr>
          <w:lang w:val="bg-BG" w:eastAsia="bg-BG"/>
        </w:rPr>
        <w:t>,</w:t>
      </w:r>
      <w:r w:rsidRPr="005B1BD5">
        <w:t xml:space="preserve"> </w:t>
      </w:r>
      <w:r w:rsidRPr="005B1BD5">
        <w:rPr>
          <w:lang w:val="bg-BG" w:eastAsia="bg-BG"/>
        </w:rPr>
        <w:t xml:space="preserve">общ дефицит на </w:t>
      </w:r>
      <w:proofErr w:type="spellStart"/>
      <w:r w:rsidRPr="005B1BD5">
        <w:rPr>
          <w:lang w:val="bg-BG" w:eastAsia="bg-BG"/>
        </w:rPr>
        <w:t>лактаза</w:t>
      </w:r>
      <w:proofErr w:type="spellEnd"/>
      <w:r w:rsidRPr="005B1BD5">
        <w:rPr>
          <w:lang w:val="bg-BG" w:eastAsia="bg-BG"/>
        </w:rPr>
        <w:t xml:space="preserve"> или </w:t>
      </w:r>
      <w:proofErr w:type="spellStart"/>
      <w:r w:rsidRPr="005B1BD5">
        <w:rPr>
          <w:lang w:val="bg-BG" w:eastAsia="bg-BG"/>
        </w:rPr>
        <w:t>глюкозо-галактозна</w:t>
      </w:r>
      <w:proofErr w:type="spellEnd"/>
      <w:r w:rsidRPr="005B1BD5">
        <w:rPr>
          <w:lang w:val="bg-BG" w:eastAsia="bg-BG"/>
        </w:rPr>
        <w:t xml:space="preserve"> малабсорбция не трябва да приемат това лекарство.</w:t>
      </w:r>
    </w:p>
    <w:p w14:paraId="1DFCE8B5" w14:textId="77777777" w:rsidR="005B1BD5" w:rsidRPr="005B1BD5" w:rsidRDefault="005B1BD5" w:rsidP="005B1BD5">
      <w:pPr>
        <w:rPr>
          <w:sz w:val="24"/>
          <w:szCs w:val="24"/>
          <w:lang w:val="bg-BG"/>
        </w:rPr>
      </w:pPr>
      <w:r w:rsidRPr="005B1BD5">
        <w:rPr>
          <w:lang w:val="bg-BG" w:eastAsia="bg-BG"/>
        </w:rPr>
        <w:t>Въпреки че екстрактите от жълт кантарион са били използвани в продължение на много години</w:t>
      </w:r>
    </w:p>
    <w:p w14:paraId="57B38E13" w14:textId="77777777" w:rsidR="005B1BD5" w:rsidRPr="005B1BD5" w:rsidRDefault="005B1BD5" w:rsidP="005B1BD5">
      <w:pPr>
        <w:rPr>
          <w:sz w:val="24"/>
          <w:szCs w:val="24"/>
          <w:lang w:val="bg-BG"/>
        </w:rPr>
      </w:pPr>
      <w:r w:rsidRPr="005B1BD5">
        <w:rPr>
          <w:lang w:val="bg-BG" w:eastAsia="bg-BG"/>
        </w:rPr>
        <w:t>без данни за неблагоприятен ефект върху черния дроб или бъбреците няма налични</w:t>
      </w:r>
      <w:r>
        <w:rPr>
          <w:lang w:val="bg-BG" w:eastAsia="bg-BG"/>
        </w:rPr>
        <w:t xml:space="preserve"> </w:t>
      </w:r>
      <w:r w:rsidRPr="005B1BD5">
        <w:rPr>
          <w:lang w:val="bg-BG" w:eastAsia="bg-BG"/>
        </w:rPr>
        <w:t xml:space="preserve">контролирани клинични проучвания при пациенти с увредена чернодробна или бъбречна </w:t>
      </w:r>
      <w:r w:rsidRPr="005B1BD5">
        <w:rPr>
          <w:lang w:val="bg-BG" w:eastAsia="bg-BG"/>
        </w:rPr>
        <w:lastRenderedPageBreak/>
        <w:t>функция. Поради това, при такива пациенти жълт кантарион трябва да се използва с повишено внимание и под медицинско наблюдение.</w:t>
      </w:r>
    </w:p>
    <w:p w14:paraId="1E5E5050" w14:textId="77777777" w:rsidR="005B1BD5" w:rsidRPr="005B1BD5" w:rsidRDefault="005B1BD5" w:rsidP="005B1BD5">
      <w:pPr>
        <w:rPr>
          <w:sz w:val="24"/>
          <w:szCs w:val="24"/>
          <w:lang w:val="bg-BG"/>
        </w:rPr>
      </w:pPr>
      <w:r w:rsidRPr="005B1BD5">
        <w:rPr>
          <w:lang w:val="bg-BG" w:eastAsia="bg-BG"/>
        </w:rPr>
        <w:t>Жените, които използват хормонални контрацептиви, трябва да бъдат информирани за възможно междинно кървене в резултат на взаимодействия, и трябва да бъдат съветвани за вземане на допълнителни контрацептивни мерки, тъй като безопасността на контрацепцията може да бъде намалена.</w:t>
      </w:r>
    </w:p>
    <w:p w14:paraId="778D3A73" w14:textId="77777777" w:rsidR="005B1BD5" w:rsidRDefault="005B1BD5" w:rsidP="005B1BD5">
      <w:pPr>
        <w:rPr>
          <w:u w:val="single"/>
          <w:lang w:val="bg-BG" w:eastAsia="bg-BG"/>
        </w:rPr>
      </w:pPr>
    </w:p>
    <w:p w14:paraId="233BC5A3" w14:textId="3EC71C15" w:rsidR="005B1BD5" w:rsidRPr="005B1BD5" w:rsidRDefault="005B1BD5" w:rsidP="005B1BD5">
      <w:pPr>
        <w:rPr>
          <w:sz w:val="24"/>
          <w:szCs w:val="24"/>
          <w:lang w:val="bg-BG"/>
        </w:rPr>
      </w:pPr>
      <w:r w:rsidRPr="005B1BD5">
        <w:rPr>
          <w:u w:val="single"/>
          <w:lang w:val="bg-BG" w:eastAsia="bg-BG"/>
        </w:rPr>
        <w:t>Педиатрична популация</w:t>
      </w:r>
    </w:p>
    <w:p w14:paraId="4719B703" w14:textId="77777777" w:rsidR="005B1BD5" w:rsidRPr="005B1BD5" w:rsidRDefault="005B1BD5" w:rsidP="005B1BD5">
      <w:pPr>
        <w:rPr>
          <w:sz w:val="24"/>
          <w:szCs w:val="24"/>
          <w:lang w:val="bg-BG"/>
        </w:rPr>
      </w:pPr>
      <w:r w:rsidRPr="005B1BD5">
        <w:rPr>
          <w:lang w:val="bg-BG" w:eastAsia="bg-BG"/>
        </w:rPr>
        <w:t>Тъй като няма достатъчно данни, употребата при деца и юноши под 18 годишна възраст, не се препоръчва.</w:t>
      </w:r>
    </w:p>
    <w:p w14:paraId="10F015B9" w14:textId="77777777" w:rsidR="005B1BD5" w:rsidRPr="005B1BD5" w:rsidRDefault="005B1BD5" w:rsidP="005B1BD5"/>
    <w:p w14:paraId="78BEBB3D" w14:textId="7C4736E1" w:rsidR="002C50EE" w:rsidRDefault="002C50EE" w:rsidP="002C50EE">
      <w:pPr>
        <w:pStyle w:val="Heading2"/>
      </w:pPr>
      <w:r>
        <w:t xml:space="preserve">4.5. </w:t>
      </w:r>
      <w:proofErr w:type="spellStart"/>
      <w:r>
        <w:t>Взаимодействие</w:t>
      </w:r>
      <w:proofErr w:type="spellEnd"/>
      <w:r>
        <w:t xml:space="preserve"> с </w:t>
      </w:r>
      <w:proofErr w:type="spellStart"/>
      <w:r>
        <w:t>други</w:t>
      </w:r>
      <w:proofErr w:type="spellEnd"/>
      <w:r>
        <w:t xml:space="preserve"> </w:t>
      </w:r>
      <w:proofErr w:type="spellStart"/>
      <w:r>
        <w:t>лекарствени</w:t>
      </w:r>
      <w:proofErr w:type="spellEnd"/>
      <w:r>
        <w:t xml:space="preserve"> </w:t>
      </w:r>
      <w:proofErr w:type="spellStart"/>
      <w:r>
        <w:t>продукти</w:t>
      </w:r>
      <w:proofErr w:type="spellEnd"/>
      <w:r>
        <w:t xml:space="preserve"> и </w:t>
      </w:r>
      <w:proofErr w:type="spellStart"/>
      <w:r>
        <w:t>други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взаимодействие</w:t>
      </w:r>
      <w:proofErr w:type="spellEnd"/>
    </w:p>
    <w:p w14:paraId="0818FD7E" w14:textId="77777777" w:rsidR="005B1BD5" w:rsidRDefault="005B1BD5" w:rsidP="005B1BD5">
      <w:pPr>
        <w:rPr>
          <w:lang w:val="bg-BG" w:eastAsia="bg-BG"/>
        </w:rPr>
      </w:pPr>
    </w:p>
    <w:p w14:paraId="2D90D732" w14:textId="62162F14" w:rsidR="005B1BD5" w:rsidRPr="005B1BD5" w:rsidRDefault="005B1BD5" w:rsidP="005B1BD5">
      <w:pPr>
        <w:rPr>
          <w:i/>
          <w:iCs/>
          <w:sz w:val="24"/>
          <w:szCs w:val="24"/>
          <w:lang w:val="bg-BG"/>
        </w:rPr>
      </w:pPr>
      <w:proofErr w:type="spellStart"/>
      <w:r w:rsidRPr="005B1BD5">
        <w:rPr>
          <w:i/>
          <w:iCs/>
          <w:lang w:val="bg-BG" w:eastAsia="bg-BG"/>
        </w:rPr>
        <w:t>Фармакокинетични</w:t>
      </w:r>
      <w:proofErr w:type="spellEnd"/>
      <w:r w:rsidRPr="005B1BD5">
        <w:rPr>
          <w:i/>
          <w:iCs/>
          <w:lang w:val="bg-BG" w:eastAsia="bg-BG"/>
        </w:rPr>
        <w:t xml:space="preserve"> взаимодействия</w:t>
      </w:r>
    </w:p>
    <w:p w14:paraId="36AAD3B5" w14:textId="77777777" w:rsidR="005B1BD5" w:rsidRDefault="005B1BD5" w:rsidP="005B1BD5">
      <w:pPr>
        <w:rPr>
          <w:lang w:val="bg-BG" w:eastAsia="bg-BG"/>
        </w:rPr>
      </w:pPr>
    </w:p>
    <w:p w14:paraId="289C5422" w14:textId="41C17B7A" w:rsidR="005B1BD5" w:rsidRPr="005B1BD5" w:rsidRDefault="005B1BD5" w:rsidP="005B1BD5">
      <w:pPr>
        <w:rPr>
          <w:sz w:val="24"/>
          <w:szCs w:val="24"/>
          <w:lang w:val="bg-BG"/>
        </w:rPr>
      </w:pPr>
      <w:r w:rsidRPr="005B1BD5">
        <w:rPr>
          <w:lang w:val="bg-BG" w:eastAsia="bg-BG"/>
        </w:rPr>
        <w:t xml:space="preserve">Сухият екстракт от жълт кантарион индуцира активността на </w:t>
      </w:r>
      <w:r w:rsidRPr="005B1BD5">
        <w:t xml:space="preserve">CYP3A4, CYP2C9, CYP2C19 </w:t>
      </w:r>
      <w:r w:rsidRPr="005B1BD5">
        <w:rPr>
          <w:lang w:val="bg-BG" w:eastAsia="bg-BG"/>
        </w:rPr>
        <w:t xml:space="preserve">и Р- </w:t>
      </w:r>
      <w:proofErr w:type="spellStart"/>
      <w:r w:rsidRPr="005B1BD5">
        <w:rPr>
          <w:lang w:val="bg-BG" w:eastAsia="bg-BG"/>
        </w:rPr>
        <w:t>гликопротеин</w:t>
      </w:r>
      <w:proofErr w:type="spellEnd"/>
      <w:r w:rsidRPr="005B1BD5">
        <w:rPr>
          <w:lang w:val="bg-BG" w:eastAsia="bg-BG"/>
        </w:rPr>
        <w:t xml:space="preserve">. Това може да доведе до намаляване на плазмените концентрации и до отслабване на терапевтичния ефект на няколко медикамента, както и до потенциално тежки последствия. Поради това трябва да се внимава при едновременна употреба на всички лекарствени вещества, </w:t>
      </w:r>
      <w:proofErr w:type="spellStart"/>
      <w:r w:rsidRPr="005B1BD5">
        <w:rPr>
          <w:lang w:val="bg-BG" w:eastAsia="bg-BG"/>
        </w:rPr>
        <w:t>чиЙто</w:t>
      </w:r>
      <w:proofErr w:type="spellEnd"/>
      <w:r w:rsidRPr="005B1BD5">
        <w:rPr>
          <w:lang w:val="bg-BG" w:eastAsia="bg-BG"/>
        </w:rPr>
        <w:t xml:space="preserve"> метаболизъм е повлиян от </w:t>
      </w:r>
      <w:r w:rsidRPr="005B1BD5">
        <w:t xml:space="preserve">CYP3A4, CYP2C9, CYP2C19 </w:t>
      </w:r>
      <w:r w:rsidRPr="005B1BD5">
        <w:rPr>
          <w:lang w:val="bg-BG" w:eastAsia="bg-BG"/>
        </w:rPr>
        <w:t xml:space="preserve">или Р- </w:t>
      </w:r>
      <w:proofErr w:type="spellStart"/>
      <w:r w:rsidRPr="005B1BD5">
        <w:rPr>
          <w:lang w:val="bg-BG" w:eastAsia="bg-BG"/>
        </w:rPr>
        <w:t>гликопротеин</w:t>
      </w:r>
      <w:proofErr w:type="spellEnd"/>
      <w:r w:rsidRPr="005B1BD5">
        <w:rPr>
          <w:lang w:val="bg-BG" w:eastAsia="bg-BG"/>
        </w:rPr>
        <w:t xml:space="preserve"> (например </w:t>
      </w:r>
      <w:proofErr w:type="spellStart"/>
      <w:r w:rsidRPr="005B1BD5">
        <w:rPr>
          <w:lang w:val="bg-BG" w:eastAsia="bg-BG"/>
        </w:rPr>
        <w:t>амитриптилин</w:t>
      </w:r>
      <w:proofErr w:type="spellEnd"/>
      <w:r w:rsidRPr="005B1BD5">
        <w:rPr>
          <w:lang w:val="bg-BG" w:eastAsia="bg-BG"/>
        </w:rPr>
        <w:t xml:space="preserve">, бензодиазепини, </w:t>
      </w:r>
      <w:proofErr w:type="spellStart"/>
      <w:r w:rsidRPr="005B1BD5">
        <w:rPr>
          <w:lang w:val="bg-BG" w:eastAsia="bg-BG"/>
        </w:rPr>
        <w:t>метадон</w:t>
      </w:r>
      <w:proofErr w:type="spellEnd"/>
      <w:r w:rsidRPr="005B1BD5">
        <w:rPr>
          <w:lang w:val="bg-BG" w:eastAsia="bg-BG"/>
        </w:rPr>
        <w:t xml:space="preserve">, </w:t>
      </w:r>
      <w:proofErr w:type="spellStart"/>
      <w:r w:rsidRPr="005B1BD5">
        <w:rPr>
          <w:lang w:val="bg-BG" w:eastAsia="bg-BG"/>
        </w:rPr>
        <w:t>симвастатин</w:t>
      </w:r>
      <w:proofErr w:type="spellEnd"/>
      <w:r w:rsidRPr="005B1BD5">
        <w:rPr>
          <w:lang w:val="bg-BG" w:eastAsia="bg-BG"/>
        </w:rPr>
        <w:t xml:space="preserve">, </w:t>
      </w:r>
      <w:proofErr w:type="spellStart"/>
      <w:r w:rsidRPr="005B1BD5">
        <w:rPr>
          <w:lang w:val="bg-BG" w:eastAsia="bg-BG"/>
        </w:rPr>
        <w:t>дигоксин</w:t>
      </w:r>
      <w:proofErr w:type="spellEnd"/>
      <w:r w:rsidRPr="005B1BD5">
        <w:rPr>
          <w:lang w:val="bg-BG" w:eastAsia="bg-BG"/>
        </w:rPr>
        <w:t>). Плазмените нива и / или ефектът на интерактивните лекарства- особено тези с тесен терапевтичен обхват - трябва да бъдат внимателно проследявани в началото и в края на лечението, както и в случаите на промяна на дозата на продуктите от жълт кантарион. Обратно, внезапното прекъсване на приема на продукти от жълт кантарион може да доведе до повишаване на плазмените концентрации на съпътстващите лекарства, с евентуални токсични ефекти. В случай на случайно приемане на продукти от жълт кантарион заедно с вещества с интерактивно действие, приемът на продукти от жълт кантарион трябва по принцип да бъде преустановен стъпка по стъпка. Такива взаимодействия се отнасят по-специално до следните фармацевтични или наркотични класове:</w:t>
      </w:r>
    </w:p>
    <w:p w14:paraId="6EED2AB7" w14:textId="77777777" w:rsidR="005B1BD5" w:rsidRDefault="005B1BD5" w:rsidP="005B1BD5">
      <w:pPr>
        <w:rPr>
          <w:lang w:val="bg-BG" w:eastAsia="bg-BG"/>
        </w:rPr>
      </w:pPr>
    </w:p>
    <w:p w14:paraId="10547452" w14:textId="1BD9004C" w:rsidR="005B1BD5" w:rsidRPr="005B1BD5" w:rsidRDefault="005B1BD5" w:rsidP="005B1BD5">
      <w:pPr>
        <w:rPr>
          <w:sz w:val="24"/>
          <w:szCs w:val="24"/>
          <w:lang w:val="bg-BG"/>
        </w:rPr>
      </w:pPr>
      <w:r w:rsidRPr="005B1BD5">
        <w:rPr>
          <w:lang w:val="bg-BG" w:eastAsia="bg-BG"/>
        </w:rPr>
        <w:t xml:space="preserve">Едновременната употреба на </w:t>
      </w:r>
      <w:proofErr w:type="spellStart"/>
      <w:r w:rsidRPr="005B1BD5">
        <w:rPr>
          <w:lang w:val="bg-BG" w:eastAsia="bg-BG"/>
        </w:rPr>
        <w:t>имуносупресори</w:t>
      </w:r>
      <w:proofErr w:type="spellEnd"/>
      <w:r w:rsidRPr="005B1BD5">
        <w:rPr>
          <w:lang w:val="bg-BG" w:eastAsia="bg-BG"/>
        </w:rPr>
        <w:t xml:space="preserve"> (например циклоспорин, </w:t>
      </w:r>
      <w:proofErr w:type="spellStart"/>
      <w:r w:rsidRPr="005B1BD5">
        <w:rPr>
          <w:lang w:val="bg-BG" w:eastAsia="bg-BG"/>
        </w:rPr>
        <w:t>такролимус</w:t>
      </w:r>
      <w:proofErr w:type="spellEnd"/>
      <w:r w:rsidRPr="005B1BD5">
        <w:rPr>
          <w:lang w:val="bg-BG" w:eastAsia="bg-BG"/>
        </w:rPr>
        <w:t xml:space="preserve"> и </w:t>
      </w:r>
      <w:proofErr w:type="spellStart"/>
      <w:r w:rsidRPr="005B1BD5">
        <w:rPr>
          <w:lang w:val="bg-BG" w:eastAsia="bg-BG"/>
        </w:rPr>
        <w:t>сиролимус</w:t>
      </w:r>
      <w:proofErr w:type="spellEnd"/>
      <w:r w:rsidRPr="005B1BD5">
        <w:rPr>
          <w:lang w:val="bg-BG" w:eastAsia="bg-BG"/>
        </w:rPr>
        <w:t xml:space="preserve"> за системно приложение), антиретровирусни вещества от групата на </w:t>
      </w:r>
      <w:proofErr w:type="spellStart"/>
      <w:r w:rsidRPr="005B1BD5">
        <w:rPr>
          <w:lang w:val="bg-BG" w:eastAsia="bg-BG"/>
        </w:rPr>
        <w:t>ненуклеозидни</w:t>
      </w:r>
      <w:proofErr w:type="spellEnd"/>
      <w:r w:rsidRPr="005B1BD5">
        <w:rPr>
          <w:lang w:val="bg-BG" w:eastAsia="bg-BG"/>
        </w:rPr>
        <w:t xml:space="preserve"> инхибитори на обратната </w:t>
      </w:r>
      <w:proofErr w:type="spellStart"/>
      <w:r w:rsidRPr="005B1BD5">
        <w:rPr>
          <w:lang w:val="bg-BG" w:eastAsia="bg-BG"/>
        </w:rPr>
        <w:t>транскриптаза</w:t>
      </w:r>
      <w:proofErr w:type="spellEnd"/>
      <w:r w:rsidRPr="005B1BD5">
        <w:rPr>
          <w:lang w:val="bg-BG" w:eastAsia="bg-BG"/>
        </w:rPr>
        <w:t xml:space="preserve"> и </w:t>
      </w:r>
      <w:proofErr w:type="spellStart"/>
      <w:r w:rsidRPr="005B1BD5">
        <w:rPr>
          <w:lang w:val="bg-BG" w:eastAsia="bg-BG"/>
        </w:rPr>
        <w:t>протеазни</w:t>
      </w:r>
      <w:proofErr w:type="spellEnd"/>
      <w:r w:rsidRPr="005B1BD5">
        <w:rPr>
          <w:lang w:val="bg-BG" w:eastAsia="bg-BG"/>
        </w:rPr>
        <w:t xml:space="preserve"> инхибитори (например </w:t>
      </w:r>
      <w:proofErr w:type="spellStart"/>
      <w:r w:rsidRPr="005B1BD5">
        <w:rPr>
          <w:lang w:val="bg-BG" w:eastAsia="bg-BG"/>
        </w:rPr>
        <w:t>ампренавир</w:t>
      </w:r>
      <w:proofErr w:type="spellEnd"/>
      <w:r w:rsidRPr="005B1BD5">
        <w:rPr>
          <w:lang w:val="bg-BG" w:eastAsia="bg-BG"/>
        </w:rPr>
        <w:t xml:space="preserve">, </w:t>
      </w:r>
      <w:proofErr w:type="spellStart"/>
      <w:r w:rsidRPr="005B1BD5">
        <w:rPr>
          <w:lang w:val="bg-BG" w:eastAsia="bg-BG"/>
        </w:rPr>
        <w:t>индинавир</w:t>
      </w:r>
      <w:proofErr w:type="spellEnd"/>
      <w:r w:rsidRPr="005B1BD5">
        <w:rPr>
          <w:lang w:val="bg-BG" w:eastAsia="bg-BG"/>
        </w:rPr>
        <w:t xml:space="preserve">), </w:t>
      </w:r>
      <w:proofErr w:type="spellStart"/>
      <w:r w:rsidRPr="005B1BD5">
        <w:rPr>
          <w:lang w:val="bg-BG" w:eastAsia="bg-BG"/>
        </w:rPr>
        <w:t>цитостатици</w:t>
      </w:r>
      <w:proofErr w:type="spellEnd"/>
      <w:r w:rsidRPr="005B1BD5">
        <w:rPr>
          <w:lang w:val="bg-BG" w:eastAsia="bg-BG"/>
        </w:rPr>
        <w:t xml:space="preserve"> (например </w:t>
      </w:r>
      <w:proofErr w:type="spellStart"/>
      <w:r w:rsidRPr="005B1BD5">
        <w:rPr>
          <w:lang w:val="bg-BG" w:eastAsia="bg-BG"/>
        </w:rPr>
        <w:t>иматиниб</w:t>
      </w:r>
      <w:proofErr w:type="spellEnd"/>
      <w:r w:rsidRPr="005B1BD5">
        <w:rPr>
          <w:lang w:val="bg-BG" w:eastAsia="bg-BG"/>
        </w:rPr>
        <w:t xml:space="preserve">, </w:t>
      </w:r>
      <w:proofErr w:type="spellStart"/>
      <w:r w:rsidRPr="005B1BD5">
        <w:rPr>
          <w:lang w:val="bg-BG" w:eastAsia="bg-BG"/>
        </w:rPr>
        <w:t>иринотекан</w:t>
      </w:r>
      <w:proofErr w:type="spellEnd"/>
      <w:r w:rsidRPr="005B1BD5">
        <w:rPr>
          <w:lang w:val="bg-BG" w:eastAsia="bg-BG"/>
        </w:rPr>
        <w:t xml:space="preserve">), анти-коагуланти от типа на </w:t>
      </w:r>
      <w:proofErr w:type="spellStart"/>
      <w:r w:rsidRPr="005B1BD5">
        <w:rPr>
          <w:lang w:val="bg-BG" w:eastAsia="bg-BG"/>
        </w:rPr>
        <w:t>кумарин</w:t>
      </w:r>
      <w:proofErr w:type="spellEnd"/>
      <w:r w:rsidRPr="005B1BD5">
        <w:rPr>
          <w:lang w:val="bg-BG" w:eastAsia="bg-BG"/>
        </w:rPr>
        <w:t xml:space="preserve"> (например </w:t>
      </w:r>
      <w:proofErr w:type="spellStart"/>
      <w:r w:rsidRPr="005B1BD5">
        <w:rPr>
          <w:lang w:val="bg-BG" w:eastAsia="bg-BG"/>
        </w:rPr>
        <w:t>аценокумарол</w:t>
      </w:r>
      <w:proofErr w:type="spellEnd"/>
      <w:r w:rsidRPr="005B1BD5">
        <w:rPr>
          <w:lang w:val="bg-BG" w:eastAsia="bg-BG"/>
        </w:rPr>
        <w:t xml:space="preserve">, </w:t>
      </w:r>
      <w:proofErr w:type="spellStart"/>
      <w:r w:rsidRPr="005B1BD5">
        <w:rPr>
          <w:lang w:val="bg-BG" w:eastAsia="bg-BG"/>
        </w:rPr>
        <w:t>фенпрокумон</w:t>
      </w:r>
      <w:proofErr w:type="spellEnd"/>
      <w:r w:rsidRPr="005B1BD5">
        <w:rPr>
          <w:lang w:val="bg-BG" w:eastAsia="bg-BG"/>
        </w:rPr>
        <w:t xml:space="preserve">, </w:t>
      </w:r>
      <w:proofErr w:type="spellStart"/>
      <w:r w:rsidRPr="005B1BD5">
        <w:rPr>
          <w:lang w:val="bg-BG" w:eastAsia="bg-BG"/>
        </w:rPr>
        <w:t>варфарин</w:t>
      </w:r>
      <w:proofErr w:type="spellEnd"/>
      <w:r w:rsidRPr="005B1BD5">
        <w:rPr>
          <w:lang w:val="bg-BG" w:eastAsia="bg-BG"/>
        </w:rPr>
        <w:t xml:space="preserve">) и фактор Ха-инхибитори (например </w:t>
      </w:r>
      <w:proofErr w:type="spellStart"/>
      <w:r w:rsidRPr="005B1BD5">
        <w:rPr>
          <w:lang w:val="bg-BG" w:eastAsia="bg-BG"/>
        </w:rPr>
        <w:t>апиксабан</w:t>
      </w:r>
      <w:proofErr w:type="spellEnd"/>
      <w:r w:rsidRPr="005B1BD5">
        <w:rPr>
          <w:lang w:val="bg-BG" w:eastAsia="bg-BG"/>
        </w:rPr>
        <w:t xml:space="preserve">, </w:t>
      </w:r>
      <w:proofErr w:type="spellStart"/>
      <w:r w:rsidRPr="005B1BD5">
        <w:rPr>
          <w:lang w:val="bg-BG" w:eastAsia="bg-BG"/>
        </w:rPr>
        <w:t>ривароксабан</w:t>
      </w:r>
      <w:proofErr w:type="spellEnd"/>
      <w:r w:rsidRPr="005B1BD5">
        <w:rPr>
          <w:lang w:val="bg-BG" w:eastAsia="bg-BG"/>
        </w:rPr>
        <w:t>), е противопоказана.</w:t>
      </w:r>
    </w:p>
    <w:p w14:paraId="4E6FA1A0" w14:textId="77777777" w:rsidR="005B1BD5" w:rsidRPr="005B1BD5" w:rsidRDefault="005B1BD5" w:rsidP="005B1BD5">
      <w:pPr>
        <w:rPr>
          <w:sz w:val="24"/>
          <w:szCs w:val="24"/>
          <w:lang w:val="bg-BG"/>
        </w:rPr>
      </w:pPr>
      <w:r w:rsidRPr="005B1BD5">
        <w:rPr>
          <w:lang w:val="bg-BG" w:eastAsia="bg-BG"/>
        </w:rPr>
        <w:t xml:space="preserve">Със следните фармацевтични продукти могат да възникнат взаимодействия: </w:t>
      </w:r>
      <w:proofErr w:type="spellStart"/>
      <w:r w:rsidRPr="005B1BD5">
        <w:rPr>
          <w:lang w:val="bg-BG" w:eastAsia="bg-BG"/>
        </w:rPr>
        <w:t>дигоксин</w:t>
      </w:r>
      <w:proofErr w:type="spellEnd"/>
      <w:r w:rsidRPr="005B1BD5">
        <w:rPr>
          <w:lang w:val="bg-BG" w:eastAsia="bg-BG"/>
        </w:rPr>
        <w:t xml:space="preserve">, </w:t>
      </w:r>
      <w:proofErr w:type="spellStart"/>
      <w:r w:rsidRPr="005B1BD5">
        <w:rPr>
          <w:lang w:val="bg-BG" w:eastAsia="bg-BG"/>
        </w:rPr>
        <w:t>метадон</w:t>
      </w:r>
      <w:proofErr w:type="spellEnd"/>
      <w:r w:rsidRPr="005B1BD5">
        <w:rPr>
          <w:lang w:val="bg-BG" w:eastAsia="bg-BG"/>
        </w:rPr>
        <w:t xml:space="preserve">, </w:t>
      </w:r>
      <w:proofErr w:type="spellStart"/>
      <w:r w:rsidRPr="005B1BD5">
        <w:rPr>
          <w:lang w:val="bg-BG" w:eastAsia="bg-BG"/>
        </w:rPr>
        <w:t>антиконвулсанти</w:t>
      </w:r>
      <w:proofErr w:type="spellEnd"/>
      <w:r w:rsidRPr="005B1BD5">
        <w:rPr>
          <w:lang w:val="bg-BG" w:eastAsia="bg-BG"/>
        </w:rPr>
        <w:t xml:space="preserve"> (няма наблюдения </w:t>
      </w:r>
      <w:proofErr w:type="spellStart"/>
      <w:r w:rsidRPr="005B1BD5">
        <w:rPr>
          <w:lang w:val="bg-BG" w:eastAsia="bg-BG"/>
        </w:rPr>
        <w:t>карбамазепин</w:t>
      </w:r>
      <w:proofErr w:type="spellEnd"/>
      <w:r w:rsidRPr="005B1BD5">
        <w:rPr>
          <w:lang w:val="bg-BG" w:eastAsia="bg-BG"/>
        </w:rPr>
        <w:t xml:space="preserve"> да си взаимодейства с жълт кантарион, но и за други </w:t>
      </w:r>
      <w:proofErr w:type="spellStart"/>
      <w:r w:rsidRPr="005B1BD5">
        <w:rPr>
          <w:lang w:val="bg-BG" w:eastAsia="bg-BG"/>
        </w:rPr>
        <w:t>антиконвулсанти</w:t>
      </w:r>
      <w:proofErr w:type="spellEnd"/>
      <w:r w:rsidRPr="005B1BD5">
        <w:rPr>
          <w:lang w:val="bg-BG" w:eastAsia="bg-BG"/>
        </w:rPr>
        <w:t xml:space="preserve"> няма налични данни за взаимодействия; поради техния метаболизъм, някои </w:t>
      </w:r>
      <w:proofErr w:type="spellStart"/>
      <w:r w:rsidRPr="005B1BD5">
        <w:rPr>
          <w:lang w:val="bg-BG" w:eastAsia="bg-BG"/>
        </w:rPr>
        <w:t>антиконвулсанти</w:t>
      </w:r>
      <w:proofErr w:type="spellEnd"/>
      <w:r w:rsidRPr="005B1BD5">
        <w:rPr>
          <w:lang w:val="bg-BG" w:eastAsia="bg-BG"/>
        </w:rPr>
        <w:t xml:space="preserve"> трябва да се приемат с повишено внимание едновременно с жълт кантарион: например </w:t>
      </w:r>
      <w:proofErr w:type="spellStart"/>
      <w:r w:rsidRPr="005B1BD5">
        <w:rPr>
          <w:lang w:val="bg-BG" w:eastAsia="bg-BG"/>
        </w:rPr>
        <w:t>фенобарбитал</w:t>
      </w:r>
      <w:proofErr w:type="spellEnd"/>
      <w:r w:rsidRPr="005B1BD5">
        <w:rPr>
          <w:lang w:val="bg-BG" w:eastAsia="bg-BG"/>
        </w:rPr>
        <w:t xml:space="preserve">, </w:t>
      </w:r>
      <w:proofErr w:type="spellStart"/>
      <w:r w:rsidRPr="005B1BD5">
        <w:rPr>
          <w:lang w:val="bg-BG" w:eastAsia="bg-BG"/>
        </w:rPr>
        <w:t>фенитоин</w:t>
      </w:r>
      <w:proofErr w:type="spellEnd"/>
      <w:r w:rsidRPr="005B1BD5">
        <w:rPr>
          <w:lang w:val="bg-BG" w:eastAsia="bg-BG"/>
        </w:rPr>
        <w:t xml:space="preserve">, </w:t>
      </w:r>
      <w:proofErr w:type="spellStart"/>
      <w:r w:rsidRPr="005B1BD5">
        <w:rPr>
          <w:lang w:val="bg-BG" w:eastAsia="bg-BG"/>
        </w:rPr>
        <w:t>мефенитоин</w:t>
      </w:r>
      <w:proofErr w:type="spellEnd"/>
      <w:r w:rsidRPr="005B1BD5">
        <w:rPr>
          <w:lang w:val="bg-BG" w:eastAsia="bg-BG"/>
        </w:rPr>
        <w:t xml:space="preserve">), </w:t>
      </w:r>
      <w:proofErr w:type="spellStart"/>
      <w:r w:rsidRPr="005B1BD5">
        <w:rPr>
          <w:lang w:val="bg-BG" w:eastAsia="bg-BG"/>
        </w:rPr>
        <w:t>Теофилин</w:t>
      </w:r>
      <w:proofErr w:type="spellEnd"/>
      <w:r w:rsidRPr="005B1BD5">
        <w:rPr>
          <w:lang w:val="bg-BG" w:eastAsia="bg-BG"/>
        </w:rPr>
        <w:t xml:space="preserve">, определени понижаващи липидите вещества на </w:t>
      </w:r>
      <w:r w:rsidRPr="005B1BD5">
        <w:t xml:space="preserve">HMG </w:t>
      </w:r>
      <w:proofErr w:type="spellStart"/>
      <w:r w:rsidRPr="005B1BD5">
        <w:rPr>
          <w:lang w:val="bg-BG" w:eastAsia="bg-BG"/>
        </w:rPr>
        <w:t>СоА</w:t>
      </w:r>
      <w:proofErr w:type="spellEnd"/>
      <w:r w:rsidRPr="005B1BD5">
        <w:rPr>
          <w:lang w:val="bg-BG" w:eastAsia="bg-BG"/>
        </w:rPr>
        <w:t xml:space="preserve"> </w:t>
      </w:r>
      <w:proofErr w:type="spellStart"/>
      <w:r w:rsidRPr="005B1BD5">
        <w:rPr>
          <w:lang w:val="bg-BG" w:eastAsia="bg-BG"/>
        </w:rPr>
        <w:t>редуктаза</w:t>
      </w:r>
      <w:proofErr w:type="spellEnd"/>
      <w:r w:rsidRPr="005B1BD5">
        <w:rPr>
          <w:lang w:val="bg-BG" w:eastAsia="bg-BG"/>
        </w:rPr>
        <w:t xml:space="preserve"> тип инхибитор (например </w:t>
      </w:r>
      <w:proofErr w:type="spellStart"/>
      <w:r w:rsidRPr="005B1BD5">
        <w:rPr>
          <w:lang w:val="bg-BG" w:eastAsia="bg-BG"/>
        </w:rPr>
        <w:t>симвастатин</w:t>
      </w:r>
      <w:proofErr w:type="spellEnd"/>
      <w:r w:rsidRPr="005B1BD5">
        <w:rPr>
          <w:lang w:val="bg-BG" w:eastAsia="bg-BG"/>
        </w:rPr>
        <w:t xml:space="preserve">, но не </w:t>
      </w:r>
      <w:proofErr w:type="spellStart"/>
      <w:r w:rsidRPr="005B1BD5">
        <w:rPr>
          <w:lang w:val="bg-BG" w:eastAsia="bg-BG"/>
        </w:rPr>
        <w:t>правастатин</w:t>
      </w:r>
      <w:proofErr w:type="spellEnd"/>
      <w:r w:rsidRPr="005B1BD5">
        <w:rPr>
          <w:lang w:val="bg-BG" w:eastAsia="bg-BG"/>
        </w:rPr>
        <w:t xml:space="preserve">), бензодиазепини (мидазолам, </w:t>
      </w:r>
      <w:proofErr w:type="spellStart"/>
      <w:r w:rsidRPr="005B1BD5">
        <w:rPr>
          <w:lang w:val="bg-BG" w:eastAsia="bg-BG"/>
        </w:rPr>
        <w:t>алпразолам</w:t>
      </w:r>
      <w:proofErr w:type="spellEnd"/>
      <w:r w:rsidRPr="005B1BD5">
        <w:rPr>
          <w:lang w:val="bg-BG" w:eastAsia="bg-BG"/>
        </w:rPr>
        <w:t xml:space="preserve">), </w:t>
      </w:r>
      <w:proofErr w:type="spellStart"/>
      <w:r w:rsidRPr="005B1BD5">
        <w:rPr>
          <w:lang w:val="bg-BG" w:eastAsia="bg-BG"/>
        </w:rPr>
        <w:t>стероидни</w:t>
      </w:r>
      <w:proofErr w:type="spellEnd"/>
      <w:r w:rsidRPr="005B1BD5">
        <w:rPr>
          <w:lang w:val="bg-BG" w:eastAsia="bg-BG"/>
        </w:rPr>
        <w:t xml:space="preserve">-хормони и </w:t>
      </w:r>
      <w:proofErr w:type="spellStart"/>
      <w:r w:rsidRPr="005B1BD5">
        <w:rPr>
          <w:lang w:val="bg-BG" w:eastAsia="bg-BG"/>
        </w:rPr>
        <w:t>верапамил</w:t>
      </w:r>
      <w:proofErr w:type="spellEnd"/>
      <w:r w:rsidRPr="005B1BD5">
        <w:rPr>
          <w:lang w:val="bg-BG" w:eastAsia="bg-BG"/>
        </w:rPr>
        <w:t xml:space="preserve">. Намаляването на </w:t>
      </w:r>
      <w:r w:rsidRPr="005B1BD5">
        <w:rPr>
          <w:lang w:val="bg-BG" w:eastAsia="bg-BG"/>
        </w:rPr>
        <w:lastRenderedPageBreak/>
        <w:t>плазмените концентрации на контрацептивите може да доведе до повишено междуменструално кървене и понижена безопасност на контролиране на</w:t>
      </w:r>
      <w:r>
        <w:rPr>
          <w:lang w:val="bg-BG" w:eastAsia="bg-BG"/>
        </w:rPr>
        <w:t xml:space="preserve"> </w:t>
      </w:r>
      <w:r w:rsidRPr="005B1BD5">
        <w:rPr>
          <w:lang w:val="bg-BG" w:eastAsia="bg-BG"/>
        </w:rPr>
        <w:t>раждаемостта. Жените, които използват орални контрацептиви, трябва да предприемат допълнителни контрацептивни мерки.</w:t>
      </w:r>
    </w:p>
    <w:p w14:paraId="3D884A0F" w14:textId="77777777" w:rsidR="005B1BD5" w:rsidRDefault="005B1BD5" w:rsidP="005B1BD5">
      <w:pPr>
        <w:rPr>
          <w:lang w:val="bg-BG" w:eastAsia="bg-BG"/>
        </w:rPr>
      </w:pPr>
    </w:p>
    <w:p w14:paraId="2B986413" w14:textId="2D7A07C1" w:rsidR="005B1BD5" w:rsidRPr="005B1BD5" w:rsidRDefault="005B1BD5" w:rsidP="005B1BD5">
      <w:pPr>
        <w:rPr>
          <w:i/>
          <w:iCs/>
          <w:sz w:val="24"/>
          <w:szCs w:val="24"/>
          <w:lang w:val="bg-BG"/>
        </w:rPr>
      </w:pPr>
      <w:proofErr w:type="spellStart"/>
      <w:r w:rsidRPr="005B1BD5">
        <w:rPr>
          <w:i/>
          <w:iCs/>
          <w:lang w:val="bg-BG" w:eastAsia="bg-BG"/>
        </w:rPr>
        <w:t>Фармакодинамични</w:t>
      </w:r>
      <w:proofErr w:type="spellEnd"/>
      <w:r w:rsidRPr="005B1BD5">
        <w:rPr>
          <w:i/>
          <w:iCs/>
          <w:lang w:val="bg-BG" w:eastAsia="bg-BG"/>
        </w:rPr>
        <w:t xml:space="preserve"> взаимодействия</w:t>
      </w:r>
    </w:p>
    <w:p w14:paraId="525E3283" w14:textId="77777777" w:rsidR="005B1BD5" w:rsidRDefault="005B1BD5" w:rsidP="005B1BD5">
      <w:pPr>
        <w:rPr>
          <w:lang w:val="bg-BG" w:eastAsia="bg-BG"/>
        </w:rPr>
      </w:pPr>
    </w:p>
    <w:p w14:paraId="1043E46D" w14:textId="308DFE36" w:rsidR="005B1BD5" w:rsidRPr="005B1BD5" w:rsidRDefault="005B1BD5" w:rsidP="005B1BD5">
      <w:pPr>
        <w:rPr>
          <w:sz w:val="24"/>
          <w:szCs w:val="24"/>
          <w:lang w:val="bg-BG"/>
        </w:rPr>
      </w:pPr>
      <w:r w:rsidRPr="005B1BD5">
        <w:rPr>
          <w:lang w:val="bg-BG" w:eastAsia="bg-BG"/>
        </w:rPr>
        <w:t xml:space="preserve">Сухият екстракт от жълт кантарион може да допринесе за </w:t>
      </w:r>
      <w:proofErr w:type="spellStart"/>
      <w:r w:rsidRPr="005B1BD5">
        <w:rPr>
          <w:lang w:val="bg-BG" w:eastAsia="bg-BG"/>
        </w:rPr>
        <w:t>серотонергични</w:t>
      </w:r>
      <w:proofErr w:type="spellEnd"/>
      <w:r w:rsidRPr="005B1BD5">
        <w:rPr>
          <w:lang w:val="bg-BG" w:eastAsia="bg-BG"/>
        </w:rPr>
        <w:t xml:space="preserve"> ефекти, когато се комбинира с антидепресанти, като селективни инхибитори на обратното захващане на </w:t>
      </w:r>
      <w:proofErr w:type="spellStart"/>
      <w:r w:rsidRPr="005B1BD5">
        <w:rPr>
          <w:lang w:val="bg-BG" w:eastAsia="bg-BG"/>
        </w:rPr>
        <w:t>серотонина</w:t>
      </w:r>
      <w:proofErr w:type="spellEnd"/>
      <w:r w:rsidRPr="005B1BD5">
        <w:rPr>
          <w:lang w:val="bg-BG" w:eastAsia="bg-BG"/>
        </w:rPr>
        <w:t xml:space="preserve"> (напр. </w:t>
      </w:r>
      <w:proofErr w:type="spellStart"/>
      <w:r w:rsidRPr="005B1BD5">
        <w:rPr>
          <w:lang w:val="bg-BG" w:eastAsia="bg-BG"/>
        </w:rPr>
        <w:t>Сертралин</w:t>
      </w:r>
      <w:proofErr w:type="spellEnd"/>
      <w:r w:rsidRPr="005B1BD5">
        <w:rPr>
          <w:lang w:val="bg-BG" w:eastAsia="bg-BG"/>
        </w:rPr>
        <w:t xml:space="preserve">, </w:t>
      </w:r>
      <w:proofErr w:type="spellStart"/>
      <w:r w:rsidRPr="005B1BD5">
        <w:rPr>
          <w:lang w:val="bg-BG" w:eastAsia="bg-BG"/>
        </w:rPr>
        <w:t>пароксетин</w:t>
      </w:r>
      <w:proofErr w:type="spellEnd"/>
      <w:r w:rsidRPr="005B1BD5">
        <w:rPr>
          <w:lang w:val="bg-BG" w:eastAsia="bg-BG"/>
        </w:rPr>
        <w:t xml:space="preserve">, </w:t>
      </w:r>
      <w:proofErr w:type="spellStart"/>
      <w:r w:rsidRPr="005B1BD5">
        <w:rPr>
          <w:lang w:val="bg-BG" w:eastAsia="bg-BG"/>
        </w:rPr>
        <w:t>нефазодон</w:t>
      </w:r>
      <w:proofErr w:type="spellEnd"/>
      <w:r w:rsidRPr="005B1BD5">
        <w:rPr>
          <w:lang w:val="bg-BG" w:eastAsia="bg-BG"/>
        </w:rPr>
        <w:t xml:space="preserve">, </w:t>
      </w:r>
      <w:proofErr w:type="spellStart"/>
      <w:r w:rsidRPr="005B1BD5">
        <w:rPr>
          <w:lang w:val="bg-BG" w:eastAsia="bg-BG"/>
        </w:rPr>
        <w:t>флуоксетин</w:t>
      </w:r>
      <w:proofErr w:type="spellEnd"/>
      <w:r w:rsidRPr="005B1BD5">
        <w:rPr>
          <w:lang w:val="bg-BG" w:eastAsia="bg-BG"/>
        </w:rPr>
        <w:t xml:space="preserve">), трициклични антидепресанти (напр. </w:t>
      </w:r>
      <w:proofErr w:type="spellStart"/>
      <w:r w:rsidRPr="005B1BD5">
        <w:rPr>
          <w:lang w:val="bg-BG" w:eastAsia="bg-BG"/>
        </w:rPr>
        <w:t>Амитриптилин</w:t>
      </w:r>
      <w:proofErr w:type="spellEnd"/>
      <w:r w:rsidRPr="005B1BD5">
        <w:rPr>
          <w:lang w:val="bg-BG" w:eastAsia="bg-BG"/>
        </w:rPr>
        <w:t xml:space="preserve">, </w:t>
      </w:r>
      <w:proofErr w:type="spellStart"/>
      <w:r w:rsidRPr="005B1BD5">
        <w:rPr>
          <w:lang w:val="bg-BG" w:eastAsia="bg-BG"/>
        </w:rPr>
        <w:t>нортриптилин</w:t>
      </w:r>
      <w:proofErr w:type="spellEnd"/>
      <w:r w:rsidRPr="005B1BD5">
        <w:rPr>
          <w:lang w:val="bg-BG" w:eastAsia="bg-BG"/>
        </w:rPr>
        <w:t xml:space="preserve">, </w:t>
      </w:r>
      <w:proofErr w:type="spellStart"/>
      <w:r w:rsidRPr="005B1BD5">
        <w:rPr>
          <w:lang w:val="bg-BG" w:eastAsia="bg-BG"/>
        </w:rPr>
        <w:t>циталопрам</w:t>
      </w:r>
      <w:proofErr w:type="spellEnd"/>
      <w:r w:rsidRPr="005B1BD5">
        <w:rPr>
          <w:lang w:val="bg-BG" w:eastAsia="bg-BG"/>
        </w:rPr>
        <w:t xml:space="preserve">, </w:t>
      </w:r>
      <w:proofErr w:type="spellStart"/>
      <w:r w:rsidRPr="005B1BD5">
        <w:rPr>
          <w:lang w:val="bg-BG" w:eastAsia="bg-BG"/>
        </w:rPr>
        <w:t>есциталопрам</w:t>
      </w:r>
      <w:proofErr w:type="spellEnd"/>
      <w:r w:rsidRPr="005B1BD5">
        <w:rPr>
          <w:lang w:val="bg-BG" w:eastAsia="bg-BG"/>
        </w:rPr>
        <w:t xml:space="preserve">) и други </w:t>
      </w:r>
      <w:proofErr w:type="spellStart"/>
      <w:r w:rsidRPr="005B1BD5">
        <w:rPr>
          <w:lang w:val="bg-BG" w:eastAsia="bg-BG"/>
        </w:rPr>
        <w:t>серотонергични</w:t>
      </w:r>
      <w:proofErr w:type="spellEnd"/>
      <w:r w:rsidRPr="005B1BD5">
        <w:rPr>
          <w:lang w:val="bg-BG" w:eastAsia="bg-BG"/>
        </w:rPr>
        <w:t xml:space="preserve"> вещества (</w:t>
      </w:r>
      <w:proofErr w:type="spellStart"/>
      <w:r w:rsidRPr="005B1BD5">
        <w:rPr>
          <w:lang w:val="bg-BG" w:eastAsia="bg-BG"/>
        </w:rPr>
        <w:t>буспирон</w:t>
      </w:r>
      <w:proofErr w:type="spellEnd"/>
      <w:r w:rsidRPr="005B1BD5">
        <w:rPr>
          <w:lang w:val="bg-BG" w:eastAsia="bg-BG"/>
        </w:rPr>
        <w:t xml:space="preserve">, </w:t>
      </w:r>
      <w:proofErr w:type="spellStart"/>
      <w:r w:rsidRPr="005B1BD5">
        <w:rPr>
          <w:lang w:val="bg-BG" w:eastAsia="bg-BG"/>
        </w:rPr>
        <w:t>триптани</w:t>
      </w:r>
      <w:proofErr w:type="spellEnd"/>
      <w:r w:rsidRPr="005B1BD5">
        <w:rPr>
          <w:lang w:val="bg-BG" w:eastAsia="bg-BG"/>
        </w:rPr>
        <w:t>). Много рядко могат да възникнат нежелани ефекти (</w:t>
      </w:r>
      <w:proofErr w:type="spellStart"/>
      <w:r w:rsidRPr="005B1BD5">
        <w:rPr>
          <w:lang w:val="bg-BG" w:eastAsia="bg-BG"/>
        </w:rPr>
        <w:t>серотонинов</w:t>
      </w:r>
      <w:proofErr w:type="spellEnd"/>
      <w:r w:rsidRPr="005B1BD5">
        <w:rPr>
          <w:lang w:val="bg-BG" w:eastAsia="bg-BG"/>
        </w:rPr>
        <w:t xml:space="preserve"> синдром) с автономни дисфункции (като потене, тахикардия, диария, повишена температура), психични промени (като възбуда, дезориентация) и моторни промени (като тремор или </w:t>
      </w:r>
      <w:proofErr w:type="spellStart"/>
      <w:r w:rsidRPr="005B1BD5">
        <w:rPr>
          <w:lang w:val="bg-BG" w:eastAsia="bg-BG"/>
        </w:rPr>
        <w:t>миоклонии</w:t>
      </w:r>
      <w:proofErr w:type="spellEnd"/>
      <w:r w:rsidRPr="005B1BD5">
        <w:rPr>
          <w:lang w:val="bg-BG" w:eastAsia="bg-BG"/>
        </w:rPr>
        <w:t xml:space="preserve">) в комбинация с инхибитори на обратното захващане на </w:t>
      </w:r>
      <w:proofErr w:type="spellStart"/>
      <w:r w:rsidRPr="005B1BD5">
        <w:rPr>
          <w:lang w:val="bg-BG" w:eastAsia="bg-BG"/>
        </w:rPr>
        <w:t>серотонин</w:t>
      </w:r>
      <w:proofErr w:type="spellEnd"/>
      <w:r w:rsidRPr="005B1BD5">
        <w:rPr>
          <w:lang w:val="bg-BG" w:eastAsia="bg-BG"/>
        </w:rPr>
        <w:t xml:space="preserve"> и други </w:t>
      </w:r>
      <w:proofErr w:type="spellStart"/>
      <w:r w:rsidRPr="005B1BD5">
        <w:rPr>
          <w:lang w:val="bg-BG" w:eastAsia="bg-BG"/>
        </w:rPr>
        <w:t>серотонергични</w:t>
      </w:r>
      <w:proofErr w:type="spellEnd"/>
      <w:r w:rsidRPr="005B1BD5">
        <w:rPr>
          <w:lang w:val="bg-BG" w:eastAsia="bg-BG"/>
        </w:rPr>
        <w:t xml:space="preserve"> активни вещества.</w:t>
      </w:r>
    </w:p>
    <w:p w14:paraId="179EF3EE" w14:textId="77777777" w:rsidR="005B1BD5" w:rsidRPr="005B1BD5" w:rsidRDefault="005B1BD5" w:rsidP="005B1BD5">
      <w:pPr>
        <w:rPr>
          <w:sz w:val="24"/>
          <w:szCs w:val="24"/>
          <w:lang w:val="bg-BG"/>
        </w:rPr>
      </w:pPr>
      <w:r w:rsidRPr="005B1BD5">
        <w:rPr>
          <w:lang w:val="bg-BG" w:eastAsia="bg-BG"/>
        </w:rPr>
        <w:t>Горните описани проучвания за взаимодействия са проведени само при възрастни.</w:t>
      </w:r>
    </w:p>
    <w:p w14:paraId="4800AC21" w14:textId="77777777" w:rsidR="005B1BD5" w:rsidRPr="005B1BD5" w:rsidRDefault="005B1BD5" w:rsidP="005B1BD5">
      <w:pPr>
        <w:rPr>
          <w:sz w:val="24"/>
          <w:szCs w:val="24"/>
          <w:lang w:val="bg-BG"/>
        </w:rPr>
      </w:pPr>
      <w:r w:rsidRPr="005B1BD5">
        <w:rPr>
          <w:lang w:val="bg-BG" w:eastAsia="bg-BG"/>
        </w:rPr>
        <w:t>Пациентите, приемащи други лекарства по лекарско предписание, трябва да се консултират с лекар или фармацевт, преди да приемат жълт кантарион.</w:t>
      </w:r>
    </w:p>
    <w:p w14:paraId="5CD85071" w14:textId="77777777" w:rsidR="005B1BD5" w:rsidRPr="005B1BD5" w:rsidRDefault="005B1BD5" w:rsidP="005B1BD5">
      <w:pPr>
        <w:rPr>
          <w:sz w:val="24"/>
          <w:szCs w:val="24"/>
          <w:lang w:val="bg-BG"/>
        </w:rPr>
      </w:pPr>
      <w:r w:rsidRPr="005B1BD5">
        <w:rPr>
          <w:lang w:val="bg-BG" w:eastAsia="bg-BG"/>
        </w:rPr>
        <w:t xml:space="preserve">Количеството на активните съставки може значително да варира в различните лекарствени продукти, съдържащи жълт кантарион. Преминаването от </w:t>
      </w:r>
      <w:proofErr w:type="spellStart"/>
      <w:r w:rsidRPr="005B1BD5">
        <w:rPr>
          <w:lang w:val="bg-BG" w:eastAsia="bg-BG"/>
        </w:rPr>
        <w:t>Ремотив</w:t>
      </w:r>
      <w:proofErr w:type="spellEnd"/>
      <w:r w:rsidRPr="005B1BD5">
        <w:rPr>
          <w:lang w:val="bg-BG" w:eastAsia="bg-BG"/>
        </w:rPr>
        <w:t xml:space="preserve"> на други лекарствени продукти, съдържащи жълт кантарион може да промени степента на ензимна индукция при едновременен прием с други лекарства.</w:t>
      </w:r>
    </w:p>
    <w:p w14:paraId="53116154" w14:textId="7192F2D0" w:rsidR="005B1BD5" w:rsidRPr="005B1BD5" w:rsidRDefault="005B1BD5" w:rsidP="005B1BD5"/>
    <w:p w14:paraId="48221AB5" w14:textId="02C49DB7" w:rsidR="002C50EE" w:rsidRDefault="002C50EE" w:rsidP="002C50EE">
      <w:pPr>
        <w:pStyle w:val="Heading2"/>
      </w:pPr>
      <w:r>
        <w:t xml:space="preserve">4.6. </w:t>
      </w:r>
      <w:proofErr w:type="spellStart"/>
      <w:r>
        <w:t>Фертилитет</w:t>
      </w:r>
      <w:proofErr w:type="spellEnd"/>
      <w:r>
        <w:t xml:space="preserve">, </w:t>
      </w:r>
      <w:proofErr w:type="spellStart"/>
      <w:r>
        <w:t>бременност</w:t>
      </w:r>
      <w:proofErr w:type="spellEnd"/>
      <w:r>
        <w:t xml:space="preserve"> и </w:t>
      </w:r>
      <w:proofErr w:type="spellStart"/>
      <w:r>
        <w:t>кърмене</w:t>
      </w:r>
      <w:proofErr w:type="spellEnd"/>
    </w:p>
    <w:p w14:paraId="167945DE" w14:textId="77777777" w:rsidR="005B1BD5" w:rsidRDefault="005B1BD5" w:rsidP="005B1BD5">
      <w:pPr>
        <w:rPr>
          <w:lang w:val="bg-BG" w:eastAsia="bg-BG"/>
        </w:rPr>
      </w:pPr>
    </w:p>
    <w:p w14:paraId="6723690C" w14:textId="5481E69F" w:rsidR="005B1BD5" w:rsidRPr="005B1BD5" w:rsidRDefault="005B1BD5" w:rsidP="005B1BD5">
      <w:pPr>
        <w:rPr>
          <w:sz w:val="24"/>
          <w:szCs w:val="24"/>
          <w:lang w:val="bg-BG"/>
        </w:rPr>
      </w:pPr>
      <w:r w:rsidRPr="005B1BD5">
        <w:rPr>
          <w:lang w:val="bg-BG" w:eastAsia="bg-BG"/>
        </w:rPr>
        <w:t>Изследванията върху животни са показали двусмислени резултати. Потенциалният риск за хората не е известен. Поради липса на достатъчно клинични данни, употребата по време на бременност и кърмене не се препоръчва.</w:t>
      </w:r>
    </w:p>
    <w:p w14:paraId="4BE32BF4" w14:textId="77777777" w:rsidR="005B1BD5" w:rsidRPr="005B1BD5" w:rsidRDefault="005B1BD5" w:rsidP="005B1BD5"/>
    <w:p w14:paraId="5F675BDB" w14:textId="457A22E6" w:rsidR="002C50EE" w:rsidRDefault="002C50EE" w:rsidP="002C50EE">
      <w:pPr>
        <w:pStyle w:val="Heading2"/>
      </w:pPr>
      <w:r>
        <w:t xml:space="preserve">4.7. </w:t>
      </w:r>
      <w:proofErr w:type="spellStart"/>
      <w:r>
        <w:t>Ефекти</w:t>
      </w:r>
      <w:proofErr w:type="spellEnd"/>
      <w:r>
        <w:t xml:space="preserve"> </w:t>
      </w:r>
      <w:proofErr w:type="spellStart"/>
      <w:r>
        <w:t>върху</w:t>
      </w:r>
      <w:proofErr w:type="spellEnd"/>
      <w:r>
        <w:t xml:space="preserve"> </w:t>
      </w:r>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p>
    <w:p w14:paraId="33AE95A9" w14:textId="77777777" w:rsidR="005B1BD5" w:rsidRDefault="005B1BD5" w:rsidP="005B1BD5">
      <w:pPr>
        <w:rPr>
          <w:lang w:val="bg-BG" w:eastAsia="bg-BG"/>
        </w:rPr>
      </w:pPr>
    </w:p>
    <w:p w14:paraId="2C3446FD" w14:textId="4BB049BD" w:rsidR="005B1BD5" w:rsidRPr="005B1BD5" w:rsidRDefault="005B1BD5" w:rsidP="005B1BD5">
      <w:pPr>
        <w:rPr>
          <w:sz w:val="24"/>
          <w:szCs w:val="24"/>
          <w:lang w:val="bg-BG"/>
        </w:rPr>
      </w:pPr>
      <w:r w:rsidRPr="005B1BD5">
        <w:rPr>
          <w:lang w:val="bg-BG" w:eastAsia="bg-BG"/>
        </w:rPr>
        <w:t>Проучване, проведено с 19 доброволци, не показа никакво влияние. Способността да се реагира обаче може да бъде нарушена поради първичното заболяване. Решението за лечението се взема индивидуално от лекаря.</w:t>
      </w:r>
    </w:p>
    <w:p w14:paraId="7999B5CE" w14:textId="77777777" w:rsidR="005B1BD5" w:rsidRPr="005B1BD5" w:rsidRDefault="005B1BD5" w:rsidP="005B1BD5"/>
    <w:p w14:paraId="1B3BD30D" w14:textId="4509AD3A" w:rsidR="002C50EE" w:rsidRDefault="002C50EE" w:rsidP="002C50EE">
      <w:pPr>
        <w:pStyle w:val="Heading2"/>
      </w:pPr>
      <w:r>
        <w:t xml:space="preserve">4.8. </w:t>
      </w:r>
      <w:proofErr w:type="spellStart"/>
      <w:r>
        <w:t>Нежелани</w:t>
      </w:r>
      <w:proofErr w:type="spellEnd"/>
      <w:r>
        <w:t xml:space="preserve"> </w:t>
      </w:r>
      <w:proofErr w:type="spellStart"/>
      <w:r>
        <w:t>лекарствени</w:t>
      </w:r>
      <w:proofErr w:type="spellEnd"/>
      <w:r>
        <w:t xml:space="preserve"> </w:t>
      </w:r>
      <w:proofErr w:type="spellStart"/>
      <w:r>
        <w:t>реакции</w:t>
      </w:r>
      <w:proofErr w:type="spellEnd"/>
    </w:p>
    <w:p w14:paraId="49959108" w14:textId="77777777" w:rsidR="005B1BD5" w:rsidRDefault="005B1BD5" w:rsidP="005B1BD5">
      <w:pPr>
        <w:rPr>
          <w:b/>
          <w:bCs/>
        </w:rPr>
      </w:pPr>
      <w:bookmarkStart w:id="1" w:name="bookmark0"/>
    </w:p>
    <w:p w14:paraId="1F47748C" w14:textId="49BA3308" w:rsidR="005B1BD5" w:rsidRDefault="005B1BD5" w:rsidP="005B1BD5">
      <w:pPr>
        <w:rPr>
          <w:b/>
          <w:bCs/>
        </w:rPr>
      </w:pPr>
      <w:proofErr w:type="spellStart"/>
      <w:r w:rsidRPr="005B1BD5">
        <w:rPr>
          <w:b/>
          <w:bCs/>
        </w:rPr>
        <w:t>Оценката</w:t>
      </w:r>
      <w:proofErr w:type="spellEnd"/>
      <w:r w:rsidRPr="005B1BD5">
        <w:rPr>
          <w:b/>
          <w:bCs/>
        </w:rPr>
        <w:t xml:space="preserve"> </w:t>
      </w:r>
      <w:proofErr w:type="spellStart"/>
      <w:r w:rsidRPr="005B1BD5">
        <w:rPr>
          <w:b/>
          <w:bCs/>
        </w:rPr>
        <w:t>на</w:t>
      </w:r>
      <w:proofErr w:type="spellEnd"/>
      <w:r w:rsidRPr="005B1BD5">
        <w:rPr>
          <w:b/>
          <w:bCs/>
        </w:rPr>
        <w:t xml:space="preserve"> </w:t>
      </w:r>
      <w:proofErr w:type="spellStart"/>
      <w:r w:rsidRPr="005B1BD5">
        <w:rPr>
          <w:b/>
          <w:bCs/>
        </w:rPr>
        <w:t>нежеланите</w:t>
      </w:r>
      <w:proofErr w:type="spellEnd"/>
      <w:r w:rsidRPr="005B1BD5">
        <w:rPr>
          <w:b/>
          <w:bCs/>
        </w:rPr>
        <w:t xml:space="preserve"> </w:t>
      </w:r>
      <w:proofErr w:type="spellStart"/>
      <w:r w:rsidRPr="005B1BD5">
        <w:rPr>
          <w:b/>
          <w:bCs/>
        </w:rPr>
        <w:t>събития</w:t>
      </w:r>
      <w:proofErr w:type="spellEnd"/>
      <w:r w:rsidRPr="005B1BD5">
        <w:rPr>
          <w:b/>
          <w:bCs/>
        </w:rPr>
        <w:t xml:space="preserve"> </w:t>
      </w:r>
      <w:proofErr w:type="spellStart"/>
      <w:r w:rsidRPr="005B1BD5">
        <w:rPr>
          <w:b/>
          <w:bCs/>
        </w:rPr>
        <w:t>се</w:t>
      </w:r>
      <w:proofErr w:type="spellEnd"/>
      <w:r w:rsidRPr="005B1BD5">
        <w:rPr>
          <w:b/>
          <w:bCs/>
        </w:rPr>
        <w:t xml:space="preserve"> </w:t>
      </w:r>
      <w:proofErr w:type="spellStart"/>
      <w:r w:rsidRPr="005B1BD5">
        <w:rPr>
          <w:b/>
          <w:bCs/>
        </w:rPr>
        <w:t>основава</w:t>
      </w:r>
      <w:proofErr w:type="spellEnd"/>
      <w:r w:rsidRPr="005B1BD5">
        <w:rPr>
          <w:b/>
          <w:bCs/>
        </w:rPr>
        <w:t xml:space="preserve"> </w:t>
      </w:r>
      <w:proofErr w:type="spellStart"/>
      <w:r w:rsidRPr="005B1BD5">
        <w:rPr>
          <w:b/>
          <w:bCs/>
        </w:rPr>
        <w:t>на</w:t>
      </w:r>
      <w:proofErr w:type="spellEnd"/>
      <w:r w:rsidRPr="005B1BD5">
        <w:rPr>
          <w:b/>
          <w:bCs/>
        </w:rPr>
        <w:t xml:space="preserve"> </w:t>
      </w:r>
      <w:proofErr w:type="spellStart"/>
      <w:r w:rsidRPr="005B1BD5">
        <w:rPr>
          <w:b/>
          <w:bCs/>
        </w:rPr>
        <w:t>следните</w:t>
      </w:r>
      <w:proofErr w:type="spellEnd"/>
      <w:r w:rsidRPr="005B1BD5">
        <w:rPr>
          <w:b/>
          <w:bCs/>
        </w:rPr>
        <w:t xml:space="preserve"> </w:t>
      </w:r>
      <w:proofErr w:type="spellStart"/>
      <w:r w:rsidRPr="005B1BD5">
        <w:rPr>
          <w:b/>
          <w:bCs/>
        </w:rPr>
        <w:t>доклади</w:t>
      </w:r>
      <w:proofErr w:type="spellEnd"/>
      <w:r w:rsidRPr="005B1BD5">
        <w:rPr>
          <w:b/>
          <w:bCs/>
        </w:rPr>
        <w:t xml:space="preserve"> </w:t>
      </w:r>
      <w:proofErr w:type="spellStart"/>
      <w:r w:rsidRPr="005B1BD5">
        <w:rPr>
          <w:b/>
          <w:bCs/>
        </w:rPr>
        <w:t>за</w:t>
      </w:r>
      <w:proofErr w:type="spellEnd"/>
      <w:r w:rsidRPr="005B1BD5">
        <w:rPr>
          <w:b/>
          <w:bCs/>
        </w:rPr>
        <w:t xml:space="preserve"> </w:t>
      </w:r>
      <w:proofErr w:type="spellStart"/>
      <w:r w:rsidRPr="005B1BD5">
        <w:rPr>
          <w:b/>
          <w:bCs/>
        </w:rPr>
        <w:t>честотата</w:t>
      </w:r>
      <w:bookmarkEnd w:id="1"/>
      <w:proofErr w:type="spellEnd"/>
    </w:p>
    <w:p w14:paraId="0744A3EF" w14:textId="77777777" w:rsidR="005B1BD5" w:rsidRDefault="005B1BD5" w:rsidP="005B1BD5">
      <w:pPr>
        <w:rPr>
          <w:b/>
          <w:bCs/>
        </w:rPr>
      </w:pPr>
    </w:p>
    <w:tbl>
      <w:tblPr>
        <w:tblStyle w:val="TableGrid"/>
        <w:tblW w:w="0" w:type="auto"/>
        <w:tblLook w:val="04A0" w:firstRow="1" w:lastRow="0" w:firstColumn="1" w:lastColumn="0" w:noHBand="0" w:noVBand="1"/>
      </w:tblPr>
      <w:tblGrid>
        <w:gridCol w:w="1809"/>
        <w:gridCol w:w="7767"/>
      </w:tblGrid>
      <w:tr w:rsidR="005B1BD5" w14:paraId="772AE38C" w14:textId="77777777" w:rsidTr="005B1BD5">
        <w:tc>
          <w:tcPr>
            <w:tcW w:w="1809" w:type="dxa"/>
          </w:tcPr>
          <w:p w14:paraId="48C7BB00" w14:textId="41753ABA" w:rsidR="005B1BD5" w:rsidRDefault="005B1BD5" w:rsidP="005B1BD5">
            <w:pPr>
              <w:rPr>
                <w:b/>
                <w:bCs/>
              </w:rPr>
            </w:pPr>
            <w:proofErr w:type="spellStart"/>
            <w:r>
              <w:t>Много</w:t>
            </w:r>
            <w:proofErr w:type="spellEnd"/>
            <w:r>
              <w:t xml:space="preserve"> </w:t>
            </w:r>
            <w:proofErr w:type="spellStart"/>
            <w:r>
              <w:t>чести</w:t>
            </w:r>
            <w:proofErr w:type="spellEnd"/>
          </w:p>
        </w:tc>
        <w:tc>
          <w:tcPr>
            <w:tcW w:w="7767" w:type="dxa"/>
          </w:tcPr>
          <w:p w14:paraId="315DD115" w14:textId="495AB77A" w:rsidR="005B1BD5" w:rsidRDefault="005B1BD5" w:rsidP="005B1BD5">
            <w:pPr>
              <w:rPr>
                <w:b/>
                <w:bCs/>
              </w:rPr>
            </w:pPr>
            <w:r>
              <w:t>(≥ 1/10)</w:t>
            </w:r>
          </w:p>
        </w:tc>
      </w:tr>
      <w:tr w:rsidR="005B1BD5" w14:paraId="313331B0" w14:textId="77777777" w:rsidTr="005B1BD5">
        <w:tc>
          <w:tcPr>
            <w:tcW w:w="1809" w:type="dxa"/>
          </w:tcPr>
          <w:p w14:paraId="436878A8" w14:textId="383DAF38" w:rsidR="005B1BD5" w:rsidRDefault="005B1BD5" w:rsidP="005B1BD5">
            <w:pPr>
              <w:rPr>
                <w:b/>
                <w:bCs/>
              </w:rPr>
            </w:pPr>
            <w:proofErr w:type="spellStart"/>
            <w:r>
              <w:t>Чести</w:t>
            </w:r>
            <w:proofErr w:type="spellEnd"/>
          </w:p>
        </w:tc>
        <w:tc>
          <w:tcPr>
            <w:tcW w:w="7767" w:type="dxa"/>
          </w:tcPr>
          <w:p w14:paraId="19E9962E" w14:textId="3177C066" w:rsidR="005B1BD5" w:rsidRDefault="005B1BD5" w:rsidP="005B1BD5">
            <w:pPr>
              <w:rPr>
                <w:b/>
                <w:bCs/>
              </w:rPr>
            </w:pPr>
            <w:r>
              <w:t>(≥1/100 to &lt; 1/10)</w:t>
            </w:r>
          </w:p>
        </w:tc>
      </w:tr>
      <w:tr w:rsidR="005B1BD5" w14:paraId="797924F3" w14:textId="77777777" w:rsidTr="005B1BD5">
        <w:tc>
          <w:tcPr>
            <w:tcW w:w="1809" w:type="dxa"/>
          </w:tcPr>
          <w:p w14:paraId="1405F1A6" w14:textId="5A1CE6B7" w:rsidR="005B1BD5" w:rsidRDefault="005B1BD5" w:rsidP="005B1BD5">
            <w:pPr>
              <w:rPr>
                <w:b/>
                <w:bCs/>
              </w:rPr>
            </w:pPr>
            <w:proofErr w:type="spellStart"/>
            <w:r>
              <w:t>Нечести</w:t>
            </w:r>
            <w:proofErr w:type="spellEnd"/>
          </w:p>
        </w:tc>
        <w:tc>
          <w:tcPr>
            <w:tcW w:w="7767" w:type="dxa"/>
          </w:tcPr>
          <w:p w14:paraId="4314366F" w14:textId="21CBD645" w:rsidR="005B1BD5" w:rsidRDefault="005B1BD5" w:rsidP="005B1BD5">
            <w:pPr>
              <w:rPr>
                <w:b/>
                <w:bCs/>
              </w:rPr>
            </w:pPr>
            <w:r>
              <w:t>(≥ 1/1’000 to &lt; 1/100)</w:t>
            </w:r>
          </w:p>
        </w:tc>
      </w:tr>
      <w:tr w:rsidR="005B1BD5" w14:paraId="358C6B5C" w14:textId="77777777" w:rsidTr="005B1BD5">
        <w:tc>
          <w:tcPr>
            <w:tcW w:w="1809" w:type="dxa"/>
          </w:tcPr>
          <w:p w14:paraId="378B7C4F" w14:textId="23E7DC1A" w:rsidR="005B1BD5" w:rsidRDefault="005B1BD5" w:rsidP="005B1BD5">
            <w:pPr>
              <w:rPr>
                <w:b/>
                <w:bCs/>
              </w:rPr>
            </w:pPr>
            <w:proofErr w:type="spellStart"/>
            <w:r>
              <w:t>Редки</w:t>
            </w:r>
            <w:proofErr w:type="spellEnd"/>
          </w:p>
        </w:tc>
        <w:tc>
          <w:tcPr>
            <w:tcW w:w="7767" w:type="dxa"/>
          </w:tcPr>
          <w:p w14:paraId="7D2CAA41" w14:textId="10F38C6B" w:rsidR="005B1BD5" w:rsidRDefault="005B1BD5" w:rsidP="005B1BD5">
            <w:pPr>
              <w:rPr>
                <w:b/>
                <w:bCs/>
              </w:rPr>
            </w:pPr>
            <w:r>
              <w:t>(≥1/10’000 to &lt;1/1</w:t>
            </w:r>
            <w:r>
              <w:rPr>
                <w:i/>
                <w:iCs/>
              </w:rPr>
              <w:t>’000)</w:t>
            </w:r>
          </w:p>
        </w:tc>
      </w:tr>
      <w:tr w:rsidR="005B1BD5" w14:paraId="23354F1C" w14:textId="77777777" w:rsidTr="005B1BD5">
        <w:tc>
          <w:tcPr>
            <w:tcW w:w="1809" w:type="dxa"/>
          </w:tcPr>
          <w:p w14:paraId="66FF8A0D" w14:textId="6A5E9679" w:rsidR="005B1BD5" w:rsidRDefault="005B1BD5" w:rsidP="005B1BD5">
            <w:pPr>
              <w:rPr>
                <w:b/>
                <w:bCs/>
              </w:rPr>
            </w:pPr>
            <w:proofErr w:type="spellStart"/>
            <w:r>
              <w:t>Много</w:t>
            </w:r>
            <w:proofErr w:type="spellEnd"/>
            <w:r>
              <w:t xml:space="preserve"> </w:t>
            </w:r>
            <w:proofErr w:type="spellStart"/>
            <w:r>
              <w:t>редки</w:t>
            </w:r>
            <w:proofErr w:type="spellEnd"/>
          </w:p>
        </w:tc>
        <w:tc>
          <w:tcPr>
            <w:tcW w:w="7767" w:type="dxa"/>
          </w:tcPr>
          <w:p w14:paraId="7460088F" w14:textId="49BF833D" w:rsidR="005B1BD5" w:rsidRDefault="005B1BD5" w:rsidP="005B1BD5">
            <w:pPr>
              <w:rPr>
                <w:b/>
                <w:bCs/>
              </w:rPr>
            </w:pPr>
            <w:r>
              <w:t>(&lt; 1/10’000)</w:t>
            </w:r>
          </w:p>
        </w:tc>
      </w:tr>
      <w:tr w:rsidR="005B1BD5" w14:paraId="3FEC5931" w14:textId="77777777" w:rsidTr="005B1BD5">
        <w:trPr>
          <w:trHeight w:val="274"/>
        </w:trPr>
        <w:tc>
          <w:tcPr>
            <w:tcW w:w="1809" w:type="dxa"/>
          </w:tcPr>
          <w:p w14:paraId="4F28B412" w14:textId="531A887C" w:rsidR="005B1BD5" w:rsidRDefault="005B1BD5" w:rsidP="005B1BD5">
            <w:pPr>
              <w:rPr>
                <w:b/>
                <w:bCs/>
              </w:rPr>
            </w:pPr>
            <w:proofErr w:type="spellStart"/>
            <w:r>
              <w:lastRenderedPageBreak/>
              <w:t>Не</w:t>
            </w:r>
            <w:proofErr w:type="spellEnd"/>
            <w:r>
              <w:t xml:space="preserve"> е </w:t>
            </w:r>
            <w:proofErr w:type="spellStart"/>
            <w:r>
              <w:t>известно</w:t>
            </w:r>
            <w:proofErr w:type="spellEnd"/>
          </w:p>
        </w:tc>
        <w:tc>
          <w:tcPr>
            <w:tcW w:w="7767" w:type="dxa"/>
          </w:tcPr>
          <w:p w14:paraId="6790FAA4" w14:textId="3BF2E845" w:rsidR="005B1BD5" w:rsidRDefault="005B1BD5" w:rsidP="005B1BD5">
            <w:pPr>
              <w:rPr>
                <w:b/>
                <w:bCs/>
              </w:rPr>
            </w:pP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преценено</w:t>
            </w:r>
            <w:proofErr w:type="spellEnd"/>
            <w:r>
              <w:t xml:space="preserve"> </w:t>
            </w:r>
            <w:proofErr w:type="spellStart"/>
            <w:r>
              <w:t>от</w:t>
            </w:r>
            <w:proofErr w:type="spellEnd"/>
            <w:r>
              <w:t xml:space="preserve"> </w:t>
            </w:r>
            <w:proofErr w:type="spellStart"/>
            <w:r>
              <w:t>наличните</w:t>
            </w:r>
            <w:proofErr w:type="spellEnd"/>
            <w:r>
              <w:t xml:space="preserve"> </w:t>
            </w:r>
            <w:proofErr w:type="spellStart"/>
            <w:r>
              <w:t>данни</w:t>
            </w:r>
            <w:proofErr w:type="spellEnd"/>
          </w:p>
        </w:tc>
      </w:tr>
    </w:tbl>
    <w:p w14:paraId="6F8F197D" w14:textId="77777777" w:rsidR="005B1BD5" w:rsidRDefault="005B1BD5" w:rsidP="005B1BD5">
      <w:pPr>
        <w:rPr>
          <w:lang w:val="bg-BG" w:eastAsia="bg-BG"/>
        </w:rPr>
      </w:pPr>
    </w:p>
    <w:p w14:paraId="4D302F10" w14:textId="4C8A453D" w:rsidR="005B1BD5" w:rsidRPr="005B1BD5" w:rsidRDefault="005B1BD5" w:rsidP="005B1BD5">
      <w:pPr>
        <w:rPr>
          <w:sz w:val="24"/>
          <w:szCs w:val="24"/>
          <w:u w:val="single"/>
          <w:lang w:val="bg-BG"/>
        </w:rPr>
      </w:pPr>
      <w:r w:rsidRPr="005B1BD5">
        <w:rPr>
          <w:u w:val="single"/>
          <w:lang w:val="bg-BG" w:eastAsia="bg-BG"/>
        </w:rPr>
        <w:t>Обши нарушения и условия на мястото на приложение</w:t>
      </w:r>
    </w:p>
    <w:p w14:paraId="0843CF22" w14:textId="77777777" w:rsidR="005B1BD5" w:rsidRPr="005B1BD5" w:rsidRDefault="005B1BD5" w:rsidP="005B1BD5">
      <w:pPr>
        <w:rPr>
          <w:sz w:val="24"/>
          <w:szCs w:val="24"/>
          <w:lang w:val="bg-BG"/>
        </w:rPr>
      </w:pPr>
      <w:r w:rsidRPr="005B1BD5">
        <w:rPr>
          <w:lang w:val="bg-BG" w:eastAsia="bg-BG"/>
        </w:rPr>
        <w:t xml:space="preserve">Чести: </w:t>
      </w:r>
      <w:proofErr w:type="spellStart"/>
      <w:r w:rsidRPr="005B1BD5">
        <w:rPr>
          <w:lang w:val="bg-BG" w:eastAsia="bg-BG"/>
        </w:rPr>
        <w:t>астения</w:t>
      </w:r>
      <w:proofErr w:type="spellEnd"/>
    </w:p>
    <w:p w14:paraId="2C6E001A" w14:textId="77777777" w:rsidR="005B1BD5" w:rsidRPr="005B1BD5" w:rsidRDefault="005B1BD5" w:rsidP="005B1BD5">
      <w:pPr>
        <w:rPr>
          <w:sz w:val="24"/>
          <w:szCs w:val="24"/>
          <w:lang w:val="bg-BG"/>
        </w:rPr>
      </w:pPr>
      <w:r w:rsidRPr="005B1BD5">
        <w:rPr>
          <w:lang w:val="bg-BG" w:eastAsia="bg-BG"/>
        </w:rPr>
        <w:t>Нечести: умора</w:t>
      </w:r>
    </w:p>
    <w:p w14:paraId="1306BA7E" w14:textId="77777777" w:rsidR="005B1BD5" w:rsidRPr="005B1BD5" w:rsidRDefault="005B1BD5" w:rsidP="005B1BD5">
      <w:pPr>
        <w:rPr>
          <w:sz w:val="24"/>
          <w:szCs w:val="24"/>
          <w:lang w:val="bg-BG"/>
        </w:rPr>
      </w:pPr>
      <w:r w:rsidRPr="005B1BD5">
        <w:rPr>
          <w:u w:val="single"/>
          <w:lang w:val="bg-BG" w:eastAsia="bg-BG"/>
        </w:rPr>
        <w:t>Нарушения на нервната система: Чести: главоболие</w:t>
      </w:r>
    </w:p>
    <w:p w14:paraId="042D2D79" w14:textId="77777777" w:rsidR="005B1BD5" w:rsidRPr="005B1BD5" w:rsidRDefault="005B1BD5" w:rsidP="005B1BD5">
      <w:pPr>
        <w:rPr>
          <w:sz w:val="24"/>
          <w:szCs w:val="24"/>
          <w:lang w:val="bg-BG"/>
        </w:rPr>
      </w:pPr>
      <w:r w:rsidRPr="005B1BD5">
        <w:rPr>
          <w:lang w:val="bg-BG" w:eastAsia="bg-BG"/>
        </w:rPr>
        <w:t>Нечести: замаяност</w:t>
      </w:r>
    </w:p>
    <w:p w14:paraId="54362930" w14:textId="77777777" w:rsidR="005B1BD5" w:rsidRPr="005B1BD5" w:rsidRDefault="005B1BD5" w:rsidP="005B1BD5">
      <w:pPr>
        <w:rPr>
          <w:sz w:val="24"/>
          <w:szCs w:val="24"/>
          <w:lang w:val="bg-BG"/>
        </w:rPr>
      </w:pPr>
      <w:r w:rsidRPr="005B1BD5">
        <w:rPr>
          <w:lang w:val="bg-BG" w:eastAsia="bg-BG"/>
        </w:rPr>
        <w:t>С неизвестна честота: сънливост</w:t>
      </w:r>
    </w:p>
    <w:p w14:paraId="3CD6F30D" w14:textId="77777777" w:rsidR="005B1BD5" w:rsidRPr="005B1BD5" w:rsidRDefault="005B1BD5" w:rsidP="005B1BD5">
      <w:pPr>
        <w:rPr>
          <w:sz w:val="24"/>
          <w:szCs w:val="24"/>
          <w:lang w:val="bg-BG"/>
        </w:rPr>
      </w:pPr>
      <w:r w:rsidRPr="005B1BD5">
        <w:rPr>
          <w:u w:val="single"/>
          <w:lang w:val="bg-BG" w:eastAsia="bg-BG"/>
        </w:rPr>
        <w:t>Психични нарушения:</w:t>
      </w:r>
    </w:p>
    <w:p w14:paraId="1D3700AF" w14:textId="77777777" w:rsidR="005B1BD5" w:rsidRPr="005B1BD5" w:rsidRDefault="005B1BD5" w:rsidP="005B1BD5">
      <w:pPr>
        <w:rPr>
          <w:sz w:val="24"/>
          <w:szCs w:val="24"/>
          <w:lang w:val="bg-BG"/>
        </w:rPr>
      </w:pPr>
      <w:r w:rsidRPr="005B1BD5">
        <w:rPr>
          <w:lang w:val="bg-BG" w:eastAsia="bg-BG"/>
        </w:rPr>
        <w:t>Нечести: възбуда</w:t>
      </w:r>
    </w:p>
    <w:p w14:paraId="6221ED93" w14:textId="77777777" w:rsidR="005B1BD5" w:rsidRPr="005B1BD5" w:rsidRDefault="005B1BD5" w:rsidP="005B1BD5">
      <w:pPr>
        <w:rPr>
          <w:sz w:val="24"/>
          <w:szCs w:val="24"/>
          <w:lang w:val="bg-BG"/>
        </w:rPr>
      </w:pPr>
      <w:r w:rsidRPr="005B1BD5">
        <w:rPr>
          <w:lang w:val="bg-BG" w:eastAsia="bg-BG"/>
        </w:rPr>
        <w:t>С неизвестна честота: безпокойство</w:t>
      </w:r>
    </w:p>
    <w:p w14:paraId="4AA3FC7D" w14:textId="77777777" w:rsidR="005B1BD5" w:rsidRPr="005B1BD5" w:rsidRDefault="005B1BD5" w:rsidP="005B1BD5">
      <w:pPr>
        <w:rPr>
          <w:sz w:val="24"/>
          <w:szCs w:val="24"/>
          <w:lang w:val="bg-BG"/>
        </w:rPr>
      </w:pPr>
      <w:r w:rsidRPr="005B1BD5">
        <w:rPr>
          <w:u w:val="single"/>
          <w:lang w:val="bg-BG" w:eastAsia="bg-BG"/>
        </w:rPr>
        <w:t>Стомашно-чревни нарушения:</w:t>
      </w:r>
    </w:p>
    <w:p w14:paraId="101A2A52" w14:textId="77777777" w:rsidR="005B1BD5" w:rsidRPr="005B1BD5" w:rsidRDefault="005B1BD5" w:rsidP="005B1BD5">
      <w:pPr>
        <w:rPr>
          <w:sz w:val="24"/>
          <w:szCs w:val="24"/>
          <w:lang w:val="bg-BG"/>
        </w:rPr>
      </w:pPr>
      <w:r w:rsidRPr="005B1BD5">
        <w:rPr>
          <w:lang w:val="bg-BG" w:eastAsia="bg-BG"/>
        </w:rPr>
        <w:t>Чести: Стомашно-чревни нарушения (напр. гадене, повръщане, диспепсия и диария)</w:t>
      </w:r>
    </w:p>
    <w:p w14:paraId="56D63646" w14:textId="77777777" w:rsidR="005B1BD5" w:rsidRPr="005B1BD5" w:rsidRDefault="005B1BD5" w:rsidP="005B1BD5">
      <w:pPr>
        <w:rPr>
          <w:sz w:val="24"/>
          <w:szCs w:val="24"/>
          <w:lang w:val="bg-BG"/>
        </w:rPr>
      </w:pPr>
      <w:r w:rsidRPr="005B1BD5">
        <w:rPr>
          <w:u w:val="single"/>
          <w:lang w:val="bg-BG" w:eastAsia="bg-BG"/>
        </w:rPr>
        <w:t>Нарушения на кожата и подкожната тъкан и очите:</w:t>
      </w:r>
    </w:p>
    <w:p w14:paraId="72ECF4E4" w14:textId="77777777" w:rsidR="005B1BD5" w:rsidRPr="005B1BD5" w:rsidRDefault="005B1BD5" w:rsidP="005B1BD5">
      <w:pPr>
        <w:rPr>
          <w:sz w:val="24"/>
          <w:szCs w:val="24"/>
          <w:lang w:val="bg-BG"/>
        </w:rPr>
      </w:pPr>
      <w:r w:rsidRPr="005B1BD5">
        <w:rPr>
          <w:lang w:val="bg-BG" w:eastAsia="bg-BG"/>
        </w:rPr>
        <w:t xml:space="preserve">Чести: </w:t>
      </w:r>
      <w:proofErr w:type="spellStart"/>
      <w:r w:rsidRPr="005B1BD5">
        <w:rPr>
          <w:lang w:val="bg-BG" w:eastAsia="bg-BG"/>
        </w:rPr>
        <w:t>хиперхидроза</w:t>
      </w:r>
      <w:proofErr w:type="spellEnd"/>
    </w:p>
    <w:p w14:paraId="077BCA63" w14:textId="77777777" w:rsidR="005B1BD5" w:rsidRPr="005B1BD5" w:rsidRDefault="005B1BD5" w:rsidP="005B1BD5">
      <w:pPr>
        <w:rPr>
          <w:sz w:val="24"/>
          <w:szCs w:val="24"/>
          <w:lang w:val="bg-BG"/>
        </w:rPr>
      </w:pPr>
      <w:r w:rsidRPr="005B1BD5">
        <w:rPr>
          <w:lang w:val="bg-BG" w:eastAsia="bg-BG"/>
        </w:rPr>
        <w:t>С неизвестна честота: алергични кожни реакции</w:t>
      </w:r>
    </w:p>
    <w:p w14:paraId="330FFFAC" w14:textId="77777777" w:rsidR="005B1BD5" w:rsidRPr="005B1BD5" w:rsidRDefault="005B1BD5" w:rsidP="005B1BD5">
      <w:pPr>
        <w:rPr>
          <w:sz w:val="24"/>
          <w:szCs w:val="24"/>
          <w:lang w:val="bg-BG"/>
        </w:rPr>
      </w:pPr>
      <w:r w:rsidRPr="005B1BD5">
        <w:rPr>
          <w:lang w:val="bg-BG" w:eastAsia="bg-BG"/>
        </w:rPr>
        <w:t>Редки: реакции на фоточувствителност на кожата</w:t>
      </w:r>
    </w:p>
    <w:p w14:paraId="07D03CCF" w14:textId="77777777" w:rsidR="005B1BD5" w:rsidRPr="005B1BD5" w:rsidRDefault="005B1BD5" w:rsidP="005B1BD5">
      <w:pPr>
        <w:rPr>
          <w:sz w:val="24"/>
          <w:szCs w:val="24"/>
          <w:lang w:val="bg-BG"/>
        </w:rPr>
      </w:pPr>
      <w:r w:rsidRPr="005B1BD5">
        <w:rPr>
          <w:lang w:val="bg-BG" w:eastAsia="bg-BG"/>
        </w:rPr>
        <w:t xml:space="preserve">При пациенти със светъл тен на кожата, чувствителността на кожата към слънчевата светлина може да доведе до реакции, подобни на слънчево изгаряне при облъчване със </w:t>
      </w:r>
      <w:r w:rsidRPr="005B1BD5">
        <w:rPr>
          <w:b/>
          <w:bCs/>
          <w:lang w:val="bg-BG" w:eastAsia="bg-BG"/>
        </w:rPr>
        <w:t xml:space="preserve">слънчева </w:t>
      </w:r>
      <w:r w:rsidRPr="005B1BD5">
        <w:rPr>
          <w:lang w:val="bg-BG" w:eastAsia="bg-BG"/>
        </w:rPr>
        <w:t>светлина. В случай на нежелани реакции на кожата или очите, лечението трябва да бъде преустановено и симптомите трябва да бъдат изследвани от лекар.</w:t>
      </w:r>
    </w:p>
    <w:p w14:paraId="5AB98413" w14:textId="77777777" w:rsidR="005B1BD5" w:rsidRPr="005B1BD5" w:rsidRDefault="005B1BD5" w:rsidP="005B1BD5">
      <w:pPr>
        <w:rPr>
          <w:sz w:val="24"/>
          <w:szCs w:val="24"/>
          <w:lang w:val="bg-BG"/>
        </w:rPr>
      </w:pPr>
      <w:r w:rsidRPr="005B1BD5">
        <w:rPr>
          <w:lang w:val="bg-BG" w:eastAsia="bg-BG"/>
        </w:rPr>
        <w:t>Ако се появят други нежелани реакции, които не са споменати по-горе, трябва да се потърси лекарска помощ или консултация с фармацевт.</w:t>
      </w:r>
    </w:p>
    <w:p w14:paraId="2B11DB3D" w14:textId="77777777" w:rsidR="005B1BD5" w:rsidRDefault="005B1BD5" w:rsidP="005B1BD5">
      <w:pPr>
        <w:rPr>
          <w:u w:val="single"/>
          <w:lang w:val="bg-BG" w:eastAsia="bg-BG"/>
        </w:rPr>
      </w:pPr>
    </w:p>
    <w:p w14:paraId="1A0CB38F" w14:textId="54E9DEB6" w:rsidR="005B1BD5" w:rsidRPr="005B1BD5" w:rsidRDefault="005B1BD5" w:rsidP="005B1BD5">
      <w:pPr>
        <w:rPr>
          <w:sz w:val="24"/>
          <w:szCs w:val="24"/>
          <w:lang w:val="bg-BG"/>
        </w:rPr>
      </w:pPr>
      <w:r w:rsidRPr="005B1BD5">
        <w:rPr>
          <w:u w:val="single"/>
          <w:lang w:val="bg-BG" w:eastAsia="bg-BG"/>
        </w:rPr>
        <w:t>Съобщаване на подозирани нежелани реакции</w:t>
      </w:r>
    </w:p>
    <w:p w14:paraId="74512294" w14:textId="77777777" w:rsidR="005B1BD5" w:rsidRPr="005B1BD5" w:rsidRDefault="005B1BD5" w:rsidP="005B1BD5">
      <w:pPr>
        <w:rPr>
          <w:sz w:val="24"/>
          <w:szCs w:val="24"/>
          <w:lang w:val="bg-BG"/>
        </w:rPr>
      </w:pPr>
      <w:r w:rsidRPr="005B1BD5">
        <w:rPr>
          <w:lang w:val="bg-B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67A8795B" w14:textId="77777777" w:rsidR="005B1BD5" w:rsidRPr="005B1BD5" w:rsidRDefault="005B1BD5" w:rsidP="005B1BD5">
      <w:pPr>
        <w:rPr>
          <w:sz w:val="24"/>
          <w:szCs w:val="24"/>
          <w:lang w:val="bg-BG"/>
        </w:rPr>
      </w:pPr>
      <w:r w:rsidRPr="005B1BD5">
        <w:rPr>
          <w:lang w:val="bg-BG" w:eastAsia="bg-BG"/>
        </w:rPr>
        <w:t>Изпълнителна агенция по лекарствата</w:t>
      </w:r>
    </w:p>
    <w:p w14:paraId="45447FFC" w14:textId="77777777" w:rsidR="005B1BD5" w:rsidRPr="005B1BD5" w:rsidRDefault="005B1BD5" w:rsidP="005B1BD5">
      <w:pPr>
        <w:rPr>
          <w:sz w:val="24"/>
          <w:szCs w:val="24"/>
          <w:lang w:val="bg-BG"/>
        </w:rPr>
      </w:pPr>
      <w:r w:rsidRPr="005B1BD5">
        <w:rPr>
          <w:lang w:val="bg-BG" w:eastAsia="bg-BG"/>
        </w:rPr>
        <w:t>ул. „Дамян Груев“ № 8</w:t>
      </w:r>
    </w:p>
    <w:p w14:paraId="6FEEBDE9" w14:textId="77777777" w:rsidR="005B1BD5" w:rsidRPr="005B1BD5" w:rsidRDefault="005B1BD5" w:rsidP="005B1BD5">
      <w:pPr>
        <w:rPr>
          <w:sz w:val="24"/>
          <w:szCs w:val="24"/>
          <w:lang w:val="bg-BG"/>
        </w:rPr>
      </w:pPr>
      <w:r w:rsidRPr="005B1BD5">
        <w:rPr>
          <w:lang w:val="bg-BG" w:eastAsia="bg-BG"/>
        </w:rPr>
        <w:t>1303 София</w:t>
      </w:r>
    </w:p>
    <w:p w14:paraId="34F88BE8" w14:textId="77777777" w:rsidR="005B1BD5" w:rsidRPr="005B1BD5" w:rsidRDefault="005B1BD5" w:rsidP="005B1BD5">
      <w:pPr>
        <w:rPr>
          <w:sz w:val="24"/>
          <w:szCs w:val="24"/>
          <w:lang w:val="bg-BG"/>
        </w:rPr>
      </w:pPr>
      <w:r w:rsidRPr="005B1BD5">
        <w:rPr>
          <w:lang w:val="bg-BG" w:eastAsia="bg-BG"/>
        </w:rPr>
        <w:t>Тел.:+359 2 8903417</w:t>
      </w:r>
    </w:p>
    <w:p w14:paraId="3E1C0B4A" w14:textId="77777777" w:rsidR="005B1BD5" w:rsidRPr="005B1BD5" w:rsidRDefault="005B1BD5" w:rsidP="005B1BD5">
      <w:pPr>
        <w:rPr>
          <w:sz w:val="24"/>
          <w:szCs w:val="24"/>
          <w:lang w:val="bg-BG"/>
        </w:rPr>
      </w:pPr>
      <w:r w:rsidRPr="005B1BD5">
        <w:rPr>
          <w:lang w:val="bg-BG" w:eastAsia="bg-BG"/>
        </w:rPr>
        <w:t xml:space="preserve">уебсайт: </w:t>
      </w:r>
      <w:hyperlink r:id="rId5" w:history="1">
        <w:r w:rsidRPr="005B1BD5">
          <w:t>www.bda.bg</w:t>
        </w:r>
      </w:hyperlink>
    </w:p>
    <w:p w14:paraId="6656C841" w14:textId="77777777" w:rsidR="005B1BD5" w:rsidRPr="005B1BD5" w:rsidRDefault="005B1BD5" w:rsidP="005B1BD5">
      <w:pPr>
        <w:rPr>
          <w:b/>
          <w:bCs/>
        </w:rPr>
      </w:pPr>
    </w:p>
    <w:p w14:paraId="611C622D" w14:textId="671474F2" w:rsidR="002C50EE" w:rsidRDefault="002C50EE" w:rsidP="002C50EE">
      <w:pPr>
        <w:pStyle w:val="Heading2"/>
      </w:pPr>
      <w:r>
        <w:t xml:space="preserve">4.9. </w:t>
      </w:r>
      <w:proofErr w:type="spellStart"/>
      <w:r>
        <w:t>Предозиране</w:t>
      </w:r>
      <w:proofErr w:type="spellEnd"/>
    </w:p>
    <w:p w14:paraId="039692D3" w14:textId="77777777" w:rsidR="005B1BD5" w:rsidRDefault="005B1BD5" w:rsidP="005B1BD5">
      <w:pPr>
        <w:rPr>
          <w:lang w:val="bg-BG" w:eastAsia="bg-BG"/>
        </w:rPr>
      </w:pPr>
    </w:p>
    <w:p w14:paraId="7E824E82" w14:textId="023698F5" w:rsidR="005B1BD5" w:rsidRPr="005B1BD5" w:rsidRDefault="005B1BD5" w:rsidP="005B1BD5">
      <w:pPr>
        <w:rPr>
          <w:sz w:val="24"/>
          <w:szCs w:val="24"/>
          <w:lang w:val="bg-BG"/>
        </w:rPr>
      </w:pPr>
      <w:r w:rsidRPr="005B1BD5">
        <w:rPr>
          <w:lang w:val="bg-BG" w:eastAsia="bg-BG"/>
        </w:rPr>
        <w:t>След прием на до 4,5 г сух екстракт на ден в продължение на 2 седмици и допълнително 15 г сух екстракт непосредствено преди хоспитализация, са докладвани припадъци и объркване.</w:t>
      </w:r>
    </w:p>
    <w:p w14:paraId="680AD267" w14:textId="77777777" w:rsidR="005B1BD5" w:rsidRPr="005B1BD5" w:rsidRDefault="005B1BD5" w:rsidP="005B1BD5">
      <w:pPr>
        <w:rPr>
          <w:sz w:val="24"/>
          <w:szCs w:val="24"/>
          <w:lang w:val="bg-BG"/>
        </w:rPr>
      </w:pPr>
      <w:r w:rsidRPr="005B1BD5">
        <w:rPr>
          <w:lang w:val="bg-BG" w:eastAsia="bg-BG"/>
        </w:rPr>
        <w:t xml:space="preserve">Предполага се, че описаните по-горе нежелани реакции биха се засилили в случаи на значително предозиране. Освен това трябва да се има предвид повишена чувствителност към светлината. В този случай пациентът трябва да бъде защитен от слънчева светлина и други </w:t>
      </w:r>
      <w:r w:rsidRPr="005B1BD5">
        <w:t>UV</w:t>
      </w:r>
      <w:r w:rsidRPr="005B1BD5">
        <w:rPr>
          <w:lang w:val="bg-BG" w:eastAsia="bg-BG"/>
        </w:rPr>
        <w:t>- светлинни източници за 1-2 седмици.</w:t>
      </w:r>
    </w:p>
    <w:p w14:paraId="16D75430" w14:textId="77777777" w:rsidR="005B1BD5" w:rsidRPr="005B1BD5" w:rsidRDefault="005B1BD5" w:rsidP="005B1BD5"/>
    <w:p w14:paraId="18EF4AFE" w14:textId="77777777" w:rsidR="002C50EE" w:rsidRDefault="002C50EE" w:rsidP="002C50EE">
      <w:pPr>
        <w:pStyle w:val="Heading1"/>
      </w:pPr>
      <w:r>
        <w:lastRenderedPageBreak/>
        <w:t>5. ФАРМАКОЛОГИЧНИ СВОЙСТВА</w:t>
      </w:r>
    </w:p>
    <w:p w14:paraId="2F1CA24E" w14:textId="428B5563" w:rsidR="002C50EE" w:rsidRDefault="002C50EE" w:rsidP="002C50EE">
      <w:pPr>
        <w:pStyle w:val="Heading2"/>
      </w:pPr>
      <w:r>
        <w:t xml:space="preserve">5.1. </w:t>
      </w:r>
      <w:proofErr w:type="spellStart"/>
      <w:r>
        <w:t>Фармакодинамични</w:t>
      </w:r>
      <w:proofErr w:type="spellEnd"/>
      <w:r>
        <w:t xml:space="preserve"> </w:t>
      </w:r>
      <w:proofErr w:type="spellStart"/>
      <w:r>
        <w:t>свойства</w:t>
      </w:r>
      <w:proofErr w:type="spellEnd"/>
    </w:p>
    <w:p w14:paraId="345234C6" w14:textId="77777777" w:rsidR="005B1BD5" w:rsidRDefault="005B1BD5" w:rsidP="005B1BD5"/>
    <w:p w14:paraId="7657924A" w14:textId="50BF61AD" w:rsidR="005B1BD5" w:rsidRDefault="005B1BD5" w:rsidP="005B1BD5">
      <w:proofErr w:type="spellStart"/>
      <w:r w:rsidRPr="005B1BD5">
        <w:rPr>
          <w:b/>
          <w:bCs/>
        </w:rPr>
        <w:t>Фармакотерапевтична</w:t>
      </w:r>
      <w:proofErr w:type="spellEnd"/>
      <w:r w:rsidRPr="005B1BD5">
        <w:rPr>
          <w:b/>
          <w:bCs/>
        </w:rPr>
        <w:t xml:space="preserve"> </w:t>
      </w:r>
      <w:proofErr w:type="spellStart"/>
      <w:r w:rsidRPr="005B1BD5">
        <w:rPr>
          <w:b/>
          <w:bCs/>
        </w:rPr>
        <w:t>група</w:t>
      </w:r>
      <w:proofErr w:type="spellEnd"/>
      <w:r w:rsidRPr="005B1BD5">
        <w:rPr>
          <w:b/>
          <w:bCs/>
        </w:rPr>
        <w:t>:</w:t>
      </w:r>
      <w:r>
        <w:t xml:space="preserve"> </w:t>
      </w:r>
      <w:proofErr w:type="spellStart"/>
      <w:r>
        <w:t>Билков</w:t>
      </w:r>
      <w:proofErr w:type="spellEnd"/>
      <w:r>
        <w:t xml:space="preserve"> </w:t>
      </w:r>
      <w:proofErr w:type="spellStart"/>
      <w:r>
        <w:t>лекарствен</w:t>
      </w:r>
      <w:proofErr w:type="spellEnd"/>
      <w:r>
        <w:t xml:space="preserve"> </w:t>
      </w:r>
      <w:proofErr w:type="spellStart"/>
      <w:r>
        <w:t>продукт</w:t>
      </w:r>
      <w:proofErr w:type="spellEnd"/>
      <w:r>
        <w:t xml:space="preserve"> - </w:t>
      </w:r>
      <w:proofErr w:type="spellStart"/>
      <w:r>
        <w:t>антидепресант</w:t>
      </w:r>
      <w:proofErr w:type="spellEnd"/>
      <w:r>
        <w:t xml:space="preserve"> АТС </w:t>
      </w:r>
      <w:proofErr w:type="spellStart"/>
      <w:r>
        <w:t>код</w:t>
      </w:r>
      <w:proofErr w:type="spellEnd"/>
      <w:r>
        <w:t>: N06AX25</w:t>
      </w:r>
    </w:p>
    <w:p w14:paraId="290FB236" w14:textId="77777777" w:rsidR="005B1BD5" w:rsidRDefault="005B1BD5" w:rsidP="005B1BD5">
      <w:pPr>
        <w:spacing w:line="240" w:lineRule="auto"/>
        <w:rPr>
          <w:rFonts w:ascii="Times New Roman" w:eastAsia="Times New Roman" w:hAnsi="Times New Roman" w:cs="Times New Roman"/>
          <w:color w:val="000000"/>
          <w:lang w:val="bg-BG" w:eastAsia="bg-BG"/>
        </w:rPr>
      </w:pPr>
    </w:p>
    <w:p w14:paraId="624DA08E" w14:textId="127B8E53" w:rsidR="005B1BD5" w:rsidRPr="005B1BD5" w:rsidRDefault="005B1BD5" w:rsidP="005B1BD5">
      <w:pPr>
        <w:rPr>
          <w:sz w:val="24"/>
          <w:szCs w:val="24"/>
          <w:lang w:val="bg-BG"/>
        </w:rPr>
      </w:pPr>
      <w:r w:rsidRPr="005B1BD5">
        <w:rPr>
          <w:lang w:val="bg-BG" w:eastAsia="bg-BG"/>
        </w:rPr>
        <w:t xml:space="preserve">Механизъм на действие и </w:t>
      </w:r>
      <w:proofErr w:type="spellStart"/>
      <w:r w:rsidRPr="005B1BD5">
        <w:rPr>
          <w:lang w:val="bg-BG" w:eastAsia="bg-BG"/>
        </w:rPr>
        <w:t>фармакодинамични</w:t>
      </w:r>
      <w:proofErr w:type="spellEnd"/>
      <w:r w:rsidRPr="005B1BD5">
        <w:rPr>
          <w:lang w:val="bg-BG" w:eastAsia="bg-BG"/>
        </w:rPr>
        <w:t xml:space="preserve"> ефекти</w:t>
      </w:r>
    </w:p>
    <w:p w14:paraId="2E1D361C" w14:textId="77777777" w:rsidR="005B1BD5" w:rsidRDefault="005B1BD5" w:rsidP="005B1BD5">
      <w:pPr>
        <w:rPr>
          <w:lang w:val="bg-BG" w:eastAsia="bg-BG"/>
        </w:rPr>
      </w:pPr>
    </w:p>
    <w:p w14:paraId="57155EF2" w14:textId="5A3493F6" w:rsidR="005B1BD5" w:rsidRPr="005B1BD5" w:rsidRDefault="005B1BD5" w:rsidP="005B1BD5">
      <w:pPr>
        <w:rPr>
          <w:sz w:val="24"/>
          <w:szCs w:val="24"/>
          <w:lang w:val="bg-BG"/>
        </w:rPr>
      </w:pPr>
      <w:r w:rsidRPr="005B1BD5">
        <w:rPr>
          <w:lang w:val="bg-BG" w:eastAsia="bg-BG"/>
        </w:rPr>
        <w:t xml:space="preserve">Клиничният механизъм на действие все още е неясен. Съгласно експерименталните открития при животни се счита, че клиничният ефект се основава на инхибирането на повторното поемане на </w:t>
      </w:r>
      <w:proofErr w:type="spellStart"/>
      <w:r w:rsidRPr="005B1BD5">
        <w:rPr>
          <w:lang w:val="bg-BG" w:eastAsia="bg-BG"/>
        </w:rPr>
        <w:t>норадреналин</w:t>
      </w:r>
      <w:proofErr w:type="spellEnd"/>
      <w:r w:rsidRPr="005B1BD5">
        <w:rPr>
          <w:lang w:val="bg-BG" w:eastAsia="bg-BG"/>
        </w:rPr>
        <w:t xml:space="preserve"> и </w:t>
      </w:r>
      <w:proofErr w:type="spellStart"/>
      <w:r w:rsidRPr="005B1BD5">
        <w:rPr>
          <w:lang w:val="bg-BG" w:eastAsia="bg-BG"/>
        </w:rPr>
        <w:t>серотонин</w:t>
      </w:r>
      <w:proofErr w:type="spellEnd"/>
      <w:r w:rsidRPr="005B1BD5">
        <w:rPr>
          <w:lang w:val="bg-BG" w:eastAsia="bg-BG"/>
        </w:rPr>
        <w:t xml:space="preserve"> в </w:t>
      </w:r>
      <w:proofErr w:type="spellStart"/>
      <w:r w:rsidRPr="005B1BD5">
        <w:rPr>
          <w:lang w:val="bg-BG" w:eastAsia="bg-BG"/>
        </w:rPr>
        <w:t>предсинаптачните</w:t>
      </w:r>
      <w:proofErr w:type="spellEnd"/>
      <w:r w:rsidRPr="005B1BD5">
        <w:rPr>
          <w:lang w:val="bg-BG" w:eastAsia="bg-BG"/>
        </w:rPr>
        <w:t xml:space="preserve"> неврони. Също така, съществуват данни </w:t>
      </w:r>
      <w:r w:rsidRPr="005B1BD5">
        <w:t xml:space="preserve">in-vitro </w:t>
      </w:r>
      <w:r w:rsidRPr="005B1BD5">
        <w:rPr>
          <w:lang w:val="bg-BG" w:eastAsia="bg-BG"/>
        </w:rPr>
        <w:t>за регулиране на нивото на централните бета-</w:t>
      </w:r>
      <w:proofErr w:type="spellStart"/>
      <w:r w:rsidRPr="005B1BD5">
        <w:rPr>
          <w:lang w:val="bg-BG" w:eastAsia="bg-BG"/>
        </w:rPr>
        <w:t>адренорецептори</w:t>
      </w:r>
      <w:proofErr w:type="spellEnd"/>
      <w:r w:rsidRPr="005B1BD5">
        <w:rPr>
          <w:lang w:val="bg-BG" w:eastAsia="bg-BG"/>
        </w:rPr>
        <w:t xml:space="preserve">. Ефектът се дължи на повишаването на концентрацията на </w:t>
      </w:r>
      <w:proofErr w:type="spellStart"/>
      <w:r w:rsidRPr="005B1BD5">
        <w:rPr>
          <w:lang w:val="bg-BG" w:eastAsia="bg-BG"/>
        </w:rPr>
        <w:t>невротрансмитери</w:t>
      </w:r>
      <w:proofErr w:type="spellEnd"/>
      <w:r w:rsidRPr="005B1BD5">
        <w:rPr>
          <w:lang w:val="bg-BG" w:eastAsia="bg-BG"/>
        </w:rPr>
        <w:t xml:space="preserve"> в </w:t>
      </w:r>
      <w:proofErr w:type="spellStart"/>
      <w:r w:rsidRPr="005B1BD5">
        <w:rPr>
          <w:lang w:val="bg-BG" w:eastAsia="bg-BG"/>
        </w:rPr>
        <w:t>синаптичната</w:t>
      </w:r>
      <w:proofErr w:type="spellEnd"/>
      <w:r w:rsidRPr="005B1BD5">
        <w:rPr>
          <w:lang w:val="bg-BG" w:eastAsia="bg-BG"/>
        </w:rPr>
        <w:t xml:space="preserve"> цепка, както и на модулиращия ефект на </w:t>
      </w:r>
      <w:proofErr w:type="spellStart"/>
      <w:r w:rsidRPr="005B1BD5">
        <w:rPr>
          <w:lang w:val="bg-BG" w:eastAsia="bg-BG"/>
        </w:rPr>
        <w:t>невротрансмигерите</w:t>
      </w:r>
      <w:proofErr w:type="spellEnd"/>
      <w:r w:rsidRPr="005B1BD5">
        <w:rPr>
          <w:lang w:val="bg-BG" w:eastAsia="bg-BG"/>
        </w:rPr>
        <w:t xml:space="preserve"> в </w:t>
      </w:r>
      <w:proofErr w:type="spellStart"/>
      <w:r w:rsidRPr="005B1BD5">
        <w:rPr>
          <w:lang w:val="bg-BG" w:eastAsia="bg-BG"/>
        </w:rPr>
        <w:t>постсинаптичната</w:t>
      </w:r>
      <w:proofErr w:type="spellEnd"/>
      <w:r w:rsidRPr="005B1BD5">
        <w:rPr>
          <w:lang w:val="bg-BG" w:eastAsia="bg-BG"/>
        </w:rPr>
        <w:t xml:space="preserve"> мембрана.</w:t>
      </w:r>
    </w:p>
    <w:p w14:paraId="69E85150" w14:textId="77777777" w:rsidR="005B1BD5" w:rsidRPr="005B1BD5" w:rsidRDefault="005B1BD5" w:rsidP="005B1BD5">
      <w:pPr>
        <w:rPr>
          <w:sz w:val="24"/>
          <w:szCs w:val="24"/>
          <w:lang w:val="bg-BG"/>
        </w:rPr>
      </w:pPr>
      <w:r w:rsidRPr="005B1BD5">
        <w:rPr>
          <w:lang w:val="bg-BG" w:eastAsia="bg-BG"/>
        </w:rPr>
        <w:t xml:space="preserve">Сухият екстракт от жълт кантарион променя поведението на животните в няколко </w:t>
      </w:r>
      <w:proofErr w:type="spellStart"/>
      <w:r w:rsidRPr="005B1BD5">
        <w:rPr>
          <w:lang w:val="bg-BG" w:eastAsia="bg-BG"/>
        </w:rPr>
        <w:t>антидепресантни</w:t>
      </w:r>
      <w:proofErr w:type="spellEnd"/>
      <w:r w:rsidRPr="005B1BD5">
        <w:rPr>
          <w:lang w:val="bg-BG" w:eastAsia="bg-BG"/>
        </w:rPr>
        <w:t xml:space="preserve"> модела (например принудително плуване), подобно на синтетичните антидепресанти.</w:t>
      </w:r>
    </w:p>
    <w:p w14:paraId="0647589D" w14:textId="77777777" w:rsidR="005B1BD5" w:rsidRDefault="005B1BD5" w:rsidP="005B1BD5">
      <w:pPr>
        <w:rPr>
          <w:lang w:val="bg-BG" w:eastAsia="bg-BG"/>
        </w:rPr>
      </w:pPr>
    </w:p>
    <w:p w14:paraId="10845D61" w14:textId="31B19FAC" w:rsidR="005B1BD5" w:rsidRPr="005B1BD5" w:rsidRDefault="005B1BD5" w:rsidP="005B1BD5">
      <w:pPr>
        <w:rPr>
          <w:sz w:val="24"/>
          <w:szCs w:val="24"/>
          <w:lang w:val="bg-BG"/>
        </w:rPr>
      </w:pPr>
      <w:proofErr w:type="spellStart"/>
      <w:r w:rsidRPr="005B1BD5">
        <w:rPr>
          <w:lang w:val="bg-BG" w:eastAsia="bg-BG"/>
        </w:rPr>
        <w:t>Нафтодиантроните</w:t>
      </w:r>
      <w:proofErr w:type="spellEnd"/>
      <w:r w:rsidRPr="005B1BD5">
        <w:rPr>
          <w:lang w:val="bg-BG" w:eastAsia="bg-BG"/>
        </w:rPr>
        <w:t xml:space="preserve"> (например </w:t>
      </w:r>
      <w:proofErr w:type="spellStart"/>
      <w:r w:rsidRPr="005B1BD5">
        <w:rPr>
          <w:lang w:val="bg-BG" w:eastAsia="bg-BG"/>
        </w:rPr>
        <w:t>хиперицин</w:t>
      </w:r>
      <w:proofErr w:type="spellEnd"/>
      <w:r w:rsidRPr="005B1BD5">
        <w:rPr>
          <w:lang w:val="bg-BG" w:eastAsia="bg-BG"/>
        </w:rPr>
        <w:t xml:space="preserve">, </w:t>
      </w:r>
      <w:proofErr w:type="spellStart"/>
      <w:r w:rsidRPr="005B1BD5">
        <w:rPr>
          <w:lang w:val="bg-BG" w:eastAsia="bg-BG"/>
        </w:rPr>
        <w:t>псевдохиперицин</w:t>
      </w:r>
      <w:proofErr w:type="spellEnd"/>
      <w:r w:rsidRPr="005B1BD5">
        <w:rPr>
          <w:lang w:val="bg-BG" w:eastAsia="bg-BG"/>
        </w:rPr>
        <w:t xml:space="preserve">), производни на </w:t>
      </w:r>
      <w:proofErr w:type="spellStart"/>
      <w:r w:rsidRPr="005B1BD5">
        <w:rPr>
          <w:lang w:val="bg-BG" w:eastAsia="bg-BG"/>
        </w:rPr>
        <w:t>флорглуцин</w:t>
      </w:r>
      <w:proofErr w:type="spellEnd"/>
      <w:r w:rsidRPr="005B1BD5">
        <w:rPr>
          <w:lang w:val="bg-BG" w:eastAsia="bg-BG"/>
        </w:rPr>
        <w:t xml:space="preserve"> (например </w:t>
      </w:r>
      <w:proofErr w:type="spellStart"/>
      <w:r w:rsidRPr="005B1BD5">
        <w:rPr>
          <w:lang w:val="bg-BG" w:eastAsia="bg-BG"/>
        </w:rPr>
        <w:t>хиперфорин</w:t>
      </w:r>
      <w:proofErr w:type="spellEnd"/>
      <w:r w:rsidRPr="005B1BD5">
        <w:rPr>
          <w:lang w:val="bg-BG" w:eastAsia="bg-BG"/>
        </w:rPr>
        <w:t xml:space="preserve">) и </w:t>
      </w:r>
      <w:proofErr w:type="spellStart"/>
      <w:r w:rsidRPr="005B1BD5">
        <w:rPr>
          <w:lang w:val="bg-BG" w:eastAsia="bg-BG"/>
        </w:rPr>
        <w:t>флавоноидите</w:t>
      </w:r>
      <w:proofErr w:type="spellEnd"/>
      <w:r w:rsidRPr="005B1BD5">
        <w:rPr>
          <w:lang w:val="bg-BG" w:eastAsia="bg-BG"/>
        </w:rPr>
        <w:t>, допринасят за тази дейност</w:t>
      </w:r>
    </w:p>
    <w:p w14:paraId="18CDA9AE" w14:textId="77777777" w:rsidR="005B1BD5" w:rsidRDefault="005B1BD5" w:rsidP="005B1BD5">
      <w:pPr>
        <w:rPr>
          <w:lang w:val="bg-BG" w:eastAsia="bg-BG"/>
        </w:rPr>
      </w:pPr>
    </w:p>
    <w:p w14:paraId="40FF1A9F" w14:textId="7A1F2B51" w:rsidR="005B1BD5" w:rsidRPr="005B1BD5" w:rsidRDefault="005B1BD5" w:rsidP="005B1BD5">
      <w:pPr>
        <w:rPr>
          <w:sz w:val="24"/>
          <w:szCs w:val="24"/>
          <w:lang w:val="bg-BG"/>
        </w:rPr>
      </w:pPr>
      <w:r w:rsidRPr="005B1BD5">
        <w:rPr>
          <w:lang w:val="bg-BG" w:eastAsia="bg-BG"/>
        </w:rPr>
        <w:t>Клинична ефикасност и безопасност</w:t>
      </w:r>
    </w:p>
    <w:p w14:paraId="21A03C70" w14:textId="77777777" w:rsidR="005B1BD5" w:rsidRDefault="005B1BD5" w:rsidP="005B1BD5">
      <w:pPr>
        <w:rPr>
          <w:lang w:val="bg-BG" w:eastAsia="bg-BG"/>
        </w:rPr>
      </w:pPr>
    </w:p>
    <w:p w14:paraId="15AD0B13" w14:textId="24F33761" w:rsidR="005B1BD5" w:rsidRPr="005B1BD5" w:rsidRDefault="005B1BD5" w:rsidP="005B1BD5">
      <w:pPr>
        <w:rPr>
          <w:sz w:val="24"/>
          <w:szCs w:val="24"/>
          <w:lang w:val="bg-BG"/>
        </w:rPr>
      </w:pPr>
      <w:r w:rsidRPr="005B1BD5">
        <w:rPr>
          <w:lang w:val="bg-BG" w:eastAsia="bg-BG"/>
        </w:rPr>
        <w:t xml:space="preserve">В двойно-сляпо, рандомизирано, плацебо-контролирано </w:t>
      </w:r>
      <w:proofErr w:type="spellStart"/>
      <w:r w:rsidRPr="005B1BD5">
        <w:rPr>
          <w:lang w:val="bg-BG" w:eastAsia="bg-BG"/>
        </w:rPr>
        <w:t>многоцентрово</w:t>
      </w:r>
      <w:proofErr w:type="spellEnd"/>
      <w:r w:rsidRPr="005B1BD5">
        <w:rPr>
          <w:lang w:val="bg-BG" w:eastAsia="bg-BG"/>
        </w:rPr>
        <w:t xml:space="preserve"> клинично проучване, ефикасността и безопасността на активната съставка </w:t>
      </w:r>
      <w:r w:rsidRPr="005B1BD5">
        <w:t xml:space="preserve">Ze </w:t>
      </w:r>
      <w:r w:rsidRPr="005B1BD5">
        <w:rPr>
          <w:lang w:val="bg-BG" w:eastAsia="bg-BG"/>
        </w:rPr>
        <w:t xml:space="preserve">117 като лечение на леки и умерени депресивни епизоди </w:t>
      </w:r>
      <w:r w:rsidRPr="005B1BD5">
        <w:t xml:space="preserve">(F32.0 </w:t>
      </w:r>
      <w:r w:rsidRPr="005B1BD5">
        <w:rPr>
          <w:lang w:val="bg-BG" w:eastAsia="bg-BG"/>
        </w:rPr>
        <w:t xml:space="preserve">и </w:t>
      </w:r>
      <w:r w:rsidRPr="005B1BD5">
        <w:t xml:space="preserve">F32.1 </w:t>
      </w:r>
      <w:r w:rsidRPr="005B1BD5">
        <w:rPr>
          <w:lang w:val="bg-BG" w:eastAsia="bg-BG"/>
        </w:rPr>
        <w:t xml:space="preserve">съгласно </w:t>
      </w:r>
      <w:r w:rsidRPr="005B1BD5">
        <w:t xml:space="preserve">ICD- </w:t>
      </w:r>
      <w:r w:rsidRPr="005B1BD5">
        <w:rPr>
          <w:lang w:val="bg-BG" w:eastAsia="bg-BG"/>
        </w:rPr>
        <w:t xml:space="preserve">10) беше тествана с дневна доза от 2 х 250 </w:t>
      </w:r>
      <w:r w:rsidRPr="005B1BD5">
        <w:t xml:space="preserve">mg, </w:t>
      </w:r>
      <w:r w:rsidRPr="005B1BD5">
        <w:rPr>
          <w:lang w:val="bg-BG" w:eastAsia="bg-BG"/>
        </w:rPr>
        <w:t xml:space="preserve">срещу плацебо, при 162 пациенти. Резултатът от </w:t>
      </w:r>
      <w:r w:rsidRPr="005B1BD5">
        <w:t xml:space="preserve">HAMD-21 </w:t>
      </w:r>
      <w:r w:rsidRPr="005B1BD5">
        <w:rPr>
          <w:lang w:val="bg-BG" w:eastAsia="bg-BG"/>
        </w:rPr>
        <w:t xml:space="preserve">(скала на Хамилтън за депресия) трябваше да бъде между 16 и 24 точки в началото на проучването, средната стойност беше 20,13 пункта. Във </w:t>
      </w:r>
      <w:r w:rsidRPr="005B1BD5">
        <w:t xml:space="preserve">verum </w:t>
      </w:r>
      <w:r w:rsidRPr="005B1BD5">
        <w:rPr>
          <w:lang w:val="bg-BG" w:eastAsia="bg-BG"/>
        </w:rPr>
        <w:t xml:space="preserve">групата </w:t>
      </w:r>
      <w:r w:rsidRPr="005B1BD5">
        <w:t xml:space="preserve">(Ze </w:t>
      </w:r>
      <w:r w:rsidRPr="005B1BD5">
        <w:rPr>
          <w:lang w:val="bg-BG" w:eastAsia="bg-BG"/>
        </w:rPr>
        <w:t xml:space="preserve">117, </w:t>
      </w:r>
      <w:r w:rsidRPr="005B1BD5">
        <w:t>n</w:t>
      </w:r>
      <w:r w:rsidRPr="005B1BD5">
        <w:rPr>
          <w:lang w:val="bg-BG" w:eastAsia="bg-BG"/>
        </w:rPr>
        <w:t xml:space="preserve"> = 81 пациенти) резултатът намалява от 20.13 (95% доверителен интервал </w:t>
      </w:r>
      <w:r w:rsidRPr="005B1BD5">
        <w:t xml:space="preserve">(CI): </w:t>
      </w:r>
      <w:r w:rsidRPr="005B1BD5">
        <w:rPr>
          <w:lang w:val="bg-BG" w:eastAsia="bg-BG"/>
        </w:rPr>
        <w:t xml:space="preserve">19.5 - 20.76) до 10.53 (95% </w:t>
      </w:r>
      <w:r w:rsidRPr="005B1BD5">
        <w:t xml:space="preserve">CI: </w:t>
      </w:r>
      <w:r w:rsidRPr="005B1BD5">
        <w:rPr>
          <w:lang w:val="bg-BG" w:eastAsia="bg-BG"/>
        </w:rPr>
        <w:t>9.28-11.78). В групата на плацебо (</w:t>
      </w:r>
      <w:r w:rsidRPr="005B1BD5">
        <w:t>n</w:t>
      </w:r>
      <w:r w:rsidRPr="005B1BD5">
        <w:rPr>
          <w:lang w:val="bg-BG" w:eastAsia="bg-BG"/>
        </w:rPr>
        <w:t xml:space="preserve"> = 81 пациенти) резултатът леко се понижи от 18,76 (95% </w:t>
      </w:r>
      <w:r w:rsidRPr="005B1BD5">
        <w:t xml:space="preserve">CI: </w:t>
      </w:r>
      <w:r w:rsidRPr="005B1BD5">
        <w:rPr>
          <w:lang w:val="bg-BG" w:eastAsia="bg-BG"/>
        </w:rPr>
        <w:t xml:space="preserve">17,88 - 19,45) до 17,89 (95% </w:t>
      </w:r>
      <w:r w:rsidRPr="005B1BD5">
        <w:t>CI:</w:t>
      </w:r>
    </w:p>
    <w:p w14:paraId="2A8E8C0E" w14:textId="77777777" w:rsidR="005B1BD5" w:rsidRPr="005B1BD5" w:rsidRDefault="005B1BD5" w:rsidP="005B1BD5">
      <w:pPr>
        <w:rPr>
          <w:sz w:val="24"/>
          <w:szCs w:val="24"/>
          <w:lang w:val="bg-BG"/>
        </w:rPr>
      </w:pPr>
      <w:r w:rsidRPr="005B1BD5">
        <w:rPr>
          <w:lang w:val="bg-BG" w:eastAsia="bg-BG"/>
        </w:rPr>
        <w:t xml:space="preserve">16.51 - 19.28) (р &lt;0.0001). Процентът на отговорилите е 56% в групата </w:t>
      </w:r>
      <w:r w:rsidRPr="005B1BD5">
        <w:t xml:space="preserve">verum </w:t>
      </w:r>
      <w:r w:rsidRPr="005B1BD5">
        <w:rPr>
          <w:lang w:val="bg-BG" w:eastAsia="bg-BG"/>
        </w:rPr>
        <w:t xml:space="preserve">и 15% в плацебо групата. Следователно, </w:t>
      </w:r>
      <w:r w:rsidRPr="005B1BD5">
        <w:t xml:space="preserve">Ze </w:t>
      </w:r>
      <w:r w:rsidRPr="005B1BD5">
        <w:rPr>
          <w:lang w:val="bg-BG" w:eastAsia="bg-BG"/>
        </w:rPr>
        <w:t xml:space="preserve">117 показва статистически значимо и клинично значимо превъзходство спрямо плацебо, както по отношение на намалените резултати от </w:t>
      </w:r>
      <w:r w:rsidRPr="005B1BD5">
        <w:t xml:space="preserve">HAMD, </w:t>
      </w:r>
      <w:r w:rsidRPr="005B1BD5">
        <w:rPr>
          <w:lang w:val="bg-BG" w:eastAsia="bg-BG"/>
        </w:rPr>
        <w:t xml:space="preserve">така и по отношение на степента на отговор. По отношение на безопасността, група </w:t>
      </w:r>
      <w:r w:rsidRPr="005B1BD5">
        <w:t xml:space="preserve">Verum, </w:t>
      </w:r>
      <w:r w:rsidRPr="005B1BD5">
        <w:rPr>
          <w:lang w:val="bg-BG" w:eastAsia="bg-BG"/>
        </w:rPr>
        <w:t xml:space="preserve">лекувана със </w:t>
      </w:r>
      <w:r w:rsidRPr="005B1BD5">
        <w:t xml:space="preserve">Ze </w:t>
      </w:r>
      <w:r w:rsidRPr="005B1BD5">
        <w:rPr>
          <w:lang w:val="bg-BG" w:eastAsia="bg-BG"/>
        </w:rPr>
        <w:t xml:space="preserve">117, показва честота на нежелани реакции, сравними с групата на плацебо </w:t>
      </w:r>
      <w:r w:rsidRPr="005B1BD5">
        <w:t xml:space="preserve">(Ze </w:t>
      </w:r>
      <w:r w:rsidRPr="005B1BD5">
        <w:rPr>
          <w:lang w:val="bg-BG" w:eastAsia="bg-BG"/>
        </w:rPr>
        <w:t xml:space="preserve">117: п = 6 (7,4%), плацебо: </w:t>
      </w:r>
      <w:r w:rsidRPr="005B1BD5">
        <w:t>n</w:t>
      </w:r>
      <w:r w:rsidRPr="005B1BD5">
        <w:rPr>
          <w:lang w:val="bg-BG" w:eastAsia="bg-BG"/>
        </w:rPr>
        <w:t xml:space="preserve"> = 5 (6,2%)).</w:t>
      </w:r>
    </w:p>
    <w:p w14:paraId="4D9F75AB" w14:textId="77777777" w:rsidR="005B1BD5" w:rsidRDefault="005B1BD5" w:rsidP="005B1BD5">
      <w:pPr>
        <w:rPr>
          <w:lang w:val="bg-BG" w:eastAsia="bg-BG"/>
        </w:rPr>
      </w:pPr>
    </w:p>
    <w:p w14:paraId="59130A34" w14:textId="4E2664AD" w:rsidR="005B1BD5" w:rsidRDefault="005B1BD5" w:rsidP="005B1BD5">
      <w:r w:rsidRPr="005B1BD5">
        <w:rPr>
          <w:lang w:val="bg-BG" w:eastAsia="bg-BG"/>
        </w:rPr>
        <w:t xml:space="preserve">При двойно-сляпо, рандомизирано и контролирано </w:t>
      </w:r>
      <w:proofErr w:type="spellStart"/>
      <w:r w:rsidRPr="005B1BD5">
        <w:rPr>
          <w:lang w:val="bg-BG" w:eastAsia="bg-BG"/>
        </w:rPr>
        <w:t>многоцентрово</w:t>
      </w:r>
      <w:proofErr w:type="spellEnd"/>
      <w:r w:rsidRPr="005B1BD5">
        <w:rPr>
          <w:lang w:val="bg-BG" w:eastAsia="bg-BG"/>
        </w:rPr>
        <w:t xml:space="preserve"> клинично проучване, ефикасността и безопасността на </w:t>
      </w:r>
      <w:r w:rsidRPr="005B1BD5">
        <w:t xml:space="preserve">Ze </w:t>
      </w:r>
      <w:r w:rsidRPr="005B1BD5">
        <w:rPr>
          <w:lang w:val="bg-BG" w:eastAsia="bg-BG"/>
        </w:rPr>
        <w:t xml:space="preserve">117 (2 х 250 </w:t>
      </w:r>
      <w:r w:rsidRPr="005B1BD5">
        <w:t xml:space="preserve">mg </w:t>
      </w:r>
      <w:r w:rsidRPr="005B1BD5">
        <w:rPr>
          <w:lang w:val="bg-BG" w:eastAsia="bg-BG"/>
        </w:rPr>
        <w:t xml:space="preserve">/ дневно) при 240 пациенти, страдащи от леки до умерени депресивни епизоди </w:t>
      </w:r>
      <w:r w:rsidRPr="005B1BD5">
        <w:t xml:space="preserve">(F32.0 </w:t>
      </w:r>
      <w:r w:rsidRPr="005B1BD5">
        <w:rPr>
          <w:lang w:val="bg-BG" w:eastAsia="bg-BG"/>
        </w:rPr>
        <w:t xml:space="preserve">и </w:t>
      </w:r>
      <w:r w:rsidRPr="005B1BD5">
        <w:t xml:space="preserve">F32.1 </w:t>
      </w:r>
      <w:r w:rsidRPr="005B1BD5">
        <w:rPr>
          <w:lang w:val="bg-BG" w:eastAsia="bg-BG"/>
        </w:rPr>
        <w:t xml:space="preserve">според </w:t>
      </w:r>
      <w:r w:rsidRPr="005B1BD5">
        <w:t xml:space="preserve">ICD-10) </w:t>
      </w:r>
      <w:r w:rsidRPr="005B1BD5">
        <w:rPr>
          <w:lang w:val="bg-BG" w:eastAsia="bg-BG"/>
        </w:rPr>
        <w:t xml:space="preserve">беше сравнена спрямо </w:t>
      </w:r>
      <w:r w:rsidRPr="005B1BD5">
        <w:t xml:space="preserve">SSRI </w:t>
      </w:r>
      <w:proofErr w:type="spellStart"/>
      <w:r w:rsidRPr="005B1BD5">
        <w:rPr>
          <w:lang w:val="bg-BG" w:eastAsia="bg-BG"/>
        </w:rPr>
        <w:t>флуоксетин</w:t>
      </w:r>
      <w:proofErr w:type="spellEnd"/>
      <w:r w:rsidRPr="005B1BD5">
        <w:rPr>
          <w:lang w:val="bg-BG" w:eastAsia="bg-BG"/>
        </w:rPr>
        <w:t xml:space="preserve"> (20 </w:t>
      </w:r>
      <w:r w:rsidRPr="005B1BD5">
        <w:t xml:space="preserve">mg </w:t>
      </w:r>
      <w:r w:rsidRPr="005B1BD5">
        <w:rPr>
          <w:lang w:val="bg-BG" w:eastAsia="bg-BG"/>
        </w:rPr>
        <w:t xml:space="preserve">/ ден) за период от 6 седмици. Първоначалният резултат от </w:t>
      </w:r>
      <w:r w:rsidRPr="005B1BD5">
        <w:t xml:space="preserve">HAMD-21 </w:t>
      </w:r>
      <w:r w:rsidRPr="005B1BD5">
        <w:rPr>
          <w:lang w:val="bg-BG" w:eastAsia="bg-BG"/>
        </w:rPr>
        <w:t xml:space="preserve">трябваше да лежи между 16 и 24 точки и да се понижи, започвайки с почти идентични начални стойности, от 19,6 до 11,5 в групата на </w:t>
      </w:r>
      <w:r w:rsidRPr="005B1BD5">
        <w:t xml:space="preserve">Ze </w:t>
      </w:r>
      <w:r w:rsidRPr="005B1BD5">
        <w:rPr>
          <w:lang w:val="bg-BG" w:eastAsia="bg-BG"/>
        </w:rPr>
        <w:t>117 (</w:t>
      </w:r>
      <w:r w:rsidRPr="005B1BD5">
        <w:t>n</w:t>
      </w:r>
      <w:r w:rsidRPr="005B1BD5">
        <w:rPr>
          <w:lang w:val="bg-BG" w:eastAsia="bg-BG"/>
        </w:rPr>
        <w:t xml:space="preserve"> = 126 пациенти) и от 19,5 до 12,2 във </w:t>
      </w:r>
      <w:proofErr w:type="spellStart"/>
      <w:r w:rsidRPr="005B1BD5">
        <w:rPr>
          <w:lang w:val="bg-BG" w:eastAsia="bg-BG"/>
        </w:rPr>
        <w:t>флуоксетиновата</w:t>
      </w:r>
      <w:proofErr w:type="spellEnd"/>
      <w:r w:rsidRPr="005B1BD5">
        <w:rPr>
          <w:lang w:val="bg-BG" w:eastAsia="bg-BG"/>
        </w:rPr>
        <w:t xml:space="preserve"> група п - 114 пациенти). Следователно, </w:t>
      </w:r>
      <w:r w:rsidRPr="005B1BD5">
        <w:rPr>
          <w:lang w:val="bg-BG" w:eastAsia="bg-BG"/>
        </w:rPr>
        <w:lastRenderedPageBreak/>
        <w:t xml:space="preserve">в това проучване </w:t>
      </w:r>
      <w:r w:rsidRPr="005B1BD5">
        <w:t xml:space="preserve">Ze </w:t>
      </w:r>
      <w:r w:rsidRPr="005B1BD5">
        <w:rPr>
          <w:lang w:val="bg-BG" w:eastAsia="bg-BG"/>
        </w:rPr>
        <w:t xml:space="preserve">117 показва статистически сравнима ефикасност с </w:t>
      </w:r>
      <w:proofErr w:type="spellStart"/>
      <w:r w:rsidRPr="005B1BD5">
        <w:rPr>
          <w:lang w:val="bg-BG" w:eastAsia="bg-BG"/>
        </w:rPr>
        <w:t>флуоксетин</w:t>
      </w:r>
      <w:proofErr w:type="spellEnd"/>
      <w:r w:rsidRPr="005B1BD5">
        <w:rPr>
          <w:lang w:val="bg-BG" w:eastAsia="bg-BG"/>
        </w:rPr>
        <w:t xml:space="preserve"> (не-малоценност, р = 0,09). Процентът на отговорилите в групата </w:t>
      </w:r>
      <w:r w:rsidRPr="005B1BD5">
        <w:t xml:space="preserve">Ze </w:t>
      </w:r>
      <w:r w:rsidRPr="005B1BD5">
        <w:rPr>
          <w:lang w:val="bg-BG" w:eastAsia="bg-BG"/>
        </w:rPr>
        <w:t xml:space="preserve">117 е значително по-висок, 60% спрямо 40% </w:t>
      </w:r>
      <w:proofErr w:type="spellStart"/>
      <w:r w:rsidRPr="005B1BD5">
        <w:rPr>
          <w:lang w:val="bg-BG" w:eastAsia="bg-BG"/>
        </w:rPr>
        <w:t>флуоксетиновата</w:t>
      </w:r>
      <w:proofErr w:type="spellEnd"/>
      <w:r w:rsidRPr="005B1BD5">
        <w:rPr>
          <w:lang w:val="bg-BG" w:eastAsia="bg-BG"/>
        </w:rPr>
        <w:t xml:space="preserve"> група (р = 0.005), Също така, профилът на поносимост на </w:t>
      </w:r>
      <w:r w:rsidRPr="005B1BD5">
        <w:t xml:space="preserve">Ze </w:t>
      </w:r>
      <w:r w:rsidRPr="005B1BD5">
        <w:rPr>
          <w:lang w:val="bg-BG" w:eastAsia="bg-BG"/>
        </w:rPr>
        <w:t xml:space="preserve">117 се оказва </w:t>
      </w:r>
      <w:proofErr w:type="spellStart"/>
      <w:r w:rsidRPr="005B1BD5">
        <w:rPr>
          <w:lang w:val="bg-BG" w:eastAsia="bg-BG"/>
        </w:rPr>
        <w:t>знач</w:t>
      </w:r>
      <w:r w:rsidRPr="005B1BD5">
        <w:rPr>
          <w:u w:val="single"/>
          <w:lang w:val="bg-BG" w:eastAsia="bg-BG"/>
        </w:rPr>
        <w:t>ително</w:t>
      </w:r>
      <w:r w:rsidRPr="005B1BD5">
        <w:rPr>
          <w:lang w:val="bg-BG" w:eastAsia="bg-BG"/>
        </w:rPr>
        <w:t>по</w:t>
      </w:r>
      <w:proofErr w:type="spellEnd"/>
      <w:r w:rsidRPr="005B1BD5">
        <w:rPr>
          <w:lang w:val="bg-BG" w:eastAsia="bg-BG"/>
        </w:rPr>
        <w:t xml:space="preserve">- благоприятен от този на </w:t>
      </w:r>
      <w:proofErr w:type="spellStart"/>
      <w:r w:rsidRPr="005B1BD5">
        <w:rPr>
          <w:lang w:val="bg-BG" w:eastAsia="bg-BG"/>
        </w:rPr>
        <w:t>флуоксетин</w:t>
      </w:r>
      <w:proofErr w:type="spellEnd"/>
      <w:r w:rsidRPr="005B1BD5">
        <w:rPr>
          <w:lang w:val="bg-BG" w:eastAsia="bg-BG"/>
        </w:rPr>
        <w:t xml:space="preserve">: В групата </w:t>
      </w:r>
      <w:r w:rsidRPr="005B1BD5">
        <w:t xml:space="preserve">Ze </w:t>
      </w:r>
      <w:r w:rsidRPr="005B1BD5">
        <w:rPr>
          <w:lang w:val="bg-BG" w:eastAsia="bg-BG"/>
        </w:rPr>
        <w:t xml:space="preserve">117 14% от пациентите са показани нежелани реакции (28% от които вероятно са свързани с лекарството, използвано в проучването), докато във </w:t>
      </w:r>
      <w:proofErr w:type="spellStart"/>
      <w:r w:rsidRPr="005B1BD5">
        <w:rPr>
          <w:lang w:val="bg-BG" w:eastAsia="bg-BG"/>
        </w:rPr>
        <w:t>флуоксетиновата</w:t>
      </w:r>
      <w:proofErr w:type="spellEnd"/>
      <w:r w:rsidRPr="005B1BD5">
        <w:rPr>
          <w:lang w:val="bg-BG" w:eastAsia="bg-BG"/>
        </w:rPr>
        <w:t xml:space="preserve"> група, 25% от пациентите показват</w:t>
      </w:r>
      <w:r w:rsidRPr="005B1BD5">
        <w:t xml:space="preserve"> </w:t>
      </w:r>
      <w:r w:rsidRPr="005B1BD5">
        <w:rPr>
          <w:lang w:val="bg-BG" w:eastAsia="bg-BG"/>
        </w:rPr>
        <w:t>нежелани</w:t>
      </w:r>
      <w:r>
        <w:rPr>
          <w:sz w:val="24"/>
          <w:szCs w:val="24"/>
          <w:lang w:val="bg-BG"/>
        </w:rPr>
        <w:t xml:space="preserve"> </w:t>
      </w:r>
      <w:r w:rsidRPr="005B1BD5">
        <w:rPr>
          <w:lang w:val="bg-BG" w:eastAsia="bg-BG"/>
        </w:rPr>
        <w:t>реакции (от които 72% вероятно са свързани с медикамента, използвани в проучването) (</w:t>
      </w:r>
      <w:r w:rsidRPr="005B1BD5">
        <w:t>p-&lt;0,01).</w:t>
      </w:r>
    </w:p>
    <w:p w14:paraId="31F13297" w14:textId="0D2E9A5C" w:rsidR="005B1BD5" w:rsidRDefault="005B1BD5" w:rsidP="005B1BD5"/>
    <w:p w14:paraId="78569363" w14:textId="77777777" w:rsidR="005B1BD5" w:rsidRPr="005B1BD5" w:rsidRDefault="005B1BD5" w:rsidP="005B1BD5">
      <w:pPr>
        <w:rPr>
          <w:sz w:val="24"/>
          <w:szCs w:val="24"/>
          <w:lang w:val="bg-BG"/>
        </w:rPr>
      </w:pPr>
      <w:r w:rsidRPr="005B1BD5">
        <w:rPr>
          <w:lang w:val="bg-BG" w:eastAsia="bg-BG"/>
        </w:rPr>
        <w:t xml:space="preserve">При друго двойно, рандомизирано, двойно-сляпо </w:t>
      </w:r>
      <w:proofErr w:type="spellStart"/>
      <w:r w:rsidRPr="005B1BD5">
        <w:rPr>
          <w:lang w:val="bg-BG" w:eastAsia="bg-BG"/>
        </w:rPr>
        <w:t>многоцентрово</w:t>
      </w:r>
      <w:proofErr w:type="spellEnd"/>
      <w:r w:rsidRPr="005B1BD5">
        <w:rPr>
          <w:lang w:val="bg-BG" w:eastAsia="bg-BG"/>
        </w:rPr>
        <w:t xml:space="preserve"> проучване с 324 пациенти, ефикасността и безопасността на </w:t>
      </w:r>
      <w:r w:rsidRPr="005B1BD5">
        <w:t xml:space="preserve">Ze </w:t>
      </w:r>
      <w:r w:rsidRPr="005B1BD5">
        <w:rPr>
          <w:lang w:val="bg-BG" w:eastAsia="bg-BG"/>
        </w:rPr>
        <w:t xml:space="preserve">117 (2 х 250 </w:t>
      </w:r>
      <w:r w:rsidRPr="005B1BD5">
        <w:t xml:space="preserve">mg </w:t>
      </w:r>
      <w:r w:rsidRPr="005B1BD5">
        <w:rPr>
          <w:lang w:val="bg-BG" w:eastAsia="bg-BG"/>
        </w:rPr>
        <w:t xml:space="preserve">/ ден, </w:t>
      </w:r>
      <w:r w:rsidRPr="005B1BD5">
        <w:t xml:space="preserve">n </w:t>
      </w:r>
      <w:r w:rsidRPr="005B1BD5">
        <w:rPr>
          <w:lang w:val="bg-BG" w:eastAsia="bg-BG"/>
        </w:rPr>
        <w:t xml:space="preserve">= 157) по време на лечение на леки до умерени депресивни епизоди </w:t>
      </w:r>
      <w:r w:rsidRPr="005B1BD5">
        <w:t xml:space="preserve">(F32.0 </w:t>
      </w:r>
      <w:r w:rsidRPr="005B1BD5">
        <w:rPr>
          <w:lang w:val="bg-BG" w:eastAsia="bg-BG"/>
        </w:rPr>
        <w:t xml:space="preserve">/ 1 и </w:t>
      </w:r>
      <w:r w:rsidRPr="005B1BD5">
        <w:t xml:space="preserve">F33.0 </w:t>
      </w:r>
      <w:r w:rsidRPr="005B1BD5">
        <w:rPr>
          <w:lang w:val="bg-BG" w:eastAsia="bg-BG"/>
        </w:rPr>
        <w:t xml:space="preserve">/ 1 съгласно </w:t>
      </w:r>
      <w:r w:rsidRPr="005B1BD5">
        <w:t xml:space="preserve">ICD-10) </w:t>
      </w:r>
      <w:r w:rsidRPr="005B1BD5">
        <w:rPr>
          <w:lang w:val="bg-BG" w:eastAsia="bg-BG"/>
        </w:rPr>
        <w:t xml:space="preserve">е изследвана в сравнение с трицикличния антидепресант </w:t>
      </w:r>
      <w:proofErr w:type="spellStart"/>
      <w:r w:rsidRPr="005B1BD5">
        <w:rPr>
          <w:lang w:val="bg-BG" w:eastAsia="bg-BG"/>
        </w:rPr>
        <w:t>имипрамин</w:t>
      </w:r>
      <w:proofErr w:type="spellEnd"/>
      <w:r w:rsidRPr="005B1BD5">
        <w:rPr>
          <w:lang w:val="bg-BG" w:eastAsia="bg-BG"/>
        </w:rPr>
        <w:t xml:space="preserve"> (150 </w:t>
      </w:r>
      <w:r w:rsidRPr="005B1BD5">
        <w:t xml:space="preserve">mg </w:t>
      </w:r>
      <w:r w:rsidRPr="005B1BD5">
        <w:rPr>
          <w:lang w:val="bg-BG" w:eastAsia="bg-BG"/>
        </w:rPr>
        <w:t xml:space="preserve">/ ден, </w:t>
      </w:r>
      <w:r w:rsidRPr="005B1BD5">
        <w:t>n</w:t>
      </w:r>
      <w:r w:rsidRPr="005B1BD5">
        <w:rPr>
          <w:lang w:val="bg-BG" w:eastAsia="bg-BG"/>
        </w:rPr>
        <w:t xml:space="preserve"> = 167). Започвайки от почти идентични първоначални стойности на </w:t>
      </w:r>
      <w:r w:rsidRPr="005B1BD5">
        <w:t xml:space="preserve">HAMD-17 </w:t>
      </w:r>
      <w:r w:rsidRPr="005B1BD5">
        <w:rPr>
          <w:lang w:val="bg-BG" w:eastAsia="bg-BG"/>
        </w:rPr>
        <w:t xml:space="preserve">за 22.4 </w:t>
      </w:r>
      <w:r w:rsidRPr="005B1BD5">
        <w:t xml:space="preserve">(Ze </w:t>
      </w:r>
      <w:r w:rsidRPr="005B1BD5">
        <w:rPr>
          <w:lang w:val="bg-BG" w:eastAsia="bg-BG"/>
        </w:rPr>
        <w:t>117) и 22.1 (</w:t>
      </w:r>
      <w:proofErr w:type="spellStart"/>
      <w:r w:rsidRPr="005B1BD5">
        <w:rPr>
          <w:lang w:val="bg-BG" w:eastAsia="bg-BG"/>
        </w:rPr>
        <w:t>имипрамин</w:t>
      </w:r>
      <w:proofErr w:type="spellEnd"/>
      <w:r w:rsidRPr="005B1BD5">
        <w:rPr>
          <w:lang w:val="bg-BG" w:eastAsia="bg-BG"/>
        </w:rPr>
        <w:t xml:space="preserve">), резултатът намалява съответно до 12.0 </w:t>
      </w:r>
      <w:r w:rsidRPr="005B1BD5">
        <w:t xml:space="preserve">(Ze </w:t>
      </w:r>
      <w:r w:rsidRPr="005B1BD5">
        <w:rPr>
          <w:lang w:val="bg-BG" w:eastAsia="bg-BG"/>
        </w:rPr>
        <w:t xml:space="preserve">117) и 12.75 </w:t>
      </w:r>
      <w:r w:rsidRPr="005B1BD5">
        <w:t xml:space="preserve">(imipramine). </w:t>
      </w:r>
      <w:r w:rsidRPr="005B1BD5">
        <w:rPr>
          <w:lang w:val="bg-BG" w:eastAsia="bg-BG"/>
        </w:rPr>
        <w:t xml:space="preserve">По този начин екстрактът </w:t>
      </w:r>
      <w:r w:rsidRPr="005B1BD5">
        <w:t xml:space="preserve">Ze </w:t>
      </w:r>
      <w:r w:rsidRPr="005B1BD5">
        <w:rPr>
          <w:lang w:val="bg-BG" w:eastAsia="bg-BG"/>
        </w:rPr>
        <w:t xml:space="preserve">117 показва статистически сравнима ефикасност с </w:t>
      </w:r>
      <w:proofErr w:type="spellStart"/>
      <w:r w:rsidRPr="005B1BD5">
        <w:rPr>
          <w:lang w:val="bg-BG" w:eastAsia="bg-BG"/>
        </w:rPr>
        <w:t>имипрамин</w:t>
      </w:r>
      <w:proofErr w:type="spellEnd"/>
      <w:r w:rsidRPr="005B1BD5">
        <w:rPr>
          <w:lang w:val="bg-BG" w:eastAsia="bg-BG"/>
        </w:rPr>
        <w:t xml:space="preserve"> (р = 0,20), както и сравними нива на отговор (43% в групата на </w:t>
      </w:r>
      <w:r w:rsidRPr="005B1BD5">
        <w:t xml:space="preserve">Ze </w:t>
      </w:r>
      <w:r w:rsidRPr="005B1BD5">
        <w:rPr>
          <w:lang w:val="bg-BG" w:eastAsia="bg-BG"/>
        </w:rPr>
        <w:t xml:space="preserve">117 и 40% в групата на </w:t>
      </w:r>
      <w:proofErr w:type="spellStart"/>
      <w:r w:rsidRPr="005B1BD5">
        <w:rPr>
          <w:lang w:val="bg-BG" w:eastAsia="bg-BG"/>
        </w:rPr>
        <w:t>имипрамин</w:t>
      </w:r>
      <w:proofErr w:type="spellEnd"/>
      <w:r w:rsidRPr="005B1BD5">
        <w:rPr>
          <w:lang w:val="bg-BG" w:eastAsia="bg-BG"/>
        </w:rPr>
        <w:t xml:space="preserve">). По отношение на безопасността, 39% от пациентите в групата на </w:t>
      </w:r>
      <w:r w:rsidRPr="005B1BD5">
        <w:t xml:space="preserve">Ze </w:t>
      </w:r>
      <w:r w:rsidRPr="005B1BD5">
        <w:rPr>
          <w:lang w:val="bg-BG" w:eastAsia="bg-BG"/>
        </w:rPr>
        <w:t xml:space="preserve">117 проявяват нежелани реакции, в сравнение с пациентите в групата на </w:t>
      </w:r>
      <w:proofErr w:type="spellStart"/>
      <w:r w:rsidRPr="005B1BD5">
        <w:rPr>
          <w:lang w:val="bg-BG" w:eastAsia="bg-BG"/>
        </w:rPr>
        <w:t>имипрамин</w:t>
      </w:r>
      <w:proofErr w:type="spellEnd"/>
      <w:r w:rsidRPr="005B1BD5">
        <w:rPr>
          <w:lang w:val="bg-BG" w:eastAsia="bg-BG"/>
        </w:rPr>
        <w:t>, където резултатът е 63%.</w:t>
      </w:r>
    </w:p>
    <w:p w14:paraId="08744318" w14:textId="77777777" w:rsidR="005B1BD5" w:rsidRDefault="005B1BD5" w:rsidP="005B1BD5">
      <w:pPr>
        <w:rPr>
          <w:lang w:val="bg-BG" w:eastAsia="bg-BG"/>
        </w:rPr>
      </w:pPr>
    </w:p>
    <w:p w14:paraId="2C61482F" w14:textId="4C12CDF6" w:rsidR="005B1BD5" w:rsidRPr="005B1BD5" w:rsidRDefault="005B1BD5" w:rsidP="005B1BD5">
      <w:pPr>
        <w:rPr>
          <w:sz w:val="24"/>
          <w:szCs w:val="24"/>
          <w:lang w:val="bg-BG"/>
        </w:rPr>
      </w:pPr>
      <w:r w:rsidRPr="005B1BD5">
        <w:rPr>
          <w:lang w:val="bg-BG" w:eastAsia="bg-BG"/>
        </w:rPr>
        <w:t xml:space="preserve">При открито дългосрочно проучване (52 седмици) с 440 пациенти, лечението на лека до умерена депресия </w:t>
      </w:r>
      <w:r w:rsidRPr="005B1BD5">
        <w:t>(ICD-1</w:t>
      </w:r>
      <w:r w:rsidRPr="005B1BD5">
        <w:rPr>
          <w:lang w:val="bg-BG" w:eastAsia="bg-BG"/>
        </w:rPr>
        <w:t xml:space="preserve">0 / </w:t>
      </w:r>
      <w:r w:rsidRPr="005B1BD5">
        <w:t xml:space="preserve">F32.0 </w:t>
      </w:r>
      <w:r w:rsidRPr="005B1BD5">
        <w:rPr>
          <w:lang w:val="bg-BG" w:eastAsia="bg-BG"/>
        </w:rPr>
        <w:t xml:space="preserve">/1 </w:t>
      </w:r>
      <w:r w:rsidRPr="005B1BD5">
        <w:t xml:space="preserve">und F33.0 </w:t>
      </w:r>
      <w:r w:rsidRPr="005B1BD5">
        <w:rPr>
          <w:lang w:val="bg-BG" w:eastAsia="bg-BG"/>
        </w:rPr>
        <w:t xml:space="preserve">/ 1) със сух екстракт </w:t>
      </w:r>
      <w:r w:rsidRPr="005B1BD5">
        <w:t xml:space="preserve">Ze </w:t>
      </w:r>
      <w:r w:rsidRPr="005B1BD5">
        <w:rPr>
          <w:lang w:val="bg-BG" w:eastAsia="bg-BG"/>
        </w:rPr>
        <w:t xml:space="preserve">117 от жълт кантарион, показва добра поносимост на лекарството и значително подобрение на симптомите без степен на рецидив. Средните стойности на </w:t>
      </w:r>
      <w:r w:rsidRPr="005B1BD5">
        <w:t>HAMD</w:t>
      </w:r>
      <w:r w:rsidRPr="005B1BD5">
        <w:rPr>
          <w:lang w:val="bg-BG" w:eastAsia="bg-BG"/>
        </w:rPr>
        <w:t xml:space="preserve">-стойностите намаляват в хода на лечението от 20.6 до 12.1 след 26 седмици и до 11.2 след 52 седмици. Анализът на отговорите показва, че 60% от пациентите, завършили проучването правилно, се считат за </w:t>
      </w:r>
      <w:proofErr w:type="spellStart"/>
      <w:r w:rsidRPr="005B1BD5">
        <w:rPr>
          <w:lang w:val="bg-BG" w:eastAsia="bg-BG"/>
        </w:rPr>
        <w:t>респондери</w:t>
      </w:r>
      <w:proofErr w:type="spellEnd"/>
      <w:r w:rsidRPr="005B1BD5">
        <w:rPr>
          <w:lang w:val="bg-BG" w:eastAsia="bg-BG"/>
        </w:rPr>
        <w:t xml:space="preserve"> (при което отговор е посочен като минимум 50% намаление на първоначалната стойност на </w:t>
      </w:r>
      <w:r w:rsidRPr="005B1BD5">
        <w:t>HAMD</w:t>
      </w:r>
      <w:r w:rsidRPr="005B1BD5">
        <w:rPr>
          <w:lang w:val="bg-BG" w:eastAsia="bg-BG"/>
        </w:rPr>
        <w:t xml:space="preserve">-резултата). Наблюдавано е намаление с 20% на стойностите на </w:t>
      </w:r>
      <w:r w:rsidRPr="005B1BD5">
        <w:t>HAMD</w:t>
      </w:r>
      <w:r w:rsidRPr="005B1BD5">
        <w:rPr>
          <w:lang w:val="bg-BG" w:eastAsia="bg-BG"/>
        </w:rPr>
        <w:t xml:space="preserve">-резултата при 87% от пациентите. 217 (49,3%) от 440 пациента, включени в проучването, съобщиха за 504 нежелани събития. 423 (84,3%) от нежеланите събития се считат за несвързани с проучваното лекарство. Съобщено е, че 13 (2,6%) нежелани реакции вероятно са свързани с проучваното лекарство. </w:t>
      </w:r>
      <w:r w:rsidRPr="005B1BD5">
        <w:t xml:space="preserve">Ze </w:t>
      </w:r>
      <w:r w:rsidRPr="005B1BD5">
        <w:rPr>
          <w:lang w:val="bg-BG" w:eastAsia="bg-BG"/>
        </w:rPr>
        <w:t>117 е следователно безопасна и ефективна възможност за лечение за дългосрочно приложение при пациенти с лека до умерена депресия.</w:t>
      </w:r>
    </w:p>
    <w:p w14:paraId="4E80C3EF" w14:textId="77777777" w:rsidR="005B1BD5" w:rsidRDefault="005B1BD5" w:rsidP="005B1BD5">
      <w:pPr>
        <w:rPr>
          <w:i/>
          <w:iCs/>
          <w:lang w:val="bg-BG" w:eastAsia="bg-BG"/>
        </w:rPr>
      </w:pPr>
    </w:p>
    <w:p w14:paraId="2B1AF96F" w14:textId="6F3E9255" w:rsidR="005B1BD5" w:rsidRPr="005B1BD5" w:rsidRDefault="005B1BD5" w:rsidP="005B1BD5">
      <w:pPr>
        <w:rPr>
          <w:sz w:val="24"/>
          <w:szCs w:val="24"/>
          <w:lang w:val="bg-BG"/>
        </w:rPr>
      </w:pPr>
      <w:r w:rsidRPr="005B1BD5">
        <w:rPr>
          <w:i/>
          <w:iCs/>
          <w:lang w:val="bg-BG" w:eastAsia="bg-BG"/>
        </w:rPr>
        <w:t xml:space="preserve">Проучвания на клинични взаимодействия с перорални хормонални </w:t>
      </w:r>
      <w:proofErr w:type="spellStart"/>
      <w:r w:rsidRPr="005B1BD5">
        <w:rPr>
          <w:i/>
          <w:iCs/>
          <w:lang w:val="bg-BG" w:eastAsia="bg-BG"/>
        </w:rPr>
        <w:t>коюпрацептиви</w:t>
      </w:r>
      <w:proofErr w:type="spellEnd"/>
      <w:r w:rsidRPr="005B1BD5">
        <w:rPr>
          <w:i/>
          <w:iCs/>
          <w:lang w:val="bg-BG" w:eastAsia="bg-BG"/>
        </w:rPr>
        <w:t xml:space="preserve"> и </w:t>
      </w:r>
      <w:proofErr w:type="spellStart"/>
      <w:r w:rsidRPr="005B1BD5">
        <w:rPr>
          <w:i/>
          <w:iCs/>
          <w:lang w:val="bg-BG" w:eastAsia="bg-BG"/>
        </w:rPr>
        <w:t>цитохром</w:t>
      </w:r>
      <w:proofErr w:type="spellEnd"/>
      <w:r w:rsidRPr="005B1BD5">
        <w:rPr>
          <w:i/>
          <w:iCs/>
          <w:lang w:val="bg-BG" w:eastAsia="bg-BG"/>
        </w:rPr>
        <w:t xml:space="preserve"> Р450</w:t>
      </w:r>
    </w:p>
    <w:p w14:paraId="44DFE04E" w14:textId="77777777" w:rsidR="005B1BD5" w:rsidRPr="005B1BD5" w:rsidRDefault="005B1BD5" w:rsidP="005B1BD5">
      <w:pPr>
        <w:rPr>
          <w:sz w:val="24"/>
          <w:szCs w:val="24"/>
          <w:lang w:val="bg-BG"/>
        </w:rPr>
      </w:pPr>
      <w:r w:rsidRPr="005B1BD5">
        <w:rPr>
          <w:lang w:val="bg-BG" w:eastAsia="bg-BG"/>
        </w:rPr>
        <w:t xml:space="preserve">Неконтролирано клинично проучване на взаимодействието между </w:t>
      </w:r>
      <w:r w:rsidRPr="005B1BD5">
        <w:t xml:space="preserve">Ze </w:t>
      </w:r>
      <w:r w:rsidRPr="005B1BD5">
        <w:rPr>
          <w:lang w:val="bg-BG" w:eastAsia="bg-BG"/>
        </w:rPr>
        <w:t xml:space="preserve">117 и перорален хормонален контрацептив (0,02 </w:t>
      </w:r>
      <w:r w:rsidRPr="005B1BD5">
        <w:t xml:space="preserve">mg </w:t>
      </w:r>
      <w:proofErr w:type="spellStart"/>
      <w:r w:rsidRPr="005B1BD5">
        <w:rPr>
          <w:lang w:val="bg-BG" w:eastAsia="bg-BG"/>
        </w:rPr>
        <w:t>етинилестрадиол</w:t>
      </w:r>
      <w:proofErr w:type="spellEnd"/>
      <w:r w:rsidRPr="005B1BD5">
        <w:rPr>
          <w:lang w:val="bg-BG" w:eastAsia="bg-BG"/>
        </w:rPr>
        <w:t xml:space="preserve"> и 0,15 </w:t>
      </w:r>
      <w:r w:rsidRPr="005B1BD5">
        <w:t xml:space="preserve">mg </w:t>
      </w:r>
      <w:proofErr w:type="spellStart"/>
      <w:r w:rsidRPr="005B1BD5">
        <w:rPr>
          <w:lang w:val="bg-BG" w:eastAsia="bg-BG"/>
        </w:rPr>
        <w:t>дезогестрел</w:t>
      </w:r>
      <w:proofErr w:type="spellEnd"/>
      <w:r w:rsidRPr="005B1BD5">
        <w:rPr>
          <w:lang w:val="bg-BG" w:eastAsia="bg-BG"/>
        </w:rPr>
        <w:t xml:space="preserve">) при 16 здрави женски субекти не показва отрицателно влияние върху фармакокинетиката на активните съставки. Трите Р450 </w:t>
      </w:r>
      <w:proofErr w:type="spellStart"/>
      <w:r w:rsidRPr="005B1BD5">
        <w:rPr>
          <w:lang w:val="bg-BG" w:eastAsia="bg-BG"/>
        </w:rPr>
        <w:t>изоензима</w:t>
      </w:r>
      <w:proofErr w:type="spellEnd"/>
      <w:r w:rsidRPr="005B1BD5">
        <w:rPr>
          <w:lang w:val="bg-BG" w:eastAsia="bg-BG"/>
        </w:rPr>
        <w:t xml:space="preserve"> </w:t>
      </w:r>
      <w:r w:rsidRPr="005B1BD5">
        <w:t xml:space="preserve">CYP2D6, CYP2C19 </w:t>
      </w:r>
      <w:r w:rsidRPr="005B1BD5">
        <w:rPr>
          <w:lang w:val="bg-BG" w:eastAsia="bg-BG"/>
        </w:rPr>
        <w:t xml:space="preserve">и </w:t>
      </w:r>
      <w:r w:rsidRPr="005B1BD5">
        <w:t xml:space="preserve">CYP3A4, </w:t>
      </w:r>
      <w:r w:rsidRPr="005B1BD5">
        <w:rPr>
          <w:lang w:val="bg-BG" w:eastAsia="bg-BG"/>
        </w:rPr>
        <w:t xml:space="preserve">които са участващи в метаболизма на двете активни съставки, са били повлияни от съпътстващ прием на </w:t>
      </w:r>
      <w:r w:rsidRPr="005B1BD5">
        <w:t xml:space="preserve">Ze </w:t>
      </w:r>
      <w:r w:rsidRPr="005B1BD5">
        <w:rPr>
          <w:lang w:val="bg-BG" w:eastAsia="bg-BG"/>
        </w:rPr>
        <w:t>117 в незначителна степен. Не се наблюдава пробивно кървене.</w:t>
      </w:r>
    </w:p>
    <w:p w14:paraId="5BACE707" w14:textId="77777777" w:rsidR="005B1BD5" w:rsidRPr="005B1BD5" w:rsidRDefault="005B1BD5" w:rsidP="005B1BD5">
      <w:pPr>
        <w:rPr>
          <w:sz w:val="24"/>
          <w:szCs w:val="24"/>
          <w:lang w:val="bg-BG"/>
        </w:rPr>
      </w:pPr>
      <w:r w:rsidRPr="005B1BD5">
        <w:rPr>
          <w:lang w:val="bg-BG" w:eastAsia="bg-BG"/>
        </w:rPr>
        <w:t xml:space="preserve">Въпреки това, друго клинично изпитване с екстракт от жълт кантарион, богат на </w:t>
      </w:r>
      <w:proofErr w:type="spellStart"/>
      <w:r w:rsidRPr="005B1BD5">
        <w:rPr>
          <w:lang w:val="bg-BG" w:eastAsia="bg-BG"/>
        </w:rPr>
        <w:t>хиперфорин</w:t>
      </w:r>
      <w:proofErr w:type="spellEnd"/>
      <w:r w:rsidRPr="005B1BD5">
        <w:rPr>
          <w:lang w:val="bg-BG" w:eastAsia="bg-BG"/>
        </w:rPr>
        <w:t>, показва влияние върху фармакокинетиката на 3-кетозогестрел и експлицитно увеличение на пробивния кръвоизлив, но без овулация.</w:t>
      </w:r>
    </w:p>
    <w:p w14:paraId="660BDDD3" w14:textId="77777777" w:rsidR="005B1BD5" w:rsidRDefault="005B1BD5" w:rsidP="005B1BD5">
      <w:pPr>
        <w:rPr>
          <w:i/>
          <w:iCs/>
          <w:lang w:val="bg-BG" w:eastAsia="bg-BG"/>
        </w:rPr>
      </w:pPr>
    </w:p>
    <w:p w14:paraId="1327D774" w14:textId="3CE987CF" w:rsidR="005B1BD5" w:rsidRPr="005B1BD5" w:rsidRDefault="005B1BD5" w:rsidP="005B1BD5">
      <w:pPr>
        <w:rPr>
          <w:sz w:val="24"/>
          <w:szCs w:val="24"/>
          <w:lang w:val="bg-BG"/>
        </w:rPr>
      </w:pPr>
      <w:r w:rsidRPr="005B1BD5">
        <w:rPr>
          <w:i/>
          <w:iCs/>
          <w:lang w:val="bg-BG" w:eastAsia="bg-BG"/>
        </w:rPr>
        <w:lastRenderedPageBreak/>
        <w:t xml:space="preserve">Проучване на клиничните взаимодействия с </w:t>
      </w:r>
      <w:proofErr w:type="spellStart"/>
      <w:r w:rsidRPr="005B1BD5">
        <w:rPr>
          <w:i/>
          <w:iCs/>
          <w:lang w:val="bg-BG" w:eastAsia="bg-BG"/>
        </w:rPr>
        <w:t>дигоксин</w:t>
      </w:r>
      <w:proofErr w:type="spellEnd"/>
      <w:r w:rsidRPr="005B1BD5">
        <w:rPr>
          <w:i/>
          <w:iCs/>
          <w:lang w:val="bg-BG" w:eastAsia="bg-BG"/>
        </w:rPr>
        <w:t xml:space="preserve"> и </w:t>
      </w:r>
      <w:r w:rsidRPr="005B1BD5">
        <w:rPr>
          <w:i/>
          <w:iCs/>
        </w:rPr>
        <w:t xml:space="preserve">PGP </w:t>
      </w:r>
      <w:proofErr w:type="spellStart"/>
      <w:r w:rsidRPr="005B1BD5">
        <w:rPr>
          <w:i/>
          <w:iCs/>
          <w:lang w:val="bg-BG" w:eastAsia="bg-BG"/>
        </w:rPr>
        <w:t>транспортер</w:t>
      </w:r>
      <w:proofErr w:type="spellEnd"/>
    </w:p>
    <w:p w14:paraId="4FE4642F" w14:textId="0692E92D" w:rsidR="005B1BD5" w:rsidRPr="005B1BD5" w:rsidRDefault="005B1BD5" w:rsidP="005B1BD5">
      <w:pPr>
        <w:rPr>
          <w:sz w:val="24"/>
          <w:szCs w:val="24"/>
          <w:lang w:val="bg-BG"/>
        </w:rPr>
      </w:pPr>
      <w:r w:rsidRPr="005B1BD5">
        <w:rPr>
          <w:lang w:val="bg-BG" w:eastAsia="bg-BG"/>
        </w:rPr>
        <w:t xml:space="preserve">В рандомизирано, двойно-сляпо проучване, беше изследвано индуктивното въздействие на </w:t>
      </w:r>
      <w:r w:rsidRPr="005B1BD5">
        <w:t xml:space="preserve">Ze </w:t>
      </w:r>
      <w:r w:rsidRPr="005B1BD5">
        <w:rPr>
          <w:lang w:val="bg-BG" w:eastAsia="bg-BG"/>
        </w:rPr>
        <w:t xml:space="preserve">117 върху </w:t>
      </w:r>
      <w:r w:rsidRPr="005B1BD5">
        <w:t xml:space="preserve">PGP </w:t>
      </w:r>
      <w:proofErr w:type="spellStart"/>
      <w:r w:rsidRPr="005B1BD5">
        <w:rPr>
          <w:lang w:val="bg-BG" w:eastAsia="bg-BG"/>
        </w:rPr>
        <w:t>транспортера</w:t>
      </w:r>
      <w:proofErr w:type="spellEnd"/>
      <w:r w:rsidRPr="005B1BD5">
        <w:rPr>
          <w:lang w:val="bg-BG" w:eastAsia="bg-BG"/>
        </w:rPr>
        <w:t xml:space="preserve"> при здрави доброволци. </w:t>
      </w:r>
      <w:proofErr w:type="spellStart"/>
      <w:r w:rsidRPr="005B1BD5">
        <w:rPr>
          <w:lang w:val="bg-BG" w:eastAsia="bg-BG"/>
        </w:rPr>
        <w:t>Фармакокинетичните</w:t>
      </w:r>
      <w:proofErr w:type="spellEnd"/>
      <w:r w:rsidRPr="005B1BD5">
        <w:rPr>
          <w:lang w:val="bg-BG" w:eastAsia="bg-BG"/>
        </w:rPr>
        <w:t xml:space="preserve"> параметри на </w:t>
      </w:r>
      <w:proofErr w:type="spellStart"/>
      <w:r w:rsidRPr="005B1BD5">
        <w:rPr>
          <w:lang w:val="bg-BG" w:eastAsia="bg-BG"/>
        </w:rPr>
        <w:t>дигоксин</w:t>
      </w:r>
      <w:proofErr w:type="spellEnd"/>
      <w:r w:rsidRPr="005B1BD5">
        <w:rPr>
          <w:lang w:val="bg-BG" w:eastAsia="bg-BG"/>
        </w:rPr>
        <w:t xml:space="preserve"> са изследвани при 7 пациента, лекувани с </w:t>
      </w:r>
      <w:r w:rsidRPr="005B1BD5">
        <w:t xml:space="preserve">Ze </w:t>
      </w:r>
      <w:r w:rsidRPr="005B1BD5">
        <w:rPr>
          <w:lang w:val="bg-BG" w:eastAsia="bg-BG"/>
        </w:rPr>
        <w:t xml:space="preserve">117 и при 10 пациента, лекувани с плацебо: съответната </w:t>
      </w:r>
      <w:r w:rsidRPr="005B1BD5">
        <w:t xml:space="preserve">AUC </w:t>
      </w:r>
      <w:r w:rsidRPr="005B1BD5">
        <w:rPr>
          <w:lang w:val="bg-BG" w:eastAsia="bg-BG"/>
        </w:rPr>
        <w:t xml:space="preserve">на </w:t>
      </w:r>
      <w:proofErr w:type="spellStart"/>
      <w:r w:rsidRPr="005B1BD5">
        <w:rPr>
          <w:lang w:val="bg-BG" w:eastAsia="bg-BG"/>
        </w:rPr>
        <w:t>дигоксин</w:t>
      </w:r>
      <w:proofErr w:type="spellEnd"/>
      <w:r w:rsidRPr="005B1BD5">
        <w:rPr>
          <w:lang w:val="bg-BG" w:eastAsia="bg-BG"/>
        </w:rPr>
        <w:t xml:space="preserve"> в групите на плацебо и </w:t>
      </w:r>
      <w:r w:rsidRPr="005B1BD5">
        <w:t xml:space="preserve">verum </w:t>
      </w:r>
      <w:r w:rsidRPr="005B1BD5">
        <w:rPr>
          <w:lang w:val="bg-BG" w:eastAsia="bg-BG"/>
        </w:rPr>
        <w:t>не показва значителни разлики (р = 0,1460).</w:t>
      </w:r>
    </w:p>
    <w:p w14:paraId="51CF5C6B" w14:textId="77777777" w:rsidR="005B1BD5" w:rsidRPr="005B1BD5" w:rsidRDefault="005B1BD5" w:rsidP="005B1BD5"/>
    <w:p w14:paraId="788B4E5E" w14:textId="7049C862" w:rsidR="002C50EE" w:rsidRDefault="002C50EE" w:rsidP="002C50EE">
      <w:pPr>
        <w:pStyle w:val="Heading2"/>
      </w:pPr>
      <w:r>
        <w:t xml:space="preserve">5.2. </w:t>
      </w:r>
      <w:proofErr w:type="spellStart"/>
      <w:r>
        <w:t>Фармакокинетични</w:t>
      </w:r>
      <w:proofErr w:type="spellEnd"/>
      <w:r>
        <w:t xml:space="preserve"> </w:t>
      </w:r>
      <w:proofErr w:type="spellStart"/>
      <w:r>
        <w:t>свойства</w:t>
      </w:r>
      <w:proofErr w:type="spellEnd"/>
    </w:p>
    <w:p w14:paraId="482FE78B" w14:textId="77777777" w:rsidR="005B1BD5" w:rsidRDefault="005B1BD5" w:rsidP="005B1BD5">
      <w:pPr>
        <w:spacing w:line="240" w:lineRule="auto"/>
        <w:rPr>
          <w:rFonts w:ascii="Times New Roman" w:eastAsia="Times New Roman" w:hAnsi="Times New Roman" w:cs="Times New Roman"/>
          <w:color w:val="000000"/>
          <w:lang w:val="bg-BG" w:eastAsia="bg-BG"/>
        </w:rPr>
      </w:pPr>
    </w:p>
    <w:p w14:paraId="18756F76" w14:textId="4D080836" w:rsidR="005B1BD5" w:rsidRPr="005B1BD5" w:rsidRDefault="005B1BD5" w:rsidP="005B1BD5">
      <w:pPr>
        <w:rPr>
          <w:sz w:val="24"/>
          <w:szCs w:val="24"/>
          <w:lang w:val="bg-BG"/>
        </w:rPr>
      </w:pPr>
      <w:r w:rsidRPr="005B1BD5">
        <w:rPr>
          <w:lang w:val="bg-BG" w:eastAsia="bg-BG"/>
        </w:rPr>
        <w:t xml:space="preserve">Според настоящото ниво на познания, целият екстракт, който по своето съдържание представлява комплексна система, се приема като активно вещество. Тъй като екстрактът на жълтия кантарион съдържа множество различни фитохимични Компоненти, като маркер за определянето на </w:t>
      </w:r>
      <w:proofErr w:type="spellStart"/>
      <w:r w:rsidRPr="005B1BD5">
        <w:rPr>
          <w:lang w:val="bg-BG" w:eastAsia="bg-BG"/>
        </w:rPr>
        <w:t>фармакокинетичните</w:t>
      </w:r>
      <w:proofErr w:type="spellEnd"/>
      <w:r w:rsidRPr="005B1BD5">
        <w:rPr>
          <w:lang w:val="bg-BG" w:eastAsia="bg-BG"/>
        </w:rPr>
        <w:t xml:space="preserve"> му свойства може да се използва </w:t>
      </w:r>
      <w:proofErr w:type="spellStart"/>
      <w:r w:rsidRPr="005B1BD5">
        <w:rPr>
          <w:lang w:val="bg-BG" w:eastAsia="bg-BG"/>
        </w:rPr>
        <w:t>хиперицин</w:t>
      </w:r>
      <w:proofErr w:type="spellEnd"/>
      <w:r w:rsidRPr="005B1BD5">
        <w:rPr>
          <w:lang w:val="bg-BG" w:eastAsia="bg-BG"/>
        </w:rPr>
        <w:t>.</w:t>
      </w:r>
    </w:p>
    <w:p w14:paraId="59F26E2E" w14:textId="77777777" w:rsidR="005B1BD5" w:rsidRDefault="005B1BD5" w:rsidP="005B1BD5">
      <w:pPr>
        <w:rPr>
          <w:lang w:val="bg-BG" w:eastAsia="bg-BG"/>
        </w:rPr>
      </w:pPr>
    </w:p>
    <w:p w14:paraId="6C41C992" w14:textId="70D296DC" w:rsidR="005B1BD5" w:rsidRPr="005B1BD5" w:rsidRDefault="005B1BD5" w:rsidP="005B1BD5">
      <w:pPr>
        <w:rPr>
          <w:sz w:val="24"/>
          <w:szCs w:val="24"/>
          <w:lang w:val="bg-BG"/>
        </w:rPr>
      </w:pPr>
      <w:r w:rsidRPr="005B1BD5">
        <w:rPr>
          <w:lang w:val="bg-BG" w:eastAsia="bg-BG"/>
        </w:rPr>
        <w:t xml:space="preserve">При изпитания върху мъже при доза от 250 </w:t>
      </w:r>
      <w:r w:rsidRPr="005B1BD5">
        <w:t xml:space="preserve">mg </w:t>
      </w:r>
      <w:r w:rsidRPr="005B1BD5">
        <w:rPr>
          <w:lang w:val="bg-BG" w:eastAsia="bg-BG"/>
        </w:rPr>
        <w:t xml:space="preserve">(1 филмирана таблетка </w:t>
      </w:r>
      <w:proofErr w:type="spellStart"/>
      <w:r w:rsidRPr="005B1BD5">
        <w:rPr>
          <w:lang w:val="bg-BG" w:eastAsia="bg-BG"/>
        </w:rPr>
        <w:t>Ремотив</w:t>
      </w:r>
      <w:proofErr w:type="spellEnd"/>
      <w:r w:rsidRPr="005B1BD5">
        <w:rPr>
          <w:lang w:val="bg-BG" w:eastAsia="bg-BG"/>
        </w:rPr>
        <w:t xml:space="preserve">), пикови плазмени нива на </w:t>
      </w:r>
      <w:proofErr w:type="spellStart"/>
      <w:r w:rsidRPr="005B1BD5">
        <w:rPr>
          <w:lang w:val="bg-BG" w:eastAsia="bg-BG"/>
        </w:rPr>
        <w:t>хиперицин</w:t>
      </w:r>
      <w:proofErr w:type="spellEnd"/>
      <w:r w:rsidRPr="005B1BD5">
        <w:rPr>
          <w:lang w:val="bg-BG" w:eastAsia="bg-BG"/>
        </w:rPr>
        <w:t xml:space="preserve"> от 0.67 </w:t>
      </w:r>
      <w:proofErr w:type="spellStart"/>
      <w:r w:rsidRPr="005B1BD5">
        <w:t>μg</w:t>
      </w:r>
      <w:proofErr w:type="spellEnd"/>
      <w:r w:rsidRPr="005B1BD5">
        <w:t xml:space="preserve">/1 </w:t>
      </w:r>
      <w:r w:rsidRPr="005B1BD5">
        <w:rPr>
          <w:lang w:val="bg-BG" w:eastAsia="bg-BG"/>
        </w:rPr>
        <w:t xml:space="preserve">и 1.3 </w:t>
      </w:r>
      <w:proofErr w:type="spellStart"/>
      <w:r w:rsidRPr="005B1BD5">
        <w:rPr>
          <w:i/>
          <w:iCs/>
        </w:rPr>
        <w:t>μg</w:t>
      </w:r>
      <w:proofErr w:type="spellEnd"/>
      <w:r w:rsidRPr="005B1BD5">
        <w:rPr>
          <w:i/>
          <w:iCs/>
        </w:rPr>
        <w:t xml:space="preserve">/1 </w:t>
      </w:r>
      <w:r w:rsidRPr="005B1BD5">
        <w:rPr>
          <w:i/>
          <w:iCs/>
          <w:lang w:val="bg-BG" w:eastAsia="bg-BG"/>
        </w:rPr>
        <w:t>са</w:t>
      </w:r>
      <w:r w:rsidRPr="005B1BD5">
        <w:rPr>
          <w:lang w:val="bg-BG" w:eastAsia="bg-BG"/>
        </w:rPr>
        <w:t xml:space="preserve"> измерени съответно при стойности на </w:t>
      </w:r>
      <w:proofErr w:type="spellStart"/>
      <w:r w:rsidRPr="005B1BD5">
        <w:t>t</w:t>
      </w:r>
      <w:r w:rsidRPr="005B1BD5">
        <w:rPr>
          <w:vertAlign w:val="subscript"/>
        </w:rPr>
        <w:t>max</w:t>
      </w:r>
      <w:proofErr w:type="spellEnd"/>
      <w:r w:rsidRPr="005B1BD5">
        <w:t xml:space="preserve"> </w:t>
      </w:r>
      <w:r w:rsidRPr="005B1BD5">
        <w:rPr>
          <w:lang w:val="bg-BG" w:eastAsia="bg-BG"/>
        </w:rPr>
        <w:t xml:space="preserve">от 7,1 часа. При доза от 250 </w:t>
      </w:r>
      <w:r w:rsidRPr="005B1BD5">
        <w:t xml:space="preserve">mg </w:t>
      </w:r>
      <w:r w:rsidRPr="005B1BD5">
        <w:rPr>
          <w:lang w:val="bg-BG" w:eastAsia="bg-BG"/>
        </w:rPr>
        <w:t xml:space="preserve">(1 филмирана таблетка </w:t>
      </w:r>
      <w:proofErr w:type="spellStart"/>
      <w:r w:rsidRPr="005B1BD5">
        <w:rPr>
          <w:lang w:val="bg-BG" w:eastAsia="bg-BG"/>
        </w:rPr>
        <w:t>Ремотив</w:t>
      </w:r>
      <w:proofErr w:type="spellEnd"/>
      <w:r w:rsidRPr="005B1BD5">
        <w:rPr>
          <w:lang w:val="bg-BG" w:eastAsia="bg-BG"/>
        </w:rPr>
        <w:t xml:space="preserve">), измерените стойности на полу-живот на </w:t>
      </w:r>
      <w:proofErr w:type="spellStart"/>
      <w:r w:rsidRPr="005B1BD5">
        <w:rPr>
          <w:lang w:val="bg-BG" w:eastAsia="bg-BG"/>
        </w:rPr>
        <w:t>хиперицин</w:t>
      </w:r>
      <w:proofErr w:type="spellEnd"/>
      <w:r w:rsidRPr="005B1BD5">
        <w:rPr>
          <w:lang w:val="bg-BG" w:eastAsia="bg-BG"/>
        </w:rPr>
        <w:t xml:space="preserve"> са 21,4 часа</w:t>
      </w:r>
    </w:p>
    <w:p w14:paraId="0F23F376" w14:textId="77777777" w:rsidR="005B1BD5" w:rsidRDefault="005B1BD5" w:rsidP="005B1BD5">
      <w:pPr>
        <w:rPr>
          <w:lang w:val="bg-BG" w:eastAsia="bg-BG"/>
        </w:rPr>
      </w:pPr>
    </w:p>
    <w:p w14:paraId="32DEDFB9" w14:textId="4479C915" w:rsidR="005B1BD5" w:rsidRPr="005B1BD5" w:rsidRDefault="005B1BD5" w:rsidP="005B1BD5">
      <w:pPr>
        <w:rPr>
          <w:sz w:val="24"/>
          <w:szCs w:val="24"/>
          <w:lang w:val="bg-BG"/>
        </w:rPr>
      </w:pPr>
      <w:r w:rsidRPr="005B1BD5">
        <w:rPr>
          <w:lang w:val="bg-BG" w:eastAsia="bg-BG"/>
        </w:rPr>
        <w:t xml:space="preserve">Като цяло, максималните нива на </w:t>
      </w:r>
      <w:proofErr w:type="spellStart"/>
      <w:r w:rsidRPr="005B1BD5">
        <w:rPr>
          <w:lang w:val="bg-BG" w:eastAsia="bg-BG"/>
        </w:rPr>
        <w:t>хиперфорин</w:t>
      </w:r>
      <w:proofErr w:type="spellEnd"/>
      <w:r w:rsidRPr="005B1BD5">
        <w:rPr>
          <w:lang w:val="bg-BG" w:eastAsia="bg-BG"/>
        </w:rPr>
        <w:t xml:space="preserve"> се достигат около 3-4 часа след приложението; не може да бъде открито натрупване. </w:t>
      </w:r>
      <w:proofErr w:type="spellStart"/>
      <w:r w:rsidRPr="005B1BD5">
        <w:rPr>
          <w:lang w:val="bg-BG" w:eastAsia="bg-BG"/>
        </w:rPr>
        <w:t>Хиперфоринът</w:t>
      </w:r>
      <w:proofErr w:type="spellEnd"/>
      <w:r w:rsidRPr="005B1BD5">
        <w:rPr>
          <w:lang w:val="bg-BG" w:eastAsia="bg-BG"/>
        </w:rPr>
        <w:t xml:space="preserve"> и </w:t>
      </w:r>
      <w:proofErr w:type="spellStart"/>
      <w:r w:rsidRPr="005B1BD5">
        <w:rPr>
          <w:lang w:val="bg-BG" w:eastAsia="bg-BG"/>
        </w:rPr>
        <w:t>флавоноидът</w:t>
      </w:r>
      <w:proofErr w:type="spellEnd"/>
      <w:r w:rsidRPr="005B1BD5">
        <w:rPr>
          <w:lang w:val="bg-BG" w:eastAsia="bg-BG"/>
        </w:rPr>
        <w:t xml:space="preserve"> </w:t>
      </w:r>
      <w:proofErr w:type="spellStart"/>
      <w:r w:rsidRPr="005B1BD5">
        <w:rPr>
          <w:lang w:val="bg-BG" w:eastAsia="bg-BG"/>
        </w:rPr>
        <w:t>микеланин</w:t>
      </w:r>
      <w:proofErr w:type="spellEnd"/>
      <w:r w:rsidRPr="005B1BD5">
        <w:rPr>
          <w:lang w:val="bg-BG" w:eastAsia="bg-BG"/>
        </w:rPr>
        <w:t xml:space="preserve"> могат да преминат през кръвно-мозъчната бариера. </w:t>
      </w:r>
      <w:proofErr w:type="spellStart"/>
      <w:r w:rsidRPr="005B1BD5">
        <w:rPr>
          <w:lang w:val="bg-BG" w:eastAsia="bg-BG"/>
        </w:rPr>
        <w:t>Хиперфорин</w:t>
      </w:r>
      <w:proofErr w:type="spellEnd"/>
      <w:r w:rsidRPr="005B1BD5">
        <w:rPr>
          <w:lang w:val="bg-BG" w:eastAsia="bg-BG"/>
        </w:rPr>
        <w:t xml:space="preserve"> индуцира активността на метаболитните ензими </w:t>
      </w:r>
      <w:r w:rsidRPr="005B1BD5">
        <w:t xml:space="preserve">CYP3A4, CYP2C9, CYP2C19 </w:t>
      </w:r>
      <w:r w:rsidRPr="005B1BD5">
        <w:rPr>
          <w:lang w:val="bg-BG" w:eastAsia="bg-BG"/>
        </w:rPr>
        <w:t xml:space="preserve">и </w:t>
      </w:r>
      <w:r w:rsidRPr="005B1BD5">
        <w:t xml:space="preserve">PGP, </w:t>
      </w:r>
      <w:r w:rsidRPr="005B1BD5">
        <w:rPr>
          <w:lang w:val="bg-BG" w:eastAsia="bg-BG"/>
        </w:rPr>
        <w:t xml:space="preserve">в зависимост от дозата, чрез активиране на </w:t>
      </w:r>
      <w:r w:rsidRPr="005B1BD5">
        <w:t xml:space="preserve">PXR </w:t>
      </w:r>
      <w:r w:rsidRPr="005B1BD5">
        <w:rPr>
          <w:lang w:val="bg-BG" w:eastAsia="bg-BG"/>
        </w:rPr>
        <w:t>системата. Следователно, елиминирането на други лекарствени вещества може да се ускори, което води до понижаване на плазмените концентрации.</w:t>
      </w:r>
    </w:p>
    <w:p w14:paraId="5999448C" w14:textId="279BF411" w:rsidR="005B1BD5" w:rsidRDefault="005B1BD5" w:rsidP="005B1BD5">
      <w:pPr>
        <w:rPr>
          <w:lang w:val="bg-BG" w:eastAsia="bg-BG"/>
        </w:rPr>
      </w:pPr>
      <w:r w:rsidRPr="005B1BD5">
        <w:rPr>
          <w:lang w:val="bg-BG" w:eastAsia="bg-BG"/>
        </w:rPr>
        <w:t>Досега не са провеждани допълнителни тестове по отношение на разпределението, метаболизма и елиминирането, тъй като терапевтично значимите активни вещества от екстракта от жълт кантарион все още не са ясно идентифицирани.</w:t>
      </w:r>
    </w:p>
    <w:p w14:paraId="24EF03A6" w14:textId="77777777" w:rsidR="005B1BD5" w:rsidRPr="005B1BD5" w:rsidRDefault="005B1BD5" w:rsidP="005B1BD5">
      <w:pPr>
        <w:rPr>
          <w:sz w:val="24"/>
          <w:szCs w:val="24"/>
          <w:lang w:val="bg-BG"/>
        </w:rPr>
      </w:pPr>
    </w:p>
    <w:p w14:paraId="134A69A8" w14:textId="006BB81F" w:rsidR="002C50EE" w:rsidRDefault="002C50EE" w:rsidP="002C50EE">
      <w:pPr>
        <w:pStyle w:val="Heading2"/>
      </w:pPr>
      <w:r>
        <w:t xml:space="preserve">5.3. </w:t>
      </w:r>
      <w:proofErr w:type="spellStart"/>
      <w:r>
        <w:t>Предклинични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p>
    <w:p w14:paraId="4410F6D3" w14:textId="77777777" w:rsidR="005B1BD5" w:rsidRDefault="005B1BD5" w:rsidP="005B1BD5">
      <w:pPr>
        <w:rPr>
          <w:lang w:val="bg-BG" w:eastAsia="bg-BG"/>
        </w:rPr>
      </w:pPr>
    </w:p>
    <w:p w14:paraId="45BF39D8" w14:textId="61DBB08D" w:rsidR="005B1BD5" w:rsidRPr="005B1BD5" w:rsidRDefault="005B1BD5" w:rsidP="005B1BD5">
      <w:pPr>
        <w:rPr>
          <w:sz w:val="24"/>
          <w:szCs w:val="24"/>
          <w:lang w:val="bg-BG"/>
        </w:rPr>
      </w:pPr>
      <w:r w:rsidRPr="005B1BD5">
        <w:rPr>
          <w:lang w:val="bg-BG" w:eastAsia="bg-BG"/>
        </w:rPr>
        <w:t xml:space="preserve">Слабо положителните резултати от различен </w:t>
      </w:r>
      <w:proofErr w:type="spellStart"/>
      <w:r w:rsidRPr="005B1BD5">
        <w:rPr>
          <w:lang w:val="bg-BG" w:eastAsia="bg-BG"/>
        </w:rPr>
        <w:t>етанолов</w:t>
      </w:r>
      <w:proofErr w:type="spellEnd"/>
      <w:r w:rsidRPr="005B1BD5">
        <w:rPr>
          <w:lang w:val="bg-BG" w:eastAsia="bg-BG"/>
        </w:rPr>
        <w:t xml:space="preserve"> екстракт в теста </w:t>
      </w:r>
      <w:r w:rsidRPr="005B1BD5">
        <w:t xml:space="preserve">AMES </w:t>
      </w:r>
      <w:r w:rsidRPr="005B1BD5">
        <w:rPr>
          <w:i/>
          <w:iCs/>
        </w:rPr>
        <w:t>(Salmonella typhimurium</w:t>
      </w:r>
      <w:r w:rsidRPr="005B1BD5">
        <w:t xml:space="preserve"> </w:t>
      </w:r>
      <w:r w:rsidRPr="005B1BD5">
        <w:rPr>
          <w:lang w:val="bg-BG" w:eastAsia="bg-BG"/>
        </w:rPr>
        <w:t xml:space="preserve">ТА 98 и ТА 100, с и без метаболитно активиране), могат да бъдат приписани на </w:t>
      </w:r>
      <w:proofErr w:type="spellStart"/>
      <w:r w:rsidRPr="005B1BD5">
        <w:rPr>
          <w:lang w:val="bg-BG" w:eastAsia="bg-BG"/>
        </w:rPr>
        <w:t>кверцетин</w:t>
      </w:r>
      <w:proofErr w:type="spellEnd"/>
      <w:r w:rsidRPr="005B1BD5">
        <w:rPr>
          <w:lang w:val="bg-BG" w:eastAsia="bg-BG"/>
        </w:rPr>
        <w:t xml:space="preserve"> и са без значение за безопасността на хората. При други </w:t>
      </w:r>
      <w:r w:rsidRPr="005B1BD5">
        <w:t xml:space="preserve">in vitro </w:t>
      </w:r>
      <w:r w:rsidRPr="005B1BD5">
        <w:rPr>
          <w:lang w:val="bg-BG" w:eastAsia="bg-BG"/>
        </w:rPr>
        <w:t xml:space="preserve">и </w:t>
      </w:r>
      <w:r w:rsidRPr="005B1BD5">
        <w:t xml:space="preserve">in vivo </w:t>
      </w:r>
      <w:r w:rsidRPr="005B1BD5">
        <w:rPr>
          <w:lang w:val="bg-BG" w:eastAsia="bg-BG"/>
        </w:rPr>
        <w:t xml:space="preserve">тестови системи не могат да бъдат открити признаци на </w:t>
      </w:r>
      <w:proofErr w:type="spellStart"/>
      <w:r w:rsidRPr="005B1BD5">
        <w:rPr>
          <w:lang w:val="bg-BG" w:eastAsia="bg-BG"/>
        </w:rPr>
        <w:t>мутагенност</w:t>
      </w:r>
      <w:proofErr w:type="spellEnd"/>
      <w:r w:rsidRPr="005B1BD5">
        <w:rPr>
          <w:lang w:val="bg-BG" w:eastAsia="bg-BG"/>
        </w:rPr>
        <w:t xml:space="preserve">. При микронуклеарния тест със </w:t>
      </w:r>
      <w:r w:rsidRPr="005B1BD5">
        <w:t xml:space="preserve">Ze </w:t>
      </w:r>
      <w:r w:rsidRPr="005B1BD5">
        <w:rPr>
          <w:lang w:val="bg-BG" w:eastAsia="bg-BG"/>
        </w:rPr>
        <w:t xml:space="preserve">117 не </w:t>
      </w:r>
      <w:r w:rsidRPr="005B1BD5">
        <w:t>e</w:t>
      </w:r>
      <w:r w:rsidRPr="005B1BD5">
        <w:rPr>
          <w:lang w:val="bg-BG" w:eastAsia="bg-BG"/>
        </w:rPr>
        <w:t xml:space="preserve"> наблюдавано значително изменение на съотношението между </w:t>
      </w:r>
      <w:proofErr w:type="spellStart"/>
      <w:r w:rsidRPr="005B1BD5">
        <w:rPr>
          <w:lang w:val="bg-BG" w:eastAsia="bg-BG"/>
        </w:rPr>
        <w:t>полихроматични</w:t>
      </w:r>
      <w:proofErr w:type="spellEnd"/>
      <w:r w:rsidRPr="005B1BD5">
        <w:rPr>
          <w:lang w:val="bg-BG" w:eastAsia="bg-BG"/>
        </w:rPr>
        <w:t xml:space="preserve"> и </w:t>
      </w:r>
      <w:proofErr w:type="spellStart"/>
      <w:r w:rsidRPr="005B1BD5">
        <w:rPr>
          <w:lang w:val="bg-BG" w:eastAsia="bg-BG"/>
        </w:rPr>
        <w:t>нормохроматични</w:t>
      </w:r>
      <w:proofErr w:type="spellEnd"/>
      <w:r w:rsidRPr="005B1BD5">
        <w:rPr>
          <w:lang w:val="bg-BG" w:eastAsia="bg-BG"/>
        </w:rPr>
        <w:t xml:space="preserve"> еритроцити и не се наблюдава значима индикация за </w:t>
      </w:r>
      <w:proofErr w:type="spellStart"/>
      <w:r w:rsidRPr="005B1BD5">
        <w:rPr>
          <w:lang w:val="bg-BG" w:eastAsia="bg-BG"/>
        </w:rPr>
        <w:t>кластогенни</w:t>
      </w:r>
      <w:proofErr w:type="spellEnd"/>
      <w:r w:rsidRPr="005B1BD5">
        <w:rPr>
          <w:lang w:val="bg-BG" w:eastAsia="bg-BG"/>
        </w:rPr>
        <w:t xml:space="preserve"> ефекти след лечение с дози до 5000 </w:t>
      </w:r>
      <w:r w:rsidRPr="005B1BD5">
        <w:t xml:space="preserve">mg </w:t>
      </w:r>
      <w:r w:rsidRPr="005B1BD5">
        <w:rPr>
          <w:lang w:val="bg-BG" w:eastAsia="bg-BG"/>
        </w:rPr>
        <w:t xml:space="preserve">/ </w:t>
      </w:r>
      <w:r w:rsidRPr="005B1BD5">
        <w:t>kg.</w:t>
      </w:r>
    </w:p>
    <w:p w14:paraId="541AEBF5" w14:textId="77777777" w:rsidR="005B1BD5" w:rsidRPr="005B1BD5" w:rsidRDefault="005B1BD5" w:rsidP="005B1BD5">
      <w:pPr>
        <w:rPr>
          <w:sz w:val="24"/>
          <w:szCs w:val="24"/>
          <w:lang w:val="bg-BG"/>
        </w:rPr>
      </w:pPr>
      <w:r w:rsidRPr="005B1BD5">
        <w:rPr>
          <w:lang w:val="bg-BG" w:eastAsia="bg-BG"/>
        </w:rPr>
        <w:t>Проучванията за остра токсичност и токсичност при многократно прилагане на различни екстракти от жълт кантарион, не показват признаци на токсични ефекти.</w:t>
      </w:r>
    </w:p>
    <w:p w14:paraId="27DB03B3" w14:textId="77777777" w:rsidR="005B1BD5" w:rsidRPr="005B1BD5" w:rsidRDefault="005B1BD5" w:rsidP="005B1BD5">
      <w:pPr>
        <w:rPr>
          <w:sz w:val="24"/>
          <w:szCs w:val="24"/>
          <w:lang w:val="bg-BG"/>
        </w:rPr>
      </w:pPr>
      <w:r w:rsidRPr="005B1BD5">
        <w:rPr>
          <w:lang w:val="bg-BG" w:eastAsia="bg-BG"/>
        </w:rPr>
        <w:t>Не са публикувани тестове за канцерогенния потенциал.</w:t>
      </w:r>
    </w:p>
    <w:p w14:paraId="1829C0DF" w14:textId="77777777" w:rsidR="005B1BD5" w:rsidRPr="005B1BD5" w:rsidRDefault="005B1BD5" w:rsidP="005B1BD5">
      <w:pPr>
        <w:rPr>
          <w:sz w:val="24"/>
          <w:szCs w:val="24"/>
          <w:lang w:val="bg-BG"/>
        </w:rPr>
      </w:pPr>
      <w:r w:rsidRPr="005B1BD5">
        <w:rPr>
          <w:lang w:val="bg-BG" w:eastAsia="bg-BG"/>
        </w:rPr>
        <w:t>Тестовете за репродуктивна токсичност разкриха двусмислени резултати.</w:t>
      </w:r>
    </w:p>
    <w:p w14:paraId="14D8F27F" w14:textId="77777777" w:rsidR="005B1BD5" w:rsidRPr="005B1BD5" w:rsidRDefault="005B1BD5" w:rsidP="005B1BD5">
      <w:pPr>
        <w:rPr>
          <w:sz w:val="24"/>
          <w:szCs w:val="24"/>
          <w:lang w:val="bg-BG"/>
        </w:rPr>
      </w:pPr>
      <w:r w:rsidRPr="005B1BD5">
        <w:rPr>
          <w:lang w:val="bg-BG" w:eastAsia="bg-BG"/>
        </w:rPr>
        <w:t xml:space="preserve">След перорално приложение на дози над 1800 </w:t>
      </w:r>
      <w:r w:rsidRPr="005B1BD5">
        <w:t xml:space="preserve">mg </w:t>
      </w:r>
      <w:r w:rsidRPr="005B1BD5">
        <w:rPr>
          <w:lang w:val="bg-BG" w:eastAsia="bg-BG"/>
        </w:rPr>
        <w:t xml:space="preserve">екстракт на ден, за 15 дни се повишава чувствителността на кожата към </w:t>
      </w:r>
      <w:r w:rsidRPr="005B1BD5">
        <w:t xml:space="preserve">UVA </w:t>
      </w:r>
      <w:r w:rsidRPr="005B1BD5">
        <w:rPr>
          <w:lang w:val="bg-BG" w:eastAsia="bg-BG"/>
        </w:rPr>
        <w:t xml:space="preserve">и минималната доза за пигментация е значително </w:t>
      </w:r>
      <w:r w:rsidRPr="005B1BD5">
        <w:rPr>
          <w:lang w:val="bg-BG" w:eastAsia="bg-BG"/>
        </w:rPr>
        <w:lastRenderedPageBreak/>
        <w:t xml:space="preserve">намалена. При препоръчваната дневна доза от 500 </w:t>
      </w:r>
      <w:r w:rsidRPr="005B1BD5">
        <w:t xml:space="preserve">mg Ze </w:t>
      </w:r>
      <w:r w:rsidRPr="005B1BD5">
        <w:rPr>
          <w:lang w:val="bg-BG" w:eastAsia="bg-BG"/>
        </w:rPr>
        <w:t xml:space="preserve">117 не се съобщава за признаци на </w:t>
      </w:r>
      <w:proofErr w:type="spellStart"/>
      <w:r w:rsidRPr="005B1BD5">
        <w:rPr>
          <w:lang w:val="bg-BG" w:eastAsia="bg-BG"/>
        </w:rPr>
        <w:t>фототоксичност</w:t>
      </w:r>
      <w:proofErr w:type="spellEnd"/>
      <w:r w:rsidRPr="005B1BD5">
        <w:rPr>
          <w:lang w:val="bg-BG" w:eastAsia="bg-BG"/>
        </w:rPr>
        <w:t>.</w:t>
      </w:r>
    </w:p>
    <w:p w14:paraId="3F83354F" w14:textId="77777777" w:rsidR="005B1BD5" w:rsidRPr="005B1BD5" w:rsidRDefault="005B1BD5" w:rsidP="005B1BD5"/>
    <w:p w14:paraId="28C40F19" w14:textId="59D9E22E" w:rsidR="002C50EE" w:rsidRDefault="002C50EE" w:rsidP="002C50EE">
      <w:pPr>
        <w:pStyle w:val="Heading1"/>
      </w:pPr>
      <w:r>
        <w:t>7. ПРИТЕЖАТЕЛ НА РАЗРЕШЕНИЕТО ЗА УПОТРЕБА</w:t>
      </w:r>
    </w:p>
    <w:p w14:paraId="1652EA34" w14:textId="77777777" w:rsidR="005B1BD5" w:rsidRPr="005B1BD5" w:rsidRDefault="005B1BD5" w:rsidP="005B1BD5">
      <w:pPr>
        <w:rPr>
          <w:sz w:val="24"/>
          <w:szCs w:val="24"/>
        </w:rPr>
      </w:pPr>
      <w:proofErr w:type="spellStart"/>
      <w:r w:rsidRPr="005B1BD5">
        <w:t>Ewopharma</w:t>
      </w:r>
      <w:proofErr w:type="spellEnd"/>
      <w:r w:rsidRPr="005B1BD5">
        <w:t xml:space="preserve"> International </w:t>
      </w:r>
      <w:proofErr w:type="spellStart"/>
      <w:r w:rsidRPr="005B1BD5">
        <w:t>s.r.o.</w:t>
      </w:r>
      <w:proofErr w:type="spellEnd"/>
    </w:p>
    <w:p w14:paraId="05EF79A0" w14:textId="77777777" w:rsidR="005B1BD5" w:rsidRPr="005B1BD5" w:rsidRDefault="005B1BD5" w:rsidP="005B1BD5">
      <w:pPr>
        <w:rPr>
          <w:sz w:val="24"/>
          <w:szCs w:val="24"/>
        </w:rPr>
      </w:pPr>
      <w:proofErr w:type="spellStart"/>
      <w:r w:rsidRPr="005B1BD5">
        <w:t>Prokopa</w:t>
      </w:r>
      <w:proofErr w:type="spellEnd"/>
      <w:r w:rsidRPr="005B1BD5">
        <w:t xml:space="preserve"> </w:t>
      </w:r>
      <w:proofErr w:type="spellStart"/>
      <w:r w:rsidRPr="005B1BD5">
        <w:t>Vefkeho</w:t>
      </w:r>
      <w:proofErr w:type="spellEnd"/>
      <w:r w:rsidRPr="005B1BD5">
        <w:t xml:space="preserve"> 52,</w:t>
      </w:r>
    </w:p>
    <w:p w14:paraId="1CC9FB31" w14:textId="77777777" w:rsidR="005B1BD5" w:rsidRDefault="005B1BD5" w:rsidP="005B1BD5">
      <w:r w:rsidRPr="005B1BD5">
        <w:t xml:space="preserve">811 04 Bratislava, </w:t>
      </w:r>
    </w:p>
    <w:p w14:paraId="4F19B376" w14:textId="28068285" w:rsidR="005B1BD5" w:rsidRPr="005B1BD5" w:rsidRDefault="005B1BD5" w:rsidP="005B1BD5">
      <w:pPr>
        <w:rPr>
          <w:sz w:val="24"/>
          <w:szCs w:val="24"/>
        </w:rPr>
      </w:pPr>
      <w:r w:rsidRPr="005B1BD5">
        <w:rPr>
          <w:lang w:val="bg-BG" w:eastAsia="bg-BG"/>
        </w:rPr>
        <w:t>Словакия</w:t>
      </w:r>
    </w:p>
    <w:p w14:paraId="16C6DD46" w14:textId="77777777" w:rsidR="005B1BD5" w:rsidRPr="005B1BD5" w:rsidRDefault="005B1BD5" w:rsidP="005B1BD5"/>
    <w:p w14:paraId="04840D59" w14:textId="0BB6363C" w:rsidR="002C50EE" w:rsidRDefault="002C50EE" w:rsidP="002C50EE">
      <w:pPr>
        <w:pStyle w:val="Heading1"/>
      </w:pPr>
      <w:r>
        <w:t>8. НОМЕР НА РАЗРЕШЕНИЕТО ЗА УПОТРЕБА</w:t>
      </w:r>
    </w:p>
    <w:p w14:paraId="684B4E72" w14:textId="3296E668" w:rsidR="005B1BD5" w:rsidRPr="005B1BD5" w:rsidRDefault="005B1BD5" w:rsidP="005B1BD5">
      <w:proofErr w:type="spellStart"/>
      <w:r>
        <w:t>Регистрационен</w:t>
      </w:r>
      <w:proofErr w:type="spellEnd"/>
      <w:r>
        <w:t xml:space="preserve"> №20030262</w:t>
      </w:r>
    </w:p>
    <w:p w14:paraId="5900CBF3" w14:textId="621203EA" w:rsidR="002C50EE" w:rsidRDefault="002C50EE" w:rsidP="002C50EE">
      <w:pPr>
        <w:pStyle w:val="Heading1"/>
      </w:pPr>
      <w:r>
        <w:t>9. ДАТА НА ПЪРВО РАЗРЕШАВАНЕ/ПОДНОВЯВАНЕ НА РАЗРЕШЕНИЕТО ЗА УПОТРЕБА</w:t>
      </w:r>
    </w:p>
    <w:p w14:paraId="76C14628" w14:textId="77777777" w:rsidR="005B1BD5" w:rsidRPr="005B1BD5" w:rsidRDefault="005B1BD5" w:rsidP="005B1BD5">
      <w:pPr>
        <w:rPr>
          <w:sz w:val="24"/>
          <w:szCs w:val="24"/>
          <w:lang w:val="bg-BG"/>
        </w:rPr>
      </w:pPr>
      <w:r w:rsidRPr="005B1BD5">
        <w:rPr>
          <w:lang w:val="bg-BG" w:eastAsia="bg-BG"/>
        </w:rPr>
        <w:t>Дата на първо разрешаване: 14.04.2003</w:t>
      </w:r>
    </w:p>
    <w:p w14:paraId="682D0391" w14:textId="6FAD76C5" w:rsidR="005B1BD5" w:rsidRPr="005B1BD5" w:rsidRDefault="005B1BD5" w:rsidP="005B1BD5">
      <w:r w:rsidRPr="005B1BD5">
        <w:rPr>
          <w:lang w:val="bg-BG" w:eastAsia="bg-BG"/>
        </w:rPr>
        <w:t>Дата на последно подновяване: 05.08.2008</w:t>
      </w:r>
    </w:p>
    <w:p w14:paraId="0E9D0119" w14:textId="6CB268B6" w:rsidR="002C50EE" w:rsidRDefault="002C50EE" w:rsidP="002C50EE">
      <w:pPr>
        <w:pStyle w:val="Heading1"/>
      </w:pPr>
      <w:r>
        <w:t>10. ДАТА НА АКТУАЛИЗИРАНЕ НА ТЕКСТА</w:t>
      </w:r>
    </w:p>
    <w:p w14:paraId="136805C8" w14:textId="49A73678" w:rsidR="005B1BD5" w:rsidRPr="005B1BD5" w:rsidRDefault="005B1BD5" w:rsidP="005B1BD5">
      <w:r>
        <w:t>12/2018</w:t>
      </w:r>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3"/>
  </w:num>
  <w:num w:numId="5">
    <w:abstractNumId w:val="1"/>
  </w:num>
  <w:num w:numId="6">
    <w:abstractNumId w:val="11"/>
  </w:num>
  <w:num w:numId="7">
    <w:abstractNumId w:val="6"/>
  </w:num>
  <w:num w:numId="8">
    <w:abstractNumId w:val="10"/>
  </w:num>
  <w:num w:numId="9">
    <w:abstractNumId w:val="2"/>
  </w:num>
  <w:num w:numId="10">
    <w:abstractNumId w:val="4"/>
  </w:num>
  <w:num w:numId="11">
    <w:abstractNumId w:val="16"/>
  </w:num>
  <w:num w:numId="12">
    <w:abstractNumId w:val="9"/>
  </w:num>
  <w:num w:numId="13">
    <w:abstractNumId w:val="12"/>
  </w:num>
  <w:num w:numId="14">
    <w:abstractNumId w:val="7"/>
  </w:num>
  <w:num w:numId="15">
    <w:abstractNumId w:val="15"/>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B1BD5"/>
    <w:rsid w:val="00605BCA"/>
    <w:rsid w:val="006158A1"/>
    <w:rsid w:val="00617B1F"/>
    <w:rsid w:val="00672487"/>
    <w:rsid w:val="00672600"/>
    <w:rsid w:val="00681D4A"/>
    <w:rsid w:val="00685882"/>
    <w:rsid w:val="0075649D"/>
    <w:rsid w:val="00814073"/>
    <w:rsid w:val="00826F0D"/>
    <w:rsid w:val="00893B92"/>
    <w:rsid w:val="008C70A2"/>
    <w:rsid w:val="009773E4"/>
    <w:rsid w:val="00A20351"/>
    <w:rsid w:val="00AC63CE"/>
    <w:rsid w:val="00AE2107"/>
    <w:rsid w:val="00B275A8"/>
    <w:rsid w:val="00BF2600"/>
    <w:rsid w:val="00C07B84"/>
    <w:rsid w:val="00C33464"/>
    <w:rsid w:val="00C83063"/>
    <w:rsid w:val="00C87E90"/>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2021-07-26T10:57:00Z</dcterms:created>
  <dcterms:modified xsi:type="dcterms:W3CDTF">2021-07-26T10:57:00Z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