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27EB325" w:rsidR="00AA23EC" w:rsidRDefault="00DD466D" w:rsidP="00DD466D">
      <w:pPr>
        <w:pStyle w:val="Heading1"/>
      </w:pPr>
      <w:r>
        <w:t>1.ИМЕ НА ЛЕКАРСТВЕНИЯ ПРОДУКТ</w:t>
      </w:r>
    </w:p>
    <w:p w14:paraId="31AB6B88" w14:textId="18491920" w:rsidR="009E7776" w:rsidRDefault="009E7776" w:rsidP="009E7776"/>
    <w:p w14:paraId="74DD6B20" w14:textId="77777777" w:rsidR="009E7776" w:rsidRPr="009E7776" w:rsidRDefault="009E7776" w:rsidP="009E7776">
      <w:pPr>
        <w:rPr>
          <w:sz w:val="24"/>
          <w:szCs w:val="24"/>
        </w:rPr>
      </w:pPr>
      <w:r w:rsidRPr="009E7776">
        <w:rPr>
          <w:lang w:eastAsia="bg-BG"/>
        </w:rPr>
        <w:t xml:space="preserve">Ренаприл 5 </w:t>
      </w:r>
      <w:r w:rsidRPr="009E7776">
        <w:rPr>
          <w:lang w:val="en-US"/>
        </w:rPr>
        <w:t>mg</w:t>
      </w:r>
      <w:r w:rsidRPr="009E7776">
        <w:t xml:space="preserve"> </w:t>
      </w:r>
      <w:r w:rsidRPr="009E7776">
        <w:rPr>
          <w:lang w:eastAsia="bg-BG"/>
        </w:rPr>
        <w:t>таблетки</w:t>
      </w:r>
    </w:p>
    <w:p w14:paraId="6D63A548" w14:textId="77777777" w:rsidR="009E7776" w:rsidRPr="009E7776" w:rsidRDefault="009E7776" w:rsidP="009E7776">
      <w:pPr>
        <w:rPr>
          <w:sz w:val="24"/>
          <w:szCs w:val="24"/>
        </w:rPr>
      </w:pPr>
      <w:proofErr w:type="spellStart"/>
      <w:r w:rsidRPr="009E7776">
        <w:rPr>
          <w:lang w:val="en-US"/>
        </w:rPr>
        <w:t>Renapril</w:t>
      </w:r>
      <w:proofErr w:type="spellEnd"/>
      <w:r w:rsidRPr="009E7776">
        <w:t xml:space="preserve"> </w:t>
      </w:r>
      <w:r w:rsidRPr="009E7776">
        <w:rPr>
          <w:lang w:eastAsia="bg-BG"/>
        </w:rPr>
        <w:t xml:space="preserve">5 </w:t>
      </w:r>
      <w:r w:rsidRPr="009E7776">
        <w:rPr>
          <w:lang w:val="en-US"/>
        </w:rPr>
        <w:t>mg</w:t>
      </w:r>
      <w:r w:rsidRPr="009E7776">
        <w:t xml:space="preserve"> </w:t>
      </w:r>
      <w:r w:rsidRPr="009E7776">
        <w:rPr>
          <w:lang w:val="en-US"/>
        </w:rPr>
        <w:t>tablets</w:t>
      </w:r>
    </w:p>
    <w:p w14:paraId="2FEAC9CB" w14:textId="77777777" w:rsidR="009E7776" w:rsidRDefault="009E7776" w:rsidP="009E7776">
      <w:pPr>
        <w:rPr>
          <w:lang w:eastAsia="bg-BG"/>
        </w:rPr>
      </w:pPr>
    </w:p>
    <w:p w14:paraId="22C8ADE0" w14:textId="63E6FFA8" w:rsidR="009E7776" w:rsidRPr="009E7776" w:rsidRDefault="009E7776" w:rsidP="009E7776">
      <w:pPr>
        <w:rPr>
          <w:sz w:val="24"/>
          <w:szCs w:val="24"/>
        </w:rPr>
      </w:pPr>
      <w:r w:rsidRPr="009E7776">
        <w:rPr>
          <w:lang w:eastAsia="bg-BG"/>
        </w:rPr>
        <w:t xml:space="preserve">Ренаприл 10 </w:t>
      </w:r>
      <w:r w:rsidRPr="009E7776">
        <w:rPr>
          <w:lang w:val="en-US"/>
        </w:rPr>
        <w:t>mg</w:t>
      </w:r>
      <w:r w:rsidRPr="009E7776">
        <w:t xml:space="preserve"> </w:t>
      </w:r>
      <w:r w:rsidRPr="009E7776">
        <w:rPr>
          <w:lang w:eastAsia="bg-BG"/>
        </w:rPr>
        <w:t>таблетки</w:t>
      </w:r>
    </w:p>
    <w:p w14:paraId="07C32173" w14:textId="77777777" w:rsidR="009E7776" w:rsidRPr="009E7776" w:rsidRDefault="009E7776" w:rsidP="009E7776">
      <w:pPr>
        <w:rPr>
          <w:sz w:val="24"/>
          <w:szCs w:val="24"/>
        </w:rPr>
      </w:pPr>
      <w:proofErr w:type="spellStart"/>
      <w:r w:rsidRPr="009E7776">
        <w:rPr>
          <w:lang w:val="en-US"/>
        </w:rPr>
        <w:t>Renapril</w:t>
      </w:r>
      <w:proofErr w:type="spellEnd"/>
      <w:r w:rsidRPr="009E7776">
        <w:t xml:space="preserve"> </w:t>
      </w:r>
      <w:r w:rsidRPr="009E7776">
        <w:rPr>
          <w:lang w:eastAsia="bg-BG"/>
        </w:rPr>
        <w:t xml:space="preserve">10 </w:t>
      </w:r>
      <w:r w:rsidRPr="009E7776">
        <w:rPr>
          <w:lang w:val="en-US"/>
        </w:rPr>
        <w:t>mg</w:t>
      </w:r>
      <w:r w:rsidRPr="009E7776">
        <w:t xml:space="preserve"> </w:t>
      </w:r>
      <w:r w:rsidRPr="009E7776">
        <w:rPr>
          <w:lang w:val="en-US"/>
        </w:rPr>
        <w:t>tablets</w:t>
      </w:r>
    </w:p>
    <w:p w14:paraId="47559680" w14:textId="77777777" w:rsidR="009E7776" w:rsidRPr="009E7776" w:rsidRDefault="009E7776" w:rsidP="009E7776"/>
    <w:p w14:paraId="0A368469" w14:textId="5D4C2A97" w:rsidR="00C0049F" w:rsidRDefault="00DD466D" w:rsidP="009F1313">
      <w:pPr>
        <w:pStyle w:val="Heading1"/>
      </w:pPr>
      <w:r>
        <w:t>2. КАЧЕСТВЕН И КОЛИЧЕСТВЕН СЪСТАВ</w:t>
      </w:r>
    </w:p>
    <w:p w14:paraId="4E0AC563" w14:textId="0E433B56" w:rsidR="009E7776" w:rsidRDefault="009E7776" w:rsidP="009E7776"/>
    <w:p w14:paraId="444819F3" w14:textId="216D1FA2" w:rsidR="009E7776" w:rsidRPr="009E7776" w:rsidRDefault="009E7776" w:rsidP="009E7776">
      <w:r>
        <w:t xml:space="preserve">Всяка таблетка съдържа 5 </w:t>
      </w:r>
      <w:r>
        <w:rPr>
          <w:lang w:val="en-US"/>
        </w:rPr>
        <w:t>mg</w:t>
      </w:r>
      <w:r w:rsidRPr="009E7776">
        <w:t xml:space="preserve"> </w:t>
      </w:r>
      <w:r>
        <w:t xml:space="preserve">или 10 </w:t>
      </w:r>
      <w:r>
        <w:rPr>
          <w:lang w:val="en-US"/>
        </w:rPr>
        <w:t>mg</w:t>
      </w:r>
      <w:r w:rsidRPr="009E7776">
        <w:t xml:space="preserve"> </w:t>
      </w:r>
      <w:r>
        <w:t xml:space="preserve">еналаприлов малеат </w:t>
      </w:r>
      <w:r w:rsidRPr="009E7776">
        <w:rPr>
          <w:i/>
          <w:iCs/>
        </w:rPr>
        <w:t>(</w:t>
      </w:r>
      <w:proofErr w:type="spellStart"/>
      <w:r>
        <w:rPr>
          <w:i/>
          <w:iCs/>
          <w:lang w:val="en-US"/>
        </w:rPr>
        <w:t>enalapril</w:t>
      </w:r>
      <w:proofErr w:type="spellEnd"/>
      <w:r w:rsidRPr="009E7776">
        <w:rPr>
          <w:i/>
          <w:iCs/>
        </w:rPr>
        <w:t xml:space="preserve"> </w:t>
      </w:r>
      <w:r>
        <w:rPr>
          <w:i/>
          <w:iCs/>
          <w:lang w:val="en-US"/>
        </w:rPr>
        <w:t>maleate</w:t>
      </w:r>
      <w:r w:rsidRPr="009E7776">
        <w:rPr>
          <w:i/>
          <w:iCs/>
        </w:rPr>
        <w:t>).</w:t>
      </w:r>
    </w:p>
    <w:p w14:paraId="614984C4" w14:textId="72635C6B" w:rsidR="008A6AF2" w:rsidRDefault="00DD466D" w:rsidP="002C50EE">
      <w:pPr>
        <w:pStyle w:val="Heading1"/>
      </w:pPr>
      <w:r>
        <w:t>3. ЛЕКАРСТВЕНА ФОРМА</w:t>
      </w:r>
    </w:p>
    <w:p w14:paraId="68DD7B84" w14:textId="13D86088" w:rsidR="009E7776" w:rsidRDefault="009E7776" w:rsidP="009E7776"/>
    <w:p w14:paraId="6795E63D" w14:textId="77777777" w:rsidR="009E7776" w:rsidRPr="009E7776" w:rsidRDefault="009E7776" w:rsidP="009E7776">
      <w:pPr>
        <w:rPr>
          <w:sz w:val="24"/>
          <w:szCs w:val="24"/>
        </w:rPr>
      </w:pPr>
      <w:r w:rsidRPr="009E7776">
        <w:rPr>
          <w:lang w:eastAsia="bg-BG"/>
        </w:rPr>
        <w:t>Таблетка</w:t>
      </w:r>
    </w:p>
    <w:p w14:paraId="7B6974FA" w14:textId="77777777" w:rsidR="009E7776" w:rsidRDefault="009E7776" w:rsidP="009E7776">
      <w:pPr>
        <w:rPr>
          <w:lang w:eastAsia="bg-BG"/>
        </w:rPr>
      </w:pPr>
    </w:p>
    <w:p w14:paraId="7CAEA10D" w14:textId="6ED84F5C" w:rsidR="009E7776" w:rsidRPr="009E7776" w:rsidRDefault="009E7776" w:rsidP="009E7776">
      <w:pPr>
        <w:rPr>
          <w:sz w:val="24"/>
          <w:szCs w:val="24"/>
        </w:rPr>
      </w:pPr>
      <w:r w:rsidRPr="009E7776">
        <w:rPr>
          <w:lang w:eastAsia="bg-BG"/>
        </w:rPr>
        <w:t>Описание:</w:t>
      </w:r>
    </w:p>
    <w:p w14:paraId="52656955" w14:textId="5DCBCF30" w:rsidR="009E7776" w:rsidRPr="009E7776" w:rsidRDefault="009E7776" w:rsidP="009E7776">
      <w:pPr>
        <w:rPr>
          <w:sz w:val="24"/>
          <w:szCs w:val="24"/>
        </w:rPr>
      </w:pPr>
      <w:r w:rsidRPr="009E7776">
        <w:rPr>
          <w:lang w:eastAsia="bg-BG"/>
        </w:rPr>
        <w:t xml:space="preserve">Ренаприл 5 </w:t>
      </w:r>
      <w:r w:rsidRPr="009E7776">
        <w:rPr>
          <w:lang w:val="en-US"/>
        </w:rPr>
        <w:t>mg</w:t>
      </w:r>
      <w:r w:rsidRPr="009E7776">
        <w:rPr>
          <w:lang w:val="ru-RU"/>
        </w:rPr>
        <w:t xml:space="preserve"> </w:t>
      </w:r>
      <w:r w:rsidRPr="009E7776">
        <w:rPr>
          <w:lang w:eastAsia="bg-BG"/>
        </w:rPr>
        <w:t xml:space="preserve">- кръгли плоски таблетки с диаметър 7 </w:t>
      </w:r>
      <w:r w:rsidRPr="009E7776">
        <w:rPr>
          <w:lang w:val="en-US"/>
        </w:rPr>
        <w:t>mm</w:t>
      </w:r>
      <w:r w:rsidRPr="009E7776">
        <w:rPr>
          <w:lang w:val="ru-RU"/>
        </w:rPr>
        <w:t xml:space="preserve"> </w:t>
      </w:r>
      <w:r w:rsidRPr="009E7776">
        <w:rPr>
          <w:lang w:eastAsia="bg-BG"/>
        </w:rPr>
        <w:t>и делителна черта от едната страна, с бял или почти бял цвят.</w:t>
      </w:r>
    </w:p>
    <w:p w14:paraId="1786B43A" w14:textId="77777777" w:rsidR="009E7776" w:rsidRPr="009E7776" w:rsidRDefault="009E7776" w:rsidP="009E7776">
      <w:pPr>
        <w:rPr>
          <w:sz w:val="24"/>
          <w:szCs w:val="24"/>
        </w:rPr>
      </w:pPr>
      <w:r w:rsidRPr="009E7776">
        <w:rPr>
          <w:lang w:eastAsia="bg-BG"/>
        </w:rPr>
        <w:t>Таблетката може да бъде разделена на две равни дози.</w:t>
      </w:r>
    </w:p>
    <w:p w14:paraId="07067705" w14:textId="77777777" w:rsidR="009E7776" w:rsidRDefault="009E7776" w:rsidP="009E7776">
      <w:pPr>
        <w:rPr>
          <w:lang w:eastAsia="bg-BG"/>
        </w:rPr>
      </w:pPr>
    </w:p>
    <w:p w14:paraId="25BCE073" w14:textId="1D4F51EB" w:rsidR="009E7776" w:rsidRPr="009E7776" w:rsidRDefault="009E7776" w:rsidP="009E7776">
      <w:pPr>
        <w:rPr>
          <w:sz w:val="24"/>
          <w:szCs w:val="24"/>
        </w:rPr>
      </w:pPr>
      <w:r w:rsidRPr="009E7776">
        <w:rPr>
          <w:lang w:eastAsia="bg-BG"/>
        </w:rPr>
        <w:t xml:space="preserve">Ренаприл 10 </w:t>
      </w:r>
      <w:r w:rsidRPr="009E7776">
        <w:rPr>
          <w:lang w:val="en-US"/>
        </w:rPr>
        <w:t>mg</w:t>
      </w:r>
      <w:r w:rsidRPr="009E7776">
        <w:rPr>
          <w:lang w:val="ru-RU"/>
        </w:rPr>
        <w:t xml:space="preserve"> </w:t>
      </w:r>
      <w:r w:rsidRPr="009E7776">
        <w:rPr>
          <w:lang w:eastAsia="bg-BG"/>
        </w:rPr>
        <w:t xml:space="preserve">- кръгли плоски таблетки с диаметър 8 </w:t>
      </w:r>
      <w:r w:rsidRPr="009E7776">
        <w:rPr>
          <w:lang w:val="en-US"/>
        </w:rPr>
        <w:t>mm</w:t>
      </w:r>
      <w:r w:rsidRPr="009E7776">
        <w:rPr>
          <w:lang w:val="ru-RU"/>
        </w:rPr>
        <w:t xml:space="preserve"> </w:t>
      </w:r>
      <w:r w:rsidRPr="009E7776">
        <w:rPr>
          <w:lang w:eastAsia="bg-BG"/>
        </w:rPr>
        <w:t>и делителна черта от едната страна, с бял или почти бял цвят.</w:t>
      </w:r>
    </w:p>
    <w:p w14:paraId="59FB6B46" w14:textId="77777777" w:rsidR="009E7776" w:rsidRPr="009E7776" w:rsidRDefault="009E7776" w:rsidP="009E7776">
      <w:pPr>
        <w:rPr>
          <w:sz w:val="24"/>
          <w:szCs w:val="24"/>
        </w:rPr>
      </w:pPr>
      <w:r w:rsidRPr="009E7776">
        <w:rPr>
          <w:lang w:eastAsia="bg-BG"/>
        </w:rPr>
        <w:t>Таблетката може да бъде разделена на две равни дози.</w:t>
      </w:r>
    </w:p>
    <w:p w14:paraId="6EFBF242" w14:textId="77777777" w:rsidR="009E7776" w:rsidRPr="009E7776" w:rsidRDefault="009E7776" w:rsidP="009E7776"/>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7B9A511" w:rsidR="00395555" w:rsidRDefault="00395555" w:rsidP="00395555"/>
    <w:p w14:paraId="4DB325F8" w14:textId="77777777" w:rsidR="009E7776" w:rsidRPr="009E7776" w:rsidRDefault="009E7776" w:rsidP="009E7776">
      <w:pPr>
        <w:pStyle w:val="ListParagraph"/>
        <w:numPr>
          <w:ilvl w:val="0"/>
          <w:numId w:val="32"/>
        </w:numPr>
        <w:rPr>
          <w:sz w:val="24"/>
          <w:szCs w:val="24"/>
        </w:rPr>
      </w:pPr>
      <w:r w:rsidRPr="009E7776">
        <w:rPr>
          <w:lang w:eastAsia="bg-BG"/>
        </w:rPr>
        <w:t>Лечение на хипертония.</w:t>
      </w:r>
    </w:p>
    <w:p w14:paraId="6CC488DC" w14:textId="77777777" w:rsidR="009E7776" w:rsidRPr="009E7776" w:rsidRDefault="009E7776" w:rsidP="009E7776">
      <w:pPr>
        <w:pStyle w:val="ListParagraph"/>
        <w:numPr>
          <w:ilvl w:val="0"/>
          <w:numId w:val="32"/>
        </w:numPr>
        <w:rPr>
          <w:lang w:eastAsia="bg-BG"/>
        </w:rPr>
      </w:pPr>
      <w:r w:rsidRPr="009E7776">
        <w:rPr>
          <w:lang w:eastAsia="bg-BG"/>
        </w:rPr>
        <w:t>Лечение на симптоматична сърдечна недостатъчност.</w:t>
      </w:r>
    </w:p>
    <w:p w14:paraId="4AC36418" w14:textId="77777777" w:rsidR="009E7776" w:rsidRPr="009E7776" w:rsidRDefault="009E7776" w:rsidP="009E7776">
      <w:pPr>
        <w:pStyle w:val="ListParagraph"/>
        <w:numPr>
          <w:ilvl w:val="0"/>
          <w:numId w:val="32"/>
        </w:numPr>
        <w:rPr>
          <w:lang w:eastAsia="bg-BG"/>
        </w:rPr>
      </w:pPr>
      <w:r w:rsidRPr="009E7776">
        <w:rPr>
          <w:lang w:eastAsia="bg-BG"/>
        </w:rPr>
        <w:t>Профилактика на симптоматична сърдечна недостатъчност при пациенти с асимптомна дисфункция на лява камера (фракция на изтласкване ≤ 35 %).</w:t>
      </w:r>
    </w:p>
    <w:p w14:paraId="47FE3599" w14:textId="77777777" w:rsidR="009E7776" w:rsidRPr="00395555" w:rsidRDefault="009E7776" w:rsidP="00395555"/>
    <w:p w14:paraId="7C0CA5EB" w14:textId="215B662E" w:rsidR="00C0049F" w:rsidRDefault="002C50EE" w:rsidP="009F1313">
      <w:pPr>
        <w:pStyle w:val="Heading2"/>
      </w:pPr>
      <w:r>
        <w:t>4.2. Дозировка и начин на приложение</w:t>
      </w:r>
    </w:p>
    <w:p w14:paraId="4A6BA8A9" w14:textId="1F322CD8" w:rsidR="009E7776" w:rsidRDefault="009E7776" w:rsidP="009E7776"/>
    <w:p w14:paraId="17F77FCF" w14:textId="77777777" w:rsidR="009E7776" w:rsidRPr="009E7776" w:rsidRDefault="009E7776" w:rsidP="009E7776">
      <w:pPr>
        <w:pStyle w:val="Heading3"/>
        <w:rPr>
          <w:rFonts w:eastAsia="Times New Roman"/>
          <w:sz w:val="28"/>
          <w:u w:val="single"/>
        </w:rPr>
      </w:pPr>
      <w:r w:rsidRPr="009E7776">
        <w:rPr>
          <w:rFonts w:eastAsia="Times New Roman"/>
          <w:u w:val="single"/>
          <w:lang w:eastAsia="bg-BG"/>
        </w:rPr>
        <w:t>Дозировка</w:t>
      </w:r>
    </w:p>
    <w:p w14:paraId="0CEEE6C5"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Дозата се определя индивидуално в зависимост от състоянието на пациента (вж. точка 4.4) и повлияването на артериалното налягане.</w:t>
      </w:r>
    </w:p>
    <w:p w14:paraId="462C0BFD" w14:textId="77777777" w:rsidR="009E7776" w:rsidRPr="009E7776" w:rsidRDefault="009E7776" w:rsidP="009E7776">
      <w:pPr>
        <w:spacing w:line="240" w:lineRule="auto"/>
        <w:rPr>
          <w:rFonts w:eastAsia="Times New Roman" w:cs="Arial"/>
          <w:color w:val="000000"/>
          <w:szCs w:val="20"/>
          <w:lang w:eastAsia="bg-BG"/>
        </w:rPr>
      </w:pPr>
    </w:p>
    <w:p w14:paraId="4417BA61" w14:textId="22D4C48D" w:rsidR="009E7776" w:rsidRPr="009E7776" w:rsidRDefault="009E7776" w:rsidP="009E7776">
      <w:pPr>
        <w:spacing w:line="240" w:lineRule="auto"/>
        <w:rPr>
          <w:rFonts w:eastAsia="Times New Roman" w:cs="Arial"/>
          <w:color w:val="000000"/>
          <w:szCs w:val="20"/>
          <w:lang w:eastAsia="bg-BG"/>
        </w:rPr>
      </w:pPr>
      <w:r w:rsidRPr="009E7776">
        <w:rPr>
          <w:rFonts w:eastAsia="Times New Roman" w:cs="Arial"/>
          <w:color w:val="000000"/>
          <w:szCs w:val="20"/>
          <w:lang w:eastAsia="bg-BG"/>
        </w:rPr>
        <w:lastRenderedPageBreak/>
        <w:t>Тъй като абсорбцията на таблетките Ренаприл не се повлиява от приемането на храна, те могат да се назначават преди, по време или след хранене.</w:t>
      </w:r>
    </w:p>
    <w:p w14:paraId="57850E51" w14:textId="26832300" w:rsidR="009E7776" w:rsidRPr="009E7776" w:rsidRDefault="009E7776" w:rsidP="009E7776">
      <w:pPr>
        <w:spacing w:line="240" w:lineRule="auto"/>
        <w:rPr>
          <w:rFonts w:eastAsia="Times New Roman" w:cs="Arial"/>
          <w:color w:val="000000"/>
          <w:szCs w:val="20"/>
          <w:lang w:eastAsia="bg-BG"/>
        </w:rPr>
      </w:pPr>
    </w:p>
    <w:p w14:paraId="78F94C19"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Хипертония:</w:t>
      </w:r>
    </w:p>
    <w:p w14:paraId="0EE94602"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Началната доза е 5 до максимално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в зависимост от степента на хипертонията и състоянието на пациента. Ренаприл се приема веднъж дневно. При лека степен на хипертония, препоръчителната начална доза е 5 до 10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дневно. Пациентите със силно активирана ренин- ангиотензин-алдостеронова система (напр. реноваскуларна хипертония, солеви и/или обемен дефицит, сърдечна декомпенсация или тежка хипертония) може да настъпи ексцесивно понижаване на кръвното налягане след приложение на първата доза. При такива пациенти е препоръчително началната доза да бъде 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или по-малко и започването на лечението да става под медицински контрол.</w:t>
      </w:r>
    </w:p>
    <w:p w14:paraId="24D1259B" w14:textId="77777777" w:rsidR="009E7776" w:rsidRPr="009E7776" w:rsidRDefault="009E7776" w:rsidP="009E7776">
      <w:pPr>
        <w:spacing w:line="240" w:lineRule="auto"/>
        <w:rPr>
          <w:rFonts w:eastAsia="Times New Roman" w:cs="Arial"/>
          <w:color w:val="000000"/>
          <w:szCs w:val="20"/>
          <w:lang w:eastAsia="bg-BG"/>
        </w:rPr>
      </w:pPr>
    </w:p>
    <w:p w14:paraId="262F75FF" w14:textId="136F02F5"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В случаи на предхождащо лечение с високи дози диуретици може да настъпи обемен дефицит и да се появи симптоматична хипотония след приемане на първата доза еналаприл. При такива пациенти е препоръчително началната доза да бъде 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или по-малко. Ако е възможно, диуретичната терапия трябва да бъде преустановена 2-3 дни преди началното приложение на еналаприл. Бъбречната функция и серумния калий трябва да бъдат мониторирани.</w:t>
      </w:r>
    </w:p>
    <w:p w14:paraId="053D1583" w14:textId="77777777" w:rsidR="009E7776" w:rsidRPr="009E7776" w:rsidRDefault="009E7776" w:rsidP="009E7776">
      <w:pPr>
        <w:spacing w:line="240" w:lineRule="auto"/>
        <w:rPr>
          <w:rFonts w:eastAsia="Times New Roman" w:cs="Arial"/>
          <w:color w:val="000000"/>
          <w:szCs w:val="20"/>
          <w:lang w:eastAsia="bg-BG"/>
        </w:rPr>
      </w:pPr>
    </w:p>
    <w:p w14:paraId="05CE851E" w14:textId="78AC4E19"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Обичайната поддържаща доза е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дневно. Максималната поддържаща доза е 40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дневно.</w:t>
      </w:r>
    </w:p>
    <w:p w14:paraId="0B3483AE" w14:textId="77777777" w:rsidR="009E7776" w:rsidRPr="009E7776" w:rsidRDefault="009E7776" w:rsidP="009E7776">
      <w:pPr>
        <w:spacing w:line="240" w:lineRule="auto"/>
        <w:rPr>
          <w:rFonts w:eastAsia="Times New Roman" w:cs="Arial"/>
          <w:color w:val="000000"/>
          <w:szCs w:val="20"/>
          <w:u w:val="single"/>
          <w:lang w:eastAsia="bg-BG"/>
        </w:rPr>
      </w:pPr>
    </w:p>
    <w:p w14:paraId="5ED57C54" w14:textId="21711B64"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Хронична сърдечна недостатъчност/Асимптомна дисфункция на лявата камера:</w:t>
      </w:r>
    </w:p>
    <w:p w14:paraId="3F0F97B4"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При лечение на симптоматична сърдечна недостатъчност, еналаприл се използва като допълнение към диуретици и където е подходящо към дигиталис или бета-блокери. Началната доза еналаприл при пациенти със симптоми на сърдечна недостатъчност или асимптомна дисфункция на лявата камера е 2,5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един път дневно и тя трябва да се прилага под строг медицински контрол за оценка на началния ефект върху кръвното налягане. При отсъствие на симптоматична хипотония или след ефективното й овладяване, след започване на терапията с еналаприл при сърдечна недостатъчност, дозата трябва да се увеличава постепенно до достигане на обичайна поддържаща доза от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приемана еднократно или разделена на два приема според поносимостта на пациента. Това титриране на дозата е препоръчително да се прави в рамките на две до четири седмици.</w:t>
      </w:r>
    </w:p>
    <w:p w14:paraId="543BB187"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Максималната доза е 40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дневно, разделена в два приема.</w:t>
      </w:r>
    </w:p>
    <w:p w14:paraId="3ADE34CF" w14:textId="77777777" w:rsidR="009E7776" w:rsidRPr="009E7776" w:rsidRDefault="009E7776" w:rsidP="009E7776">
      <w:pPr>
        <w:spacing w:line="240" w:lineRule="auto"/>
        <w:rPr>
          <w:rFonts w:eastAsia="Times New Roman" w:cs="Arial"/>
          <w:color w:val="000000"/>
          <w:szCs w:val="20"/>
          <w:lang w:eastAsia="bg-BG"/>
        </w:rPr>
      </w:pPr>
    </w:p>
    <w:p w14:paraId="1116596B" w14:textId="069C726B"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Препоръчителен режим за титриране на еналаприл при пациенти със сърдечна недостатъчност/асимптомна дисфункция на лява камера</w:t>
      </w:r>
    </w:p>
    <w:p w14:paraId="0FE28E38" w14:textId="77777777" w:rsidR="009E7776" w:rsidRPr="009E7776" w:rsidRDefault="009E7776" w:rsidP="009E7776">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25"/>
        <w:gridCol w:w="7425"/>
      </w:tblGrid>
      <w:tr w:rsidR="009E7776" w14:paraId="7D155696" w14:textId="77777777" w:rsidTr="009E7776">
        <w:tc>
          <w:tcPr>
            <w:tcW w:w="1951" w:type="dxa"/>
          </w:tcPr>
          <w:p w14:paraId="5B4632C2" w14:textId="478AE637" w:rsidR="009E7776" w:rsidRPr="009E7776" w:rsidRDefault="009E7776" w:rsidP="009E7776">
            <w:r w:rsidRPr="009E7776">
              <w:rPr>
                <w:szCs w:val="20"/>
              </w:rPr>
              <w:t>Седмица</w:t>
            </w:r>
          </w:p>
        </w:tc>
        <w:tc>
          <w:tcPr>
            <w:tcW w:w="7625" w:type="dxa"/>
          </w:tcPr>
          <w:p w14:paraId="2F16144B" w14:textId="36AE9AA8" w:rsidR="009E7776" w:rsidRPr="009E7776" w:rsidRDefault="009E7776" w:rsidP="009E7776">
            <w:r w:rsidRPr="009E7776">
              <w:rPr>
                <w:szCs w:val="20"/>
              </w:rPr>
              <w:t xml:space="preserve">Доза </w:t>
            </w:r>
            <w:r w:rsidRPr="009E7776">
              <w:rPr>
                <w:szCs w:val="20"/>
                <w:lang w:val="en-US"/>
              </w:rPr>
              <w:t>mg</w:t>
            </w:r>
            <w:r w:rsidRPr="009E7776">
              <w:rPr>
                <w:szCs w:val="20"/>
              </w:rPr>
              <w:t>/дневно</w:t>
            </w:r>
          </w:p>
        </w:tc>
      </w:tr>
      <w:tr w:rsidR="009E7776" w14:paraId="4C06269B" w14:textId="77777777" w:rsidTr="009E7776">
        <w:tc>
          <w:tcPr>
            <w:tcW w:w="1951" w:type="dxa"/>
          </w:tcPr>
          <w:p w14:paraId="36A7B46D" w14:textId="636FEE3B" w:rsidR="009E7776" w:rsidRPr="009E7776" w:rsidRDefault="009E7776" w:rsidP="009E7776">
            <w:r w:rsidRPr="009E7776">
              <w:rPr>
                <w:szCs w:val="20"/>
              </w:rPr>
              <w:t>Седмица 1</w:t>
            </w:r>
          </w:p>
        </w:tc>
        <w:tc>
          <w:tcPr>
            <w:tcW w:w="7625" w:type="dxa"/>
          </w:tcPr>
          <w:p w14:paraId="5813270C" w14:textId="77777777" w:rsidR="009E7776" w:rsidRPr="009E7776" w:rsidRDefault="009E7776" w:rsidP="009E7776">
            <w:r w:rsidRPr="009E7776">
              <w:rPr>
                <w:szCs w:val="20"/>
              </w:rPr>
              <w:t xml:space="preserve">Ден 1 до 3: 2,5 </w:t>
            </w:r>
            <w:r w:rsidRPr="009E7776">
              <w:rPr>
                <w:szCs w:val="20"/>
                <w:lang w:val="en-US"/>
              </w:rPr>
              <w:t>mg</w:t>
            </w:r>
            <w:r w:rsidRPr="009E7776">
              <w:rPr>
                <w:szCs w:val="20"/>
              </w:rPr>
              <w:t>/дневно* еднократно</w:t>
            </w:r>
          </w:p>
          <w:p w14:paraId="5AC17DDB" w14:textId="71CDDA7D" w:rsidR="009E7776" w:rsidRPr="009E7776" w:rsidRDefault="009E7776" w:rsidP="009E7776">
            <w:r w:rsidRPr="009E7776">
              <w:rPr>
                <w:szCs w:val="20"/>
              </w:rPr>
              <w:t xml:space="preserve">Ден 4 до 7: 5 </w:t>
            </w:r>
            <w:r w:rsidRPr="009E7776">
              <w:rPr>
                <w:szCs w:val="20"/>
                <w:lang w:val="en-US"/>
              </w:rPr>
              <w:t>mg</w:t>
            </w:r>
            <w:r w:rsidRPr="009E7776">
              <w:rPr>
                <w:szCs w:val="20"/>
              </w:rPr>
              <w:t>/дневно в два отделни приема</w:t>
            </w:r>
          </w:p>
        </w:tc>
      </w:tr>
      <w:tr w:rsidR="009E7776" w14:paraId="4BBD72DD" w14:textId="77777777" w:rsidTr="009E7776">
        <w:tc>
          <w:tcPr>
            <w:tcW w:w="1951" w:type="dxa"/>
          </w:tcPr>
          <w:p w14:paraId="2303DF4D" w14:textId="0143D32B" w:rsidR="009E7776" w:rsidRPr="009E7776" w:rsidRDefault="009E7776" w:rsidP="009E7776">
            <w:r w:rsidRPr="009E7776">
              <w:rPr>
                <w:szCs w:val="20"/>
              </w:rPr>
              <w:t>Седмица 2</w:t>
            </w:r>
          </w:p>
        </w:tc>
        <w:tc>
          <w:tcPr>
            <w:tcW w:w="7625" w:type="dxa"/>
          </w:tcPr>
          <w:p w14:paraId="669A6264" w14:textId="2208BF83" w:rsidR="009E7776" w:rsidRPr="009E7776" w:rsidRDefault="009E7776" w:rsidP="009E7776">
            <w:r w:rsidRPr="009E7776">
              <w:rPr>
                <w:szCs w:val="20"/>
              </w:rPr>
              <w:t xml:space="preserve">10 </w:t>
            </w:r>
            <w:r w:rsidRPr="009E7776">
              <w:rPr>
                <w:szCs w:val="20"/>
                <w:lang w:val="en-US"/>
              </w:rPr>
              <w:t>mg</w:t>
            </w:r>
            <w:r w:rsidRPr="009E7776">
              <w:rPr>
                <w:szCs w:val="20"/>
              </w:rPr>
              <w:t>/дневно еднократно или в два отделни приема</w:t>
            </w:r>
          </w:p>
        </w:tc>
      </w:tr>
      <w:tr w:rsidR="009E7776" w14:paraId="3EAE4BBD" w14:textId="77777777" w:rsidTr="009E7776">
        <w:tc>
          <w:tcPr>
            <w:tcW w:w="1951" w:type="dxa"/>
          </w:tcPr>
          <w:p w14:paraId="3DEC6EA3" w14:textId="44A7C27B" w:rsidR="009E7776" w:rsidRPr="009E7776" w:rsidRDefault="009E7776" w:rsidP="009E7776">
            <w:r w:rsidRPr="009E7776">
              <w:rPr>
                <w:szCs w:val="20"/>
              </w:rPr>
              <w:t>Седмици 3 и 4</w:t>
            </w:r>
          </w:p>
        </w:tc>
        <w:tc>
          <w:tcPr>
            <w:tcW w:w="7625" w:type="dxa"/>
          </w:tcPr>
          <w:p w14:paraId="325D41B3" w14:textId="72DCCF5F" w:rsidR="009E7776" w:rsidRPr="009E7776" w:rsidRDefault="009E7776" w:rsidP="009E7776">
            <w:r w:rsidRPr="009E7776">
              <w:rPr>
                <w:szCs w:val="20"/>
              </w:rPr>
              <w:t xml:space="preserve">20 </w:t>
            </w:r>
            <w:r w:rsidRPr="009E7776">
              <w:rPr>
                <w:szCs w:val="20"/>
                <w:lang w:val="en-US"/>
              </w:rPr>
              <w:t>mg</w:t>
            </w:r>
            <w:r w:rsidRPr="009E7776">
              <w:rPr>
                <w:szCs w:val="20"/>
              </w:rPr>
              <w:t>/дневно еднократно или в два отделни приема</w:t>
            </w:r>
          </w:p>
        </w:tc>
      </w:tr>
    </w:tbl>
    <w:p w14:paraId="727E2C68"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Специално внимание трябва да се обърне на пациенти с увредена бъбречна функция или приемащи диуретици (вж. точка 4.4)</w:t>
      </w:r>
    </w:p>
    <w:p w14:paraId="49A8312E" w14:textId="77777777" w:rsidR="009E7776" w:rsidRPr="009E7776" w:rsidRDefault="009E7776" w:rsidP="009E7776">
      <w:pPr>
        <w:spacing w:line="240" w:lineRule="auto"/>
        <w:rPr>
          <w:rFonts w:eastAsia="Times New Roman" w:cs="Arial"/>
          <w:color w:val="000000"/>
          <w:szCs w:val="20"/>
          <w:lang w:eastAsia="bg-BG"/>
        </w:rPr>
      </w:pPr>
    </w:p>
    <w:p w14:paraId="5873F5BE" w14:textId="77777777" w:rsidR="009E7776" w:rsidRPr="009E7776" w:rsidRDefault="009E7776" w:rsidP="009E7776">
      <w:pPr>
        <w:rPr>
          <w:rFonts w:eastAsia="Times New Roman" w:cs="Arial"/>
          <w:sz w:val="28"/>
          <w:szCs w:val="24"/>
        </w:rPr>
      </w:pPr>
      <w:r w:rsidRPr="009E7776">
        <w:rPr>
          <w:rFonts w:eastAsia="Times New Roman" w:cs="Arial"/>
          <w:color w:val="000000"/>
          <w:szCs w:val="20"/>
          <w:lang w:eastAsia="bg-BG"/>
        </w:rPr>
        <w:t xml:space="preserve">Артериалното налягане и бъбречната функция трябва да бъдат проследявани внимателно както преди, така и след започване на лечението с еналаприл (вж. точка 4.4), </w:t>
      </w:r>
      <w:r w:rsidRPr="009E7776">
        <w:rPr>
          <w:rFonts w:eastAsia="Times New Roman" w:cs="Arial"/>
          <w:color w:val="000000"/>
          <w:szCs w:val="20"/>
          <w:lang w:eastAsia="bg-BG"/>
        </w:rPr>
        <w:lastRenderedPageBreak/>
        <w:t>поради съобщения за развитие на хипотония и (по-рядко) на последваща бъбречна недостатъчност. При пациенти, лекувани с диуретици, дозата им трябва да се намали, ако е възможно, още преди започване на терапията с еналаприл. Появата на хипотония след прилагане на начална доза еналаприл не означава, че хипотония ще възникне при по-нататъшната терапия с еналаприл и не налага прекратяване на започнатото лечение. Необходимо е също така да бъде проследявано нивото на серумния калий и бъбречната функция.</w:t>
      </w:r>
    </w:p>
    <w:p w14:paraId="78A39146" w14:textId="77777777" w:rsidR="009E7776" w:rsidRPr="009E7776" w:rsidRDefault="009E7776" w:rsidP="009E7776">
      <w:pPr>
        <w:spacing w:line="240" w:lineRule="auto"/>
        <w:rPr>
          <w:rFonts w:eastAsia="Times New Roman" w:cs="Arial"/>
          <w:color w:val="000000"/>
          <w:szCs w:val="20"/>
          <w:u w:val="single"/>
          <w:lang w:eastAsia="bg-BG"/>
        </w:rPr>
      </w:pPr>
    </w:p>
    <w:p w14:paraId="73A757C2" w14:textId="765010DB"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Дозиране при бъбречна недостатъчност:</w:t>
      </w:r>
    </w:p>
    <w:p w14:paraId="75DE903B"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 пациенти с увредена бъбречна функция терапията трябва да започва с по-ниска доза и/или при удължени интервали между приемите, като това се съобразява с креатининовия клирънс и се провежда при чест физикален и лабораторен контрол.</w:t>
      </w:r>
    </w:p>
    <w:p w14:paraId="6D7A80F7" w14:textId="7F3992AF" w:rsidR="009E7776" w:rsidRDefault="009E7776" w:rsidP="009E7776">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81"/>
        <w:gridCol w:w="4669"/>
      </w:tblGrid>
      <w:tr w:rsidR="009E7776" w14:paraId="32746C11" w14:textId="77777777" w:rsidTr="009E7776">
        <w:tc>
          <w:tcPr>
            <w:tcW w:w="4788" w:type="dxa"/>
          </w:tcPr>
          <w:p w14:paraId="1175BBFF" w14:textId="1229D418"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Креатининов клирънс </w:t>
            </w:r>
            <w:r w:rsidRPr="009E7776">
              <w:rPr>
                <w:szCs w:val="20"/>
                <w:lang w:val="en-US"/>
              </w:rPr>
              <w:t>ml/min</w:t>
            </w:r>
          </w:p>
        </w:tc>
        <w:tc>
          <w:tcPr>
            <w:tcW w:w="4788" w:type="dxa"/>
          </w:tcPr>
          <w:p w14:paraId="6CB9E433" w14:textId="69BA64DF"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Начална дневна доза </w:t>
            </w:r>
            <w:r w:rsidRPr="009E7776">
              <w:rPr>
                <w:szCs w:val="20"/>
                <w:lang w:val="en-US"/>
              </w:rPr>
              <w:t>mg</w:t>
            </w:r>
            <w:r w:rsidRPr="009E7776">
              <w:rPr>
                <w:szCs w:val="20"/>
              </w:rPr>
              <w:t>/ден</w:t>
            </w:r>
          </w:p>
        </w:tc>
      </w:tr>
      <w:tr w:rsidR="009E7776" w14:paraId="461290C4" w14:textId="77777777" w:rsidTr="009E7776">
        <w:tc>
          <w:tcPr>
            <w:tcW w:w="4788" w:type="dxa"/>
          </w:tcPr>
          <w:p w14:paraId="3762A59D" w14:textId="2EBCBC25"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&lt; 80 &gt; 30 </w:t>
            </w:r>
            <w:r w:rsidRPr="009E7776">
              <w:rPr>
                <w:szCs w:val="20"/>
                <w:lang w:val="en-US"/>
              </w:rPr>
              <w:t>ml/min</w:t>
            </w:r>
          </w:p>
        </w:tc>
        <w:tc>
          <w:tcPr>
            <w:tcW w:w="4788" w:type="dxa"/>
          </w:tcPr>
          <w:p w14:paraId="5E783EEA" w14:textId="198A97F5"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5 -10 </w:t>
            </w:r>
            <w:r w:rsidRPr="009E7776">
              <w:rPr>
                <w:szCs w:val="20"/>
                <w:lang w:val="en-US"/>
              </w:rPr>
              <w:t>mg</w:t>
            </w:r>
          </w:p>
        </w:tc>
      </w:tr>
      <w:tr w:rsidR="009E7776" w14:paraId="488B6E37" w14:textId="77777777" w:rsidTr="009E7776">
        <w:tc>
          <w:tcPr>
            <w:tcW w:w="4788" w:type="dxa"/>
          </w:tcPr>
          <w:p w14:paraId="51488F69" w14:textId="74F4548A"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 30 &gt; 10 </w:t>
            </w:r>
            <w:r w:rsidRPr="009E7776">
              <w:rPr>
                <w:szCs w:val="20"/>
                <w:lang w:val="en-US"/>
              </w:rPr>
              <w:t>ml/min</w:t>
            </w:r>
          </w:p>
        </w:tc>
        <w:tc>
          <w:tcPr>
            <w:tcW w:w="4788" w:type="dxa"/>
          </w:tcPr>
          <w:p w14:paraId="67B291AC" w14:textId="5C5C175C"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2,5 </w:t>
            </w:r>
            <w:r w:rsidRPr="009E7776">
              <w:rPr>
                <w:szCs w:val="20"/>
                <w:lang w:val="en-US"/>
              </w:rPr>
              <w:t>mg</w:t>
            </w:r>
          </w:p>
        </w:tc>
      </w:tr>
      <w:tr w:rsidR="009E7776" w14:paraId="5C951F3C" w14:textId="77777777" w:rsidTr="009E7776">
        <w:tc>
          <w:tcPr>
            <w:tcW w:w="4788" w:type="dxa"/>
          </w:tcPr>
          <w:p w14:paraId="2810220D" w14:textId="53F90D8C"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 10 </w:t>
            </w:r>
            <w:r w:rsidRPr="009E7776">
              <w:rPr>
                <w:szCs w:val="20"/>
                <w:lang w:val="en-US"/>
              </w:rPr>
              <w:t>ml/min</w:t>
            </w:r>
          </w:p>
        </w:tc>
        <w:tc>
          <w:tcPr>
            <w:tcW w:w="4788" w:type="dxa"/>
          </w:tcPr>
          <w:p w14:paraId="0DF7200C" w14:textId="148987A2" w:rsidR="009E7776" w:rsidRPr="009E7776" w:rsidRDefault="009E7776" w:rsidP="009E7776">
            <w:pPr>
              <w:spacing w:line="240" w:lineRule="auto"/>
              <w:rPr>
                <w:rFonts w:ascii="Times New Roman" w:eastAsia="Times New Roman" w:hAnsi="Times New Roman" w:cs="Times New Roman"/>
                <w:szCs w:val="24"/>
              </w:rPr>
            </w:pPr>
            <w:r w:rsidRPr="009E7776">
              <w:rPr>
                <w:szCs w:val="20"/>
              </w:rPr>
              <w:t xml:space="preserve">2,5 </w:t>
            </w:r>
            <w:r w:rsidRPr="009E7776">
              <w:rPr>
                <w:szCs w:val="20"/>
                <w:lang w:val="en-US"/>
              </w:rPr>
              <w:t>mg</w:t>
            </w:r>
            <w:r w:rsidRPr="009E7776">
              <w:rPr>
                <w:szCs w:val="20"/>
                <w:lang w:val="ru-RU"/>
              </w:rPr>
              <w:t xml:space="preserve"> </w:t>
            </w:r>
            <w:r w:rsidRPr="009E7776">
              <w:rPr>
                <w:szCs w:val="20"/>
              </w:rPr>
              <w:t>в дните на диализа*</w:t>
            </w:r>
          </w:p>
        </w:tc>
      </w:tr>
    </w:tbl>
    <w:p w14:paraId="0350CF89"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Виж т. 4.4. Еналаприлат се отстранява чрез диализа. Дозата през дните без хемодиализа трябва да се адаптира в зависимост от промените в кръвното налягане.</w:t>
      </w:r>
    </w:p>
    <w:p w14:paraId="2CABC0BB" w14:textId="77777777" w:rsidR="009E7776" w:rsidRPr="009E7776" w:rsidRDefault="009E7776" w:rsidP="009E7776">
      <w:pPr>
        <w:spacing w:line="240" w:lineRule="auto"/>
        <w:rPr>
          <w:rFonts w:eastAsia="Times New Roman" w:cs="Arial"/>
          <w:color w:val="000000"/>
          <w:szCs w:val="20"/>
          <w:u w:val="single"/>
          <w:lang w:eastAsia="bg-BG"/>
        </w:rPr>
      </w:pPr>
    </w:p>
    <w:p w14:paraId="4E36737D" w14:textId="4044DBA9"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Приложение при пациенти в старческа възраст</w:t>
      </w:r>
    </w:p>
    <w:p w14:paraId="19F96F83"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Дозата трябва да бъде в съответствие с бъбречната функция на пациентите в старческа възраст (вж. точка 4.4).</w:t>
      </w:r>
    </w:p>
    <w:p w14:paraId="5E6E15BD" w14:textId="77777777" w:rsidR="009E7776" w:rsidRPr="009E7776" w:rsidRDefault="009E7776" w:rsidP="009E7776">
      <w:pPr>
        <w:spacing w:line="240" w:lineRule="auto"/>
        <w:rPr>
          <w:rFonts w:eastAsia="Times New Roman" w:cs="Arial"/>
          <w:color w:val="000000"/>
          <w:szCs w:val="20"/>
          <w:u w:val="single"/>
          <w:lang w:eastAsia="bg-BG"/>
        </w:rPr>
      </w:pPr>
    </w:p>
    <w:p w14:paraId="1137AAB1" w14:textId="12BC574E"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Приложение в педиатрията</w:t>
      </w:r>
    </w:p>
    <w:p w14:paraId="1F9C0153"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Има ограничен опит от клинични изпитвания с приложение на еналаприл при педиатрични пациенти с хипертония, (вж. точки 4.4, 5.1 и 5.2).</w:t>
      </w:r>
    </w:p>
    <w:p w14:paraId="11F58357" w14:textId="77777777" w:rsidR="009E7776" w:rsidRPr="009E7776" w:rsidRDefault="009E7776" w:rsidP="009E7776">
      <w:pPr>
        <w:spacing w:line="240" w:lineRule="auto"/>
        <w:rPr>
          <w:rFonts w:eastAsia="Times New Roman" w:cs="Arial"/>
          <w:color w:val="000000"/>
          <w:szCs w:val="20"/>
          <w:lang w:eastAsia="bg-BG"/>
        </w:rPr>
      </w:pPr>
    </w:p>
    <w:p w14:paraId="3EEB8965" w14:textId="2D82E77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При пациенти, които могат да поглъщат таблетки, дозата трябва да се определя индивидуално според профила на пациента и отговора на кръвното налягане. Препоръчителната начална доза е 2,5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при пациенти с тегло 20 до &lt; 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и 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при пациенти с тегло ≥ 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Еналаприл се прилага веднъж дневно. Дозата трябва да се коригира спрямо нуждите на пациента до максимално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дневно при пациенти с тегло 20 до &lt;50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и 40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при пациенти с тегло ≥ 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(вж. точка 4.4).</w:t>
      </w:r>
    </w:p>
    <w:p w14:paraId="6DC4AF38" w14:textId="77777777" w:rsidR="009E7776" w:rsidRPr="009E7776" w:rsidRDefault="009E7776" w:rsidP="009E7776">
      <w:pPr>
        <w:spacing w:line="240" w:lineRule="auto"/>
        <w:rPr>
          <w:rFonts w:eastAsia="Times New Roman" w:cs="Arial"/>
          <w:color w:val="000000"/>
          <w:szCs w:val="20"/>
          <w:lang w:eastAsia="bg-BG"/>
        </w:rPr>
      </w:pPr>
    </w:p>
    <w:p w14:paraId="6D02C307" w14:textId="1EE90DD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Еналаприл не се препоръчва при новородени и при деца със степен на гломерулна филтрация &lt; 30 </w:t>
      </w:r>
      <w:r w:rsidRPr="009E7776">
        <w:rPr>
          <w:rFonts w:eastAsia="Times New Roman" w:cs="Arial"/>
          <w:color w:val="000000"/>
          <w:szCs w:val="20"/>
          <w:lang w:val="en-US"/>
        </w:rPr>
        <w:t>ml</w:t>
      </w:r>
      <w:r w:rsidRPr="009E7776">
        <w:rPr>
          <w:rFonts w:eastAsia="Times New Roman" w:cs="Arial"/>
          <w:color w:val="000000"/>
          <w:szCs w:val="20"/>
          <w:lang w:val="ru-RU"/>
        </w:rPr>
        <w:t>/</w:t>
      </w:r>
      <w:r w:rsidRPr="009E7776">
        <w:rPr>
          <w:rFonts w:eastAsia="Times New Roman" w:cs="Arial"/>
          <w:color w:val="000000"/>
          <w:szCs w:val="20"/>
          <w:lang w:val="en-US"/>
        </w:rPr>
        <w:t>min</w:t>
      </w:r>
      <w:r w:rsidRPr="009E7776">
        <w:rPr>
          <w:rFonts w:eastAsia="Times New Roman" w:cs="Arial"/>
          <w:color w:val="000000"/>
          <w:szCs w:val="20"/>
          <w:lang w:val="ru-RU"/>
        </w:rPr>
        <w:t xml:space="preserve">/1,73 </w:t>
      </w:r>
      <w:r w:rsidRPr="009E7776">
        <w:rPr>
          <w:rFonts w:eastAsia="Times New Roman" w:cs="Arial"/>
          <w:color w:val="000000"/>
          <w:szCs w:val="20"/>
          <w:lang w:val="en-US"/>
        </w:rPr>
        <w:t>m</w:t>
      </w:r>
      <w:r w:rsidRPr="009E7776">
        <w:rPr>
          <w:rFonts w:eastAsia="Times New Roman" w:cs="Arial"/>
          <w:color w:val="000000"/>
          <w:szCs w:val="20"/>
          <w:vertAlign w:val="superscript"/>
          <w:lang w:val="ru-RU"/>
        </w:rPr>
        <w:t>2</w:t>
      </w:r>
      <w:r w:rsidRPr="009E7776">
        <w:rPr>
          <w:rFonts w:eastAsia="Times New Roman" w:cs="Arial"/>
          <w:color w:val="000000"/>
          <w:szCs w:val="20"/>
          <w:lang w:val="ru-RU"/>
        </w:rPr>
        <w:t xml:space="preserve">, </w:t>
      </w:r>
      <w:r w:rsidRPr="009E7776">
        <w:rPr>
          <w:rFonts w:eastAsia="Times New Roman" w:cs="Arial"/>
          <w:color w:val="000000"/>
          <w:szCs w:val="20"/>
          <w:lang w:eastAsia="bg-BG"/>
        </w:rPr>
        <w:t>поради липса на данни за ефективност и безопасност при тази група пациенти.</w:t>
      </w:r>
    </w:p>
    <w:p w14:paraId="518FADE4" w14:textId="77777777" w:rsidR="009E7776" w:rsidRPr="009E7776" w:rsidRDefault="009E7776" w:rsidP="009E7776">
      <w:pPr>
        <w:spacing w:line="240" w:lineRule="auto"/>
        <w:rPr>
          <w:rFonts w:eastAsia="Times New Roman" w:cs="Arial"/>
          <w:color w:val="000000"/>
          <w:szCs w:val="20"/>
          <w:u w:val="single"/>
          <w:lang w:eastAsia="bg-BG"/>
        </w:rPr>
      </w:pPr>
    </w:p>
    <w:p w14:paraId="1E00CD7E" w14:textId="4381470E" w:rsidR="009E7776" w:rsidRPr="009E7776" w:rsidRDefault="009E7776" w:rsidP="009E7776">
      <w:pPr>
        <w:pStyle w:val="Heading3"/>
        <w:rPr>
          <w:rFonts w:eastAsia="Times New Roman"/>
          <w:sz w:val="28"/>
          <w:u w:val="single"/>
        </w:rPr>
      </w:pPr>
      <w:r w:rsidRPr="009E7776">
        <w:rPr>
          <w:rFonts w:eastAsia="Times New Roman"/>
          <w:u w:val="single"/>
          <w:lang w:eastAsia="bg-BG"/>
        </w:rPr>
        <w:t>Начин на приложение</w:t>
      </w:r>
    </w:p>
    <w:p w14:paraId="1FD82E9F"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Тъй като абсорбцията на таблетките Ренаприл не се повлиява от приемането на храна, те могат да се назначават преди, по време или след хранене.</w:t>
      </w:r>
    </w:p>
    <w:p w14:paraId="24DF205B" w14:textId="07E4A122" w:rsidR="009E7776" w:rsidRPr="009E7776" w:rsidRDefault="009E7776" w:rsidP="009E7776"/>
    <w:p w14:paraId="62B13D0B" w14:textId="54C9A9CA" w:rsidR="00395555" w:rsidRDefault="002C50EE" w:rsidP="008A6AF2">
      <w:pPr>
        <w:pStyle w:val="Heading2"/>
      </w:pPr>
      <w:r>
        <w:t>4.3. Противопоказания</w:t>
      </w:r>
    </w:p>
    <w:p w14:paraId="578381E6" w14:textId="6B1B3463" w:rsidR="009E7776" w:rsidRDefault="009E7776" w:rsidP="009E7776"/>
    <w:p w14:paraId="4C22C525" w14:textId="77777777" w:rsidR="009E7776" w:rsidRPr="009E7776" w:rsidRDefault="009E7776" w:rsidP="009E7776">
      <w:pPr>
        <w:pStyle w:val="ListParagraph"/>
        <w:numPr>
          <w:ilvl w:val="0"/>
          <w:numId w:val="33"/>
        </w:numPr>
        <w:rPr>
          <w:sz w:val="24"/>
          <w:szCs w:val="24"/>
        </w:rPr>
      </w:pPr>
      <w:r w:rsidRPr="009E7776">
        <w:rPr>
          <w:lang w:eastAsia="bg-BG"/>
        </w:rPr>
        <w:t>Свръхчувствителност към еналаприл малеат, към някое от помощните вещества или към други АСЕ-инхибитори.</w:t>
      </w:r>
    </w:p>
    <w:p w14:paraId="224F3D5E" w14:textId="77777777" w:rsidR="009E7776" w:rsidRPr="009E7776" w:rsidRDefault="009E7776" w:rsidP="009E7776">
      <w:pPr>
        <w:pStyle w:val="ListParagraph"/>
        <w:numPr>
          <w:ilvl w:val="0"/>
          <w:numId w:val="33"/>
        </w:numPr>
        <w:rPr>
          <w:sz w:val="24"/>
          <w:szCs w:val="24"/>
        </w:rPr>
      </w:pPr>
      <w:r w:rsidRPr="009E7776">
        <w:rPr>
          <w:lang w:eastAsia="bg-BG"/>
        </w:rPr>
        <w:t>Анамнеза за ангионевротичен едем, получен при предхождаща терапия с АСЕ-инхибитори.</w:t>
      </w:r>
    </w:p>
    <w:p w14:paraId="1FAEDA2A" w14:textId="77777777" w:rsidR="009E7776" w:rsidRPr="009E7776" w:rsidRDefault="009E7776" w:rsidP="009E7776">
      <w:pPr>
        <w:pStyle w:val="ListParagraph"/>
        <w:numPr>
          <w:ilvl w:val="0"/>
          <w:numId w:val="33"/>
        </w:numPr>
        <w:rPr>
          <w:sz w:val="24"/>
          <w:szCs w:val="24"/>
        </w:rPr>
      </w:pPr>
      <w:r w:rsidRPr="009E7776">
        <w:rPr>
          <w:lang w:eastAsia="bg-BG"/>
        </w:rPr>
        <w:lastRenderedPageBreak/>
        <w:t>Вроден или идиопатичен ангиоедем.</w:t>
      </w:r>
    </w:p>
    <w:p w14:paraId="3EB1D5F2" w14:textId="77777777" w:rsidR="009E7776" w:rsidRPr="009E7776" w:rsidRDefault="009E7776" w:rsidP="009E7776">
      <w:pPr>
        <w:pStyle w:val="ListParagraph"/>
        <w:numPr>
          <w:ilvl w:val="0"/>
          <w:numId w:val="33"/>
        </w:numPr>
        <w:rPr>
          <w:sz w:val="24"/>
          <w:szCs w:val="24"/>
        </w:rPr>
      </w:pPr>
      <w:r w:rsidRPr="009E7776">
        <w:rPr>
          <w:lang w:eastAsia="bg-BG"/>
        </w:rPr>
        <w:t>Втори и трети триместър на бременността (вж. точка 4.4 и 4.6).</w:t>
      </w:r>
    </w:p>
    <w:p w14:paraId="1315F3A7" w14:textId="77777777" w:rsidR="009E7776" w:rsidRPr="009E7776" w:rsidRDefault="009E7776" w:rsidP="009E7776">
      <w:pPr>
        <w:pStyle w:val="ListParagraph"/>
        <w:numPr>
          <w:ilvl w:val="0"/>
          <w:numId w:val="33"/>
        </w:numPr>
        <w:rPr>
          <w:sz w:val="24"/>
          <w:szCs w:val="24"/>
        </w:rPr>
      </w:pPr>
      <w:r w:rsidRPr="009E7776">
        <w:rPr>
          <w:lang w:eastAsia="bg-BG"/>
        </w:rPr>
        <w:t xml:space="preserve">Едновременната употреба на Ренаприл с алискирен-съдържащи продукти е противопоказана при пациенти със захарен диабет или бъбречно увреждане </w:t>
      </w:r>
      <w:r w:rsidRPr="009E7776">
        <w:rPr>
          <w:lang w:val="ru-RU"/>
        </w:rPr>
        <w:t>(</w:t>
      </w:r>
      <w:r w:rsidRPr="009E7776">
        <w:rPr>
          <w:lang w:val="en-US"/>
        </w:rPr>
        <w:t>GFR</w:t>
      </w:r>
      <w:r w:rsidRPr="009E7776">
        <w:rPr>
          <w:lang w:val="ru-RU"/>
        </w:rPr>
        <w:t xml:space="preserve"> </w:t>
      </w:r>
      <w:r w:rsidRPr="009E7776">
        <w:rPr>
          <w:lang w:eastAsia="bg-BG"/>
        </w:rPr>
        <w:t xml:space="preserve">&lt; 60 </w:t>
      </w:r>
      <w:r w:rsidRPr="009E7776">
        <w:rPr>
          <w:lang w:val="en-US"/>
        </w:rPr>
        <w:t>ml</w:t>
      </w:r>
      <w:r w:rsidRPr="009E7776">
        <w:rPr>
          <w:lang w:val="ru-RU"/>
        </w:rPr>
        <w:t>/</w:t>
      </w:r>
      <w:r w:rsidRPr="009E7776">
        <w:rPr>
          <w:lang w:val="en-US"/>
        </w:rPr>
        <w:t>min</w:t>
      </w:r>
      <w:r w:rsidRPr="009E7776">
        <w:rPr>
          <w:lang w:val="ru-RU"/>
        </w:rPr>
        <w:t xml:space="preserve">/1,73 </w:t>
      </w:r>
      <w:r w:rsidRPr="009E7776">
        <w:rPr>
          <w:lang w:val="en-US"/>
        </w:rPr>
        <w:t>m</w:t>
      </w:r>
      <w:r w:rsidRPr="009E7776">
        <w:rPr>
          <w:vertAlign w:val="superscript"/>
          <w:lang w:val="ru-RU"/>
        </w:rPr>
        <w:t>2</w:t>
      </w:r>
      <w:r w:rsidRPr="009E7776">
        <w:rPr>
          <w:lang w:val="ru-RU"/>
        </w:rPr>
        <w:t xml:space="preserve">) </w:t>
      </w:r>
      <w:r w:rsidRPr="009E7776">
        <w:rPr>
          <w:lang w:eastAsia="bg-BG"/>
        </w:rPr>
        <w:t>(вж. точки 4.5 и 5.1).</w:t>
      </w:r>
    </w:p>
    <w:p w14:paraId="43114082" w14:textId="57A5EA2F" w:rsidR="009E7776" w:rsidRPr="009E7776" w:rsidRDefault="009E7776" w:rsidP="009E7776">
      <w:pPr>
        <w:pStyle w:val="ListParagraph"/>
        <w:numPr>
          <w:ilvl w:val="0"/>
          <w:numId w:val="33"/>
        </w:numPr>
        <w:rPr>
          <w:sz w:val="24"/>
          <w:szCs w:val="24"/>
        </w:rPr>
      </w:pPr>
      <w:r w:rsidRPr="009E7776">
        <w:rPr>
          <w:lang w:eastAsia="bg-BG"/>
        </w:rPr>
        <w:t>Съпътстваща употреба при терапия със сакубитрил/валсартан. Еналаприл не трябва да се започва по-рано от 36 часа след последната доза сакубитрил/валсартан (вж. също токчи 4.4 и 4.5)</w:t>
      </w:r>
    </w:p>
    <w:p w14:paraId="0DB5A005" w14:textId="77777777" w:rsidR="009E7776" w:rsidRPr="009E7776" w:rsidRDefault="009E7776" w:rsidP="009E7776"/>
    <w:p w14:paraId="5A4AC413" w14:textId="4C311AB2" w:rsidR="00395555" w:rsidRDefault="002C50EE" w:rsidP="008A6AF2">
      <w:pPr>
        <w:pStyle w:val="Heading2"/>
      </w:pPr>
      <w:r>
        <w:t>4.4. Специални предупреждения и предпазни мерки при употреба</w:t>
      </w:r>
    </w:p>
    <w:p w14:paraId="12D9EE04" w14:textId="4D8CD0A4" w:rsidR="009E7776" w:rsidRDefault="009E7776" w:rsidP="009E7776"/>
    <w:p w14:paraId="68CA3B54" w14:textId="77777777"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Симптоматична хипотония</w:t>
      </w:r>
    </w:p>
    <w:p w14:paraId="3152EA85"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Симптоматична хипотония се наблюдава рядко при пациенти с неусложнена форма на хипертония. По-голяма е вероятността за развитие на симптоматична хипотония при хипертоници получаващи еналаприл, които имат обемен дефицит, напр. при диуретична терапия, диета с ограничение на готварската сол, диализа, диария или повръщане (вж. точки 4.5 и 4.8). Симптоматична хипотония е наблюдавана при пациенти със сърдечна недостатъчност с или без бъбречна недостатъчност. По- вероятно е тя да се появи при пациенти с по-тежка степен на сърдечна недостатъчност, както и да бъде обусловена от високи дози бримкови диуретици, хипонатриемия или функционално бъбречно увреждане. Поради риск от внезапен рязък спад на артериалното налягане при тези групи пациенти, терапията трябва да започне под лекарско наблюдение и пациентите трябва да бъдат проследявани внимателно при промяна в дозата на еналаприл и/или на диуретика.</w:t>
      </w:r>
    </w:p>
    <w:p w14:paraId="54FBC47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Същото трябва да се има предвид и при пациенти страдащи от исхемична болест на сърцето или мозъчно-съдова болест, при които резкият спад на артериалното налягане може да доведе до инфаркт на миокарда или до мозъчно-съдов инцидент.</w:t>
      </w:r>
    </w:p>
    <w:p w14:paraId="59ACBC08"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В случай на поява на рязък спад на кръвното налягане е необходимо пациентът да се постави в хоризонтално положение и при нужда да се приложи интравенозно физиологичен разтвор. Преходна хипотонична реакция не е противопоказание за продължаване на лечението с еналаприл в адекватна доза след нормализиране на кръвното налягане.</w:t>
      </w:r>
    </w:p>
    <w:p w14:paraId="52B65E97"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При някои пациенти със сърдечна недостатъчност, които имат нормално или ниско кръвно налягане, може да настъпи допълнително понижаване на кръвното налягане при употреба на еналаприл. Този ефект е очакван и обикновено не става причина за прекъсване на лечението. Ако хипотонията стане симптоматична може да се наложи редуциране на дозата и/или спиране на диуретика и/или на еналаприл.</w:t>
      </w:r>
    </w:p>
    <w:p w14:paraId="73AF0C81" w14:textId="77777777" w:rsidR="009E7776" w:rsidRPr="009E7776" w:rsidRDefault="009E7776" w:rsidP="009E7776">
      <w:pPr>
        <w:spacing w:line="240" w:lineRule="auto"/>
        <w:rPr>
          <w:rFonts w:eastAsia="Times New Roman" w:cs="Arial"/>
          <w:color w:val="000000"/>
          <w:u w:val="single"/>
          <w:lang w:eastAsia="bg-BG"/>
        </w:rPr>
      </w:pPr>
    </w:p>
    <w:p w14:paraId="39579EF9" w14:textId="1E77C436"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Двойно блокиране на ренин-ангиотензин-алдостероновата система (РААС)</w:t>
      </w:r>
    </w:p>
    <w:p w14:paraId="717A814F"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Има данни, че едновременната употреба на АСЕ инхибитори, ангиотензин П-рецепторни блокери или алискирен повишава риска от хипотония, хиперкалиемия и намаляване </w:t>
      </w:r>
      <w:r w:rsidRPr="009E7776">
        <w:rPr>
          <w:rFonts w:eastAsia="Times New Roman" w:cs="Arial"/>
          <w:i/>
          <w:iCs/>
          <w:color w:val="000000"/>
          <w:lang w:eastAsia="bg-BG"/>
        </w:rPr>
        <w:t>на</w:t>
      </w:r>
      <w:r w:rsidRPr="009E7776">
        <w:rPr>
          <w:rFonts w:eastAsia="Times New Roman" w:cs="Arial"/>
          <w:color w:val="000000"/>
          <w:lang w:eastAsia="bg-BG"/>
        </w:rPr>
        <w:t xml:space="preserve">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П-рецепторни блокери или алискирен (вж. точки 4.5 и 5.1).</w:t>
      </w:r>
    </w:p>
    <w:p w14:paraId="03BF9F27"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9493A90"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АСЕ инхибитори и ангиотензин </w:t>
      </w:r>
      <w:r w:rsidRPr="009E7776">
        <w:rPr>
          <w:rFonts w:eastAsia="Times New Roman" w:cs="Arial"/>
          <w:color w:val="000000"/>
          <w:lang w:val="en-US"/>
        </w:rPr>
        <w:t>II</w:t>
      </w:r>
      <w:r w:rsidRPr="009E7776">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17727ED1" w14:textId="77777777" w:rsidR="009E7776" w:rsidRPr="009E7776" w:rsidRDefault="009E7776" w:rsidP="009E7776">
      <w:pPr>
        <w:spacing w:line="240" w:lineRule="auto"/>
        <w:rPr>
          <w:rFonts w:eastAsia="Times New Roman" w:cs="Arial"/>
          <w:color w:val="000000"/>
          <w:u w:val="single"/>
          <w:lang w:eastAsia="bg-BG"/>
        </w:rPr>
      </w:pPr>
    </w:p>
    <w:p w14:paraId="39588446" w14:textId="4FAC1370"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lastRenderedPageBreak/>
        <w:t>Аортна или митрална клапна стеноза/Хипертрофична кардиомиопатия</w:t>
      </w:r>
    </w:p>
    <w:p w14:paraId="13D742BB"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Както всички вазодилататори, АСЕ-инхибиторите трябва да се използват внимателно при пациенти с обструкция на клапния и изходния кръвоток на лява камера, като не е желателно тяхното приложение при кардиогенен шок и при хемодинамично значима обструкция.</w:t>
      </w:r>
    </w:p>
    <w:p w14:paraId="600234AF" w14:textId="77777777" w:rsidR="009E7776" w:rsidRPr="009E7776" w:rsidRDefault="009E7776" w:rsidP="009E7776">
      <w:pPr>
        <w:spacing w:line="240" w:lineRule="auto"/>
        <w:rPr>
          <w:rFonts w:eastAsia="Times New Roman" w:cs="Arial"/>
          <w:color w:val="000000"/>
          <w:u w:val="single"/>
          <w:lang w:eastAsia="bg-BG"/>
        </w:rPr>
      </w:pPr>
    </w:p>
    <w:p w14:paraId="4427B67B" w14:textId="0635FB9C"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Нарушена бъбречна функция</w:t>
      </w:r>
    </w:p>
    <w:p w14:paraId="42906F84" w14:textId="4004762A"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В случаи на бъбречно увреждане (креатининов клирънс &lt; 80 </w:t>
      </w:r>
      <w:r w:rsidRPr="009E7776">
        <w:rPr>
          <w:rFonts w:eastAsia="Times New Roman" w:cs="Arial"/>
          <w:color w:val="000000"/>
          <w:lang w:val="en-US"/>
        </w:rPr>
        <w:t>ml</w:t>
      </w:r>
      <w:r w:rsidRPr="009E7776">
        <w:rPr>
          <w:rFonts w:eastAsia="Times New Roman" w:cs="Arial"/>
          <w:color w:val="000000"/>
          <w:lang w:val="ru-RU"/>
        </w:rPr>
        <w:t>/</w:t>
      </w:r>
      <w:r w:rsidRPr="009E7776">
        <w:rPr>
          <w:rFonts w:eastAsia="Times New Roman" w:cs="Arial"/>
          <w:color w:val="000000"/>
          <w:lang w:val="en-US"/>
        </w:rPr>
        <w:t>min</w:t>
      </w:r>
      <w:r w:rsidRPr="009E7776">
        <w:rPr>
          <w:rFonts w:eastAsia="Times New Roman" w:cs="Arial"/>
          <w:color w:val="000000"/>
          <w:lang w:val="ru-RU"/>
        </w:rPr>
        <w:t xml:space="preserve">) </w:t>
      </w:r>
      <w:r w:rsidRPr="009E7776">
        <w:rPr>
          <w:rFonts w:eastAsia="Times New Roman" w:cs="Arial"/>
          <w:color w:val="000000"/>
          <w:lang w:eastAsia="bg-BG"/>
        </w:rPr>
        <w:t>началната доза на еналаприл трябва да бъде коригирана съгласно креатининовия клирънс на пациента (вж. точка 4.2) и след това според индивидуалния отговор на пациента към лечението. При тези пациенти е нормална практика да бъдат редовно проследявани калият и креатининът.</w:t>
      </w:r>
    </w:p>
    <w:p w14:paraId="474F848D" w14:textId="77777777" w:rsidR="009E7776" w:rsidRPr="009E7776" w:rsidRDefault="009E7776" w:rsidP="009E7776">
      <w:pPr>
        <w:rPr>
          <w:rFonts w:eastAsia="Times New Roman" w:cs="Arial"/>
          <w:color w:val="000000"/>
          <w:lang w:eastAsia="bg-BG"/>
        </w:rPr>
      </w:pPr>
    </w:p>
    <w:p w14:paraId="2E2CFE78" w14:textId="1D7F963E" w:rsidR="009E7776" w:rsidRPr="009E7776" w:rsidRDefault="009E7776" w:rsidP="009E7776">
      <w:pPr>
        <w:rPr>
          <w:rFonts w:eastAsia="Times New Roman" w:cs="Arial"/>
          <w:color w:val="000000"/>
          <w:lang w:eastAsia="bg-BG"/>
        </w:rPr>
      </w:pPr>
      <w:r w:rsidRPr="009E7776">
        <w:rPr>
          <w:rFonts w:eastAsia="Times New Roman" w:cs="Arial"/>
          <w:color w:val="000000"/>
          <w:lang w:eastAsia="bg-BG"/>
        </w:rPr>
        <w:t>Има съобщения за бъбречна недостатъчност при употребата на еналаприл, главно при пациенти с тежка сърдечна недостатъчност или подлежащо бъбречно заболяване, включително стеноза на бъбречна артерия. Ако се разпознае навреме и се лекува подходящо, бьбречната недостатъчност свързана с приложение на еналаприл, обикновено е обратима.</w:t>
      </w:r>
    </w:p>
    <w:p w14:paraId="42B39939" w14:textId="7F09EB3B" w:rsidR="009E7776" w:rsidRPr="009E7776" w:rsidRDefault="009E7776" w:rsidP="009E7776">
      <w:pPr>
        <w:rPr>
          <w:rFonts w:eastAsia="Times New Roman" w:cs="Arial"/>
          <w:color w:val="000000"/>
          <w:lang w:eastAsia="bg-BG"/>
        </w:rPr>
      </w:pPr>
    </w:p>
    <w:p w14:paraId="2DB64AEF"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Възможно е повишение на кръвната урея и креатинина в кръвта при хипертоници с предшестващо, но неизявено бъбречно увреждане, което се среща по-често, ако еналаприл се прилага съвместно с диуретик. При тези пациенти е възможно да се наложи намаляване дозата на еналаприл и/или преустановяване на диуретичната терапия. Възможността да се наблюдава тази ситуация е по- висока при неизявена стеноза на бъбречната артерия (вж. точка 4.4, Реновазална хипертония).</w:t>
      </w:r>
    </w:p>
    <w:p w14:paraId="6A078124" w14:textId="77777777" w:rsidR="009E7776" w:rsidRPr="009E7776" w:rsidRDefault="009E7776" w:rsidP="009E7776">
      <w:pPr>
        <w:spacing w:line="240" w:lineRule="auto"/>
        <w:rPr>
          <w:rFonts w:eastAsia="Times New Roman" w:cs="Arial"/>
          <w:color w:val="000000"/>
          <w:u w:val="single"/>
          <w:lang w:eastAsia="bg-BG"/>
        </w:rPr>
      </w:pPr>
    </w:p>
    <w:p w14:paraId="45656E04" w14:textId="0D82B286"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Реновазална хипертония</w:t>
      </w:r>
    </w:p>
    <w:p w14:paraId="5F3A7C53"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Съществува повишен риск от развитие на тежка хипотония и бъбречна недостатъчност, когато пациенти с билатерална стеноза на бъбречните артерии или артериална стеноза на единствен функциониращ бъбрек се третират с АСЕ инхибитори. Загуба на бъбречната функция може да настъпи дори при минимални промени в серумния креатинин. При тези пациенти лечението трябва да започне под непосредствен лекарски контрол с ниски дози, внимателно титриране и проследяване на бъбречната функция.</w:t>
      </w:r>
    </w:p>
    <w:p w14:paraId="136464FB" w14:textId="77777777" w:rsidR="009E7776" w:rsidRPr="009E7776" w:rsidRDefault="009E7776" w:rsidP="009E7776">
      <w:pPr>
        <w:spacing w:line="240" w:lineRule="auto"/>
        <w:rPr>
          <w:rFonts w:eastAsia="Times New Roman" w:cs="Arial"/>
          <w:color w:val="000000"/>
          <w:u w:val="single"/>
          <w:lang w:eastAsia="bg-BG"/>
        </w:rPr>
      </w:pPr>
    </w:p>
    <w:p w14:paraId="61C05311" w14:textId="1887235D"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Бъбречна трансплантация</w:t>
      </w:r>
    </w:p>
    <w:p w14:paraId="2A3FA7FE"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Няма опит по отношение приложението на еналаприл при пациенти с неотдавнашна бъбречна трансплантация. По тази причина лечение с еналаприл не се препоръчва.</w:t>
      </w:r>
    </w:p>
    <w:p w14:paraId="01AE5889" w14:textId="77777777" w:rsidR="009E7776" w:rsidRPr="009E7776" w:rsidRDefault="009E7776" w:rsidP="009E7776">
      <w:pPr>
        <w:spacing w:line="240" w:lineRule="auto"/>
        <w:rPr>
          <w:rFonts w:eastAsia="Times New Roman" w:cs="Arial"/>
          <w:color w:val="000000"/>
          <w:u w:val="single"/>
          <w:lang w:eastAsia="bg-BG"/>
        </w:rPr>
      </w:pPr>
    </w:p>
    <w:p w14:paraId="671C7591" w14:textId="6B283CB8"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Чернодробна недостатъчност</w:t>
      </w:r>
    </w:p>
    <w:p w14:paraId="49D721A7"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Рядко АСЕ инхибиторите са били свързани със синдром, който започва с холестатичен иктер и прогресира до фулминантна чернодробна некроза и (понякога) фатален изход. Механизмът на този синдром не е ясен. Пациентите получаващи АСЕ инхибитори, които развиват иктер или изразено повишение на чернодробните ензими, трябва да прекратят лечението с АСЕ инхибитора и след това тяхното състояние да бъде проследено от лекар.</w:t>
      </w:r>
    </w:p>
    <w:p w14:paraId="02CF70D5" w14:textId="77777777" w:rsidR="009E7776" w:rsidRPr="009E7776" w:rsidRDefault="009E7776" w:rsidP="009E7776">
      <w:pPr>
        <w:spacing w:line="240" w:lineRule="auto"/>
        <w:rPr>
          <w:rFonts w:eastAsia="Times New Roman" w:cs="Arial"/>
          <w:color w:val="000000"/>
          <w:u w:val="single"/>
          <w:lang w:eastAsia="bg-BG"/>
        </w:rPr>
      </w:pPr>
    </w:p>
    <w:p w14:paraId="5D32E5AC" w14:textId="4025BCF9"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Неутропения/Агранулоцитоза</w:t>
      </w:r>
    </w:p>
    <w:p w14:paraId="04A1E7CE"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При пациенти, лекувани с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неутропения се развива рядко. Еналаприл трябва да се прилага </w:t>
      </w:r>
      <w:r w:rsidRPr="009E7776">
        <w:rPr>
          <w:rFonts w:eastAsia="Times New Roman" w:cs="Arial"/>
          <w:color w:val="000000"/>
          <w:lang w:eastAsia="bg-BG"/>
        </w:rPr>
        <w:lastRenderedPageBreak/>
        <w:t>изключително внимателно при пациенти със съдова колагеноза, имуносупресивна терапия, лечение с алопуринол или прокаинамид, или комбинация от тези усложняващи фактори, особено при предварително съществуваща увредена бъбречна функция. Някои от тези пациенти развиват тежки инфекции, които в редки случаи не се повлияват от интензивно антибиотично лечение. Ако еналаприл се прилага на такива пациенти, препоръчва се периодично да се контролират нивата на белите кръвни клетки (левкоцитите), и пациентите трябва да бъдат уведомени, че следва да съобщават всяка проява на инфекция.</w:t>
      </w:r>
    </w:p>
    <w:p w14:paraId="15AD9B26" w14:textId="77777777" w:rsidR="009E7776" w:rsidRPr="009E7776" w:rsidRDefault="009E7776" w:rsidP="009E7776">
      <w:pPr>
        <w:spacing w:line="240" w:lineRule="auto"/>
        <w:rPr>
          <w:rFonts w:eastAsia="Times New Roman" w:cs="Arial"/>
          <w:color w:val="000000"/>
          <w:u w:val="single"/>
          <w:lang w:eastAsia="bg-BG"/>
        </w:rPr>
      </w:pPr>
    </w:p>
    <w:p w14:paraId="52468807" w14:textId="3A2417B0"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Свръхчувствителност/Ангиоедем</w:t>
      </w:r>
    </w:p>
    <w:p w14:paraId="76DD453D"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Ангиоедем на лицето, крайниците, устните, езика, глотиса и/или ларинкса е наблюдаван при пациенти, лекувани с АСЕ инхибитори, в това число с еналаприл. Това може да се появи по всяко време на лечението. В тези случаи лечението се преустановява незабавно и се прилага подходяща терапия и проследяване до пълно изчезване на симптомите. Дори в случаите на ограничен оток само на езика, без респираторен дистрес, при пациентите може да се налага продължително наблюдение, тъй като лечението с антихистамини и кортикостероиди може да не е достатъчно.</w:t>
      </w:r>
    </w:p>
    <w:p w14:paraId="2E241AC7" w14:textId="77777777" w:rsidR="009E7776" w:rsidRPr="009E7776" w:rsidRDefault="009E7776" w:rsidP="009E7776">
      <w:pPr>
        <w:spacing w:line="240" w:lineRule="auto"/>
        <w:rPr>
          <w:rFonts w:eastAsia="Times New Roman" w:cs="Arial"/>
          <w:color w:val="000000"/>
          <w:lang w:eastAsia="bg-BG"/>
        </w:rPr>
      </w:pPr>
    </w:p>
    <w:p w14:paraId="21B6270E" w14:textId="6404FB28" w:rsidR="009E7776" w:rsidRPr="009E7776" w:rsidRDefault="009E7776" w:rsidP="009E7776">
      <w:pPr>
        <w:spacing w:line="240" w:lineRule="auto"/>
        <w:rPr>
          <w:rFonts w:eastAsia="Times New Roman" w:cs="Arial"/>
        </w:rPr>
      </w:pPr>
      <w:r w:rsidRPr="009E7776">
        <w:rPr>
          <w:rFonts w:eastAsia="Times New Roman" w:cs="Arial"/>
          <w:color w:val="000000"/>
          <w:lang w:eastAsia="bg-BG"/>
        </w:rPr>
        <w:t>Има съобщения за много редки фатални случаи на ангиоедем асоцииран с ларингеален едем или едем на езика. При пациентите със засягане на езика, глотиса или ларинкса има по-голяма вероятност от обструкция на дихателните пътища, особено при тези, които са претърпели хирургична белодробна операция.</w:t>
      </w:r>
    </w:p>
    <w:p w14:paraId="3A923A3C" w14:textId="3CF22057" w:rsidR="009E7776" w:rsidRPr="009E7776" w:rsidRDefault="009E7776" w:rsidP="009E7776">
      <w:pPr>
        <w:rPr>
          <w:rFonts w:cs="Arial"/>
        </w:rPr>
      </w:pPr>
    </w:p>
    <w:p w14:paraId="24B98EFB"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При оток с ангажиране на езика, глотиса или ларинкса е необходима незабавна терапия: подкожно прилагане на разтвор на адреналин разтвор 1:1 000 (0,3 до 0,5 </w:t>
      </w:r>
      <w:r w:rsidRPr="009E7776">
        <w:rPr>
          <w:rFonts w:eastAsia="Times New Roman" w:cs="Arial"/>
          <w:color w:val="000000"/>
          <w:lang w:val="en-US"/>
        </w:rPr>
        <w:t>ml</w:t>
      </w:r>
      <w:r w:rsidRPr="009E7776">
        <w:rPr>
          <w:rFonts w:eastAsia="Times New Roman" w:cs="Arial"/>
          <w:color w:val="000000"/>
          <w:lang w:val="ru-RU"/>
        </w:rPr>
        <w:t xml:space="preserve">) </w:t>
      </w:r>
      <w:r w:rsidRPr="009E7776">
        <w:rPr>
          <w:rFonts w:eastAsia="Times New Roman" w:cs="Arial"/>
          <w:color w:val="000000"/>
          <w:lang w:eastAsia="bg-BG"/>
        </w:rPr>
        <w:t>и/или предприемане на необходимите мерки за освобождаване на дихателните пътища.</w:t>
      </w:r>
    </w:p>
    <w:p w14:paraId="01561D0E" w14:textId="77777777" w:rsidR="009E7776" w:rsidRPr="009E7776" w:rsidRDefault="009E7776" w:rsidP="009E7776">
      <w:pPr>
        <w:spacing w:line="240" w:lineRule="auto"/>
        <w:rPr>
          <w:rFonts w:eastAsia="Times New Roman" w:cs="Arial"/>
          <w:color w:val="000000"/>
          <w:lang w:eastAsia="bg-BG"/>
        </w:rPr>
      </w:pPr>
    </w:p>
    <w:p w14:paraId="7DAEF6EA" w14:textId="5C06862C"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Чернокожите пациенти са с повишен риск от развитие на ангиоедем при лечение с АСЕ инхибитори в сравнение с тези от бялата раса.</w:t>
      </w:r>
    </w:p>
    <w:p w14:paraId="22381190" w14:textId="77777777" w:rsidR="009E7776" w:rsidRPr="009E7776" w:rsidRDefault="009E7776" w:rsidP="009E7776">
      <w:pPr>
        <w:spacing w:line="240" w:lineRule="auto"/>
        <w:rPr>
          <w:rFonts w:eastAsia="Times New Roman" w:cs="Arial"/>
          <w:color w:val="000000"/>
          <w:lang w:eastAsia="bg-BG"/>
        </w:rPr>
      </w:pPr>
    </w:p>
    <w:p w14:paraId="3C437701" w14:textId="7FE2287C" w:rsidR="009E7776" w:rsidRPr="009E7776" w:rsidRDefault="009E7776" w:rsidP="009E7776">
      <w:pPr>
        <w:spacing w:line="240" w:lineRule="auto"/>
        <w:rPr>
          <w:rFonts w:eastAsia="Times New Roman" w:cs="Arial"/>
        </w:rPr>
      </w:pPr>
      <w:r w:rsidRPr="009E7776">
        <w:rPr>
          <w:rFonts w:eastAsia="Times New Roman" w:cs="Arial"/>
          <w:color w:val="000000"/>
          <w:lang w:eastAsia="bg-BG"/>
        </w:rPr>
        <w:t>Съществува повишен риск за развитие на ангионевротичен оток в хода на лечението с АСЕ инхибитор при пациенти с анамнеза за предхождащ ангиоедем от друг произход (вж. също точка 4.3).</w:t>
      </w:r>
    </w:p>
    <w:p w14:paraId="223C56FF" w14:textId="77777777" w:rsidR="009E7776" w:rsidRPr="009E7776" w:rsidRDefault="009E7776" w:rsidP="009E7776">
      <w:pPr>
        <w:spacing w:line="240" w:lineRule="auto"/>
        <w:rPr>
          <w:rFonts w:eastAsia="Times New Roman" w:cs="Arial"/>
          <w:color w:val="000000"/>
          <w:lang w:eastAsia="bg-BG"/>
        </w:rPr>
      </w:pPr>
    </w:p>
    <w:p w14:paraId="03392EEB" w14:textId="2C71BBBF" w:rsidR="009E7776" w:rsidRPr="009E7776" w:rsidRDefault="009E7776" w:rsidP="009E7776">
      <w:pPr>
        <w:spacing w:line="240" w:lineRule="auto"/>
        <w:rPr>
          <w:rFonts w:eastAsia="Times New Roman" w:cs="Arial"/>
        </w:rPr>
      </w:pPr>
      <w:r w:rsidRPr="009E7776">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еналаприл. Лечение с еналаприл не трябва да се започва по-рано от 36 часа след последната доза сакубитрил/валсартан (вж. точки 4.3 и 4.5).</w:t>
      </w:r>
    </w:p>
    <w:p w14:paraId="62A69A13" w14:textId="77777777" w:rsidR="009E7776" w:rsidRPr="009E7776" w:rsidRDefault="009E7776" w:rsidP="009E7776">
      <w:pPr>
        <w:spacing w:line="240" w:lineRule="auto"/>
        <w:rPr>
          <w:rFonts w:eastAsia="Times New Roman" w:cs="Arial"/>
          <w:color w:val="000000"/>
          <w:lang w:eastAsia="bg-BG"/>
        </w:rPr>
      </w:pPr>
    </w:p>
    <w:p w14:paraId="43C9A0C6" w14:textId="4DFC49C3"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Съпътстващата употреба на АСЕ инхибитори с рацекадотрил, </w:t>
      </w:r>
      <w:proofErr w:type="spellStart"/>
      <w:r w:rsidRPr="009E7776">
        <w:rPr>
          <w:rFonts w:eastAsia="Times New Roman" w:cs="Arial"/>
          <w:color w:val="000000"/>
          <w:lang w:val="en-US"/>
        </w:rPr>
        <w:t>mTOR</w:t>
      </w:r>
      <w:proofErr w:type="spellEnd"/>
      <w:r w:rsidRPr="009E7776">
        <w:rPr>
          <w:rFonts w:eastAsia="Times New Roman" w:cs="Arial"/>
          <w:color w:val="000000"/>
          <w:lang w:val="ru-RU"/>
        </w:rPr>
        <w:t xml:space="preserve"> </w:t>
      </w:r>
      <w:r w:rsidRPr="009E7776">
        <w:rPr>
          <w:rFonts w:eastAsia="Times New Roman" w:cs="Arial"/>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9E7776">
        <w:rPr>
          <w:rFonts w:eastAsia="Times New Roman" w:cs="Arial"/>
          <w:color w:val="000000"/>
          <w:lang w:val="en-US"/>
        </w:rPr>
        <w:t>mTOR</w:t>
      </w:r>
      <w:proofErr w:type="spellEnd"/>
      <w:r w:rsidRPr="009E7776">
        <w:rPr>
          <w:rFonts w:eastAsia="Times New Roman" w:cs="Arial"/>
          <w:color w:val="000000"/>
          <w:lang w:val="ru-RU"/>
        </w:rPr>
        <w:t xml:space="preserve"> </w:t>
      </w:r>
      <w:r w:rsidRPr="009E7776">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292996A3" w14:textId="77777777"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Анафилактоидни реакции при десензибилизация</w:t>
      </w:r>
    </w:p>
    <w:p w14:paraId="3B84B95E"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Рядко при пациенти получаващи АСЕ инхибитори по време на десензибилизираща терапия с </w:t>
      </w:r>
      <w:r w:rsidRPr="009E7776">
        <w:rPr>
          <w:rFonts w:eastAsia="Times New Roman" w:cs="Arial"/>
          <w:color w:val="000000"/>
          <w:lang w:val="en-US"/>
        </w:rPr>
        <w:t>hymenoptera</w:t>
      </w:r>
      <w:r w:rsidRPr="009E7776">
        <w:rPr>
          <w:rFonts w:eastAsia="Times New Roman" w:cs="Arial"/>
          <w:color w:val="000000"/>
          <w:lang w:val="ru-RU"/>
        </w:rPr>
        <w:t xml:space="preserve"> </w:t>
      </w:r>
      <w:r w:rsidRPr="009E7776">
        <w:rPr>
          <w:rFonts w:eastAsia="Times New Roman" w:cs="Arial"/>
          <w:color w:val="000000"/>
          <w:lang w:eastAsia="bg-BG"/>
        </w:rPr>
        <w:t>могат да се развият животозастрашаващи анафилактоидни реакции. Тези реакции могат да бъдат избегнати, като терапията с АСЕ инхибитори временно се прекрати преди всяка десензибилизация.</w:t>
      </w:r>
    </w:p>
    <w:p w14:paraId="334A8C7C" w14:textId="77777777" w:rsidR="009E7776" w:rsidRPr="009E7776" w:rsidRDefault="009E7776" w:rsidP="009E7776">
      <w:pPr>
        <w:spacing w:line="240" w:lineRule="auto"/>
        <w:rPr>
          <w:rFonts w:eastAsia="Times New Roman" w:cs="Arial"/>
          <w:color w:val="000000"/>
          <w:u w:val="single"/>
          <w:lang w:eastAsia="bg-BG"/>
        </w:rPr>
      </w:pPr>
    </w:p>
    <w:p w14:paraId="6DC80FEE" w14:textId="61AFE0A9"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 xml:space="preserve">Анафилактоидни реакции по време на </w:t>
      </w:r>
      <w:r w:rsidRPr="009E7776">
        <w:rPr>
          <w:rFonts w:eastAsia="Times New Roman" w:cs="Arial"/>
          <w:color w:val="000000"/>
          <w:u w:val="single"/>
          <w:lang w:val="en-US"/>
        </w:rPr>
        <w:t>LDL</w:t>
      </w:r>
      <w:r w:rsidRPr="009E7776">
        <w:rPr>
          <w:rFonts w:eastAsia="Times New Roman" w:cs="Arial"/>
          <w:color w:val="000000"/>
          <w:u w:val="single"/>
          <w:lang w:eastAsia="bg-BG"/>
        </w:rPr>
        <w:t>-афереза</w:t>
      </w:r>
    </w:p>
    <w:p w14:paraId="7735957E" w14:textId="77777777" w:rsidR="009E7776" w:rsidRPr="009E7776" w:rsidRDefault="009E7776" w:rsidP="009E7776">
      <w:pPr>
        <w:spacing w:line="240" w:lineRule="auto"/>
        <w:rPr>
          <w:rFonts w:eastAsia="Times New Roman" w:cs="Arial"/>
          <w:color w:val="000000"/>
          <w:lang w:eastAsia="bg-BG"/>
        </w:rPr>
      </w:pPr>
      <w:r w:rsidRPr="009E7776">
        <w:rPr>
          <w:rFonts w:eastAsia="Times New Roman" w:cs="Arial"/>
          <w:color w:val="000000"/>
          <w:lang w:eastAsia="bg-BG"/>
        </w:rPr>
        <w:t xml:space="preserve">Рядко, пациенти, лекувани с АСЕ инхибитори, получават животозастрашаващи анафилактоидни реакции по време на </w:t>
      </w:r>
      <w:r w:rsidRPr="009E7776">
        <w:rPr>
          <w:rFonts w:eastAsia="Times New Roman" w:cs="Arial"/>
          <w:color w:val="000000"/>
          <w:lang w:val="en-US"/>
        </w:rPr>
        <w:t>LDL</w:t>
      </w:r>
      <w:r w:rsidRPr="009E7776">
        <w:rPr>
          <w:rFonts w:eastAsia="Times New Roman" w:cs="Arial"/>
          <w:color w:val="000000"/>
          <w:lang w:val="ru-RU"/>
        </w:rPr>
        <w:t xml:space="preserve"> (</w:t>
      </w:r>
      <w:r w:rsidRPr="009E7776">
        <w:rPr>
          <w:rFonts w:eastAsia="Times New Roman" w:cs="Arial"/>
          <w:color w:val="000000"/>
          <w:lang w:val="en-US"/>
        </w:rPr>
        <w:t>Low</w:t>
      </w:r>
      <w:r w:rsidRPr="009E7776">
        <w:rPr>
          <w:rFonts w:eastAsia="Times New Roman" w:cs="Arial"/>
          <w:color w:val="000000"/>
          <w:lang w:val="ru-RU"/>
        </w:rPr>
        <w:t xml:space="preserve"> </w:t>
      </w:r>
      <w:r w:rsidRPr="009E7776">
        <w:rPr>
          <w:rFonts w:eastAsia="Times New Roman" w:cs="Arial"/>
          <w:color w:val="000000"/>
          <w:lang w:val="en-US"/>
        </w:rPr>
        <w:t>Density</w:t>
      </w:r>
      <w:r w:rsidRPr="009E7776">
        <w:rPr>
          <w:rFonts w:eastAsia="Times New Roman" w:cs="Arial"/>
          <w:color w:val="000000"/>
          <w:lang w:val="ru-RU"/>
        </w:rPr>
        <w:t xml:space="preserve"> </w:t>
      </w:r>
      <w:r w:rsidRPr="009E7776">
        <w:rPr>
          <w:rFonts w:eastAsia="Times New Roman" w:cs="Arial"/>
          <w:color w:val="000000"/>
          <w:lang w:val="en-US"/>
        </w:rPr>
        <w:t>Lipoproteins</w:t>
      </w:r>
      <w:r w:rsidRPr="009E7776">
        <w:rPr>
          <w:rFonts w:eastAsia="Times New Roman" w:cs="Arial"/>
          <w:color w:val="000000"/>
          <w:lang w:val="ru-RU"/>
        </w:rPr>
        <w:t xml:space="preserve"> </w:t>
      </w:r>
      <w:r w:rsidRPr="009E7776">
        <w:rPr>
          <w:rFonts w:eastAsia="Times New Roman" w:cs="Arial"/>
          <w:color w:val="000000"/>
          <w:lang w:eastAsia="bg-BG"/>
        </w:rPr>
        <w:t xml:space="preserve">- липопротеини с ниска плътност) афереза с декстран сулфат. Тези </w:t>
      </w:r>
    </w:p>
    <w:p w14:paraId="2F1813ED" w14:textId="3B0CDAE0"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реакции се избягват чрез временно прекъсване терапията с АСЕ инхибитори преди всяка афереза.</w:t>
      </w:r>
    </w:p>
    <w:p w14:paraId="04B2FD66" w14:textId="77777777" w:rsidR="009E7776" w:rsidRPr="009E7776" w:rsidRDefault="009E7776" w:rsidP="009E7776">
      <w:pPr>
        <w:spacing w:line="240" w:lineRule="auto"/>
        <w:rPr>
          <w:rFonts w:eastAsia="Times New Roman" w:cs="Arial"/>
          <w:color w:val="000000"/>
          <w:u w:val="single"/>
          <w:lang w:eastAsia="bg-BG"/>
        </w:rPr>
      </w:pPr>
    </w:p>
    <w:p w14:paraId="49C12551" w14:textId="5DB505F9"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Пациенти на хемодиализа</w:t>
      </w:r>
    </w:p>
    <w:p w14:paraId="11C17370"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Анафилактоидни реакции са наблюдавани при пациенти, подложени на диализа с </w:t>
      </w:r>
      <w:r w:rsidRPr="009E7776">
        <w:rPr>
          <w:rFonts w:eastAsia="Times New Roman" w:cs="Arial"/>
          <w:color w:val="000000"/>
          <w:lang w:val="en-US"/>
        </w:rPr>
        <w:t>high</w:t>
      </w:r>
      <w:r w:rsidRPr="009E7776">
        <w:rPr>
          <w:rFonts w:eastAsia="Times New Roman" w:cs="Arial"/>
          <w:color w:val="000000"/>
          <w:lang w:val="ru-RU"/>
        </w:rPr>
        <w:t>-</w:t>
      </w:r>
      <w:r w:rsidRPr="009E7776">
        <w:rPr>
          <w:rFonts w:eastAsia="Times New Roman" w:cs="Arial"/>
          <w:color w:val="000000"/>
          <w:lang w:val="en-US"/>
        </w:rPr>
        <w:t>flux</w:t>
      </w:r>
      <w:r w:rsidRPr="009E7776">
        <w:rPr>
          <w:rFonts w:eastAsia="Times New Roman" w:cs="Arial"/>
          <w:color w:val="000000"/>
          <w:lang w:val="ru-RU"/>
        </w:rPr>
        <w:t xml:space="preserve"> </w:t>
      </w:r>
      <w:r w:rsidRPr="009E7776">
        <w:rPr>
          <w:rFonts w:eastAsia="Times New Roman" w:cs="Arial"/>
          <w:color w:val="000000"/>
          <w:lang w:eastAsia="bg-BG"/>
        </w:rPr>
        <w:t xml:space="preserve">мембрани (включително </w:t>
      </w:r>
      <w:r w:rsidRPr="009E7776">
        <w:rPr>
          <w:rFonts w:eastAsia="Times New Roman" w:cs="Arial"/>
          <w:color w:val="000000"/>
          <w:lang w:val="en-US"/>
        </w:rPr>
        <w:t>AN</w:t>
      </w:r>
      <w:r w:rsidRPr="009E7776">
        <w:rPr>
          <w:rFonts w:eastAsia="Times New Roman" w:cs="Arial"/>
          <w:color w:val="000000"/>
          <w:lang w:val="ru-RU"/>
        </w:rPr>
        <w:t xml:space="preserve"> </w:t>
      </w:r>
      <w:r w:rsidRPr="009E7776">
        <w:rPr>
          <w:rFonts w:eastAsia="Times New Roman" w:cs="Arial"/>
          <w:color w:val="000000"/>
          <w:lang w:eastAsia="bg-BG"/>
        </w:rPr>
        <w:t>69) и лекувани същевременно с АСЕ инхибитори. При тези пациенти би трябвало да се обсъди използването на друг вид диализни мембрани или на друг клас антихипертензивни средства.</w:t>
      </w:r>
    </w:p>
    <w:p w14:paraId="47CA6837" w14:textId="77777777" w:rsidR="009E7776" w:rsidRPr="009E7776" w:rsidRDefault="009E7776" w:rsidP="009E7776">
      <w:pPr>
        <w:spacing w:line="240" w:lineRule="auto"/>
        <w:rPr>
          <w:rFonts w:eastAsia="Times New Roman" w:cs="Arial"/>
          <w:color w:val="000000"/>
          <w:u w:val="single"/>
          <w:lang w:eastAsia="bg-BG"/>
        </w:rPr>
      </w:pPr>
    </w:p>
    <w:p w14:paraId="45764F74" w14:textId="1FBD9A05"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Хипогликемия</w:t>
      </w:r>
    </w:p>
    <w:p w14:paraId="66D2DEB8"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Пациентите с диабет, лекувани с перорални хипогликемизиращи средства или инсулин, трябва да бъдат внимателно проследявани по отношение на гликемичния контрол през първия месец от комбинираната терапия с АСЕ инхибитор (вж. точка 4.5).</w:t>
      </w:r>
    </w:p>
    <w:p w14:paraId="65DB0E39" w14:textId="77777777" w:rsidR="009E7776" w:rsidRPr="009E7776" w:rsidRDefault="009E7776" w:rsidP="009E7776">
      <w:pPr>
        <w:spacing w:line="240" w:lineRule="auto"/>
        <w:rPr>
          <w:rFonts w:eastAsia="Times New Roman" w:cs="Arial"/>
          <w:color w:val="000000"/>
          <w:u w:val="single"/>
          <w:lang w:eastAsia="bg-BG"/>
        </w:rPr>
      </w:pPr>
    </w:p>
    <w:p w14:paraId="42B720EB" w14:textId="7133A8AE"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Кашлица</w:t>
      </w:r>
    </w:p>
    <w:p w14:paraId="0676BCAE"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При лечение с АСЕ инхибитори е възможна появата на кашлица. Характерно за кашлицата е, че тя е непродуктивна, продължителна и изчезва след преустановяване на лечението. Предизвиканата от АСЕ инхибитори кашлица трябва да се има предвид в диференциалната диагноза на кашлицата.</w:t>
      </w:r>
    </w:p>
    <w:p w14:paraId="70686D3D" w14:textId="77777777" w:rsidR="009E7776" w:rsidRPr="009E7776" w:rsidRDefault="009E7776" w:rsidP="009E7776">
      <w:pPr>
        <w:spacing w:line="240" w:lineRule="auto"/>
        <w:rPr>
          <w:rFonts w:eastAsia="Times New Roman" w:cs="Arial"/>
          <w:color w:val="000000"/>
          <w:u w:val="single"/>
          <w:lang w:eastAsia="bg-BG"/>
        </w:rPr>
      </w:pPr>
    </w:p>
    <w:p w14:paraId="14310281" w14:textId="410ED0AE"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Хирургия/Анестезия</w:t>
      </w:r>
    </w:p>
    <w:p w14:paraId="0B531D34" w14:textId="77777777" w:rsidR="009E7776" w:rsidRPr="009E7776" w:rsidRDefault="009E7776" w:rsidP="009E7776">
      <w:pPr>
        <w:rPr>
          <w:rFonts w:eastAsia="Times New Roman" w:cs="Arial"/>
        </w:rPr>
      </w:pPr>
      <w:r w:rsidRPr="009E7776">
        <w:rPr>
          <w:rFonts w:eastAsia="Times New Roman" w:cs="Arial"/>
          <w:color w:val="000000"/>
          <w:lang w:eastAsia="bg-BG"/>
        </w:rPr>
        <w:t xml:space="preserve">Възможна е появата на хипотония при пациенти, подложени на големи хирургични интервенции и лекувани с еналаприл. Това се дължи на блокиране на вторичното образуване на ангиотензии </w:t>
      </w:r>
      <w:r w:rsidRPr="009E7776">
        <w:rPr>
          <w:rFonts w:eastAsia="Times New Roman" w:cs="Arial"/>
          <w:color w:val="000000"/>
          <w:lang w:val="en-US"/>
        </w:rPr>
        <w:t>II</w:t>
      </w:r>
      <w:r w:rsidRPr="009E7776">
        <w:rPr>
          <w:rFonts w:eastAsia="Times New Roman" w:cs="Arial"/>
          <w:color w:val="000000"/>
          <w:lang w:val="ru-RU"/>
        </w:rPr>
        <w:t xml:space="preserve"> </w:t>
      </w:r>
      <w:r w:rsidRPr="009E7776">
        <w:rPr>
          <w:rFonts w:eastAsia="Times New Roman" w:cs="Arial"/>
          <w:color w:val="000000"/>
          <w:lang w:eastAsia="bg-BG"/>
        </w:rPr>
        <w:t>в отговор на компенсаторното освобождаване на ренин по време на големи хирургични операции и/или провеждането на анестезия с медикаменти които могат да предизвикат хипотония. При настъпила хипотония по този механизъм тя може да се коригира с увеличаване на обема.</w:t>
      </w:r>
    </w:p>
    <w:p w14:paraId="0E93FB88" w14:textId="77777777"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Серумен калий</w:t>
      </w:r>
    </w:p>
    <w:p w14:paraId="5E254741"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При лечение с АСЕ инхибитори, включително и с еналаприл, може да настъпи повишаване в нивото на серумния калий. С повишен риск за развитие на хиперкалиемия са пациентите с бъбречна недостатъчност, влошена бъбречна функция, възраст над 70 години, захарен диабет, хипоалдостеронизъм, интеркурентни заболявания и особено при дехидратация, остра сърдечна декомпенсация, метаболитна ацидоза.</w:t>
      </w:r>
    </w:p>
    <w:p w14:paraId="3B0DE6D6" w14:textId="77777777" w:rsidR="009E7776" w:rsidRPr="009E7776" w:rsidRDefault="009E7776" w:rsidP="009E7776">
      <w:pPr>
        <w:spacing w:line="240" w:lineRule="auto"/>
        <w:rPr>
          <w:rFonts w:eastAsia="Times New Roman" w:cs="Arial"/>
          <w:color w:val="000000"/>
          <w:lang w:eastAsia="bg-BG"/>
        </w:rPr>
      </w:pPr>
    </w:p>
    <w:p w14:paraId="572B60F4" w14:textId="79AB489F" w:rsidR="009E7776" w:rsidRPr="009E7776" w:rsidRDefault="009E7776" w:rsidP="009E7776">
      <w:pPr>
        <w:spacing w:line="240" w:lineRule="auto"/>
        <w:rPr>
          <w:rFonts w:eastAsia="Times New Roman" w:cs="Arial"/>
        </w:rPr>
      </w:pPr>
      <w:r w:rsidRPr="009E7776">
        <w:rPr>
          <w:rFonts w:eastAsia="Times New Roman" w:cs="Arial"/>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калий-съхраняващи диуретици, триметоприм или ко-тримоксазол, известен също като триметоприм/сулфаметоксазол, и особено антагонисти на алдостерона или ангиотензин-рецепторни блокери, може да възникне хиперкалиемия. 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5D8FF782" w14:textId="77777777" w:rsidR="009E7776" w:rsidRPr="009E7776" w:rsidRDefault="009E7776" w:rsidP="009E7776">
      <w:pPr>
        <w:spacing w:line="240" w:lineRule="auto"/>
        <w:rPr>
          <w:rFonts w:eastAsia="Times New Roman" w:cs="Arial"/>
          <w:color w:val="000000"/>
          <w:lang w:eastAsia="bg-BG"/>
        </w:rPr>
      </w:pPr>
    </w:p>
    <w:p w14:paraId="36335066" w14:textId="1F5D68F3" w:rsidR="009E7776" w:rsidRPr="009E7776" w:rsidRDefault="009E7776" w:rsidP="009E7776">
      <w:pPr>
        <w:spacing w:line="240" w:lineRule="auto"/>
        <w:rPr>
          <w:rFonts w:eastAsia="Times New Roman" w:cs="Arial"/>
        </w:rPr>
      </w:pPr>
      <w:r w:rsidRPr="009E7776">
        <w:rPr>
          <w:rFonts w:eastAsia="Times New Roman" w:cs="Arial"/>
          <w:color w:val="000000"/>
          <w:lang w:eastAsia="bg-BG"/>
        </w:rPr>
        <w:lastRenderedPageBreak/>
        <w:t>Хиперкалиемията може да предизвика сериозни и понякога фатални аритмии. Ако едновременната употреба на посочените субстанции е наложителна, те трябва да се използват внимателно при редовен контрол на серумния калий (вж. точка 4.5).</w:t>
      </w:r>
    </w:p>
    <w:p w14:paraId="766AC8EE" w14:textId="77777777" w:rsidR="009E7776" w:rsidRPr="009E7776" w:rsidRDefault="009E7776" w:rsidP="009E7776">
      <w:pPr>
        <w:spacing w:line="240" w:lineRule="auto"/>
        <w:rPr>
          <w:rFonts w:eastAsia="Times New Roman" w:cs="Arial"/>
          <w:color w:val="000000"/>
          <w:u w:val="single"/>
          <w:lang w:eastAsia="bg-BG"/>
        </w:rPr>
      </w:pPr>
    </w:p>
    <w:p w14:paraId="69A03823" w14:textId="054D02A3"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Литий</w:t>
      </w:r>
    </w:p>
    <w:p w14:paraId="429683D0"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Комбинирането на литий и еналаприл по принцип не се препоръчва (вж. точка 4.5).</w:t>
      </w:r>
    </w:p>
    <w:p w14:paraId="2910D1CA" w14:textId="77777777" w:rsidR="009E7776" w:rsidRPr="009E7776" w:rsidRDefault="009E7776" w:rsidP="009E7776">
      <w:pPr>
        <w:spacing w:line="240" w:lineRule="auto"/>
        <w:rPr>
          <w:rFonts w:eastAsia="Times New Roman" w:cs="Arial"/>
          <w:color w:val="000000"/>
          <w:u w:val="single"/>
          <w:lang w:eastAsia="bg-BG"/>
        </w:rPr>
      </w:pPr>
    </w:p>
    <w:p w14:paraId="234B8806" w14:textId="704F30D2"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Етнически различия</w:t>
      </w:r>
    </w:p>
    <w:p w14:paraId="23AE1045"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Както и останалите АСЕ инхибитори, еналаприл е по-слабо ефективен за понижаване на кръвното налягане при чернокожи пациенти в сравнение с нечернокожи, най-вероятно поради високата честота на разпространение на ниско ренининова хипертония при чернокожите.</w:t>
      </w:r>
    </w:p>
    <w:p w14:paraId="5F483612" w14:textId="77777777" w:rsidR="009E7776" w:rsidRPr="009E7776" w:rsidRDefault="009E7776" w:rsidP="009E7776">
      <w:pPr>
        <w:spacing w:line="240" w:lineRule="auto"/>
        <w:rPr>
          <w:rFonts w:eastAsia="Times New Roman" w:cs="Arial"/>
          <w:color w:val="000000"/>
          <w:u w:val="single"/>
          <w:lang w:eastAsia="bg-BG"/>
        </w:rPr>
      </w:pPr>
    </w:p>
    <w:p w14:paraId="67B2E27C" w14:textId="053BB981"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Педиатрична употреба</w:t>
      </w:r>
    </w:p>
    <w:p w14:paraId="54A78A75"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Има ограничен опит по отношение на ефективността и безопасността при приложение на деца с хипертония, на възраст &gt;6 години, и никакъв опит при останалите показания. Налични са ограничени фармакокинетични данни при деца на възраст над 2 месеца (вж. точки 4.2, 5.1 и 5.2). Не се препоръчва употребата на еналаприл при деца с диагнози различни от хипертония. Еналаприл не се препоръчва при новородени и при деца със степен на гломерулна филтрация &lt; 30 </w:t>
      </w:r>
      <w:r w:rsidRPr="009E7776">
        <w:rPr>
          <w:rFonts w:eastAsia="Times New Roman" w:cs="Arial"/>
          <w:color w:val="000000"/>
          <w:lang w:val="en-US"/>
        </w:rPr>
        <w:t>ml</w:t>
      </w:r>
      <w:r w:rsidRPr="009E7776">
        <w:rPr>
          <w:rFonts w:eastAsia="Times New Roman" w:cs="Arial"/>
          <w:color w:val="000000"/>
          <w:lang w:val="ru-RU"/>
        </w:rPr>
        <w:t>/</w:t>
      </w:r>
      <w:r w:rsidRPr="009E7776">
        <w:rPr>
          <w:rFonts w:eastAsia="Times New Roman" w:cs="Arial"/>
          <w:color w:val="000000"/>
          <w:lang w:val="en-US"/>
        </w:rPr>
        <w:t>min</w:t>
      </w:r>
      <w:r w:rsidRPr="009E7776">
        <w:rPr>
          <w:rFonts w:eastAsia="Times New Roman" w:cs="Arial"/>
          <w:color w:val="000000"/>
          <w:lang w:val="ru-RU"/>
        </w:rPr>
        <w:t xml:space="preserve">/1,73 </w:t>
      </w:r>
      <w:r w:rsidRPr="009E7776">
        <w:rPr>
          <w:rFonts w:eastAsia="Times New Roman" w:cs="Arial"/>
          <w:color w:val="000000"/>
          <w:lang w:val="en-US"/>
        </w:rPr>
        <w:t>m</w:t>
      </w:r>
      <w:r w:rsidRPr="009E7776">
        <w:rPr>
          <w:rFonts w:eastAsia="Times New Roman" w:cs="Arial"/>
          <w:color w:val="000000"/>
          <w:vertAlign w:val="superscript"/>
          <w:lang w:val="ru-RU"/>
        </w:rPr>
        <w:t>2</w:t>
      </w:r>
      <w:r w:rsidRPr="009E7776">
        <w:rPr>
          <w:rFonts w:eastAsia="Times New Roman" w:cs="Arial"/>
          <w:color w:val="000000"/>
          <w:lang w:val="ru-RU"/>
        </w:rPr>
        <w:t xml:space="preserve">) </w:t>
      </w:r>
      <w:r w:rsidRPr="009E7776">
        <w:rPr>
          <w:rFonts w:eastAsia="Times New Roman" w:cs="Arial"/>
          <w:color w:val="000000"/>
          <w:lang w:eastAsia="bg-BG"/>
        </w:rPr>
        <w:t>(вж. точка 4.2).</w:t>
      </w:r>
    </w:p>
    <w:p w14:paraId="1A713CF1" w14:textId="77777777" w:rsidR="009E7776" w:rsidRPr="009E7776" w:rsidRDefault="009E7776" w:rsidP="009E7776">
      <w:pPr>
        <w:spacing w:line="240" w:lineRule="auto"/>
        <w:rPr>
          <w:rFonts w:eastAsia="Times New Roman" w:cs="Arial"/>
          <w:color w:val="000000"/>
          <w:u w:val="single"/>
          <w:lang w:eastAsia="bg-BG"/>
        </w:rPr>
      </w:pPr>
    </w:p>
    <w:p w14:paraId="3A779B6C" w14:textId="73B5A469"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Бременност и кърмене</w:t>
      </w:r>
    </w:p>
    <w:p w14:paraId="19924DD0"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Лечение с АСЕ инхибитори не трябва да се започва по време на бременност. Ако все пак терапията с АСЕ инхибитор се смята за наложителна, пациентките планиращи бременност трябва да преминат на друго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 трябва да се преустанови незабавно и ако е необходимо се започне алтернативно лечение (вж. точки 4.3 и 4.6).</w:t>
      </w:r>
    </w:p>
    <w:p w14:paraId="2A0A99A9" w14:textId="77777777" w:rsidR="009E7776" w:rsidRPr="009E7776" w:rsidRDefault="009E7776" w:rsidP="009E7776">
      <w:pPr>
        <w:spacing w:line="240" w:lineRule="auto"/>
        <w:rPr>
          <w:rFonts w:eastAsia="Times New Roman" w:cs="Arial"/>
          <w:color w:val="000000"/>
          <w:u w:val="single"/>
          <w:lang w:eastAsia="bg-BG"/>
        </w:rPr>
      </w:pPr>
    </w:p>
    <w:p w14:paraId="1CBFD44B" w14:textId="62A9E031"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Лактоза</w:t>
      </w:r>
    </w:p>
    <w:p w14:paraId="1E71CC8E" w14:textId="77777777" w:rsidR="009E7776" w:rsidRPr="009E7776" w:rsidRDefault="009E7776" w:rsidP="009E7776">
      <w:pPr>
        <w:rPr>
          <w:rFonts w:ascii="Times New Roman" w:eastAsia="Times New Roman" w:hAnsi="Times New Roman" w:cs="Times New Roman"/>
          <w:sz w:val="24"/>
          <w:szCs w:val="24"/>
        </w:rPr>
      </w:pPr>
      <w:r w:rsidRPr="009E7776">
        <w:rPr>
          <w:rFonts w:eastAsia="Times New Roman" w:cs="Arial"/>
          <w:color w:val="000000"/>
          <w:lang w:eastAsia="bg-BG"/>
        </w:rPr>
        <w:t xml:space="preserve">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 Това лекарство съдържа по-малко от 200 </w:t>
      </w:r>
      <w:r w:rsidRPr="009E7776">
        <w:rPr>
          <w:rFonts w:eastAsia="Times New Roman" w:cs="Arial"/>
          <w:color w:val="000000"/>
          <w:lang w:val="en-US"/>
        </w:rPr>
        <w:t>mg</w:t>
      </w:r>
      <w:r w:rsidRPr="009E7776">
        <w:rPr>
          <w:rFonts w:eastAsia="Times New Roman" w:cs="Arial"/>
          <w:color w:val="000000"/>
          <w:lang w:val="ru-RU"/>
        </w:rPr>
        <w:t xml:space="preserve"> </w:t>
      </w:r>
      <w:r w:rsidRPr="009E7776">
        <w:rPr>
          <w:rFonts w:eastAsia="Times New Roman" w:cs="Arial"/>
          <w:color w:val="000000"/>
          <w:lang w:eastAsia="bg-BG"/>
        </w:rPr>
        <w:t>лактоза в една таблетка.</w:t>
      </w:r>
    </w:p>
    <w:p w14:paraId="2FCF706A" w14:textId="77173022" w:rsidR="009E7776" w:rsidRPr="009E7776" w:rsidRDefault="009E7776" w:rsidP="009E7776"/>
    <w:p w14:paraId="1244F76A" w14:textId="370474E1" w:rsidR="00395555" w:rsidRDefault="002C50EE" w:rsidP="008A6AF2">
      <w:pPr>
        <w:pStyle w:val="Heading2"/>
      </w:pPr>
      <w:r>
        <w:t>4.5. Взаимодействие с други лекарствени продукти и други форми на взаимодействие</w:t>
      </w:r>
    </w:p>
    <w:p w14:paraId="227402AC" w14:textId="605AA2E6" w:rsidR="009E7776" w:rsidRDefault="009E7776" w:rsidP="009E7776"/>
    <w:p w14:paraId="58FC45DF"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Лекарства, повишаващи риска от ангиоедем</w:t>
      </w:r>
    </w:p>
    <w:p w14:paraId="61115EEA"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58F9B27A" w14:textId="77777777" w:rsidR="009E7776" w:rsidRPr="009E7776" w:rsidRDefault="009E7776" w:rsidP="009E7776">
      <w:pPr>
        <w:spacing w:line="240" w:lineRule="auto"/>
        <w:rPr>
          <w:rFonts w:eastAsia="Times New Roman" w:cs="Arial"/>
          <w:color w:val="000000"/>
          <w:szCs w:val="20"/>
          <w:lang w:eastAsia="bg-BG"/>
        </w:rPr>
      </w:pPr>
    </w:p>
    <w:p w14:paraId="72732E37" w14:textId="005F097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Съпътстващата употреба на АСЕ инхибитори с рацекадотрил, </w:t>
      </w:r>
      <w:proofErr w:type="spellStart"/>
      <w:r w:rsidRPr="009E7776">
        <w:rPr>
          <w:rFonts w:eastAsia="Times New Roman" w:cs="Arial"/>
          <w:color w:val="000000"/>
          <w:szCs w:val="20"/>
          <w:lang w:val="en-US"/>
        </w:rPr>
        <w:t>mTOR</w:t>
      </w:r>
      <w:proofErr w:type="spellEnd"/>
      <w:r w:rsidRPr="009E7776">
        <w:rPr>
          <w:rFonts w:eastAsia="Times New Roman" w:cs="Arial"/>
          <w:color w:val="000000"/>
          <w:szCs w:val="20"/>
          <w:lang w:val="ru-RU"/>
        </w:rPr>
        <w:t xml:space="preserve"> </w:t>
      </w:r>
      <w:r w:rsidRPr="009E7776">
        <w:rPr>
          <w:rFonts w:eastAsia="Times New Roman" w:cs="Arial"/>
          <w:color w:val="000000"/>
          <w:szCs w:val="20"/>
          <w:lang w:eastAsia="bg-BG"/>
        </w:rPr>
        <w:t>инхибитори (напр. сиролимус, еверолимус, темсиролимус) и вилдаглиптин може да доведе до повишен риск от ангиоедем (вж. точка 4.4).</w:t>
      </w:r>
    </w:p>
    <w:p w14:paraId="70EAF251" w14:textId="77777777" w:rsidR="009E7776" w:rsidRPr="009E7776" w:rsidRDefault="009E7776" w:rsidP="009E7776">
      <w:pPr>
        <w:spacing w:line="240" w:lineRule="auto"/>
        <w:rPr>
          <w:rFonts w:eastAsia="Times New Roman" w:cs="Arial"/>
          <w:color w:val="000000"/>
          <w:szCs w:val="20"/>
          <w:u w:val="single"/>
          <w:lang w:eastAsia="bg-BG"/>
        </w:rPr>
      </w:pPr>
    </w:p>
    <w:p w14:paraId="47C0F3CF" w14:textId="15797E32"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Двойно блокиране на ренин -ангиотензин алдостероновата система (РААС)</w:t>
      </w:r>
    </w:p>
    <w:p w14:paraId="5056218B"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w:t>
      </w:r>
      <w:r w:rsidRPr="009E7776">
        <w:rPr>
          <w:rFonts w:eastAsia="Times New Roman" w:cs="Arial"/>
          <w:color w:val="000000"/>
          <w:szCs w:val="20"/>
          <w:lang w:eastAsia="bg-BG"/>
        </w:rPr>
        <w:lastRenderedPageBreak/>
        <w:t>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4D2EBF9B" w14:textId="77777777" w:rsidR="009E7776" w:rsidRPr="009E7776" w:rsidRDefault="009E7776" w:rsidP="009E7776">
      <w:pPr>
        <w:spacing w:line="240" w:lineRule="auto"/>
        <w:rPr>
          <w:rFonts w:eastAsia="Times New Roman" w:cs="Arial"/>
          <w:color w:val="000000"/>
          <w:szCs w:val="20"/>
          <w:u w:val="single"/>
          <w:lang w:eastAsia="bg-BG"/>
        </w:rPr>
      </w:pPr>
    </w:p>
    <w:p w14:paraId="1351A711" w14:textId="7A273525"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Калий съхраняващи диуретици, хранителни добавки, съдържащи калий или калий-съдържащи заместители на солта</w:t>
      </w:r>
    </w:p>
    <w:p w14:paraId="3E82FB49"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Въпреки че, серумният калий обикновено остава в рамките на нормалните граници, при някои пациенти, лекувани с това лекарсто, е възможно да възникне хиперкалиемия. Използването на калий съхраняващи диуретици (спиронолактон, еплеренон, триамтерен или амилорид), калиеви добавки или калий-съдържащи заместители на солта, може да доведе до значително увеличаване на серумния калий. Трябва също да се внимава, когато това лекарство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 съхраняващ диуретик подобно на амилорид. Ако едновременната употреба на тези продукти е наложителна, те трябва да се прилагат внимателно и при често проследяване на серумния калий (вж. точка 4.4).</w:t>
      </w:r>
    </w:p>
    <w:p w14:paraId="34D568EE" w14:textId="77777777" w:rsidR="009E7776" w:rsidRPr="009E7776" w:rsidRDefault="009E7776" w:rsidP="009E7776">
      <w:pPr>
        <w:spacing w:line="240" w:lineRule="auto"/>
        <w:rPr>
          <w:rFonts w:eastAsia="Times New Roman" w:cs="Arial"/>
          <w:color w:val="000000"/>
          <w:szCs w:val="20"/>
          <w:u w:val="single"/>
          <w:lang w:eastAsia="bg-BG"/>
        </w:rPr>
      </w:pPr>
    </w:p>
    <w:p w14:paraId="41EEFDA1" w14:textId="0FEA915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Циклоспорин</w:t>
      </w:r>
    </w:p>
    <w:p w14:paraId="0884E8BA"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7B79EF9F" w14:textId="77777777" w:rsidR="009E7776" w:rsidRPr="009E7776" w:rsidRDefault="009E7776" w:rsidP="009E7776">
      <w:pPr>
        <w:spacing w:line="240" w:lineRule="auto"/>
        <w:rPr>
          <w:rFonts w:eastAsia="Times New Roman" w:cs="Arial"/>
          <w:color w:val="000000"/>
          <w:szCs w:val="20"/>
          <w:u w:val="single"/>
          <w:lang w:eastAsia="bg-BG"/>
        </w:rPr>
      </w:pPr>
    </w:p>
    <w:p w14:paraId="6DE0D5E0" w14:textId="0B5FF656"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Хепарин</w:t>
      </w:r>
    </w:p>
    <w:p w14:paraId="6579D5F4" w14:textId="4598A0DC"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5CE69A0F" w14:textId="77777777" w:rsidR="009E7776" w:rsidRPr="009E7776" w:rsidRDefault="009E7776" w:rsidP="009E7776">
      <w:pPr>
        <w:spacing w:line="240" w:lineRule="auto"/>
        <w:rPr>
          <w:rFonts w:eastAsia="Times New Roman" w:cs="Arial"/>
          <w:color w:val="000000"/>
          <w:szCs w:val="20"/>
          <w:u w:val="single"/>
          <w:lang w:eastAsia="bg-BG"/>
        </w:rPr>
      </w:pPr>
    </w:p>
    <w:p w14:paraId="0E11DAEB" w14:textId="230A4ADC"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Диуретици (тиазидни или бримкови)</w:t>
      </w:r>
    </w:p>
    <w:p w14:paraId="5E0824B6"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Предхождащо лечение с високи дози диуретици може да предизвика понижаване на обема на течности и повишен риск от развитие на хипотензия при започване на терапия с еналаприл (вж. точки 4.2 и 4.4). Хипотензивните ефекти могат да бъдат редуцирани чрез прекратяване на терапията с диуретик, чрез повишаване на приема на течности или сол или чрез приложение на по ниска начална доза еналаприл.</w:t>
      </w:r>
    </w:p>
    <w:p w14:paraId="402D4058" w14:textId="77777777" w:rsidR="009E7776" w:rsidRPr="009E7776" w:rsidRDefault="009E7776" w:rsidP="009E7776">
      <w:pPr>
        <w:spacing w:line="240" w:lineRule="auto"/>
        <w:rPr>
          <w:rFonts w:eastAsia="Times New Roman" w:cs="Arial"/>
          <w:color w:val="000000"/>
          <w:szCs w:val="20"/>
          <w:u w:val="single"/>
          <w:lang w:eastAsia="bg-BG"/>
        </w:rPr>
      </w:pPr>
    </w:p>
    <w:p w14:paraId="797554EC" w14:textId="5007394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Други антихипертензивни продукти</w:t>
      </w:r>
    </w:p>
    <w:p w14:paraId="10282ED8" w14:textId="7E40D347" w:rsidR="009E7776" w:rsidRPr="009E7776" w:rsidRDefault="009E7776" w:rsidP="009E7776">
      <w:pPr>
        <w:rPr>
          <w:rFonts w:eastAsia="Times New Roman" w:cs="Arial"/>
          <w:color w:val="000000"/>
          <w:szCs w:val="20"/>
          <w:lang w:eastAsia="bg-BG"/>
        </w:rPr>
      </w:pPr>
      <w:r w:rsidRPr="009E7776">
        <w:rPr>
          <w:rFonts w:eastAsia="Times New Roman" w:cs="Arial"/>
          <w:color w:val="000000"/>
          <w:szCs w:val="20"/>
          <w:lang w:eastAsia="bg-BG"/>
        </w:rPr>
        <w:t>Едновременната употреба с други антихипертензивни продукти може да засили хипотензивния ефект на еналаприл. Едновременното приложение с нитроглицерин и други нитрати или други вазодилататори, може да засили понижаването на кръвното налягане.</w:t>
      </w:r>
    </w:p>
    <w:p w14:paraId="17F634AB" w14:textId="5B4F50EC" w:rsidR="009E7776" w:rsidRPr="009E7776" w:rsidRDefault="009E7776" w:rsidP="009E7776">
      <w:pPr>
        <w:rPr>
          <w:rFonts w:eastAsia="Times New Roman" w:cs="Arial"/>
          <w:color w:val="000000"/>
          <w:szCs w:val="20"/>
          <w:lang w:eastAsia="bg-BG"/>
        </w:rPr>
      </w:pPr>
    </w:p>
    <w:p w14:paraId="7D1193B1"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Литий</w:t>
      </w:r>
    </w:p>
    <w:p w14:paraId="265BEFFA"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Обратимо покачване на серумните литиеви концентрации и на токсичността му са наблюдавани при едновременно приложение на литий с АСЕ инхибитори. Едновременната употреба на тиазидни диуретици заедно с АСЕ инхибиторите може да предизвика допълнително покачване в нивата на лития и да увеличи риска от литиева токсичност. Поради това едновременното приложение на литий с еналаприл не е препоръчително, но ако все пак това е наложително, необходим е внимателен контрол на серумните нива на лития (вж. точка 4.4).</w:t>
      </w:r>
    </w:p>
    <w:p w14:paraId="0A9E2141" w14:textId="77777777" w:rsidR="009E7776" w:rsidRPr="009E7776" w:rsidRDefault="009E7776" w:rsidP="009E7776">
      <w:pPr>
        <w:spacing w:line="240" w:lineRule="auto"/>
        <w:rPr>
          <w:rFonts w:eastAsia="Times New Roman" w:cs="Arial"/>
          <w:color w:val="000000"/>
          <w:szCs w:val="20"/>
          <w:u w:val="single"/>
          <w:lang w:eastAsia="bg-BG"/>
        </w:rPr>
      </w:pPr>
    </w:p>
    <w:p w14:paraId="30121B45" w14:textId="159184BE"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Трициклични антидепресанти/Антипсихотици/Анестетици/Наркотици</w:t>
      </w:r>
    </w:p>
    <w:p w14:paraId="41ACEA8D"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lastRenderedPageBreak/>
        <w:t>Едновременното приложение на някои анестетици, трициклични антидепресанти и антипсихотици с АСЕ инхибитори може да предизвика допълнително понижаване на кръвното налягане (вж. точка 4.4).</w:t>
      </w:r>
    </w:p>
    <w:p w14:paraId="783AB447" w14:textId="77777777" w:rsidR="009E7776" w:rsidRPr="009E7776" w:rsidRDefault="009E7776" w:rsidP="009E7776">
      <w:pPr>
        <w:spacing w:line="240" w:lineRule="auto"/>
        <w:rPr>
          <w:rFonts w:eastAsia="Times New Roman" w:cs="Arial"/>
          <w:color w:val="000000"/>
          <w:szCs w:val="20"/>
          <w:u w:val="single"/>
          <w:lang w:eastAsia="bg-BG"/>
        </w:rPr>
      </w:pPr>
    </w:p>
    <w:p w14:paraId="21AEFDD0" w14:textId="6F6E5EE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Нестероидни противовъзпалителни продукти (НСПВС)</w:t>
      </w:r>
    </w:p>
    <w:p w14:paraId="514BDF31"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Продължителната употреба на НСПВС може да намали антихипертензивния ефект на АСЕ инхибитора. НСПВС (включително СОХ-2 инхибитори/) и АСЕ инхибиторите проявяват адитивен ефект върху повишаване на серумния калий, което може да доведе до влошаване на бъбречната функция. Това обикновено е обратимо. В редки случаи, може да се развие остра бъбречна недостатъчност, особено при пациенти с компрометирана бъбречна функция (като пациенти в старческа възраст или дехидратирани пациенти, включително такива на диуретична терапия). Пациентите трябва да бъдат адекватно хидратирани и е необходим контрол на бъбречната функция след започване на придружаващата терапия и на регулярни интервали след това.</w:t>
      </w:r>
    </w:p>
    <w:p w14:paraId="7CCBA0D4" w14:textId="77777777" w:rsidR="009E7776" w:rsidRPr="009E7776" w:rsidRDefault="009E7776" w:rsidP="009E7776">
      <w:pPr>
        <w:spacing w:line="240" w:lineRule="auto"/>
        <w:rPr>
          <w:rFonts w:eastAsia="Times New Roman" w:cs="Arial"/>
          <w:color w:val="000000"/>
          <w:szCs w:val="20"/>
          <w:u w:val="single"/>
          <w:lang w:eastAsia="bg-BG"/>
        </w:rPr>
      </w:pPr>
    </w:p>
    <w:p w14:paraId="66BE3157" w14:textId="7F230033"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Злато</w:t>
      </w:r>
    </w:p>
    <w:p w14:paraId="2977CEF1"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Нитритоидни реакции (симптоми, включващи зачервяване на лицето, гадене, повръщане и ниско кръвно налягане) са докладвани рядко при пациенти на лечение с инжекционна форма, съдържаща злато и съпътстваща терапия с АСЕ инхибитори, включително и еналаприл.</w:t>
      </w:r>
    </w:p>
    <w:p w14:paraId="65EB745C" w14:textId="77777777" w:rsidR="009E7776" w:rsidRPr="009E7776" w:rsidRDefault="009E7776" w:rsidP="009E7776">
      <w:pPr>
        <w:spacing w:line="240" w:lineRule="auto"/>
        <w:rPr>
          <w:rFonts w:eastAsia="Times New Roman" w:cs="Arial"/>
          <w:color w:val="000000"/>
          <w:szCs w:val="20"/>
          <w:u w:val="single"/>
          <w:lang w:eastAsia="bg-BG"/>
        </w:rPr>
      </w:pPr>
    </w:p>
    <w:p w14:paraId="744AC273" w14:textId="1B59FA7E"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Симпатикомиметипи</w:t>
      </w:r>
    </w:p>
    <w:p w14:paraId="731299E1"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Симпатикомиметиците могат да намалят антихипертензивния ефект на АСЕ инхибиторите.</w:t>
      </w:r>
    </w:p>
    <w:p w14:paraId="656CD5FB" w14:textId="77777777" w:rsidR="009E7776" w:rsidRPr="009E7776" w:rsidRDefault="009E7776" w:rsidP="009E7776">
      <w:pPr>
        <w:spacing w:line="240" w:lineRule="auto"/>
        <w:rPr>
          <w:rFonts w:eastAsia="Times New Roman" w:cs="Arial"/>
          <w:color w:val="000000"/>
          <w:szCs w:val="20"/>
          <w:u w:val="single"/>
          <w:lang w:eastAsia="bg-BG"/>
        </w:rPr>
      </w:pPr>
    </w:p>
    <w:p w14:paraId="2BA6405B" w14:textId="7A63E59E"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Антидиабетни продукти</w:t>
      </w:r>
    </w:p>
    <w:p w14:paraId="23FFA107"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Епидемиологични изследвания показват, че едновременната употреба на АСЕ инхибитори и антидиабетични медикаменти (инсулин, перорални хипогликемизиращи средства) може да предизвика повишаване на хипогликемизиращите ефекти с риск от развитие на хипогликемия. Този феномен изглежда, че е по-чест през първите седмици на комбинираното лечение и при пациенти с бъбречно увреждане (вж. точки 4.4 и 4.8).</w:t>
      </w:r>
    </w:p>
    <w:p w14:paraId="434648CE" w14:textId="77777777" w:rsidR="009E7776" w:rsidRPr="009E7776" w:rsidRDefault="009E7776" w:rsidP="009E7776">
      <w:pPr>
        <w:spacing w:line="240" w:lineRule="auto"/>
        <w:rPr>
          <w:rFonts w:eastAsia="Times New Roman" w:cs="Arial"/>
          <w:color w:val="000000"/>
          <w:szCs w:val="20"/>
          <w:u w:val="single"/>
          <w:lang w:eastAsia="bg-BG"/>
        </w:rPr>
      </w:pPr>
    </w:p>
    <w:p w14:paraId="20D14557" w14:textId="398520C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Алкохол</w:t>
      </w:r>
    </w:p>
    <w:p w14:paraId="175DCC23" w14:textId="3A1E5A9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Алкохолът засилва хипотензивния ефект на АСЕ инхибиторите.</w:t>
      </w:r>
    </w:p>
    <w:p w14:paraId="52915054" w14:textId="77777777" w:rsidR="009E7776" w:rsidRPr="009E7776" w:rsidRDefault="009E7776" w:rsidP="009E7776">
      <w:pPr>
        <w:spacing w:line="240" w:lineRule="auto"/>
        <w:rPr>
          <w:rFonts w:eastAsia="Times New Roman" w:cs="Arial"/>
          <w:color w:val="000000"/>
          <w:szCs w:val="20"/>
          <w:u w:val="single"/>
          <w:lang w:eastAsia="bg-BG"/>
        </w:rPr>
      </w:pPr>
    </w:p>
    <w:p w14:paraId="046D10AB" w14:textId="2AE5F268"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Ацетилсалицилова киселина, тромболитици и бета-блокери</w:t>
      </w:r>
    </w:p>
    <w:p w14:paraId="67251B34" w14:textId="77777777" w:rsidR="009E7776" w:rsidRPr="009E7776" w:rsidRDefault="009E7776" w:rsidP="009E7776">
      <w:pPr>
        <w:spacing w:line="240" w:lineRule="auto"/>
        <w:rPr>
          <w:rFonts w:ascii="Times New Roman" w:eastAsia="Times New Roman" w:hAnsi="Times New Roman" w:cs="Times New Roman"/>
          <w:sz w:val="24"/>
          <w:szCs w:val="24"/>
        </w:rPr>
      </w:pPr>
      <w:r w:rsidRPr="009E7776">
        <w:rPr>
          <w:rFonts w:eastAsia="Times New Roman" w:cs="Arial"/>
          <w:color w:val="000000"/>
          <w:szCs w:val="20"/>
          <w:lang w:eastAsia="bg-BG"/>
        </w:rPr>
        <w:t>Еналаприл може безопасно да се комбинира с ацетилсалицилова киселина (в кардиологични дози), тромболитици и β-блокери.</w:t>
      </w:r>
    </w:p>
    <w:p w14:paraId="0CE04E8C" w14:textId="77777777" w:rsidR="009E7776" w:rsidRPr="009E7776" w:rsidRDefault="009E7776" w:rsidP="009E7776"/>
    <w:p w14:paraId="6EADE4D6" w14:textId="038547E3" w:rsidR="00395555" w:rsidRDefault="002C50EE" w:rsidP="008A6AF2">
      <w:pPr>
        <w:pStyle w:val="Heading2"/>
      </w:pPr>
      <w:r>
        <w:t>4.6. Фертилитет, бременност и кърмене</w:t>
      </w:r>
    </w:p>
    <w:p w14:paraId="2B237887" w14:textId="0AD39B34" w:rsidR="009E7776" w:rsidRDefault="009E7776" w:rsidP="009E7776"/>
    <w:p w14:paraId="19B73B93" w14:textId="0C21BB45" w:rsidR="009E7776" w:rsidRPr="009E7776" w:rsidRDefault="009E7776" w:rsidP="009E7776">
      <w:pPr>
        <w:pStyle w:val="Heading3"/>
        <w:rPr>
          <w:rFonts w:eastAsia="Times New Roman"/>
          <w:u w:val="single"/>
        </w:rPr>
      </w:pPr>
      <w:r w:rsidRPr="009E7776">
        <w:rPr>
          <w:rFonts w:eastAsia="Times New Roman"/>
          <w:u w:val="single"/>
          <w:lang w:eastAsia="bg-BG"/>
        </w:rPr>
        <w:t>Бременност</w:t>
      </w:r>
    </w:p>
    <w:p w14:paraId="4F8A268C" w14:textId="77777777" w:rsidR="009E7776" w:rsidRDefault="009E7776" w:rsidP="009E7776">
      <w:pPr>
        <w:rPr>
          <w:lang w:eastAsia="bg-BG"/>
        </w:rPr>
      </w:pPr>
    </w:p>
    <w:p w14:paraId="72F5CA4B" w14:textId="01F5B3A3" w:rsidR="009E7776" w:rsidRDefault="009E7776" w:rsidP="009E7776">
      <w:pPr>
        <w:rPr>
          <w:lang w:eastAsia="bg-BG"/>
        </w:rPr>
      </w:pPr>
      <w:r w:rsidRPr="009E7776">
        <w:rPr>
          <w:lang w:eastAsia="bg-BG"/>
        </w:rPr>
        <w:t>Употребата на АС</w:t>
      </w:r>
      <w:r w:rsidRPr="009E7776">
        <w:rPr>
          <w:lang w:val="en-US"/>
        </w:rPr>
        <w:t>E</w:t>
      </w:r>
      <w:r w:rsidRPr="009E7776">
        <w:rPr>
          <w:lang w:eastAsia="bg-BG"/>
        </w:rPr>
        <w:t>-инхибитори не се препоръчва през първия триместър на бременността (вж. точка 4.4). Употребата на АСЕ-инхибитори по време на втория и третия триместър на бременността е противопоказна (вж. точки 4.3 и 4.4).</w:t>
      </w:r>
    </w:p>
    <w:p w14:paraId="49F92179" w14:textId="7585EDB5" w:rsidR="009E7776" w:rsidRDefault="009E7776" w:rsidP="009E7776">
      <w:pPr>
        <w:rPr>
          <w:lang w:eastAsia="bg-BG"/>
        </w:rPr>
      </w:pPr>
    </w:p>
    <w:p w14:paraId="70860C7B" w14:textId="77777777" w:rsidR="009E7776" w:rsidRPr="009E7776" w:rsidRDefault="009E7776" w:rsidP="009E7776">
      <w:pPr>
        <w:rPr>
          <w:sz w:val="24"/>
          <w:szCs w:val="24"/>
        </w:rPr>
      </w:pPr>
      <w:r w:rsidRPr="009E7776">
        <w:rPr>
          <w:lang w:eastAsia="bg-BG"/>
        </w:rPr>
        <w:t xml:space="preserve">Епидемиологичните данни относно тератогенния риск вследствие приложение на АСЕ-инхибитори по време на първия триместьр на бременността не са убедителни, но все пак </w:t>
      </w:r>
      <w:r w:rsidRPr="009E7776">
        <w:rPr>
          <w:lang w:eastAsia="bg-BG"/>
        </w:rPr>
        <w:lastRenderedPageBreak/>
        <w:t>не може да се изключи известно повишение на този риск. При пациентките, при които продължаване на започнатото лечение с АСЕ-инхибитор се смята за наложително е необходимо, при планиране на бременност, да се смени антихипертензивната терапия с алтернативна с установен профил на безопасност по време на бременност. Ако се установи бременност, лечението с АСЕ-инхибитор трябва да се преустанови незабавно и ако е подходящо да се започне алтернативно лечение. Приложението на АСЕ-инхибитори по време на втория и третия триместьр на бременността е свързано с фетотоксичност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6199B588" w14:textId="77777777" w:rsidR="009E7776" w:rsidRPr="009E7776" w:rsidRDefault="009E7776" w:rsidP="009E7776">
      <w:pPr>
        <w:rPr>
          <w:sz w:val="24"/>
          <w:szCs w:val="24"/>
        </w:rPr>
      </w:pPr>
      <w:r w:rsidRPr="009E7776">
        <w:rPr>
          <w:lang w:eastAsia="bg-BG"/>
        </w:rPr>
        <w:t>Ако се установи експозиция на АСЕ-инхибитори от началото на втория триместьр на бременността, препоръчително е провеждане на ултразвуково изследване за проследяване на бъбречната функция и черепа.</w:t>
      </w:r>
    </w:p>
    <w:p w14:paraId="60D5FD25" w14:textId="77777777" w:rsidR="009E7776" w:rsidRPr="009E7776" w:rsidRDefault="009E7776" w:rsidP="009E7776">
      <w:pPr>
        <w:rPr>
          <w:sz w:val="24"/>
          <w:szCs w:val="24"/>
        </w:rPr>
      </w:pPr>
      <w:r w:rsidRPr="009E7776">
        <w:rPr>
          <w:lang w:eastAsia="bg-BG"/>
        </w:rPr>
        <w:t>Новородени, чиито майки са приемали АСЕ-инхибитори, трябва стриктно да бъдат проследявани за поява на хипотония (вж. точки 4.3 и 4.4).</w:t>
      </w:r>
    </w:p>
    <w:p w14:paraId="7DD7D4B0" w14:textId="77777777" w:rsidR="009E7776" w:rsidRDefault="009E7776" w:rsidP="009E7776">
      <w:pPr>
        <w:rPr>
          <w:lang w:eastAsia="bg-BG"/>
        </w:rPr>
      </w:pPr>
    </w:p>
    <w:p w14:paraId="0C5D4D03" w14:textId="0362BC20" w:rsidR="009E7776" w:rsidRPr="009E7776" w:rsidRDefault="009E7776" w:rsidP="009E7776">
      <w:pPr>
        <w:rPr>
          <w:sz w:val="24"/>
          <w:szCs w:val="24"/>
        </w:rPr>
      </w:pPr>
      <w:r w:rsidRPr="009E7776">
        <w:rPr>
          <w:lang w:eastAsia="bg-BG"/>
        </w:rPr>
        <w:t>Наблюдаваната при майката олигохидроамниоза, вероятно поради понижена фетална бъбречна функция, може да доведе до контрактура на крайниците, краниофациални деформации и хипоплазия на белия дроб.</w:t>
      </w:r>
    </w:p>
    <w:p w14:paraId="7F51E247" w14:textId="77777777" w:rsidR="009E7776" w:rsidRDefault="009E7776" w:rsidP="009E7776">
      <w:pPr>
        <w:rPr>
          <w:lang w:eastAsia="bg-BG"/>
        </w:rPr>
      </w:pPr>
    </w:p>
    <w:p w14:paraId="72601406" w14:textId="266EAF90" w:rsidR="009E7776" w:rsidRPr="009E7776" w:rsidRDefault="009E7776" w:rsidP="009E7776">
      <w:pPr>
        <w:pStyle w:val="Heading3"/>
        <w:rPr>
          <w:rFonts w:eastAsia="Times New Roman"/>
          <w:u w:val="single"/>
        </w:rPr>
      </w:pPr>
      <w:r w:rsidRPr="009E7776">
        <w:rPr>
          <w:rFonts w:eastAsia="Times New Roman"/>
          <w:u w:val="single"/>
          <w:lang w:eastAsia="bg-BG"/>
        </w:rPr>
        <w:t>Кърмене</w:t>
      </w:r>
    </w:p>
    <w:p w14:paraId="6AED2343" w14:textId="77777777" w:rsidR="009E7776" w:rsidRPr="009E7776" w:rsidRDefault="009E7776" w:rsidP="009E7776">
      <w:pPr>
        <w:rPr>
          <w:sz w:val="24"/>
          <w:szCs w:val="24"/>
        </w:rPr>
      </w:pPr>
      <w:r w:rsidRPr="009E7776">
        <w:rPr>
          <w:lang w:eastAsia="bg-BG"/>
        </w:rPr>
        <w:t>Ограничените фармакокинетични данни демонстрират много ниски концентрации в майчиното мляко (вж. точка 5.2). Въпреки, че тези концентрации вероятно са клинично незначими, употребата на еналаприл по време на кърмене не се препоръчва при преждевременно родени деца и през първите няколко седмици след раждането, поради потенциален риск от кардиоваскуларни и бъбречни ефекти и поради недостатъчен клиничен опит. При по-големи кърмачета употребата на еналаприл може да се обмисли, ако това лечение е наложително за майката и ако детето се наблюдава внимателно за появата на нежелани ефекти.</w:t>
      </w:r>
    </w:p>
    <w:p w14:paraId="2DFD25ED" w14:textId="77777777" w:rsidR="009E7776" w:rsidRPr="009E7776" w:rsidRDefault="009E7776" w:rsidP="009E7776"/>
    <w:p w14:paraId="5766770B" w14:textId="5C076590" w:rsidR="00395555" w:rsidRDefault="002C50EE" w:rsidP="008A6AF2">
      <w:pPr>
        <w:pStyle w:val="Heading2"/>
      </w:pPr>
      <w:r>
        <w:t>4.7. Ефекти върху способността за шофиране и работа с машини</w:t>
      </w:r>
    </w:p>
    <w:p w14:paraId="22D02872" w14:textId="26AC5CCE" w:rsidR="009E7776" w:rsidRDefault="009E7776" w:rsidP="009E7776"/>
    <w:p w14:paraId="673318C5" w14:textId="77777777" w:rsidR="009E7776" w:rsidRPr="009E7776" w:rsidRDefault="009E7776" w:rsidP="009E7776">
      <w:pPr>
        <w:rPr>
          <w:sz w:val="24"/>
          <w:szCs w:val="24"/>
        </w:rPr>
      </w:pPr>
      <w:r w:rsidRPr="009E7776">
        <w:rPr>
          <w:lang w:eastAsia="bg-BG"/>
        </w:rPr>
        <w:t>При шофиране и работа с машини трябва да се има предвид, че понякога може да се появи замайване или обща отпадналост.</w:t>
      </w:r>
    </w:p>
    <w:p w14:paraId="3D7117F0" w14:textId="77777777" w:rsidR="009E7776" w:rsidRPr="009E7776" w:rsidRDefault="009E7776" w:rsidP="009E7776"/>
    <w:p w14:paraId="4FE16E21" w14:textId="2E4A25B8" w:rsidR="00395555" w:rsidRDefault="002C50EE" w:rsidP="008A6AF2">
      <w:pPr>
        <w:pStyle w:val="Heading2"/>
      </w:pPr>
      <w:r>
        <w:t>4.8. Нежелани лекарствени реакции</w:t>
      </w:r>
    </w:p>
    <w:p w14:paraId="6D95C9C0" w14:textId="2669B6A6" w:rsidR="009E7776" w:rsidRDefault="009E7776" w:rsidP="009E7776"/>
    <w:p w14:paraId="4AC7F4B2"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Нежеланите лекарствени реакции, които е възможно да се наблюдават при употреба на еналаприл са класифицирани в зависимост от честотата на тяхната проява по следния начин: много чести (&gt; 1/10), чести (&gt; 1/100, &lt; 1/10), нечести (&gt; 1/1 000, &lt; 1/100), редки (&gt; 1/10 000, &lt; 1/1 000), много редки (&lt;1/10 000), с неизвестна честота (от наличните данни не може да бъде направена оценка).</w:t>
      </w:r>
    </w:p>
    <w:p w14:paraId="75EF2A71" w14:textId="77777777" w:rsidR="009E7776" w:rsidRPr="009E7776" w:rsidRDefault="009E7776" w:rsidP="009E7776">
      <w:pPr>
        <w:spacing w:line="240" w:lineRule="auto"/>
        <w:rPr>
          <w:rFonts w:eastAsia="Times New Roman" w:cs="Arial"/>
          <w:color w:val="000000"/>
          <w:u w:val="single"/>
          <w:lang w:eastAsia="bg-BG"/>
        </w:rPr>
      </w:pPr>
    </w:p>
    <w:p w14:paraId="74033451" w14:textId="4BCF9760"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кръвта и лимфната система:</w:t>
      </w:r>
    </w:p>
    <w:p w14:paraId="39FAF798"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анемия (включително апластична и хемолитична).</w:t>
      </w:r>
    </w:p>
    <w:p w14:paraId="6BF958E9"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lastRenderedPageBreak/>
        <w:t>Редки: неутропения, намален хемоглобин, намален хематокрит, тромбоцитопения, агранулоцитоза, потискане на костния мозък, левкопения, панцитопения, лимфаденопатия, автоимуини заболявалия.</w:t>
      </w:r>
    </w:p>
    <w:p w14:paraId="685CAF39" w14:textId="77777777" w:rsidR="009E7776" w:rsidRPr="009E7776" w:rsidRDefault="009E7776" w:rsidP="009E7776">
      <w:pPr>
        <w:spacing w:line="240" w:lineRule="auto"/>
        <w:rPr>
          <w:rFonts w:eastAsia="Times New Roman" w:cs="Arial"/>
          <w:color w:val="000000"/>
          <w:u w:val="single"/>
          <w:lang w:eastAsia="bg-BG"/>
        </w:rPr>
      </w:pPr>
    </w:p>
    <w:p w14:paraId="57D4C28D" w14:textId="733C38D1"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ендокринната система:</w:t>
      </w:r>
    </w:p>
    <w:p w14:paraId="1838883F"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С неизвестна честота: синдром на неадекватна секреция на антидиуретичния хормон (</w:t>
      </w:r>
      <w:r w:rsidRPr="009E7776">
        <w:rPr>
          <w:rFonts w:eastAsia="Times New Roman" w:cs="Arial"/>
          <w:color w:val="000000"/>
          <w:lang w:val="en-US"/>
        </w:rPr>
        <w:t>SIADH</w:t>
      </w:r>
      <w:r w:rsidRPr="009E7776">
        <w:rPr>
          <w:rFonts w:eastAsia="Times New Roman" w:cs="Arial"/>
          <w:color w:val="000000"/>
          <w:lang w:val="ru-RU"/>
        </w:rPr>
        <w:t>)</w:t>
      </w:r>
    </w:p>
    <w:p w14:paraId="4090C75C" w14:textId="46BAFCF1" w:rsidR="009E7776" w:rsidRPr="009E7776" w:rsidRDefault="009E7776" w:rsidP="009E7776">
      <w:pPr>
        <w:rPr>
          <w:rFonts w:cs="Arial"/>
        </w:rPr>
      </w:pPr>
    </w:p>
    <w:p w14:paraId="46D533D0" w14:textId="77777777"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метаболизма и храненето:</w:t>
      </w:r>
    </w:p>
    <w:p w14:paraId="7C31910B"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хипогликемия (вж. точка 4.4).</w:t>
      </w:r>
    </w:p>
    <w:p w14:paraId="11D97FDC" w14:textId="77777777" w:rsidR="009E7776" w:rsidRPr="009E7776" w:rsidRDefault="009E7776" w:rsidP="009E7776">
      <w:pPr>
        <w:spacing w:line="240" w:lineRule="auto"/>
        <w:rPr>
          <w:rFonts w:eastAsia="Times New Roman" w:cs="Arial"/>
          <w:color w:val="000000"/>
          <w:u w:val="single"/>
          <w:lang w:eastAsia="bg-BG"/>
        </w:rPr>
      </w:pPr>
    </w:p>
    <w:p w14:paraId="14965513" w14:textId="7D5A7222"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нервната система и психични нарушения:</w:t>
      </w:r>
    </w:p>
    <w:p w14:paraId="664A79F7" w14:textId="167E10E2"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главоболие, депресия.</w:t>
      </w:r>
    </w:p>
    <w:p w14:paraId="5235DE2F"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обърканост, сънливост, безсъние, нервност, парестезии, вертиго.</w:t>
      </w:r>
    </w:p>
    <w:p w14:paraId="779988AA"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нарушение на съня, необичайни сънища.</w:t>
      </w:r>
    </w:p>
    <w:p w14:paraId="407EAF91" w14:textId="77777777" w:rsidR="009E7776" w:rsidRPr="009E7776" w:rsidRDefault="009E7776" w:rsidP="009E7776">
      <w:pPr>
        <w:spacing w:line="240" w:lineRule="auto"/>
        <w:rPr>
          <w:rFonts w:eastAsia="Times New Roman" w:cs="Arial"/>
          <w:color w:val="000000"/>
          <w:u w:val="single"/>
          <w:lang w:eastAsia="bg-BG"/>
        </w:rPr>
      </w:pPr>
    </w:p>
    <w:p w14:paraId="581CC88F" w14:textId="5CC65A2F"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Очни нарушения:</w:t>
      </w:r>
    </w:p>
    <w:p w14:paraId="6346F7E1"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чести: замъглено виждане.</w:t>
      </w:r>
    </w:p>
    <w:p w14:paraId="096E051A" w14:textId="77777777" w:rsidR="009E7776" w:rsidRPr="009E7776" w:rsidRDefault="009E7776" w:rsidP="009E7776">
      <w:pPr>
        <w:spacing w:line="240" w:lineRule="auto"/>
        <w:rPr>
          <w:rFonts w:eastAsia="Times New Roman" w:cs="Arial"/>
          <w:color w:val="000000"/>
          <w:u w:val="single"/>
          <w:lang w:eastAsia="bg-BG"/>
        </w:rPr>
      </w:pPr>
    </w:p>
    <w:p w14:paraId="34A05C17" w14:textId="6DA260F2"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Сърдечни и съдови нарушения:</w:t>
      </w:r>
    </w:p>
    <w:p w14:paraId="06F9A0AC"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чести: замайване.</w:t>
      </w:r>
    </w:p>
    <w:p w14:paraId="31959072"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хипотония (вкл. ортостатична хипотония), синкоп, болка в гърдите, ритъмни нарушения, стенокардия, тахикардия.</w:t>
      </w:r>
    </w:p>
    <w:p w14:paraId="51D3347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Нечести: ортостатична хипотония, палпитации, миокарден инфаркт или мозъчно-съдов инцидент*, вероятно вторично вследствие на ексцесивна хипотония при пациенти с висок риск (вж. точка 4.4). Редки: феномен на </w:t>
      </w:r>
      <w:r w:rsidRPr="009E7776">
        <w:rPr>
          <w:rFonts w:eastAsia="Times New Roman" w:cs="Arial"/>
          <w:color w:val="000000"/>
          <w:lang w:val="en-US"/>
        </w:rPr>
        <w:t>Raynaud</w:t>
      </w:r>
      <w:r w:rsidRPr="009E7776">
        <w:rPr>
          <w:rFonts w:eastAsia="Times New Roman" w:cs="Arial"/>
          <w:color w:val="000000"/>
          <w:lang w:val="ru-RU"/>
        </w:rPr>
        <w:t>.</w:t>
      </w:r>
    </w:p>
    <w:p w14:paraId="0D616D14" w14:textId="77777777" w:rsidR="009E7776" w:rsidRPr="009E7776" w:rsidRDefault="009E7776" w:rsidP="009E7776">
      <w:pPr>
        <w:spacing w:line="240" w:lineRule="auto"/>
        <w:rPr>
          <w:rFonts w:eastAsia="Times New Roman" w:cs="Arial"/>
          <w:color w:val="000000"/>
          <w:u w:val="single"/>
          <w:lang w:eastAsia="bg-BG"/>
        </w:rPr>
      </w:pPr>
    </w:p>
    <w:p w14:paraId="2E9084E9" w14:textId="2200A25C"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Респираторни, гръдни и медиастинални нарушения:</w:t>
      </w:r>
    </w:p>
    <w:p w14:paraId="7947A3A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чести: кашлица.</w:t>
      </w:r>
    </w:p>
    <w:p w14:paraId="4C5E22AC"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диспнея.</w:t>
      </w:r>
    </w:p>
    <w:p w14:paraId="5264F4A1"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назална секреция, болки в гърлото и дрезгав глас, бронхоспазъм/астма.</w:t>
      </w:r>
    </w:p>
    <w:p w14:paraId="06099DA8"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белодробни инфилтрати, ринит, алергичен алвеолит/еозинофилна пневмония.</w:t>
      </w:r>
    </w:p>
    <w:p w14:paraId="7E732287" w14:textId="77777777" w:rsidR="009E7776" w:rsidRPr="009E7776" w:rsidRDefault="009E7776" w:rsidP="009E7776">
      <w:pPr>
        <w:spacing w:line="240" w:lineRule="auto"/>
        <w:rPr>
          <w:rFonts w:eastAsia="Times New Roman" w:cs="Arial"/>
          <w:color w:val="000000"/>
          <w:u w:val="single"/>
          <w:lang w:eastAsia="bg-BG"/>
        </w:rPr>
      </w:pPr>
    </w:p>
    <w:p w14:paraId="39F1EF5A" w14:textId="36BCA783"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Стомашно-чревни нарушения:</w:t>
      </w:r>
    </w:p>
    <w:p w14:paraId="117827D0"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чести: гадене.</w:t>
      </w:r>
    </w:p>
    <w:p w14:paraId="499C216A"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диария, коремна болка, променен вкус.</w:t>
      </w:r>
    </w:p>
    <w:p w14:paraId="05BACAF5"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илеус, панкреатит, повръщане, диспепсия, констипация, анорексия, стомашно дразнене, сухота в устата, пептична язва.</w:t>
      </w:r>
    </w:p>
    <w:p w14:paraId="6A08DE9C"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стоматит/афтозни улцерации (язви), глосит.</w:t>
      </w:r>
    </w:p>
    <w:p w14:paraId="7150FD0E"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редки: интестинален ангиоедем.</w:t>
      </w:r>
    </w:p>
    <w:p w14:paraId="7D2605E2" w14:textId="77777777" w:rsidR="009E7776" w:rsidRPr="009E7776" w:rsidRDefault="009E7776" w:rsidP="009E7776">
      <w:pPr>
        <w:spacing w:line="240" w:lineRule="auto"/>
        <w:rPr>
          <w:rFonts w:eastAsia="Times New Roman" w:cs="Arial"/>
          <w:color w:val="000000"/>
          <w:u w:val="single"/>
          <w:lang w:eastAsia="bg-BG"/>
        </w:rPr>
      </w:pPr>
    </w:p>
    <w:p w14:paraId="4B0901FD" w14:textId="677B3826"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Хепатобилиарни нарушения:</w:t>
      </w:r>
    </w:p>
    <w:p w14:paraId="339E232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чернодробна недостатъчност, хепатит - хепатоцелуларен или холестатичен, чернодробна некроза, холестаза (вкл. жълтеница).</w:t>
      </w:r>
    </w:p>
    <w:p w14:paraId="2C3424F9" w14:textId="77777777" w:rsidR="009E7776" w:rsidRPr="009E7776" w:rsidRDefault="009E7776" w:rsidP="009E7776">
      <w:pPr>
        <w:spacing w:line="240" w:lineRule="auto"/>
        <w:rPr>
          <w:rFonts w:eastAsia="Times New Roman" w:cs="Arial"/>
          <w:color w:val="000000"/>
          <w:u w:val="single"/>
          <w:lang w:eastAsia="bg-BG"/>
        </w:rPr>
      </w:pPr>
    </w:p>
    <w:p w14:paraId="54B73348" w14:textId="779BB9CF"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кожата и подкожната тъкан:</w:t>
      </w:r>
    </w:p>
    <w:p w14:paraId="13374021"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обрив, свръхчувствителност/ангионевротичен едем: ангионевротичен оток на лицето, крайниците, устните, езика, глотиса и/или ларинкса (вж. точка .4.4).</w:t>
      </w:r>
    </w:p>
    <w:p w14:paraId="49A3E5D7"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диафореза, сърбеж, уртикария, алопеция.</w:t>
      </w:r>
    </w:p>
    <w:p w14:paraId="2FB53742"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Редки: еритема мултиформе, синдром на </w:t>
      </w:r>
      <w:r w:rsidRPr="009E7776">
        <w:rPr>
          <w:rFonts w:eastAsia="Times New Roman" w:cs="Arial"/>
          <w:color w:val="000000"/>
          <w:lang w:val="en-US"/>
        </w:rPr>
        <w:t>Stevens</w:t>
      </w:r>
      <w:r w:rsidRPr="009E7776">
        <w:rPr>
          <w:rFonts w:eastAsia="Times New Roman" w:cs="Arial"/>
          <w:color w:val="000000"/>
        </w:rPr>
        <w:t>-</w:t>
      </w:r>
      <w:r w:rsidRPr="009E7776">
        <w:rPr>
          <w:rFonts w:eastAsia="Times New Roman" w:cs="Arial"/>
          <w:color w:val="000000"/>
          <w:lang w:val="en-US"/>
        </w:rPr>
        <w:t>Johnson</w:t>
      </w:r>
      <w:r w:rsidRPr="009E7776">
        <w:rPr>
          <w:rFonts w:eastAsia="Times New Roman" w:cs="Arial"/>
          <w:color w:val="000000"/>
        </w:rPr>
        <w:t xml:space="preserve">, </w:t>
      </w:r>
      <w:r w:rsidRPr="009E7776">
        <w:rPr>
          <w:rFonts w:eastAsia="Times New Roman" w:cs="Arial"/>
          <w:color w:val="000000"/>
          <w:lang w:eastAsia="bg-BG"/>
        </w:rPr>
        <w:t>ексфолиативен дерматит, токсична епидермална некролиза, пемфигус, еритродерма.</w:t>
      </w:r>
    </w:p>
    <w:p w14:paraId="30EFB912" w14:textId="77777777" w:rsidR="009E7776" w:rsidRPr="009E7776" w:rsidRDefault="009E7776" w:rsidP="009E7776">
      <w:pPr>
        <w:spacing w:line="240" w:lineRule="auto"/>
        <w:rPr>
          <w:rFonts w:eastAsia="Times New Roman" w:cs="Arial"/>
          <w:color w:val="000000"/>
          <w:lang w:eastAsia="bg-BG"/>
        </w:rPr>
      </w:pPr>
    </w:p>
    <w:p w14:paraId="5615A3C2" w14:textId="3A0019EF"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Докладван е комплекс, който включва някои или всички от следните симптоми - повишена температура, серозит, васкулит, миалгия/миозит, артралгия/артрит, положителни </w:t>
      </w:r>
      <w:r w:rsidRPr="009E7776">
        <w:rPr>
          <w:rFonts w:eastAsia="Times New Roman" w:cs="Arial"/>
          <w:color w:val="000000"/>
          <w:lang w:val="en-US"/>
        </w:rPr>
        <w:t>ANA</w:t>
      </w:r>
      <w:r w:rsidRPr="009E7776">
        <w:rPr>
          <w:rFonts w:eastAsia="Times New Roman" w:cs="Arial"/>
          <w:color w:val="000000"/>
          <w:lang w:val="ru-RU"/>
        </w:rPr>
        <w:t xml:space="preserve">, </w:t>
      </w:r>
      <w:r w:rsidRPr="009E7776">
        <w:rPr>
          <w:rFonts w:eastAsia="Times New Roman" w:cs="Arial"/>
          <w:color w:val="000000"/>
          <w:lang w:eastAsia="bg-BG"/>
        </w:rPr>
        <w:t>ускорена утайка, еозинофилия и левкоцитоза. Може да се появи обрив, фоточувствителност или други кожни прояви.</w:t>
      </w:r>
    </w:p>
    <w:p w14:paraId="797FE1A3" w14:textId="77777777" w:rsidR="009E7776" w:rsidRPr="009E7776" w:rsidRDefault="009E7776" w:rsidP="009E7776">
      <w:pPr>
        <w:spacing w:line="240" w:lineRule="auto"/>
        <w:rPr>
          <w:rFonts w:eastAsia="Times New Roman" w:cs="Arial"/>
          <w:color w:val="000000"/>
          <w:u w:val="single"/>
          <w:lang w:eastAsia="bg-BG"/>
        </w:rPr>
      </w:pPr>
    </w:p>
    <w:p w14:paraId="17383FF1" w14:textId="7E7C16B4"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бъбреците и пикочните пътища:</w:t>
      </w:r>
    </w:p>
    <w:p w14:paraId="63F9BAB1"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бъбречна дисфункция, бъбречна недостатъчност, протеинурия Редки: олигурия.</w:t>
      </w:r>
    </w:p>
    <w:p w14:paraId="0E867E39" w14:textId="600AD7FD" w:rsidR="009E7776" w:rsidRPr="009E7776" w:rsidRDefault="009E7776" w:rsidP="009E7776">
      <w:pPr>
        <w:rPr>
          <w:rFonts w:cs="Arial"/>
        </w:rPr>
      </w:pPr>
    </w:p>
    <w:p w14:paraId="4355C595" w14:textId="77777777"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Нарушения на възпроизводителната система и гърдата:</w:t>
      </w:r>
    </w:p>
    <w:p w14:paraId="4C89AB5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импотентност.</w:t>
      </w:r>
    </w:p>
    <w:p w14:paraId="587EE3A6"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гинекомастия.</w:t>
      </w:r>
    </w:p>
    <w:p w14:paraId="269F9C35" w14:textId="77777777" w:rsidR="009E7776" w:rsidRPr="009E7776" w:rsidRDefault="009E7776" w:rsidP="009E7776">
      <w:pPr>
        <w:spacing w:line="240" w:lineRule="auto"/>
        <w:rPr>
          <w:rFonts w:eastAsia="Times New Roman" w:cs="Arial"/>
          <w:color w:val="000000"/>
          <w:u w:val="single"/>
          <w:lang w:eastAsia="bg-BG"/>
        </w:rPr>
      </w:pPr>
    </w:p>
    <w:p w14:paraId="16F0363E" w14:textId="0D162BEB"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Обши нарушения и ефекти на мястото на приложение:</w:t>
      </w:r>
    </w:p>
    <w:p w14:paraId="185DA152"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Много чести: астения.</w:t>
      </w:r>
    </w:p>
    <w:p w14:paraId="5B02947D"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умора.</w:t>
      </w:r>
    </w:p>
    <w:p w14:paraId="0D07671D"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мускулни крампи, зачервяване на лицето, шум в ушите, общо неразположение, висока температура.</w:t>
      </w:r>
    </w:p>
    <w:p w14:paraId="52EE48E4" w14:textId="77777777" w:rsidR="009E7776" w:rsidRPr="009E7776" w:rsidRDefault="009E7776" w:rsidP="009E7776">
      <w:pPr>
        <w:spacing w:line="240" w:lineRule="auto"/>
        <w:rPr>
          <w:rFonts w:eastAsia="Times New Roman" w:cs="Arial"/>
          <w:color w:val="000000"/>
          <w:u w:val="single"/>
          <w:lang w:eastAsia="bg-BG"/>
        </w:rPr>
      </w:pPr>
    </w:p>
    <w:p w14:paraId="700B85FE" w14:textId="56995211"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Изследвания:</w:t>
      </w:r>
    </w:p>
    <w:p w14:paraId="052065E7"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Чести: хиперкалиемия, повишен серумен креатинин.</w:t>
      </w:r>
    </w:p>
    <w:p w14:paraId="46F1EF83"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Нечести: повишена урея, хипонатриемия.</w:t>
      </w:r>
    </w:p>
    <w:p w14:paraId="4A7E4EF4" w14:textId="149B4F00" w:rsidR="009E7776" w:rsidRPr="009E7776" w:rsidRDefault="009E7776" w:rsidP="009E7776">
      <w:pPr>
        <w:spacing w:line="240" w:lineRule="auto"/>
        <w:rPr>
          <w:rFonts w:eastAsia="Times New Roman" w:cs="Arial"/>
        </w:rPr>
      </w:pPr>
      <w:r w:rsidRPr="009E7776">
        <w:rPr>
          <w:rFonts w:eastAsia="Times New Roman" w:cs="Arial"/>
          <w:color w:val="000000"/>
          <w:lang w:eastAsia="bg-BG"/>
        </w:rPr>
        <w:t>Редки: повишени стойности на чернодробните ензими, повишени стойности на серумния билирубин.</w:t>
      </w:r>
    </w:p>
    <w:p w14:paraId="1A781DA6" w14:textId="77777777" w:rsidR="009E7776" w:rsidRPr="009E7776" w:rsidRDefault="009E7776" w:rsidP="009E7776">
      <w:pPr>
        <w:spacing w:line="240" w:lineRule="auto"/>
        <w:rPr>
          <w:rFonts w:eastAsia="Times New Roman" w:cs="Arial"/>
          <w:color w:val="000000"/>
          <w:lang w:eastAsia="bg-BG"/>
        </w:rPr>
      </w:pPr>
    </w:p>
    <w:p w14:paraId="6AA7C2BA" w14:textId="25326C79" w:rsidR="009E7776" w:rsidRPr="009E7776" w:rsidRDefault="009E7776" w:rsidP="009E7776">
      <w:pPr>
        <w:spacing w:line="240" w:lineRule="auto"/>
        <w:rPr>
          <w:rFonts w:eastAsia="Times New Roman" w:cs="Arial"/>
        </w:rPr>
      </w:pPr>
      <w:r w:rsidRPr="009E7776">
        <w:rPr>
          <w:rFonts w:eastAsia="Times New Roman" w:cs="Arial"/>
          <w:color w:val="000000"/>
          <w:lang w:eastAsia="bg-BG"/>
        </w:rPr>
        <w:t>* Честотата на инцидентите е била сравнима с тази на групите с плацебо и активен контрол при клинични изпитвания.</w:t>
      </w:r>
    </w:p>
    <w:p w14:paraId="4D732D2F" w14:textId="77777777" w:rsidR="009E7776" w:rsidRPr="009E7776" w:rsidRDefault="009E7776" w:rsidP="009E7776">
      <w:pPr>
        <w:spacing w:line="240" w:lineRule="auto"/>
        <w:rPr>
          <w:rFonts w:eastAsia="Times New Roman" w:cs="Arial"/>
          <w:color w:val="000000"/>
          <w:u w:val="single"/>
          <w:lang w:eastAsia="bg-BG"/>
        </w:rPr>
      </w:pPr>
    </w:p>
    <w:p w14:paraId="40E63C7A" w14:textId="46267C16" w:rsidR="009E7776" w:rsidRPr="009E7776" w:rsidRDefault="009E7776" w:rsidP="009E7776">
      <w:pPr>
        <w:spacing w:line="240" w:lineRule="auto"/>
        <w:rPr>
          <w:rFonts w:eastAsia="Times New Roman" w:cs="Arial"/>
        </w:rPr>
      </w:pPr>
      <w:r w:rsidRPr="009E7776">
        <w:rPr>
          <w:rFonts w:eastAsia="Times New Roman" w:cs="Arial"/>
          <w:color w:val="000000"/>
          <w:u w:val="single"/>
          <w:lang w:eastAsia="bg-BG"/>
        </w:rPr>
        <w:t>Съобщаване на подозирани нежелани реакции</w:t>
      </w:r>
    </w:p>
    <w:p w14:paraId="5BAAE52B" w14:textId="77777777" w:rsidR="009E7776" w:rsidRPr="009E7776" w:rsidRDefault="009E7776" w:rsidP="009E7776">
      <w:pPr>
        <w:spacing w:line="240" w:lineRule="auto"/>
        <w:rPr>
          <w:rFonts w:eastAsia="Times New Roman" w:cs="Arial"/>
        </w:rPr>
      </w:pPr>
      <w:r w:rsidRPr="009E777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9E7776">
        <w:rPr>
          <w:rFonts w:eastAsia="Times New Roman" w:cs="Arial"/>
        </w:rPr>
        <w:fldChar w:fldCharType="begin"/>
      </w:r>
      <w:r w:rsidRPr="009E7776">
        <w:rPr>
          <w:rFonts w:eastAsia="Times New Roman" w:cs="Arial"/>
        </w:rPr>
        <w:instrText xml:space="preserve"> HYPERLINK "http://www.bda.bg" </w:instrText>
      </w:r>
      <w:r w:rsidRPr="009E7776">
        <w:rPr>
          <w:rFonts w:eastAsia="Times New Roman" w:cs="Arial"/>
        </w:rPr>
      </w:r>
      <w:r w:rsidRPr="009E7776">
        <w:rPr>
          <w:rFonts w:eastAsia="Times New Roman" w:cs="Arial"/>
        </w:rPr>
        <w:fldChar w:fldCharType="separate"/>
      </w:r>
      <w:r w:rsidRPr="009E7776">
        <w:rPr>
          <w:rFonts w:eastAsia="Times New Roman" w:cs="Arial"/>
          <w:color w:val="000000"/>
          <w:lang w:val="en-US"/>
        </w:rPr>
        <w:t>www.bda.bg</w:t>
      </w:r>
      <w:r w:rsidRPr="009E7776">
        <w:rPr>
          <w:rFonts w:eastAsia="Times New Roman" w:cs="Arial"/>
        </w:rPr>
        <w:fldChar w:fldCharType="end"/>
      </w:r>
    </w:p>
    <w:p w14:paraId="1B0CE02D" w14:textId="77777777" w:rsidR="009E7776" w:rsidRPr="009E7776" w:rsidRDefault="009E7776" w:rsidP="009E7776"/>
    <w:p w14:paraId="4ED30546" w14:textId="4410F15E" w:rsidR="007C605B" w:rsidRDefault="002C50EE" w:rsidP="009F1313">
      <w:pPr>
        <w:pStyle w:val="Heading2"/>
      </w:pPr>
      <w:r>
        <w:t>4.9. Предозиране</w:t>
      </w:r>
    </w:p>
    <w:p w14:paraId="59087A5D" w14:textId="354B2C1C" w:rsidR="009E7776" w:rsidRDefault="009E7776" w:rsidP="009E7776"/>
    <w:p w14:paraId="0CA88762" w14:textId="77777777" w:rsidR="009E7776" w:rsidRPr="009E7776" w:rsidRDefault="009E7776" w:rsidP="009E7776">
      <w:pPr>
        <w:rPr>
          <w:sz w:val="24"/>
          <w:szCs w:val="24"/>
        </w:rPr>
      </w:pPr>
      <w:r w:rsidRPr="009E7776">
        <w:rPr>
          <w:lang w:eastAsia="bg-BG"/>
        </w:rPr>
        <w:t xml:space="preserve">Има ограничени данни относно предозиране при хора Най-значимите симптоми, предизвикани от предозиране са изразена хипотония, започващи около 6 часа след приема на таблетките, вследствие на блокиране на ренин-ангиотензиновата система и ступор. Симптомите свързани с предозиране с АСЕ инхибитори могат да включват циркулаторен шок, електролитни нарушения, бъбречна недостатъчност, хипервентилация, тахикардия, палпитации, брадикардия, замаяност, тревожност, кашлица. Серумни нива на еналаприл от 100 до 200 пъти над тези при стандартна дозировка се наблюдават след приложение но 300 и 440 </w:t>
      </w:r>
      <w:r w:rsidRPr="009E7776">
        <w:rPr>
          <w:lang w:val="en-US"/>
        </w:rPr>
        <w:t>mg</w:t>
      </w:r>
      <w:r w:rsidRPr="009E7776">
        <w:rPr>
          <w:lang w:val="ru-RU"/>
        </w:rPr>
        <w:t xml:space="preserve"> </w:t>
      </w:r>
      <w:r w:rsidRPr="009E7776">
        <w:rPr>
          <w:lang w:eastAsia="bg-BG"/>
        </w:rPr>
        <w:t>еналаприл, респективно.</w:t>
      </w:r>
    </w:p>
    <w:p w14:paraId="08DA0C7B" w14:textId="77777777" w:rsidR="009E7776" w:rsidRDefault="009E7776" w:rsidP="009E7776">
      <w:pPr>
        <w:rPr>
          <w:lang w:eastAsia="bg-BG"/>
        </w:rPr>
      </w:pPr>
    </w:p>
    <w:p w14:paraId="1FE7FE59" w14:textId="77AE6EDB" w:rsidR="009E7776" w:rsidRPr="009E7776" w:rsidRDefault="009E7776" w:rsidP="009E7776">
      <w:pPr>
        <w:rPr>
          <w:sz w:val="24"/>
          <w:szCs w:val="24"/>
        </w:rPr>
      </w:pPr>
      <w:r w:rsidRPr="009E7776">
        <w:rPr>
          <w:lang w:eastAsia="bg-BG"/>
        </w:rPr>
        <w:t xml:space="preserve">Препоръчителното лечение при предозиране е интравенозна инфузия на изотоничен физиологичен разтвор. Ако е налична, инфузия с ангиотензин II и/или интравенозни </w:t>
      </w:r>
      <w:r w:rsidRPr="009E7776">
        <w:rPr>
          <w:lang w:eastAsia="bg-BG"/>
        </w:rPr>
        <w:lastRenderedPageBreak/>
        <w:t>катехоламини може да бъде от полза. Ако медикаментът е погълнат скоро, уместно е да се предприемат мерки за елиминиране (предизвикване на повръщане, стомашен лаваж, приложение на абсорбенти и натриев сулфат). Еналаприлат може да се премахне от циркулацията чрез хемодиализа (вж. точка 4.4). При резистентна на медикаментозно лечение брадикардия е необходимо поставяне на временен пейс- мейкър. Необходим е постоянен контрол на виталните показатели, серумните електролити и стойностите на креатинина.</w:t>
      </w:r>
    </w:p>
    <w:p w14:paraId="02081B24" w14:textId="1F46E296" w:rsidR="00395555" w:rsidRPr="00395555" w:rsidRDefault="002C50EE" w:rsidP="008A6AF2">
      <w:pPr>
        <w:pStyle w:val="Heading1"/>
      </w:pPr>
      <w:r>
        <w:t>5. ФАРМАКОЛОГИЧНИ СВОЙСТВА</w:t>
      </w:r>
    </w:p>
    <w:p w14:paraId="5350637D" w14:textId="79DFB879" w:rsidR="00395555" w:rsidRDefault="002C50EE" w:rsidP="008A6AF2">
      <w:pPr>
        <w:pStyle w:val="Heading2"/>
      </w:pPr>
      <w:r>
        <w:t>5.1. Фармакодинамични свойства</w:t>
      </w:r>
    </w:p>
    <w:p w14:paraId="16B4EFF9" w14:textId="3666DA3B" w:rsidR="009E7776" w:rsidRDefault="009E7776" w:rsidP="009E7776"/>
    <w:p w14:paraId="3C8B5588"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Фармакотерапевтична група: АСЕ инхибитори, АТС код: С09АА02.</w:t>
      </w:r>
    </w:p>
    <w:p w14:paraId="60E3D51D" w14:textId="77777777" w:rsidR="009E7776" w:rsidRPr="009E7776" w:rsidRDefault="009E7776" w:rsidP="009E7776">
      <w:pPr>
        <w:spacing w:line="240" w:lineRule="auto"/>
        <w:rPr>
          <w:rFonts w:eastAsia="Times New Roman" w:cs="Arial"/>
          <w:color w:val="000000"/>
          <w:szCs w:val="20"/>
          <w:lang w:eastAsia="bg-BG"/>
        </w:rPr>
      </w:pPr>
    </w:p>
    <w:p w14:paraId="485D271C" w14:textId="0E3D4DF1"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Активното вещество на Ренаприл (еналаприл малеат) е малеатна сол на еналаприл, производно на две амино киселини, </w:t>
      </w:r>
      <w:r w:rsidRPr="009E7776">
        <w:rPr>
          <w:rFonts w:eastAsia="Times New Roman" w:cs="Arial"/>
          <w:color w:val="000000"/>
          <w:szCs w:val="20"/>
          <w:lang w:val="en-US"/>
        </w:rPr>
        <w:t>L</w:t>
      </w:r>
      <w:r w:rsidRPr="009E7776">
        <w:rPr>
          <w:rFonts w:eastAsia="Times New Roman" w:cs="Arial"/>
          <w:color w:val="000000"/>
          <w:szCs w:val="20"/>
          <w:lang w:eastAsia="bg-BG"/>
        </w:rPr>
        <w:t xml:space="preserve">-аланин и </w:t>
      </w:r>
      <w:r w:rsidRPr="009E7776">
        <w:rPr>
          <w:rFonts w:eastAsia="Times New Roman" w:cs="Arial"/>
          <w:color w:val="000000"/>
          <w:szCs w:val="20"/>
          <w:lang w:val="en-US"/>
        </w:rPr>
        <w:t>L</w:t>
      </w:r>
      <w:r w:rsidRPr="009E7776">
        <w:rPr>
          <w:rFonts w:eastAsia="Times New Roman" w:cs="Arial"/>
          <w:color w:val="000000"/>
          <w:szCs w:val="20"/>
          <w:lang w:eastAsia="bg-BG"/>
        </w:rPr>
        <w:t>-пролин. Ангиотензин конвертиращият ензим (АСЕ) е пептидил дипептидаза, която катализира конверсията на ангиотензин I в пресорната субстанция ангиотензин II, вещество повишаващо кръвното налягане. След абсорбцията, еналаприл се хидролизира до еналаприлат, който инхибира АСЕ. Това води до намалена плазмена активност на ангиотензин II, което повишава плазмената ренинова активност (поради отстраняване на негативната обратна връзка на освобождаването на ренин), и до намалена секреция на алдостерон.</w:t>
      </w:r>
    </w:p>
    <w:p w14:paraId="03AC90D8" w14:textId="77777777" w:rsidR="009E7776" w:rsidRPr="009E7776" w:rsidRDefault="009E7776" w:rsidP="009E7776">
      <w:pPr>
        <w:spacing w:line="240" w:lineRule="auto"/>
        <w:rPr>
          <w:rFonts w:eastAsia="Times New Roman" w:cs="Arial"/>
          <w:color w:val="000000"/>
          <w:szCs w:val="20"/>
          <w:lang w:eastAsia="bg-BG"/>
        </w:rPr>
      </w:pPr>
    </w:p>
    <w:p w14:paraId="38B23BCF" w14:textId="24F26F82"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Тъй като АСЕ е идентичен на киназа II, еналаприл също така може да блокира разграждането на брадикинина, важен вазодепресорен пептид. Ролята на брадикинина в терапевтичния ефект на еналаприл все още не е потвърдена.</w:t>
      </w:r>
    </w:p>
    <w:p w14:paraId="0B49B005" w14:textId="77777777" w:rsidR="009E7776" w:rsidRPr="009E7776" w:rsidRDefault="009E7776" w:rsidP="009E7776">
      <w:pPr>
        <w:spacing w:line="240" w:lineRule="auto"/>
        <w:rPr>
          <w:rFonts w:eastAsia="Times New Roman" w:cs="Arial"/>
          <w:color w:val="000000"/>
          <w:szCs w:val="20"/>
          <w:lang w:eastAsia="bg-BG"/>
        </w:rPr>
      </w:pPr>
    </w:p>
    <w:p w14:paraId="28AD377D" w14:textId="203ACFFC"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Въпреки, че механизмът по който еналаприл понижава кръвното налягане се дължи основно на супресията на ренин-ангиотензин-алдостероновата система, която играе основна роля в контрола на кръвното налягане, е установено, че еналаприл оказва антихипертензивен ефект дори при пациенти с хипертония с ниско ниво на ренин.</w:t>
      </w:r>
    </w:p>
    <w:p w14:paraId="1A1484E4" w14:textId="77777777" w:rsidR="009E7776" w:rsidRPr="009E7776" w:rsidRDefault="009E7776" w:rsidP="009E7776">
      <w:pPr>
        <w:spacing w:line="240" w:lineRule="auto"/>
        <w:rPr>
          <w:rFonts w:eastAsia="Times New Roman" w:cs="Arial"/>
          <w:color w:val="000000"/>
          <w:szCs w:val="20"/>
          <w:lang w:eastAsia="bg-BG"/>
        </w:rPr>
      </w:pPr>
    </w:p>
    <w:p w14:paraId="18366E3C" w14:textId="2153774D"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Приложението на еналаприл на пациенти с хипертония води до понижаване на кръвното налягане в изправено и седнало положение без значително повишаване на сърдечната честота.</w:t>
      </w:r>
    </w:p>
    <w:p w14:paraId="106582B1" w14:textId="77777777" w:rsidR="009E7776" w:rsidRPr="009E7776" w:rsidRDefault="009E7776" w:rsidP="009E7776">
      <w:pPr>
        <w:spacing w:line="240" w:lineRule="auto"/>
        <w:rPr>
          <w:rFonts w:eastAsia="Times New Roman" w:cs="Arial"/>
          <w:color w:val="000000"/>
          <w:szCs w:val="20"/>
          <w:lang w:eastAsia="bg-BG"/>
        </w:rPr>
      </w:pPr>
    </w:p>
    <w:p w14:paraId="7B2FB3A2" w14:textId="06E4BE4F"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Симптоматичната постурална хипотония не е честа. При някои пациенти получаването на оптимален спад на кръвното налягане може да изисква няколко седмично лечение. Внезапното прекратяване на приема на еналаприл не е било асоциирано с внезапно покачване на кръвното налягане.</w:t>
      </w:r>
    </w:p>
    <w:p w14:paraId="36CD8E9C" w14:textId="77777777" w:rsidR="009E7776" w:rsidRPr="009E7776" w:rsidRDefault="009E7776" w:rsidP="009E7776">
      <w:pPr>
        <w:spacing w:line="240" w:lineRule="auto"/>
        <w:rPr>
          <w:rFonts w:eastAsia="Times New Roman" w:cs="Arial"/>
          <w:color w:val="000000"/>
          <w:szCs w:val="20"/>
          <w:lang w:eastAsia="bg-BG"/>
        </w:rPr>
      </w:pPr>
    </w:p>
    <w:p w14:paraId="700B44C3" w14:textId="43ABF472" w:rsidR="009E7776" w:rsidRPr="009E7776" w:rsidRDefault="009E7776" w:rsidP="009E7776">
      <w:pPr>
        <w:spacing w:line="240" w:lineRule="auto"/>
        <w:rPr>
          <w:rFonts w:eastAsia="Times New Roman" w:cs="Arial"/>
          <w:color w:val="000000"/>
          <w:szCs w:val="20"/>
          <w:lang w:eastAsia="bg-BG"/>
        </w:rPr>
      </w:pPr>
      <w:r w:rsidRPr="009E7776">
        <w:rPr>
          <w:rFonts w:eastAsia="Times New Roman" w:cs="Arial"/>
          <w:color w:val="000000"/>
          <w:szCs w:val="20"/>
          <w:lang w:eastAsia="bg-BG"/>
        </w:rPr>
        <w:t>Ефективна ихибиция на АСЕ активността обичайно се получава 2 до 4 часа след перорално приложение на индивидуална доза еналаприл. Началото на антихипертензивната активност обичайно се наблюдава в течение на един час, като максимално понижаване на кръвното налягане се постига от 4 до 6 часа след приложението на лекарството. Продължителността на ефекта е дозозависима. При препоръчителните дози, антихипертензивният ефект и хемодинамичните ефекти се поддържат в рамките на поне 24 часа.</w:t>
      </w:r>
    </w:p>
    <w:p w14:paraId="73B2762C" w14:textId="77777777" w:rsidR="009E7776" w:rsidRPr="009E7776" w:rsidRDefault="009E7776" w:rsidP="009E7776">
      <w:pPr>
        <w:spacing w:line="240" w:lineRule="auto"/>
        <w:rPr>
          <w:rFonts w:eastAsia="Times New Roman" w:cs="Arial"/>
          <w:color w:val="000000"/>
          <w:szCs w:val="20"/>
          <w:lang w:eastAsia="bg-BG"/>
        </w:rPr>
      </w:pPr>
    </w:p>
    <w:p w14:paraId="7B59D0DE" w14:textId="3B7ADE64"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lastRenderedPageBreak/>
        <w:t xml:space="preserve">При проучвания на хемодинамиката при пациенти с есенциална хипертония, намаляването на кръвното налягане е </w:t>
      </w:r>
      <w:r w:rsidRPr="009E7776">
        <w:rPr>
          <w:rFonts w:eastAsia="Times New Roman" w:cs="Arial"/>
          <w:i/>
          <w:iCs/>
          <w:color w:val="000000"/>
          <w:szCs w:val="20"/>
          <w:lang w:eastAsia="bg-BG"/>
        </w:rPr>
        <w:t>било</w:t>
      </w:r>
      <w:r w:rsidRPr="009E7776">
        <w:rPr>
          <w:rFonts w:eastAsia="Times New Roman" w:cs="Arial"/>
          <w:color w:val="000000"/>
          <w:szCs w:val="20"/>
          <w:lang w:eastAsia="bg-BG"/>
        </w:rPr>
        <w:t xml:space="preserve"> придружено с понижаване </w:t>
      </w:r>
      <w:r w:rsidRPr="009E7776">
        <w:rPr>
          <w:rFonts w:eastAsia="Times New Roman" w:cs="Arial"/>
          <w:i/>
          <w:iCs/>
          <w:color w:val="000000"/>
          <w:szCs w:val="20"/>
          <w:lang w:eastAsia="bg-BG"/>
        </w:rPr>
        <w:t>на</w:t>
      </w:r>
      <w:r w:rsidRPr="009E7776">
        <w:rPr>
          <w:rFonts w:eastAsia="Times New Roman" w:cs="Arial"/>
          <w:color w:val="000000"/>
          <w:szCs w:val="20"/>
          <w:lang w:eastAsia="bg-BG"/>
        </w:rPr>
        <w:t xml:space="preserve"> периферната артериална резистентност, повишаване на сърдечния дебит и незначителна или никаква промяна в сърдечната честота. Продължителното приложение на еналаприл е било асоциирано с повишен бъбречен кръвоток, докато нивото на гломерулна филтрация се е запазило непроменено. Не е установена задръжка на натрий и вода. Обаче, при пациенти с ниско ниво на гломерулна филтрация преди терапия, степентта на филтрация обикновено е показала увеличение.</w:t>
      </w:r>
    </w:p>
    <w:p w14:paraId="35E55F04" w14:textId="77777777" w:rsidR="009E7776" w:rsidRPr="009E7776" w:rsidRDefault="009E7776" w:rsidP="009E7776">
      <w:pPr>
        <w:spacing w:line="240" w:lineRule="auto"/>
        <w:rPr>
          <w:rFonts w:eastAsia="Times New Roman" w:cs="Arial"/>
          <w:color w:val="000000"/>
          <w:szCs w:val="20"/>
          <w:lang w:eastAsia="bg-BG"/>
        </w:rPr>
      </w:pPr>
    </w:p>
    <w:p w14:paraId="3FAEC15F" w14:textId="6754A90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При провеждане на краткосрочни клинични проучвания при пациенти с бъбречно заболяване, с и без придружаващ диабет, след приложение на еналаприл са наблюдавани намаляване на албуминурията, уринната екскреция на </w:t>
      </w:r>
      <w:r w:rsidRPr="009E7776">
        <w:rPr>
          <w:rFonts w:eastAsia="Times New Roman" w:cs="Arial"/>
          <w:color w:val="000000"/>
          <w:szCs w:val="20"/>
          <w:lang w:val="en-US"/>
        </w:rPr>
        <w:t>IgG</w:t>
      </w:r>
      <w:r w:rsidRPr="009E7776">
        <w:rPr>
          <w:rFonts w:eastAsia="Times New Roman" w:cs="Arial"/>
          <w:color w:val="000000"/>
          <w:szCs w:val="20"/>
          <w:lang w:val="ru-RU"/>
        </w:rPr>
        <w:t xml:space="preserve"> </w:t>
      </w:r>
      <w:r w:rsidRPr="009E7776">
        <w:rPr>
          <w:rFonts w:eastAsia="Times New Roman" w:cs="Arial"/>
          <w:color w:val="000000"/>
          <w:szCs w:val="20"/>
          <w:lang w:eastAsia="bg-BG"/>
        </w:rPr>
        <w:t>и общия белтък в урината.</w:t>
      </w:r>
    </w:p>
    <w:p w14:paraId="2E3D2291" w14:textId="77777777" w:rsidR="009E7776" w:rsidRPr="009E7776" w:rsidRDefault="009E7776" w:rsidP="009E7776">
      <w:pPr>
        <w:spacing w:line="240" w:lineRule="auto"/>
        <w:rPr>
          <w:rFonts w:eastAsia="Times New Roman" w:cs="Arial"/>
          <w:sz w:val="28"/>
          <w:szCs w:val="24"/>
        </w:rPr>
      </w:pPr>
    </w:p>
    <w:p w14:paraId="22CEDACF" w14:textId="1F73AD14" w:rsidR="009E7776" w:rsidRPr="009E7776" w:rsidRDefault="009E7776" w:rsidP="009E7776">
      <w:pPr>
        <w:rPr>
          <w:rFonts w:eastAsia="Times New Roman" w:cs="Arial"/>
          <w:color w:val="000000"/>
          <w:szCs w:val="20"/>
          <w:lang w:eastAsia="bg-BG"/>
        </w:rPr>
      </w:pPr>
      <w:r w:rsidRPr="009E7776">
        <w:rPr>
          <w:rFonts w:eastAsia="Times New Roman" w:cs="Arial"/>
          <w:color w:val="000000"/>
          <w:szCs w:val="20"/>
          <w:lang w:eastAsia="bg-BG"/>
        </w:rPr>
        <w:t>Ако еналаприл се прилага съвместно с тиазидни диуретици, ефектът на намаляване</w:t>
      </w:r>
      <w:r w:rsidRPr="009E7776">
        <w:rPr>
          <w:rFonts w:eastAsia="Times New Roman" w:cs="Arial"/>
          <w:color w:val="000000"/>
          <w:szCs w:val="20"/>
          <w:lang w:val="ru-RU"/>
        </w:rPr>
        <w:t xml:space="preserve"> </w:t>
      </w:r>
      <w:r w:rsidRPr="009E7776">
        <w:rPr>
          <w:rFonts w:eastAsia="Times New Roman" w:cs="Arial"/>
          <w:color w:val="000000"/>
          <w:szCs w:val="20"/>
          <w:lang w:eastAsia="bg-BG"/>
        </w:rPr>
        <w:t>на кръвното налягане е адитивен. Еналаприл може да намали или предотврати възникването на тиазидно индуцираната хипокалиемия.</w:t>
      </w:r>
    </w:p>
    <w:p w14:paraId="33C38F30" w14:textId="705903BE" w:rsidR="009E7776" w:rsidRPr="009E7776" w:rsidRDefault="009E7776" w:rsidP="009E7776">
      <w:pPr>
        <w:rPr>
          <w:rFonts w:eastAsia="Times New Roman" w:cs="Arial"/>
          <w:color w:val="000000"/>
          <w:szCs w:val="20"/>
          <w:lang w:eastAsia="bg-BG"/>
        </w:rPr>
      </w:pPr>
    </w:p>
    <w:p w14:paraId="549876CC"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 пациенти със сърдечна недостатъчност, лекувани с дигиталис и диуретици, терапията с перорален или инжекционен еналаприл е била асоциирана с намаляване на периферната съдова резистентност и кръвното налягане. Сърдечният дебит се е увеличил, докато сърдечната честота (обичайно увеличена при пациенти със сърдечна недостатъчност) се е понижила.</w:t>
      </w:r>
    </w:p>
    <w:p w14:paraId="7812575C"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Пулмокапилярното налягане (съпротивлението на белодробните капиляри) също се е намалило. Според критериите за оценката </w:t>
      </w:r>
      <w:r w:rsidRPr="009E7776">
        <w:rPr>
          <w:rFonts w:eastAsia="Times New Roman" w:cs="Arial"/>
          <w:color w:val="000000"/>
          <w:szCs w:val="20"/>
          <w:lang w:val="en-US"/>
        </w:rPr>
        <w:t>Ha</w:t>
      </w:r>
      <w:r w:rsidRPr="009E7776">
        <w:rPr>
          <w:rFonts w:eastAsia="Times New Roman" w:cs="Arial"/>
          <w:color w:val="000000"/>
          <w:szCs w:val="20"/>
          <w:lang w:eastAsia="bg-BG"/>
        </w:rPr>
        <w:t xml:space="preserve"> </w:t>
      </w:r>
      <w:r w:rsidRPr="009E7776">
        <w:rPr>
          <w:rFonts w:eastAsia="Times New Roman" w:cs="Arial"/>
          <w:color w:val="000000"/>
          <w:szCs w:val="20"/>
          <w:lang w:val="en-US"/>
        </w:rPr>
        <w:t>New</w:t>
      </w:r>
      <w:r w:rsidRPr="009E7776">
        <w:rPr>
          <w:rFonts w:eastAsia="Times New Roman" w:cs="Arial"/>
          <w:color w:val="000000"/>
          <w:szCs w:val="20"/>
          <w:lang w:val="ru-RU"/>
        </w:rPr>
        <w:t xml:space="preserve"> </w:t>
      </w:r>
      <w:r w:rsidRPr="009E7776">
        <w:rPr>
          <w:rFonts w:eastAsia="Times New Roman" w:cs="Arial"/>
          <w:color w:val="000000"/>
          <w:szCs w:val="20"/>
          <w:lang w:val="en-US"/>
        </w:rPr>
        <w:t>York</w:t>
      </w:r>
      <w:r w:rsidRPr="009E7776">
        <w:rPr>
          <w:rFonts w:eastAsia="Times New Roman" w:cs="Arial"/>
          <w:color w:val="000000"/>
          <w:szCs w:val="20"/>
          <w:lang w:val="ru-RU"/>
        </w:rPr>
        <w:t xml:space="preserve"> </w:t>
      </w:r>
      <w:r w:rsidRPr="009E7776">
        <w:rPr>
          <w:rFonts w:eastAsia="Times New Roman" w:cs="Arial"/>
          <w:color w:val="000000"/>
          <w:szCs w:val="20"/>
          <w:lang w:val="en-US"/>
        </w:rPr>
        <w:t>Heart</w:t>
      </w:r>
      <w:r w:rsidRPr="009E7776">
        <w:rPr>
          <w:rFonts w:eastAsia="Times New Roman" w:cs="Arial"/>
          <w:color w:val="000000"/>
          <w:szCs w:val="20"/>
          <w:lang w:val="ru-RU"/>
        </w:rPr>
        <w:t xml:space="preserve"> </w:t>
      </w:r>
      <w:r w:rsidRPr="009E7776">
        <w:rPr>
          <w:rFonts w:eastAsia="Times New Roman" w:cs="Arial"/>
          <w:color w:val="000000"/>
          <w:szCs w:val="20"/>
          <w:lang w:val="en-US"/>
        </w:rPr>
        <w:t>Association</w:t>
      </w:r>
      <w:r w:rsidRPr="009E7776">
        <w:rPr>
          <w:rFonts w:eastAsia="Times New Roman" w:cs="Arial"/>
          <w:color w:val="000000"/>
          <w:szCs w:val="20"/>
          <w:lang w:val="ru-RU"/>
        </w:rPr>
        <w:t xml:space="preserve">, </w:t>
      </w:r>
      <w:r w:rsidRPr="009E7776">
        <w:rPr>
          <w:rFonts w:eastAsia="Times New Roman" w:cs="Arial"/>
          <w:color w:val="000000"/>
          <w:szCs w:val="20"/>
          <w:lang w:eastAsia="bg-BG"/>
        </w:rPr>
        <w:t>толерансът при натоварване и степента на сърдечна недостатъчност са се подобрили. Тези ефекти се подържат по време на дългосрочна терапия.</w:t>
      </w:r>
    </w:p>
    <w:p w14:paraId="71CD40F7" w14:textId="77777777" w:rsidR="009E7776" w:rsidRPr="009E7776" w:rsidRDefault="009E7776" w:rsidP="009E7776">
      <w:pPr>
        <w:spacing w:line="240" w:lineRule="auto"/>
        <w:rPr>
          <w:rFonts w:eastAsia="Times New Roman" w:cs="Arial"/>
          <w:color w:val="000000"/>
          <w:szCs w:val="20"/>
          <w:lang w:eastAsia="bg-BG"/>
        </w:rPr>
      </w:pPr>
    </w:p>
    <w:p w14:paraId="72AE49CC" w14:textId="64176D69"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При пациенти с лека до умерена сърдечна недостатъчност, еналаприл забавя нивото на прогресивната сърдечна дилатация и недостатъчност, което е отбелязано чрез намаляване на крайния диастолен и крайния систолен обем на лявата камера и подобряване на фракцията на изтласкване.</w:t>
      </w:r>
    </w:p>
    <w:p w14:paraId="0203BA87" w14:textId="77777777" w:rsidR="009E7776" w:rsidRPr="009E7776" w:rsidRDefault="009E7776" w:rsidP="009E7776">
      <w:pPr>
        <w:spacing w:line="240" w:lineRule="auto"/>
        <w:rPr>
          <w:rFonts w:eastAsia="Times New Roman" w:cs="Arial"/>
          <w:color w:val="000000"/>
          <w:szCs w:val="20"/>
          <w:lang w:eastAsia="bg-BG"/>
        </w:rPr>
      </w:pPr>
    </w:p>
    <w:p w14:paraId="23520E2C" w14:textId="531FB230"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В многоцентрово, рандомизирано, двойно сляпо, плацебо-контролирано проучване </w:t>
      </w:r>
      <w:r w:rsidRPr="009E7776">
        <w:rPr>
          <w:rFonts w:eastAsia="Times New Roman" w:cs="Arial"/>
          <w:color w:val="000000"/>
          <w:szCs w:val="20"/>
          <w:lang w:val="ru-RU"/>
        </w:rPr>
        <w:t>(</w:t>
      </w:r>
      <w:r w:rsidRPr="009E7776">
        <w:rPr>
          <w:rFonts w:eastAsia="Times New Roman" w:cs="Arial"/>
          <w:color w:val="000000"/>
          <w:szCs w:val="20"/>
          <w:lang w:val="en-US"/>
        </w:rPr>
        <w:t>SOLVD</w:t>
      </w:r>
      <w:r w:rsidRPr="009E7776">
        <w:rPr>
          <w:rFonts w:eastAsia="Times New Roman" w:cs="Arial"/>
          <w:color w:val="000000"/>
          <w:szCs w:val="20"/>
          <w:lang w:val="ru-RU"/>
        </w:rPr>
        <w:t xml:space="preserve"> </w:t>
      </w:r>
      <w:r w:rsidRPr="009E7776">
        <w:rPr>
          <w:rFonts w:eastAsia="Times New Roman" w:cs="Arial"/>
          <w:color w:val="000000"/>
          <w:szCs w:val="20"/>
          <w:lang w:val="en-US"/>
        </w:rPr>
        <w:t>Prevention</w:t>
      </w:r>
      <w:r w:rsidRPr="009E7776">
        <w:rPr>
          <w:rFonts w:eastAsia="Times New Roman" w:cs="Arial"/>
          <w:color w:val="000000"/>
          <w:szCs w:val="20"/>
          <w:lang w:val="ru-RU"/>
        </w:rPr>
        <w:t xml:space="preserve"> </w:t>
      </w:r>
      <w:r w:rsidRPr="009E7776">
        <w:rPr>
          <w:rFonts w:eastAsia="Times New Roman" w:cs="Arial"/>
          <w:color w:val="000000"/>
          <w:szCs w:val="20"/>
          <w:lang w:val="en-US"/>
        </w:rPr>
        <w:t>trial</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са изследвани пациенти с асимптомно нарушение на камерната функция </w:t>
      </w:r>
      <w:r w:rsidRPr="009E7776">
        <w:rPr>
          <w:rFonts w:eastAsia="Times New Roman" w:cs="Arial"/>
          <w:color w:val="000000"/>
          <w:szCs w:val="20"/>
          <w:lang w:val="ru-RU"/>
        </w:rPr>
        <w:t>(</w:t>
      </w:r>
      <w:r w:rsidRPr="009E7776">
        <w:rPr>
          <w:rFonts w:eastAsia="Times New Roman" w:cs="Arial"/>
          <w:color w:val="000000"/>
          <w:szCs w:val="20"/>
          <w:lang w:val="en-US"/>
        </w:rPr>
        <w:t>LVEF</w:t>
      </w:r>
      <w:r w:rsidRPr="009E7776">
        <w:rPr>
          <w:rFonts w:eastAsia="Times New Roman" w:cs="Arial"/>
          <w:color w:val="000000"/>
          <w:szCs w:val="20"/>
          <w:lang w:val="ru-RU"/>
        </w:rPr>
        <w:t xml:space="preserve"> </w:t>
      </w:r>
      <w:r w:rsidRPr="009E7776">
        <w:rPr>
          <w:rFonts w:eastAsia="Times New Roman" w:cs="Arial"/>
          <w:color w:val="000000"/>
          <w:szCs w:val="20"/>
          <w:lang w:eastAsia="bg-BG"/>
        </w:rPr>
        <w:t>&lt; 35 %). 4 228 пациенти са били рандомизирани да получават или плацебо (</w:t>
      </w:r>
      <w:r w:rsidRPr="009E7776">
        <w:rPr>
          <w:rFonts w:eastAsia="Times New Roman" w:cs="Arial"/>
          <w:color w:val="000000"/>
          <w:szCs w:val="20"/>
          <w:lang w:val="en-US"/>
        </w:rPr>
        <w:t>n</w:t>
      </w:r>
      <w:r w:rsidRPr="009E7776">
        <w:rPr>
          <w:rFonts w:eastAsia="Times New Roman" w:cs="Arial"/>
          <w:color w:val="000000"/>
          <w:szCs w:val="20"/>
          <w:lang w:eastAsia="bg-BG"/>
        </w:rPr>
        <w:t xml:space="preserve"> = 2 117) или еналаприл (</w:t>
      </w:r>
      <w:r w:rsidRPr="009E7776">
        <w:rPr>
          <w:rFonts w:eastAsia="Times New Roman" w:cs="Arial"/>
          <w:color w:val="000000"/>
          <w:szCs w:val="20"/>
          <w:lang w:val="en-US"/>
        </w:rPr>
        <w:t>n</w:t>
      </w:r>
      <w:r w:rsidRPr="009E7776">
        <w:rPr>
          <w:rFonts w:eastAsia="Times New Roman" w:cs="Arial"/>
          <w:color w:val="000000"/>
          <w:szCs w:val="20"/>
          <w:lang w:eastAsia="bg-BG"/>
        </w:rPr>
        <w:t xml:space="preserve"> = 2 111). В плацебо групата 818 пациенти са имали сърдечна недостатъчност или са умрели (38,6 %), в сравнение с 630 в групата с еналаприл (29,8 %) (намаление на риска: 29 %;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21 - 36 %; р &lt; 0,001). 518 пациенти в плацебо групата (24,5 %) и 434 в групата с еналаприл (20,6 %) са умрели или са били хоспитализирани, поради нова или влошена сърдечна недостатъчност (намаление на риска: 20 %;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9 - 30 %; р &lt; 0,001).</w:t>
      </w:r>
    </w:p>
    <w:p w14:paraId="065A5947" w14:textId="77777777" w:rsidR="009E7776" w:rsidRPr="009E7776" w:rsidRDefault="009E7776" w:rsidP="009E7776">
      <w:pPr>
        <w:spacing w:line="240" w:lineRule="auto"/>
        <w:rPr>
          <w:rFonts w:eastAsia="Times New Roman" w:cs="Arial"/>
          <w:color w:val="000000"/>
          <w:szCs w:val="20"/>
          <w:lang w:eastAsia="bg-BG"/>
        </w:rPr>
      </w:pPr>
    </w:p>
    <w:p w14:paraId="1DF67997" w14:textId="6889B7BA"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В многоцентрово, рандомизирано, двойно сляпо, плацебо-контролирано проучване </w:t>
      </w:r>
      <w:r w:rsidRPr="009E7776">
        <w:rPr>
          <w:rFonts w:eastAsia="Times New Roman" w:cs="Arial"/>
          <w:color w:val="000000"/>
          <w:szCs w:val="20"/>
          <w:lang w:val="ru-RU"/>
        </w:rPr>
        <w:t>(</w:t>
      </w:r>
      <w:r w:rsidRPr="009E7776">
        <w:rPr>
          <w:rFonts w:eastAsia="Times New Roman" w:cs="Arial"/>
          <w:color w:val="000000"/>
          <w:szCs w:val="20"/>
          <w:lang w:val="en-US"/>
        </w:rPr>
        <w:t>SOLVD</w:t>
      </w:r>
      <w:r w:rsidRPr="009E7776">
        <w:rPr>
          <w:rFonts w:eastAsia="Times New Roman" w:cs="Arial"/>
          <w:color w:val="000000"/>
          <w:szCs w:val="20"/>
          <w:lang w:val="ru-RU"/>
        </w:rPr>
        <w:t xml:space="preserve"> </w:t>
      </w:r>
      <w:r w:rsidRPr="009E7776">
        <w:rPr>
          <w:rFonts w:eastAsia="Times New Roman" w:cs="Arial"/>
          <w:color w:val="000000"/>
          <w:szCs w:val="20"/>
          <w:lang w:val="en-US"/>
        </w:rPr>
        <w:t>Treatment</w:t>
      </w:r>
      <w:r w:rsidRPr="009E7776">
        <w:rPr>
          <w:rFonts w:eastAsia="Times New Roman" w:cs="Arial"/>
          <w:color w:val="000000"/>
          <w:szCs w:val="20"/>
          <w:lang w:val="ru-RU"/>
        </w:rPr>
        <w:t xml:space="preserve"> </w:t>
      </w:r>
      <w:r w:rsidRPr="009E7776">
        <w:rPr>
          <w:rFonts w:eastAsia="Times New Roman" w:cs="Arial"/>
          <w:color w:val="000000"/>
          <w:szCs w:val="20"/>
          <w:lang w:val="en-US"/>
        </w:rPr>
        <w:t>trial</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са изследвани пациенти със симптоматична застойна сърдечна недостатъчност, дължаща се на систолна дисфункция (фракция на изтласкване &lt; 35 %). 2 569 пациенти получаващи конвенционално лечение за сърдечна </w:t>
      </w:r>
      <w:r w:rsidRPr="009E7776">
        <w:rPr>
          <w:rFonts w:eastAsia="Times New Roman" w:cs="Arial"/>
          <w:i/>
          <w:iCs/>
          <w:color w:val="000000"/>
          <w:szCs w:val="20"/>
          <w:lang w:eastAsia="bg-BG"/>
        </w:rPr>
        <w:t>недостатъчност са били</w:t>
      </w:r>
      <w:r w:rsidRPr="009E7776">
        <w:rPr>
          <w:rFonts w:eastAsia="Times New Roman" w:cs="Arial"/>
          <w:color w:val="000000"/>
          <w:szCs w:val="20"/>
          <w:lang w:eastAsia="bg-BG"/>
        </w:rPr>
        <w:t xml:space="preserve"> рандомизирани да получават или плацебо (</w:t>
      </w:r>
      <w:r w:rsidRPr="009E7776">
        <w:rPr>
          <w:rFonts w:eastAsia="Times New Roman" w:cs="Arial"/>
          <w:color w:val="000000"/>
          <w:szCs w:val="20"/>
          <w:lang w:val="en-US"/>
        </w:rPr>
        <w:t>n</w:t>
      </w:r>
      <w:r w:rsidRPr="009E7776">
        <w:rPr>
          <w:rFonts w:eastAsia="Times New Roman" w:cs="Arial"/>
          <w:color w:val="000000"/>
          <w:szCs w:val="20"/>
          <w:lang w:eastAsia="bg-BG"/>
        </w:rPr>
        <w:t xml:space="preserve"> =1284) или еналаприл </w:t>
      </w:r>
      <w:r w:rsidRPr="009E7776">
        <w:rPr>
          <w:rFonts w:eastAsia="Times New Roman" w:cs="Arial"/>
          <w:color w:val="000000"/>
          <w:szCs w:val="20"/>
          <w:lang w:val="ru-RU"/>
        </w:rPr>
        <w:t>(</w:t>
      </w:r>
      <w:r w:rsidRPr="009E7776">
        <w:rPr>
          <w:rFonts w:eastAsia="Times New Roman" w:cs="Arial"/>
          <w:color w:val="000000"/>
          <w:szCs w:val="20"/>
          <w:lang w:val="en-US"/>
        </w:rPr>
        <w:t>n</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 1 285). В плацебо групата 510 пациенти са умрели (39,7 %), в сравнение с 452 в групата с еналаприл (35,2 %) (намаление на риска 16 %;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5 - 26 %;</w:t>
      </w:r>
    </w:p>
    <w:p w14:paraId="13A353E6"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lastRenderedPageBreak/>
        <w:t xml:space="preserve">р = 0,0036). Имало е 461 случая на смърт от сърдечно-съдов произход в плацебо групата, в сравнение с 399 в групата с еналаприл (намаление на риска 18 %;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6 - 28 %; р &lt; 0,002), главно поради намаляване на смъртността предизвикана от прогресираща сърдечна недостатъчност (251 в плацебо групата, спрямо 209 в групата с еналаприл, намаление на риска 22 %;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6 - 35 %) По-малко пациенти са умрели или са били хоспитализирани, поради влошена сърдечна недостатъчност (736 в плацебо групата и 613 в групата с еналаприл; намаление на риска 26 %;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18 - 34 %; р &lt; 0,0001). Обобщените данни от проучването </w:t>
      </w:r>
      <w:r w:rsidRPr="009E7776">
        <w:rPr>
          <w:rFonts w:eastAsia="Times New Roman" w:cs="Arial"/>
          <w:color w:val="000000"/>
          <w:szCs w:val="20"/>
          <w:lang w:val="en-US"/>
        </w:rPr>
        <w:t>SOLVD</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показват, че при пациентите с левокамерна дисфункция, еналаприл намалява риска от развитие на миокарден инфаркт с 23 %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11 - 34 %; р &lt; 0,001) и намалява риска от хоспитализации за нестабилна ангина пекторис с 20 % (95 % </w:t>
      </w:r>
      <w:r w:rsidRPr="009E7776">
        <w:rPr>
          <w:rFonts w:eastAsia="Times New Roman" w:cs="Arial"/>
          <w:color w:val="000000"/>
          <w:szCs w:val="20"/>
          <w:lang w:val="en-US"/>
        </w:rPr>
        <w:t>CI</w:t>
      </w:r>
      <w:r w:rsidRPr="009E7776">
        <w:rPr>
          <w:rFonts w:eastAsia="Times New Roman" w:cs="Arial"/>
          <w:color w:val="000000"/>
          <w:szCs w:val="20"/>
          <w:lang w:val="ru-RU"/>
        </w:rPr>
        <w:t xml:space="preserve">, </w:t>
      </w:r>
      <w:r w:rsidRPr="009E7776">
        <w:rPr>
          <w:rFonts w:eastAsia="Times New Roman" w:cs="Arial"/>
          <w:color w:val="000000"/>
          <w:szCs w:val="20"/>
          <w:lang w:eastAsia="bg-BG"/>
        </w:rPr>
        <w:t>9 - 29 %; р &lt; 0,001).</w:t>
      </w:r>
    </w:p>
    <w:p w14:paraId="1F06F24A" w14:textId="77777777" w:rsidR="009E7776" w:rsidRPr="009E7776" w:rsidRDefault="009E7776" w:rsidP="009E7776">
      <w:pPr>
        <w:spacing w:line="240" w:lineRule="auto"/>
        <w:rPr>
          <w:rFonts w:eastAsia="Times New Roman" w:cs="Arial"/>
          <w:color w:val="000000"/>
          <w:szCs w:val="20"/>
          <w:lang w:eastAsia="bg-BG"/>
        </w:rPr>
      </w:pPr>
    </w:p>
    <w:p w14:paraId="7BD66150" w14:textId="4EE0BEDD"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Две големи рандомизирани контролирани проучвания - </w:t>
      </w:r>
      <w:r w:rsidRPr="009E7776">
        <w:rPr>
          <w:rFonts w:eastAsia="Times New Roman" w:cs="Arial"/>
          <w:color w:val="000000"/>
          <w:szCs w:val="20"/>
          <w:lang w:val="en-US"/>
        </w:rPr>
        <w:t>ONTARGET</w:t>
      </w:r>
      <w:r w:rsidRPr="009E7776">
        <w:rPr>
          <w:rFonts w:eastAsia="Times New Roman" w:cs="Arial"/>
          <w:color w:val="000000"/>
          <w:szCs w:val="20"/>
        </w:rPr>
        <w:t xml:space="preserve"> (</w:t>
      </w:r>
      <w:proofErr w:type="spellStart"/>
      <w:r w:rsidRPr="009E7776">
        <w:rPr>
          <w:rFonts w:eastAsia="Times New Roman" w:cs="Arial"/>
          <w:color w:val="000000"/>
          <w:szCs w:val="20"/>
          <w:lang w:val="en-US"/>
        </w:rPr>
        <w:t>ONgoing</w:t>
      </w:r>
      <w:proofErr w:type="spellEnd"/>
      <w:r w:rsidRPr="009E7776">
        <w:rPr>
          <w:rFonts w:eastAsia="Times New Roman" w:cs="Arial"/>
          <w:color w:val="000000"/>
          <w:szCs w:val="20"/>
        </w:rPr>
        <w:t xml:space="preserve"> </w:t>
      </w:r>
      <w:proofErr w:type="spellStart"/>
      <w:r w:rsidRPr="009E7776">
        <w:rPr>
          <w:rFonts w:eastAsia="Times New Roman" w:cs="Arial"/>
          <w:color w:val="000000"/>
          <w:szCs w:val="20"/>
          <w:lang w:val="en-US"/>
        </w:rPr>
        <w:t>Telmisartan</w:t>
      </w:r>
      <w:proofErr w:type="spellEnd"/>
      <w:r w:rsidRPr="009E7776">
        <w:rPr>
          <w:rFonts w:eastAsia="Times New Roman" w:cs="Arial"/>
          <w:color w:val="000000"/>
          <w:szCs w:val="20"/>
        </w:rPr>
        <w:t xml:space="preserve"> </w:t>
      </w:r>
      <w:r w:rsidRPr="009E7776">
        <w:rPr>
          <w:rFonts w:eastAsia="Times New Roman" w:cs="Arial"/>
          <w:color w:val="000000"/>
          <w:szCs w:val="20"/>
          <w:lang w:val="en-US"/>
        </w:rPr>
        <w:t>Alone</w:t>
      </w:r>
      <w:r w:rsidRPr="009E7776">
        <w:rPr>
          <w:rFonts w:eastAsia="Times New Roman" w:cs="Arial"/>
          <w:color w:val="000000"/>
          <w:szCs w:val="20"/>
        </w:rPr>
        <w:t xml:space="preserve"> </w:t>
      </w:r>
      <w:r w:rsidRPr="009E7776">
        <w:rPr>
          <w:rFonts w:eastAsia="Times New Roman" w:cs="Arial"/>
          <w:color w:val="000000"/>
          <w:szCs w:val="20"/>
          <w:lang w:val="en-US"/>
        </w:rPr>
        <w:t>and</w:t>
      </w:r>
      <w:r w:rsidRPr="009E7776">
        <w:rPr>
          <w:rFonts w:eastAsia="Times New Roman" w:cs="Arial"/>
          <w:color w:val="000000"/>
          <w:szCs w:val="20"/>
        </w:rPr>
        <w:t xml:space="preserve"> </w:t>
      </w:r>
      <w:r w:rsidRPr="009E7776">
        <w:rPr>
          <w:rFonts w:eastAsia="Times New Roman" w:cs="Arial"/>
          <w:color w:val="000000"/>
          <w:szCs w:val="20"/>
          <w:lang w:val="en-US"/>
        </w:rPr>
        <w:t>in</w:t>
      </w:r>
      <w:r w:rsidRPr="009E7776">
        <w:rPr>
          <w:rFonts w:eastAsia="Times New Roman" w:cs="Arial"/>
          <w:color w:val="000000"/>
          <w:szCs w:val="20"/>
        </w:rPr>
        <w:t xml:space="preserve"> </w:t>
      </w:r>
      <w:r w:rsidRPr="009E7776">
        <w:rPr>
          <w:rFonts w:eastAsia="Times New Roman" w:cs="Arial"/>
          <w:color w:val="000000"/>
          <w:szCs w:val="20"/>
          <w:lang w:val="en-US"/>
        </w:rPr>
        <w:t>combination</w:t>
      </w:r>
      <w:r w:rsidRPr="009E7776">
        <w:rPr>
          <w:rFonts w:eastAsia="Times New Roman" w:cs="Arial"/>
          <w:color w:val="000000"/>
          <w:szCs w:val="20"/>
        </w:rPr>
        <w:t xml:space="preserve"> </w:t>
      </w:r>
      <w:r w:rsidRPr="009E7776">
        <w:rPr>
          <w:rFonts w:eastAsia="Times New Roman" w:cs="Arial"/>
          <w:color w:val="000000"/>
          <w:szCs w:val="20"/>
          <w:lang w:val="en-US"/>
        </w:rPr>
        <w:t>with</w:t>
      </w:r>
      <w:r w:rsidRPr="009E7776">
        <w:rPr>
          <w:rFonts w:eastAsia="Times New Roman" w:cs="Arial"/>
          <w:color w:val="000000"/>
          <w:szCs w:val="20"/>
        </w:rPr>
        <w:t xml:space="preserve"> </w:t>
      </w:r>
      <w:r w:rsidRPr="009E7776">
        <w:rPr>
          <w:rFonts w:eastAsia="Times New Roman" w:cs="Arial"/>
          <w:color w:val="000000"/>
          <w:szCs w:val="20"/>
          <w:lang w:val="en-US"/>
        </w:rPr>
        <w:t>Ramipril</w:t>
      </w:r>
      <w:r w:rsidRPr="009E7776">
        <w:rPr>
          <w:rFonts w:eastAsia="Times New Roman" w:cs="Arial"/>
          <w:color w:val="000000"/>
          <w:szCs w:val="20"/>
        </w:rPr>
        <w:t xml:space="preserve"> </w:t>
      </w:r>
      <w:r w:rsidRPr="009E7776">
        <w:rPr>
          <w:rFonts w:eastAsia="Times New Roman" w:cs="Arial"/>
          <w:color w:val="000000"/>
          <w:szCs w:val="20"/>
          <w:lang w:val="en-US"/>
        </w:rPr>
        <w:t>Global</w:t>
      </w:r>
      <w:r w:rsidRPr="009E7776">
        <w:rPr>
          <w:rFonts w:eastAsia="Times New Roman" w:cs="Arial"/>
          <w:color w:val="000000"/>
          <w:szCs w:val="20"/>
        </w:rPr>
        <w:t xml:space="preserve"> </w:t>
      </w:r>
      <w:r w:rsidRPr="009E7776">
        <w:rPr>
          <w:rFonts w:eastAsia="Times New Roman" w:cs="Arial"/>
          <w:color w:val="000000"/>
          <w:szCs w:val="20"/>
          <w:lang w:val="en-US"/>
        </w:rPr>
        <w:t>Endpoint</w:t>
      </w:r>
      <w:r w:rsidRPr="009E7776">
        <w:rPr>
          <w:rFonts w:eastAsia="Times New Roman" w:cs="Arial"/>
          <w:color w:val="000000"/>
          <w:szCs w:val="20"/>
        </w:rPr>
        <w:t xml:space="preserve"> </w:t>
      </w:r>
      <w:r w:rsidRPr="009E7776">
        <w:rPr>
          <w:rFonts w:eastAsia="Times New Roman" w:cs="Arial"/>
          <w:color w:val="000000"/>
          <w:szCs w:val="20"/>
          <w:lang w:val="en-US"/>
        </w:rPr>
        <w:t>Trial</w:t>
      </w:r>
      <w:r w:rsidRPr="009E7776">
        <w:rPr>
          <w:rFonts w:eastAsia="Times New Roman" w:cs="Arial"/>
          <w:color w:val="000000"/>
          <w:szCs w:val="20"/>
        </w:rPr>
        <w:t xml:space="preserve"> - </w:t>
      </w:r>
      <w:r w:rsidRPr="009E7776">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9E7776">
        <w:rPr>
          <w:rFonts w:eastAsia="Times New Roman" w:cs="Arial"/>
          <w:color w:val="000000"/>
          <w:szCs w:val="20"/>
          <w:lang w:val="en-US"/>
        </w:rPr>
        <w:t>VA</w:t>
      </w:r>
      <w:r w:rsidRPr="009E7776">
        <w:rPr>
          <w:rFonts w:eastAsia="Times New Roman" w:cs="Arial"/>
          <w:color w:val="000000"/>
          <w:szCs w:val="20"/>
        </w:rPr>
        <w:t xml:space="preserve"> </w:t>
      </w:r>
      <w:r w:rsidRPr="009E7776">
        <w:rPr>
          <w:rFonts w:eastAsia="Times New Roman" w:cs="Arial"/>
          <w:color w:val="000000"/>
          <w:szCs w:val="20"/>
          <w:lang w:val="en-US"/>
        </w:rPr>
        <w:t>NEPHRON</w:t>
      </w:r>
      <w:r w:rsidRPr="009E7776">
        <w:rPr>
          <w:rFonts w:eastAsia="Times New Roman" w:cs="Arial"/>
          <w:color w:val="000000"/>
          <w:szCs w:val="20"/>
        </w:rPr>
        <w:t>-</w:t>
      </w:r>
      <w:r w:rsidRPr="009E7776">
        <w:rPr>
          <w:rFonts w:eastAsia="Times New Roman" w:cs="Arial"/>
          <w:color w:val="000000"/>
          <w:szCs w:val="20"/>
          <w:lang w:val="en-US"/>
        </w:rPr>
        <w:t>D</w:t>
      </w:r>
      <w:r w:rsidRPr="009E7776">
        <w:rPr>
          <w:rFonts w:eastAsia="Times New Roman" w:cs="Arial"/>
          <w:color w:val="000000"/>
          <w:szCs w:val="20"/>
        </w:rPr>
        <w:t xml:space="preserve"> </w:t>
      </w:r>
      <w:r w:rsidRPr="009E7776">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6A603432"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val="en-US"/>
        </w:rPr>
        <w:t>ONTARGET</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E7776">
        <w:rPr>
          <w:rFonts w:eastAsia="Times New Roman" w:cs="Arial"/>
          <w:color w:val="000000"/>
          <w:szCs w:val="20"/>
          <w:lang w:val="en-US"/>
        </w:rPr>
        <w:t>VA</w:t>
      </w:r>
      <w:r w:rsidRPr="009E7776">
        <w:rPr>
          <w:rFonts w:eastAsia="Times New Roman" w:cs="Arial"/>
          <w:color w:val="000000"/>
          <w:szCs w:val="20"/>
          <w:lang w:val="ru-RU"/>
        </w:rPr>
        <w:t xml:space="preserve"> </w:t>
      </w:r>
      <w:r w:rsidRPr="009E7776">
        <w:rPr>
          <w:rFonts w:eastAsia="Times New Roman" w:cs="Arial"/>
          <w:color w:val="000000"/>
          <w:szCs w:val="20"/>
          <w:lang w:val="en-US"/>
        </w:rPr>
        <w:t>NEPHRON</w:t>
      </w:r>
      <w:r w:rsidRPr="009E7776">
        <w:rPr>
          <w:rFonts w:eastAsia="Times New Roman" w:cs="Arial"/>
          <w:color w:val="000000"/>
          <w:szCs w:val="20"/>
          <w:lang w:val="ru-RU"/>
        </w:rPr>
        <w:t>-</w:t>
      </w:r>
      <w:r w:rsidRPr="009E7776">
        <w:rPr>
          <w:rFonts w:eastAsia="Times New Roman" w:cs="Arial"/>
          <w:color w:val="000000"/>
          <w:szCs w:val="20"/>
          <w:lang w:val="en-US"/>
        </w:rPr>
        <w:t>D</w:t>
      </w:r>
      <w:r w:rsidRPr="009E7776">
        <w:rPr>
          <w:rFonts w:eastAsia="Times New Roman" w:cs="Arial"/>
          <w:color w:val="000000"/>
          <w:szCs w:val="20"/>
          <w:lang w:val="ru-RU"/>
        </w:rPr>
        <w:t xml:space="preserve"> </w:t>
      </w:r>
      <w:r w:rsidRPr="009E7776">
        <w:rPr>
          <w:rFonts w:eastAsia="Times New Roman" w:cs="Arial"/>
          <w:color w:val="000000"/>
          <w:szCs w:val="20"/>
          <w:lang w:eastAsia="bg-BG"/>
        </w:rPr>
        <w:t>е проучване при пациенти със захарен диабет тип 2 и диабетна нефропатия.</w:t>
      </w:r>
    </w:p>
    <w:p w14:paraId="4DAC71E1" w14:textId="77777777" w:rsidR="009E7776" w:rsidRPr="009E7776" w:rsidRDefault="009E7776" w:rsidP="009E7776">
      <w:pPr>
        <w:rPr>
          <w:rFonts w:eastAsia="Times New Roman" w:cs="Arial"/>
          <w:sz w:val="28"/>
          <w:szCs w:val="24"/>
        </w:rPr>
      </w:pPr>
      <w:r w:rsidRPr="009E7776">
        <w:rPr>
          <w:rFonts w:eastAsia="Times New Roman" w:cs="Arial"/>
          <w:color w:val="000000"/>
          <w:szCs w:val="20"/>
          <w:lang w:eastAsia="bg-BG"/>
        </w:rPr>
        <w:t>Тези проучвания не показват значим благоприятен ефект върху бъбречните и/или сърдечно- 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6B999788"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7E573197"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val="en-US"/>
        </w:rPr>
        <w:t>ALTITUDE</w:t>
      </w:r>
      <w:r w:rsidRPr="009E7776">
        <w:rPr>
          <w:rFonts w:eastAsia="Times New Roman" w:cs="Arial"/>
          <w:color w:val="000000"/>
          <w:szCs w:val="20"/>
          <w:lang w:val="ru-RU"/>
        </w:rPr>
        <w:t xml:space="preserve"> </w:t>
      </w:r>
      <w:r w:rsidRPr="009E7776">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w:t>
      </w:r>
      <w:r w:rsidRPr="009E7776">
        <w:rPr>
          <w:rFonts w:eastAsia="Times New Roman" w:cs="Arial"/>
          <w:color w:val="000000"/>
          <w:szCs w:val="20"/>
          <w:lang w:eastAsia="bg-BG"/>
        </w:rPr>
        <w:softHyphen/>
        <w:t>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5001CC9" w14:textId="77777777" w:rsidR="009E7776" w:rsidRPr="009E7776" w:rsidRDefault="009E7776" w:rsidP="009E7776">
      <w:pPr>
        <w:spacing w:line="240" w:lineRule="auto"/>
        <w:rPr>
          <w:rFonts w:eastAsia="Times New Roman" w:cs="Arial"/>
          <w:color w:val="000000"/>
          <w:szCs w:val="20"/>
          <w:lang w:eastAsia="bg-BG"/>
        </w:rPr>
      </w:pPr>
    </w:p>
    <w:p w14:paraId="7216715A" w14:textId="62078181"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Има ограничен опит с приложението на еналаприл при приложението на деца с хипертония, на възраст &gt; 6 години. В едно клинично проучване, включващо 110 деца с хипертония на възраст 6 до 16 години с телесно тегло ≥ 20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и степен на гломерулна филтрация &gt; 30 </w:t>
      </w:r>
      <w:r w:rsidRPr="009E7776">
        <w:rPr>
          <w:rFonts w:eastAsia="Times New Roman" w:cs="Arial"/>
          <w:color w:val="000000"/>
          <w:szCs w:val="20"/>
          <w:lang w:val="en-US"/>
        </w:rPr>
        <w:t>ml</w:t>
      </w:r>
      <w:r w:rsidRPr="009E7776">
        <w:rPr>
          <w:rFonts w:eastAsia="Times New Roman" w:cs="Arial"/>
          <w:color w:val="000000"/>
          <w:szCs w:val="20"/>
          <w:lang w:val="ru-RU"/>
        </w:rPr>
        <w:t>/</w:t>
      </w:r>
      <w:r w:rsidRPr="009E7776">
        <w:rPr>
          <w:rFonts w:eastAsia="Times New Roman" w:cs="Arial"/>
          <w:color w:val="000000"/>
          <w:szCs w:val="20"/>
          <w:lang w:val="en-US"/>
        </w:rPr>
        <w:t>min</w:t>
      </w:r>
      <w:r w:rsidRPr="009E7776">
        <w:rPr>
          <w:rFonts w:eastAsia="Times New Roman" w:cs="Arial"/>
          <w:color w:val="000000"/>
          <w:szCs w:val="20"/>
          <w:lang w:val="ru-RU"/>
        </w:rPr>
        <w:t xml:space="preserve">/1,73 </w:t>
      </w:r>
      <w:r w:rsidRPr="009E7776">
        <w:rPr>
          <w:rFonts w:eastAsia="Times New Roman" w:cs="Arial"/>
          <w:color w:val="000000"/>
          <w:szCs w:val="20"/>
          <w:lang w:val="en-US"/>
        </w:rPr>
        <w:t>m</w:t>
      </w:r>
      <w:r w:rsidRPr="009E7776">
        <w:rPr>
          <w:rFonts w:eastAsia="Times New Roman" w:cs="Arial"/>
          <w:color w:val="000000"/>
          <w:szCs w:val="20"/>
          <w:vertAlign w:val="superscript"/>
          <w:lang w:val="ru-RU"/>
        </w:rPr>
        <w:t>2</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пациентите, които са тежали &lt; 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са получавали 0,625,2,5 или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еналаприл дневно, а пациентите, които са тежали ≥ 50 </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са получавали 1,25, 5 или 40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еналаприл дневно. Приемът на еналаприл еднократно дневно е понижил кръвното налягане по дозозависим начин. Дозозависимият антихипертензивен ефект на еналаприл е бил постоянен при всички подгрупи (възраст, </w:t>
      </w:r>
      <w:r w:rsidRPr="009E7776">
        <w:rPr>
          <w:rFonts w:eastAsia="Times New Roman" w:cs="Arial"/>
          <w:color w:val="000000"/>
          <w:szCs w:val="20"/>
          <w:lang w:eastAsia="bg-BG"/>
        </w:rPr>
        <w:lastRenderedPageBreak/>
        <w:t xml:space="preserve">скала на Танер, пол, раса). Все пак, най-ниските изследвани дози 0,625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и 1,25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отговарящи средно на 0,02 </w:t>
      </w:r>
      <w:r w:rsidRPr="009E7776">
        <w:rPr>
          <w:rFonts w:eastAsia="Times New Roman" w:cs="Arial"/>
          <w:color w:val="000000"/>
          <w:szCs w:val="20"/>
          <w:lang w:val="en-US"/>
        </w:rPr>
        <w:t>mg</w:t>
      </w:r>
      <w:r w:rsidRPr="009E7776">
        <w:rPr>
          <w:rFonts w:eastAsia="Times New Roman" w:cs="Arial"/>
          <w:color w:val="000000"/>
          <w:szCs w:val="20"/>
          <w:lang w:val="ru-RU"/>
        </w:rPr>
        <w:t>/</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еднократно дневно, изглежда че нямат постоянен антихипертензивен ефект. Максималната изследвана доза е била 0,58 </w:t>
      </w:r>
      <w:r w:rsidRPr="009E7776">
        <w:rPr>
          <w:rFonts w:eastAsia="Times New Roman" w:cs="Arial"/>
          <w:color w:val="000000"/>
          <w:szCs w:val="20"/>
          <w:lang w:val="en-US"/>
        </w:rPr>
        <w:t>mg</w:t>
      </w:r>
      <w:r w:rsidRPr="009E7776">
        <w:rPr>
          <w:rFonts w:eastAsia="Times New Roman" w:cs="Arial"/>
          <w:color w:val="000000"/>
          <w:szCs w:val="20"/>
          <w:lang w:val="ru-RU"/>
        </w:rPr>
        <w:t>/</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(до 40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еднократно дневно. Профилът на нежеланите реакции при педиатричните пациенти не се различава от този наблюдаван при възрастните пациенти.</w:t>
      </w:r>
    </w:p>
    <w:p w14:paraId="21F19207" w14:textId="005D2C95" w:rsidR="009E7776" w:rsidRPr="009E7776" w:rsidRDefault="009E7776" w:rsidP="009E7776"/>
    <w:p w14:paraId="26535098" w14:textId="21D32727" w:rsidR="00395555" w:rsidRDefault="002C50EE" w:rsidP="008A6AF2">
      <w:pPr>
        <w:pStyle w:val="Heading2"/>
      </w:pPr>
      <w:r>
        <w:t>5.2. Фармакокинетични свойства</w:t>
      </w:r>
    </w:p>
    <w:p w14:paraId="3C91C084" w14:textId="3E936098" w:rsidR="009E7776" w:rsidRDefault="009E7776" w:rsidP="009E7776"/>
    <w:p w14:paraId="1CF08BBF" w14:textId="77777777" w:rsidR="009E7776" w:rsidRPr="009E7776" w:rsidRDefault="009E7776" w:rsidP="009E7776">
      <w:pPr>
        <w:pStyle w:val="Heading3"/>
        <w:rPr>
          <w:rFonts w:eastAsia="Times New Roman"/>
          <w:sz w:val="28"/>
          <w:u w:val="single"/>
        </w:rPr>
      </w:pPr>
      <w:r w:rsidRPr="009E7776">
        <w:rPr>
          <w:rFonts w:eastAsia="Times New Roman"/>
          <w:u w:val="single"/>
          <w:lang w:eastAsia="bg-BG"/>
        </w:rPr>
        <w:t>Абсорбция</w:t>
      </w:r>
    </w:p>
    <w:p w14:paraId="532DE352"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Пероралният еналаприл се резорбира бързо и достига максимална серумна концентрация след 1 час. Базирайки се на уринния анализ, степента на резорбция след перорален прием е 60 %.</w:t>
      </w:r>
    </w:p>
    <w:p w14:paraId="22769ED4"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Резорбцията на пероралната форма не се влияе от присъствието на храна в гастроинтестиналния тракт.</w:t>
      </w:r>
    </w:p>
    <w:p w14:paraId="3BB7DCEB"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След абсорбцията той се хидролизира бързо до еналаприлат, мощен АСЕ-инхибитор. Максималната серумна концентрация на еналаприлат се достига около 4 часа след перорален прием на еналаприл малеат. Ефективният полуживот за акумулиране на еналаприлат след многократен прием на перорален еналаприл е 11 часа. При лица с нормална бъбречна функция, </w:t>
      </w:r>
      <w:r w:rsidRPr="009E7776">
        <w:rPr>
          <w:rFonts w:eastAsia="Times New Roman" w:cs="Arial"/>
          <w:color w:val="000000"/>
          <w:szCs w:val="20"/>
          <w:lang w:val="en-US"/>
        </w:rPr>
        <w:t>steady</w:t>
      </w:r>
      <w:r w:rsidRPr="009E7776">
        <w:rPr>
          <w:rFonts w:eastAsia="Times New Roman" w:cs="Arial"/>
          <w:color w:val="000000"/>
          <w:szCs w:val="20"/>
          <w:lang w:val="ru-RU"/>
        </w:rPr>
        <w:t xml:space="preserve"> </w:t>
      </w:r>
      <w:r w:rsidRPr="009E7776">
        <w:rPr>
          <w:rFonts w:eastAsia="Times New Roman" w:cs="Arial"/>
          <w:color w:val="000000"/>
          <w:szCs w:val="20"/>
          <w:lang w:val="en-US"/>
        </w:rPr>
        <w:t>state</w:t>
      </w:r>
      <w:r w:rsidRPr="009E7776">
        <w:rPr>
          <w:rFonts w:eastAsia="Times New Roman" w:cs="Arial"/>
          <w:color w:val="000000"/>
          <w:szCs w:val="20"/>
          <w:lang w:val="ru-RU"/>
        </w:rPr>
        <w:t xml:space="preserve"> </w:t>
      </w:r>
      <w:r w:rsidRPr="009E7776">
        <w:rPr>
          <w:rFonts w:eastAsia="Times New Roman" w:cs="Arial"/>
          <w:color w:val="000000"/>
          <w:szCs w:val="20"/>
          <w:lang w:eastAsia="bg-BG"/>
        </w:rPr>
        <w:t>серумна концентрация на еналаприлат се достига на четвъртия ден от лечението с еналаприл малеат.</w:t>
      </w:r>
    </w:p>
    <w:p w14:paraId="0B87092F" w14:textId="77777777" w:rsidR="009E7776" w:rsidRPr="009E7776" w:rsidRDefault="009E7776" w:rsidP="009E7776">
      <w:pPr>
        <w:spacing w:line="240" w:lineRule="auto"/>
        <w:rPr>
          <w:rFonts w:eastAsia="Times New Roman" w:cs="Arial"/>
          <w:color w:val="000000"/>
          <w:szCs w:val="20"/>
          <w:u w:val="single"/>
          <w:lang w:eastAsia="bg-BG"/>
        </w:rPr>
      </w:pPr>
    </w:p>
    <w:p w14:paraId="17A2FC2A" w14:textId="526F1BB6" w:rsidR="009E7776" w:rsidRPr="009E7776" w:rsidRDefault="009E7776" w:rsidP="009E7776">
      <w:pPr>
        <w:pStyle w:val="Heading3"/>
        <w:rPr>
          <w:rFonts w:eastAsia="Times New Roman"/>
          <w:sz w:val="28"/>
          <w:u w:val="single"/>
        </w:rPr>
      </w:pPr>
      <w:r w:rsidRPr="009E7776">
        <w:rPr>
          <w:rFonts w:eastAsia="Times New Roman"/>
          <w:u w:val="single"/>
          <w:lang w:eastAsia="bg-BG"/>
        </w:rPr>
        <w:t>Разпределение</w:t>
      </w:r>
    </w:p>
    <w:p w14:paraId="62B09419"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Свързването на еналаприлат с човешките плазмени протеини не надвишава 60 % при терапевтични концентрации.</w:t>
      </w:r>
    </w:p>
    <w:p w14:paraId="121889E7" w14:textId="77777777" w:rsidR="009E7776" w:rsidRPr="009E7776" w:rsidRDefault="009E7776" w:rsidP="009E7776">
      <w:pPr>
        <w:spacing w:line="240" w:lineRule="auto"/>
        <w:rPr>
          <w:rFonts w:eastAsia="Times New Roman" w:cs="Arial"/>
          <w:color w:val="000000"/>
          <w:szCs w:val="20"/>
          <w:u w:val="single"/>
          <w:lang w:eastAsia="bg-BG"/>
        </w:rPr>
      </w:pPr>
    </w:p>
    <w:p w14:paraId="2B2E6FCE" w14:textId="58D8D963" w:rsidR="009E7776" w:rsidRPr="009E7776" w:rsidRDefault="009E7776" w:rsidP="009E7776">
      <w:pPr>
        <w:pStyle w:val="Heading3"/>
        <w:rPr>
          <w:rFonts w:eastAsia="Times New Roman"/>
          <w:sz w:val="28"/>
          <w:u w:val="single"/>
        </w:rPr>
      </w:pPr>
      <w:r w:rsidRPr="009E7776">
        <w:rPr>
          <w:rFonts w:eastAsia="Times New Roman"/>
          <w:u w:val="single"/>
          <w:lang w:eastAsia="bg-BG"/>
        </w:rPr>
        <w:t>Биотрансформация</w:t>
      </w:r>
    </w:p>
    <w:p w14:paraId="2F83FAD1"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С изключение на трансформацията до еналаприлат, няма данни за друг метаболизъм на еналаприл.</w:t>
      </w:r>
    </w:p>
    <w:p w14:paraId="0DE30238" w14:textId="77777777" w:rsidR="009E7776" w:rsidRPr="009E7776" w:rsidRDefault="009E7776" w:rsidP="009E7776">
      <w:pPr>
        <w:spacing w:line="240" w:lineRule="auto"/>
        <w:rPr>
          <w:rFonts w:eastAsia="Times New Roman" w:cs="Arial"/>
          <w:strike/>
          <w:color w:val="000000"/>
          <w:szCs w:val="20"/>
          <w:u w:val="single"/>
          <w:lang w:eastAsia="bg-BG"/>
        </w:rPr>
      </w:pPr>
    </w:p>
    <w:p w14:paraId="7539FA9D" w14:textId="3C9727EA" w:rsidR="009E7776" w:rsidRPr="009E7776" w:rsidRDefault="009E7776" w:rsidP="009E7776">
      <w:pPr>
        <w:pStyle w:val="Heading3"/>
        <w:rPr>
          <w:rFonts w:eastAsia="Times New Roman"/>
          <w:sz w:val="28"/>
          <w:u w:val="single"/>
        </w:rPr>
      </w:pPr>
      <w:r w:rsidRPr="009E7776">
        <w:rPr>
          <w:rFonts w:eastAsia="Times New Roman"/>
          <w:u w:val="single"/>
          <w:lang w:eastAsia="bg-BG"/>
        </w:rPr>
        <w:t>Елиминиране</w:t>
      </w:r>
    </w:p>
    <w:p w14:paraId="4C505F4E"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Екскрецията на еналаприлат е основно чрез бъбреците. Главните компоненти в в урината са</w:t>
      </w:r>
    </w:p>
    <w:p w14:paraId="36ED7C7D" w14:textId="56781169" w:rsidR="009E7776" w:rsidRPr="009E7776" w:rsidRDefault="009E7776" w:rsidP="009E7776">
      <w:pPr>
        <w:rPr>
          <w:rFonts w:eastAsia="Times New Roman" w:cs="Arial"/>
          <w:color w:val="000000"/>
          <w:szCs w:val="20"/>
          <w:lang w:eastAsia="bg-BG"/>
        </w:rPr>
      </w:pPr>
      <w:r w:rsidRPr="009E7776">
        <w:rPr>
          <w:rFonts w:eastAsia="Times New Roman" w:cs="Arial"/>
          <w:color w:val="000000"/>
          <w:szCs w:val="20"/>
          <w:lang w:eastAsia="bg-BG"/>
        </w:rPr>
        <w:t>еналаприлат (около 40 % от дозата) и непроменен еналаприл (около 20 %).</w:t>
      </w:r>
    </w:p>
    <w:p w14:paraId="5740D1F8" w14:textId="6CC3F55A" w:rsidR="009E7776" w:rsidRPr="009E7776" w:rsidRDefault="009E7776" w:rsidP="009E7776">
      <w:pPr>
        <w:rPr>
          <w:rFonts w:eastAsia="Times New Roman" w:cs="Arial"/>
          <w:color w:val="000000"/>
          <w:szCs w:val="20"/>
          <w:lang w:eastAsia="bg-BG"/>
        </w:rPr>
      </w:pPr>
    </w:p>
    <w:p w14:paraId="266C8C59"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Бъбречно увреждане</w:t>
      </w:r>
    </w:p>
    <w:p w14:paraId="2D5103DB"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Нивата на еналаприл и енаприлат се увеличават при пациенти с бъбречна недостатъчност. При лека до средна степен на бъбречна недостатъчност (креатининов клирънс 40 - 60 </w:t>
      </w:r>
      <w:r w:rsidRPr="009E7776">
        <w:rPr>
          <w:rFonts w:eastAsia="Times New Roman" w:cs="Arial"/>
          <w:color w:val="000000"/>
          <w:szCs w:val="20"/>
          <w:lang w:val="en-US"/>
        </w:rPr>
        <w:t>ml</w:t>
      </w:r>
      <w:r w:rsidRPr="009E7776">
        <w:rPr>
          <w:rFonts w:eastAsia="Times New Roman" w:cs="Arial"/>
          <w:color w:val="000000"/>
          <w:szCs w:val="20"/>
          <w:lang w:val="ru-RU"/>
        </w:rPr>
        <w:t>/</w:t>
      </w:r>
      <w:r w:rsidRPr="009E7776">
        <w:rPr>
          <w:rFonts w:eastAsia="Times New Roman" w:cs="Arial"/>
          <w:color w:val="000000"/>
          <w:szCs w:val="20"/>
          <w:lang w:val="en-US"/>
        </w:rPr>
        <w:t>min</w:t>
      </w:r>
      <w:r w:rsidRPr="009E7776">
        <w:rPr>
          <w:rFonts w:eastAsia="Times New Roman" w:cs="Arial"/>
          <w:color w:val="000000"/>
          <w:szCs w:val="20"/>
          <w:lang w:val="ru-RU"/>
        </w:rPr>
        <w:t xml:space="preserve">), </w:t>
      </w:r>
      <w:r w:rsidRPr="009E7776">
        <w:rPr>
          <w:rFonts w:eastAsia="Times New Roman" w:cs="Arial"/>
          <w:color w:val="000000"/>
          <w:szCs w:val="20"/>
          <w:lang w:val="en-US"/>
        </w:rPr>
        <w:t>steady</w:t>
      </w:r>
      <w:r w:rsidRPr="009E7776">
        <w:rPr>
          <w:rFonts w:eastAsia="Times New Roman" w:cs="Arial"/>
          <w:color w:val="000000"/>
          <w:szCs w:val="20"/>
          <w:lang w:val="ru-RU"/>
        </w:rPr>
        <w:t xml:space="preserve"> </w:t>
      </w:r>
      <w:r w:rsidRPr="009E7776">
        <w:rPr>
          <w:rFonts w:eastAsia="Times New Roman" w:cs="Arial"/>
          <w:color w:val="000000"/>
          <w:szCs w:val="20"/>
          <w:lang w:val="en-US"/>
        </w:rPr>
        <w:t>state</w:t>
      </w:r>
      <w:r w:rsidRPr="009E7776">
        <w:rPr>
          <w:rFonts w:eastAsia="Times New Roman" w:cs="Arial"/>
          <w:color w:val="000000"/>
          <w:szCs w:val="20"/>
          <w:lang w:val="ru-RU"/>
        </w:rPr>
        <w:t xml:space="preserve"> </w:t>
      </w:r>
      <w:r w:rsidRPr="009E7776">
        <w:rPr>
          <w:rFonts w:eastAsia="Times New Roman" w:cs="Arial"/>
          <w:color w:val="000000"/>
          <w:szCs w:val="20"/>
          <w:lang w:val="en-US"/>
        </w:rPr>
        <w:t>AUC</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на еналаприлат е приблизително два пъти по висока, отколкото при нормална бъбречна функция, след прием на 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еднократно дневно. При тежка бъбречна недостатъчност (креатининов клирънс ≤ 30 </w:t>
      </w:r>
      <w:r w:rsidRPr="009E7776">
        <w:rPr>
          <w:rFonts w:eastAsia="Times New Roman" w:cs="Arial"/>
          <w:color w:val="000000"/>
          <w:szCs w:val="20"/>
          <w:lang w:val="en-US"/>
        </w:rPr>
        <w:t>ml</w:t>
      </w:r>
      <w:r w:rsidRPr="009E7776">
        <w:rPr>
          <w:rFonts w:eastAsia="Times New Roman" w:cs="Arial"/>
          <w:color w:val="000000"/>
          <w:szCs w:val="20"/>
          <w:lang w:val="ru-RU"/>
        </w:rPr>
        <w:t>/</w:t>
      </w:r>
      <w:r w:rsidRPr="009E7776">
        <w:rPr>
          <w:rFonts w:eastAsia="Times New Roman" w:cs="Arial"/>
          <w:color w:val="000000"/>
          <w:szCs w:val="20"/>
          <w:lang w:val="en-US"/>
        </w:rPr>
        <w:t>min</w:t>
      </w:r>
      <w:r w:rsidRPr="009E7776">
        <w:rPr>
          <w:rFonts w:eastAsia="Times New Roman" w:cs="Arial"/>
          <w:color w:val="000000"/>
          <w:szCs w:val="20"/>
          <w:lang w:val="ru-RU"/>
        </w:rPr>
        <w:t xml:space="preserve">) </w:t>
      </w:r>
      <w:r w:rsidRPr="009E7776">
        <w:rPr>
          <w:rFonts w:eastAsia="Times New Roman" w:cs="Arial"/>
          <w:color w:val="000000"/>
          <w:szCs w:val="20"/>
          <w:lang w:val="en-US"/>
        </w:rPr>
        <w:t>AUC</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се увеличава приблизително 8 пъти. Ефективният полуживот на еналаприлат след многократен прием на еналаприл малеат се удължава при тези нива на бъбречна недостатъчност и времето да достигане на </w:t>
      </w:r>
      <w:r w:rsidRPr="009E7776">
        <w:rPr>
          <w:rFonts w:eastAsia="Times New Roman" w:cs="Arial"/>
          <w:color w:val="000000"/>
          <w:szCs w:val="20"/>
          <w:lang w:val="en-US"/>
        </w:rPr>
        <w:t>steady</w:t>
      </w:r>
      <w:r w:rsidRPr="009E7776">
        <w:rPr>
          <w:rFonts w:eastAsia="Times New Roman" w:cs="Arial"/>
          <w:color w:val="000000"/>
          <w:szCs w:val="20"/>
          <w:lang w:val="ru-RU"/>
        </w:rPr>
        <w:t xml:space="preserve"> </w:t>
      </w:r>
      <w:r w:rsidRPr="009E7776">
        <w:rPr>
          <w:rFonts w:eastAsia="Times New Roman" w:cs="Arial"/>
          <w:color w:val="000000"/>
          <w:szCs w:val="20"/>
          <w:lang w:val="en-US"/>
        </w:rPr>
        <w:t>state</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се забавя. Еналаприлат може да бъде отстранен чрез диализа. Диализният клирънс е 62 </w:t>
      </w:r>
      <w:r w:rsidRPr="009E7776">
        <w:rPr>
          <w:rFonts w:eastAsia="Times New Roman" w:cs="Arial"/>
          <w:color w:val="000000"/>
          <w:szCs w:val="20"/>
          <w:lang w:val="en-US"/>
        </w:rPr>
        <w:t>ml</w:t>
      </w:r>
      <w:r w:rsidRPr="009E7776">
        <w:rPr>
          <w:rFonts w:eastAsia="Times New Roman" w:cs="Arial"/>
          <w:color w:val="000000"/>
          <w:szCs w:val="20"/>
          <w:lang w:val="ru-RU"/>
        </w:rPr>
        <w:t>/</w:t>
      </w:r>
      <w:r w:rsidRPr="009E7776">
        <w:rPr>
          <w:rFonts w:eastAsia="Times New Roman" w:cs="Arial"/>
          <w:color w:val="000000"/>
          <w:szCs w:val="20"/>
          <w:lang w:val="en-US"/>
        </w:rPr>
        <w:t>min</w:t>
      </w:r>
      <w:r w:rsidRPr="009E7776">
        <w:rPr>
          <w:rFonts w:eastAsia="Times New Roman" w:cs="Arial"/>
          <w:color w:val="000000"/>
          <w:szCs w:val="20"/>
          <w:lang w:val="ru-RU"/>
        </w:rPr>
        <w:t>.</w:t>
      </w:r>
    </w:p>
    <w:p w14:paraId="3D2867B2" w14:textId="77777777" w:rsidR="009E7776" w:rsidRPr="009E7776" w:rsidRDefault="009E7776" w:rsidP="009E7776">
      <w:pPr>
        <w:spacing w:line="240" w:lineRule="auto"/>
        <w:rPr>
          <w:rFonts w:eastAsia="Times New Roman" w:cs="Arial"/>
          <w:color w:val="000000"/>
          <w:szCs w:val="20"/>
          <w:u w:val="single"/>
          <w:lang w:eastAsia="bg-BG"/>
        </w:rPr>
      </w:pPr>
    </w:p>
    <w:p w14:paraId="180DB404" w14:textId="7E91DF1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u w:val="single"/>
          <w:lang w:eastAsia="bg-BG"/>
        </w:rPr>
        <w:t>Деца и юноши</w:t>
      </w:r>
    </w:p>
    <w:p w14:paraId="60BFAD8E"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Проведено е фармакокинетично изследване с приложение на многократни дози при 40 педиатрични пациенти с хипертония от мъжки и женски пол на възраст от 2 месеца до</w:t>
      </w:r>
    </w:p>
    <w:p w14:paraId="347211F4"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lastRenderedPageBreak/>
        <w:t xml:space="preserve">≤16 години след приложение на еналаприл малеат от 0,07 до 0,14 </w:t>
      </w:r>
      <w:r w:rsidRPr="009E7776">
        <w:rPr>
          <w:rFonts w:eastAsia="Times New Roman" w:cs="Arial"/>
          <w:color w:val="000000"/>
          <w:szCs w:val="20"/>
          <w:lang w:val="en-US"/>
        </w:rPr>
        <w:t>mg</w:t>
      </w:r>
      <w:r w:rsidRPr="009E7776">
        <w:rPr>
          <w:rFonts w:eastAsia="Times New Roman" w:cs="Arial"/>
          <w:color w:val="000000"/>
          <w:szCs w:val="20"/>
          <w:lang w:val="ru-RU"/>
        </w:rPr>
        <w:t>/</w:t>
      </w:r>
      <w:r w:rsidRPr="009E7776">
        <w:rPr>
          <w:rFonts w:eastAsia="Times New Roman" w:cs="Arial"/>
          <w:color w:val="000000"/>
          <w:szCs w:val="20"/>
          <w:lang w:val="en-US"/>
        </w:rPr>
        <w:t>kg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дневно. Не са установени съществени различия във фармакокинетиката на еналаприлат при деца, в сравнение с данните при възрастни. Данните показват повишаване на </w:t>
      </w:r>
      <w:r w:rsidRPr="009E7776">
        <w:rPr>
          <w:rFonts w:eastAsia="Times New Roman" w:cs="Arial"/>
          <w:color w:val="000000"/>
          <w:szCs w:val="20"/>
          <w:lang w:val="en-US"/>
        </w:rPr>
        <w:t>AUC</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(според доза на телесно тегло) с покачване на възрастта, мака че повишаването на </w:t>
      </w:r>
      <w:r w:rsidRPr="009E7776">
        <w:rPr>
          <w:rFonts w:eastAsia="Times New Roman" w:cs="Arial"/>
          <w:color w:val="000000"/>
          <w:szCs w:val="20"/>
          <w:lang w:val="en-US"/>
        </w:rPr>
        <w:t>AUC</w:t>
      </w:r>
      <w:r w:rsidRPr="009E7776">
        <w:rPr>
          <w:rFonts w:eastAsia="Times New Roman" w:cs="Arial"/>
          <w:color w:val="000000"/>
          <w:szCs w:val="20"/>
          <w:lang w:val="ru-RU"/>
        </w:rPr>
        <w:t xml:space="preserve"> </w:t>
      </w:r>
      <w:r w:rsidRPr="009E7776">
        <w:rPr>
          <w:rFonts w:eastAsia="Times New Roman" w:cs="Arial"/>
          <w:color w:val="000000"/>
          <w:szCs w:val="20"/>
          <w:lang w:eastAsia="bg-BG"/>
        </w:rPr>
        <w:t>не се установява, когато данните са представени според доза на телесна повърхност. Средният ефективен полуживот на акумулиране на еналаприлат след многократен прием на еналаприл малеат е 14 часа.</w:t>
      </w:r>
    </w:p>
    <w:p w14:paraId="54849D42" w14:textId="77777777" w:rsidR="009E7776" w:rsidRPr="009E7776" w:rsidRDefault="009E7776" w:rsidP="009E7776">
      <w:pPr>
        <w:spacing w:line="240" w:lineRule="auto"/>
        <w:rPr>
          <w:rFonts w:eastAsia="Times New Roman" w:cs="Arial"/>
          <w:color w:val="000000"/>
          <w:szCs w:val="20"/>
          <w:u w:val="single"/>
          <w:lang w:eastAsia="bg-BG"/>
        </w:rPr>
      </w:pPr>
    </w:p>
    <w:p w14:paraId="172790AA" w14:textId="4F4CE89D" w:rsidR="009E7776" w:rsidRPr="009E7776" w:rsidRDefault="009E7776" w:rsidP="009E7776">
      <w:pPr>
        <w:pStyle w:val="Heading3"/>
        <w:rPr>
          <w:rFonts w:eastAsia="Times New Roman"/>
          <w:sz w:val="28"/>
          <w:u w:val="single"/>
        </w:rPr>
      </w:pPr>
      <w:r w:rsidRPr="009E7776">
        <w:rPr>
          <w:rFonts w:eastAsia="Times New Roman"/>
          <w:u w:val="single"/>
          <w:lang w:eastAsia="bg-BG"/>
        </w:rPr>
        <w:t>Лактация</w:t>
      </w:r>
    </w:p>
    <w:p w14:paraId="63E5871F"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След приложение на еднократна перорална доза от 20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еналаприл при пет родилки, неговото средно пиково ниво в млякото е било 1,7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(в граници от 0,54 до 5,9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4 до 6 часа след дозирането. Средното пиково ниво на еналаприлат е било 1,7 </w:t>
      </w:r>
      <w:proofErr w:type="spellStart"/>
      <w:r w:rsidRPr="009E7776">
        <w:rPr>
          <w:rFonts w:eastAsia="Times New Roman" w:cs="Arial"/>
          <w:color w:val="000000"/>
          <w:szCs w:val="20"/>
          <w:lang w:val="en-US"/>
        </w:rPr>
        <w:t>pg</w:t>
      </w:r>
      <w:proofErr w:type="spellEnd"/>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(в граници от 1,2 до 2,3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пикове са установени по различно време в продължение на 24 часов период. Използвайки данните за пиковото ниво в млякото, изчисленият максимален прием на евентуално кърмени деца, би бил около 0.16% от майчината доза, установена на база телесно тегло.</w:t>
      </w:r>
    </w:p>
    <w:p w14:paraId="777DA765" w14:textId="77777777" w:rsidR="009E7776" w:rsidRPr="009E7776" w:rsidRDefault="009E7776" w:rsidP="009E7776">
      <w:pPr>
        <w:spacing w:line="240" w:lineRule="auto"/>
        <w:rPr>
          <w:rFonts w:eastAsia="Times New Roman" w:cs="Arial"/>
          <w:sz w:val="28"/>
          <w:szCs w:val="24"/>
        </w:rPr>
      </w:pPr>
      <w:r w:rsidRPr="009E7776">
        <w:rPr>
          <w:rFonts w:eastAsia="Times New Roman" w:cs="Arial"/>
          <w:color w:val="000000"/>
          <w:szCs w:val="20"/>
          <w:lang w:eastAsia="bg-BG"/>
        </w:rPr>
        <w:t xml:space="preserve">Жена която е приемала еналаприл 10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дневно в продължение на 11 месеца е имала пикови нива на еналаприл в млякото от 2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4 часа след дозиране и пикови нива на еналаприлат от 0,75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9 часа след дозиране. Общото количество на еналаприл и еналаприлат, измерено в млякото, в продължение на 24 часов период е било 1,44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и 0,63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съответно.</w:t>
      </w:r>
    </w:p>
    <w:p w14:paraId="2A8BC68D" w14:textId="77777777" w:rsidR="009E7776" w:rsidRPr="009E7776" w:rsidRDefault="009E7776" w:rsidP="009E7776">
      <w:pPr>
        <w:spacing w:line="240" w:lineRule="auto"/>
        <w:rPr>
          <w:rFonts w:ascii="Times New Roman" w:eastAsia="Times New Roman" w:hAnsi="Times New Roman" w:cs="Times New Roman"/>
          <w:sz w:val="24"/>
          <w:szCs w:val="24"/>
        </w:rPr>
      </w:pPr>
      <w:r w:rsidRPr="009E7776">
        <w:rPr>
          <w:rFonts w:eastAsia="Times New Roman" w:cs="Arial"/>
          <w:color w:val="000000"/>
          <w:szCs w:val="20"/>
          <w:lang w:eastAsia="bg-BG"/>
        </w:rPr>
        <w:t>Нивата на еналаприлат в млякото са били недоловими (&lt; 0,2 μ</w:t>
      </w:r>
      <w:r w:rsidRPr="009E7776">
        <w:rPr>
          <w:rFonts w:eastAsia="Times New Roman" w:cs="Arial"/>
          <w:color w:val="000000"/>
          <w:szCs w:val="20"/>
          <w:lang w:val="en-US"/>
        </w:rPr>
        <w:t>g</w:t>
      </w:r>
      <w:r w:rsidRPr="009E7776">
        <w:rPr>
          <w:rFonts w:eastAsia="Times New Roman" w:cs="Arial"/>
          <w:color w:val="000000"/>
          <w:szCs w:val="20"/>
          <w:lang w:val="ru-RU"/>
        </w:rPr>
        <w:t>/</w:t>
      </w:r>
      <w:r w:rsidRPr="009E7776">
        <w:rPr>
          <w:rFonts w:eastAsia="Times New Roman" w:cs="Arial"/>
          <w:color w:val="000000"/>
          <w:szCs w:val="20"/>
          <w:lang w:val="en-US"/>
        </w:rPr>
        <w:t>L</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4 часа след еднократна доза от 5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 xml:space="preserve">еналаприл при една майка и от 10 </w:t>
      </w:r>
      <w:r w:rsidRPr="009E7776">
        <w:rPr>
          <w:rFonts w:eastAsia="Times New Roman" w:cs="Arial"/>
          <w:color w:val="000000"/>
          <w:szCs w:val="20"/>
          <w:lang w:val="en-US"/>
        </w:rPr>
        <w:t>mg</w:t>
      </w:r>
      <w:r w:rsidRPr="009E7776">
        <w:rPr>
          <w:rFonts w:eastAsia="Times New Roman" w:cs="Arial"/>
          <w:color w:val="000000"/>
          <w:szCs w:val="20"/>
          <w:lang w:val="ru-RU"/>
        </w:rPr>
        <w:t xml:space="preserve"> </w:t>
      </w:r>
      <w:r w:rsidRPr="009E7776">
        <w:rPr>
          <w:rFonts w:eastAsia="Times New Roman" w:cs="Arial"/>
          <w:color w:val="000000"/>
          <w:szCs w:val="20"/>
          <w:lang w:eastAsia="bg-BG"/>
        </w:rPr>
        <w:t>при две майки; нивата на еналаприл не са определяни.</w:t>
      </w:r>
    </w:p>
    <w:p w14:paraId="34A86ADE" w14:textId="77777777" w:rsidR="009E7776" w:rsidRPr="009E7776" w:rsidRDefault="009E7776" w:rsidP="009E7776"/>
    <w:p w14:paraId="028E658A" w14:textId="23B32371" w:rsidR="00395555" w:rsidRDefault="002C50EE" w:rsidP="008A6AF2">
      <w:pPr>
        <w:pStyle w:val="Heading2"/>
      </w:pPr>
      <w:r>
        <w:t>5.3. Предклинични данни за безопасност</w:t>
      </w:r>
    </w:p>
    <w:p w14:paraId="2A635C86" w14:textId="40E15C8B" w:rsidR="009E7776" w:rsidRDefault="009E7776" w:rsidP="009E7776"/>
    <w:p w14:paraId="20A80E80" w14:textId="54572873" w:rsidR="009E7776" w:rsidRPr="009E7776" w:rsidRDefault="009E7776" w:rsidP="009E7776">
      <w:r>
        <w:t>Предклиничните данни не показват особен риск за хората на основата на конвенционални фармакологични проучвания, токсичност при многократно приложение, генотоксичност и карциногенен потенциал. Изследванията за репродуктивна токсичност показват, че еналаприл не оказва ефекти върху фертилитета и репродуктивността при плъхове и не е тератогенен. В едно изследване, в което женски плъхове са били дозирани преди чифтосване, е наблюдавана повишена честота на смъртността при новородените плъхове в периода на кърмене. Установено е, че лекарството преминава през плацентата и се екскретира в млякото. АСЕ инхибиторите, като клас медикаменти, са показали, че са фетотоксични (причиняват увреждания и/или смърт на плода), когато са давани през втория или трети триместър на бременността.</w:t>
      </w:r>
    </w:p>
    <w:p w14:paraId="6A7820AB" w14:textId="2EB7A2F0" w:rsidR="008A6AF2" w:rsidRDefault="002C50EE" w:rsidP="00395555">
      <w:pPr>
        <w:pStyle w:val="Heading1"/>
      </w:pPr>
      <w:r>
        <w:t>7. ПРИТЕЖАТЕЛ НА РАЗРЕШЕНИЕТО ЗА УПОТРЕБА</w:t>
      </w:r>
    </w:p>
    <w:p w14:paraId="55F29EE3" w14:textId="57C6522A" w:rsidR="009E7776" w:rsidRDefault="009E7776" w:rsidP="009E7776"/>
    <w:p w14:paraId="55452EB4" w14:textId="77777777" w:rsidR="009E7776" w:rsidRPr="009E7776" w:rsidRDefault="009E7776" w:rsidP="009E7776">
      <w:pPr>
        <w:rPr>
          <w:sz w:val="24"/>
          <w:szCs w:val="24"/>
        </w:rPr>
      </w:pPr>
      <w:r w:rsidRPr="009E7776">
        <w:rPr>
          <w:lang w:eastAsia="bg-BG"/>
        </w:rPr>
        <w:t>Тева Фарма ЕАД</w:t>
      </w:r>
    </w:p>
    <w:p w14:paraId="5A1D9EE2" w14:textId="77777777" w:rsidR="009E7776" w:rsidRPr="009E7776" w:rsidRDefault="009E7776" w:rsidP="009E7776">
      <w:pPr>
        <w:rPr>
          <w:sz w:val="24"/>
          <w:szCs w:val="24"/>
        </w:rPr>
      </w:pPr>
      <w:r w:rsidRPr="009E7776">
        <w:rPr>
          <w:lang w:eastAsia="bg-BG"/>
        </w:rPr>
        <w:t>ул. „Люба Величкова“ № 9, 1407 София</w:t>
      </w:r>
    </w:p>
    <w:p w14:paraId="6E4AFE14" w14:textId="3D6528BB" w:rsidR="009E7776" w:rsidRPr="009E7776" w:rsidRDefault="009E7776" w:rsidP="009E7776">
      <w:r w:rsidRPr="009E7776">
        <w:rPr>
          <w:lang w:eastAsia="bg-BG"/>
        </w:rPr>
        <w:t>България</w:t>
      </w:r>
    </w:p>
    <w:p w14:paraId="04840D59" w14:textId="6CD86599" w:rsidR="002C50EE" w:rsidRDefault="002C50EE" w:rsidP="00395555">
      <w:pPr>
        <w:pStyle w:val="Heading1"/>
      </w:pPr>
      <w:r>
        <w:t>8. НОМЕР НА РАЗРЕШЕНИЕТО ЗА УПОТРЕБА</w:t>
      </w:r>
    </w:p>
    <w:p w14:paraId="44BE8C5A" w14:textId="5D1B3694" w:rsidR="009E7776" w:rsidRDefault="009E7776" w:rsidP="009E7776"/>
    <w:p w14:paraId="2E3A5671" w14:textId="77777777" w:rsidR="009E7776" w:rsidRPr="009E7776" w:rsidRDefault="009E7776" w:rsidP="009E7776">
      <w:pPr>
        <w:rPr>
          <w:sz w:val="24"/>
          <w:szCs w:val="24"/>
        </w:rPr>
      </w:pPr>
      <w:r w:rsidRPr="009E7776">
        <w:rPr>
          <w:lang w:eastAsia="bg-BG"/>
        </w:rPr>
        <w:t xml:space="preserve">Ренаприл 5 </w:t>
      </w:r>
      <w:r w:rsidRPr="009E7776">
        <w:rPr>
          <w:lang w:val="en-US"/>
        </w:rPr>
        <w:t>mg</w:t>
      </w:r>
      <w:r w:rsidRPr="009E7776">
        <w:rPr>
          <w:lang w:val="ru-RU"/>
        </w:rPr>
        <w:t xml:space="preserve"> </w:t>
      </w:r>
      <w:r w:rsidRPr="009E7776">
        <w:rPr>
          <w:lang w:eastAsia="bg-BG"/>
        </w:rPr>
        <w:t xml:space="preserve">- </w:t>
      </w:r>
      <w:r w:rsidRPr="009E7776">
        <w:rPr>
          <w:lang w:val="en-US"/>
        </w:rPr>
        <w:t>per</w:t>
      </w:r>
      <w:r w:rsidRPr="009E7776">
        <w:rPr>
          <w:lang w:val="ru-RU"/>
        </w:rPr>
        <w:t xml:space="preserve">. </w:t>
      </w:r>
      <w:r w:rsidRPr="009E7776">
        <w:rPr>
          <w:lang w:eastAsia="bg-BG"/>
        </w:rPr>
        <w:t>№ 20010806</w:t>
      </w:r>
    </w:p>
    <w:p w14:paraId="7809BC74" w14:textId="0F12F908" w:rsidR="009E7776" w:rsidRPr="009E7776" w:rsidRDefault="009E7776" w:rsidP="009E7776">
      <w:r w:rsidRPr="009E7776">
        <w:rPr>
          <w:lang w:eastAsia="bg-BG"/>
        </w:rPr>
        <w:t xml:space="preserve">Ренаприл 10 </w:t>
      </w:r>
      <w:r w:rsidRPr="009E7776">
        <w:rPr>
          <w:lang w:val="en-US"/>
        </w:rPr>
        <w:t>mg</w:t>
      </w:r>
      <w:r w:rsidRPr="009E7776">
        <w:rPr>
          <w:lang w:val="ru-RU"/>
        </w:rPr>
        <w:t xml:space="preserve"> </w:t>
      </w:r>
      <w:r w:rsidRPr="009E7776">
        <w:rPr>
          <w:lang w:eastAsia="bg-BG"/>
        </w:rPr>
        <w:t xml:space="preserve">- </w:t>
      </w:r>
      <w:r w:rsidRPr="009E7776">
        <w:rPr>
          <w:lang w:val="en-US"/>
        </w:rPr>
        <w:t>per</w:t>
      </w:r>
      <w:r w:rsidRPr="009E7776">
        <w:rPr>
          <w:lang w:val="ru-RU"/>
        </w:rPr>
        <w:t xml:space="preserve">. </w:t>
      </w:r>
      <w:r w:rsidRPr="009E7776">
        <w:rPr>
          <w:lang w:eastAsia="bg-BG"/>
        </w:rPr>
        <w:t>№ 20010807</w:t>
      </w:r>
    </w:p>
    <w:p w14:paraId="2CCB5832" w14:textId="65E8626C" w:rsidR="007C605B" w:rsidRDefault="002C50EE" w:rsidP="007C605B">
      <w:pPr>
        <w:pStyle w:val="Heading1"/>
      </w:pPr>
      <w:r>
        <w:lastRenderedPageBreak/>
        <w:t>9. ДАТА НА ПЪРВО РАЗРЕШАВАНЕ/ПОДНОВЯВАНЕ НА РАЗРЕШЕНИЕТО ЗА УПОТРЕБА</w:t>
      </w:r>
    </w:p>
    <w:p w14:paraId="1F14C41E" w14:textId="7AB4888A" w:rsidR="009E7776" w:rsidRDefault="009E7776" w:rsidP="009E7776"/>
    <w:p w14:paraId="78979B5F" w14:textId="77777777" w:rsidR="009E7776" w:rsidRPr="009E7776" w:rsidRDefault="009E7776" w:rsidP="009E7776">
      <w:pPr>
        <w:rPr>
          <w:sz w:val="24"/>
          <w:szCs w:val="24"/>
        </w:rPr>
      </w:pPr>
      <w:r w:rsidRPr="009E7776">
        <w:rPr>
          <w:lang w:eastAsia="bg-BG"/>
        </w:rPr>
        <w:t>Дата на първо разрешаване: 23.07.2001 г.</w:t>
      </w:r>
    </w:p>
    <w:p w14:paraId="7AE70792" w14:textId="6B30765B" w:rsidR="009E7776" w:rsidRPr="009E7776" w:rsidRDefault="009E7776" w:rsidP="009E7776">
      <w:r w:rsidRPr="009E7776">
        <w:rPr>
          <w:lang w:eastAsia="bg-BG"/>
        </w:rPr>
        <w:t>Дата на последно подновяване: 12.08.2011 г.</w:t>
      </w:r>
    </w:p>
    <w:p w14:paraId="0E9D0119" w14:textId="0245C6D7" w:rsidR="002C50EE" w:rsidRDefault="002C50EE" w:rsidP="002C50EE">
      <w:pPr>
        <w:pStyle w:val="Heading1"/>
      </w:pPr>
      <w:r>
        <w:t>10. ДАТА НА АКТУАЛИЗИРАНЕ НА ТЕКСТА</w:t>
      </w:r>
    </w:p>
    <w:bookmarkEnd w:id="0"/>
    <w:p w14:paraId="43FB38A2" w14:textId="66A1D64C" w:rsidR="007C605B" w:rsidRPr="003E3126" w:rsidRDefault="009E7776" w:rsidP="009E7776">
      <w:r>
        <w:t>05/01/2021</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373A5"/>
    <w:multiLevelType w:val="hybridMultilevel"/>
    <w:tmpl w:val="B086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23450"/>
    <w:multiLevelType w:val="hybridMultilevel"/>
    <w:tmpl w:val="204A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6"/>
  </w:num>
  <w:num w:numId="22">
    <w:abstractNumId w:val="25"/>
  </w:num>
  <w:num w:numId="23">
    <w:abstractNumId w:val="17"/>
  </w:num>
  <w:num w:numId="24">
    <w:abstractNumId w:val="8"/>
  </w:num>
  <w:num w:numId="25">
    <w:abstractNumId w:val="22"/>
  </w:num>
  <w:num w:numId="26">
    <w:abstractNumId w:val="21"/>
  </w:num>
  <w:num w:numId="27">
    <w:abstractNumId w:val="30"/>
  </w:num>
  <w:num w:numId="28">
    <w:abstractNumId w:val="6"/>
  </w:num>
  <w:num w:numId="29">
    <w:abstractNumId w:val="20"/>
  </w:num>
  <w:num w:numId="30">
    <w:abstractNumId w:val="32"/>
  </w:num>
  <w:num w:numId="31">
    <w:abstractNumId w:val="5"/>
  </w:num>
  <w:num w:numId="32">
    <w:abstractNumId w:val="1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E7776"/>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7170</Words>
  <Characters>40874</Characters>
  <Application>Microsoft Office Word</Application>
  <DocSecurity>0</DocSecurity>
  <Lines>340</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2022-01-06T00:12:00Z</dcterms:created>
  <dcterms:modified xsi:type="dcterms:W3CDTF">2022-01-06T00:12:00Z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