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2A794093" w:rsidR="00DB32D3" w:rsidRDefault="00DD466D" w:rsidP="005726E3">
      <w:pPr>
        <w:pStyle w:val="Heading1"/>
      </w:pPr>
      <w:r>
        <w:t>1.ИМЕ НА ЛЕКАРСТВЕНИЯ ПРОДУКТ</w:t>
      </w:r>
    </w:p>
    <w:p w14:paraId="08AEFE41" w14:textId="3C5CB597" w:rsidR="00AA3561" w:rsidRDefault="00AA3561" w:rsidP="00AA3561"/>
    <w:p w14:paraId="014ECB13" w14:textId="77777777" w:rsidR="00AA3561" w:rsidRPr="00AA3561" w:rsidRDefault="00AA3561" w:rsidP="00AA3561">
      <w:pPr>
        <w:rPr>
          <w:sz w:val="24"/>
          <w:szCs w:val="24"/>
        </w:rPr>
      </w:pPr>
      <w:r w:rsidRPr="00AA3561">
        <w:rPr>
          <w:lang w:eastAsia="bg-BG"/>
        </w:rPr>
        <w:t xml:space="preserve">Ренаприл 20 </w:t>
      </w:r>
      <w:r w:rsidRPr="00AA3561">
        <w:rPr>
          <w:lang w:val="en-US"/>
        </w:rPr>
        <w:t>mg</w:t>
      </w:r>
      <w:r w:rsidRPr="00AA3561">
        <w:rPr>
          <w:lang w:val="ru-RU"/>
        </w:rPr>
        <w:t xml:space="preserve"> </w:t>
      </w:r>
      <w:r w:rsidRPr="00AA3561">
        <w:rPr>
          <w:lang w:eastAsia="bg-BG"/>
        </w:rPr>
        <w:t>таблетки</w:t>
      </w:r>
    </w:p>
    <w:p w14:paraId="4BAF419D" w14:textId="46D138F2" w:rsidR="00AA3561" w:rsidRPr="00AA3561" w:rsidRDefault="00AA3561" w:rsidP="00AA3561">
      <w:proofErr w:type="spellStart"/>
      <w:r w:rsidRPr="00AA3561">
        <w:rPr>
          <w:lang w:val="en-US"/>
        </w:rPr>
        <w:t>Renapril</w:t>
      </w:r>
      <w:proofErr w:type="spellEnd"/>
      <w:r w:rsidRPr="00AA3561">
        <w:rPr>
          <w:lang w:val="ru-RU"/>
        </w:rPr>
        <w:t xml:space="preserve"> </w:t>
      </w:r>
      <w:r w:rsidRPr="00AA3561">
        <w:rPr>
          <w:lang w:eastAsia="bg-BG"/>
        </w:rPr>
        <w:t xml:space="preserve">20 </w:t>
      </w:r>
      <w:r w:rsidRPr="00AA3561">
        <w:rPr>
          <w:lang w:val="en-US"/>
        </w:rPr>
        <w:t>mg</w:t>
      </w:r>
      <w:r w:rsidRPr="00AA3561">
        <w:rPr>
          <w:lang w:val="ru-RU"/>
        </w:rPr>
        <w:t xml:space="preserve"> </w:t>
      </w:r>
      <w:r w:rsidRPr="00AA3561">
        <w:rPr>
          <w:lang w:val="en-US"/>
        </w:rPr>
        <w:t>tablets</w:t>
      </w:r>
    </w:p>
    <w:p w14:paraId="48E6CABE" w14:textId="638279B9" w:rsidR="00DB32D3" w:rsidRDefault="00DD466D" w:rsidP="005726E3">
      <w:pPr>
        <w:pStyle w:val="Heading1"/>
      </w:pPr>
      <w:r>
        <w:t>2. КАЧЕСТВЕН И КОЛИЧЕСТВЕН СЪСТАВ</w:t>
      </w:r>
    </w:p>
    <w:p w14:paraId="1F84A366" w14:textId="3E7D36D4" w:rsidR="00AA3561" w:rsidRDefault="00AA3561" w:rsidP="00AA3561"/>
    <w:p w14:paraId="26017F46"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 xml:space="preserve">Всяка таблетка съдържа 20 </w:t>
      </w:r>
      <w:r w:rsidRPr="00AA3561">
        <w:rPr>
          <w:rFonts w:eastAsia="Times New Roman" w:cs="Arial"/>
          <w:color w:val="000000"/>
          <w:szCs w:val="20"/>
          <w:lang w:val="en-US"/>
        </w:rPr>
        <w:t>mg</w:t>
      </w:r>
      <w:r w:rsidRPr="00AA3561">
        <w:rPr>
          <w:rFonts w:eastAsia="Times New Roman" w:cs="Arial"/>
          <w:color w:val="000000"/>
          <w:szCs w:val="20"/>
        </w:rPr>
        <w:t xml:space="preserve"> </w:t>
      </w:r>
      <w:r w:rsidRPr="00AA3561">
        <w:rPr>
          <w:rFonts w:eastAsia="Times New Roman" w:cs="Arial"/>
          <w:color w:val="000000"/>
          <w:szCs w:val="20"/>
          <w:lang w:eastAsia="bg-BG"/>
        </w:rPr>
        <w:t>еналаприлов малеат (е</w:t>
      </w:r>
      <w:proofErr w:type="spellStart"/>
      <w:r w:rsidRPr="00AA3561">
        <w:rPr>
          <w:rFonts w:eastAsia="Times New Roman" w:cs="Arial"/>
          <w:color w:val="000000"/>
          <w:szCs w:val="20"/>
          <w:lang w:val="en-US"/>
        </w:rPr>
        <w:t>nalapril</w:t>
      </w:r>
      <w:proofErr w:type="spellEnd"/>
      <w:r w:rsidRPr="00AA3561">
        <w:rPr>
          <w:rFonts w:eastAsia="Times New Roman" w:cs="Arial"/>
          <w:color w:val="000000"/>
          <w:szCs w:val="20"/>
        </w:rPr>
        <w:t xml:space="preserve"> </w:t>
      </w:r>
      <w:r w:rsidRPr="00AA3561">
        <w:rPr>
          <w:rFonts w:eastAsia="Times New Roman" w:cs="Arial"/>
          <w:color w:val="000000"/>
          <w:szCs w:val="20"/>
          <w:lang w:val="en-US"/>
        </w:rPr>
        <w:t>maleate</w:t>
      </w:r>
      <w:r w:rsidRPr="00AA3561">
        <w:rPr>
          <w:rFonts w:eastAsia="Times New Roman" w:cs="Arial"/>
          <w:color w:val="000000"/>
          <w:szCs w:val="20"/>
        </w:rPr>
        <w:t>).</w:t>
      </w:r>
    </w:p>
    <w:p w14:paraId="219B463C" w14:textId="77777777" w:rsidR="00AA3561" w:rsidRPr="00AA3561" w:rsidRDefault="00AA3561" w:rsidP="00AA3561">
      <w:pPr>
        <w:spacing w:line="240" w:lineRule="auto"/>
        <w:rPr>
          <w:rFonts w:eastAsia="Times New Roman" w:cs="Arial"/>
          <w:color w:val="000000"/>
          <w:szCs w:val="20"/>
          <w:u w:val="single"/>
          <w:lang w:eastAsia="bg-BG"/>
        </w:rPr>
      </w:pPr>
    </w:p>
    <w:p w14:paraId="6B49616B" w14:textId="77777777" w:rsidR="00AA3561" w:rsidRPr="00AA3561" w:rsidRDefault="00AA3561" w:rsidP="00AA3561">
      <w:pPr>
        <w:spacing w:line="240" w:lineRule="auto"/>
        <w:rPr>
          <w:rFonts w:eastAsia="Times New Roman" w:cs="Arial"/>
          <w:color w:val="000000"/>
          <w:szCs w:val="20"/>
          <w:lang w:eastAsia="bg-BG"/>
        </w:rPr>
      </w:pPr>
      <w:r w:rsidRPr="00AA3561">
        <w:rPr>
          <w:rFonts w:eastAsia="Times New Roman" w:cs="Arial"/>
          <w:color w:val="000000"/>
          <w:szCs w:val="20"/>
          <w:u w:val="single"/>
          <w:lang w:eastAsia="bg-BG"/>
        </w:rPr>
        <w:t>Помощно вещество с известно действие:</w:t>
      </w:r>
      <w:r w:rsidRPr="00AA3561">
        <w:rPr>
          <w:rFonts w:eastAsia="Times New Roman" w:cs="Arial"/>
          <w:color w:val="000000"/>
          <w:szCs w:val="20"/>
          <w:lang w:eastAsia="bg-BG"/>
        </w:rPr>
        <w:t xml:space="preserve"> лактоза </w:t>
      </w:r>
    </w:p>
    <w:p w14:paraId="227C6F2E" w14:textId="5CE228F0"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 xml:space="preserve">Всяка таблетка съдържа 158,65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лактоза монохидрат.</w:t>
      </w:r>
    </w:p>
    <w:p w14:paraId="64AD3463" w14:textId="77777777" w:rsidR="00AA3561" w:rsidRPr="00AA3561" w:rsidRDefault="00AA3561" w:rsidP="00AA3561"/>
    <w:p w14:paraId="614984C4" w14:textId="7902D44D" w:rsidR="008A6AF2" w:rsidRDefault="00DD466D" w:rsidP="002C50EE">
      <w:pPr>
        <w:pStyle w:val="Heading1"/>
      </w:pPr>
      <w:r>
        <w:t>3. ЛЕКАРСТВЕНА ФОРМА</w:t>
      </w:r>
    </w:p>
    <w:p w14:paraId="7C977A2A" w14:textId="5A36A88C" w:rsidR="00AA3561" w:rsidRDefault="00AA3561" w:rsidP="00AA3561"/>
    <w:p w14:paraId="5DFC6B73" w14:textId="77777777" w:rsidR="00AA3561" w:rsidRPr="00AA3561" w:rsidRDefault="00AA3561" w:rsidP="00AA3561">
      <w:pPr>
        <w:rPr>
          <w:sz w:val="24"/>
          <w:szCs w:val="24"/>
        </w:rPr>
      </w:pPr>
      <w:r w:rsidRPr="00AA3561">
        <w:rPr>
          <w:lang w:eastAsia="bg-BG"/>
        </w:rPr>
        <w:t>Таблетка</w:t>
      </w:r>
    </w:p>
    <w:p w14:paraId="37B308EC" w14:textId="77777777" w:rsidR="00AA3561" w:rsidRPr="00AA3561" w:rsidRDefault="00AA3561" w:rsidP="00AA3561">
      <w:pPr>
        <w:rPr>
          <w:sz w:val="24"/>
          <w:szCs w:val="24"/>
        </w:rPr>
      </w:pPr>
      <w:r w:rsidRPr="00AA3561">
        <w:rPr>
          <w:lang w:eastAsia="bg-BG"/>
        </w:rPr>
        <w:t>Описание: кръгли, двойноизпъкнали, бледооранжеви таблетки с единични точки и с делител на черта от едната страна.</w:t>
      </w:r>
    </w:p>
    <w:p w14:paraId="6A6A2005" w14:textId="77777777" w:rsidR="00AA3561" w:rsidRPr="00AA3561" w:rsidRDefault="00AA3561" w:rsidP="00AA3561">
      <w:pPr>
        <w:rPr>
          <w:sz w:val="24"/>
          <w:szCs w:val="24"/>
        </w:rPr>
      </w:pPr>
      <w:r w:rsidRPr="00AA3561">
        <w:rPr>
          <w:lang w:eastAsia="bg-BG"/>
        </w:rPr>
        <w:t>Таблетката може да бъде разделена на две равни дози.</w:t>
      </w:r>
    </w:p>
    <w:p w14:paraId="7DECF678" w14:textId="77777777" w:rsidR="00AA3561" w:rsidRPr="00AA3561" w:rsidRDefault="00AA3561" w:rsidP="00AA3561"/>
    <w:p w14:paraId="490FC2C4" w14:textId="6899DE43" w:rsidR="002C50EE" w:rsidRDefault="002C50EE" w:rsidP="002C50EE">
      <w:pPr>
        <w:pStyle w:val="Heading1"/>
      </w:pPr>
      <w:r>
        <w:t>4. КЛИНИЧНИ ДАННИ</w:t>
      </w:r>
    </w:p>
    <w:p w14:paraId="0771830A" w14:textId="045B5B4D" w:rsidR="00DB32D3" w:rsidRDefault="002C50EE" w:rsidP="005726E3">
      <w:pPr>
        <w:pStyle w:val="Heading2"/>
      </w:pPr>
      <w:r>
        <w:t>4.1. Терапевтични показания</w:t>
      </w:r>
    </w:p>
    <w:p w14:paraId="3FCA59A3" w14:textId="50DD92B0" w:rsidR="00AA3561" w:rsidRDefault="00AA3561" w:rsidP="00AA3561"/>
    <w:p w14:paraId="4E4EF0F3" w14:textId="77777777" w:rsidR="00AA3561" w:rsidRPr="00AA3561" w:rsidRDefault="00AA3561" w:rsidP="00AA3561">
      <w:pPr>
        <w:pStyle w:val="ListParagraph"/>
        <w:numPr>
          <w:ilvl w:val="0"/>
          <w:numId w:val="37"/>
        </w:numPr>
        <w:spacing w:line="240" w:lineRule="auto"/>
        <w:rPr>
          <w:rFonts w:eastAsia="Times New Roman" w:cs="Arial"/>
          <w:color w:val="000000"/>
          <w:szCs w:val="20"/>
          <w:lang w:eastAsia="bg-BG"/>
        </w:rPr>
      </w:pPr>
      <w:r w:rsidRPr="00AA3561">
        <w:rPr>
          <w:rFonts w:eastAsia="Times New Roman" w:cs="Arial"/>
          <w:color w:val="000000"/>
          <w:szCs w:val="20"/>
          <w:lang w:eastAsia="bg-BG"/>
        </w:rPr>
        <w:t>Лечение на хипертония.</w:t>
      </w:r>
    </w:p>
    <w:p w14:paraId="39384F32" w14:textId="77777777" w:rsidR="00AA3561" w:rsidRPr="00AA3561" w:rsidRDefault="00AA3561" w:rsidP="00AA3561">
      <w:pPr>
        <w:pStyle w:val="ListParagraph"/>
        <w:numPr>
          <w:ilvl w:val="0"/>
          <w:numId w:val="37"/>
        </w:numPr>
        <w:spacing w:line="240" w:lineRule="auto"/>
        <w:rPr>
          <w:rFonts w:eastAsia="Times New Roman" w:cs="Arial"/>
          <w:color w:val="000000"/>
          <w:szCs w:val="20"/>
          <w:lang w:eastAsia="bg-BG"/>
        </w:rPr>
      </w:pPr>
      <w:r w:rsidRPr="00AA3561">
        <w:rPr>
          <w:rFonts w:eastAsia="Times New Roman" w:cs="Arial"/>
          <w:color w:val="000000"/>
          <w:szCs w:val="20"/>
          <w:lang w:eastAsia="bg-BG"/>
        </w:rPr>
        <w:t>Лечение на хронична (симптоматична) сърдечна недостатъчност.</w:t>
      </w:r>
    </w:p>
    <w:p w14:paraId="5F5146EC" w14:textId="09CEA410" w:rsidR="00AA3561" w:rsidRDefault="00AA3561" w:rsidP="00AA3561">
      <w:pPr>
        <w:pStyle w:val="ListParagraph"/>
        <w:numPr>
          <w:ilvl w:val="0"/>
          <w:numId w:val="37"/>
        </w:numPr>
        <w:spacing w:line="240" w:lineRule="auto"/>
        <w:rPr>
          <w:rFonts w:eastAsia="Times New Roman" w:cs="Arial"/>
          <w:color w:val="000000"/>
          <w:szCs w:val="20"/>
          <w:lang w:eastAsia="bg-BG"/>
        </w:rPr>
      </w:pPr>
      <w:r w:rsidRPr="00AA3561">
        <w:rPr>
          <w:rFonts w:eastAsia="Times New Roman" w:cs="Arial"/>
          <w:color w:val="000000"/>
          <w:szCs w:val="20"/>
          <w:lang w:eastAsia="bg-BG"/>
        </w:rPr>
        <w:t>Профилактично лечение на симптоматична сърдечна недостатъчност при асимптомни пациенти с дисфункция на лява камера (фракция на изтласкване &lt; 35 %).</w:t>
      </w:r>
    </w:p>
    <w:p w14:paraId="57789F20" w14:textId="77777777" w:rsidR="00AA3561" w:rsidRPr="00AA3561" w:rsidRDefault="00AA3561" w:rsidP="00AA3561">
      <w:pPr>
        <w:spacing w:line="240" w:lineRule="auto"/>
        <w:rPr>
          <w:rFonts w:eastAsia="Times New Roman" w:cs="Arial"/>
          <w:color w:val="000000"/>
          <w:szCs w:val="20"/>
          <w:lang w:eastAsia="bg-BG"/>
        </w:rPr>
      </w:pPr>
    </w:p>
    <w:p w14:paraId="7647A102" w14:textId="70783945" w:rsidR="00DB32D3" w:rsidRDefault="002C50EE" w:rsidP="005726E3">
      <w:pPr>
        <w:pStyle w:val="Heading2"/>
      </w:pPr>
      <w:r>
        <w:t>4.2. Дозировка и начин на приложение</w:t>
      </w:r>
    </w:p>
    <w:p w14:paraId="4F39FDE2" w14:textId="7ECD9DA4" w:rsidR="00AA3561" w:rsidRDefault="00AA3561" w:rsidP="00AA3561"/>
    <w:p w14:paraId="4C80009A" w14:textId="77777777" w:rsidR="00AA3561" w:rsidRPr="00AA3561" w:rsidRDefault="00AA3561" w:rsidP="00AA3561">
      <w:pPr>
        <w:pStyle w:val="Heading3"/>
        <w:rPr>
          <w:rFonts w:eastAsia="Times New Roman"/>
          <w:sz w:val="28"/>
          <w:u w:val="single"/>
        </w:rPr>
      </w:pPr>
      <w:r w:rsidRPr="00AA3561">
        <w:rPr>
          <w:rFonts w:eastAsia="Times New Roman"/>
          <w:u w:val="single"/>
          <w:lang w:eastAsia="bg-BG"/>
        </w:rPr>
        <w:t>Дозировка</w:t>
      </w:r>
    </w:p>
    <w:p w14:paraId="65A3FE7E"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Абсорбцията на таблетките Ренаприл не се повлиява от приема на храна.</w:t>
      </w:r>
    </w:p>
    <w:p w14:paraId="3EEB57BF" w14:textId="77777777" w:rsidR="00AA3561" w:rsidRPr="00AA3561" w:rsidRDefault="00AA3561" w:rsidP="00AA3561">
      <w:pPr>
        <w:spacing w:line="240" w:lineRule="auto"/>
        <w:rPr>
          <w:rFonts w:eastAsia="Times New Roman" w:cs="Arial"/>
          <w:color w:val="000000"/>
          <w:szCs w:val="20"/>
          <w:lang w:eastAsia="bg-BG"/>
        </w:rPr>
      </w:pPr>
    </w:p>
    <w:p w14:paraId="5F670CDA" w14:textId="3688F352"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Дозата се определя индивидуално в зависимост от състоянието на пациента (вж. точка 4.4) и повлияването на артериалното налягане.</w:t>
      </w:r>
    </w:p>
    <w:p w14:paraId="1170FC3A" w14:textId="77777777" w:rsidR="00AA3561" w:rsidRPr="00AA3561" w:rsidRDefault="00AA3561" w:rsidP="00AA3561">
      <w:pPr>
        <w:spacing w:line="240" w:lineRule="auto"/>
        <w:rPr>
          <w:rFonts w:eastAsia="Times New Roman" w:cs="Arial"/>
          <w:color w:val="000000"/>
          <w:szCs w:val="20"/>
          <w:u w:val="single"/>
          <w:lang w:eastAsia="bg-BG"/>
        </w:rPr>
      </w:pPr>
    </w:p>
    <w:p w14:paraId="0F64E250" w14:textId="4B90EA15"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Хипертония</w:t>
      </w:r>
    </w:p>
    <w:p w14:paraId="312594EA" w14:textId="659214C0" w:rsidR="00AA3561" w:rsidRPr="00AA3561" w:rsidRDefault="00AA3561" w:rsidP="00AA3561">
      <w:pPr>
        <w:rPr>
          <w:rFonts w:eastAsia="Times New Roman" w:cs="Arial"/>
          <w:color w:val="000000"/>
          <w:szCs w:val="20"/>
          <w:lang w:eastAsia="bg-BG"/>
        </w:rPr>
      </w:pPr>
      <w:r w:rsidRPr="00AA3561">
        <w:rPr>
          <w:rFonts w:eastAsia="Times New Roman" w:cs="Arial"/>
          <w:color w:val="000000"/>
          <w:szCs w:val="20"/>
          <w:lang w:eastAsia="bg-BG"/>
        </w:rPr>
        <w:t xml:space="preserve">Началната доза е 5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 xml:space="preserve">до максимално 20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 xml:space="preserve">в зависимост от степента на хипертонията и състоянието на пациента. Ренаприл се приема веднъж дневно. При лека степен на хипертония, препоръчителната начална доза е 5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 xml:space="preserve">до 10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 xml:space="preserve">дневно. При пациентите със силно активирана ренин-ангиотензин-алдостеронова система (напр, реноваскуларна </w:t>
      </w:r>
      <w:r w:rsidRPr="00AA3561">
        <w:rPr>
          <w:rFonts w:eastAsia="Times New Roman" w:cs="Arial"/>
          <w:color w:val="000000"/>
          <w:szCs w:val="20"/>
          <w:lang w:eastAsia="bg-BG"/>
        </w:rPr>
        <w:lastRenderedPageBreak/>
        <w:t>хипертония, солеви и/или обемен дефицит, сърдечна декомпенсация или тежка хипертония) може да настъпи ексцесив</w:t>
      </w:r>
      <w:r w:rsidRPr="00AA3561">
        <w:rPr>
          <w:rFonts w:eastAsia="Times New Roman" w:cs="Arial"/>
          <w:color w:val="000000"/>
          <w:szCs w:val="20"/>
          <w:lang w:val="en-US"/>
        </w:rPr>
        <w:t>no</w:t>
      </w:r>
      <w:r w:rsidRPr="00AA3561">
        <w:rPr>
          <w:rFonts w:eastAsia="Times New Roman" w:cs="Arial"/>
          <w:color w:val="000000"/>
          <w:szCs w:val="20"/>
          <w:lang w:eastAsia="bg-BG"/>
        </w:rPr>
        <w:t xml:space="preserve"> понижаване на кръвното налягане след приложение на първата доза. При такива пациенти е препоръчително началната доза да бъде 5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или по-ниска и започването на лечението да се извършва под медицински контрол.</w:t>
      </w:r>
    </w:p>
    <w:p w14:paraId="3032E5D7" w14:textId="2BA825A6" w:rsidR="00AA3561" w:rsidRPr="00AA3561" w:rsidRDefault="00AA3561" w:rsidP="00AA3561">
      <w:pPr>
        <w:rPr>
          <w:rFonts w:eastAsia="Times New Roman" w:cs="Arial"/>
          <w:color w:val="000000"/>
          <w:szCs w:val="20"/>
          <w:lang w:eastAsia="bg-BG"/>
        </w:rPr>
      </w:pPr>
    </w:p>
    <w:p w14:paraId="0341C37C"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 xml:space="preserve">В случаи на предхождащо лечение с високи дози диуретици може да настъпи обемен дефицит и да се появи симптоматична хипотония при започване на лечение с еналаприл. При такива пациенти е препоръчително началната доза да бъде 5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или по-ниска. Ако е възможно, диуретичната терапия трябва да бъде преустановена 2-3 дни преди началното приложение на еналаприл. Бъбречната функция и серумния калий трябва да бъдат мониторирани.</w:t>
      </w:r>
    </w:p>
    <w:p w14:paraId="0268340B" w14:textId="77777777" w:rsidR="00AA3561" w:rsidRPr="00AA3561" w:rsidRDefault="00AA3561" w:rsidP="00AA3561">
      <w:pPr>
        <w:spacing w:line="240" w:lineRule="auto"/>
        <w:rPr>
          <w:rFonts w:eastAsia="Times New Roman" w:cs="Arial"/>
          <w:color w:val="000000"/>
          <w:szCs w:val="20"/>
          <w:lang w:eastAsia="bg-BG"/>
        </w:rPr>
      </w:pPr>
    </w:p>
    <w:p w14:paraId="0CF51E8D" w14:textId="6467EFD2"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 xml:space="preserve">Обичайната поддържаща доза е 20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 xml:space="preserve">дневно. Максималната поддържаща доза е 40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дневно.</w:t>
      </w:r>
    </w:p>
    <w:p w14:paraId="573697BC" w14:textId="77777777" w:rsidR="00AA3561" w:rsidRPr="00AA3561" w:rsidRDefault="00AA3561" w:rsidP="00AA3561">
      <w:pPr>
        <w:spacing w:line="240" w:lineRule="auto"/>
        <w:rPr>
          <w:rFonts w:eastAsia="Times New Roman" w:cs="Arial"/>
          <w:color w:val="000000"/>
          <w:szCs w:val="20"/>
          <w:u w:val="single"/>
          <w:lang w:eastAsia="bg-BG"/>
        </w:rPr>
      </w:pPr>
    </w:p>
    <w:p w14:paraId="32A1CB09" w14:textId="725F907A"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Сърдечна недостатъчност/Асимптомна дисфункция на лявата камера</w:t>
      </w:r>
    </w:p>
    <w:p w14:paraId="03F6F181"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 xml:space="preserve">При лечение на симптоматична сърдечна недостатъчност, еналаприл се използва като допълнение към диуретици и където е подходящо към дигиталисови гликозиди или бета-блокери. Началната доза еналаприл при пациенти със симптоми на сърдечна недостатъчност или асимптомна дисфункция на лявата камера е 2,5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 xml:space="preserve">един път дневно и тя трябва да се прилага под строг медицински контрол за оценка на началния ефект върху кръвното налягане. При отсъствие на симптоматична хипотония или след ефективното й овладяване, след започване на терапията с еналаприл при сърдечна недостатъчност, дозата трябва да се увеличава постепенно до достигане на обичайна поддържаща доза от 20 </w:t>
      </w:r>
      <w:r w:rsidRPr="00AA3561">
        <w:rPr>
          <w:rFonts w:eastAsia="Times New Roman" w:cs="Arial"/>
          <w:color w:val="000000"/>
          <w:szCs w:val="20"/>
          <w:lang w:val="en-US"/>
        </w:rPr>
        <w:t>mg</w:t>
      </w:r>
      <w:r w:rsidRPr="00AA3561">
        <w:rPr>
          <w:rFonts w:eastAsia="Times New Roman" w:cs="Arial"/>
          <w:color w:val="000000"/>
          <w:szCs w:val="20"/>
          <w:lang w:val="ru-RU"/>
        </w:rPr>
        <w:t xml:space="preserve">, </w:t>
      </w:r>
      <w:r w:rsidRPr="00AA3561">
        <w:rPr>
          <w:rFonts w:eastAsia="Times New Roman" w:cs="Arial"/>
          <w:color w:val="000000"/>
          <w:szCs w:val="20"/>
          <w:lang w:eastAsia="bg-BG"/>
        </w:rPr>
        <w:t xml:space="preserve">приемана еднократно или разделена на два приема според поносимостта на пациента. Това титриране на дозата е препоръчително да се прави в рамките на две до четири седмици. Максималната доза е 40 </w:t>
      </w:r>
      <w:r w:rsidRPr="00AA3561">
        <w:rPr>
          <w:rFonts w:eastAsia="Times New Roman" w:cs="Arial"/>
          <w:color w:val="000000"/>
          <w:szCs w:val="20"/>
          <w:lang w:val="en-US"/>
        </w:rPr>
        <w:t xml:space="preserve">mg </w:t>
      </w:r>
      <w:r w:rsidRPr="00AA3561">
        <w:rPr>
          <w:rFonts w:eastAsia="Times New Roman" w:cs="Arial"/>
          <w:color w:val="000000"/>
          <w:szCs w:val="20"/>
          <w:lang w:eastAsia="bg-BG"/>
        </w:rPr>
        <w:t>дневно, разделена в два приема.</w:t>
      </w:r>
    </w:p>
    <w:p w14:paraId="2E5E6108" w14:textId="77777777" w:rsidR="00AA3561" w:rsidRPr="00AA3561" w:rsidRDefault="00AA3561" w:rsidP="00AA3561">
      <w:pPr>
        <w:rPr>
          <w:rFonts w:eastAsia="Times New Roman" w:cs="Arial"/>
          <w:color w:val="000000"/>
          <w:szCs w:val="20"/>
          <w:lang w:eastAsia="bg-BG"/>
        </w:rPr>
      </w:pPr>
    </w:p>
    <w:p w14:paraId="6CB92226" w14:textId="24ADF96A" w:rsidR="00AA3561" w:rsidRDefault="00AA3561" w:rsidP="00AA3561">
      <w:pPr>
        <w:rPr>
          <w:rFonts w:eastAsia="Times New Roman" w:cs="Arial"/>
          <w:color w:val="000000"/>
          <w:szCs w:val="20"/>
          <w:lang w:eastAsia="bg-BG"/>
        </w:rPr>
      </w:pPr>
      <w:r w:rsidRPr="00AA3561">
        <w:rPr>
          <w:rFonts w:eastAsia="Times New Roman" w:cs="Arial"/>
          <w:color w:val="000000"/>
          <w:szCs w:val="20"/>
          <w:lang w:eastAsia="bg-BG"/>
        </w:rPr>
        <w:t>Препоръчителен режим за титриране на еналаприл при пациенти със сърдечна недостатъчност/асимптомна дисфункция на лява камера</w:t>
      </w:r>
    </w:p>
    <w:p w14:paraId="41461579" w14:textId="38B2A51D" w:rsidR="00AA3561" w:rsidRDefault="00AA3561" w:rsidP="00AA3561">
      <w:pPr>
        <w:rPr>
          <w:rFonts w:eastAsia="Times New Roman" w:cs="Arial"/>
          <w:color w:val="000000"/>
          <w:szCs w:val="20"/>
          <w:lang w:eastAsia="bg-BG"/>
        </w:rPr>
      </w:pPr>
    </w:p>
    <w:tbl>
      <w:tblPr>
        <w:tblStyle w:val="TableGrid"/>
        <w:tblW w:w="0" w:type="auto"/>
        <w:tblLook w:val="04A0" w:firstRow="1" w:lastRow="0" w:firstColumn="1" w:lastColumn="0" w:noHBand="0" w:noVBand="1"/>
      </w:tblPr>
      <w:tblGrid>
        <w:gridCol w:w="3298"/>
        <w:gridCol w:w="6052"/>
      </w:tblGrid>
      <w:tr w:rsidR="00AA3561" w14:paraId="19B5204F" w14:textId="77777777" w:rsidTr="00AA3561">
        <w:tc>
          <w:tcPr>
            <w:tcW w:w="3369" w:type="dxa"/>
          </w:tcPr>
          <w:p w14:paraId="536424C8" w14:textId="2702199F" w:rsidR="00AA3561" w:rsidRDefault="00AA3561" w:rsidP="00AA3561">
            <w:pPr>
              <w:rPr>
                <w:rFonts w:cs="Arial"/>
                <w:sz w:val="24"/>
              </w:rPr>
            </w:pPr>
            <w:r>
              <w:rPr>
                <w:b/>
                <w:bCs/>
                <w:sz w:val="20"/>
                <w:szCs w:val="20"/>
              </w:rPr>
              <w:t>Седмица</w:t>
            </w:r>
          </w:p>
        </w:tc>
        <w:tc>
          <w:tcPr>
            <w:tcW w:w="6207" w:type="dxa"/>
          </w:tcPr>
          <w:p w14:paraId="43E3EAD7" w14:textId="169DA7C7" w:rsidR="00AA3561" w:rsidRDefault="00AA3561" w:rsidP="00AA3561">
            <w:pPr>
              <w:rPr>
                <w:rFonts w:cs="Arial"/>
                <w:sz w:val="24"/>
              </w:rPr>
            </w:pPr>
            <w:r>
              <w:rPr>
                <w:b/>
                <w:bCs/>
                <w:sz w:val="20"/>
                <w:szCs w:val="20"/>
              </w:rPr>
              <w:t xml:space="preserve">Доза </w:t>
            </w:r>
            <w:r>
              <w:rPr>
                <w:b/>
                <w:bCs/>
                <w:sz w:val="20"/>
                <w:szCs w:val="20"/>
                <w:lang w:val="en-US"/>
              </w:rPr>
              <w:t>mg</w:t>
            </w:r>
            <w:r>
              <w:rPr>
                <w:b/>
                <w:bCs/>
                <w:sz w:val="20"/>
                <w:szCs w:val="20"/>
              </w:rPr>
              <w:t>/дневно</w:t>
            </w:r>
          </w:p>
        </w:tc>
      </w:tr>
      <w:tr w:rsidR="00AA3561" w14:paraId="36F160C9" w14:textId="77777777" w:rsidTr="00AA3561">
        <w:tc>
          <w:tcPr>
            <w:tcW w:w="3369" w:type="dxa"/>
          </w:tcPr>
          <w:p w14:paraId="54A5473F" w14:textId="393A4DEB" w:rsidR="00AA3561" w:rsidRDefault="00AA3561" w:rsidP="00AA3561">
            <w:pPr>
              <w:rPr>
                <w:rFonts w:cs="Arial"/>
                <w:sz w:val="24"/>
              </w:rPr>
            </w:pPr>
            <w:r>
              <w:rPr>
                <w:sz w:val="20"/>
                <w:szCs w:val="20"/>
              </w:rPr>
              <w:t xml:space="preserve">Седмица </w:t>
            </w:r>
            <w:r>
              <w:rPr>
                <w:sz w:val="20"/>
                <w:szCs w:val="20"/>
                <w:lang w:val="en-US"/>
              </w:rPr>
              <w:t>1</w:t>
            </w:r>
          </w:p>
        </w:tc>
        <w:tc>
          <w:tcPr>
            <w:tcW w:w="6207" w:type="dxa"/>
          </w:tcPr>
          <w:p w14:paraId="0CCBF4EF" w14:textId="77777777" w:rsidR="00AA3561" w:rsidRDefault="00AA3561" w:rsidP="00AA3561">
            <w:r>
              <w:rPr>
                <w:sz w:val="20"/>
                <w:szCs w:val="20"/>
              </w:rPr>
              <w:t xml:space="preserve">Ден 1 до 3:2,5 </w:t>
            </w:r>
            <w:r>
              <w:rPr>
                <w:sz w:val="20"/>
                <w:szCs w:val="20"/>
                <w:lang w:val="en-US"/>
              </w:rPr>
              <w:t>mg</w:t>
            </w:r>
            <w:r>
              <w:rPr>
                <w:sz w:val="20"/>
                <w:szCs w:val="20"/>
              </w:rPr>
              <w:t>/дневно* еднократно</w:t>
            </w:r>
          </w:p>
          <w:p w14:paraId="63AB1FD7" w14:textId="07803005" w:rsidR="00AA3561" w:rsidRDefault="00AA3561" w:rsidP="00AA3561">
            <w:pPr>
              <w:rPr>
                <w:rFonts w:cs="Arial"/>
                <w:sz w:val="24"/>
              </w:rPr>
            </w:pPr>
            <w:r>
              <w:rPr>
                <w:sz w:val="20"/>
                <w:szCs w:val="20"/>
              </w:rPr>
              <w:t xml:space="preserve">Ден 4 до 7: 5 </w:t>
            </w:r>
            <w:r>
              <w:rPr>
                <w:sz w:val="20"/>
                <w:szCs w:val="20"/>
                <w:lang w:val="en-US"/>
              </w:rPr>
              <w:t>mg</w:t>
            </w:r>
            <w:r>
              <w:rPr>
                <w:sz w:val="20"/>
                <w:szCs w:val="20"/>
              </w:rPr>
              <w:t>/дневно в два отделни приема</w:t>
            </w:r>
          </w:p>
        </w:tc>
      </w:tr>
      <w:tr w:rsidR="00AA3561" w14:paraId="57D0745D" w14:textId="77777777" w:rsidTr="00AA3561">
        <w:tc>
          <w:tcPr>
            <w:tcW w:w="3369" w:type="dxa"/>
          </w:tcPr>
          <w:p w14:paraId="651AC527" w14:textId="5BBEF653" w:rsidR="00AA3561" w:rsidRDefault="00AA3561" w:rsidP="00AA3561">
            <w:pPr>
              <w:rPr>
                <w:rFonts w:cs="Arial"/>
                <w:sz w:val="24"/>
              </w:rPr>
            </w:pPr>
            <w:r>
              <w:rPr>
                <w:sz w:val="20"/>
                <w:szCs w:val="20"/>
              </w:rPr>
              <w:t xml:space="preserve">Седмица </w:t>
            </w:r>
            <w:r>
              <w:rPr>
                <w:sz w:val="20"/>
                <w:szCs w:val="20"/>
                <w:lang w:val="en-US"/>
              </w:rPr>
              <w:t>2</w:t>
            </w:r>
          </w:p>
        </w:tc>
        <w:tc>
          <w:tcPr>
            <w:tcW w:w="6207" w:type="dxa"/>
          </w:tcPr>
          <w:p w14:paraId="4F0A439B" w14:textId="47FCA512" w:rsidR="00AA3561" w:rsidRDefault="00AA3561" w:rsidP="00AA3561">
            <w:pPr>
              <w:rPr>
                <w:rFonts w:cs="Arial"/>
                <w:sz w:val="24"/>
              </w:rPr>
            </w:pPr>
            <w:r>
              <w:rPr>
                <w:sz w:val="20"/>
                <w:szCs w:val="20"/>
              </w:rPr>
              <w:t xml:space="preserve">10 </w:t>
            </w:r>
            <w:r>
              <w:rPr>
                <w:sz w:val="20"/>
                <w:szCs w:val="20"/>
                <w:lang w:val="en-US"/>
              </w:rPr>
              <w:t>mg</w:t>
            </w:r>
            <w:r>
              <w:rPr>
                <w:sz w:val="20"/>
                <w:szCs w:val="20"/>
              </w:rPr>
              <w:t>/дневно еднократно или в два отделни приема</w:t>
            </w:r>
          </w:p>
        </w:tc>
      </w:tr>
      <w:tr w:rsidR="00AA3561" w14:paraId="7AF534AC" w14:textId="77777777" w:rsidTr="00AA3561">
        <w:tc>
          <w:tcPr>
            <w:tcW w:w="3369" w:type="dxa"/>
          </w:tcPr>
          <w:p w14:paraId="0EF18C49" w14:textId="425571FD" w:rsidR="00AA3561" w:rsidRDefault="00AA3561" w:rsidP="00AA3561">
            <w:pPr>
              <w:rPr>
                <w:rFonts w:cs="Arial"/>
                <w:sz w:val="24"/>
              </w:rPr>
            </w:pPr>
            <w:r>
              <w:rPr>
                <w:sz w:val="20"/>
                <w:szCs w:val="20"/>
              </w:rPr>
              <w:t>Седмици 3 и 4</w:t>
            </w:r>
          </w:p>
        </w:tc>
        <w:tc>
          <w:tcPr>
            <w:tcW w:w="6207" w:type="dxa"/>
          </w:tcPr>
          <w:p w14:paraId="639F8D1B" w14:textId="6302D791" w:rsidR="00AA3561" w:rsidRDefault="00AA3561" w:rsidP="00AA3561">
            <w:pPr>
              <w:rPr>
                <w:rFonts w:cs="Arial"/>
                <w:sz w:val="24"/>
              </w:rPr>
            </w:pPr>
            <w:r>
              <w:rPr>
                <w:sz w:val="20"/>
                <w:szCs w:val="20"/>
              </w:rPr>
              <w:t xml:space="preserve">20 </w:t>
            </w:r>
            <w:r>
              <w:rPr>
                <w:sz w:val="20"/>
                <w:szCs w:val="20"/>
                <w:lang w:val="en-US"/>
              </w:rPr>
              <w:t>mg</w:t>
            </w:r>
            <w:r>
              <w:rPr>
                <w:sz w:val="20"/>
                <w:szCs w:val="20"/>
              </w:rPr>
              <w:t>/дневно еднократно или в два отделни приема</w:t>
            </w:r>
          </w:p>
        </w:tc>
      </w:tr>
    </w:tbl>
    <w:p w14:paraId="2AC238C8" w14:textId="69AACAB2" w:rsidR="00AA3561" w:rsidRPr="00AA3561" w:rsidRDefault="00AA3561" w:rsidP="00AA3561">
      <w:pPr>
        <w:spacing w:line="240" w:lineRule="auto"/>
        <w:rPr>
          <w:rFonts w:eastAsia="Times New Roman" w:cs="Arial"/>
        </w:rPr>
      </w:pPr>
      <w:r w:rsidRPr="00AA3561">
        <w:rPr>
          <w:rFonts w:eastAsia="Times New Roman" w:cs="Arial"/>
          <w:color w:val="000000"/>
          <w:lang w:eastAsia="bg-BG"/>
        </w:rPr>
        <w:t>* Специално внимание трябва да се обърне на пациенти с увредена бъбречна функция или приемащи диуретици (вж, точка 4.4)</w:t>
      </w:r>
    </w:p>
    <w:p w14:paraId="1D7A4D6E" w14:textId="77777777" w:rsidR="00AA3561" w:rsidRPr="00AA3561" w:rsidRDefault="00AA3561" w:rsidP="00AA3561">
      <w:pPr>
        <w:spacing w:line="240" w:lineRule="auto"/>
        <w:rPr>
          <w:rFonts w:eastAsia="Times New Roman" w:cs="Arial"/>
          <w:color w:val="000000"/>
          <w:lang w:eastAsia="bg-BG"/>
        </w:rPr>
      </w:pPr>
    </w:p>
    <w:p w14:paraId="78090DF2" w14:textId="582EFBAF" w:rsidR="00AA3561" w:rsidRPr="00AA3561" w:rsidRDefault="00AA3561" w:rsidP="00AA3561">
      <w:pPr>
        <w:spacing w:line="240" w:lineRule="auto"/>
        <w:rPr>
          <w:rFonts w:eastAsia="Times New Roman" w:cs="Arial"/>
        </w:rPr>
      </w:pPr>
      <w:r w:rsidRPr="00AA3561">
        <w:rPr>
          <w:rFonts w:eastAsia="Times New Roman" w:cs="Arial"/>
          <w:color w:val="000000"/>
          <w:lang w:eastAsia="bg-BG"/>
        </w:rPr>
        <w:t>Артериалното налягане и бъбречната функция трябва да бъдат проследявани внимателно както преди, така и след започване на лечението с еналаприл (вж. точка 4.4), поради съобщения за развитие на хипотония и (по-рядко) на последваща бъбречна недостатъчност. При пациенти, лекувани с диуретици, дозата им трябва да се понижи, ако е възможно, още преди започване на терапията с еналаприл. Появата на хипотония след прилагане на начална доза еналаприл не означава, че хипотония ще възникне при по-нататъшната терапия с еналаприл и не налага прекратяване на започнатото лечение. Необходимо е също така да бъде проследявано нивото на серумния калий и бъбречната функция.</w:t>
      </w:r>
    </w:p>
    <w:p w14:paraId="2F5FC207" w14:textId="77777777" w:rsidR="00AA3561" w:rsidRPr="00AA3561" w:rsidRDefault="00AA3561" w:rsidP="00AA3561">
      <w:pPr>
        <w:spacing w:line="240" w:lineRule="auto"/>
        <w:rPr>
          <w:rFonts w:eastAsia="Times New Roman" w:cs="Arial"/>
          <w:color w:val="000000"/>
          <w:u w:val="single"/>
          <w:lang w:eastAsia="bg-BG"/>
        </w:rPr>
      </w:pPr>
    </w:p>
    <w:p w14:paraId="0E68ED16" w14:textId="77F93B2A"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Дозировка при бъбречна недостатъчност</w:t>
      </w:r>
    </w:p>
    <w:p w14:paraId="6A5C1552" w14:textId="1115B463" w:rsidR="00AA3561" w:rsidRDefault="00AA3561" w:rsidP="00AA3561">
      <w:pPr>
        <w:spacing w:line="240" w:lineRule="auto"/>
        <w:rPr>
          <w:rFonts w:eastAsia="Times New Roman" w:cs="Arial"/>
          <w:color w:val="000000"/>
          <w:lang w:eastAsia="bg-BG"/>
        </w:rPr>
      </w:pPr>
      <w:r w:rsidRPr="00AA3561">
        <w:rPr>
          <w:rFonts w:eastAsia="Times New Roman" w:cs="Arial"/>
          <w:color w:val="000000"/>
          <w:lang w:eastAsia="bg-BG"/>
        </w:rPr>
        <w:t>При пациенти с увредена бъбречна функция терапията трябва да започва с по-ниска доза и/или при удължени интервали между приемите, като това се съобразява с креатининовия клирънс и се провежда при чест физикален и лабораторен контрол.</w:t>
      </w:r>
    </w:p>
    <w:p w14:paraId="08B5FB4E" w14:textId="4876A1CC" w:rsidR="00AA3561" w:rsidRDefault="00AA3561" w:rsidP="00AA3561">
      <w:pPr>
        <w:spacing w:line="240" w:lineRule="auto"/>
        <w:rPr>
          <w:rFonts w:eastAsia="Times New Roman" w:cs="Arial"/>
          <w:color w:val="000000"/>
          <w:lang w:eastAsia="bg-BG"/>
        </w:rPr>
      </w:pPr>
    </w:p>
    <w:tbl>
      <w:tblPr>
        <w:tblStyle w:val="TableGrid"/>
        <w:tblW w:w="0" w:type="auto"/>
        <w:tblLook w:val="04A0" w:firstRow="1" w:lastRow="0" w:firstColumn="1" w:lastColumn="0" w:noHBand="0" w:noVBand="1"/>
      </w:tblPr>
      <w:tblGrid>
        <w:gridCol w:w="4683"/>
        <w:gridCol w:w="4667"/>
      </w:tblGrid>
      <w:tr w:rsidR="00AA3561" w14:paraId="43B90624" w14:textId="77777777" w:rsidTr="003B5242">
        <w:tc>
          <w:tcPr>
            <w:tcW w:w="4788" w:type="dxa"/>
            <w:vAlign w:val="bottom"/>
          </w:tcPr>
          <w:p w14:paraId="683E44AC" w14:textId="79D6E9CD" w:rsidR="00AA3561" w:rsidRPr="00AA3561" w:rsidRDefault="00AA3561" w:rsidP="00AA3561">
            <w:pPr>
              <w:spacing w:line="240" w:lineRule="auto"/>
              <w:rPr>
                <w:rFonts w:eastAsia="Times New Roman" w:cs="Arial"/>
              </w:rPr>
            </w:pPr>
            <w:r w:rsidRPr="00AA3561">
              <w:rPr>
                <w:b/>
                <w:bCs/>
                <w:szCs w:val="20"/>
                <w:lang w:eastAsia="bg-BG"/>
              </w:rPr>
              <w:t xml:space="preserve">Креатининов клирънс </w:t>
            </w:r>
            <w:r w:rsidRPr="00AA3561">
              <w:rPr>
                <w:b/>
                <w:bCs/>
                <w:szCs w:val="20"/>
              </w:rPr>
              <w:t>(CrCl) ml/min</w:t>
            </w:r>
          </w:p>
        </w:tc>
        <w:tc>
          <w:tcPr>
            <w:tcW w:w="4788" w:type="dxa"/>
            <w:vAlign w:val="bottom"/>
          </w:tcPr>
          <w:p w14:paraId="37DD66AF" w14:textId="44D459A1" w:rsidR="00AA3561" w:rsidRPr="00AA3561" w:rsidRDefault="00AA3561" w:rsidP="00AA3561">
            <w:pPr>
              <w:spacing w:line="240" w:lineRule="auto"/>
              <w:rPr>
                <w:rFonts w:eastAsia="Times New Roman" w:cs="Arial"/>
              </w:rPr>
            </w:pPr>
            <w:r w:rsidRPr="00AA3561">
              <w:rPr>
                <w:b/>
                <w:bCs/>
                <w:szCs w:val="20"/>
                <w:lang w:eastAsia="bg-BG"/>
              </w:rPr>
              <w:t xml:space="preserve">Начална дневна доза </w:t>
            </w:r>
            <w:r w:rsidRPr="00AA3561">
              <w:rPr>
                <w:b/>
                <w:bCs/>
                <w:szCs w:val="20"/>
              </w:rPr>
              <w:t>mg</w:t>
            </w:r>
            <w:r w:rsidRPr="00AA3561">
              <w:rPr>
                <w:b/>
                <w:bCs/>
                <w:szCs w:val="20"/>
                <w:lang w:eastAsia="bg-BG"/>
              </w:rPr>
              <w:t>/ден</w:t>
            </w:r>
          </w:p>
        </w:tc>
      </w:tr>
      <w:tr w:rsidR="00AA3561" w14:paraId="1CC1A8DE" w14:textId="77777777" w:rsidTr="00AA3561">
        <w:tc>
          <w:tcPr>
            <w:tcW w:w="4788" w:type="dxa"/>
          </w:tcPr>
          <w:p w14:paraId="2C2D6041" w14:textId="217F4E95" w:rsidR="00AA3561" w:rsidRPr="00AA3561" w:rsidRDefault="00AA3561" w:rsidP="00AA3561">
            <w:pPr>
              <w:spacing w:line="240" w:lineRule="auto"/>
              <w:rPr>
                <w:rFonts w:eastAsia="Times New Roman" w:cs="Arial"/>
              </w:rPr>
            </w:pPr>
            <w:r w:rsidRPr="00AA3561">
              <w:rPr>
                <w:szCs w:val="20"/>
                <w:lang w:eastAsia="bg-BG"/>
              </w:rPr>
              <w:t xml:space="preserve">30 &lt; </w:t>
            </w:r>
            <w:r w:rsidRPr="00AA3561">
              <w:rPr>
                <w:szCs w:val="20"/>
              </w:rPr>
              <w:t>CrCl &lt; 80 ml/min</w:t>
            </w:r>
          </w:p>
        </w:tc>
        <w:tc>
          <w:tcPr>
            <w:tcW w:w="4788" w:type="dxa"/>
          </w:tcPr>
          <w:p w14:paraId="63D27AE6" w14:textId="2BF65C7B" w:rsidR="00AA3561" w:rsidRPr="00AA3561" w:rsidRDefault="00AA3561" w:rsidP="00AA3561">
            <w:pPr>
              <w:spacing w:line="240" w:lineRule="auto"/>
              <w:rPr>
                <w:rFonts w:eastAsia="Times New Roman" w:cs="Arial"/>
              </w:rPr>
            </w:pPr>
            <w:r w:rsidRPr="00AA3561">
              <w:rPr>
                <w:szCs w:val="20"/>
              </w:rPr>
              <w:t>5 -10 mg</w:t>
            </w:r>
          </w:p>
        </w:tc>
      </w:tr>
      <w:tr w:rsidR="00AA3561" w14:paraId="069E3361" w14:textId="77777777" w:rsidTr="00AA3561">
        <w:tc>
          <w:tcPr>
            <w:tcW w:w="4788" w:type="dxa"/>
          </w:tcPr>
          <w:p w14:paraId="4C7801EC" w14:textId="2546B6EC" w:rsidR="00AA3561" w:rsidRPr="00AA3561" w:rsidRDefault="00AA3561" w:rsidP="00AA3561">
            <w:pPr>
              <w:spacing w:line="240" w:lineRule="auto"/>
              <w:rPr>
                <w:rFonts w:eastAsia="Times New Roman" w:cs="Arial"/>
              </w:rPr>
            </w:pPr>
            <w:r w:rsidRPr="00AA3561">
              <w:rPr>
                <w:szCs w:val="20"/>
              </w:rPr>
              <w:t xml:space="preserve">10 &lt; CrCl </w:t>
            </w:r>
            <w:r w:rsidRPr="00AA3561">
              <w:rPr>
                <w:szCs w:val="20"/>
                <w:lang w:eastAsia="bg-BG"/>
              </w:rPr>
              <w:t>≤</w:t>
            </w:r>
            <w:r w:rsidRPr="00AA3561">
              <w:rPr>
                <w:szCs w:val="20"/>
              </w:rPr>
              <w:t>30 ml/min</w:t>
            </w:r>
          </w:p>
        </w:tc>
        <w:tc>
          <w:tcPr>
            <w:tcW w:w="4788" w:type="dxa"/>
          </w:tcPr>
          <w:p w14:paraId="32EE9A32" w14:textId="24E44637" w:rsidR="00AA3561" w:rsidRPr="00AA3561" w:rsidRDefault="00AA3561" w:rsidP="00AA3561">
            <w:pPr>
              <w:spacing w:line="240" w:lineRule="auto"/>
              <w:rPr>
                <w:rFonts w:eastAsia="Times New Roman" w:cs="Arial"/>
              </w:rPr>
            </w:pPr>
            <w:r w:rsidRPr="00AA3561">
              <w:rPr>
                <w:szCs w:val="20"/>
              </w:rPr>
              <w:t>2,5 mg</w:t>
            </w:r>
          </w:p>
        </w:tc>
      </w:tr>
      <w:tr w:rsidR="00AA3561" w14:paraId="47E1D875" w14:textId="77777777" w:rsidTr="00AA3561">
        <w:tc>
          <w:tcPr>
            <w:tcW w:w="4788" w:type="dxa"/>
          </w:tcPr>
          <w:p w14:paraId="7E25C117" w14:textId="614E6D2A" w:rsidR="00AA3561" w:rsidRPr="00AA3561" w:rsidRDefault="00AA3561" w:rsidP="00AA3561">
            <w:pPr>
              <w:spacing w:line="240" w:lineRule="auto"/>
              <w:rPr>
                <w:rFonts w:eastAsia="Times New Roman" w:cs="Arial"/>
              </w:rPr>
            </w:pPr>
            <w:r w:rsidRPr="00AA3561">
              <w:rPr>
                <w:szCs w:val="20"/>
              </w:rPr>
              <w:t xml:space="preserve">CrCl </w:t>
            </w:r>
            <w:r w:rsidRPr="00AA3561">
              <w:rPr>
                <w:szCs w:val="20"/>
                <w:lang w:eastAsia="bg-BG"/>
              </w:rPr>
              <w:t>≤</w:t>
            </w:r>
            <w:r w:rsidRPr="00AA3561">
              <w:rPr>
                <w:szCs w:val="20"/>
              </w:rPr>
              <w:t xml:space="preserve"> 10 ml/min</w:t>
            </w:r>
          </w:p>
        </w:tc>
        <w:tc>
          <w:tcPr>
            <w:tcW w:w="4788" w:type="dxa"/>
          </w:tcPr>
          <w:p w14:paraId="096D79AF" w14:textId="18BECDD6" w:rsidR="00AA3561" w:rsidRPr="00AA3561" w:rsidRDefault="00AA3561" w:rsidP="00AA3561">
            <w:pPr>
              <w:spacing w:line="240" w:lineRule="auto"/>
              <w:rPr>
                <w:rFonts w:eastAsia="Times New Roman" w:cs="Arial"/>
              </w:rPr>
            </w:pPr>
            <w:r w:rsidRPr="00AA3561">
              <w:rPr>
                <w:szCs w:val="20"/>
              </w:rPr>
              <w:t xml:space="preserve">2,5 mg </w:t>
            </w:r>
            <w:r w:rsidRPr="00AA3561">
              <w:rPr>
                <w:szCs w:val="20"/>
                <w:lang w:eastAsia="bg-BG"/>
              </w:rPr>
              <w:t>в дните на диализа*</w:t>
            </w:r>
          </w:p>
        </w:tc>
      </w:tr>
    </w:tbl>
    <w:p w14:paraId="15AD7E29"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*Виж точка 4.4. Еналаприлат се отстранява чрез диализа. Дозата през дните без хемодиализа трябва да се адаптира в зависимост от промените в кръвното налягане.</w:t>
      </w:r>
    </w:p>
    <w:p w14:paraId="7B87FC0A" w14:textId="77777777" w:rsidR="00AA3561" w:rsidRPr="00AA3561" w:rsidRDefault="00AA3561" w:rsidP="00AA3561">
      <w:pPr>
        <w:spacing w:line="240" w:lineRule="auto"/>
        <w:rPr>
          <w:rFonts w:eastAsia="Times New Roman" w:cs="Arial"/>
          <w:color w:val="000000"/>
          <w:u w:val="single"/>
          <w:lang w:eastAsia="bg-BG"/>
        </w:rPr>
      </w:pPr>
    </w:p>
    <w:p w14:paraId="3BCDA14B" w14:textId="2A5E379B"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Старческа възраст</w:t>
      </w:r>
    </w:p>
    <w:p w14:paraId="5AB18F23"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Дозата трябва да бъде в съответствие с бъбречната функция на пациентите в старческа възраст (вж. точки 4.4).</w:t>
      </w:r>
    </w:p>
    <w:p w14:paraId="7A0E05AA" w14:textId="77777777" w:rsidR="00AA3561" w:rsidRPr="00AA3561" w:rsidRDefault="00AA3561" w:rsidP="00AA3561">
      <w:pPr>
        <w:spacing w:line="240" w:lineRule="auto"/>
        <w:rPr>
          <w:rFonts w:eastAsia="Times New Roman" w:cs="Arial"/>
          <w:color w:val="000000"/>
          <w:u w:val="single"/>
          <w:lang w:eastAsia="bg-BG"/>
        </w:rPr>
      </w:pPr>
    </w:p>
    <w:p w14:paraId="68CD2A33" w14:textId="2ADCF775"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Педиатрична популация</w:t>
      </w:r>
    </w:p>
    <w:p w14:paraId="21D8C35E"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Има ограничен опит от клинични изпитвания с приложение на еналаприл при педиатрични пациенти с хипертония, (вж. точки 4.4, 5.1 и 5.2).</w:t>
      </w:r>
    </w:p>
    <w:p w14:paraId="1450D9AC" w14:textId="77777777" w:rsidR="00AA3561" w:rsidRPr="00AA3561" w:rsidRDefault="00AA3561" w:rsidP="00AA3561">
      <w:pPr>
        <w:spacing w:line="240" w:lineRule="auto"/>
        <w:rPr>
          <w:rFonts w:eastAsia="Times New Roman" w:cs="Arial"/>
          <w:color w:val="000000"/>
          <w:lang w:eastAsia="bg-BG"/>
        </w:rPr>
      </w:pPr>
    </w:p>
    <w:p w14:paraId="13CBA2A6" w14:textId="06FC3383"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При пациенти, които могат да поглъщат таблетки, дозата трябва да се определя индивидуално според профила на пациента и отговора на кръвното налягане. Препоръчителната начална доза е 2,5 </w:t>
      </w:r>
      <w:r w:rsidRPr="00AA3561">
        <w:rPr>
          <w:rFonts w:eastAsia="Times New Roman" w:cs="Arial"/>
          <w:color w:val="000000"/>
          <w:lang w:val="en-US"/>
        </w:rPr>
        <w:t>mg</w:t>
      </w:r>
      <w:r w:rsidRPr="00AA3561">
        <w:rPr>
          <w:rFonts w:eastAsia="Times New Roman" w:cs="Arial"/>
          <w:color w:val="000000"/>
          <w:lang w:val="ru-RU"/>
        </w:rPr>
        <w:t xml:space="preserve"> </w:t>
      </w:r>
      <w:r w:rsidRPr="00AA3561">
        <w:rPr>
          <w:rFonts w:eastAsia="Times New Roman" w:cs="Arial"/>
          <w:color w:val="000000"/>
          <w:lang w:eastAsia="bg-BG"/>
        </w:rPr>
        <w:t xml:space="preserve">при пациенти с тегло 20 </w:t>
      </w:r>
      <w:r w:rsidRPr="00AA3561">
        <w:rPr>
          <w:rFonts w:eastAsia="Times New Roman" w:cs="Arial"/>
          <w:color w:val="000000"/>
          <w:lang w:val="en-US"/>
        </w:rPr>
        <w:t>kg</w:t>
      </w:r>
      <w:r w:rsidRPr="00AA3561">
        <w:rPr>
          <w:rFonts w:eastAsia="Times New Roman" w:cs="Arial"/>
          <w:color w:val="000000"/>
          <w:lang w:val="ru-RU"/>
        </w:rPr>
        <w:t xml:space="preserve"> </w:t>
      </w:r>
      <w:r w:rsidRPr="00AA3561">
        <w:rPr>
          <w:rFonts w:eastAsia="Times New Roman" w:cs="Arial"/>
          <w:color w:val="000000"/>
          <w:lang w:eastAsia="bg-BG"/>
        </w:rPr>
        <w:t xml:space="preserve">до &lt; 50 </w:t>
      </w:r>
      <w:r w:rsidRPr="00AA3561">
        <w:rPr>
          <w:rFonts w:eastAsia="Times New Roman" w:cs="Arial"/>
          <w:color w:val="000000"/>
          <w:lang w:val="en-US"/>
        </w:rPr>
        <w:t>kg</w:t>
      </w:r>
      <w:r w:rsidRPr="00AA3561">
        <w:rPr>
          <w:rFonts w:eastAsia="Times New Roman" w:cs="Arial"/>
          <w:color w:val="000000"/>
          <w:lang w:val="ru-RU"/>
        </w:rPr>
        <w:t xml:space="preserve"> </w:t>
      </w:r>
      <w:r w:rsidRPr="00AA3561">
        <w:rPr>
          <w:rFonts w:eastAsia="Times New Roman" w:cs="Arial"/>
          <w:color w:val="000000"/>
          <w:lang w:eastAsia="bg-BG"/>
        </w:rPr>
        <w:t xml:space="preserve">и 5 </w:t>
      </w:r>
      <w:r w:rsidRPr="00AA3561">
        <w:rPr>
          <w:rFonts w:eastAsia="Times New Roman" w:cs="Arial"/>
          <w:color w:val="000000"/>
          <w:lang w:val="en-US"/>
        </w:rPr>
        <w:t>mg</w:t>
      </w:r>
      <w:r w:rsidRPr="00AA3561">
        <w:rPr>
          <w:rFonts w:eastAsia="Times New Roman" w:cs="Arial"/>
          <w:color w:val="000000"/>
          <w:lang w:val="ru-RU"/>
        </w:rPr>
        <w:t xml:space="preserve"> </w:t>
      </w:r>
      <w:r w:rsidRPr="00AA3561">
        <w:rPr>
          <w:rFonts w:eastAsia="Times New Roman" w:cs="Arial"/>
          <w:color w:val="000000"/>
          <w:lang w:eastAsia="bg-BG"/>
        </w:rPr>
        <w:t xml:space="preserve">при пациенти с тегло ≥ 50 </w:t>
      </w:r>
      <w:r w:rsidRPr="00AA3561">
        <w:rPr>
          <w:rFonts w:eastAsia="Times New Roman" w:cs="Arial"/>
          <w:color w:val="000000"/>
          <w:lang w:val="en-US"/>
        </w:rPr>
        <w:t>kg</w:t>
      </w:r>
      <w:r w:rsidRPr="00AA3561">
        <w:rPr>
          <w:rFonts w:eastAsia="Times New Roman" w:cs="Arial"/>
          <w:color w:val="000000"/>
          <w:lang w:val="ru-RU"/>
        </w:rPr>
        <w:t xml:space="preserve">. </w:t>
      </w:r>
      <w:r w:rsidRPr="00AA3561">
        <w:rPr>
          <w:rFonts w:eastAsia="Times New Roman" w:cs="Arial"/>
          <w:color w:val="000000"/>
          <w:lang w:eastAsia="bg-BG"/>
        </w:rPr>
        <w:t xml:space="preserve">Еналаприл се прилага веднъж дневно. Дозата трябва да се коригира спрямо нуждите на пациента до максимално 20 </w:t>
      </w:r>
      <w:r w:rsidRPr="00AA3561">
        <w:rPr>
          <w:rFonts w:eastAsia="Times New Roman" w:cs="Arial"/>
          <w:color w:val="000000"/>
          <w:lang w:val="en-US"/>
        </w:rPr>
        <w:t>mg</w:t>
      </w:r>
      <w:r w:rsidRPr="00AA3561">
        <w:rPr>
          <w:rFonts w:eastAsia="Times New Roman" w:cs="Arial"/>
          <w:color w:val="000000"/>
          <w:lang w:val="ru-RU"/>
        </w:rPr>
        <w:t xml:space="preserve"> </w:t>
      </w:r>
      <w:r w:rsidRPr="00AA3561">
        <w:rPr>
          <w:rFonts w:eastAsia="Times New Roman" w:cs="Arial"/>
          <w:color w:val="000000"/>
          <w:lang w:eastAsia="bg-BG"/>
        </w:rPr>
        <w:t xml:space="preserve">дневно при пациенти с тегло 20 </w:t>
      </w:r>
      <w:r w:rsidRPr="00AA3561">
        <w:rPr>
          <w:rFonts w:eastAsia="Times New Roman" w:cs="Arial"/>
          <w:color w:val="000000"/>
          <w:lang w:val="en-US"/>
        </w:rPr>
        <w:t>kg</w:t>
      </w:r>
      <w:r w:rsidRPr="00AA3561">
        <w:rPr>
          <w:rFonts w:eastAsia="Times New Roman" w:cs="Arial"/>
          <w:color w:val="000000"/>
          <w:lang w:val="ru-RU"/>
        </w:rPr>
        <w:t xml:space="preserve"> </w:t>
      </w:r>
      <w:r w:rsidRPr="00AA3561">
        <w:rPr>
          <w:rFonts w:eastAsia="Times New Roman" w:cs="Arial"/>
          <w:color w:val="000000"/>
          <w:lang w:eastAsia="bg-BG"/>
        </w:rPr>
        <w:t xml:space="preserve">до &lt; 50 </w:t>
      </w:r>
      <w:r w:rsidRPr="00AA3561">
        <w:rPr>
          <w:rFonts w:eastAsia="Times New Roman" w:cs="Arial"/>
          <w:color w:val="000000"/>
          <w:lang w:val="en-US"/>
        </w:rPr>
        <w:t>kg</w:t>
      </w:r>
      <w:r w:rsidRPr="00AA3561">
        <w:rPr>
          <w:rFonts w:eastAsia="Times New Roman" w:cs="Arial"/>
          <w:color w:val="000000"/>
          <w:lang w:val="ru-RU"/>
        </w:rPr>
        <w:t xml:space="preserve"> </w:t>
      </w:r>
      <w:r w:rsidRPr="00AA3561">
        <w:rPr>
          <w:rFonts w:eastAsia="Times New Roman" w:cs="Arial"/>
          <w:color w:val="000000"/>
          <w:lang w:eastAsia="bg-BG"/>
        </w:rPr>
        <w:t xml:space="preserve">и 40 </w:t>
      </w:r>
      <w:r w:rsidRPr="00AA3561">
        <w:rPr>
          <w:rFonts w:eastAsia="Times New Roman" w:cs="Arial"/>
          <w:color w:val="000000"/>
          <w:lang w:val="en-US"/>
        </w:rPr>
        <w:t>mg</w:t>
      </w:r>
      <w:r w:rsidRPr="00AA3561">
        <w:rPr>
          <w:rFonts w:eastAsia="Times New Roman" w:cs="Arial"/>
          <w:color w:val="000000"/>
          <w:lang w:val="ru-RU"/>
        </w:rPr>
        <w:t xml:space="preserve"> </w:t>
      </w:r>
      <w:r w:rsidRPr="00AA3561">
        <w:rPr>
          <w:rFonts w:eastAsia="Times New Roman" w:cs="Arial"/>
          <w:color w:val="000000"/>
          <w:lang w:eastAsia="bg-BG"/>
        </w:rPr>
        <w:t xml:space="preserve">при пациенти с тегло ≥ 50 </w:t>
      </w:r>
      <w:r w:rsidRPr="00AA3561">
        <w:rPr>
          <w:rFonts w:eastAsia="Times New Roman" w:cs="Arial"/>
          <w:color w:val="000000"/>
          <w:lang w:val="en-US"/>
        </w:rPr>
        <w:t>kg</w:t>
      </w:r>
      <w:r w:rsidRPr="00AA3561">
        <w:rPr>
          <w:rFonts w:eastAsia="Times New Roman" w:cs="Arial"/>
          <w:color w:val="000000"/>
          <w:lang w:val="ru-RU"/>
        </w:rPr>
        <w:t xml:space="preserve"> </w:t>
      </w:r>
      <w:r w:rsidRPr="00AA3561">
        <w:rPr>
          <w:rFonts w:eastAsia="Times New Roman" w:cs="Arial"/>
          <w:color w:val="000000"/>
          <w:lang w:eastAsia="bg-BG"/>
        </w:rPr>
        <w:t>(вж. точки 4.4).</w:t>
      </w:r>
    </w:p>
    <w:p w14:paraId="38ABA6B9" w14:textId="77777777" w:rsidR="00AA3561" w:rsidRPr="00AA3561" w:rsidRDefault="00AA3561" w:rsidP="00AA3561">
      <w:pPr>
        <w:spacing w:line="240" w:lineRule="auto"/>
        <w:rPr>
          <w:rFonts w:eastAsia="Times New Roman" w:cs="Arial"/>
          <w:color w:val="000000"/>
          <w:lang w:eastAsia="bg-BG"/>
        </w:rPr>
      </w:pPr>
    </w:p>
    <w:p w14:paraId="062B884F" w14:textId="7CBB4DFC"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Еналаприл не се препоръчва при новородени и при деца със степен на гломерулна филтрация &lt;30 </w:t>
      </w:r>
      <w:r w:rsidRPr="00AA3561">
        <w:rPr>
          <w:rFonts w:eastAsia="Times New Roman" w:cs="Arial"/>
          <w:color w:val="000000"/>
          <w:lang w:val="en-US"/>
        </w:rPr>
        <w:t>ml</w:t>
      </w:r>
      <w:r w:rsidRPr="00AA3561">
        <w:rPr>
          <w:rFonts w:eastAsia="Times New Roman" w:cs="Arial"/>
          <w:color w:val="000000"/>
          <w:lang w:val="ru-RU"/>
        </w:rPr>
        <w:t>/</w:t>
      </w:r>
      <w:r w:rsidRPr="00AA3561">
        <w:rPr>
          <w:rFonts w:eastAsia="Times New Roman" w:cs="Arial"/>
          <w:color w:val="000000"/>
          <w:lang w:val="en-US"/>
        </w:rPr>
        <w:t>min</w:t>
      </w:r>
      <w:r w:rsidRPr="00AA3561">
        <w:rPr>
          <w:rFonts w:eastAsia="Times New Roman" w:cs="Arial"/>
          <w:color w:val="000000"/>
          <w:lang w:val="ru-RU"/>
        </w:rPr>
        <w:t>/1.73</w:t>
      </w:r>
      <w:r w:rsidRPr="00AA3561">
        <w:rPr>
          <w:rFonts w:eastAsia="Times New Roman" w:cs="Arial"/>
          <w:color w:val="000000"/>
          <w:lang w:val="en-US"/>
        </w:rPr>
        <w:t>m</w:t>
      </w:r>
      <w:r w:rsidRPr="00AA3561">
        <w:rPr>
          <w:rFonts w:eastAsia="Times New Roman" w:cs="Arial"/>
          <w:color w:val="000000"/>
          <w:vertAlign w:val="superscript"/>
          <w:lang w:val="ru-RU"/>
        </w:rPr>
        <w:t>2</w:t>
      </w:r>
      <w:r w:rsidRPr="00AA3561">
        <w:rPr>
          <w:rFonts w:eastAsia="Times New Roman" w:cs="Arial"/>
          <w:color w:val="000000"/>
          <w:lang w:val="ru-RU"/>
        </w:rPr>
        <w:t xml:space="preserve">, </w:t>
      </w:r>
      <w:r w:rsidRPr="00AA3561">
        <w:rPr>
          <w:rFonts w:eastAsia="Times New Roman" w:cs="Arial"/>
          <w:color w:val="000000"/>
          <w:lang w:eastAsia="bg-BG"/>
        </w:rPr>
        <w:t>поради липса на данни за ефективност и безопасност при тази група пациенти.</w:t>
      </w:r>
    </w:p>
    <w:p w14:paraId="0D6AC3A5" w14:textId="77777777" w:rsidR="00AA3561" w:rsidRPr="00AA3561" w:rsidRDefault="00AA3561" w:rsidP="00AA3561">
      <w:pPr>
        <w:spacing w:line="240" w:lineRule="auto"/>
        <w:rPr>
          <w:rFonts w:eastAsia="Times New Roman" w:cs="Arial"/>
          <w:color w:val="000000"/>
          <w:u w:val="single"/>
          <w:lang w:eastAsia="bg-BG"/>
        </w:rPr>
      </w:pPr>
    </w:p>
    <w:p w14:paraId="4F18F58C" w14:textId="2C27C985" w:rsidR="00AA3561" w:rsidRPr="00AA3561" w:rsidRDefault="00AA3561" w:rsidP="00AA3561">
      <w:pPr>
        <w:pStyle w:val="Heading3"/>
        <w:rPr>
          <w:rFonts w:eastAsia="Times New Roman"/>
          <w:u w:val="single"/>
        </w:rPr>
      </w:pPr>
      <w:r w:rsidRPr="00AA3561">
        <w:rPr>
          <w:rFonts w:eastAsia="Times New Roman"/>
          <w:u w:val="single"/>
          <w:lang w:eastAsia="bg-BG"/>
        </w:rPr>
        <w:t>Начин на приложение</w:t>
      </w:r>
    </w:p>
    <w:p w14:paraId="0B90D434"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Перорално приложение.</w:t>
      </w:r>
    </w:p>
    <w:p w14:paraId="0A29ED5F" w14:textId="4E298849" w:rsidR="00AA3561" w:rsidRPr="00AA3561" w:rsidRDefault="00AA3561" w:rsidP="00AA3561">
      <w:pPr>
        <w:spacing w:line="240" w:lineRule="auto"/>
        <w:rPr>
          <w:rFonts w:eastAsia="Times New Roman" w:cs="Arial"/>
        </w:rPr>
      </w:pPr>
      <w:r w:rsidRPr="00AA3561">
        <w:rPr>
          <w:rFonts w:eastAsia="Times New Roman" w:cs="Arial"/>
          <w:color w:val="000000"/>
          <w:lang w:eastAsia="bg-BG"/>
        </w:rPr>
        <w:t>Тъй като абсорбцията на таблетките еналаприл не се повлиява от приемането на храна, те могат да се назначават преди, по време или след хранене.</w:t>
      </w:r>
    </w:p>
    <w:p w14:paraId="1F11EBF4" w14:textId="77777777" w:rsidR="00AA3561" w:rsidRPr="00AA3561" w:rsidRDefault="00AA3561" w:rsidP="00AA3561">
      <w:pPr>
        <w:rPr>
          <w:rFonts w:cs="Arial"/>
          <w:sz w:val="24"/>
        </w:rPr>
      </w:pPr>
    </w:p>
    <w:p w14:paraId="74903285" w14:textId="283B9074" w:rsidR="00DB32D3" w:rsidRDefault="002C50EE" w:rsidP="005726E3">
      <w:pPr>
        <w:pStyle w:val="Heading2"/>
      </w:pPr>
      <w:r>
        <w:t>4.3. Противопоказания</w:t>
      </w:r>
    </w:p>
    <w:p w14:paraId="10218A42" w14:textId="71C1D0D4" w:rsidR="00AA3561" w:rsidRDefault="00AA3561" w:rsidP="00AA3561"/>
    <w:p w14:paraId="2626A8DB" w14:textId="77777777" w:rsidR="00AA3561" w:rsidRPr="00AA3561" w:rsidRDefault="00AA3561" w:rsidP="00AA3561">
      <w:pPr>
        <w:pStyle w:val="ListParagraph"/>
        <w:numPr>
          <w:ilvl w:val="0"/>
          <w:numId w:val="38"/>
        </w:numPr>
        <w:spacing w:line="240" w:lineRule="auto"/>
        <w:rPr>
          <w:rFonts w:ascii="Times New Roman" w:eastAsia="Times New Roman" w:hAnsi="Times New Roman" w:cs="Times New Roman"/>
          <w:sz w:val="24"/>
          <w:szCs w:val="24"/>
        </w:rPr>
      </w:pPr>
      <w:r w:rsidRPr="00AA3561">
        <w:rPr>
          <w:rFonts w:ascii="Times New Roman" w:eastAsia="Times New Roman" w:hAnsi="Times New Roman" w:cs="Times New Roman"/>
          <w:color w:val="000000"/>
          <w:sz w:val="20"/>
          <w:szCs w:val="20"/>
          <w:lang w:eastAsia="bg-BG"/>
        </w:rPr>
        <w:t>Свръхчувствителност към еналаприл малеат, към някое от помощните вещества или към други АСЕ-инхибитори.</w:t>
      </w:r>
    </w:p>
    <w:p w14:paraId="5C1AFB7A" w14:textId="77777777" w:rsidR="00AA3561" w:rsidRPr="00AA3561" w:rsidRDefault="00AA3561" w:rsidP="00AA3561">
      <w:pPr>
        <w:pStyle w:val="ListParagraph"/>
        <w:numPr>
          <w:ilvl w:val="0"/>
          <w:numId w:val="38"/>
        </w:numPr>
        <w:spacing w:line="240" w:lineRule="auto"/>
        <w:rPr>
          <w:rFonts w:ascii="Times New Roman" w:eastAsia="Times New Roman" w:hAnsi="Times New Roman" w:cs="Times New Roman"/>
          <w:sz w:val="24"/>
          <w:szCs w:val="24"/>
        </w:rPr>
      </w:pPr>
      <w:r w:rsidRPr="00AA3561">
        <w:rPr>
          <w:rFonts w:ascii="Times New Roman" w:eastAsia="Times New Roman" w:hAnsi="Times New Roman" w:cs="Times New Roman"/>
          <w:color w:val="000000"/>
          <w:sz w:val="20"/>
          <w:szCs w:val="20"/>
          <w:lang w:eastAsia="bg-BG"/>
        </w:rPr>
        <w:t>Анамнеза за ангиоедем, свързан с предходна терапия с АСЕ-инхибитори.</w:t>
      </w:r>
    </w:p>
    <w:p w14:paraId="03BAAD5B" w14:textId="77777777" w:rsidR="00AA3561" w:rsidRPr="00AA3561" w:rsidRDefault="00AA3561" w:rsidP="00AA3561">
      <w:pPr>
        <w:pStyle w:val="ListParagraph"/>
        <w:numPr>
          <w:ilvl w:val="0"/>
          <w:numId w:val="38"/>
        </w:numPr>
        <w:spacing w:line="240" w:lineRule="auto"/>
        <w:rPr>
          <w:rFonts w:ascii="Times New Roman" w:eastAsia="Times New Roman" w:hAnsi="Times New Roman" w:cs="Times New Roman"/>
          <w:sz w:val="24"/>
          <w:szCs w:val="24"/>
        </w:rPr>
      </w:pPr>
      <w:r w:rsidRPr="00AA3561">
        <w:rPr>
          <w:rFonts w:ascii="Times New Roman" w:eastAsia="Times New Roman" w:hAnsi="Times New Roman" w:cs="Times New Roman"/>
          <w:color w:val="000000"/>
          <w:sz w:val="20"/>
          <w:szCs w:val="20"/>
          <w:lang w:eastAsia="bg-BG"/>
        </w:rPr>
        <w:t>Вроден или идиопатичен ангиоедем.</w:t>
      </w:r>
    </w:p>
    <w:p w14:paraId="75725625" w14:textId="77777777" w:rsidR="00AA3561" w:rsidRPr="00AA3561" w:rsidRDefault="00AA3561" w:rsidP="00AA3561">
      <w:pPr>
        <w:pStyle w:val="ListParagraph"/>
        <w:numPr>
          <w:ilvl w:val="0"/>
          <w:numId w:val="38"/>
        </w:numPr>
        <w:spacing w:line="240" w:lineRule="auto"/>
        <w:rPr>
          <w:rFonts w:ascii="Times New Roman" w:eastAsia="Times New Roman" w:hAnsi="Times New Roman" w:cs="Times New Roman"/>
          <w:sz w:val="24"/>
          <w:szCs w:val="24"/>
        </w:rPr>
      </w:pPr>
      <w:r w:rsidRPr="00AA3561">
        <w:rPr>
          <w:rFonts w:ascii="Times New Roman" w:eastAsia="Times New Roman" w:hAnsi="Times New Roman" w:cs="Times New Roman"/>
          <w:color w:val="000000"/>
          <w:sz w:val="20"/>
          <w:szCs w:val="20"/>
          <w:lang w:eastAsia="bg-BG"/>
        </w:rPr>
        <w:t>Втори и трети триместър на бременността (вж. точки 4.4 и 4.6).</w:t>
      </w:r>
    </w:p>
    <w:p w14:paraId="2B45AE8A" w14:textId="77777777" w:rsidR="00AA3561" w:rsidRPr="00AA3561" w:rsidRDefault="00AA3561" w:rsidP="00AA3561">
      <w:pPr>
        <w:pStyle w:val="ListParagraph"/>
        <w:numPr>
          <w:ilvl w:val="0"/>
          <w:numId w:val="38"/>
        </w:numPr>
        <w:spacing w:line="240" w:lineRule="auto"/>
        <w:rPr>
          <w:rFonts w:ascii="Times New Roman" w:eastAsia="Times New Roman" w:hAnsi="Times New Roman" w:cs="Times New Roman"/>
          <w:sz w:val="24"/>
          <w:szCs w:val="24"/>
        </w:rPr>
      </w:pPr>
      <w:r w:rsidRPr="00AA3561">
        <w:rPr>
          <w:rFonts w:ascii="Times New Roman" w:eastAsia="Times New Roman" w:hAnsi="Times New Roman" w:cs="Times New Roman"/>
          <w:color w:val="000000"/>
          <w:sz w:val="20"/>
          <w:szCs w:val="20"/>
          <w:lang w:eastAsia="bg-BG"/>
        </w:rPr>
        <w:t>Едновременната употреба на Ренаприл с алискирен-съдържащи продукти е противопоказана</w:t>
      </w:r>
      <w:r>
        <w:rPr>
          <w:rFonts w:ascii="Times New Roman" w:eastAsia="Times New Roman" w:hAnsi="Times New Roman" w:cs="Times New Roman"/>
          <w:color w:val="000000"/>
          <w:sz w:val="20"/>
          <w:szCs w:val="20"/>
          <w:lang w:eastAsia="bg-BG"/>
        </w:rPr>
        <w:t xml:space="preserve"> </w:t>
      </w:r>
      <w:r w:rsidRPr="00AA3561">
        <w:rPr>
          <w:rFonts w:ascii="Times New Roman" w:eastAsia="Times New Roman" w:hAnsi="Times New Roman" w:cs="Times New Roman"/>
          <w:color w:val="000000"/>
          <w:sz w:val="20"/>
          <w:szCs w:val="20"/>
          <w:lang w:eastAsia="bg-BG"/>
        </w:rPr>
        <w:t xml:space="preserve">при пациенти със захарен диабет или бъбречно увреждане </w:t>
      </w:r>
      <w:r w:rsidRPr="00AA3561">
        <w:rPr>
          <w:rFonts w:ascii="Times New Roman" w:eastAsia="Times New Roman" w:hAnsi="Times New Roman" w:cs="Times New Roman"/>
          <w:color w:val="000000"/>
          <w:sz w:val="20"/>
          <w:szCs w:val="20"/>
          <w:lang w:val="ru-RU"/>
        </w:rPr>
        <w:t>(</w:t>
      </w:r>
      <w:r w:rsidRPr="00AA3561">
        <w:rPr>
          <w:rFonts w:ascii="Times New Roman" w:eastAsia="Times New Roman" w:hAnsi="Times New Roman" w:cs="Times New Roman"/>
          <w:color w:val="000000"/>
          <w:sz w:val="20"/>
          <w:szCs w:val="20"/>
          <w:lang w:val="en-US"/>
        </w:rPr>
        <w:t>GFR</w:t>
      </w:r>
      <w:r w:rsidRPr="00AA3561">
        <w:rPr>
          <w:rFonts w:ascii="Times New Roman" w:eastAsia="Times New Roman" w:hAnsi="Times New Roman" w:cs="Times New Roman"/>
          <w:color w:val="000000"/>
          <w:sz w:val="20"/>
          <w:szCs w:val="20"/>
          <w:lang w:val="ru-RU"/>
        </w:rPr>
        <w:t xml:space="preserve"> </w:t>
      </w:r>
      <w:r w:rsidRPr="00AA3561">
        <w:rPr>
          <w:rFonts w:ascii="Times New Roman" w:eastAsia="Times New Roman" w:hAnsi="Times New Roman" w:cs="Times New Roman"/>
          <w:color w:val="000000"/>
          <w:sz w:val="20"/>
          <w:szCs w:val="20"/>
          <w:lang w:eastAsia="bg-BG"/>
        </w:rPr>
        <w:t xml:space="preserve">&lt; 60 </w:t>
      </w:r>
      <w:r w:rsidRPr="00AA3561">
        <w:rPr>
          <w:rFonts w:ascii="Times New Roman" w:eastAsia="Times New Roman" w:hAnsi="Times New Roman" w:cs="Times New Roman"/>
          <w:color w:val="000000"/>
          <w:sz w:val="20"/>
          <w:szCs w:val="20"/>
          <w:lang w:val="en-US"/>
        </w:rPr>
        <w:t>ml</w:t>
      </w:r>
      <w:r w:rsidRPr="00AA3561">
        <w:rPr>
          <w:rFonts w:ascii="Times New Roman" w:eastAsia="Times New Roman" w:hAnsi="Times New Roman" w:cs="Times New Roman"/>
          <w:color w:val="000000"/>
          <w:sz w:val="20"/>
          <w:szCs w:val="20"/>
          <w:lang w:val="ru-RU"/>
        </w:rPr>
        <w:t>/</w:t>
      </w:r>
      <w:r w:rsidRPr="00AA3561">
        <w:rPr>
          <w:rFonts w:ascii="Times New Roman" w:eastAsia="Times New Roman" w:hAnsi="Times New Roman" w:cs="Times New Roman"/>
          <w:color w:val="000000"/>
          <w:sz w:val="20"/>
          <w:szCs w:val="20"/>
          <w:lang w:val="en-US"/>
        </w:rPr>
        <w:t>min</w:t>
      </w:r>
      <w:r w:rsidRPr="00AA3561">
        <w:rPr>
          <w:rFonts w:ascii="Times New Roman" w:eastAsia="Times New Roman" w:hAnsi="Times New Roman" w:cs="Times New Roman"/>
          <w:color w:val="000000"/>
          <w:sz w:val="20"/>
          <w:szCs w:val="20"/>
          <w:lang w:val="ru-RU"/>
        </w:rPr>
        <w:t xml:space="preserve">/1,73 </w:t>
      </w:r>
      <w:r w:rsidRPr="00AA3561">
        <w:rPr>
          <w:rFonts w:ascii="Times New Roman" w:eastAsia="Times New Roman" w:hAnsi="Times New Roman" w:cs="Times New Roman"/>
          <w:color w:val="000000"/>
          <w:sz w:val="20"/>
          <w:szCs w:val="20"/>
          <w:lang w:val="en-US"/>
        </w:rPr>
        <w:t>m</w:t>
      </w:r>
      <w:r w:rsidRPr="00AA3561">
        <w:rPr>
          <w:rFonts w:ascii="Times New Roman" w:eastAsia="Times New Roman" w:hAnsi="Times New Roman" w:cs="Times New Roman"/>
          <w:color w:val="000000"/>
          <w:sz w:val="20"/>
          <w:szCs w:val="20"/>
          <w:vertAlign w:val="superscript"/>
          <w:lang w:val="ru-RU"/>
        </w:rPr>
        <w:t>2</w:t>
      </w:r>
      <w:r w:rsidRPr="00AA3561">
        <w:rPr>
          <w:rFonts w:ascii="Times New Roman" w:eastAsia="Times New Roman" w:hAnsi="Times New Roman" w:cs="Times New Roman"/>
          <w:color w:val="000000"/>
          <w:sz w:val="20"/>
          <w:szCs w:val="20"/>
          <w:lang w:val="ru-RU"/>
        </w:rPr>
        <w:t xml:space="preserve">) </w:t>
      </w:r>
      <w:r w:rsidRPr="00AA3561">
        <w:rPr>
          <w:rFonts w:ascii="Times New Roman" w:eastAsia="Times New Roman" w:hAnsi="Times New Roman" w:cs="Times New Roman"/>
          <w:color w:val="000000"/>
          <w:sz w:val="20"/>
          <w:szCs w:val="20"/>
          <w:lang w:eastAsia="bg-BG"/>
        </w:rPr>
        <w:t>(вж. точки 4.5 и 5.1).</w:t>
      </w:r>
    </w:p>
    <w:p w14:paraId="00091F50" w14:textId="474B3539" w:rsidR="00AA3561" w:rsidRPr="00AA3561" w:rsidRDefault="00AA3561" w:rsidP="00AA3561">
      <w:pPr>
        <w:pStyle w:val="ListParagraph"/>
        <w:numPr>
          <w:ilvl w:val="0"/>
          <w:numId w:val="38"/>
        </w:numPr>
        <w:spacing w:line="240" w:lineRule="auto"/>
        <w:rPr>
          <w:rFonts w:ascii="Times New Roman" w:eastAsia="Times New Roman" w:hAnsi="Times New Roman" w:cs="Times New Roman"/>
          <w:sz w:val="24"/>
          <w:szCs w:val="24"/>
        </w:rPr>
      </w:pPr>
      <w:r w:rsidRPr="00AA3561">
        <w:rPr>
          <w:rFonts w:ascii="Times New Roman" w:eastAsia="Times New Roman" w:hAnsi="Times New Roman" w:cs="Times New Roman"/>
          <w:color w:val="000000"/>
          <w:sz w:val="20"/>
          <w:szCs w:val="20"/>
          <w:lang w:eastAsia="bg-BG"/>
        </w:rPr>
        <w:t>Съпътстваща употреба при терапия със сакубитрил/валсартан. Еналаприл не трябва да се започва по-рано от 36 часа след последната доза сакубитрил/валсартан (вж. също точки 4.4 и 4.5)</w:t>
      </w:r>
    </w:p>
    <w:p w14:paraId="33754077" w14:textId="77777777" w:rsidR="00AA3561" w:rsidRPr="00AA3561" w:rsidRDefault="00AA3561" w:rsidP="00AA3561"/>
    <w:p w14:paraId="76DC8E58" w14:textId="2B45AE04" w:rsidR="00DB32D3" w:rsidRDefault="002C50EE" w:rsidP="005726E3">
      <w:pPr>
        <w:pStyle w:val="Heading2"/>
      </w:pPr>
      <w:r>
        <w:t>4.4. Специални предупреждения и предпазни мерки при употреба</w:t>
      </w:r>
    </w:p>
    <w:p w14:paraId="2B3186AD" w14:textId="26086FAB" w:rsidR="00AA3561" w:rsidRDefault="00AA3561" w:rsidP="00AA3561"/>
    <w:p w14:paraId="0161C899" w14:textId="77777777"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Симптоматична хипотония</w:t>
      </w:r>
    </w:p>
    <w:p w14:paraId="2C7BFAA2" w14:textId="77777777" w:rsidR="00AA3561" w:rsidRPr="00AA3561" w:rsidRDefault="00AA3561" w:rsidP="00AA3561">
      <w:pPr>
        <w:rPr>
          <w:rFonts w:eastAsia="Times New Roman" w:cs="Arial"/>
        </w:rPr>
      </w:pPr>
      <w:r w:rsidRPr="00AA3561">
        <w:rPr>
          <w:rFonts w:eastAsia="Times New Roman" w:cs="Arial"/>
          <w:color w:val="000000"/>
          <w:lang w:eastAsia="bg-BG"/>
        </w:rPr>
        <w:t>Симптоматична хипотония се наблюдава рядко при пациенти с неусложнена форма на хипертония. По-голяма е вероятността за развитие на симптоматична хипотония при хипертоници получаващи еналаприл, които имат обемен дефицит, напр. при диуретична терапия, диета с ограничение на готварската сол, диализа, диария или повръщане (вж. точки 4.5 и 4.8). Симптоматична хипотония е наблюдавана при пациенти със сърдечна недостатъчност със или без бъбречна недостатъчност</w:t>
      </w:r>
      <w:r w:rsidRPr="00AA3561">
        <w:rPr>
          <w:rFonts w:eastAsia="Times New Roman" w:cs="Arial"/>
          <w:color w:val="000000"/>
          <w:u w:val="single"/>
          <w:lang w:eastAsia="bg-BG"/>
        </w:rPr>
        <w:t>. По</w:t>
      </w:r>
      <w:r w:rsidRPr="00AA3561">
        <w:rPr>
          <w:rFonts w:eastAsia="Times New Roman" w:cs="Arial"/>
          <w:color w:val="000000"/>
          <w:lang w:eastAsia="bg-BG"/>
        </w:rPr>
        <w:t>- вероятно е тя да се появи при пациенти с по-тежка степен на сърдечна недостатъчност, както и да бъде обусловена от високи дози бримкови диуретици, хипонатриемия или функпионално бъбречно увреждане. Поради риск от внезапен рязък спад на артериалното налягане при тези групи пациенти, терапията трябва да започне под лекарско наблюдение и пациентите трябва да бъдат проследявани внимателно при промяна в дозата на еналаприл и/или на диуретика.</w:t>
      </w:r>
    </w:p>
    <w:p w14:paraId="2B4AF41E"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Същото трябва да се има предвид и при пациенти страдащи от исхемична болест на сърцето или мозъчно-съдова болест, при които резкият спад на артериалното налягане може да доведе до инфаркт на миокарда или до мозъчно-съдов инцидент.</w:t>
      </w:r>
    </w:p>
    <w:p w14:paraId="4F6C7698" w14:textId="77777777" w:rsidR="00AA3561" w:rsidRPr="00AA3561" w:rsidRDefault="00AA3561" w:rsidP="00AA3561">
      <w:pPr>
        <w:spacing w:line="240" w:lineRule="auto"/>
        <w:rPr>
          <w:rFonts w:eastAsia="Times New Roman" w:cs="Arial"/>
          <w:color w:val="000000"/>
          <w:lang w:eastAsia="bg-BG"/>
        </w:rPr>
      </w:pPr>
    </w:p>
    <w:p w14:paraId="7583DF83" w14:textId="11A3AE90" w:rsidR="00AA3561" w:rsidRPr="00AA3561" w:rsidRDefault="00AA3561" w:rsidP="00AA3561">
      <w:pPr>
        <w:spacing w:line="240" w:lineRule="auto"/>
        <w:rPr>
          <w:rFonts w:eastAsia="Times New Roman" w:cs="Arial"/>
        </w:rPr>
      </w:pPr>
      <w:r w:rsidRPr="00AA3561">
        <w:rPr>
          <w:rFonts w:eastAsia="Times New Roman" w:cs="Arial"/>
          <w:color w:val="000000"/>
          <w:lang w:eastAsia="bg-BG"/>
        </w:rPr>
        <w:t>В случай на поява на рязък спад на кръвното налягане е необходимо пациентът да се постави в хоризонтално положение и при нужда да се приложи интравенозно физиологичен разтвор. Преходна хипотонична реакция не е противопоказание за продължаване на лечението с еналаприл в адекватна доза след възстановяване на обема и нормализиране на кръвното налягане.</w:t>
      </w:r>
    </w:p>
    <w:p w14:paraId="3C2FBCF9" w14:textId="77777777" w:rsidR="00AA3561" w:rsidRPr="00AA3561" w:rsidRDefault="00AA3561" w:rsidP="00AA3561">
      <w:pPr>
        <w:spacing w:line="240" w:lineRule="auto"/>
        <w:rPr>
          <w:rFonts w:eastAsia="Times New Roman" w:cs="Arial"/>
          <w:color w:val="000000"/>
          <w:lang w:eastAsia="bg-BG"/>
        </w:rPr>
      </w:pPr>
    </w:p>
    <w:p w14:paraId="5F22A2C4" w14:textId="0F0E8C79" w:rsidR="00AA3561" w:rsidRPr="00AA3561" w:rsidRDefault="00AA3561" w:rsidP="00AA3561">
      <w:pPr>
        <w:spacing w:line="240" w:lineRule="auto"/>
        <w:rPr>
          <w:rFonts w:eastAsia="Times New Roman" w:cs="Arial"/>
        </w:rPr>
      </w:pPr>
      <w:r w:rsidRPr="00AA3561">
        <w:rPr>
          <w:rFonts w:eastAsia="Times New Roman" w:cs="Arial"/>
          <w:color w:val="000000"/>
          <w:lang w:eastAsia="bg-BG"/>
        </w:rPr>
        <w:t>При някои пациенти със сърдечна недостатъчност, които имат нормално или ниско кръвно налягане, може да настъпи допълнително понижаване на кръвното налягане при употреба на еналаприл. Този ефект е очакван и обикновено не става причина за прекъсване на лечението. Ако хипотонията стане симптоматична може да се наложи редуциране на дозата и/или спиране на диуретика и/или на еналаприл.</w:t>
      </w:r>
    </w:p>
    <w:p w14:paraId="71C6FC5B" w14:textId="77777777" w:rsidR="00AA3561" w:rsidRPr="00AA3561" w:rsidRDefault="00AA3561" w:rsidP="00AA3561">
      <w:pPr>
        <w:spacing w:line="240" w:lineRule="auto"/>
        <w:rPr>
          <w:rFonts w:eastAsia="Times New Roman" w:cs="Arial"/>
          <w:color w:val="000000"/>
          <w:u w:val="single"/>
          <w:lang w:eastAsia="bg-BG"/>
        </w:rPr>
      </w:pPr>
    </w:p>
    <w:p w14:paraId="4ECB34E9" w14:textId="3DC96225"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Аортна стеноза/Хипертрофична кардиомиопатия</w:t>
      </w:r>
    </w:p>
    <w:p w14:paraId="64B9A436" w14:textId="341FA9FF" w:rsidR="00AA3561" w:rsidRPr="00AA3561" w:rsidRDefault="00AA3561" w:rsidP="00AA3561">
      <w:pPr>
        <w:spacing w:line="240" w:lineRule="auto"/>
        <w:rPr>
          <w:rFonts w:eastAsia="Times New Roman" w:cs="Arial"/>
        </w:rPr>
      </w:pPr>
      <w:r w:rsidRPr="00AA3561">
        <w:rPr>
          <w:rFonts w:eastAsia="Times New Roman" w:cs="Arial"/>
          <w:color w:val="000000"/>
          <w:lang w:eastAsia="bg-BG"/>
        </w:rPr>
        <w:t>Както всички вазодилататори, АСЕ-инхибиторите трябва да се използват внимателно при пациенти с обструкция на клапния и изходния кръвоток на лява камера, като не е желателно тяхното приложение при кардиогенен шок и при хемодинамично значима обструкция.</w:t>
      </w:r>
    </w:p>
    <w:p w14:paraId="278902BF" w14:textId="77777777" w:rsidR="00AA3561" w:rsidRPr="00AA3561" w:rsidRDefault="00AA3561" w:rsidP="00AA3561">
      <w:pPr>
        <w:spacing w:line="240" w:lineRule="auto"/>
        <w:rPr>
          <w:rFonts w:eastAsia="Times New Roman" w:cs="Arial"/>
          <w:color w:val="000000"/>
          <w:u w:val="single"/>
          <w:lang w:eastAsia="bg-BG"/>
        </w:rPr>
      </w:pPr>
    </w:p>
    <w:p w14:paraId="40DD9617" w14:textId="79CC23DE"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Увреждане на бъбречната функция</w:t>
      </w:r>
    </w:p>
    <w:p w14:paraId="0FD3CE78"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В случаи на бъбречно увреждане (креатининов клирънс &lt; 80 </w:t>
      </w:r>
      <w:r w:rsidRPr="00AA3561">
        <w:rPr>
          <w:rFonts w:eastAsia="Times New Roman" w:cs="Arial"/>
          <w:color w:val="000000"/>
          <w:lang w:val="en-US"/>
        </w:rPr>
        <w:t>ml</w:t>
      </w:r>
      <w:r w:rsidRPr="00AA3561">
        <w:rPr>
          <w:rFonts w:eastAsia="Times New Roman" w:cs="Arial"/>
          <w:color w:val="000000"/>
          <w:lang w:val="ru-RU"/>
        </w:rPr>
        <w:t>/</w:t>
      </w:r>
      <w:r w:rsidRPr="00AA3561">
        <w:rPr>
          <w:rFonts w:eastAsia="Times New Roman" w:cs="Arial"/>
          <w:color w:val="000000"/>
          <w:lang w:val="en-US"/>
        </w:rPr>
        <w:t>min</w:t>
      </w:r>
      <w:r w:rsidRPr="00AA3561">
        <w:rPr>
          <w:rFonts w:eastAsia="Times New Roman" w:cs="Arial"/>
          <w:color w:val="000000"/>
          <w:lang w:val="ru-RU"/>
        </w:rPr>
        <w:t xml:space="preserve">) </w:t>
      </w:r>
      <w:r w:rsidRPr="00AA3561">
        <w:rPr>
          <w:rFonts w:eastAsia="Times New Roman" w:cs="Arial"/>
          <w:color w:val="000000"/>
          <w:lang w:eastAsia="bg-BG"/>
        </w:rPr>
        <w:t>началната доза на еналаприл трябва да бъде коригирана съгласно креатининовия клирънс на пациента (вж. точка 4.2) и след това според индивидуалния отговор на пациента към лечението. При тези пациенти е нормална практика да бъдат редовно проследявани калият и креатининът.</w:t>
      </w:r>
    </w:p>
    <w:p w14:paraId="4D492AD9" w14:textId="77777777" w:rsidR="00AA3561" w:rsidRPr="00AA3561" w:rsidRDefault="00AA3561" w:rsidP="00AA3561">
      <w:pPr>
        <w:spacing w:line="240" w:lineRule="auto"/>
        <w:rPr>
          <w:rFonts w:eastAsia="Times New Roman" w:cs="Arial"/>
          <w:color w:val="000000"/>
          <w:lang w:eastAsia="bg-BG"/>
        </w:rPr>
      </w:pPr>
    </w:p>
    <w:p w14:paraId="41D857D3" w14:textId="77777777" w:rsidR="00AA3561" w:rsidRPr="00AA3561" w:rsidRDefault="00AA3561" w:rsidP="00AA3561">
      <w:pPr>
        <w:spacing w:line="240" w:lineRule="auto"/>
        <w:rPr>
          <w:rFonts w:eastAsia="Times New Roman" w:cs="Arial"/>
          <w:color w:val="000000"/>
          <w:lang w:eastAsia="bg-BG"/>
        </w:rPr>
      </w:pPr>
      <w:r w:rsidRPr="00AA3561">
        <w:rPr>
          <w:rFonts w:eastAsia="Times New Roman" w:cs="Arial"/>
          <w:color w:val="000000"/>
          <w:lang w:eastAsia="bg-BG"/>
        </w:rPr>
        <w:t xml:space="preserve">Има съобщения за бъбречна недостатъчност при употребата на еналаприл, главно при пациенти с тежка </w:t>
      </w:r>
    </w:p>
    <w:p w14:paraId="68F211A6" w14:textId="77777777" w:rsidR="00AA3561" w:rsidRPr="00AA3561" w:rsidRDefault="00AA3561" w:rsidP="00AA3561">
      <w:pPr>
        <w:spacing w:line="240" w:lineRule="auto"/>
        <w:rPr>
          <w:rFonts w:eastAsia="Times New Roman" w:cs="Arial"/>
          <w:color w:val="000000"/>
          <w:lang w:eastAsia="bg-BG"/>
        </w:rPr>
      </w:pPr>
      <w:r w:rsidRPr="00AA3561">
        <w:rPr>
          <w:rFonts w:eastAsia="Times New Roman" w:cs="Arial"/>
          <w:color w:val="000000"/>
          <w:lang w:eastAsia="bg-BG"/>
        </w:rPr>
        <w:t xml:space="preserve">сърдечна недостатъчност или подлежащо бъбречно заболяване, включително стеноза на бъбречна артерия. </w:t>
      </w:r>
    </w:p>
    <w:p w14:paraId="4BA48A77" w14:textId="0CC31FA9" w:rsidR="00AA3561" w:rsidRPr="00AA3561" w:rsidRDefault="00AA3561" w:rsidP="00AA3561">
      <w:pPr>
        <w:spacing w:line="240" w:lineRule="auto"/>
        <w:rPr>
          <w:rFonts w:eastAsia="Times New Roman" w:cs="Arial"/>
        </w:rPr>
      </w:pPr>
      <w:r w:rsidRPr="00AA3561">
        <w:rPr>
          <w:rFonts w:eastAsia="Times New Roman" w:cs="Arial"/>
          <w:color w:val="000000"/>
          <w:lang w:eastAsia="bg-BG"/>
        </w:rPr>
        <w:lastRenderedPageBreak/>
        <w:t>Ако се разпознае навреме и се лекува подходящо, бъбречната недостатъчност, свързана с приложение на еналаприл, обикновено е обратима.</w:t>
      </w:r>
    </w:p>
    <w:p w14:paraId="51A25A0D" w14:textId="77777777" w:rsidR="00AA3561" w:rsidRPr="00AA3561" w:rsidRDefault="00AA3561" w:rsidP="00AA3561">
      <w:pPr>
        <w:spacing w:line="240" w:lineRule="auto"/>
        <w:rPr>
          <w:rFonts w:eastAsia="Times New Roman" w:cs="Arial"/>
          <w:color w:val="000000"/>
          <w:lang w:eastAsia="bg-BG"/>
        </w:rPr>
      </w:pPr>
    </w:p>
    <w:p w14:paraId="0260CBE7" w14:textId="34A24E4B" w:rsidR="00AA3561" w:rsidRPr="00AA3561" w:rsidRDefault="00AA3561" w:rsidP="00AA3561">
      <w:pPr>
        <w:spacing w:line="240" w:lineRule="auto"/>
        <w:rPr>
          <w:rFonts w:eastAsia="Times New Roman" w:cs="Arial"/>
        </w:rPr>
      </w:pPr>
      <w:r w:rsidRPr="00AA3561">
        <w:rPr>
          <w:rFonts w:eastAsia="Times New Roman" w:cs="Arial"/>
          <w:color w:val="000000"/>
          <w:lang w:eastAsia="bg-BG"/>
        </w:rPr>
        <w:t>Възможно е повишение на кръвната урея и креатинина в кръвта при хипертоницн с предшестващо, но неизявено бъбречно увреждане, което се среща по-често, ако еналаприл се прилага съвместно с диуретик. При тези пациенти е възможно да се наложи понижаване на дозата на еналаприл и/или преустановяване на диуретичната терапия. Възможността да се наблюдава тази ситуация е по- висока при неизявена стеноза на бъбречната артерия (вж. точка 4.4, Реновазална хипертония).</w:t>
      </w:r>
    </w:p>
    <w:p w14:paraId="407260EB" w14:textId="77777777" w:rsidR="00AA3561" w:rsidRPr="00AA3561" w:rsidRDefault="00AA3561" w:rsidP="00AA3561">
      <w:pPr>
        <w:spacing w:line="240" w:lineRule="auto"/>
        <w:rPr>
          <w:rFonts w:eastAsia="Times New Roman" w:cs="Arial"/>
          <w:color w:val="000000"/>
          <w:u w:val="single"/>
          <w:lang w:eastAsia="bg-BG"/>
        </w:rPr>
      </w:pPr>
    </w:p>
    <w:p w14:paraId="567B1A22" w14:textId="5C659783"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Реновазална хипертония</w:t>
      </w:r>
    </w:p>
    <w:p w14:paraId="4BA6738E"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Съществува повишен риск от развитие на хипотония и бъбречна недостатъчност, когато пациенти с билатерална стеноза на бъбречните артерии или артериална стеноза на единствен функциониращ бъбрек се лекуват с АСЕ инхибитори. Загуба на бъбречната функция може да настъпи дори при минимални промени в серумния креатинин. При тези пациенти лечението трябва да започне под непосредствен лекарски контрол с ниски дози, внимателно титриране и проследяване на бъбречната функция.</w:t>
      </w:r>
    </w:p>
    <w:p w14:paraId="49FD87EF" w14:textId="77777777" w:rsidR="00AA3561" w:rsidRPr="00AA3561" w:rsidRDefault="00AA3561" w:rsidP="00AA3561">
      <w:pPr>
        <w:spacing w:line="240" w:lineRule="auto"/>
        <w:rPr>
          <w:rFonts w:eastAsia="Times New Roman" w:cs="Arial"/>
          <w:color w:val="000000"/>
          <w:u w:val="single"/>
          <w:lang w:eastAsia="bg-BG"/>
        </w:rPr>
      </w:pPr>
    </w:p>
    <w:p w14:paraId="4BABD9F7" w14:textId="7EFCF986"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Бъбречна трансплантация</w:t>
      </w:r>
    </w:p>
    <w:p w14:paraId="1AD5A83B" w14:textId="31A5C1A2" w:rsidR="00AA3561" w:rsidRPr="00AA3561" w:rsidRDefault="00AA3561" w:rsidP="00AA3561">
      <w:pPr>
        <w:spacing w:line="240" w:lineRule="auto"/>
        <w:rPr>
          <w:rFonts w:eastAsia="Times New Roman" w:cs="Arial"/>
          <w:color w:val="000000"/>
          <w:lang w:eastAsia="bg-BG"/>
        </w:rPr>
      </w:pPr>
      <w:r w:rsidRPr="00AA3561">
        <w:rPr>
          <w:rFonts w:eastAsia="Times New Roman" w:cs="Arial"/>
          <w:color w:val="000000"/>
          <w:lang w:eastAsia="bg-BG"/>
        </w:rPr>
        <w:t>Няма опит по отношение приложението на еналаприл при пациенти с неотдавнашна бъбречна трансплантация. По тази причина лечение с еналаприл не се препоръчва.</w:t>
      </w:r>
    </w:p>
    <w:p w14:paraId="3F023ED1" w14:textId="54309F08" w:rsidR="00AA3561" w:rsidRPr="00AA3561" w:rsidRDefault="00AA3561" w:rsidP="00AA3561">
      <w:pPr>
        <w:spacing w:line="240" w:lineRule="auto"/>
        <w:rPr>
          <w:rFonts w:eastAsia="Times New Roman" w:cs="Arial"/>
          <w:color w:val="000000"/>
          <w:lang w:eastAsia="bg-BG"/>
        </w:rPr>
      </w:pPr>
    </w:p>
    <w:p w14:paraId="792BBB74" w14:textId="77777777"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Чернодробна недостатъчност</w:t>
      </w:r>
    </w:p>
    <w:p w14:paraId="1DC351DF"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Рядко АСЕ инхибиторите са били свързани със синдром, който започва с холестатичен иктер и прогресира до фулминантна чернодробна некроза и (понякога) фатален изход. Механизмът на този синдром не е ясен. Пациентите получаващи АСЕ инхибитори, които развиват иктер или изразено повишение на чернодробните ензими, трябва да прекратят лечението с АСЕ инхибитора и след това тяхното състояние да бъде проследено от лекар.</w:t>
      </w:r>
    </w:p>
    <w:p w14:paraId="129B5D50" w14:textId="77777777" w:rsidR="00AA3561" w:rsidRPr="00AA3561" w:rsidRDefault="00AA3561" w:rsidP="00AA3561">
      <w:pPr>
        <w:spacing w:line="240" w:lineRule="auto"/>
        <w:rPr>
          <w:rFonts w:eastAsia="Times New Roman" w:cs="Arial"/>
          <w:color w:val="000000"/>
          <w:u w:val="single"/>
          <w:lang w:eastAsia="bg-BG"/>
        </w:rPr>
      </w:pPr>
    </w:p>
    <w:p w14:paraId="69288DE2" w14:textId="0E4F4875"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Неутропения/Агранулоцитоза</w:t>
      </w:r>
    </w:p>
    <w:p w14:paraId="53D807F1"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При пациенти, лекувани с АСЕ инхибитори, се съобщава за неутропения/агранулоцитоза, тромбоцитопения и анемия. При пациенти с нормална бъбречна функция и без други усложняващи фактори, неутропения се развива рядко. Еналаприл трябва да се прилага изключително внимателно при пациенти със съдова колагеноза, имуносупресивна терапия, лечение с алопуринол или прокаинамид, или комбинация от тези усложняващи фактори, особено при предварително съществуваща увредена бъбречна функция. Някои от тези пациенти развиват тежки инфекции, които в редки случаи не се повлияват от интензивно антибиотично лечение. Ако еналаприл се прилага на такива пациенти, препоръчва се периодично да се контролират нивата на белите кръвни клетки (левкоцитите), и пациентите трябва да бъдат уведомени, че следва да съобщават всяка проява на инфекция.</w:t>
      </w:r>
    </w:p>
    <w:p w14:paraId="53708BAE" w14:textId="77777777" w:rsidR="00AA3561" w:rsidRPr="00AA3561" w:rsidRDefault="00AA3561" w:rsidP="00AA3561">
      <w:pPr>
        <w:spacing w:line="240" w:lineRule="auto"/>
        <w:rPr>
          <w:rFonts w:eastAsia="Times New Roman" w:cs="Arial"/>
          <w:color w:val="000000"/>
          <w:u w:val="single"/>
          <w:lang w:eastAsia="bg-BG"/>
        </w:rPr>
      </w:pPr>
    </w:p>
    <w:p w14:paraId="21B59786" w14:textId="6D57915D"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Свръхчувствителност/Ангиоедем</w:t>
      </w:r>
    </w:p>
    <w:p w14:paraId="4E82A388"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Ангиоедем на лицето, крайниците, устните, езика, глотиса и/или ларинкса е наблюдаван при пациенти, лекувани с АСЕ инхибитори, в това число с еналаприл. Това може да се появи по всяко време на лечението. В тези случаи лечението се преустановява незабавно и се прилага подходяща терапия и проследяване до пълно изчезване на симптомите. Дори в случаите на ограничен оток само на езика, без респираторен дистрес, при пациентите може да се налага продължително наблюдение, тъй като лечението с антихистамини и коргикостероиди може да не е достатъчно.</w:t>
      </w:r>
    </w:p>
    <w:p w14:paraId="0D600BC7" w14:textId="77777777" w:rsidR="00AA3561" w:rsidRPr="00AA3561" w:rsidRDefault="00AA3561" w:rsidP="00AA3561">
      <w:pPr>
        <w:spacing w:line="240" w:lineRule="auto"/>
        <w:rPr>
          <w:rFonts w:eastAsia="Times New Roman" w:cs="Arial"/>
          <w:color w:val="000000"/>
          <w:lang w:eastAsia="bg-BG"/>
        </w:rPr>
      </w:pPr>
    </w:p>
    <w:p w14:paraId="04C8668F" w14:textId="1FAB6575" w:rsidR="00AA3561" w:rsidRPr="00AA3561" w:rsidRDefault="00AA3561" w:rsidP="00AA3561">
      <w:pPr>
        <w:spacing w:line="240" w:lineRule="auto"/>
        <w:rPr>
          <w:rFonts w:eastAsia="Times New Roman" w:cs="Arial"/>
        </w:rPr>
      </w:pPr>
      <w:r w:rsidRPr="00AA3561">
        <w:rPr>
          <w:rFonts w:eastAsia="Times New Roman" w:cs="Arial"/>
          <w:color w:val="000000"/>
          <w:lang w:eastAsia="bg-BG"/>
        </w:rPr>
        <w:t>Има съобщения за много редки фатални случаи на ангиоедем асоцииран с ларингеален едем или едем на езика. При пациентите със засягане на езика, глотиса или ларинкса има по-голяма вероятност от обструкция на дихателните пътища, особено при тези, които са претърпели оперативна белодробна интервенция.</w:t>
      </w:r>
    </w:p>
    <w:p w14:paraId="696BEE02" w14:textId="77777777" w:rsidR="00AA3561" w:rsidRPr="00AA3561" w:rsidRDefault="00AA3561" w:rsidP="00AA3561">
      <w:pPr>
        <w:spacing w:line="240" w:lineRule="auto"/>
        <w:rPr>
          <w:rFonts w:eastAsia="Times New Roman" w:cs="Arial"/>
          <w:color w:val="000000"/>
          <w:lang w:eastAsia="bg-BG"/>
        </w:rPr>
      </w:pPr>
    </w:p>
    <w:p w14:paraId="171340BC" w14:textId="38B095B4"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При оток с ангажиране на езика, глотиса или ларинкса е възможно да настъпи остра обструкция на дихателните пътища и в такива случаи е необходима незабавна терапия: подкожно прилагане на разтвор на адреналин разтвор 1:1 000 (0,3 до 0,5 </w:t>
      </w:r>
      <w:r w:rsidRPr="00AA3561">
        <w:rPr>
          <w:rFonts w:eastAsia="Times New Roman" w:cs="Arial"/>
          <w:color w:val="000000"/>
          <w:lang w:val="en-US"/>
        </w:rPr>
        <w:t>ml</w:t>
      </w:r>
      <w:r w:rsidRPr="00AA3561">
        <w:rPr>
          <w:rFonts w:eastAsia="Times New Roman" w:cs="Arial"/>
          <w:color w:val="000000"/>
          <w:lang w:val="ru-RU"/>
        </w:rPr>
        <w:t xml:space="preserve">) </w:t>
      </w:r>
      <w:r w:rsidRPr="00AA3561">
        <w:rPr>
          <w:rFonts w:eastAsia="Times New Roman" w:cs="Arial"/>
          <w:color w:val="000000"/>
          <w:lang w:eastAsia="bg-BG"/>
        </w:rPr>
        <w:t>и/или предприемане на необходимите мерки за освобождаване на дихателните пътища.</w:t>
      </w:r>
    </w:p>
    <w:p w14:paraId="6D178945" w14:textId="77777777" w:rsidR="00AA3561" w:rsidRPr="00AA3561" w:rsidRDefault="00AA3561" w:rsidP="00AA3561">
      <w:pPr>
        <w:spacing w:line="240" w:lineRule="auto"/>
        <w:rPr>
          <w:rFonts w:eastAsia="Times New Roman" w:cs="Arial"/>
          <w:color w:val="000000"/>
          <w:lang w:eastAsia="bg-BG"/>
        </w:rPr>
      </w:pPr>
    </w:p>
    <w:p w14:paraId="58A73C65" w14:textId="6C96B7D6" w:rsidR="00AA3561" w:rsidRPr="00AA3561" w:rsidRDefault="00AA3561" w:rsidP="00AA3561">
      <w:pPr>
        <w:spacing w:line="240" w:lineRule="auto"/>
        <w:rPr>
          <w:rFonts w:eastAsia="Times New Roman" w:cs="Arial"/>
        </w:rPr>
      </w:pPr>
      <w:r w:rsidRPr="00AA3561">
        <w:rPr>
          <w:rFonts w:eastAsia="Times New Roman" w:cs="Arial"/>
          <w:color w:val="000000"/>
          <w:lang w:eastAsia="bg-BG"/>
        </w:rPr>
        <w:t>Чернокожите пациенти са с повишен риск от развитие на ангиоедем при лечение с АСЕ инхибитори в сравнение с тези от бялата раса.</w:t>
      </w:r>
    </w:p>
    <w:p w14:paraId="277A5C0F" w14:textId="77777777" w:rsidR="00AA3561" w:rsidRPr="00AA3561" w:rsidRDefault="00AA3561" w:rsidP="00AA3561">
      <w:pPr>
        <w:spacing w:line="240" w:lineRule="auto"/>
        <w:rPr>
          <w:rFonts w:eastAsia="Times New Roman" w:cs="Arial"/>
          <w:color w:val="000000"/>
          <w:lang w:eastAsia="bg-BG"/>
        </w:rPr>
      </w:pPr>
    </w:p>
    <w:p w14:paraId="22C4CF33" w14:textId="3AFA1813" w:rsidR="00AA3561" w:rsidRPr="00AA3561" w:rsidRDefault="00AA3561" w:rsidP="00AA3561">
      <w:pPr>
        <w:spacing w:line="240" w:lineRule="auto"/>
        <w:rPr>
          <w:rFonts w:eastAsia="Times New Roman" w:cs="Arial"/>
        </w:rPr>
      </w:pPr>
      <w:r w:rsidRPr="00AA3561">
        <w:rPr>
          <w:rFonts w:eastAsia="Times New Roman" w:cs="Arial"/>
          <w:color w:val="000000"/>
          <w:lang w:eastAsia="bg-BG"/>
        </w:rPr>
        <w:t>Съществува повишен риск за развитие на ангионевротичен оток в хода на лечението с АСЕ инхибитор при пациенти с анамнеза за предхождащ ангиоедем от друг произход (вж. също точка 4.3).</w:t>
      </w:r>
    </w:p>
    <w:p w14:paraId="21998F7C" w14:textId="77777777" w:rsidR="00AA3561" w:rsidRPr="00AA3561" w:rsidRDefault="00AA3561" w:rsidP="00AA3561">
      <w:pPr>
        <w:spacing w:line="240" w:lineRule="auto"/>
        <w:rPr>
          <w:rFonts w:eastAsia="Times New Roman" w:cs="Arial"/>
          <w:color w:val="000000"/>
          <w:lang w:eastAsia="bg-BG"/>
        </w:rPr>
      </w:pPr>
    </w:p>
    <w:p w14:paraId="734DAF91" w14:textId="1C2A660C" w:rsidR="00AA3561" w:rsidRPr="00AA3561" w:rsidRDefault="00AA3561" w:rsidP="00AA3561">
      <w:pPr>
        <w:spacing w:line="240" w:lineRule="auto"/>
        <w:rPr>
          <w:rFonts w:eastAsia="Times New Roman" w:cs="Arial"/>
        </w:rPr>
      </w:pPr>
      <w:r w:rsidRPr="00AA3561">
        <w:rPr>
          <w:rFonts w:eastAsia="Times New Roman" w:cs="Arial"/>
          <w:color w:val="000000"/>
          <w:lang w:eastAsia="bg-BG"/>
        </w:rPr>
        <w:t>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еналаприл. Лечение с еналаприл не трябва да се започва по-рано от 36 часа след последната доза сакубитрил/валсартан (вж. точки 4.3 и 4.5).</w:t>
      </w:r>
    </w:p>
    <w:p w14:paraId="0FD3017F" w14:textId="77777777" w:rsidR="00AA3561" w:rsidRPr="00AA3561" w:rsidRDefault="00AA3561" w:rsidP="00AA3561">
      <w:pPr>
        <w:spacing w:line="240" w:lineRule="auto"/>
        <w:rPr>
          <w:rFonts w:eastAsia="Times New Roman" w:cs="Arial"/>
          <w:color w:val="000000"/>
          <w:lang w:eastAsia="bg-BG"/>
        </w:rPr>
      </w:pPr>
    </w:p>
    <w:p w14:paraId="28ABEC78" w14:textId="77777777" w:rsidR="00AA3561" w:rsidRPr="00AA3561" w:rsidRDefault="00AA3561" w:rsidP="00AA3561">
      <w:pPr>
        <w:rPr>
          <w:rFonts w:eastAsia="Times New Roman" w:cs="Arial"/>
        </w:rPr>
      </w:pPr>
      <w:r w:rsidRPr="00AA3561">
        <w:rPr>
          <w:rFonts w:eastAsia="Times New Roman" w:cs="Arial"/>
          <w:color w:val="000000"/>
          <w:lang w:eastAsia="bg-BG"/>
        </w:rPr>
        <w:t xml:space="preserve">Съпътстващата употреба на АСЕ инхибитори с рацекадотрил, </w:t>
      </w:r>
      <w:proofErr w:type="spellStart"/>
      <w:r w:rsidRPr="00AA3561">
        <w:rPr>
          <w:rFonts w:eastAsia="Times New Roman" w:cs="Arial"/>
          <w:color w:val="000000"/>
          <w:lang w:val="en-US"/>
        </w:rPr>
        <w:t>mTOR</w:t>
      </w:r>
      <w:proofErr w:type="spellEnd"/>
      <w:r w:rsidRPr="00AA3561">
        <w:rPr>
          <w:rFonts w:eastAsia="Times New Roman" w:cs="Arial"/>
          <w:color w:val="000000"/>
          <w:lang w:val="ru-RU"/>
        </w:rPr>
        <w:t xml:space="preserve"> </w:t>
      </w:r>
      <w:r w:rsidRPr="00AA3561">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от ангиоедем (напр. оток на дихателните пътища или езика, със или без нарушение на дишането (вж. точка 4.5). Необходимо е да се подходи с повишено внимание, когато се започва лечение с рацекадотрил, </w:t>
      </w:r>
      <w:proofErr w:type="spellStart"/>
      <w:r w:rsidRPr="00AA3561">
        <w:rPr>
          <w:rFonts w:eastAsia="Times New Roman" w:cs="Arial"/>
          <w:color w:val="000000"/>
          <w:lang w:val="en-US"/>
        </w:rPr>
        <w:t>mTOR</w:t>
      </w:r>
      <w:proofErr w:type="spellEnd"/>
      <w:r w:rsidRPr="00AA3561">
        <w:rPr>
          <w:rFonts w:eastAsia="Times New Roman" w:cs="Arial"/>
          <w:color w:val="000000"/>
          <w:lang w:val="ru-RU"/>
        </w:rPr>
        <w:t xml:space="preserve"> </w:t>
      </w:r>
      <w:r w:rsidRPr="00AA3561">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5D1AE372" w14:textId="77777777" w:rsidR="00AA3561" w:rsidRPr="00AA3561" w:rsidRDefault="00AA3561" w:rsidP="00AA3561">
      <w:pPr>
        <w:spacing w:line="240" w:lineRule="auto"/>
        <w:rPr>
          <w:rFonts w:eastAsia="Times New Roman" w:cs="Arial"/>
          <w:color w:val="000000"/>
          <w:u w:val="single"/>
          <w:lang w:eastAsia="bg-BG"/>
        </w:rPr>
      </w:pPr>
    </w:p>
    <w:p w14:paraId="669B92DB" w14:textId="5DB0A79C"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Анафилактоидни реакции при десенсибилизация</w:t>
      </w:r>
    </w:p>
    <w:p w14:paraId="795DBE89"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Рядко при пациенти получаващи АСЕ инхибитори по време на десенсибилизираща терапия с отрова от </w:t>
      </w:r>
      <w:r w:rsidRPr="00AA3561">
        <w:rPr>
          <w:rFonts w:eastAsia="Times New Roman" w:cs="Arial"/>
          <w:color w:val="000000"/>
          <w:lang w:val="en-US"/>
        </w:rPr>
        <w:t>hymenoptera</w:t>
      </w:r>
      <w:r w:rsidRPr="00AA3561">
        <w:rPr>
          <w:rFonts w:eastAsia="Times New Roman" w:cs="Arial"/>
          <w:color w:val="000000"/>
          <w:lang w:val="ru-RU"/>
        </w:rPr>
        <w:t xml:space="preserve"> </w:t>
      </w:r>
      <w:r w:rsidRPr="00AA3561">
        <w:rPr>
          <w:rFonts w:eastAsia="Times New Roman" w:cs="Arial"/>
          <w:color w:val="000000"/>
          <w:lang w:eastAsia="bg-BG"/>
        </w:rPr>
        <w:t>могат да се развият животозастрашаващи анафилактоидни реакции. Тези реакции могат да бъдат избегнати, като терапията с АСЕ инхибитори временно се прекрати преди всяка десенсибилизация.</w:t>
      </w:r>
    </w:p>
    <w:p w14:paraId="37AD9714" w14:textId="77777777" w:rsidR="00AA3561" w:rsidRPr="00AA3561" w:rsidRDefault="00AA3561" w:rsidP="00AA3561">
      <w:pPr>
        <w:spacing w:line="240" w:lineRule="auto"/>
        <w:rPr>
          <w:rFonts w:eastAsia="Times New Roman" w:cs="Arial"/>
          <w:color w:val="000000"/>
          <w:u w:val="single"/>
          <w:lang w:eastAsia="bg-BG"/>
        </w:rPr>
      </w:pPr>
    </w:p>
    <w:p w14:paraId="1C638BF4" w14:textId="6B9469D9"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 xml:space="preserve">Анафилактоидни реакции по време на </w:t>
      </w:r>
      <w:r w:rsidRPr="00AA3561">
        <w:rPr>
          <w:rFonts w:eastAsia="Times New Roman" w:cs="Arial"/>
          <w:color w:val="000000"/>
          <w:u w:val="single"/>
          <w:lang w:val="en-US"/>
        </w:rPr>
        <w:t>LDL</w:t>
      </w:r>
      <w:r w:rsidRPr="00AA3561">
        <w:rPr>
          <w:rFonts w:eastAsia="Times New Roman" w:cs="Arial"/>
          <w:color w:val="000000"/>
          <w:u w:val="single"/>
          <w:lang w:eastAsia="bg-BG"/>
        </w:rPr>
        <w:t>-афереза</w:t>
      </w:r>
    </w:p>
    <w:p w14:paraId="31FCBE9F"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Рядко, пациенти, лекувани с АСЕ инхибитори, получават животозастрашаващи анафилактоидни реакции по време на </w:t>
      </w:r>
      <w:r w:rsidRPr="00AA3561">
        <w:rPr>
          <w:rFonts w:eastAsia="Times New Roman" w:cs="Arial"/>
          <w:color w:val="000000"/>
          <w:lang w:val="en-US"/>
        </w:rPr>
        <w:t>LDL</w:t>
      </w:r>
      <w:r w:rsidRPr="00AA3561">
        <w:rPr>
          <w:rFonts w:eastAsia="Times New Roman" w:cs="Arial"/>
          <w:color w:val="000000"/>
          <w:lang w:val="ru-RU"/>
        </w:rPr>
        <w:t xml:space="preserve"> (</w:t>
      </w:r>
      <w:r w:rsidRPr="00AA3561">
        <w:rPr>
          <w:rFonts w:eastAsia="Times New Roman" w:cs="Arial"/>
          <w:color w:val="000000"/>
          <w:lang w:val="en-US"/>
        </w:rPr>
        <w:t>Low</w:t>
      </w:r>
      <w:r w:rsidRPr="00AA3561">
        <w:rPr>
          <w:rFonts w:eastAsia="Times New Roman" w:cs="Arial"/>
          <w:color w:val="000000"/>
          <w:lang w:val="ru-RU"/>
        </w:rPr>
        <w:t xml:space="preserve"> </w:t>
      </w:r>
      <w:r w:rsidRPr="00AA3561">
        <w:rPr>
          <w:rFonts w:eastAsia="Times New Roman" w:cs="Arial"/>
          <w:color w:val="000000"/>
          <w:lang w:val="en-US"/>
        </w:rPr>
        <w:t>Density</w:t>
      </w:r>
      <w:r w:rsidRPr="00AA3561">
        <w:rPr>
          <w:rFonts w:eastAsia="Times New Roman" w:cs="Arial"/>
          <w:color w:val="000000"/>
          <w:lang w:val="ru-RU"/>
        </w:rPr>
        <w:t xml:space="preserve"> </w:t>
      </w:r>
      <w:r w:rsidRPr="00AA3561">
        <w:rPr>
          <w:rFonts w:eastAsia="Times New Roman" w:cs="Arial"/>
          <w:color w:val="000000"/>
          <w:lang w:val="en-US"/>
        </w:rPr>
        <w:t>Lipoproteins</w:t>
      </w:r>
      <w:r w:rsidRPr="00AA3561">
        <w:rPr>
          <w:rFonts w:eastAsia="Times New Roman" w:cs="Arial"/>
          <w:color w:val="000000"/>
          <w:lang w:val="ru-RU"/>
        </w:rPr>
        <w:t xml:space="preserve"> </w:t>
      </w:r>
      <w:r w:rsidRPr="00AA3561">
        <w:rPr>
          <w:rFonts w:eastAsia="Times New Roman" w:cs="Arial"/>
          <w:color w:val="000000"/>
          <w:lang w:eastAsia="bg-BG"/>
        </w:rPr>
        <w:t>- липопротеини с ниска плътност) афереза с декстран сулфат. Тези реакции се избягват чрез временно прекъсване терапията с АСЕ инхибитори преди всяка афереза.</w:t>
      </w:r>
    </w:p>
    <w:p w14:paraId="51DDCC58" w14:textId="77777777" w:rsidR="00AA3561" w:rsidRPr="00AA3561" w:rsidRDefault="00AA3561" w:rsidP="00AA3561">
      <w:pPr>
        <w:spacing w:line="240" w:lineRule="auto"/>
        <w:rPr>
          <w:rFonts w:eastAsia="Times New Roman" w:cs="Arial"/>
          <w:color w:val="000000"/>
          <w:u w:val="single"/>
          <w:lang w:eastAsia="bg-BG"/>
        </w:rPr>
      </w:pPr>
    </w:p>
    <w:p w14:paraId="4829AF54" w14:textId="1989ADD0"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Пациенти на хемодиализа</w:t>
      </w:r>
    </w:p>
    <w:p w14:paraId="023813FE"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Анафилактоидни реакции са наблюдавани при пациенти, подложени на диализа с високо- пропускливи мембрани (напр. </w:t>
      </w:r>
      <w:proofErr w:type="gramStart"/>
      <w:r w:rsidRPr="00AA3561">
        <w:rPr>
          <w:rFonts w:eastAsia="Times New Roman" w:cs="Arial"/>
          <w:color w:val="000000"/>
          <w:lang w:val="en-US"/>
        </w:rPr>
        <w:t>AN</w:t>
      </w:r>
      <w:proofErr w:type="gramEnd"/>
      <w:r w:rsidRPr="00AA3561">
        <w:rPr>
          <w:rFonts w:eastAsia="Times New Roman" w:cs="Arial"/>
          <w:color w:val="000000"/>
          <w:lang w:val="ru-RU"/>
        </w:rPr>
        <w:t xml:space="preserve"> </w:t>
      </w:r>
      <w:r w:rsidRPr="00AA3561">
        <w:rPr>
          <w:rFonts w:eastAsia="Times New Roman" w:cs="Arial"/>
          <w:color w:val="000000"/>
          <w:lang w:eastAsia="bg-BG"/>
        </w:rPr>
        <w:t>69) и лекувани едновременно с АСЕ инхибитори. При тези пациенти би трябвало да се обсъди използването на друг вид диализни мембрани или на друг клас антихипертензивни средства.</w:t>
      </w:r>
    </w:p>
    <w:p w14:paraId="0BC98719" w14:textId="77777777" w:rsidR="00AA3561" w:rsidRPr="00AA3561" w:rsidRDefault="00AA3561" w:rsidP="00AA3561">
      <w:pPr>
        <w:spacing w:line="240" w:lineRule="auto"/>
        <w:rPr>
          <w:rFonts w:eastAsia="Times New Roman" w:cs="Arial"/>
          <w:color w:val="000000"/>
          <w:u w:val="single"/>
          <w:lang w:eastAsia="bg-BG"/>
        </w:rPr>
      </w:pPr>
    </w:p>
    <w:p w14:paraId="3C63AF05" w14:textId="44F52642"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Хипогликемия</w:t>
      </w:r>
    </w:p>
    <w:p w14:paraId="573E320D"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lastRenderedPageBreak/>
        <w:t>Пациентите с диабет, лекувани с перорални антидиабетни средства или инсулин, трябва да бъдат внимателно проследяване по отношение на гликемичния контрол през първия месец от комбинираната терапия с АСЕ инхибитор (вж. точка 4.5).</w:t>
      </w:r>
    </w:p>
    <w:p w14:paraId="25E791DD" w14:textId="77777777" w:rsidR="00AA3561" w:rsidRPr="00AA3561" w:rsidRDefault="00AA3561" w:rsidP="00AA3561">
      <w:pPr>
        <w:spacing w:line="240" w:lineRule="auto"/>
        <w:rPr>
          <w:rFonts w:eastAsia="Times New Roman" w:cs="Arial"/>
          <w:color w:val="000000"/>
          <w:u w:val="single"/>
          <w:lang w:eastAsia="bg-BG"/>
        </w:rPr>
      </w:pPr>
    </w:p>
    <w:p w14:paraId="08130866" w14:textId="4D508ABF"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Кашлица</w:t>
      </w:r>
    </w:p>
    <w:p w14:paraId="5D35E534"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При лечение с АСЕ инхибитори е възможна появата на кашлица. Характерно за кашлицата е, че тя е непродуктивна, продължителна и изчезва след преустановяване на лечението. Предизвиканата от АСЕ инхибитори кашлица трябва да се има предвид в диференциалната диагноза на кашлицата.</w:t>
      </w:r>
    </w:p>
    <w:p w14:paraId="302B8B15" w14:textId="77777777" w:rsidR="00AA3561" w:rsidRPr="00AA3561" w:rsidRDefault="00AA3561" w:rsidP="00AA3561">
      <w:pPr>
        <w:spacing w:line="240" w:lineRule="auto"/>
        <w:rPr>
          <w:rFonts w:eastAsia="Times New Roman" w:cs="Arial"/>
          <w:color w:val="000000"/>
          <w:u w:val="single"/>
          <w:lang w:eastAsia="bg-BG"/>
        </w:rPr>
      </w:pPr>
    </w:p>
    <w:p w14:paraId="77A6E5E9" w14:textId="3FD381E9"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Хирургия/Анестезия</w:t>
      </w:r>
    </w:p>
    <w:p w14:paraId="58CF1CAB"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Възможна е появата на хипотония при пациенти, подложени на големи хирургични интервенции и лекувани с еналаприл. Това се дължи на блокиране на вторичното образуване на ангиотензин II в отговор на компенсаторното освобождаване на ренин по време на големи хирургични операции и/или при използване на анестетици, които могат да предизвикат хипотония. При настъпила хипотония по този механизъм тя може да се коригира с възстановяване на обема.</w:t>
      </w:r>
    </w:p>
    <w:p w14:paraId="799535EC" w14:textId="77777777" w:rsidR="00AA3561" w:rsidRPr="00AA3561" w:rsidRDefault="00AA3561" w:rsidP="00AA3561">
      <w:pPr>
        <w:spacing w:line="240" w:lineRule="auto"/>
        <w:rPr>
          <w:rFonts w:eastAsia="Times New Roman" w:cs="Arial"/>
          <w:color w:val="000000"/>
          <w:u w:val="single"/>
          <w:lang w:eastAsia="bg-BG"/>
        </w:rPr>
      </w:pPr>
    </w:p>
    <w:p w14:paraId="1C8BC43C" w14:textId="11836A64"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Хиперкалиемия</w:t>
      </w:r>
    </w:p>
    <w:p w14:paraId="38F3EBCB"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АСЕ инхибиторите могат да предизвикат хиперкалиемия, тъй като инхибират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обаче и/или при пациенти, приемащи хранителни добавки, съдържащи калий (включително заместители на солта), калий-съхраняващи диуретици, триметоприм или ко-тримоксазол, известен също като триметоприм/сулфаметоксазол, и особено антагонисти на алдостерона или ангиотензин-рецепторни блокери, може да възникне хиперкалиемия. Калий-съхраняващите диуретици и ангиотензин-рецепторните блокери трябва да се прилагат внимателно при пациенти, приемащи АСЕ инхибитори, като серумният калий и бъбречната функция трябва да се проследяват (вж. точка 4.5).</w:t>
      </w:r>
    </w:p>
    <w:p w14:paraId="51907DAD" w14:textId="77777777" w:rsidR="00AA3561" w:rsidRPr="00AA3561" w:rsidRDefault="00AA3561" w:rsidP="00AA3561">
      <w:pPr>
        <w:spacing w:line="240" w:lineRule="auto"/>
        <w:rPr>
          <w:rFonts w:eastAsia="Times New Roman" w:cs="Arial"/>
          <w:color w:val="000000"/>
          <w:u w:val="single"/>
          <w:lang w:eastAsia="bg-BG"/>
        </w:rPr>
      </w:pPr>
    </w:p>
    <w:p w14:paraId="00A994DB" w14:textId="6C429664"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Литий</w:t>
      </w:r>
    </w:p>
    <w:p w14:paraId="6851DE34" w14:textId="04C03B54" w:rsidR="00AA3561" w:rsidRPr="00AA3561" w:rsidRDefault="00AA3561" w:rsidP="00AA3561">
      <w:pPr>
        <w:spacing w:line="240" w:lineRule="auto"/>
        <w:rPr>
          <w:rFonts w:eastAsia="Times New Roman" w:cs="Arial"/>
        </w:rPr>
      </w:pPr>
      <w:r w:rsidRPr="00AA3561">
        <w:rPr>
          <w:rFonts w:eastAsia="Times New Roman" w:cs="Arial"/>
          <w:color w:val="000000"/>
          <w:lang w:eastAsia="bg-BG"/>
        </w:rPr>
        <w:t>Комбинирането на литий и еналаприл по принцип не се препоръчва (вж. точка 4.5).</w:t>
      </w:r>
    </w:p>
    <w:p w14:paraId="1F595439" w14:textId="4100E2DA" w:rsidR="00AA3561" w:rsidRPr="00AA3561" w:rsidRDefault="00AA3561" w:rsidP="00AA3561">
      <w:pPr>
        <w:spacing w:line="240" w:lineRule="auto"/>
        <w:rPr>
          <w:rFonts w:eastAsia="Times New Roman" w:cs="Arial"/>
        </w:rPr>
      </w:pPr>
    </w:p>
    <w:p w14:paraId="615EF2FF" w14:textId="77777777"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Двойно блокиране на ренин-ангиотензин-алдостероновата система (РААС)</w:t>
      </w:r>
    </w:p>
    <w:p w14:paraId="129D0771"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Има данни, че едновременната употреба на АСЕ инхибитори, ангиотензин</w:t>
      </w:r>
      <w:r w:rsidRPr="00AA3561">
        <w:rPr>
          <w:rFonts w:eastAsia="Times New Roman" w:cs="Arial"/>
          <w:color w:val="000000"/>
          <w:lang w:val="ru-RU"/>
        </w:rPr>
        <w:t xml:space="preserve"> </w:t>
      </w:r>
      <w:r w:rsidRPr="00AA3561">
        <w:rPr>
          <w:rFonts w:eastAsia="Times New Roman" w:cs="Arial"/>
          <w:color w:val="000000"/>
          <w:lang w:val="en-US"/>
        </w:rPr>
        <w:t>II</w:t>
      </w:r>
      <w:r w:rsidRPr="00AA3561">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AA3561">
        <w:rPr>
          <w:rFonts w:eastAsia="Times New Roman" w:cs="Arial"/>
          <w:color w:val="000000"/>
          <w:lang w:val="en-US"/>
        </w:rPr>
        <w:t>II</w:t>
      </w:r>
      <w:r w:rsidRPr="00AA3561">
        <w:rPr>
          <w:rFonts w:eastAsia="Times New Roman" w:cs="Arial"/>
          <w:color w:val="000000"/>
          <w:lang w:eastAsia="bg-BG"/>
        </w:rPr>
        <w:t>-рецепторни блокери или алискирен (вж. точки 4.5 и 5.1).</w:t>
      </w:r>
    </w:p>
    <w:p w14:paraId="2D33359F"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209CD7C0"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АСЕ инхибитори и ангиотензин </w:t>
      </w:r>
      <w:r w:rsidRPr="00AA3561">
        <w:rPr>
          <w:rFonts w:eastAsia="Times New Roman" w:cs="Arial"/>
          <w:color w:val="000000"/>
          <w:lang w:val="en-US"/>
        </w:rPr>
        <w:t>II</w:t>
      </w:r>
      <w:r w:rsidRPr="00AA3561">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600330E3" w14:textId="77777777" w:rsidR="00AA3561" w:rsidRPr="00AA3561" w:rsidRDefault="00AA3561" w:rsidP="00AA3561">
      <w:pPr>
        <w:spacing w:line="240" w:lineRule="auto"/>
        <w:rPr>
          <w:rFonts w:eastAsia="Times New Roman" w:cs="Arial"/>
          <w:color w:val="000000"/>
          <w:u w:val="single"/>
          <w:lang w:eastAsia="bg-BG"/>
        </w:rPr>
      </w:pPr>
    </w:p>
    <w:p w14:paraId="3C0DA310" w14:textId="398FE2F9"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Педиатрична популация</w:t>
      </w:r>
    </w:p>
    <w:p w14:paraId="72356D22"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Има ограничен опит по отношение на ефективността и безопасността при приложение на деца с хипертония, на възраст &gt;6 години, и никакъв опит при останалите показания. Налични са ограничени фармакокинетични данни при деца на възраст над 2 месеца (вж. точки 4.2, 5.1 и 5.2). Не се препоръчва употребата на еналаприл при деца с диагнози различни от хипертония.</w:t>
      </w:r>
    </w:p>
    <w:p w14:paraId="06A8A6C5"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lastRenderedPageBreak/>
        <w:t xml:space="preserve">Еналаприл не се препоръчва при новородени и при педиатрични паиенти със степен на гломерулна филтрация &lt; 30 </w:t>
      </w:r>
      <w:r w:rsidRPr="00AA3561">
        <w:rPr>
          <w:rFonts w:eastAsia="Times New Roman" w:cs="Arial"/>
          <w:color w:val="000000"/>
          <w:lang w:val="en-US"/>
        </w:rPr>
        <w:t>ml</w:t>
      </w:r>
      <w:r w:rsidRPr="00AA3561">
        <w:rPr>
          <w:rFonts w:eastAsia="Times New Roman" w:cs="Arial"/>
          <w:color w:val="000000"/>
          <w:lang w:val="ru-RU"/>
        </w:rPr>
        <w:t>/</w:t>
      </w:r>
      <w:r w:rsidRPr="00AA3561">
        <w:rPr>
          <w:rFonts w:eastAsia="Times New Roman" w:cs="Arial"/>
          <w:color w:val="000000"/>
          <w:lang w:val="en-US"/>
        </w:rPr>
        <w:t>min</w:t>
      </w:r>
      <w:r w:rsidRPr="00AA3561">
        <w:rPr>
          <w:rFonts w:eastAsia="Times New Roman" w:cs="Arial"/>
          <w:color w:val="000000"/>
          <w:lang w:val="ru-RU"/>
        </w:rPr>
        <w:t xml:space="preserve">/1,73 </w:t>
      </w:r>
      <w:r w:rsidRPr="00AA3561">
        <w:rPr>
          <w:rFonts w:eastAsia="Times New Roman" w:cs="Arial"/>
          <w:color w:val="000000"/>
          <w:lang w:val="en-US"/>
        </w:rPr>
        <w:t>m</w:t>
      </w:r>
      <w:r w:rsidRPr="00AA3561">
        <w:rPr>
          <w:rFonts w:eastAsia="Times New Roman" w:cs="Arial"/>
          <w:color w:val="000000"/>
          <w:vertAlign w:val="superscript"/>
          <w:lang w:val="ru-RU"/>
        </w:rPr>
        <w:t>2</w:t>
      </w:r>
      <w:r w:rsidRPr="00AA3561">
        <w:rPr>
          <w:rFonts w:eastAsia="Times New Roman" w:cs="Arial"/>
          <w:color w:val="000000"/>
          <w:lang w:eastAsia="bg-BG"/>
        </w:rPr>
        <w:t>), поради липса на данни при тези групи пациенти (вж. точка 4.2).</w:t>
      </w:r>
    </w:p>
    <w:p w14:paraId="014826DE" w14:textId="77777777" w:rsidR="00AA3561" w:rsidRPr="00AA3561" w:rsidRDefault="00AA3561" w:rsidP="00AA3561">
      <w:pPr>
        <w:spacing w:line="240" w:lineRule="auto"/>
        <w:rPr>
          <w:rFonts w:eastAsia="Times New Roman" w:cs="Arial"/>
          <w:color w:val="000000"/>
          <w:u w:val="single"/>
          <w:lang w:eastAsia="bg-BG"/>
        </w:rPr>
      </w:pPr>
    </w:p>
    <w:p w14:paraId="0F1278F5" w14:textId="75776AC6"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Бременност</w:t>
      </w:r>
    </w:p>
    <w:p w14:paraId="52B71AFB"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Лечение с АСЕ инхибитори не трябва да се започва по време на бременност. Ако все пак терапията с АСЕ инхибитор се смята за наложителна, пациентките планиращи бременност трябва да преминат на друго алтернативно антихипертензивно лечение, което има установен профил на безопасност по време на бременност. Когато се установи бременност, лечението с АСЕ инхибитор трябва да се преустанови незабавно и ако е необходимо се започне алтернативно лечение (вж. точки 4.3 и 4.6).</w:t>
      </w:r>
    </w:p>
    <w:p w14:paraId="6E457FEA" w14:textId="77777777" w:rsidR="00AA3561" w:rsidRPr="00AA3561" w:rsidRDefault="00AA3561" w:rsidP="00AA3561">
      <w:pPr>
        <w:spacing w:line="240" w:lineRule="auto"/>
        <w:rPr>
          <w:rFonts w:eastAsia="Times New Roman" w:cs="Arial"/>
          <w:color w:val="000000"/>
          <w:u w:val="single"/>
          <w:lang w:eastAsia="bg-BG"/>
        </w:rPr>
      </w:pPr>
    </w:p>
    <w:p w14:paraId="5592F011" w14:textId="4807CCB8"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Етнически различия</w:t>
      </w:r>
    </w:p>
    <w:p w14:paraId="011090B3"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Както и останалите АСЕ инхибитори, еналаприл е по-слабо ефективен за понижаване на кръвното налягане при чернокожи пациенти в сравнение с останалите пациенти, най-вероятно поради високата честота на разпространение на ниско ренинова хипертония при чернокожите пациенти.</w:t>
      </w:r>
    </w:p>
    <w:p w14:paraId="4170786F" w14:textId="77777777" w:rsidR="00AA3561" w:rsidRPr="00AA3561" w:rsidRDefault="00AA3561" w:rsidP="00AA3561">
      <w:pPr>
        <w:spacing w:line="240" w:lineRule="auto"/>
        <w:rPr>
          <w:rFonts w:eastAsia="Times New Roman" w:cs="Arial"/>
          <w:color w:val="000000"/>
          <w:u w:val="single"/>
          <w:lang w:eastAsia="bg-BG"/>
        </w:rPr>
      </w:pPr>
    </w:p>
    <w:p w14:paraId="738BD24E" w14:textId="7B492DD7" w:rsidR="00AA3561" w:rsidRPr="00AA3561" w:rsidRDefault="00AA3561" w:rsidP="00AA3561">
      <w:pPr>
        <w:spacing w:line="240" w:lineRule="auto"/>
        <w:rPr>
          <w:rFonts w:eastAsia="Times New Roman" w:cs="Arial"/>
        </w:rPr>
      </w:pPr>
      <w:r w:rsidRPr="00AA3561">
        <w:rPr>
          <w:rFonts w:eastAsia="Times New Roman" w:cs="Arial"/>
          <w:color w:val="000000"/>
          <w:u w:val="single"/>
          <w:lang w:eastAsia="bg-BG"/>
        </w:rPr>
        <w:t>Помощни вещества</w:t>
      </w:r>
    </w:p>
    <w:p w14:paraId="560FEBC7" w14:textId="77777777" w:rsidR="00AA3561" w:rsidRPr="00AA3561" w:rsidRDefault="00AA3561" w:rsidP="00AA3561">
      <w:pPr>
        <w:spacing w:line="240" w:lineRule="auto"/>
        <w:rPr>
          <w:rFonts w:eastAsia="Times New Roman" w:cs="Arial"/>
        </w:rPr>
      </w:pPr>
      <w:r w:rsidRPr="00AA3561">
        <w:rPr>
          <w:rFonts w:eastAsia="Times New Roman" w:cs="Arial"/>
          <w:i/>
          <w:iCs/>
          <w:color w:val="000000"/>
          <w:lang w:eastAsia="bg-BG"/>
        </w:rPr>
        <w:t>Лактоза</w:t>
      </w:r>
    </w:p>
    <w:p w14:paraId="3BD516D2"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44208312" w14:textId="77777777" w:rsidR="00AA3561" w:rsidRPr="00AA3561" w:rsidRDefault="00AA3561" w:rsidP="00AA3561">
      <w:pPr>
        <w:spacing w:line="240" w:lineRule="auto"/>
        <w:rPr>
          <w:rFonts w:eastAsia="Times New Roman" w:cs="Arial"/>
          <w:i/>
          <w:iCs/>
          <w:color w:val="000000"/>
          <w:lang w:eastAsia="bg-BG"/>
        </w:rPr>
      </w:pPr>
    </w:p>
    <w:p w14:paraId="78D954D8" w14:textId="12C90063" w:rsidR="00AA3561" w:rsidRPr="00AA3561" w:rsidRDefault="00AA3561" w:rsidP="00AA3561">
      <w:pPr>
        <w:spacing w:line="240" w:lineRule="auto"/>
        <w:rPr>
          <w:rFonts w:eastAsia="Times New Roman" w:cs="Arial"/>
        </w:rPr>
      </w:pPr>
      <w:r w:rsidRPr="00AA3561">
        <w:rPr>
          <w:rFonts w:eastAsia="Times New Roman" w:cs="Arial"/>
          <w:i/>
          <w:iCs/>
          <w:color w:val="000000"/>
          <w:lang w:eastAsia="bg-BG"/>
        </w:rPr>
        <w:t>Натрий</w:t>
      </w:r>
    </w:p>
    <w:p w14:paraId="4498EB83"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Това лекарство съдържа по-малко от 1 </w:t>
      </w:r>
      <w:proofErr w:type="spellStart"/>
      <w:r w:rsidRPr="00AA3561">
        <w:rPr>
          <w:rFonts w:eastAsia="Times New Roman" w:cs="Arial"/>
          <w:color w:val="000000"/>
          <w:lang w:val="en-US"/>
        </w:rPr>
        <w:t>mmol</w:t>
      </w:r>
      <w:proofErr w:type="spellEnd"/>
      <w:r w:rsidRPr="00AA3561">
        <w:rPr>
          <w:rFonts w:eastAsia="Times New Roman" w:cs="Arial"/>
          <w:color w:val="000000"/>
          <w:lang w:val="ru-RU"/>
        </w:rPr>
        <w:t xml:space="preserve"> </w:t>
      </w:r>
      <w:r w:rsidRPr="00AA3561">
        <w:rPr>
          <w:rFonts w:eastAsia="Times New Roman" w:cs="Arial"/>
          <w:color w:val="000000"/>
          <w:lang w:eastAsia="bg-BG"/>
        </w:rPr>
        <w:t xml:space="preserve">натрий (23 </w:t>
      </w:r>
      <w:r w:rsidRPr="00AA3561">
        <w:rPr>
          <w:rFonts w:eastAsia="Times New Roman" w:cs="Arial"/>
          <w:color w:val="000000"/>
          <w:lang w:val="en-US"/>
        </w:rPr>
        <w:t>mg</w:t>
      </w:r>
      <w:r w:rsidRPr="00AA3561">
        <w:rPr>
          <w:rFonts w:eastAsia="Times New Roman" w:cs="Arial"/>
          <w:color w:val="000000"/>
          <w:lang w:val="ru-RU"/>
        </w:rPr>
        <w:t xml:space="preserve">) </w:t>
      </w:r>
      <w:r w:rsidRPr="00AA3561">
        <w:rPr>
          <w:rFonts w:eastAsia="Times New Roman" w:cs="Arial"/>
          <w:color w:val="000000"/>
          <w:lang w:eastAsia="bg-BG"/>
        </w:rPr>
        <w:t>на таблетка, т.е. може да се каже, че практически не съдържа натрий.</w:t>
      </w:r>
    </w:p>
    <w:p w14:paraId="6FFF5A7F" w14:textId="323FA104" w:rsidR="00AA3561" w:rsidRPr="00AA3561" w:rsidRDefault="00AA3561" w:rsidP="00AA3561"/>
    <w:p w14:paraId="0E7D03A5" w14:textId="77777777" w:rsidR="00AA3561"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62F27C9B" w14:textId="4E10D910" w:rsidR="00DB32D3" w:rsidRDefault="002C50EE" w:rsidP="005726E3">
      <w:pPr>
        <w:pStyle w:val="Heading2"/>
      </w:pPr>
      <w:r>
        <w:t xml:space="preserve"> </w:t>
      </w:r>
    </w:p>
    <w:p w14:paraId="165282EA"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Лекарства, повишаващи риска от ангиоедем</w:t>
      </w:r>
    </w:p>
    <w:p w14:paraId="76750C6B"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01233A68" w14:textId="77777777" w:rsidR="00AA3561" w:rsidRPr="00AA3561" w:rsidRDefault="00AA3561" w:rsidP="00AA3561">
      <w:pPr>
        <w:spacing w:line="240" w:lineRule="auto"/>
        <w:rPr>
          <w:rFonts w:eastAsia="Times New Roman" w:cs="Arial"/>
          <w:color w:val="000000"/>
          <w:szCs w:val="20"/>
          <w:lang w:eastAsia="bg-BG"/>
        </w:rPr>
      </w:pPr>
    </w:p>
    <w:p w14:paraId="036A54AB" w14:textId="66987090"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 xml:space="preserve">Съпътстващата употреба на АСЕ инхибитори с рацекадотрил, </w:t>
      </w:r>
      <w:proofErr w:type="spellStart"/>
      <w:r w:rsidRPr="00AA3561">
        <w:rPr>
          <w:rFonts w:eastAsia="Times New Roman" w:cs="Arial"/>
          <w:color w:val="000000"/>
          <w:szCs w:val="20"/>
          <w:lang w:val="en-US"/>
        </w:rPr>
        <w:t>mTOR</w:t>
      </w:r>
      <w:proofErr w:type="spellEnd"/>
      <w:r w:rsidRPr="00AA3561">
        <w:rPr>
          <w:rFonts w:eastAsia="Times New Roman" w:cs="Arial"/>
          <w:color w:val="000000"/>
          <w:szCs w:val="20"/>
          <w:lang w:val="ru-RU"/>
        </w:rPr>
        <w:t xml:space="preserve"> </w:t>
      </w:r>
      <w:r w:rsidRPr="00AA3561">
        <w:rPr>
          <w:rFonts w:eastAsia="Times New Roman" w:cs="Arial"/>
          <w:color w:val="000000"/>
          <w:szCs w:val="20"/>
          <w:lang w:eastAsia="bg-BG"/>
        </w:rPr>
        <w:t>инхибитори (напр. сиролимус, еверолимус, темсиролимус) и вилдаглиптин може да доведе до повишен риск от ангиоедем (вж. точка 4.4).</w:t>
      </w:r>
    </w:p>
    <w:p w14:paraId="77642702" w14:textId="213ED7E6" w:rsidR="00AA3561" w:rsidRPr="00AA3561" w:rsidRDefault="00AA3561" w:rsidP="00AA3561">
      <w:pPr>
        <w:rPr>
          <w:rFonts w:cs="Arial"/>
          <w:sz w:val="24"/>
        </w:rPr>
      </w:pPr>
    </w:p>
    <w:p w14:paraId="4745059E"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Двойно блокиране на ренин-ангиотензин алдостероновата система (</w:t>
      </w:r>
      <w:r w:rsidRPr="00AA3561">
        <w:rPr>
          <w:rFonts w:eastAsia="Times New Roman" w:cs="Arial"/>
          <w:color w:val="000000"/>
          <w:szCs w:val="20"/>
          <w:u w:val="single"/>
          <w:lang w:val="en-US"/>
        </w:rPr>
        <w:t>PAAC</w:t>
      </w:r>
      <w:r w:rsidRPr="00AA3561">
        <w:rPr>
          <w:rFonts w:eastAsia="Times New Roman" w:cs="Arial"/>
          <w:color w:val="000000"/>
          <w:szCs w:val="20"/>
          <w:u w:val="single"/>
          <w:lang w:val="ru-RU"/>
        </w:rPr>
        <w:t>)</w:t>
      </w:r>
    </w:p>
    <w:p w14:paraId="3DF565BA"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Данни от клинични проучвания показват, че двойното блокиране на ренин -ангиотензин алдостероновата система (РААС) чрез комбинираната употреба на АСЕ инхибитори, ангиотензин П-рецепторни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4.3,4.4 и 5.1).</w:t>
      </w:r>
    </w:p>
    <w:p w14:paraId="0A4C6205"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Калий съхраняващи диуретици, хранителни добавки, съдържащи калий или калий-съдържащи заместители на солта</w:t>
      </w:r>
    </w:p>
    <w:p w14:paraId="2F591E4D"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lastRenderedPageBreak/>
        <w:t>Въпреки че, серумният калий обикновено остава в рамките на нормалните граници, при някои пациенти, лекувани с това лекарство, е възможно да възникне хиперкалиемия. Използването на калий съхраняващи диуретици (спиронолактон, еплеренон, триамтерен или амилорид), калиеви добавки или калий-съдържащи заместители на солта, може да доведе до значително увеличаване на серумния калий. Трябва също да се внимава, когато това лекарство се прилага едновременно с други средства, които повишават серумния калий, като напр. триметоприм и ко-тримоксазол (триметоприм/сулфаметоксазол), тъй като е известно, че триметоприм действа като калий- съхраняващ диуретик подобно на амилорид. Поради това не се препоръчва комбинирането на еналаприл с гореспоменатите лекарства. Ако едновременната употреба на тези продукти е наложителна, те трябва да се прилагат внимателно и при често проследяване на серумния калий (вж. точка 4.4).</w:t>
      </w:r>
    </w:p>
    <w:p w14:paraId="7D759153" w14:textId="77777777" w:rsidR="00AA3561" w:rsidRPr="00AA3561" w:rsidRDefault="00AA3561" w:rsidP="00AA3561">
      <w:pPr>
        <w:spacing w:line="240" w:lineRule="auto"/>
        <w:rPr>
          <w:rFonts w:eastAsia="Times New Roman" w:cs="Arial"/>
          <w:color w:val="000000"/>
          <w:szCs w:val="20"/>
          <w:u w:val="single"/>
          <w:lang w:eastAsia="bg-BG"/>
        </w:rPr>
      </w:pPr>
    </w:p>
    <w:p w14:paraId="08EC4A91" w14:textId="1475922D"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Циклоспорин</w:t>
      </w:r>
    </w:p>
    <w:p w14:paraId="6BF540F0"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35DB433D" w14:textId="77777777" w:rsidR="00AA3561" w:rsidRPr="00AA3561" w:rsidRDefault="00AA3561" w:rsidP="00AA3561">
      <w:pPr>
        <w:spacing w:line="240" w:lineRule="auto"/>
        <w:rPr>
          <w:rFonts w:eastAsia="Times New Roman" w:cs="Arial"/>
          <w:color w:val="000000"/>
          <w:szCs w:val="20"/>
          <w:u w:val="single"/>
          <w:lang w:eastAsia="bg-BG"/>
        </w:rPr>
      </w:pPr>
    </w:p>
    <w:p w14:paraId="3AC93418" w14:textId="22551A36"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Хепарин</w:t>
      </w:r>
    </w:p>
    <w:p w14:paraId="53E04EC4"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6CE0E860" w14:textId="77777777" w:rsidR="00AA3561" w:rsidRPr="00AA3561" w:rsidRDefault="00AA3561" w:rsidP="00AA3561">
      <w:pPr>
        <w:spacing w:line="240" w:lineRule="auto"/>
        <w:rPr>
          <w:rFonts w:eastAsia="Times New Roman" w:cs="Arial"/>
          <w:color w:val="000000"/>
          <w:szCs w:val="20"/>
          <w:u w:val="single"/>
          <w:lang w:eastAsia="bg-BG"/>
        </w:rPr>
      </w:pPr>
    </w:p>
    <w:p w14:paraId="5F3A8B12" w14:textId="3B920BF1" w:rsidR="00AA3561" w:rsidRPr="00AA3561" w:rsidRDefault="00AA3561" w:rsidP="00AA3561">
      <w:pPr>
        <w:spacing w:line="240" w:lineRule="auto"/>
        <w:rPr>
          <w:rFonts w:eastAsia="Times New Roman" w:cs="Arial"/>
          <w:color w:val="000000"/>
          <w:szCs w:val="20"/>
          <w:u w:val="single"/>
          <w:lang w:eastAsia="bg-BG"/>
        </w:rPr>
      </w:pPr>
      <w:r w:rsidRPr="00AA3561">
        <w:rPr>
          <w:rFonts w:eastAsia="Times New Roman" w:cs="Arial"/>
          <w:color w:val="000000"/>
          <w:szCs w:val="20"/>
          <w:u w:val="single"/>
          <w:lang w:eastAsia="bg-BG"/>
        </w:rPr>
        <w:t>Диуретици (тиазидни или бримкови)</w:t>
      </w:r>
    </w:p>
    <w:p w14:paraId="63F61185" w14:textId="5BCBFC11"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Предходно лечение с високи дози диуретици може да предизвика понижаване на обема на течности и повишен риск от развитие на хипотония при започване на терапия с еналаприл (вж. точка 4.4). Хипотензивните ефекти могат да бъдат редуцирани чрез прекратяване на терапията с диуретик, чрез повишаване на приема на течности или сол или чрез приложение на по-ниска начална доза еналаприл.</w:t>
      </w:r>
    </w:p>
    <w:p w14:paraId="238A7BEA" w14:textId="77777777" w:rsidR="00AA3561" w:rsidRPr="00AA3561" w:rsidRDefault="00AA3561" w:rsidP="00AA3561">
      <w:pPr>
        <w:spacing w:line="240" w:lineRule="auto"/>
        <w:rPr>
          <w:rFonts w:eastAsia="Times New Roman" w:cs="Arial"/>
          <w:color w:val="000000"/>
          <w:szCs w:val="20"/>
          <w:u w:val="single"/>
          <w:lang w:eastAsia="bg-BG"/>
        </w:rPr>
      </w:pPr>
    </w:p>
    <w:p w14:paraId="720B0F4D" w14:textId="0B3FA430"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Други антихипертензивни продукти</w:t>
      </w:r>
    </w:p>
    <w:p w14:paraId="2D570412"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Едновременната употреба с други антихипертензивни продукти може да засили хипотензивния ефект на еналаприл. Едновременното приложение с нитроглицерин и други нитрати или други вазодилататори, може да засили понижаването на кръвното налягане.</w:t>
      </w:r>
    </w:p>
    <w:p w14:paraId="7C68CA39" w14:textId="77777777" w:rsidR="00AA3561" w:rsidRPr="00AA3561" w:rsidRDefault="00AA3561" w:rsidP="00AA3561">
      <w:pPr>
        <w:spacing w:line="240" w:lineRule="auto"/>
        <w:rPr>
          <w:rFonts w:eastAsia="Times New Roman" w:cs="Arial"/>
          <w:color w:val="000000"/>
          <w:szCs w:val="20"/>
          <w:u w:val="single"/>
          <w:lang w:eastAsia="bg-BG"/>
        </w:rPr>
      </w:pPr>
    </w:p>
    <w:p w14:paraId="7E43ED31" w14:textId="12C07582"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Литий</w:t>
      </w:r>
    </w:p>
    <w:p w14:paraId="0EEF7C05"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Обратимо покачване на серумните литиеви концентрации и на токсичността му са наблюдавани при едновременно приложение на литий с АСЕ инхибитори. Едновременната употреба на тиазидни диуретици заедно с АСЕ инхибиторите може да предизвика допълнително покачване в нивата на лития и да увеличи риска от литиева токсичност. Поради това едновременното приложение на литий с еналаприл не е препоръчително, но ако все пак това е наложително е необходим внимателен контрол на серумните нива на лития (вж. точка 4.4).</w:t>
      </w:r>
    </w:p>
    <w:p w14:paraId="52E76D92" w14:textId="5B22F048" w:rsidR="00AA3561" w:rsidRPr="00AA3561" w:rsidRDefault="00AA3561" w:rsidP="00AA3561">
      <w:pPr>
        <w:rPr>
          <w:rFonts w:cs="Arial"/>
          <w:sz w:val="24"/>
        </w:rPr>
      </w:pPr>
    </w:p>
    <w:p w14:paraId="7841F422"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 xml:space="preserve">Трициклични антидепресанти/Антипсихотици/Анестетици/Наркотични средства </w:t>
      </w:r>
      <w:r w:rsidRPr="00AA3561">
        <w:rPr>
          <w:rFonts w:eastAsia="Times New Roman" w:cs="Arial"/>
          <w:color w:val="000000"/>
          <w:szCs w:val="20"/>
          <w:lang w:eastAsia="bg-BG"/>
        </w:rPr>
        <w:t>Едновременното приложение на някои анестетици, трициклични антидепресанти и антипсихотици с АСЕ инхибитори може да предизвика допълнително понижаване на кръвното налягане (вж. точка 4.4).</w:t>
      </w:r>
    </w:p>
    <w:p w14:paraId="3F81B0C2" w14:textId="77777777" w:rsidR="00AA3561" w:rsidRPr="00AA3561" w:rsidRDefault="00AA3561" w:rsidP="00AA3561">
      <w:pPr>
        <w:spacing w:line="240" w:lineRule="auto"/>
        <w:rPr>
          <w:rFonts w:eastAsia="Times New Roman" w:cs="Arial"/>
          <w:color w:val="000000"/>
          <w:szCs w:val="20"/>
          <w:u w:val="single"/>
          <w:lang w:eastAsia="bg-BG"/>
        </w:rPr>
      </w:pPr>
    </w:p>
    <w:p w14:paraId="153FB66A" w14:textId="44A315A2"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Нестероидни противовъзпалителни средства (НСПВС). включително селективни инхибитори на циклооксигеназа 2 (СОХ-2)</w:t>
      </w:r>
    </w:p>
    <w:p w14:paraId="4845C6DE"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lastRenderedPageBreak/>
        <w:t xml:space="preserve">НСПВС, включително селективните СОХ-2 инхибитори могат да понижат ефекта на диуретиците и други антихипертензивни средства. Следователно антихипертензивния ефект на ангиотензин </w:t>
      </w:r>
      <w:r w:rsidRPr="00AA3561">
        <w:rPr>
          <w:rFonts w:eastAsia="Times New Roman" w:cs="Arial"/>
          <w:color w:val="000000"/>
          <w:szCs w:val="20"/>
          <w:lang w:val="en-US"/>
        </w:rPr>
        <w:t>II</w:t>
      </w:r>
      <w:r w:rsidRPr="00AA3561">
        <w:rPr>
          <w:rFonts w:eastAsia="Times New Roman" w:cs="Arial"/>
          <w:color w:val="000000"/>
          <w:szCs w:val="20"/>
          <w:lang w:eastAsia="bg-BG"/>
        </w:rPr>
        <w:t xml:space="preserve"> рецепторни антагонисти или АСЕ инхибитори може да бъде намален от НСПВС, включително селективните СОХ-2 инхибитори.</w:t>
      </w:r>
    </w:p>
    <w:p w14:paraId="1C9AD28F" w14:textId="77777777" w:rsidR="00AA3561" w:rsidRPr="00AA3561" w:rsidRDefault="00AA3561" w:rsidP="00AA3561">
      <w:pPr>
        <w:spacing w:line="240" w:lineRule="auto"/>
        <w:rPr>
          <w:rFonts w:eastAsia="Times New Roman" w:cs="Arial"/>
          <w:color w:val="000000"/>
          <w:szCs w:val="20"/>
          <w:lang w:eastAsia="bg-BG"/>
        </w:rPr>
      </w:pPr>
    </w:p>
    <w:p w14:paraId="37EAFBA1" w14:textId="6D66D233"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Едновременното приложение на НСПВС (включително СОХ-2 инхибитори) и АСЕ инхибиторите проявяват адитивен ефект върху повишаване на серумния калий, което може да доведе до влошаване на бъбречната функция. Това обикновено е обратимо. В редки случаи, може да се развие остра бъбречна недостатъчност, особено при пациенти с компрометирана бъбречна функция (като пациенти в старческа възраст или дехидратирани пациенти, включително такива на диуретична терапия). Пациентите трябва да бъдат адекватно хидратирани и е необходим контрол на бъбречната функция след започване на придружаващата терапия и на регулярни интервали след това.</w:t>
      </w:r>
    </w:p>
    <w:p w14:paraId="7AD665AD" w14:textId="77777777" w:rsidR="00AA3561" w:rsidRPr="00AA3561" w:rsidRDefault="00AA3561" w:rsidP="00AA3561">
      <w:pPr>
        <w:spacing w:line="240" w:lineRule="auto"/>
        <w:rPr>
          <w:rFonts w:eastAsia="Times New Roman" w:cs="Arial"/>
          <w:color w:val="000000"/>
          <w:szCs w:val="20"/>
          <w:u w:val="single"/>
          <w:lang w:eastAsia="bg-BG"/>
        </w:rPr>
      </w:pPr>
    </w:p>
    <w:p w14:paraId="4CC4262E" w14:textId="7A8C7E4E"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Злато</w:t>
      </w:r>
    </w:p>
    <w:p w14:paraId="1BF9929F"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 xml:space="preserve">Нитритоидни реакции (симптоми, включващи зачервяване на лицето, гадене, повръщане и ниско кръвно налягане) са докладвани рядко при пациенти на лечение с инжекционна форма, съдържаща злато </w:t>
      </w:r>
      <w:r w:rsidRPr="00AA3561">
        <w:rPr>
          <w:rFonts w:eastAsia="Times New Roman" w:cs="Arial"/>
          <w:color w:val="000000"/>
          <w:szCs w:val="20"/>
          <w:lang w:val="ru-RU"/>
        </w:rPr>
        <w:t>(</w:t>
      </w:r>
      <w:r w:rsidRPr="00AA3561">
        <w:rPr>
          <w:rFonts w:eastAsia="Times New Roman" w:cs="Arial"/>
          <w:color w:val="000000"/>
          <w:szCs w:val="20"/>
          <w:lang w:val="en-US"/>
        </w:rPr>
        <w:t>sodium</w:t>
      </w:r>
      <w:r w:rsidRPr="00AA3561">
        <w:rPr>
          <w:rFonts w:eastAsia="Times New Roman" w:cs="Arial"/>
          <w:color w:val="000000"/>
          <w:szCs w:val="20"/>
          <w:lang w:val="ru-RU"/>
        </w:rPr>
        <w:t xml:space="preserve"> </w:t>
      </w:r>
      <w:proofErr w:type="spellStart"/>
      <w:r w:rsidRPr="00AA3561">
        <w:rPr>
          <w:rFonts w:eastAsia="Times New Roman" w:cs="Arial"/>
          <w:color w:val="000000"/>
          <w:szCs w:val="20"/>
          <w:lang w:val="en-US"/>
        </w:rPr>
        <w:t>aurothiomalate</w:t>
      </w:r>
      <w:proofErr w:type="spellEnd"/>
      <w:r w:rsidRPr="00AA3561">
        <w:rPr>
          <w:rFonts w:eastAsia="Times New Roman" w:cs="Arial"/>
          <w:color w:val="000000"/>
          <w:szCs w:val="20"/>
          <w:lang w:val="ru-RU"/>
        </w:rPr>
        <w:t xml:space="preserve">) </w:t>
      </w:r>
      <w:r w:rsidRPr="00AA3561">
        <w:rPr>
          <w:rFonts w:eastAsia="Times New Roman" w:cs="Arial"/>
          <w:color w:val="000000"/>
          <w:szCs w:val="20"/>
          <w:lang w:eastAsia="bg-BG"/>
        </w:rPr>
        <w:t>и съпътстваща терапия с АСЕ инхибитори, включително и еналаприл.</w:t>
      </w:r>
    </w:p>
    <w:p w14:paraId="54D42FA4" w14:textId="77777777" w:rsidR="00AA3561" w:rsidRPr="00AA3561" w:rsidRDefault="00AA3561" w:rsidP="00AA3561">
      <w:pPr>
        <w:spacing w:line="240" w:lineRule="auto"/>
        <w:rPr>
          <w:rFonts w:eastAsia="Times New Roman" w:cs="Arial"/>
          <w:color w:val="000000"/>
          <w:szCs w:val="20"/>
          <w:u w:val="single"/>
          <w:lang w:eastAsia="bg-BG"/>
        </w:rPr>
      </w:pPr>
    </w:p>
    <w:p w14:paraId="507AA46B" w14:textId="0E079B0E"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Симпатикомиметици</w:t>
      </w:r>
    </w:p>
    <w:p w14:paraId="0C0281BA"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Симпатикомиметиците могат да намалят антихипертензивния ефект на АСЕ инхибиторите.</w:t>
      </w:r>
    </w:p>
    <w:p w14:paraId="5ADE5BA2" w14:textId="77777777" w:rsidR="00AA3561" w:rsidRPr="00AA3561" w:rsidRDefault="00AA3561" w:rsidP="00AA3561">
      <w:pPr>
        <w:spacing w:line="240" w:lineRule="auto"/>
        <w:rPr>
          <w:rFonts w:eastAsia="Times New Roman" w:cs="Arial"/>
          <w:color w:val="000000"/>
          <w:szCs w:val="20"/>
          <w:u w:val="single"/>
          <w:lang w:eastAsia="bg-BG"/>
        </w:rPr>
      </w:pPr>
    </w:p>
    <w:p w14:paraId="573782C7" w14:textId="6B349253"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Антидиабетни продукти</w:t>
      </w:r>
    </w:p>
    <w:p w14:paraId="07A0EDB4"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Епидемиологични изследвания показват, че едновременната употреба на АСЕ инхибитори и антидиабетни лекарствени продукти (инсулин, перорални антидиабетни средства) може да предизвика повишаване на хипогликемизиращите ефекти с риск от развитие на хипогликемия. Този феномен изглежда, че е по-чест през първите седмици на комбинираното лечение и при пациенти с бъбречно увреждане (вж. точка 4.4 и 4.8).</w:t>
      </w:r>
    </w:p>
    <w:p w14:paraId="62FA1605" w14:textId="77777777" w:rsidR="00AA3561" w:rsidRPr="00AA3561" w:rsidRDefault="00AA3561" w:rsidP="00AA3561">
      <w:pPr>
        <w:spacing w:line="240" w:lineRule="auto"/>
        <w:rPr>
          <w:rFonts w:eastAsia="Times New Roman" w:cs="Arial"/>
          <w:color w:val="000000"/>
          <w:szCs w:val="20"/>
          <w:u w:val="single"/>
          <w:lang w:eastAsia="bg-BG"/>
        </w:rPr>
      </w:pPr>
    </w:p>
    <w:p w14:paraId="43CBCAF6" w14:textId="1F6E3BD5"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Алкохол</w:t>
      </w:r>
    </w:p>
    <w:p w14:paraId="7C361E86"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Алкохолът засилва хипотензивния ефект на АСЕ инхибиторите.</w:t>
      </w:r>
    </w:p>
    <w:p w14:paraId="39C432E8" w14:textId="77777777" w:rsidR="00AA3561" w:rsidRPr="00AA3561" w:rsidRDefault="00AA3561" w:rsidP="00AA3561">
      <w:pPr>
        <w:spacing w:line="240" w:lineRule="auto"/>
        <w:rPr>
          <w:rFonts w:eastAsia="Times New Roman" w:cs="Arial"/>
          <w:color w:val="000000"/>
          <w:szCs w:val="20"/>
          <w:u w:val="single"/>
          <w:lang w:eastAsia="bg-BG"/>
        </w:rPr>
      </w:pPr>
    </w:p>
    <w:p w14:paraId="433DEEBE" w14:textId="2F2BAE23"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Ацетилсалицилова киселина, тоомболитици и В-блокери</w:t>
      </w:r>
    </w:p>
    <w:p w14:paraId="39FCD6CD" w14:textId="77777777"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lang w:eastAsia="bg-BG"/>
        </w:rPr>
        <w:t>Еналаприл може безопасно да се комбинира с ацетилсалицилова киселина (в кардиологични дози), тромболитици и бета-блокери.</w:t>
      </w:r>
    </w:p>
    <w:p w14:paraId="0D686EB7" w14:textId="77777777" w:rsidR="00AA3561" w:rsidRPr="00AA3561" w:rsidRDefault="00AA3561" w:rsidP="00AA3561">
      <w:pPr>
        <w:spacing w:line="240" w:lineRule="auto"/>
        <w:rPr>
          <w:rFonts w:eastAsia="Times New Roman" w:cs="Arial"/>
          <w:color w:val="000000"/>
          <w:szCs w:val="20"/>
          <w:u w:val="single"/>
          <w:lang w:eastAsia="bg-BG"/>
        </w:rPr>
      </w:pPr>
    </w:p>
    <w:p w14:paraId="33C93FE7" w14:textId="36E1BEFB" w:rsidR="00AA3561" w:rsidRPr="00AA3561" w:rsidRDefault="00AA3561" w:rsidP="00AA3561">
      <w:pPr>
        <w:spacing w:line="240" w:lineRule="auto"/>
        <w:rPr>
          <w:rFonts w:eastAsia="Times New Roman" w:cs="Arial"/>
          <w:sz w:val="28"/>
          <w:szCs w:val="24"/>
        </w:rPr>
      </w:pPr>
      <w:r w:rsidRPr="00AA3561">
        <w:rPr>
          <w:rFonts w:eastAsia="Times New Roman" w:cs="Arial"/>
          <w:color w:val="000000"/>
          <w:szCs w:val="20"/>
          <w:u w:val="single"/>
          <w:lang w:eastAsia="bg-BG"/>
        </w:rPr>
        <w:t>Педиатрична популация</w:t>
      </w:r>
    </w:p>
    <w:p w14:paraId="201D2378" w14:textId="4B92E3CA" w:rsidR="00AA3561" w:rsidRDefault="00AA3561" w:rsidP="00AA3561">
      <w:pPr>
        <w:rPr>
          <w:rFonts w:eastAsia="Times New Roman" w:cs="Arial"/>
          <w:color w:val="000000"/>
          <w:szCs w:val="20"/>
          <w:lang w:eastAsia="bg-BG"/>
        </w:rPr>
      </w:pPr>
      <w:r w:rsidRPr="00AA3561">
        <w:rPr>
          <w:rFonts w:eastAsia="Times New Roman" w:cs="Arial"/>
          <w:color w:val="000000"/>
          <w:szCs w:val="20"/>
          <w:lang w:eastAsia="bg-BG"/>
        </w:rPr>
        <w:t>Проучвания за взаимодействия са провеждани само при възрастни.</w:t>
      </w:r>
    </w:p>
    <w:p w14:paraId="5D399F5D" w14:textId="77777777" w:rsidR="00AA3561" w:rsidRPr="00AA3561" w:rsidRDefault="00AA3561" w:rsidP="00AA3561">
      <w:pPr>
        <w:rPr>
          <w:rFonts w:eastAsia="Times New Roman" w:cs="Arial"/>
          <w:color w:val="000000"/>
          <w:szCs w:val="20"/>
          <w:lang w:eastAsia="bg-BG"/>
        </w:rPr>
      </w:pPr>
    </w:p>
    <w:p w14:paraId="006BE4EC" w14:textId="08874D97" w:rsidR="00DB32D3" w:rsidRDefault="002C50EE" w:rsidP="005726E3">
      <w:pPr>
        <w:pStyle w:val="Heading2"/>
      </w:pPr>
      <w:r>
        <w:t>4.6. Фертилитет, бременност и кърмене</w:t>
      </w:r>
    </w:p>
    <w:p w14:paraId="49B84098" w14:textId="3C92DD89" w:rsidR="00AA3561" w:rsidRDefault="00AA3561" w:rsidP="00AA3561"/>
    <w:p w14:paraId="6949B432" w14:textId="3F765222" w:rsidR="00AA3561" w:rsidRPr="00AA3561" w:rsidRDefault="00AA3561" w:rsidP="00AA3561">
      <w:pPr>
        <w:pStyle w:val="Heading3"/>
        <w:rPr>
          <w:u w:val="single"/>
        </w:rPr>
      </w:pPr>
      <w:r w:rsidRPr="00AA3561">
        <w:rPr>
          <w:u w:val="single"/>
        </w:rPr>
        <w:t>Бременност:</w:t>
      </w:r>
    </w:p>
    <w:tbl>
      <w:tblPr>
        <w:tblStyle w:val="TableGrid"/>
        <w:tblW w:w="0" w:type="auto"/>
        <w:tblLook w:val="04A0" w:firstRow="1" w:lastRow="0" w:firstColumn="1" w:lastColumn="0" w:noHBand="0" w:noVBand="1"/>
      </w:tblPr>
      <w:tblGrid>
        <w:gridCol w:w="9350"/>
      </w:tblGrid>
      <w:tr w:rsidR="00AA3561" w14:paraId="54718BC6" w14:textId="77777777" w:rsidTr="00AA3561">
        <w:tc>
          <w:tcPr>
            <w:tcW w:w="9576" w:type="dxa"/>
          </w:tcPr>
          <w:p w14:paraId="6A658A25" w14:textId="6BFA5CEF" w:rsidR="00AA3561" w:rsidRDefault="00AA3561" w:rsidP="00AA3561">
            <w:r>
              <w:rPr>
                <w:sz w:val="20"/>
                <w:szCs w:val="20"/>
              </w:rPr>
              <w:t>Употребата на АСЕ-инхибитори не се препоръчва през първия триместър навременността (вж. точка 4.4). Употребата на АСЕ-инхибитори по време на втория и третия</w:t>
            </w:r>
            <w:r w:rsidRPr="00AA3561">
              <w:rPr>
                <w:sz w:val="20"/>
                <w:szCs w:val="20"/>
                <w:lang w:val="ru-RU"/>
              </w:rPr>
              <w:t xml:space="preserve"> </w:t>
            </w:r>
            <w:r>
              <w:rPr>
                <w:sz w:val="20"/>
                <w:szCs w:val="20"/>
              </w:rPr>
              <w:t>триместър на бременността е противопоказана (вж. точки 4.3 и 4.4).</w:t>
            </w:r>
          </w:p>
        </w:tc>
      </w:tr>
    </w:tbl>
    <w:p w14:paraId="3939B4C6" w14:textId="7ECC3D2C" w:rsidR="00AA3561" w:rsidRDefault="00AA3561" w:rsidP="00AA3561"/>
    <w:p w14:paraId="139EC3FB" w14:textId="77777777" w:rsidR="00AA3561" w:rsidRPr="00AA3561" w:rsidRDefault="00AA3561" w:rsidP="00AA3561">
      <w:pPr>
        <w:spacing w:line="240" w:lineRule="auto"/>
        <w:rPr>
          <w:rFonts w:eastAsia="Times New Roman" w:cs="Arial"/>
          <w:color w:val="000000"/>
          <w:lang w:eastAsia="bg-BG"/>
        </w:rPr>
      </w:pPr>
      <w:r w:rsidRPr="00AA3561">
        <w:rPr>
          <w:rFonts w:eastAsia="Times New Roman" w:cs="Arial"/>
          <w:color w:val="000000"/>
          <w:lang w:eastAsia="bg-BG"/>
        </w:rPr>
        <w:t xml:space="preserve">Епидемиологичните данни относно тератогенния риск вследствие приложение на АСЕ-инхибитори по време на първия тримесгьр на бременността не са убедителни,, но все пак </w:t>
      </w:r>
      <w:r w:rsidRPr="00AA3561">
        <w:rPr>
          <w:rFonts w:eastAsia="Times New Roman" w:cs="Arial"/>
          <w:color w:val="000000"/>
          <w:lang w:eastAsia="bg-BG"/>
        </w:rPr>
        <w:lastRenderedPageBreak/>
        <w:t xml:space="preserve">не може да се изключи известно повишение на този риск. При пациентките, при които продължаване на започнатото лечение с АСЕ-инхибитор се смята за наложително е необходимо, при планиране на бременност, да се смени антихипертензивната терапия с алтернативна с установен профил на безопасност по време на бременност. </w:t>
      </w:r>
    </w:p>
    <w:p w14:paraId="10BCFB1E" w14:textId="77777777" w:rsidR="00AA3561" w:rsidRPr="00AA3561" w:rsidRDefault="00AA3561" w:rsidP="00AA3561">
      <w:pPr>
        <w:spacing w:line="240" w:lineRule="auto"/>
        <w:rPr>
          <w:rFonts w:eastAsia="Times New Roman" w:cs="Arial"/>
          <w:color w:val="000000"/>
          <w:lang w:eastAsia="bg-BG"/>
        </w:rPr>
      </w:pPr>
    </w:p>
    <w:p w14:paraId="178096BC" w14:textId="4CD133CC" w:rsidR="00AA3561" w:rsidRPr="00AA3561" w:rsidRDefault="00AA3561" w:rsidP="00AA3561">
      <w:pPr>
        <w:spacing w:line="240" w:lineRule="auto"/>
        <w:rPr>
          <w:rFonts w:eastAsia="Times New Roman" w:cs="Arial"/>
        </w:rPr>
      </w:pPr>
      <w:r w:rsidRPr="00AA3561">
        <w:rPr>
          <w:rFonts w:eastAsia="Times New Roman" w:cs="Arial"/>
          <w:color w:val="000000"/>
          <w:lang w:eastAsia="bg-BG"/>
        </w:rPr>
        <w:t xml:space="preserve">Ако се установи бременност, лечението с АСЕ-инхибитор трябва да се преустанови незабавно и ако е подходящо да се започне алтернативно лечение. Приложението на АСЕ-инхибитори по време на втория и третия триместьр на бременността е свързано с фетотоксичност (понижена бъбречна функция, олигохидрамнион, забавена осификация на черепа) и неонатална токсичност (бъбречна недостатъчност, хипотония, хиперкалиемия) (вж. точка 5.3). Наблюдаваната при майката олигохидроамниоза, вероятно поради понижена фетална бъбречна функция, може да доведе до контрактура на крайниците, краниофациални деформации </w:t>
      </w:r>
      <w:r w:rsidRPr="00AA3561">
        <w:rPr>
          <w:rFonts w:eastAsia="Times New Roman" w:cs="Arial"/>
          <w:i/>
          <w:iCs/>
          <w:color w:val="000000"/>
          <w:lang w:eastAsia="bg-BG"/>
        </w:rPr>
        <w:t xml:space="preserve">и </w:t>
      </w:r>
      <w:r w:rsidRPr="00AA3561">
        <w:rPr>
          <w:rFonts w:eastAsia="Times New Roman" w:cs="Arial"/>
          <w:color w:val="000000"/>
          <w:lang w:eastAsia="bg-BG"/>
        </w:rPr>
        <w:t>хипоплазия на белия дроб.</w:t>
      </w:r>
    </w:p>
    <w:p w14:paraId="3B236EDB"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Ако се установи експозиция на АСЕ-инхибитори от началото на втория триместьр на бременността, препоръчително е провеждане на ултразвуково изследване за проследяване на бъбречната функция и черепа.</w:t>
      </w:r>
    </w:p>
    <w:p w14:paraId="5960A91D" w14:textId="77777777" w:rsidR="00AA3561" w:rsidRPr="00AA3561" w:rsidRDefault="00AA3561" w:rsidP="00AA3561">
      <w:pPr>
        <w:spacing w:line="240" w:lineRule="auto"/>
        <w:rPr>
          <w:rFonts w:eastAsia="Times New Roman" w:cs="Arial"/>
        </w:rPr>
      </w:pPr>
      <w:r w:rsidRPr="00AA3561">
        <w:rPr>
          <w:rFonts w:eastAsia="Times New Roman" w:cs="Arial"/>
          <w:color w:val="000000"/>
          <w:lang w:eastAsia="bg-BG"/>
        </w:rPr>
        <w:t>Новородени, чиито майки са приемали АСЕ-инхибитори, трябва стриктно да бъдат проследявани за поява на хипотония (вж. точки 4.3 и 4.4).</w:t>
      </w:r>
    </w:p>
    <w:p w14:paraId="6FD4CABF" w14:textId="77777777" w:rsidR="00AA3561" w:rsidRPr="00AA3561" w:rsidRDefault="00AA3561" w:rsidP="00AA3561">
      <w:pPr>
        <w:spacing w:line="240" w:lineRule="auto"/>
        <w:rPr>
          <w:rFonts w:eastAsia="Times New Roman" w:cs="Arial"/>
          <w:color w:val="000000"/>
          <w:u w:val="single"/>
          <w:lang w:eastAsia="bg-BG"/>
        </w:rPr>
      </w:pPr>
    </w:p>
    <w:p w14:paraId="6C44AA67" w14:textId="3CFA77DA" w:rsidR="00AA3561" w:rsidRPr="00AA3561" w:rsidRDefault="00AA3561" w:rsidP="00AA3561">
      <w:pPr>
        <w:pStyle w:val="Heading3"/>
        <w:rPr>
          <w:rFonts w:eastAsia="Times New Roman"/>
          <w:u w:val="single"/>
        </w:rPr>
      </w:pPr>
      <w:r w:rsidRPr="00AA3561">
        <w:rPr>
          <w:rFonts w:eastAsia="Times New Roman"/>
          <w:u w:val="single"/>
          <w:lang w:eastAsia="bg-BG"/>
        </w:rPr>
        <w:t>Кърмене</w:t>
      </w:r>
    </w:p>
    <w:p w14:paraId="42B21F61" w14:textId="35F93F54" w:rsidR="00AA3561" w:rsidRPr="00AA3561" w:rsidRDefault="00AA3561" w:rsidP="00AA3561">
      <w:pPr>
        <w:rPr>
          <w:rFonts w:eastAsia="Times New Roman" w:cs="Arial"/>
          <w:color w:val="000000"/>
          <w:lang w:eastAsia="bg-BG"/>
        </w:rPr>
      </w:pPr>
      <w:r w:rsidRPr="00AA3561">
        <w:rPr>
          <w:rFonts w:eastAsia="Times New Roman" w:cs="Arial"/>
          <w:color w:val="000000"/>
          <w:lang w:eastAsia="bg-BG"/>
        </w:rPr>
        <w:t>Ограничените фармакокинетични данни демонстрират много ниски концентрации в майчиното мляко (вж. точка 5.2). Въпреки, че тези концентрации вероятно са клинично незначими, употребата на еналаприл по време на кърмене не се препоръчва при преждевременно родени деца и през първите няколко седмици след раждането, поради потенциален риск от кардиоваскуларни и бъбречни ефекти и поради недостатъчен клиничен опит. При по-големи кърмачета употребата на еналаприл може да се обмисли, ако това лечение е наложително за майката и ако детето се наблюдава внимателно за появата на нежелани ефекти.</w:t>
      </w:r>
    </w:p>
    <w:p w14:paraId="35FF55FA" w14:textId="77777777" w:rsidR="00AA3561" w:rsidRPr="00AA3561" w:rsidRDefault="00AA3561" w:rsidP="00AA3561">
      <w:pPr>
        <w:rPr>
          <w:rFonts w:ascii="Times New Roman" w:eastAsia="Times New Roman" w:hAnsi="Times New Roman" w:cs="Times New Roman"/>
          <w:color w:val="000000"/>
          <w:sz w:val="20"/>
          <w:szCs w:val="20"/>
          <w:lang w:eastAsia="bg-BG"/>
        </w:rPr>
      </w:pPr>
    </w:p>
    <w:p w14:paraId="128BA3A8" w14:textId="6BCA54F3" w:rsidR="00DB32D3" w:rsidRDefault="002C50EE" w:rsidP="005726E3">
      <w:pPr>
        <w:pStyle w:val="Heading2"/>
      </w:pPr>
      <w:r>
        <w:t>4.7. Ефекти върху способността за шофиране и работа с машини</w:t>
      </w:r>
    </w:p>
    <w:p w14:paraId="4C29DEBF" w14:textId="7D531196" w:rsidR="00AA3561" w:rsidRDefault="00AA3561" w:rsidP="00AA3561"/>
    <w:p w14:paraId="5F7404B1" w14:textId="77777777" w:rsidR="00AA3561" w:rsidRPr="00AA3561" w:rsidRDefault="00AA3561" w:rsidP="00AA3561">
      <w:pPr>
        <w:rPr>
          <w:sz w:val="24"/>
          <w:szCs w:val="24"/>
        </w:rPr>
      </w:pPr>
      <w:r w:rsidRPr="00AA3561">
        <w:rPr>
          <w:lang w:eastAsia="bg-BG"/>
        </w:rPr>
        <w:t>При шофиране и работа с машини трябва да се има предвид, че понякога може да се появи замайване или обща отпадналост.</w:t>
      </w:r>
    </w:p>
    <w:p w14:paraId="76D69D47" w14:textId="77777777" w:rsidR="00AA3561" w:rsidRPr="00AA3561" w:rsidRDefault="00AA3561" w:rsidP="00AA3561"/>
    <w:p w14:paraId="44CE30A3" w14:textId="00E4D305" w:rsidR="007122AD" w:rsidRDefault="002C50EE" w:rsidP="00936AD0">
      <w:pPr>
        <w:pStyle w:val="Heading2"/>
      </w:pPr>
      <w:r>
        <w:t>4.8. Нежелани лекарствени реакции</w:t>
      </w:r>
    </w:p>
    <w:p w14:paraId="65801CB0" w14:textId="7ED97CC7" w:rsidR="00AA3561" w:rsidRDefault="00AA3561" w:rsidP="00AA3561"/>
    <w:p w14:paraId="7894D8B9" w14:textId="5F46A019" w:rsidR="00AA3561" w:rsidRDefault="00AA3561" w:rsidP="00AA3561">
      <w:pPr>
        <w:rPr>
          <w:sz w:val="20"/>
          <w:szCs w:val="20"/>
        </w:rPr>
      </w:pPr>
      <w:r>
        <w:rPr>
          <w:sz w:val="20"/>
          <w:szCs w:val="20"/>
        </w:rPr>
        <w:t>Наблюдавани са следните нежелани реакции с еналаприл при клинични проучвания и постмаркетингов опит:</w:t>
      </w:r>
    </w:p>
    <w:tbl>
      <w:tblPr>
        <w:tblStyle w:val="TableGrid"/>
        <w:tblW w:w="0" w:type="auto"/>
        <w:tblLook w:val="04A0" w:firstRow="1" w:lastRow="0" w:firstColumn="1" w:lastColumn="0" w:noHBand="0" w:noVBand="1"/>
      </w:tblPr>
      <w:tblGrid>
        <w:gridCol w:w="1617"/>
        <w:gridCol w:w="903"/>
        <w:gridCol w:w="1620"/>
        <w:gridCol w:w="1686"/>
        <w:gridCol w:w="1389"/>
        <w:gridCol w:w="1099"/>
        <w:gridCol w:w="1036"/>
      </w:tblGrid>
      <w:tr w:rsidR="006F7549" w14:paraId="76F07F68" w14:textId="77777777" w:rsidTr="006F7549">
        <w:tc>
          <w:tcPr>
            <w:tcW w:w="1658" w:type="dxa"/>
          </w:tcPr>
          <w:p w14:paraId="4119D080" w14:textId="3CA3B179" w:rsidR="00AA3561" w:rsidRPr="00AA3561" w:rsidRDefault="00AA3561" w:rsidP="00AA3561">
            <w:r w:rsidRPr="00AA3561">
              <w:t>Системо-органен клас</w:t>
            </w:r>
          </w:p>
        </w:tc>
        <w:tc>
          <w:tcPr>
            <w:tcW w:w="922" w:type="dxa"/>
          </w:tcPr>
          <w:p w14:paraId="16608C0E" w14:textId="6EDC51B6" w:rsidR="00AA3561" w:rsidRPr="00AA3561" w:rsidRDefault="00AA3561" w:rsidP="00AA3561">
            <w:r w:rsidRPr="00AA3561">
              <w:t>Много чести (≥1/10)</w:t>
            </w:r>
          </w:p>
        </w:tc>
        <w:tc>
          <w:tcPr>
            <w:tcW w:w="1661" w:type="dxa"/>
          </w:tcPr>
          <w:p w14:paraId="10E9A87D" w14:textId="15379C65" w:rsidR="00AA3561" w:rsidRPr="00AA3561" w:rsidRDefault="00AA3561" w:rsidP="00AA3561">
            <w:r w:rsidRPr="00AA3561">
              <w:t xml:space="preserve">Чести (≥1/100 </w:t>
            </w:r>
            <w:r w:rsidRPr="00AA3561">
              <w:rPr>
                <w:i/>
                <w:iCs/>
              </w:rPr>
              <w:t xml:space="preserve">до </w:t>
            </w:r>
            <w:r w:rsidRPr="00AA3561">
              <w:t>&lt;1/10),</w:t>
            </w:r>
          </w:p>
        </w:tc>
        <w:tc>
          <w:tcPr>
            <w:tcW w:w="1729" w:type="dxa"/>
          </w:tcPr>
          <w:p w14:paraId="11778A1D" w14:textId="77777777" w:rsidR="00AA3561" w:rsidRPr="00AA3561" w:rsidRDefault="00AA3561" w:rsidP="00AA3561">
            <w:r w:rsidRPr="00AA3561">
              <w:t>Нечести (≥1/1 000 до</w:t>
            </w:r>
          </w:p>
          <w:p w14:paraId="6EF18E1C" w14:textId="31FA2F96" w:rsidR="00AA3561" w:rsidRPr="00AA3561" w:rsidRDefault="00AA3561" w:rsidP="00AA3561">
            <w:r w:rsidRPr="00AA3561">
              <w:t>&lt;1/100),</w:t>
            </w:r>
          </w:p>
        </w:tc>
        <w:tc>
          <w:tcPr>
            <w:tcW w:w="1423" w:type="dxa"/>
          </w:tcPr>
          <w:p w14:paraId="43E5CC0C" w14:textId="6600580B" w:rsidR="00AA3561" w:rsidRPr="00AA3561" w:rsidRDefault="00AA3561" w:rsidP="00AA3561">
            <w:r w:rsidRPr="00AA3561">
              <w:t>Редки (≥1/10 000 до &lt;1/1 000),</w:t>
            </w:r>
          </w:p>
        </w:tc>
        <w:tc>
          <w:tcPr>
            <w:tcW w:w="1124" w:type="dxa"/>
          </w:tcPr>
          <w:p w14:paraId="61D1B635" w14:textId="363E93EF" w:rsidR="00AA3561" w:rsidRPr="00AA3561" w:rsidRDefault="00AA3561" w:rsidP="00AA3561">
            <w:r w:rsidRPr="00AA3561">
              <w:t>Много редки (&lt;1/10 000),</w:t>
            </w:r>
          </w:p>
        </w:tc>
        <w:tc>
          <w:tcPr>
            <w:tcW w:w="1059" w:type="dxa"/>
          </w:tcPr>
          <w:p w14:paraId="454804E4" w14:textId="19BE0DEB" w:rsidR="00AA3561" w:rsidRPr="00AA3561" w:rsidRDefault="00AA3561" w:rsidP="00AA3561">
            <w:r w:rsidRPr="00AA3561">
              <w:t xml:space="preserve">с неизвестна честота (от наличните данни не може </w:t>
            </w:r>
            <w:r w:rsidRPr="00AA3561">
              <w:lastRenderedPageBreak/>
              <w:t>да бъде направена оценка).</w:t>
            </w:r>
          </w:p>
        </w:tc>
      </w:tr>
      <w:tr w:rsidR="006F7549" w14:paraId="4D1ABFCB" w14:textId="77777777" w:rsidTr="006F7549">
        <w:tc>
          <w:tcPr>
            <w:tcW w:w="1658" w:type="dxa"/>
          </w:tcPr>
          <w:p w14:paraId="0354BE28" w14:textId="2B28BEE6" w:rsidR="00AA3561" w:rsidRPr="00AA3561" w:rsidRDefault="00AA3561" w:rsidP="00AA3561">
            <w:r w:rsidRPr="00AA3561">
              <w:lastRenderedPageBreak/>
              <w:t>Нарушения на кръвта и лимфната система</w:t>
            </w:r>
          </w:p>
        </w:tc>
        <w:tc>
          <w:tcPr>
            <w:tcW w:w="922" w:type="dxa"/>
          </w:tcPr>
          <w:p w14:paraId="650FC44B" w14:textId="77777777" w:rsidR="00AA3561" w:rsidRPr="00AA3561" w:rsidRDefault="00AA3561" w:rsidP="00AA3561"/>
        </w:tc>
        <w:tc>
          <w:tcPr>
            <w:tcW w:w="1661" w:type="dxa"/>
          </w:tcPr>
          <w:p w14:paraId="28EA6131" w14:textId="77777777" w:rsidR="00AA3561" w:rsidRPr="00AA3561" w:rsidRDefault="00AA3561" w:rsidP="00AA3561"/>
        </w:tc>
        <w:tc>
          <w:tcPr>
            <w:tcW w:w="1729" w:type="dxa"/>
          </w:tcPr>
          <w:p w14:paraId="429F6D84" w14:textId="55303ED1" w:rsidR="00AA3561" w:rsidRPr="00AA3561" w:rsidRDefault="00AA3561" w:rsidP="00AA3561">
            <w:r w:rsidRPr="00AA3561">
              <w:t>анемия (включително апластична и хемолитична)</w:t>
            </w:r>
          </w:p>
        </w:tc>
        <w:tc>
          <w:tcPr>
            <w:tcW w:w="1423" w:type="dxa"/>
          </w:tcPr>
          <w:p w14:paraId="5315FD22" w14:textId="77777777" w:rsidR="00AA3561" w:rsidRDefault="00AA3561" w:rsidP="00AA3561">
            <w:r w:rsidRPr="00AA3561">
              <w:t>неутропения, намален хемоглобин, намален хематокрит</w:t>
            </w:r>
          </w:p>
          <w:p w14:paraId="79393D30" w14:textId="3EC8C56A" w:rsidR="006F7549" w:rsidRPr="006F7549" w:rsidRDefault="006F7549" w:rsidP="006F7549">
            <w:pPr>
              <w:rPr>
                <w:sz w:val="24"/>
                <w:szCs w:val="24"/>
              </w:rPr>
            </w:pPr>
            <w:r w:rsidRPr="006F7549">
              <w:rPr>
                <w:lang w:eastAsia="bg-BG"/>
              </w:rPr>
              <w:t>тромбоцитопения, агранулоцитоза, потискане на костния мозък, панцитопения, лимфаденопатия, автоимунни заболявания</w:t>
            </w:r>
          </w:p>
        </w:tc>
        <w:tc>
          <w:tcPr>
            <w:tcW w:w="1124" w:type="dxa"/>
          </w:tcPr>
          <w:p w14:paraId="23ED4B48" w14:textId="77777777" w:rsidR="00AA3561" w:rsidRPr="00AA3561" w:rsidRDefault="00AA3561" w:rsidP="00AA3561"/>
        </w:tc>
        <w:tc>
          <w:tcPr>
            <w:tcW w:w="1059" w:type="dxa"/>
          </w:tcPr>
          <w:p w14:paraId="616DD1E9" w14:textId="77777777" w:rsidR="00AA3561" w:rsidRPr="00AA3561" w:rsidRDefault="00AA3561" w:rsidP="00AA3561"/>
        </w:tc>
      </w:tr>
      <w:tr w:rsidR="006F7549" w14:paraId="570076CB" w14:textId="77777777" w:rsidTr="006F7549">
        <w:tc>
          <w:tcPr>
            <w:tcW w:w="1658" w:type="dxa"/>
          </w:tcPr>
          <w:p w14:paraId="163CBB05" w14:textId="43305D68" w:rsidR="006F7549" w:rsidRPr="006F7549" w:rsidRDefault="006F7549" w:rsidP="006F7549">
            <w:pPr>
              <w:rPr>
                <w:rFonts w:cs="Arial"/>
              </w:rPr>
            </w:pPr>
            <w:r w:rsidRPr="006F7549">
              <w:rPr>
                <w:rFonts w:cs="Arial"/>
              </w:rPr>
              <w:t>Нарушения на ендокринната система</w:t>
            </w:r>
          </w:p>
        </w:tc>
        <w:tc>
          <w:tcPr>
            <w:tcW w:w="922" w:type="dxa"/>
          </w:tcPr>
          <w:p w14:paraId="32DF745A" w14:textId="77777777" w:rsidR="006F7549" w:rsidRPr="006F7549" w:rsidRDefault="006F7549" w:rsidP="006F7549">
            <w:pPr>
              <w:rPr>
                <w:rFonts w:cs="Arial"/>
              </w:rPr>
            </w:pPr>
          </w:p>
        </w:tc>
        <w:tc>
          <w:tcPr>
            <w:tcW w:w="1661" w:type="dxa"/>
          </w:tcPr>
          <w:p w14:paraId="417F69C0" w14:textId="77777777" w:rsidR="006F7549" w:rsidRPr="006F7549" w:rsidRDefault="006F7549" w:rsidP="006F7549">
            <w:pPr>
              <w:rPr>
                <w:rFonts w:cs="Arial"/>
              </w:rPr>
            </w:pPr>
          </w:p>
        </w:tc>
        <w:tc>
          <w:tcPr>
            <w:tcW w:w="1729" w:type="dxa"/>
          </w:tcPr>
          <w:p w14:paraId="5008C869" w14:textId="77777777" w:rsidR="006F7549" w:rsidRPr="006F7549" w:rsidRDefault="006F7549" w:rsidP="006F7549">
            <w:pPr>
              <w:rPr>
                <w:rFonts w:cs="Arial"/>
              </w:rPr>
            </w:pPr>
          </w:p>
        </w:tc>
        <w:tc>
          <w:tcPr>
            <w:tcW w:w="1423" w:type="dxa"/>
          </w:tcPr>
          <w:p w14:paraId="7BFD3FEE" w14:textId="77777777" w:rsidR="006F7549" w:rsidRPr="006F7549" w:rsidRDefault="006F7549" w:rsidP="006F7549">
            <w:pPr>
              <w:rPr>
                <w:rFonts w:cs="Arial"/>
              </w:rPr>
            </w:pPr>
          </w:p>
        </w:tc>
        <w:tc>
          <w:tcPr>
            <w:tcW w:w="1124" w:type="dxa"/>
          </w:tcPr>
          <w:p w14:paraId="3D8A7ADB" w14:textId="77777777" w:rsidR="006F7549" w:rsidRPr="006F7549" w:rsidRDefault="006F7549" w:rsidP="006F7549">
            <w:pPr>
              <w:rPr>
                <w:rFonts w:cs="Arial"/>
              </w:rPr>
            </w:pPr>
          </w:p>
        </w:tc>
        <w:tc>
          <w:tcPr>
            <w:tcW w:w="1059" w:type="dxa"/>
            <w:vAlign w:val="bottom"/>
          </w:tcPr>
          <w:p w14:paraId="049804E5" w14:textId="317C388C" w:rsidR="006F7549" w:rsidRPr="006F7549" w:rsidRDefault="006F7549" w:rsidP="006F7549">
            <w:pPr>
              <w:rPr>
                <w:rFonts w:cs="Arial"/>
              </w:rPr>
            </w:pPr>
            <w:r w:rsidRPr="006F7549">
              <w:rPr>
                <w:rFonts w:cs="Arial"/>
              </w:rPr>
              <w:t xml:space="preserve">синдром на неадекватна секреция на антидиурет ичния хормон </w:t>
            </w:r>
            <w:r w:rsidRPr="006F7549">
              <w:rPr>
                <w:rFonts w:cs="Arial"/>
                <w:lang w:val="ru-RU"/>
              </w:rPr>
              <w:t>(</w:t>
            </w:r>
            <w:r w:rsidRPr="006F7549">
              <w:rPr>
                <w:rFonts w:cs="Arial"/>
                <w:lang w:val="en-US"/>
              </w:rPr>
              <w:t>SIADH</w:t>
            </w:r>
            <w:r w:rsidRPr="006F7549">
              <w:rPr>
                <w:rFonts w:cs="Arial"/>
                <w:lang w:val="ru-RU"/>
              </w:rPr>
              <w:t>)</w:t>
            </w:r>
          </w:p>
        </w:tc>
      </w:tr>
      <w:tr w:rsidR="006F7549" w14:paraId="52877F18" w14:textId="77777777" w:rsidTr="006F7549">
        <w:tc>
          <w:tcPr>
            <w:tcW w:w="1658" w:type="dxa"/>
            <w:vAlign w:val="bottom"/>
          </w:tcPr>
          <w:p w14:paraId="47DA2D07" w14:textId="05921D91" w:rsidR="006F7549" w:rsidRPr="006F7549" w:rsidRDefault="006F7549" w:rsidP="006F7549">
            <w:pPr>
              <w:rPr>
                <w:rFonts w:cs="Arial"/>
              </w:rPr>
            </w:pPr>
            <w:r w:rsidRPr="006F7549">
              <w:rPr>
                <w:rFonts w:cs="Arial"/>
              </w:rPr>
              <w:t>Нарушения на метаболизма и храненето</w:t>
            </w:r>
          </w:p>
        </w:tc>
        <w:tc>
          <w:tcPr>
            <w:tcW w:w="922" w:type="dxa"/>
          </w:tcPr>
          <w:p w14:paraId="17FE32DF" w14:textId="77777777" w:rsidR="006F7549" w:rsidRPr="006F7549" w:rsidRDefault="006F7549" w:rsidP="006F7549">
            <w:pPr>
              <w:rPr>
                <w:rFonts w:cs="Arial"/>
              </w:rPr>
            </w:pPr>
          </w:p>
        </w:tc>
        <w:tc>
          <w:tcPr>
            <w:tcW w:w="1661" w:type="dxa"/>
          </w:tcPr>
          <w:p w14:paraId="0DF259E0" w14:textId="77777777" w:rsidR="006F7549" w:rsidRPr="006F7549" w:rsidRDefault="006F7549" w:rsidP="006F7549">
            <w:pPr>
              <w:rPr>
                <w:rFonts w:cs="Arial"/>
              </w:rPr>
            </w:pPr>
          </w:p>
        </w:tc>
        <w:tc>
          <w:tcPr>
            <w:tcW w:w="1729" w:type="dxa"/>
          </w:tcPr>
          <w:p w14:paraId="256E9715" w14:textId="5184FAD2" w:rsidR="006F7549" w:rsidRPr="006F7549" w:rsidRDefault="006F7549" w:rsidP="006F7549">
            <w:pPr>
              <w:rPr>
                <w:rFonts w:cs="Arial"/>
              </w:rPr>
            </w:pPr>
            <w:r w:rsidRPr="006F7549">
              <w:rPr>
                <w:rFonts w:cs="Arial"/>
              </w:rPr>
              <w:t>хипогликемия (вж, точка 4.4)</w:t>
            </w:r>
          </w:p>
        </w:tc>
        <w:tc>
          <w:tcPr>
            <w:tcW w:w="1423" w:type="dxa"/>
          </w:tcPr>
          <w:p w14:paraId="1EA6B6A8" w14:textId="77777777" w:rsidR="006F7549" w:rsidRPr="006F7549" w:rsidRDefault="006F7549" w:rsidP="006F7549">
            <w:pPr>
              <w:rPr>
                <w:rFonts w:cs="Arial"/>
              </w:rPr>
            </w:pPr>
          </w:p>
        </w:tc>
        <w:tc>
          <w:tcPr>
            <w:tcW w:w="1124" w:type="dxa"/>
          </w:tcPr>
          <w:p w14:paraId="7CB9FD14" w14:textId="77777777" w:rsidR="006F7549" w:rsidRPr="006F7549" w:rsidRDefault="006F7549" w:rsidP="006F7549">
            <w:pPr>
              <w:rPr>
                <w:rFonts w:cs="Arial"/>
              </w:rPr>
            </w:pPr>
          </w:p>
        </w:tc>
        <w:tc>
          <w:tcPr>
            <w:tcW w:w="1059" w:type="dxa"/>
          </w:tcPr>
          <w:p w14:paraId="062EF55C" w14:textId="77777777" w:rsidR="006F7549" w:rsidRPr="006F7549" w:rsidRDefault="006F7549" w:rsidP="006F7549">
            <w:pPr>
              <w:rPr>
                <w:rFonts w:cs="Arial"/>
              </w:rPr>
            </w:pPr>
          </w:p>
        </w:tc>
      </w:tr>
      <w:tr w:rsidR="006F7549" w14:paraId="4C3F5ED6" w14:textId="77777777" w:rsidTr="006F7549">
        <w:tc>
          <w:tcPr>
            <w:tcW w:w="1658" w:type="dxa"/>
          </w:tcPr>
          <w:p w14:paraId="3323B029" w14:textId="75973E80" w:rsidR="006F7549" w:rsidRPr="006F7549" w:rsidRDefault="006F7549" w:rsidP="006F7549">
            <w:pPr>
              <w:rPr>
                <w:rFonts w:cs="Arial"/>
              </w:rPr>
            </w:pPr>
            <w:r w:rsidRPr="006F7549">
              <w:rPr>
                <w:rFonts w:cs="Arial"/>
              </w:rPr>
              <w:t>Психични нарушения</w:t>
            </w:r>
          </w:p>
        </w:tc>
        <w:tc>
          <w:tcPr>
            <w:tcW w:w="922" w:type="dxa"/>
          </w:tcPr>
          <w:p w14:paraId="7B29D2B5" w14:textId="77777777" w:rsidR="006F7549" w:rsidRPr="006F7549" w:rsidRDefault="006F7549" w:rsidP="006F7549">
            <w:pPr>
              <w:rPr>
                <w:rFonts w:cs="Arial"/>
              </w:rPr>
            </w:pPr>
          </w:p>
        </w:tc>
        <w:tc>
          <w:tcPr>
            <w:tcW w:w="1661" w:type="dxa"/>
          </w:tcPr>
          <w:p w14:paraId="0E856457" w14:textId="4645AA23" w:rsidR="006F7549" w:rsidRPr="006F7549" w:rsidRDefault="006F7549" w:rsidP="006F7549">
            <w:pPr>
              <w:rPr>
                <w:rFonts w:cs="Arial"/>
              </w:rPr>
            </w:pPr>
            <w:r w:rsidRPr="006F7549">
              <w:rPr>
                <w:rFonts w:cs="Arial"/>
              </w:rPr>
              <w:t>депресия</w:t>
            </w:r>
          </w:p>
        </w:tc>
        <w:tc>
          <w:tcPr>
            <w:tcW w:w="1729" w:type="dxa"/>
          </w:tcPr>
          <w:p w14:paraId="2E671760" w14:textId="799CE172" w:rsidR="006F7549" w:rsidRPr="006F7549" w:rsidRDefault="006F7549" w:rsidP="006F7549">
            <w:pPr>
              <w:rPr>
                <w:rFonts w:cs="Arial"/>
              </w:rPr>
            </w:pPr>
            <w:r w:rsidRPr="006F7549">
              <w:rPr>
                <w:rFonts w:cs="Arial"/>
              </w:rPr>
              <w:t>обърканост, нервност, безсъние</w:t>
            </w:r>
          </w:p>
        </w:tc>
        <w:tc>
          <w:tcPr>
            <w:tcW w:w="1423" w:type="dxa"/>
            <w:vAlign w:val="bottom"/>
          </w:tcPr>
          <w:p w14:paraId="43F89970" w14:textId="1281BF5D" w:rsidR="006F7549" w:rsidRPr="006F7549" w:rsidRDefault="006F7549" w:rsidP="006F7549">
            <w:pPr>
              <w:rPr>
                <w:rFonts w:cs="Arial"/>
              </w:rPr>
            </w:pPr>
            <w:r w:rsidRPr="006F7549">
              <w:rPr>
                <w:rFonts w:cs="Arial"/>
              </w:rPr>
              <w:t>необичайни сънища, нарушения на съня</w:t>
            </w:r>
          </w:p>
        </w:tc>
        <w:tc>
          <w:tcPr>
            <w:tcW w:w="1124" w:type="dxa"/>
          </w:tcPr>
          <w:p w14:paraId="3323362E" w14:textId="77777777" w:rsidR="006F7549" w:rsidRPr="006F7549" w:rsidRDefault="006F7549" w:rsidP="006F7549">
            <w:pPr>
              <w:rPr>
                <w:rFonts w:cs="Arial"/>
              </w:rPr>
            </w:pPr>
          </w:p>
        </w:tc>
        <w:tc>
          <w:tcPr>
            <w:tcW w:w="1059" w:type="dxa"/>
          </w:tcPr>
          <w:p w14:paraId="68E24A0A" w14:textId="77777777" w:rsidR="006F7549" w:rsidRPr="006F7549" w:rsidRDefault="006F7549" w:rsidP="006F7549">
            <w:pPr>
              <w:rPr>
                <w:rFonts w:cs="Arial"/>
              </w:rPr>
            </w:pPr>
          </w:p>
        </w:tc>
      </w:tr>
      <w:tr w:rsidR="006F7549" w14:paraId="7EA2444C" w14:textId="77777777" w:rsidTr="006F7549">
        <w:tc>
          <w:tcPr>
            <w:tcW w:w="1658" w:type="dxa"/>
          </w:tcPr>
          <w:p w14:paraId="36262597" w14:textId="16970A76" w:rsidR="006F7549" w:rsidRPr="006F7549" w:rsidRDefault="006F7549" w:rsidP="006F7549">
            <w:pPr>
              <w:rPr>
                <w:rFonts w:cs="Arial"/>
              </w:rPr>
            </w:pPr>
            <w:r w:rsidRPr="006F7549">
              <w:rPr>
                <w:rFonts w:cs="Arial"/>
              </w:rPr>
              <w:lastRenderedPageBreak/>
              <w:t>Нарушения на нервната система</w:t>
            </w:r>
          </w:p>
        </w:tc>
        <w:tc>
          <w:tcPr>
            <w:tcW w:w="922" w:type="dxa"/>
          </w:tcPr>
          <w:p w14:paraId="707CD045" w14:textId="3B7902C5" w:rsidR="006F7549" w:rsidRPr="006F7549" w:rsidRDefault="006F7549" w:rsidP="006F7549">
            <w:pPr>
              <w:rPr>
                <w:rFonts w:cs="Arial"/>
              </w:rPr>
            </w:pPr>
            <w:r w:rsidRPr="006F7549">
              <w:rPr>
                <w:rFonts w:cs="Arial"/>
              </w:rPr>
              <w:t>замайване</w:t>
            </w:r>
          </w:p>
        </w:tc>
        <w:tc>
          <w:tcPr>
            <w:tcW w:w="1661" w:type="dxa"/>
          </w:tcPr>
          <w:p w14:paraId="7F4ECCAA" w14:textId="2C6C185C" w:rsidR="006F7549" w:rsidRPr="006F7549" w:rsidRDefault="006F7549" w:rsidP="006F7549">
            <w:pPr>
              <w:rPr>
                <w:rFonts w:cs="Arial"/>
              </w:rPr>
            </w:pPr>
            <w:r w:rsidRPr="006F7549">
              <w:rPr>
                <w:rFonts w:cs="Arial"/>
              </w:rPr>
              <w:t>главоболие, синкоп, променен вкус</w:t>
            </w:r>
          </w:p>
        </w:tc>
        <w:tc>
          <w:tcPr>
            <w:tcW w:w="1729" w:type="dxa"/>
            <w:vAlign w:val="bottom"/>
          </w:tcPr>
          <w:p w14:paraId="0D0EA1A7" w14:textId="49EF3E43" w:rsidR="006F7549" w:rsidRPr="006F7549" w:rsidRDefault="006F7549" w:rsidP="006F7549">
            <w:pPr>
              <w:rPr>
                <w:rFonts w:cs="Arial"/>
              </w:rPr>
            </w:pPr>
            <w:r w:rsidRPr="006F7549">
              <w:rPr>
                <w:rFonts w:cs="Arial"/>
              </w:rPr>
              <w:t>сънливост, парестезии, вертиго</w:t>
            </w:r>
          </w:p>
        </w:tc>
        <w:tc>
          <w:tcPr>
            <w:tcW w:w="1423" w:type="dxa"/>
          </w:tcPr>
          <w:p w14:paraId="055C3BF1" w14:textId="77777777" w:rsidR="006F7549" w:rsidRPr="006F7549" w:rsidRDefault="006F7549" w:rsidP="006F7549">
            <w:pPr>
              <w:rPr>
                <w:rFonts w:cs="Arial"/>
              </w:rPr>
            </w:pPr>
          </w:p>
        </w:tc>
        <w:tc>
          <w:tcPr>
            <w:tcW w:w="1124" w:type="dxa"/>
          </w:tcPr>
          <w:p w14:paraId="3E744FD6" w14:textId="77777777" w:rsidR="006F7549" w:rsidRPr="006F7549" w:rsidRDefault="006F7549" w:rsidP="006F7549">
            <w:pPr>
              <w:rPr>
                <w:rFonts w:cs="Arial"/>
              </w:rPr>
            </w:pPr>
          </w:p>
        </w:tc>
        <w:tc>
          <w:tcPr>
            <w:tcW w:w="1059" w:type="dxa"/>
          </w:tcPr>
          <w:p w14:paraId="0F27A2EE" w14:textId="77777777" w:rsidR="006F7549" w:rsidRPr="006F7549" w:rsidRDefault="006F7549" w:rsidP="006F7549">
            <w:pPr>
              <w:rPr>
                <w:rFonts w:cs="Arial"/>
              </w:rPr>
            </w:pPr>
          </w:p>
        </w:tc>
      </w:tr>
      <w:tr w:rsidR="006F7549" w14:paraId="22A74F2A" w14:textId="77777777" w:rsidTr="006F7549">
        <w:tc>
          <w:tcPr>
            <w:tcW w:w="1658" w:type="dxa"/>
          </w:tcPr>
          <w:p w14:paraId="32230E86" w14:textId="7A347D0F" w:rsidR="006F7549" w:rsidRPr="006F7549" w:rsidRDefault="006F7549" w:rsidP="006F7549">
            <w:pPr>
              <w:rPr>
                <w:rFonts w:cs="Arial"/>
              </w:rPr>
            </w:pPr>
            <w:r w:rsidRPr="006F7549">
              <w:rPr>
                <w:rFonts w:cs="Arial"/>
              </w:rPr>
              <w:t>Нарушения на очите</w:t>
            </w:r>
          </w:p>
        </w:tc>
        <w:tc>
          <w:tcPr>
            <w:tcW w:w="922" w:type="dxa"/>
            <w:vAlign w:val="bottom"/>
          </w:tcPr>
          <w:p w14:paraId="05F0E859" w14:textId="4AAE97CB" w:rsidR="006F7549" w:rsidRPr="006F7549" w:rsidRDefault="006F7549" w:rsidP="006F7549">
            <w:pPr>
              <w:rPr>
                <w:rFonts w:cs="Arial"/>
              </w:rPr>
            </w:pPr>
            <w:r w:rsidRPr="006F7549">
              <w:rPr>
                <w:rFonts w:cs="Arial"/>
              </w:rPr>
              <w:t>замъглено зрение</w:t>
            </w:r>
          </w:p>
        </w:tc>
        <w:tc>
          <w:tcPr>
            <w:tcW w:w="1661" w:type="dxa"/>
          </w:tcPr>
          <w:p w14:paraId="060E649E" w14:textId="77777777" w:rsidR="006F7549" w:rsidRPr="006F7549" w:rsidRDefault="006F7549" w:rsidP="006F7549">
            <w:pPr>
              <w:rPr>
                <w:rFonts w:cs="Arial"/>
              </w:rPr>
            </w:pPr>
          </w:p>
        </w:tc>
        <w:tc>
          <w:tcPr>
            <w:tcW w:w="1729" w:type="dxa"/>
          </w:tcPr>
          <w:p w14:paraId="7136C368" w14:textId="77777777" w:rsidR="006F7549" w:rsidRPr="006F7549" w:rsidRDefault="006F7549" w:rsidP="006F7549">
            <w:pPr>
              <w:rPr>
                <w:rFonts w:cs="Arial"/>
              </w:rPr>
            </w:pPr>
          </w:p>
        </w:tc>
        <w:tc>
          <w:tcPr>
            <w:tcW w:w="1423" w:type="dxa"/>
          </w:tcPr>
          <w:p w14:paraId="5CF36DF5" w14:textId="77777777" w:rsidR="006F7549" w:rsidRPr="006F7549" w:rsidRDefault="006F7549" w:rsidP="006F7549">
            <w:pPr>
              <w:rPr>
                <w:rFonts w:cs="Arial"/>
              </w:rPr>
            </w:pPr>
          </w:p>
        </w:tc>
        <w:tc>
          <w:tcPr>
            <w:tcW w:w="1124" w:type="dxa"/>
          </w:tcPr>
          <w:p w14:paraId="01CE2F8B" w14:textId="77777777" w:rsidR="006F7549" w:rsidRPr="006F7549" w:rsidRDefault="006F7549" w:rsidP="006F7549">
            <w:pPr>
              <w:rPr>
                <w:rFonts w:cs="Arial"/>
              </w:rPr>
            </w:pPr>
          </w:p>
        </w:tc>
        <w:tc>
          <w:tcPr>
            <w:tcW w:w="1059" w:type="dxa"/>
          </w:tcPr>
          <w:p w14:paraId="5E028B4F" w14:textId="77777777" w:rsidR="006F7549" w:rsidRPr="006F7549" w:rsidRDefault="006F7549" w:rsidP="006F7549">
            <w:pPr>
              <w:rPr>
                <w:rFonts w:cs="Arial"/>
              </w:rPr>
            </w:pPr>
          </w:p>
        </w:tc>
      </w:tr>
      <w:tr w:rsidR="006F7549" w14:paraId="3D226FDD" w14:textId="77777777" w:rsidTr="006F7549">
        <w:tc>
          <w:tcPr>
            <w:tcW w:w="1658" w:type="dxa"/>
            <w:vAlign w:val="bottom"/>
          </w:tcPr>
          <w:p w14:paraId="0794B33C" w14:textId="27021D97" w:rsidR="006F7549" w:rsidRPr="006F7549" w:rsidRDefault="006F7549" w:rsidP="006F7549">
            <w:pPr>
              <w:rPr>
                <w:rFonts w:cs="Arial"/>
              </w:rPr>
            </w:pPr>
            <w:r w:rsidRPr="006F7549">
              <w:rPr>
                <w:rFonts w:cs="Arial"/>
              </w:rPr>
              <w:t>Нарушения на ухото и лабиринта</w:t>
            </w:r>
          </w:p>
        </w:tc>
        <w:tc>
          <w:tcPr>
            <w:tcW w:w="922" w:type="dxa"/>
          </w:tcPr>
          <w:p w14:paraId="6EACC861" w14:textId="77777777" w:rsidR="006F7549" w:rsidRPr="006F7549" w:rsidRDefault="006F7549" w:rsidP="006F7549">
            <w:pPr>
              <w:rPr>
                <w:rFonts w:cs="Arial"/>
              </w:rPr>
            </w:pPr>
          </w:p>
        </w:tc>
        <w:tc>
          <w:tcPr>
            <w:tcW w:w="1661" w:type="dxa"/>
          </w:tcPr>
          <w:p w14:paraId="75902B4B" w14:textId="77777777" w:rsidR="006F7549" w:rsidRPr="006F7549" w:rsidRDefault="006F7549" w:rsidP="006F7549">
            <w:pPr>
              <w:rPr>
                <w:rFonts w:cs="Arial"/>
              </w:rPr>
            </w:pPr>
          </w:p>
        </w:tc>
        <w:tc>
          <w:tcPr>
            <w:tcW w:w="1729" w:type="dxa"/>
          </w:tcPr>
          <w:p w14:paraId="36D9D867" w14:textId="1735F157" w:rsidR="006F7549" w:rsidRPr="006F7549" w:rsidRDefault="006F7549" w:rsidP="006F7549">
            <w:pPr>
              <w:rPr>
                <w:rFonts w:cs="Arial"/>
              </w:rPr>
            </w:pPr>
            <w:r w:rsidRPr="006F7549">
              <w:rPr>
                <w:rFonts w:cs="Arial"/>
              </w:rPr>
              <w:t>шум в ушите</w:t>
            </w:r>
          </w:p>
        </w:tc>
        <w:tc>
          <w:tcPr>
            <w:tcW w:w="1423" w:type="dxa"/>
          </w:tcPr>
          <w:p w14:paraId="5E4FC082" w14:textId="77777777" w:rsidR="006F7549" w:rsidRPr="006F7549" w:rsidRDefault="006F7549" w:rsidP="006F7549">
            <w:pPr>
              <w:rPr>
                <w:rFonts w:cs="Arial"/>
              </w:rPr>
            </w:pPr>
          </w:p>
        </w:tc>
        <w:tc>
          <w:tcPr>
            <w:tcW w:w="1124" w:type="dxa"/>
          </w:tcPr>
          <w:p w14:paraId="349913F1" w14:textId="77777777" w:rsidR="006F7549" w:rsidRPr="006F7549" w:rsidRDefault="006F7549" w:rsidP="006F7549">
            <w:pPr>
              <w:rPr>
                <w:rFonts w:cs="Arial"/>
              </w:rPr>
            </w:pPr>
          </w:p>
        </w:tc>
        <w:tc>
          <w:tcPr>
            <w:tcW w:w="1059" w:type="dxa"/>
          </w:tcPr>
          <w:p w14:paraId="6F9EE0C9" w14:textId="77777777" w:rsidR="006F7549" w:rsidRPr="006F7549" w:rsidRDefault="006F7549" w:rsidP="006F7549">
            <w:pPr>
              <w:rPr>
                <w:rFonts w:cs="Arial"/>
              </w:rPr>
            </w:pPr>
          </w:p>
        </w:tc>
      </w:tr>
      <w:tr w:rsidR="006F7549" w14:paraId="30B42445" w14:textId="77777777" w:rsidTr="006F7549">
        <w:tc>
          <w:tcPr>
            <w:tcW w:w="1658" w:type="dxa"/>
          </w:tcPr>
          <w:p w14:paraId="6D2A3A0A" w14:textId="0B785506" w:rsidR="006F7549" w:rsidRPr="006F7549" w:rsidRDefault="006F7549" w:rsidP="006F7549">
            <w:pPr>
              <w:rPr>
                <w:rFonts w:cs="Arial"/>
              </w:rPr>
            </w:pPr>
            <w:r w:rsidRPr="006F7549">
              <w:rPr>
                <w:rFonts w:cs="Arial"/>
              </w:rPr>
              <w:t>Сърдечни нарушения</w:t>
            </w:r>
          </w:p>
        </w:tc>
        <w:tc>
          <w:tcPr>
            <w:tcW w:w="922" w:type="dxa"/>
          </w:tcPr>
          <w:p w14:paraId="080179C9" w14:textId="77777777" w:rsidR="006F7549" w:rsidRPr="006F7549" w:rsidRDefault="006F7549" w:rsidP="006F7549">
            <w:pPr>
              <w:rPr>
                <w:rFonts w:cs="Arial"/>
              </w:rPr>
            </w:pPr>
          </w:p>
        </w:tc>
        <w:tc>
          <w:tcPr>
            <w:tcW w:w="1661" w:type="dxa"/>
          </w:tcPr>
          <w:p w14:paraId="3BA9DA14" w14:textId="2262866C" w:rsidR="006F7549" w:rsidRPr="006F7549" w:rsidRDefault="006F7549" w:rsidP="006F7549">
            <w:pPr>
              <w:rPr>
                <w:rFonts w:cs="Arial"/>
              </w:rPr>
            </w:pPr>
            <w:r w:rsidRPr="006F7549">
              <w:rPr>
                <w:rFonts w:cs="Arial"/>
              </w:rPr>
              <w:t>болка в гърдите, ритьмни нарушения, стенокардия, тахикардия</w:t>
            </w:r>
          </w:p>
        </w:tc>
        <w:tc>
          <w:tcPr>
            <w:tcW w:w="1729" w:type="dxa"/>
            <w:vAlign w:val="bottom"/>
          </w:tcPr>
          <w:p w14:paraId="7E2004BB" w14:textId="38CB9C66" w:rsidR="006F7549" w:rsidRPr="006F7549" w:rsidRDefault="006F7549" w:rsidP="006F7549">
            <w:pPr>
              <w:rPr>
                <w:rFonts w:cs="Arial"/>
              </w:rPr>
            </w:pPr>
            <w:r w:rsidRPr="006F7549">
              <w:rPr>
                <w:rFonts w:cs="Arial"/>
              </w:rPr>
              <w:t>палпитации, инфаркт на миокарда или мозъчно-съдов инцидент*, вероятно вследствие на ексцесивна хипотония при пациенти с висок риск (вж. точка 4.4)</w:t>
            </w:r>
          </w:p>
        </w:tc>
        <w:tc>
          <w:tcPr>
            <w:tcW w:w="1423" w:type="dxa"/>
          </w:tcPr>
          <w:p w14:paraId="2D628779" w14:textId="77777777" w:rsidR="006F7549" w:rsidRPr="006F7549" w:rsidRDefault="006F7549" w:rsidP="006F7549">
            <w:pPr>
              <w:rPr>
                <w:rFonts w:cs="Arial"/>
              </w:rPr>
            </w:pPr>
          </w:p>
        </w:tc>
        <w:tc>
          <w:tcPr>
            <w:tcW w:w="1124" w:type="dxa"/>
          </w:tcPr>
          <w:p w14:paraId="37F40B71" w14:textId="77777777" w:rsidR="006F7549" w:rsidRPr="006F7549" w:rsidRDefault="006F7549" w:rsidP="006F7549">
            <w:pPr>
              <w:rPr>
                <w:rFonts w:cs="Arial"/>
              </w:rPr>
            </w:pPr>
          </w:p>
        </w:tc>
        <w:tc>
          <w:tcPr>
            <w:tcW w:w="1059" w:type="dxa"/>
          </w:tcPr>
          <w:p w14:paraId="2867C9C4" w14:textId="77777777" w:rsidR="006F7549" w:rsidRPr="006F7549" w:rsidRDefault="006F7549" w:rsidP="006F7549">
            <w:pPr>
              <w:rPr>
                <w:rFonts w:cs="Arial"/>
              </w:rPr>
            </w:pPr>
          </w:p>
        </w:tc>
      </w:tr>
      <w:tr w:rsidR="006F7549" w14:paraId="4DC026D6" w14:textId="77777777" w:rsidTr="006F7549">
        <w:tc>
          <w:tcPr>
            <w:tcW w:w="1658" w:type="dxa"/>
          </w:tcPr>
          <w:p w14:paraId="09E02A29" w14:textId="763BD39C" w:rsidR="006F7549" w:rsidRPr="006F7549" w:rsidRDefault="006F7549" w:rsidP="006F7549">
            <w:pPr>
              <w:rPr>
                <w:rFonts w:cs="Arial"/>
              </w:rPr>
            </w:pPr>
            <w:r w:rsidRPr="006F7549">
              <w:rPr>
                <w:rFonts w:cs="Arial"/>
              </w:rPr>
              <w:t>Съдови нарушения</w:t>
            </w:r>
          </w:p>
        </w:tc>
        <w:tc>
          <w:tcPr>
            <w:tcW w:w="922" w:type="dxa"/>
          </w:tcPr>
          <w:p w14:paraId="77BE181F" w14:textId="77777777" w:rsidR="006F7549" w:rsidRPr="006F7549" w:rsidRDefault="006F7549" w:rsidP="006F7549">
            <w:pPr>
              <w:rPr>
                <w:rFonts w:cs="Arial"/>
              </w:rPr>
            </w:pPr>
          </w:p>
        </w:tc>
        <w:tc>
          <w:tcPr>
            <w:tcW w:w="1661" w:type="dxa"/>
          </w:tcPr>
          <w:p w14:paraId="52B04410" w14:textId="703210B7" w:rsidR="006F7549" w:rsidRPr="006F7549" w:rsidRDefault="006F7549" w:rsidP="006F7549">
            <w:pPr>
              <w:rPr>
                <w:rFonts w:cs="Arial"/>
              </w:rPr>
            </w:pPr>
            <w:r w:rsidRPr="006F7549">
              <w:rPr>
                <w:rFonts w:cs="Arial"/>
              </w:rPr>
              <w:t>хипотония (вкл. ортостатична хипотония)</w:t>
            </w:r>
          </w:p>
        </w:tc>
        <w:tc>
          <w:tcPr>
            <w:tcW w:w="1729" w:type="dxa"/>
            <w:vAlign w:val="bottom"/>
          </w:tcPr>
          <w:p w14:paraId="4F2FFBBE" w14:textId="4BB81EDC" w:rsidR="006F7549" w:rsidRPr="006F7549" w:rsidRDefault="006F7549" w:rsidP="006F7549">
            <w:pPr>
              <w:rPr>
                <w:rFonts w:cs="Arial"/>
              </w:rPr>
            </w:pPr>
            <w:r w:rsidRPr="006F7549">
              <w:rPr>
                <w:rFonts w:cs="Arial"/>
              </w:rPr>
              <w:t>зачервяване на лицето, ортостатична хипотония</w:t>
            </w:r>
          </w:p>
        </w:tc>
        <w:tc>
          <w:tcPr>
            <w:tcW w:w="1423" w:type="dxa"/>
          </w:tcPr>
          <w:p w14:paraId="7ED9915E" w14:textId="7184CACA" w:rsidR="006F7549" w:rsidRPr="006F7549" w:rsidRDefault="006F7549" w:rsidP="006F7549">
            <w:pPr>
              <w:rPr>
                <w:rFonts w:cs="Arial"/>
              </w:rPr>
            </w:pPr>
            <w:r w:rsidRPr="006F7549">
              <w:rPr>
                <w:rFonts w:cs="Arial"/>
              </w:rPr>
              <w:t xml:space="preserve">феномен на </w:t>
            </w:r>
            <w:r w:rsidRPr="006F7549">
              <w:rPr>
                <w:rFonts w:cs="Arial"/>
                <w:lang w:val="en-US"/>
              </w:rPr>
              <w:t>Raynaud</w:t>
            </w:r>
          </w:p>
        </w:tc>
        <w:tc>
          <w:tcPr>
            <w:tcW w:w="1124" w:type="dxa"/>
          </w:tcPr>
          <w:p w14:paraId="7BAAD22F" w14:textId="77777777" w:rsidR="006F7549" w:rsidRPr="006F7549" w:rsidRDefault="006F7549" w:rsidP="006F7549">
            <w:pPr>
              <w:rPr>
                <w:rFonts w:cs="Arial"/>
              </w:rPr>
            </w:pPr>
          </w:p>
        </w:tc>
        <w:tc>
          <w:tcPr>
            <w:tcW w:w="1059" w:type="dxa"/>
          </w:tcPr>
          <w:p w14:paraId="634E4BD5" w14:textId="77777777" w:rsidR="006F7549" w:rsidRPr="006F7549" w:rsidRDefault="006F7549" w:rsidP="006F7549">
            <w:pPr>
              <w:rPr>
                <w:rFonts w:cs="Arial"/>
              </w:rPr>
            </w:pPr>
          </w:p>
        </w:tc>
      </w:tr>
      <w:tr w:rsidR="006F7549" w14:paraId="11C7B272" w14:textId="77777777" w:rsidTr="006F7549">
        <w:tc>
          <w:tcPr>
            <w:tcW w:w="1658" w:type="dxa"/>
          </w:tcPr>
          <w:p w14:paraId="5F9EAE44" w14:textId="0E64A4AB" w:rsidR="006F7549" w:rsidRPr="006F7549" w:rsidRDefault="006F7549" w:rsidP="006F7549">
            <w:pPr>
              <w:rPr>
                <w:rFonts w:cs="Arial"/>
              </w:rPr>
            </w:pPr>
            <w:r w:rsidRPr="006F7549">
              <w:rPr>
                <w:rFonts w:cs="Arial"/>
              </w:rPr>
              <w:t>Респираторни, гръдни и медиастинални нарушения</w:t>
            </w:r>
          </w:p>
        </w:tc>
        <w:tc>
          <w:tcPr>
            <w:tcW w:w="922" w:type="dxa"/>
          </w:tcPr>
          <w:p w14:paraId="65904E54" w14:textId="460DDC35" w:rsidR="006F7549" w:rsidRPr="006F7549" w:rsidRDefault="006F7549" w:rsidP="006F7549">
            <w:pPr>
              <w:rPr>
                <w:rFonts w:cs="Arial"/>
              </w:rPr>
            </w:pPr>
            <w:r w:rsidRPr="006F7549">
              <w:rPr>
                <w:rFonts w:cs="Arial"/>
              </w:rPr>
              <w:t>кашлица</w:t>
            </w:r>
          </w:p>
        </w:tc>
        <w:tc>
          <w:tcPr>
            <w:tcW w:w="1661" w:type="dxa"/>
          </w:tcPr>
          <w:p w14:paraId="6C19CE5F" w14:textId="1CC5BDEA" w:rsidR="006F7549" w:rsidRPr="006F7549" w:rsidRDefault="006F7549" w:rsidP="006F7549">
            <w:pPr>
              <w:rPr>
                <w:rFonts w:cs="Arial"/>
              </w:rPr>
            </w:pPr>
            <w:r w:rsidRPr="006F7549">
              <w:rPr>
                <w:rFonts w:cs="Arial"/>
              </w:rPr>
              <w:t>диспнея</w:t>
            </w:r>
          </w:p>
        </w:tc>
        <w:tc>
          <w:tcPr>
            <w:tcW w:w="1729" w:type="dxa"/>
            <w:vAlign w:val="bottom"/>
          </w:tcPr>
          <w:p w14:paraId="350EF4E5" w14:textId="6913799F" w:rsidR="006F7549" w:rsidRPr="006F7549" w:rsidRDefault="006F7549" w:rsidP="006F7549">
            <w:pPr>
              <w:rPr>
                <w:rFonts w:cs="Arial"/>
              </w:rPr>
            </w:pPr>
            <w:r w:rsidRPr="006F7549">
              <w:rPr>
                <w:rFonts w:cs="Arial"/>
              </w:rPr>
              <w:t>назална секреция, болки в гърлото и дрезгав глас, бронхоспазъм/ астма</w:t>
            </w:r>
          </w:p>
        </w:tc>
        <w:tc>
          <w:tcPr>
            <w:tcW w:w="1423" w:type="dxa"/>
            <w:vAlign w:val="bottom"/>
          </w:tcPr>
          <w:p w14:paraId="19D5BBB4" w14:textId="2B2DAAC5" w:rsidR="006F7549" w:rsidRPr="006F7549" w:rsidRDefault="006F7549" w:rsidP="006F7549">
            <w:pPr>
              <w:rPr>
                <w:rFonts w:cs="Arial"/>
              </w:rPr>
            </w:pPr>
            <w:r w:rsidRPr="006F7549">
              <w:rPr>
                <w:rFonts w:cs="Arial"/>
              </w:rPr>
              <w:t>белодробни инфилтрати, ринит, алергичен алвеолит/ еозинофилна пневмония</w:t>
            </w:r>
          </w:p>
        </w:tc>
        <w:tc>
          <w:tcPr>
            <w:tcW w:w="1124" w:type="dxa"/>
          </w:tcPr>
          <w:p w14:paraId="378E98F2" w14:textId="77777777" w:rsidR="006F7549" w:rsidRPr="006F7549" w:rsidRDefault="006F7549" w:rsidP="006F7549">
            <w:pPr>
              <w:rPr>
                <w:rFonts w:cs="Arial"/>
              </w:rPr>
            </w:pPr>
          </w:p>
        </w:tc>
        <w:tc>
          <w:tcPr>
            <w:tcW w:w="1059" w:type="dxa"/>
          </w:tcPr>
          <w:p w14:paraId="748E4A5C" w14:textId="77777777" w:rsidR="006F7549" w:rsidRPr="006F7549" w:rsidRDefault="006F7549" w:rsidP="006F7549">
            <w:pPr>
              <w:rPr>
                <w:rFonts w:cs="Arial"/>
              </w:rPr>
            </w:pPr>
          </w:p>
        </w:tc>
      </w:tr>
      <w:tr w:rsidR="006F7549" w14:paraId="5F31BD7F" w14:textId="77777777" w:rsidTr="006F7549">
        <w:tc>
          <w:tcPr>
            <w:tcW w:w="1658" w:type="dxa"/>
          </w:tcPr>
          <w:p w14:paraId="35157F2E" w14:textId="11FD1186" w:rsidR="006F7549" w:rsidRPr="006F7549" w:rsidRDefault="006F7549" w:rsidP="006F7549">
            <w:pPr>
              <w:rPr>
                <w:rFonts w:cs="Arial"/>
              </w:rPr>
            </w:pPr>
            <w:r w:rsidRPr="006F7549">
              <w:rPr>
                <w:rFonts w:cs="Arial"/>
              </w:rPr>
              <w:t>Стомашно-чревни нарушения</w:t>
            </w:r>
          </w:p>
        </w:tc>
        <w:tc>
          <w:tcPr>
            <w:tcW w:w="922" w:type="dxa"/>
            <w:vAlign w:val="bottom"/>
          </w:tcPr>
          <w:p w14:paraId="14BCD14B" w14:textId="3D0295D8" w:rsidR="006F7549" w:rsidRPr="006F7549" w:rsidRDefault="006F7549" w:rsidP="006F7549">
            <w:pPr>
              <w:rPr>
                <w:rFonts w:cs="Arial"/>
              </w:rPr>
            </w:pPr>
            <w:r w:rsidRPr="006F7549">
              <w:rPr>
                <w:rFonts w:cs="Arial"/>
              </w:rPr>
              <w:t>гадене</w:t>
            </w:r>
          </w:p>
        </w:tc>
        <w:tc>
          <w:tcPr>
            <w:tcW w:w="1661" w:type="dxa"/>
          </w:tcPr>
          <w:p w14:paraId="2AB5EBF6" w14:textId="1FBDB7A6" w:rsidR="006F7549" w:rsidRPr="006F7549" w:rsidRDefault="006F7549" w:rsidP="006F7549">
            <w:pPr>
              <w:rPr>
                <w:rFonts w:cs="Arial"/>
              </w:rPr>
            </w:pPr>
            <w:r w:rsidRPr="006F7549">
              <w:rPr>
                <w:rFonts w:cs="Arial"/>
              </w:rPr>
              <w:t>диария, коремна болка</w:t>
            </w:r>
          </w:p>
        </w:tc>
        <w:tc>
          <w:tcPr>
            <w:tcW w:w="1729" w:type="dxa"/>
            <w:vAlign w:val="bottom"/>
          </w:tcPr>
          <w:p w14:paraId="2029FB4F" w14:textId="2C7389E4" w:rsidR="006F7549" w:rsidRPr="006F7549" w:rsidRDefault="006F7549" w:rsidP="006F7549">
            <w:pPr>
              <w:rPr>
                <w:rFonts w:cs="Arial"/>
              </w:rPr>
            </w:pPr>
            <w:r>
              <w:rPr>
                <w:rFonts w:cs="Arial"/>
              </w:rPr>
              <w:t>илеус, панкреатит, повръщане,</w:t>
            </w:r>
            <w:r w:rsidRPr="006F7549">
              <w:rPr>
                <w:rFonts w:cs="Arial"/>
              </w:rPr>
              <w:t>диспепсия, констипация, анорексия, стомашно</w:t>
            </w:r>
            <w:r>
              <w:rPr>
                <w:rFonts w:cs="Arial"/>
              </w:rPr>
              <w:t xml:space="preserve"> </w:t>
            </w:r>
            <w:r w:rsidRPr="006F7549">
              <w:t xml:space="preserve">дразнене, сухота в </w:t>
            </w:r>
            <w:r w:rsidRPr="006F7549">
              <w:lastRenderedPageBreak/>
              <w:t>устата, пептична язва</w:t>
            </w:r>
          </w:p>
        </w:tc>
        <w:tc>
          <w:tcPr>
            <w:tcW w:w="1423" w:type="dxa"/>
          </w:tcPr>
          <w:p w14:paraId="059ACF5C" w14:textId="113CDA20" w:rsidR="006F7549" w:rsidRPr="006F7549" w:rsidRDefault="006F7549" w:rsidP="006F7549">
            <w:pPr>
              <w:rPr>
                <w:rFonts w:cs="Arial"/>
              </w:rPr>
            </w:pPr>
            <w:r w:rsidRPr="006F7549">
              <w:rPr>
                <w:rFonts w:cs="Arial"/>
              </w:rPr>
              <w:lastRenderedPageBreak/>
              <w:t>стоматит/ афтозни улцерации (язви), глосит</w:t>
            </w:r>
          </w:p>
        </w:tc>
        <w:tc>
          <w:tcPr>
            <w:tcW w:w="1124" w:type="dxa"/>
          </w:tcPr>
          <w:p w14:paraId="1F119EBE" w14:textId="6688AAA8" w:rsidR="006F7549" w:rsidRPr="006F7549" w:rsidRDefault="006F7549" w:rsidP="006F7549">
            <w:pPr>
              <w:rPr>
                <w:rFonts w:cs="Arial"/>
              </w:rPr>
            </w:pPr>
            <w:r w:rsidRPr="006F7549">
              <w:rPr>
                <w:rFonts w:cs="Arial"/>
              </w:rPr>
              <w:t>интестинален ангиоедем</w:t>
            </w:r>
          </w:p>
        </w:tc>
        <w:tc>
          <w:tcPr>
            <w:tcW w:w="1059" w:type="dxa"/>
          </w:tcPr>
          <w:p w14:paraId="020399D9" w14:textId="77777777" w:rsidR="006F7549" w:rsidRPr="006F7549" w:rsidRDefault="006F7549" w:rsidP="006F7549">
            <w:pPr>
              <w:rPr>
                <w:rFonts w:cs="Arial"/>
              </w:rPr>
            </w:pPr>
          </w:p>
        </w:tc>
      </w:tr>
      <w:tr w:rsidR="006F7549" w14:paraId="4862730E" w14:textId="77777777" w:rsidTr="006F7549">
        <w:tc>
          <w:tcPr>
            <w:tcW w:w="1658" w:type="dxa"/>
          </w:tcPr>
          <w:p w14:paraId="123F9CAA" w14:textId="03F655A2" w:rsidR="006F7549" w:rsidRPr="006F7549" w:rsidRDefault="006F7549" w:rsidP="006F7549">
            <w:r w:rsidRPr="006F7549">
              <w:rPr>
                <w:szCs w:val="19"/>
              </w:rPr>
              <w:t>Хепатобилиарни нарушения</w:t>
            </w:r>
          </w:p>
        </w:tc>
        <w:tc>
          <w:tcPr>
            <w:tcW w:w="922" w:type="dxa"/>
          </w:tcPr>
          <w:p w14:paraId="2D69E2FA" w14:textId="77777777" w:rsidR="006F7549" w:rsidRPr="006F7549" w:rsidRDefault="006F7549" w:rsidP="006F7549"/>
        </w:tc>
        <w:tc>
          <w:tcPr>
            <w:tcW w:w="1661" w:type="dxa"/>
          </w:tcPr>
          <w:p w14:paraId="523553A8" w14:textId="77777777" w:rsidR="006F7549" w:rsidRPr="006F7549" w:rsidRDefault="006F7549" w:rsidP="006F7549"/>
        </w:tc>
        <w:tc>
          <w:tcPr>
            <w:tcW w:w="1729" w:type="dxa"/>
          </w:tcPr>
          <w:p w14:paraId="62D72EC5" w14:textId="77777777" w:rsidR="006F7549" w:rsidRPr="006F7549" w:rsidRDefault="006F7549" w:rsidP="006F7549"/>
        </w:tc>
        <w:tc>
          <w:tcPr>
            <w:tcW w:w="1423" w:type="dxa"/>
            <w:vAlign w:val="bottom"/>
          </w:tcPr>
          <w:p w14:paraId="742A1421" w14:textId="1C3FD1AB" w:rsidR="006F7549" w:rsidRPr="006F7549" w:rsidRDefault="006F7549" w:rsidP="006F7549">
            <w:r w:rsidRPr="006F7549">
              <w:rPr>
                <w:szCs w:val="19"/>
              </w:rPr>
              <w:t>чернодробна недостатъчност, хепатит - хепатоцелулареи или холестатичен, хепатит включващ чернодробна некроза, холестаза (вкл. жълтеница)</w:t>
            </w:r>
          </w:p>
        </w:tc>
        <w:tc>
          <w:tcPr>
            <w:tcW w:w="1124" w:type="dxa"/>
          </w:tcPr>
          <w:p w14:paraId="0D532AA8" w14:textId="77777777" w:rsidR="006F7549" w:rsidRPr="006F7549" w:rsidRDefault="006F7549" w:rsidP="006F7549"/>
        </w:tc>
        <w:tc>
          <w:tcPr>
            <w:tcW w:w="1059" w:type="dxa"/>
          </w:tcPr>
          <w:p w14:paraId="4A981B77" w14:textId="77777777" w:rsidR="006F7549" w:rsidRPr="006F7549" w:rsidRDefault="006F7549" w:rsidP="006F7549"/>
        </w:tc>
      </w:tr>
      <w:tr w:rsidR="006F7549" w14:paraId="19E620D6" w14:textId="77777777" w:rsidTr="006F7549">
        <w:tc>
          <w:tcPr>
            <w:tcW w:w="1658" w:type="dxa"/>
          </w:tcPr>
          <w:p w14:paraId="03E4BD3A" w14:textId="575B3EDD" w:rsidR="006F7549" w:rsidRPr="006F7549" w:rsidRDefault="006F7549" w:rsidP="006F7549">
            <w:r w:rsidRPr="006F7549">
              <w:rPr>
                <w:szCs w:val="19"/>
              </w:rPr>
              <w:t>Нарушения на кожата и подкожната тъкан</w:t>
            </w:r>
          </w:p>
        </w:tc>
        <w:tc>
          <w:tcPr>
            <w:tcW w:w="922" w:type="dxa"/>
          </w:tcPr>
          <w:p w14:paraId="793C0513" w14:textId="77777777" w:rsidR="006F7549" w:rsidRPr="006F7549" w:rsidRDefault="006F7549" w:rsidP="006F7549"/>
        </w:tc>
        <w:tc>
          <w:tcPr>
            <w:tcW w:w="1661" w:type="dxa"/>
          </w:tcPr>
          <w:p w14:paraId="62878641" w14:textId="77777777" w:rsidR="006F7549" w:rsidRPr="006F7549" w:rsidRDefault="006F7549" w:rsidP="006F7549">
            <w:r w:rsidRPr="006F7549">
              <w:rPr>
                <w:szCs w:val="19"/>
              </w:rPr>
              <w:t>обрив, свръхчувствителност/ ангионевротичен едем:</w:t>
            </w:r>
          </w:p>
          <w:p w14:paraId="0436453B" w14:textId="77777777" w:rsidR="006F7549" w:rsidRPr="006F7549" w:rsidRDefault="006F7549" w:rsidP="006F7549">
            <w:r w:rsidRPr="006F7549">
              <w:rPr>
                <w:szCs w:val="19"/>
              </w:rPr>
              <w:t>ангионевротичен оток на лицето, крайниците, устните, езика, глотиса и/или ларинкса (вж.</w:t>
            </w:r>
          </w:p>
          <w:p w14:paraId="0E9BB426" w14:textId="310AA534" w:rsidR="006F7549" w:rsidRPr="006F7549" w:rsidRDefault="006F7549" w:rsidP="006F7549">
            <w:r w:rsidRPr="006F7549">
              <w:rPr>
                <w:szCs w:val="19"/>
              </w:rPr>
              <w:t>точка 4.4).</w:t>
            </w:r>
          </w:p>
        </w:tc>
        <w:tc>
          <w:tcPr>
            <w:tcW w:w="1729" w:type="dxa"/>
          </w:tcPr>
          <w:p w14:paraId="065ACE3B" w14:textId="00707B49" w:rsidR="006F7549" w:rsidRPr="006F7549" w:rsidRDefault="006F7549" w:rsidP="006F7549">
            <w:r w:rsidRPr="006F7549">
              <w:rPr>
                <w:szCs w:val="19"/>
              </w:rPr>
              <w:t>диафореза, сърбеж, уртикария, алопеция</w:t>
            </w:r>
          </w:p>
        </w:tc>
        <w:tc>
          <w:tcPr>
            <w:tcW w:w="1423" w:type="dxa"/>
          </w:tcPr>
          <w:p w14:paraId="64A6584A" w14:textId="76364641" w:rsidR="006F7549" w:rsidRPr="006F7549" w:rsidRDefault="006F7549" w:rsidP="006F7549">
            <w:r w:rsidRPr="006F7549">
              <w:rPr>
                <w:szCs w:val="19"/>
              </w:rPr>
              <w:t xml:space="preserve">еритема мултиформе, синдром на </w:t>
            </w:r>
            <w:r w:rsidRPr="006F7549">
              <w:rPr>
                <w:szCs w:val="19"/>
                <w:lang w:val="en-US"/>
              </w:rPr>
              <w:t>Stevens</w:t>
            </w:r>
            <w:r w:rsidRPr="006F7549">
              <w:rPr>
                <w:szCs w:val="19"/>
              </w:rPr>
              <w:t>-</w:t>
            </w:r>
            <w:r w:rsidRPr="006F7549">
              <w:rPr>
                <w:szCs w:val="19"/>
                <w:lang w:val="en-US"/>
              </w:rPr>
              <w:t>Johnson</w:t>
            </w:r>
            <w:r w:rsidRPr="006F7549">
              <w:rPr>
                <w:szCs w:val="19"/>
              </w:rPr>
              <w:t>, ексфолиативен дерматит, токсична епидермална некролиза, пемфнгус, еритродерма</w:t>
            </w:r>
          </w:p>
        </w:tc>
        <w:tc>
          <w:tcPr>
            <w:tcW w:w="1124" w:type="dxa"/>
          </w:tcPr>
          <w:p w14:paraId="5C960B30" w14:textId="77777777" w:rsidR="006F7549" w:rsidRPr="006F7549" w:rsidRDefault="006F7549" w:rsidP="006F7549"/>
        </w:tc>
        <w:tc>
          <w:tcPr>
            <w:tcW w:w="1059" w:type="dxa"/>
            <w:vAlign w:val="bottom"/>
          </w:tcPr>
          <w:p w14:paraId="03381765" w14:textId="1B32284C" w:rsidR="006F7549" w:rsidRPr="006F7549" w:rsidRDefault="006F7549" w:rsidP="006F7549">
            <w:r w:rsidRPr="006F7549">
              <w:rPr>
                <w:szCs w:val="19"/>
              </w:rPr>
              <w:t xml:space="preserve">Докладван е комплекс, КОЙТО включва някои или всички от следните симптоми - повишена температура , серозит, васкулит, миалгия/ миозит, артралгия/ артрит, </w:t>
            </w:r>
            <w:r w:rsidRPr="006F7549">
              <w:rPr>
                <w:szCs w:val="19"/>
              </w:rPr>
              <w:lastRenderedPageBreak/>
              <w:t>положител</w:t>
            </w:r>
            <w:r w:rsidRPr="006F7549">
              <w:rPr>
                <w:szCs w:val="19"/>
              </w:rPr>
              <w:softHyphen/>
              <w:t xml:space="preserve">ни </w:t>
            </w:r>
            <w:r w:rsidRPr="006F7549">
              <w:rPr>
                <w:szCs w:val="19"/>
                <w:lang w:val="en-US"/>
              </w:rPr>
              <w:t>ANA</w:t>
            </w:r>
            <w:r w:rsidRPr="006F7549">
              <w:rPr>
                <w:szCs w:val="19"/>
                <w:lang w:val="ru-RU"/>
              </w:rPr>
              <w:t xml:space="preserve">, </w:t>
            </w:r>
            <w:r w:rsidRPr="006F7549">
              <w:rPr>
                <w:szCs w:val="19"/>
              </w:rPr>
              <w:t>ускорена утайка, еозинофи- лия и левкоцитоза . Може да се появи обрив, фоточув- ствителност или други кожни прояви</w:t>
            </w:r>
          </w:p>
        </w:tc>
      </w:tr>
      <w:tr w:rsidR="006F7549" w14:paraId="1905B7F6" w14:textId="77777777" w:rsidTr="006F7549">
        <w:tc>
          <w:tcPr>
            <w:tcW w:w="1658" w:type="dxa"/>
            <w:vAlign w:val="bottom"/>
          </w:tcPr>
          <w:p w14:paraId="2C866C7D" w14:textId="6E40B436" w:rsidR="006F7549" w:rsidRPr="006F7549" w:rsidRDefault="006F7549" w:rsidP="006F7549">
            <w:r w:rsidRPr="006F7549">
              <w:rPr>
                <w:szCs w:val="19"/>
              </w:rPr>
              <w:lastRenderedPageBreak/>
              <w:t>Нарушения на мускулно-скелетната система и съединителната тъкан</w:t>
            </w:r>
          </w:p>
        </w:tc>
        <w:tc>
          <w:tcPr>
            <w:tcW w:w="922" w:type="dxa"/>
          </w:tcPr>
          <w:p w14:paraId="3BFCD179" w14:textId="77777777" w:rsidR="006F7549" w:rsidRPr="006F7549" w:rsidRDefault="006F7549" w:rsidP="006F7549"/>
        </w:tc>
        <w:tc>
          <w:tcPr>
            <w:tcW w:w="1661" w:type="dxa"/>
          </w:tcPr>
          <w:p w14:paraId="6CFCF588" w14:textId="77777777" w:rsidR="006F7549" w:rsidRPr="006F7549" w:rsidRDefault="006F7549" w:rsidP="006F7549"/>
        </w:tc>
        <w:tc>
          <w:tcPr>
            <w:tcW w:w="1729" w:type="dxa"/>
          </w:tcPr>
          <w:p w14:paraId="3F6455CC" w14:textId="434E7C32" w:rsidR="006F7549" w:rsidRPr="006F7549" w:rsidRDefault="006F7549" w:rsidP="006F7549">
            <w:r w:rsidRPr="006F7549">
              <w:rPr>
                <w:szCs w:val="19"/>
              </w:rPr>
              <w:t>мускулни крампи</w:t>
            </w:r>
          </w:p>
        </w:tc>
        <w:tc>
          <w:tcPr>
            <w:tcW w:w="1423" w:type="dxa"/>
          </w:tcPr>
          <w:p w14:paraId="073C4276" w14:textId="77777777" w:rsidR="006F7549" w:rsidRPr="006F7549" w:rsidRDefault="006F7549" w:rsidP="006F7549"/>
        </w:tc>
        <w:tc>
          <w:tcPr>
            <w:tcW w:w="1124" w:type="dxa"/>
          </w:tcPr>
          <w:p w14:paraId="2DCE6A0E" w14:textId="77777777" w:rsidR="006F7549" w:rsidRPr="006F7549" w:rsidRDefault="006F7549" w:rsidP="006F7549"/>
        </w:tc>
        <w:tc>
          <w:tcPr>
            <w:tcW w:w="1059" w:type="dxa"/>
          </w:tcPr>
          <w:p w14:paraId="62C775F9" w14:textId="77777777" w:rsidR="006F7549" w:rsidRPr="006F7549" w:rsidRDefault="006F7549" w:rsidP="006F7549"/>
        </w:tc>
      </w:tr>
      <w:tr w:rsidR="006F7549" w14:paraId="49E3530E" w14:textId="77777777" w:rsidTr="006F7549">
        <w:tc>
          <w:tcPr>
            <w:tcW w:w="1658" w:type="dxa"/>
          </w:tcPr>
          <w:p w14:paraId="0B6F1E6E" w14:textId="34FF5851" w:rsidR="006F7549" w:rsidRPr="006F7549" w:rsidRDefault="006F7549" w:rsidP="006F7549">
            <w:r w:rsidRPr="006F7549">
              <w:rPr>
                <w:szCs w:val="19"/>
              </w:rPr>
              <w:t>Нарушения на бъбреците и пикочните пътища</w:t>
            </w:r>
          </w:p>
        </w:tc>
        <w:tc>
          <w:tcPr>
            <w:tcW w:w="922" w:type="dxa"/>
          </w:tcPr>
          <w:p w14:paraId="40EF0F11" w14:textId="77777777" w:rsidR="006F7549" w:rsidRPr="006F7549" w:rsidRDefault="006F7549" w:rsidP="006F7549"/>
        </w:tc>
        <w:tc>
          <w:tcPr>
            <w:tcW w:w="1661" w:type="dxa"/>
          </w:tcPr>
          <w:p w14:paraId="2E21E65A" w14:textId="77777777" w:rsidR="006F7549" w:rsidRPr="006F7549" w:rsidRDefault="006F7549" w:rsidP="006F7549"/>
        </w:tc>
        <w:tc>
          <w:tcPr>
            <w:tcW w:w="1729" w:type="dxa"/>
            <w:vAlign w:val="bottom"/>
          </w:tcPr>
          <w:p w14:paraId="658EE91A" w14:textId="42EBE036" w:rsidR="006F7549" w:rsidRPr="006F7549" w:rsidRDefault="006F7549" w:rsidP="006F7549">
            <w:r w:rsidRPr="006F7549">
              <w:rPr>
                <w:szCs w:val="19"/>
              </w:rPr>
              <w:t>бъбречна дисфункция, бъбречна недостатъчност, протеинурия</w:t>
            </w:r>
          </w:p>
        </w:tc>
        <w:tc>
          <w:tcPr>
            <w:tcW w:w="1423" w:type="dxa"/>
          </w:tcPr>
          <w:p w14:paraId="3691858E" w14:textId="6E0547B7" w:rsidR="006F7549" w:rsidRPr="006F7549" w:rsidRDefault="006F7549" w:rsidP="006F7549">
            <w:r w:rsidRPr="006F7549">
              <w:rPr>
                <w:szCs w:val="19"/>
              </w:rPr>
              <w:t>олигурия</w:t>
            </w:r>
          </w:p>
        </w:tc>
        <w:tc>
          <w:tcPr>
            <w:tcW w:w="1124" w:type="dxa"/>
          </w:tcPr>
          <w:p w14:paraId="07BD5CC6" w14:textId="77777777" w:rsidR="006F7549" w:rsidRPr="006F7549" w:rsidRDefault="006F7549" w:rsidP="006F7549"/>
        </w:tc>
        <w:tc>
          <w:tcPr>
            <w:tcW w:w="1059" w:type="dxa"/>
            <w:vAlign w:val="bottom"/>
          </w:tcPr>
          <w:p w14:paraId="069CD6A6" w14:textId="77777777" w:rsidR="006F7549" w:rsidRPr="006F7549" w:rsidRDefault="006F7549" w:rsidP="006F7549"/>
        </w:tc>
      </w:tr>
      <w:tr w:rsidR="006F7549" w14:paraId="7E560D22" w14:textId="77777777" w:rsidTr="006F7549">
        <w:tc>
          <w:tcPr>
            <w:tcW w:w="1658" w:type="dxa"/>
            <w:vAlign w:val="bottom"/>
          </w:tcPr>
          <w:p w14:paraId="30F61521" w14:textId="5B9D17FD" w:rsidR="006F7549" w:rsidRPr="006F7549" w:rsidRDefault="006F7549" w:rsidP="006F7549">
            <w:r w:rsidRPr="006F7549">
              <w:rPr>
                <w:szCs w:val="19"/>
              </w:rPr>
              <w:t>Нарушения на възпроизводителната система и гърдата</w:t>
            </w:r>
          </w:p>
        </w:tc>
        <w:tc>
          <w:tcPr>
            <w:tcW w:w="922" w:type="dxa"/>
          </w:tcPr>
          <w:p w14:paraId="6B95730B" w14:textId="77777777" w:rsidR="006F7549" w:rsidRPr="006F7549" w:rsidRDefault="006F7549" w:rsidP="006F7549"/>
        </w:tc>
        <w:tc>
          <w:tcPr>
            <w:tcW w:w="1661" w:type="dxa"/>
          </w:tcPr>
          <w:p w14:paraId="5F6B67F4" w14:textId="77777777" w:rsidR="006F7549" w:rsidRPr="006F7549" w:rsidRDefault="006F7549" w:rsidP="006F7549"/>
        </w:tc>
        <w:tc>
          <w:tcPr>
            <w:tcW w:w="1729" w:type="dxa"/>
          </w:tcPr>
          <w:p w14:paraId="367FD854" w14:textId="34AE1CF4" w:rsidR="006F7549" w:rsidRPr="006F7549" w:rsidRDefault="006F7549" w:rsidP="006F7549">
            <w:r w:rsidRPr="006F7549">
              <w:rPr>
                <w:szCs w:val="19"/>
              </w:rPr>
              <w:t>импотентност</w:t>
            </w:r>
          </w:p>
        </w:tc>
        <w:tc>
          <w:tcPr>
            <w:tcW w:w="1423" w:type="dxa"/>
          </w:tcPr>
          <w:p w14:paraId="619ADC70" w14:textId="16998087" w:rsidR="006F7549" w:rsidRPr="006F7549" w:rsidRDefault="006F7549" w:rsidP="006F7549">
            <w:r w:rsidRPr="006F7549">
              <w:rPr>
                <w:szCs w:val="19"/>
              </w:rPr>
              <w:t>гинекомастия</w:t>
            </w:r>
          </w:p>
        </w:tc>
        <w:tc>
          <w:tcPr>
            <w:tcW w:w="1124" w:type="dxa"/>
          </w:tcPr>
          <w:p w14:paraId="0D07B14C" w14:textId="77777777" w:rsidR="006F7549" w:rsidRPr="006F7549" w:rsidRDefault="006F7549" w:rsidP="006F7549"/>
        </w:tc>
        <w:tc>
          <w:tcPr>
            <w:tcW w:w="1059" w:type="dxa"/>
          </w:tcPr>
          <w:p w14:paraId="7B2966B4" w14:textId="77777777" w:rsidR="006F7549" w:rsidRPr="006F7549" w:rsidRDefault="006F7549" w:rsidP="006F7549"/>
        </w:tc>
      </w:tr>
      <w:tr w:rsidR="006F7549" w14:paraId="5564A522" w14:textId="77777777" w:rsidTr="006F7549">
        <w:tc>
          <w:tcPr>
            <w:tcW w:w="1658" w:type="dxa"/>
          </w:tcPr>
          <w:p w14:paraId="4642DA65" w14:textId="623D48E4" w:rsidR="006F7549" w:rsidRPr="006F7549" w:rsidRDefault="006F7549" w:rsidP="006F7549">
            <w:r w:rsidRPr="006F7549">
              <w:t>Общи нарушения и ефекти на мястото на приложение</w:t>
            </w:r>
          </w:p>
        </w:tc>
        <w:tc>
          <w:tcPr>
            <w:tcW w:w="922" w:type="dxa"/>
          </w:tcPr>
          <w:p w14:paraId="0DC13713" w14:textId="64224D69" w:rsidR="006F7549" w:rsidRPr="006F7549" w:rsidRDefault="006F7549" w:rsidP="006F7549">
            <w:r w:rsidRPr="006F7549">
              <w:t>астения</w:t>
            </w:r>
          </w:p>
        </w:tc>
        <w:tc>
          <w:tcPr>
            <w:tcW w:w="1661" w:type="dxa"/>
          </w:tcPr>
          <w:p w14:paraId="486A9A56" w14:textId="13009548" w:rsidR="006F7549" w:rsidRPr="006F7549" w:rsidRDefault="006F7549" w:rsidP="006F7549">
            <w:r w:rsidRPr="006F7549">
              <w:t>умора</w:t>
            </w:r>
          </w:p>
        </w:tc>
        <w:tc>
          <w:tcPr>
            <w:tcW w:w="1729" w:type="dxa"/>
          </w:tcPr>
          <w:p w14:paraId="3CAFA531" w14:textId="186BA05C" w:rsidR="006F7549" w:rsidRPr="006F7549" w:rsidRDefault="006F7549" w:rsidP="006F7549">
            <w:r w:rsidRPr="006F7549">
              <w:t>общо неразположение, висока температура</w:t>
            </w:r>
          </w:p>
        </w:tc>
        <w:tc>
          <w:tcPr>
            <w:tcW w:w="1423" w:type="dxa"/>
          </w:tcPr>
          <w:p w14:paraId="39611B5F" w14:textId="161058B7" w:rsidR="006F7549" w:rsidRPr="006F7549" w:rsidRDefault="006F7549" w:rsidP="006F7549"/>
        </w:tc>
        <w:tc>
          <w:tcPr>
            <w:tcW w:w="1124" w:type="dxa"/>
          </w:tcPr>
          <w:p w14:paraId="5D63EBCB" w14:textId="77777777" w:rsidR="006F7549" w:rsidRPr="006F7549" w:rsidRDefault="006F7549" w:rsidP="006F7549"/>
        </w:tc>
        <w:tc>
          <w:tcPr>
            <w:tcW w:w="1059" w:type="dxa"/>
          </w:tcPr>
          <w:p w14:paraId="5D59B43E" w14:textId="1220B7EE" w:rsidR="006F7549" w:rsidRPr="006F7549" w:rsidRDefault="006F7549" w:rsidP="006F7549"/>
        </w:tc>
      </w:tr>
      <w:tr w:rsidR="006F7549" w14:paraId="2C00B148" w14:textId="77777777" w:rsidTr="006F7549">
        <w:tc>
          <w:tcPr>
            <w:tcW w:w="1658" w:type="dxa"/>
          </w:tcPr>
          <w:p w14:paraId="111FF7CD" w14:textId="0797196E" w:rsidR="006F7549" w:rsidRPr="006F7549" w:rsidRDefault="006F7549" w:rsidP="006F7549">
            <w:r w:rsidRPr="006F7549">
              <w:lastRenderedPageBreak/>
              <w:t>Изследвания</w:t>
            </w:r>
          </w:p>
        </w:tc>
        <w:tc>
          <w:tcPr>
            <w:tcW w:w="922" w:type="dxa"/>
          </w:tcPr>
          <w:p w14:paraId="12721CE9" w14:textId="77777777" w:rsidR="006F7549" w:rsidRPr="006F7549" w:rsidRDefault="006F7549" w:rsidP="006F7549"/>
        </w:tc>
        <w:tc>
          <w:tcPr>
            <w:tcW w:w="1661" w:type="dxa"/>
          </w:tcPr>
          <w:p w14:paraId="3ECBDB47" w14:textId="4AB75871" w:rsidR="006F7549" w:rsidRPr="006F7549" w:rsidRDefault="006F7549" w:rsidP="006F7549">
            <w:r w:rsidRPr="006F7549">
              <w:t>хиперкалиемия, повишен серумен креатинин</w:t>
            </w:r>
          </w:p>
        </w:tc>
        <w:tc>
          <w:tcPr>
            <w:tcW w:w="1729" w:type="dxa"/>
          </w:tcPr>
          <w:p w14:paraId="2DA81B52" w14:textId="76C8CBD4" w:rsidR="006F7549" w:rsidRPr="006F7549" w:rsidRDefault="006F7549" w:rsidP="006F7549">
            <w:r w:rsidRPr="006F7549">
              <w:t>повишена кръвна урея, хипонатриемия</w:t>
            </w:r>
          </w:p>
        </w:tc>
        <w:tc>
          <w:tcPr>
            <w:tcW w:w="1423" w:type="dxa"/>
          </w:tcPr>
          <w:p w14:paraId="252CDB2D" w14:textId="1040699F" w:rsidR="006F7549" w:rsidRPr="006F7549" w:rsidRDefault="006F7549" w:rsidP="006F7549">
            <w:r w:rsidRPr="006F7549">
              <w:t>повишени стойности на чернодробните ензими, повишени стойности на серумния билирубин</w:t>
            </w:r>
          </w:p>
        </w:tc>
        <w:tc>
          <w:tcPr>
            <w:tcW w:w="1124" w:type="dxa"/>
          </w:tcPr>
          <w:p w14:paraId="44E124A4" w14:textId="77777777" w:rsidR="006F7549" w:rsidRPr="006F7549" w:rsidRDefault="006F7549" w:rsidP="006F7549"/>
        </w:tc>
        <w:tc>
          <w:tcPr>
            <w:tcW w:w="1059" w:type="dxa"/>
          </w:tcPr>
          <w:p w14:paraId="0C477283" w14:textId="77777777" w:rsidR="006F7549" w:rsidRPr="006F7549" w:rsidRDefault="006F7549" w:rsidP="006F7549"/>
        </w:tc>
      </w:tr>
    </w:tbl>
    <w:p w14:paraId="6898277E" w14:textId="77777777" w:rsidR="006F7549" w:rsidRPr="006F7549" w:rsidRDefault="006F7549" w:rsidP="006F7549">
      <w:pPr>
        <w:spacing w:line="240" w:lineRule="auto"/>
        <w:rPr>
          <w:rFonts w:eastAsia="Times New Roman" w:cs="Arial"/>
        </w:rPr>
      </w:pPr>
      <w:r w:rsidRPr="006F7549">
        <w:rPr>
          <w:rFonts w:eastAsia="Times New Roman" w:cs="Arial"/>
          <w:color w:val="000000"/>
          <w:lang w:eastAsia="bg-BG"/>
        </w:rPr>
        <w:t>* Честотата на тези събития е била сравнима с тази на групите с плацебо и на активен контрол при клинични изпитвания.</w:t>
      </w:r>
    </w:p>
    <w:p w14:paraId="6EFE9892" w14:textId="77777777" w:rsidR="006F7549" w:rsidRPr="006F7549" w:rsidRDefault="006F7549" w:rsidP="006F7549">
      <w:pPr>
        <w:spacing w:line="240" w:lineRule="auto"/>
        <w:rPr>
          <w:rFonts w:eastAsia="Times New Roman" w:cs="Arial"/>
          <w:color w:val="000000"/>
          <w:u w:val="single"/>
          <w:lang w:eastAsia="bg-BG"/>
        </w:rPr>
      </w:pPr>
    </w:p>
    <w:p w14:paraId="302FF9CC" w14:textId="6F3F6B27" w:rsidR="006F7549" w:rsidRPr="006F7549" w:rsidRDefault="006F7549" w:rsidP="006F7549">
      <w:pPr>
        <w:spacing w:line="240" w:lineRule="auto"/>
        <w:rPr>
          <w:rFonts w:eastAsia="Times New Roman" w:cs="Arial"/>
        </w:rPr>
      </w:pPr>
      <w:r w:rsidRPr="006F7549">
        <w:rPr>
          <w:rFonts w:eastAsia="Times New Roman" w:cs="Arial"/>
          <w:color w:val="000000"/>
          <w:u w:val="single"/>
          <w:lang w:eastAsia="bg-BG"/>
        </w:rPr>
        <w:t>Съобщаване на подозирани нежелани реакции</w:t>
      </w:r>
    </w:p>
    <w:p w14:paraId="3B8EC59A" w14:textId="77777777" w:rsidR="006F7549" w:rsidRPr="006F7549" w:rsidRDefault="006F7549" w:rsidP="006F7549">
      <w:pPr>
        <w:spacing w:line="240" w:lineRule="auto"/>
        <w:rPr>
          <w:rFonts w:eastAsia="Times New Roman" w:cs="Arial"/>
        </w:rPr>
      </w:pPr>
      <w:r w:rsidRPr="006F7549">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02 8903417, уебсайт: </w:t>
      </w:r>
      <w:r w:rsidRPr="006F7549">
        <w:rPr>
          <w:rFonts w:eastAsia="Times New Roman" w:cs="Arial"/>
        </w:rPr>
        <w:fldChar w:fldCharType="begin"/>
      </w:r>
      <w:r w:rsidRPr="006F7549">
        <w:rPr>
          <w:rFonts w:eastAsia="Times New Roman" w:cs="Arial"/>
        </w:rPr>
        <w:instrText xml:space="preserve"> HYPERLINK "http://www.bda.bg" </w:instrText>
      </w:r>
      <w:r w:rsidRPr="006F7549">
        <w:rPr>
          <w:rFonts w:eastAsia="Times New Roman" w:cs="Arial"/>
        </w:rPr>
      </w:r>
      <w:r w:rsidRPr="006F7549">
        <w:rPr>
          <w:rFonts w:eastAsia="Times New Roman" w:cs="Arial"/>
        </w:rPr>
        <w:fldChar w:fldCharType="separate"/>
      </w:r>
      <w:r w:rsidRPr="006F7549">
        <w:rPr>
          <w:rFonts w:eastAsia="Times New Roman" w:cs="Arial"/>
          <w:color w:val="000000"/>
          <w:lang w:val="en-US"/>
        </w:rPr>
        <w:t>www.bda.bg</w:t>
      </w:r>
      <w:r w:rsidRPr="006F7549">
        <w:rPr>
          <w:rFonts w:eastAsia="Times New Roman" w:cs="Arial"/>
        </w:rPr>
        <w:fldChar w:fldCharType="end"/>
      </w:r>
      <w:r w:rsidRPr="006F7549">
        <w:rPr>
          <w:rFonts w:eastAsia="Times New Roman" w:cs="Arial"/>
          <w:color w:val="000000"/>
          <w:lang w:val="en-US"/>
        </w:rPr>
        <w:t>.</w:t>
      </w:r>
    </w:p>
    <w:p w14:paraId="3378C4E9" w14:textId="77777777" w:rsidR="00AA3561" w:rsidRPr="00AA3561" w:rsidRDefault="00AA3561" w:rsidP="00AA3561"/>
    <w:p w14:paraId="5A87DBA3" w14:textId="65E1AB97" w:rsidR="007122AD" w:rsidRDefault="002C50EE" w:rsidP="00936AD0">
      <w:pPr>
        <w:pStyle w:val="Heading2"/>
      </w:pPr>
      <w:r>
        <w:t>4.9. Предозиране</w:t>
      </w:r>
    </w:p>
    <w:p w14:paraId="1D80AE14" w14:textId="6CA2F028" w:rsidR="006F7549" w:rsidRDefault="006F7549" w:rsidP="006F7549"/>
    <w:p w14:paraId="5374E8D2"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Има ограничени данни относно предозиране при хора. Най-забележимите симптоми, предизвикани от предозиране са изразена хипотония, започващи около 6 часа след приема на таблетките, вследствие на блокиране на ренин-ангиотензиновата система и ступор. Симптомите свързани с предозиране с АСЕ инхибитори могат да включват циркулаторен шок, електролитни нарушения, бъбречна недостатъчност, хипервентилация, тахикардия, палпитации, брадикардия, замаяност, тревожност, кашлица. Серумни нива на еналаприл от 100 до 200 пъти над тези при стандартна дозировка се наблюдават след приложение но 300 и 440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еналаприл, респективно.</w:t>
      </w:r>
    </w:p>
    <w:p w14:paraId="1987DB1C" w14:textId="77777777" w:rsidR="006F7549" w:rsidRPr="006F7549" w:rsidRDefault="006F7549" w:rsidP="006F7549">
      <w:pPr>
        <w:spacing w:line="240" w:lineRule="auto"/>
        <w:rPr>
          <w:rFonts w:eastAsia="Times New Roman" w:cs="Arial"/>
          <w:color w:val="000000"/>
          <w:szCs w:val="20"/>
          <w:lang w:eastAsia="bg-BG"/>
        </w:rPr>
      </w:pPr>
    </w:p>
    <w:p w14:paraId="4714AC69" w14:textId="7F27161A"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Препоръчителното лечение при предозиране е интравенозна инфузия на изотоничен физиологичен разтвор. Ако възникне хипотония, пациентът трябва да се постави в легнало положение. Ако е налична, инфузия с ангиотензин II и/или интравенозни катехоламини може да бъде от полза. Ако медикаментът е погълнат скоро, уместно е да се предприемат мерки за елиминиране (предизвикване на повръщане, стомашен лаваж, приложение на абсорбенти и натриев сулфат). Еналаприлат може да се премахне от циркулацията чрез хемодиализа (вж. точка 4.4). При резистентна на медикаментозно лечение брадикардия е необходимо поставяне на временен пейсмейкър. Необходим е постоянен контрол на виталните показатели, серумните електролити и стойностите на креатинина.</w:t>
      </w:r>
    </w:p>
    <w:p w14:paraId="41E425E4" w14:textId="77777777" w:rsidR="006F7549" w:rsidRPr="006F7549" w:rsidRDefault="006F7549" w:rsidP="006F7549"/>
    <w:p w14:paraId="02081B24" w14:textId="36FE76F4" w:rsidR="00395555" w:rsidRPr="00395555" w:rsidRDefault="002C50EE" w:rsidP="008A6AF2">
      <w:pPr>
        <w:pStyle w:val="Heading1"/>
      </w:pPr>
      <w:r>
        <w:t>5. ФАРМАКОЛОГИЧНИ СВОЙСТВА</w:t>
      </w:r>
    </w:p>
    <w:p w14:paraId="6339E404" w14:textId="5FCB109E" w:rsidR="00875EEC" w:rsidRDefault="002C50EE" w:rsidP="005726E3">
      <w:pPr>
        <w:pStyle w:val="Heading2"/>
      </w:pPr>
      <w:r>
        <w:t>5.1. Фармакодинамични свойства</w:t>
      </w:r>
    </w:p>
    <w:p w14:paraId="0C495B5D" w14:textId="7542A9B7" w:rsidR="006F7549" w:rsidRDefault="006F7549" w:rsidP="006F7549"/>
    <w:p w14:paraId="6FCA057F"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lastRenderedPageBreak/>
        <w:t>Фармакотерапевтична група: АСЕ инхибитори, АТС код: С09АА02.</w:t>
      </w:r>
    </w:p>
    <w:p w14:paraId="174C5446" w14:textId="77777777" w:rsidR="006F7549" w:rsidRPr="006F7549" w:rsidRDefault="006F7549" w:rsidP="006F7549">
      <w:pPr>
        <w:spacing w:line="240" w:lineRule="auto"/>
        <w:rPr>
          <w:rFonts w:eastAsia="Times New Roman" w:cs="Arial"/>
          <w:color w:val="000000"/>
          <w:szCs w:val="20"/>
          <w:lang w:eastAsia="bg-BG"/>
        </w:rPr>
      </w:pPr>
    </w:p>
    <w:p w14:paraId="12CC2BDD" w14:textId="77777777" w:rsidR="006F7549" w:rsidRPr="006F7549" w:rsidRDefault="006F7549" w:rsidP="006F7549">
      <w:pPr>
        <w:rPr>
          <w:rFonts w:eastAsia="Times New Roman" w:cs="Arial"/>
          <w:sz w:val="28"/>
          <w:szCs w:val="24"/>
        </w:rPr>
      </w:pPr>
      <w:r w:rsidRPr="006F7549">
        <w:rPr>
          <w:rFonts w:eastAsia="Times New Roman" w:cs="Arial"/>
          <w:color w:val="000000"/>
          <w:szCs w:val="20"/>
          <w:lang w:eastAsia="bg-BG"/>
        </w:rPr>
        <w:t xml:space="preserve">Активното вещество на Ренаприл (еналаприлов малеат) е малеатна сол на еналаприл, производно на две амино киселини, </w:t>
      </w:r>
      <w:r w:rsidRPr="006F7549">
        <w:rPr>
          <w:rFonts w:eastAsia="Times New Roman" w:cs="Arial"/>
          <w:color w:val="000000"/>
          <w:szCs w:val="20"/>
          <w:lang w:val="en-US"/>
        </w:rPr>
        <w:t>L</w:t>
      </w:r>
      <w:r w:rsidRPr="006F7549">
        <w:rPr>
          <w:rFonts w:eastAsia="Times New Roman" w:cs="Arial"/>
          <w:color w:val="000000"/>
          <w:szCs w:val="20"/>
          <w:lang w:eastAsia="bg-BG"/>
        </w:rPr>
        <w:t xml:space="preserve">-аланин и </w:t>
      </w:r>
      <w:r w:rsidRPr="006F7549">
        <w:rPr>
          <w:rFonts w:eastAsia="Times New Roman" w:cs="Arial"/>
          <w:color w:val="000000"/>
          <w:szCs w:val="20"/>
          <w:lang w:val="en-US"/>
        </w:rPr>
        <w:t>L</w:t>
      </w:r>
      <w:r w:rsidRPr="006F7549">
        <w:rPr>
          <w:rFonts w:eastAsia="Times New Roman" w:cs="Arial"/>
          <w:color w:val="000000"/>
          <w:szCs w:val="20"/>
          <w:lang w:eastAsia="bg-BG"/>
        </w:rPr>
        <w:t>-пролин. Ангиотензин конвертиращият ензим (АСЕ) е пептидил дипептидаза, която катализира конверсията на ангиотензин I в пресорната субстанция ангиотензин II, вещество повишаващо кръвното налягане. След абсорбцията, еналаприл се</w:t>
      </w:r>
      <w:r w:rsidRPr="006F7549">
        <w:rPr>
          <w:rFonts w:eastAsia="Times New Roman" w:cs="Arial"/>
          <w:sz w:val="28"/>
          <w:szCs w:val="24"/>
        </w:rPr>
        <w:t xml:space="preserve"> </w:t>
      </w:r>
      <w:r w:rsidRPr="006F7549">
        <w:rPr>
          <w:rFonts w:eastAsia="Times New Roman" w:cs="Arial"/>
          <w:color w:val="000000"/>
          <w:szCs w:val="20"/>
          <w:lang w:eastAsia="bg-BG"/>
        </w:rPr>
        <w:t>хидролизира до еналаприлат, който инхибира АСЕ. Това води до намалена плазмента активност на ангиотензин II, което повишава плазмената ренинова активност (поради отстраняване на негативната обратна връзка на освобождаването на ренин), и до намалена секреция иа алдостерон.</w:t>
      </w:r>
    </w:p>
    <w:p w14:paraId="180B694A" w14:textId="77777777" w:rsidR="006F7549" w:rsidRPr="006F7549" w:rsidRDefault="006F7549" w:rsidP="006F7549">
      <w:pPr>
        <w:spacing w:line="240" w:lineRule="auto"/>
        <w:rPr>
          <w:rFonts w:eastAsia="Times New Roman" w:cs="Arial"/>
          <w:color w:val="000000"/>
          <w:szCs w:val="20"/>
          <w:lang w:eastAsia="bg-BG"/>
        </w:rPr>
      </w:pPr>
    </w:p>
    <w:p w14:paraId="3DBB8A3D" w14:textId="5EE526B9"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Тъй като АСЕ е идентичен на киназа </w:t>
      </w:r>
      <w:r w:rsidRPr="006F7549">
        <w:rPr>
          <w:rFonts w:eastAsia="Times New Roman" w:cs="Arial"/>
          <w:color w:val="000000"/>
          <w:szCs w:val="20"/>
          <w:lang w:val="en-US"/>
        </w:rPr>
        <w:t>II</w:t>
      </w:r>
      <w:r w:rsidRPr="006F7549">
        <w:rPr>
          <w:rFonts w:eastAsia="Times New Roman" w:cs="Arial"/>
          <w:color w:val="000000"/>
          <w:szCs w:val="20"/>
          <w:lang w:eastAsia="bg-BG"/>
        </w:rPr>
        <w:t>, еналаприл също така може да блокира разграждането на брадикинина, мощен вазодепресорен пептид. Обаче ролята на този ефект на еналаприл в терапевтично отношение остава да се изясни.</w:t>
      </w:r>
    </w:p>
    <w:p w14:paraId="15E3CABB" w14:textId="77777777" w:rsidR="006F7549" w:rsidRPr="006F7549" w:rsidRDefault="006F7549" w:rsidP="006F7549">
      <w:pPr>
        <w:spacing w:line="240" w:lineRule="auto"/>
        <w:rPr>
          <w:rFonts w:eastAsia="Times New Roman" w:cs="Arial"/>
          <w:color w:val="000000"/>
          <w:szCs w:val="20"/>
          <w:u w:val="single"/>
          <w:lang w:eastAsia="bg-BG"/>
        </w:rPr>
      </w:pPr>
    </w:p>
    <w:p w14:paraId="5EB30E8A" w14:textId="24C432F6"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Механизъм на действие</w:t>
      </w:r>
    </w:p>
    <w:p w14:paraId="1641AFCF"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Въпреки, че механизмът по който еналаприл понижава кръвното налягане се дължи основно на супресията на ренин-ангиотензин-алдостероновата система, която играе основна роля в контрола на кръвното налягане, е установено, че еналаприл оказва антихипертензивен ефект дори при пациенти с хипертония с ниско ниво на ренин.</w:t>
      </w:r>
    </w:p>
    <w:p w14:paraId="239F1B45" w14:textId="77777777" w:rsidR="006F7549" w:rsidRPr="006F7549" w:rsidRDefault="006F7549" w:rsidP="006F7549">
      <w:pPr>
        <w:spacing w:line="240" w:lineRule="auto"/>
        <w:rPr>
          <w:rFonts w:eastAsia="Times New Roman" w:cs="Arial"/>
          <w:color w:val="000000"/>
          <w:szCs w:val="20"/>
          <w:u w:val="single"/>
          <w:lang w:eastAsia="bg-BG"/>
        </w:rPr>
      </w:pPr>
    </w:p>
    <w:p w14:paraId="71024C59" w14:textId="08D30CCF"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Фармакодинамични ефекти</w:t>
      </w:r>
    </w:p>
    <w:p w14:paraId="0037DC5C"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Приложението на еналаприл на пациенти с хипертония води до понижаване на кръвното налягане в изправено и седнало положение без значително повишаване на сърдечната честота.</w:t>
      </w:r>
    </w:p>
    <w:p w14:paraId="7646E815" w14:textId="77777777" w:rsidR="006F7549" w:rsidRPr="006F7549" w:rsidRDefault="006F7549" w:rsidP="006F7549">
      <w:pPr>
        <w:spacing w:line="240" w:lineRule="auto"/>
        <w:rPr>
          <w:rFonts w:eastAsia="Times New Roman" w:cs="Arial"/>
          <w:color w:val="000000"/>
          <w:szCs w:val="20"/>
          <w:lang w:eastAsia="bg-BG"/>
        </w:rPr>
      </w:pPr>
    </w:p>
    <w:p w14:paraId="7A0D69CB" w14:textId="29E5F724"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Симптоматичната постурална хипотония не е честа. При някои пациенти получаването на оптимален спад на кръвното налягане може да изисква няколко седмично лечение. Внезапното прекратяване на приема на еналаприл не е било асоциирано с внезапно покачване на кръвното налягане.</w:t>
      </w:r>
    </w:p>
    <w:p w14:paraId="21EFD369" w14:textId="77777777" w:rsidR="006F7549" w:rsidRPr="006F7549" w:rsidRDefault="006F7549" w:rsidP="006F7549">
      <w:pPr>
        <w:spacing w:line="240" w:lineRule="auto"/>
        <w:rPr>
          <w:rFonts w:eastAsia="Times New Roman" w:cs="Arial"/>
          <w:color w:val="000000"/>
          <w:szCs w:val="20"/>
          <w:lang w:eastAsia="bg-BG"/>
        </w:rPr>
      </w:pPr>
    </w:p>
    <w:p w14:paraId="6FA08FAC" w14:textId="19425CD3"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Ефективното ихибиране на АСЕ активността обичайно се получава 2 до 4 часа след перорално приложение на единична доза еналаприл. Началото на антихипертензивната активност обичайно се наблюдава в течение на един час, като максимално понижаване на кръвното налягане се постига от 4 до 6 часа след приложението на лекарството. Продължителността на ефекта е дозозависима. При препоръчителните дози, антихипертензивният ефект и хемодинамичните ефекти се поддържат в рамките на поне 24 часа.</w:t>
      </w:r>
    </w:p>
    <w:p w14:paraId="502BAABB" w14:textId="77777777" w:rsidR="006F7549" w:rsidRPr="006F7549" w:rsidRDefault="006F7549" w:rsidP="006F7549">
      <w:pPr>
        <w:spacing w:line="240" w:lineRule="auto"/>
        <w:rPr>
          <w:rFonts w:eastAsia="Times New Roman" w:cs="Arial"/>
          <w:color w:val="000000"/>
          <w:szCs w:val="20"/>
          <w:lang w:eastAsia="bg-BG"/>
        </w:rPr>
      </w:pPr>
    </w:p>
    <w:p w14:paraId="7DB4BC88" w14:textId="088E24EF"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При проучвания на хемодинамиката при пациенти с есенциална хипертония, намаляването на кръвното налягане е било придружено с понижаване на периферната артериална резистентност, повишаване на сърдечния ударен обем и незначителна или никаква промяна в сърдечната честота. Продължителното приложение на еналаприл е било асоциирано с повишен бъбречен кръвоток, докато нивото на гломерулна филтрация се е запазило непроменено. Не е установена задръжка на натрий и вода. Обаче, при пациенти с ниско ниво на гломерулна филтрация преди терапия, степента на филтрация обикновено е показала увеличение.</w:t>
      </w:r>
    </w:p>
    <w:p w14:paraId="119CBB70" w14:textId="77777777" w:rsidR="006F7549" w:rsidRPr="006F7549" w:rsidRDefault="006F7549" w:rsidP="006F7549">
      <w:pPr>
        <w:spacing w:line="240" w:lineRule="auto"/>
        <w:rPr>
          <w:rFonts w:eastAsia="Times New Roman" w:cs="Arial"/>
          <w:color w:val="000000"/>
          <w:szCs w:val="20"/>
          <w:lang w:eastAsia="bg-BG"/>
        </w:rPr>
      </w:pPr>
    </w:p>
    <w:p w14:paraId="19B1A1C6" w14:textId="3641B3D5"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При провеждане на краткосрочни клинични проучвания при пациенти с бъбречно заболяване, с и без придружаващ диабет, след приложение на еналаприл са </w:t>
      </w:r>
      <w:r w:rsidRPr="006F7549">
        <w:rPr>
          <w:rFonts w:eastAsia="Times New Roman" w:cs="Arial"/>
          <w:color w:val="000000"/>
          <w:szCs w:val="20"/>
          <w:lang w:eastAsia="bg-BG"/>
        </w:rPr>
        <w:lastRenderedPageBreak/>
        <w:t xml:space="preserve">наблюдавани намаляване на албуминурията, уринната екскреция на </w:t>
      </w:r>
      <w:r w:rsidRPr="006F7549">
        <w:rPr>
          <w:rFonts w:eastAsia="Times New Roman" w:cs="Arial"/>
          <w:color w:val="000000"/>
          <w:szCs w:val="20"/>
          <w:lang w:val="en-US"/>
        </w:rPr>
        <w:t>IgG</w:t>
      </w:r>
      <w:r w:rsidRPr="006F7549">
        <w:rPr>
          <w:rFonts w:eastAsia="Times New Roman" w:cs="Arial"/>
          <w:color w:val="000000"/>
          <w:szCs w:val="20"/>
          <w:lang w:val="ru-RU"/>
        </w:rPr>
        <w:t xml:space="preserve"> </w:t>
      </w:r>
      <w:r w:rsidRPr="006F7549">
        <w:rPr>
          <w:rFonts w:eastAsia="Times New Roman" w:cs="Arial"/>
          <w:color w:val="000000"/>
          <w:szCs w:val="20"/>
          <w:lang w:eastAsia="bg-BG"/>
        </w:rPr>
        <w:t>и общия белтък в урината.</w:t>
      </w:r>
    </w:p>
    <w:p w14:paraId="64E19555" w14:textId="77777777" w:rsidR="006F7549" w:rsidRPr="006F7549" w:rsidRDefault="006F7549" w:rsidP="006F7549">
      <w:pPr>
        <w:spacing w:line="240" w:lineRule="auto"/>
        <w:rPr>
          <w:rFonts w:eastAsia="Times New Roman" w:cs="Arial"/>
          <w:color w:val="000000"/>
          <w:szCs w:val="20"/>
          <w:lang w:eastAsia="bg-BG"/>
        </w:rPr>
      </w:pPr>
    </w:p>
    <w:p w14:paraId="4E97DFDA" w14:textId="44CF6EFC"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Ако еналаприл се прилага съвместно с тиазидни диуретици, ефектът на намаляване на кръвното налягане е адитивен. Еналаприл може да намали или предотврати възникването на тиазидно индуцираната хипокалиемия.</w:t>
      </w:r>
    </w:p>
    <w:p w14:paraId="2DC51DC3" w14:textId="77777777" w:rsidR="006F7549" w:rsidRPr="006F7549" w:rsidRDefault="006F7549" w:rsidP="006F7549">
      <w:pPr>
        <w:spacing w:line="240" w:lineRule="auto"/>
        <w:rPr>
          <w:rFonts w:eastAsia="Times New Roman" w:cs="Arial"/>
          <w:color w:val="000000"/>
          <w:szCs w:val="20"/>
          <w:lang w:eastAsia="bg-BG"/>
        </w:rPr>
      </w:pPr>
    </w:p>
    <w:p w14:paraId="33738D81" w14:textId="3D2ACB46"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При пациенти със сърдечна недостатъчност, лекувани с дигиталисови гликозиди и диуретици, терапията с перорален или инжекционен еналаприл се асоциира с намаляване на периферната съдова резистентност и кръвното налягане. Сърдечният ударен обем е увеличен, докато сърдечната честота (обичайно увеличена при пациенти със сърдечна недостатъчност) се понижава.</w:t>
      </w:r>
    </w:p>
    <w:p w14:paraId="1975D4C2" w14:textId="7E1399CD" w:rsidR="006F7549" w:rsidRPr="006F7549" w:rsidRDefault="006F7549" w:rsidP="006F7549">
      <w:pPr>
        <w:spacing w:line="240" w:lineRule="auto"/>
        <w:rPr>
          <w:rFonts w:eastAsia="Times New Roman" w:cs="Arial"/>
          <w:color w:val="000000"/>
          <w:szCs w:val="20"/>
          <w:lang w:eastAsia="bg-BG"/>
        </w:rPr>
      </w:pPr>
      <w:r w:rsidRPr="006F7549">
        <w:rPr>
          <w:rFonts w:eastAsia="Times New Roman" w:cs="Arial"/>
          <w:color w:val="000000"/>
          <w:szCs w:val="20"/>
          <w:lang w:eastAsia="bg-BG"/>
        </w:rPr>
        <w:t>Пулмокапилярното налягане (съпротивлението на белодробните капиляри) също намалява. Сп</w:t>
      </w:r>
      <w:r w:rsidRPr="006F7549">
        <w:rPr>
          <w:rFonts w:eastAsia="Times New Roman" w:cs="Arial"/>
          <w:color w:val="000000"/>
          <w:szCs w:val="20"/>
          <w:u w:val="single"/>
          <w:lang w:eastAsia="bg-BG"/>
        </w:rPr>
        <w:t xml:space="preserve">оред </w:t>
      </w:r>
      <w:r w:rsidRPr="006F7549">
        <w:rPr>
          <w:rFonts w:eastAsia="Times New Roman" w:cs="Arial"/>
          <w:color w:val="000000"/>
          <w:szCs w:val="20"/>
          <w:lang w:eastAsia="bg-BG"/>
        </w:rPr>
        <w:t xml:space="preserve">критериите за оценката на </w:t>
      </w:r>
      <w:r w:rsidRPr="006F7549">
        <w:rPr>
          <w:rFonts w:eastAsia="Times New Roman" w:cs="Arial"/>
          <w:color w:val="000000"/>
          <w:szCs w:val="20"/>
          <w:lang w:val="en-US"/>
        </w:rPr>
        <w:t>New</w:t>
      </w:r>
      <w:r w:rsidRPr="006F7549">
        <w:rPr>
          <w:rFonts w:eastAsia="Times New Roman" w:cs="Arial"/>
          <w:color w:val="000000"/>
          <w:szCs w:val="20"/>
          <w:lang w:val="ru-RU"/>
        </w:rPr>
        <w:t xml:space="preserve"> </w:t>
      </w:r>
      <w:r w:rsidRPr="006F7549">
        <w:rPr>
          <w:rFonts w:eastAsia="Times New Roman" w:cs="Arial"/>
          <w:color w:val="000000"/>
          <w:szCs w:val="20"/>
          <w:lang w:val="en-US"/>
        </w:rPr>
        <w:t>York</w:t>
      </w:r>
      <w:r w:rsidRPr="006F7549">
        <w:rPr>
          <w:rFonts w:eastAsia="Times New Roman" w:cs="Arial"/>
          <w:color w:val="000000"/>
          <w:szCs w:val="20"/>
          <w:lang w:val="ru-RU"/>
        </w:rPr>
        <w:t xml:space="preserve"> </w:t>
      </w:r>
      <w:r w:rsidRPr="006F7549">
        <w:rPr>
          <w:rFonts w:eastAsia="Times New Roman" w:cs="Arial"/>
          <w:color w:val="000000"/>
          <w:szCs w:val="20"/>
          <w:lang w:val="en-US"/>
        </w:rPr>
        <w:t>Heart</w:t>
      </w:r>
      <w:r w:rsidRPr="006F7549">
        <w:rPr>
          <w:rFonts w:eastAsia="Times New Roman" w:cs="Arial"/>
          <w:color w:val="000000"/>
          <w:szCs w:val="20"/>
          <w:lang w:val="ru-RU"/>
        </w:rPr>
        <w:t xml:space="preserve"> </w:t>
      </w:r>
      <w:r w:rsidRPr="006F7549">
        <w:rPr>
          <w:rFonts w:eastAsia="Times New Roman" w:cs="Arial"/>
          <w:color w:val="000000"/>
          <w:szCs w:val="20"/>
          <w:lang w:val="en-US"/>
        </w:rPr>
        <w:t>Association</w:t>
      </w:r>
      <w:r w:rsidRPr="006F7549">
        <w:rPr>
          <w:rFonts w:eastAsia="Times New Roman" w:cs="Arial"/>
          <w:color w:val="000000"/>
          <w:szCs w:val="20"/>
          <w:lang w:val="ru-RU"/>
        </w:rPr>
        <w:t xml:space="preserve">, </w:t>
      </w:r>
      <w:r w:rsidRPr="006F7549">
        <w:rPr>
          <w:rFonts w:eastAsia="Times New Roman" w:cs="Arial"/>
          <w:color w:val="000000"/>
          <w:szCs w:val="20"/>
          <w:lang w:eastAsia="bg-BG"/>
        </w:rPr>
        <w:t>толерансът при натоварване и</w:t>
      </w:r>
      <w:r w:rsidRPr="006F7549">
        <w:rPr>
          <w:rFonts w:eastAsia="Times New Roman" w:cs="Arial"/>
          <w:color w:val="000000"/>
          <w:szCs w:val="20"/>
          <w:lang w:val="ru-RU"/>
        </w:rPr>
        <w:t xml:space="preserve"> </w:t>
      </w:r>
      <w:r w:rsidRPr="006F7549">
        <w:rPr>
          <w:rFonts w:eastAsia="Times New Roman" w:cs="Arial"/>
          <w:color w:val="000000"/>
          <w:szCs w:val="20"/>
          <w:lang w:eastAsia="bg-BG"/>
        </w:rPr>
        <w:t>степен на сърдечна недостатъчност се подобряват. Тези ефекти се подържат по време на дългосрочна терапия.</w:t>
      </w:r>
    </w:p>
    <w:p w14:paraId="5100571D" w14:textId="151AE74D" w:rsidR="006F7549" w:rsidRPr="006F7549" w:rsidRDefault="006F7549" w:rsidP="006F7549">
      <w:pPr>
        <w:spacing w:line="240" w:lineRule="auto"/>
        <w:rPr>
          <w:rFonts w:eastAsia="Times New Roman" w:cs="Arial"/>
          <w:color w:val="000000"/>
          <w:szCs w:val="20"/>
          <w:lang w:eastAsia="bg-BG"/>
        </w:rPr>
      </w:pPr>
    </w:p>
    <w:p w14:paraId="44A7CC6B"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При пациенти с лека до умерена сърдечна недостатъчност, еналаприл забавя нивото на прогресивната сърдечна дилатация и недостатъчност, което е отбелязано чрез намаляване на крайния диастолен и крайния систолен обем на лявата камера и подобряване на фракцията на изтласкване.</w:t>
      </w:r>
    </w:p>
    <w:p w14:paraId="5CC4777D" w14:textId="77777777" w:rsidR="006F7549" w:rsidRPr="006F7549" w:rsidRDefault="006F7549" w:rsidP="006F7549">
      <w:pPr>
        <w:spacing w:line="240" w:lineRule="auto"/>
        <w:rPr>
          <w:rFonts w:eastAsia="Times New Roman" w:cs="Arial"/>
          <w:color w:val="000000"/>
          <w:szCs w:val="20"/>
          <w:u w:val="single"/>
          <w:lang w:eastAsia="bg-BG"/>
        </w:rPr>
      </w:pPr>
    </w:p>
    <w:p w14:paraId="7459FD0F" w14:textId="172E0D64"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 xml:space="preserve">Клинична ефикасност </w:t>
      </w:r>
      <w:r w:rsidRPr="006F7549">
        <w:rPr>
          <w:rFonts w:eastAsia="Times New Roman" w:cs="Arial"/>
          <w:i/>
          <w:iCs/>
          <w:color w:val="000000"/>
          <w:szCs w:val="20"/>
          <w:u w:val="single"/>
          <w:lang w:eastAsia="bg-BG"/>
        </w:rPr>
        <w:t>и</w:t>
      </w:r>
      <w:r w:rsidRPr="006F7549">
        <w:rPr>
          <w:rFonts w:eastAsia="Times New Roman" w:cs="Arial"/>
          <w:color w:val="000000"/>
          <w:szCs w:val="20"/>
          <w:u w:val="single"/>
          <w:lang w:eastAsia="bg-BG"/>
        </w:rPr>
        <w:t xml:space="preserve"> безопасност</w:t>
      </w:r>
    </w:p>
    <w:p w14:paraId="5305FF2F" w14:textId="77777777" w:rsidR="006F7549" w:rsidRPr="006F7549" w:rsidRDefault="006F7549" w:rsidP="006F7549">
      <w:pPr>
        <w:spacing w:line="240" w:lineRule="auto"/>
        <w:rPr>
          <w:rFonts w:eastAsia="Times New Roman" w:cs="Arial"/>
          <w:color w:val="000000"/>
          <w:szCs w:val="20"/>
          <w:u w:val="single"/>
          <w:lang w:eastAsia="bg-BG"/>
        </w:rPr>
      </w:pPr>
    </w:p>
    <w:p w14:paraId="3B4E20A3" w14:textId="7828DF28"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Двойно блокиране на ренин-ангиотензин-алдостероновата система (РААС)</w:t>
      </w:r>
    </w:p>
    <w:p w14:paraId="3F46CE2E"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Две големи рандомизирани контролирани проучвания - </w:t>
      </w:r>
      <w:r w:rsidRPr="006F7549">
        <w:rPr>
          <w:rFonts w:eastAsia="Times New Roman" w:cs="Arial"/>
          <w:color w:val="000000"/>
          <w:szCs w:val="20"/>
          <w:lang w:val="en-US"/>
        </w:rPr>
        <w:t>ONTARGET</w:t>
      </w:r>
      <w:r w:rsidRPr="006F7549">
        <w:rPr>
          <w:rFonts w:eastAsia="Times New Roman" w:cs="Arial"/>
          <w:color w:val="000000"/>
          <w:szCs w:val="20"/>
        </w:rPr>
        <w:t xml:space="preserve"> (</w:t>
      </w:r>
      <w:proofErr w:type="spellStart"/>
      <w:r w:rsidRPr="006F7549">
        <w:rPr>
          <w:rFonts w:eastAsia="Times New Roman" w:cs="Arial"/>
          <w:color w:val="000000"/>
          <w:szCs w:val="20"/>
          <w:lang w:val="en-US"/>
        </w:rPr>
        <w:t>ONgoing</w:t>
      </w:r>
      <w:proofErr w:type="spellEnd"/>
      <w:r w:rsidRPr="006F7549">
        <w:rPr>
          <w:rFonts w:eastAsia="Times New Roman" w:cs="Arial"/>
          <w:color w:val="000000"/>
          <w:szCs w:val="20"/>
        </w:rPr>
        <w:t xml:space="preserve"> </w:t>
      </w:r>
      <w:proofErr w:type="spellStart"/>
      <w:r w:rsidRPr="006F7549">
        <w:rPr>
          <w:rFonts w:eastAsia="Times New Roman" w:cs="Arial"/>
          <w:color w:val="000000"/>
          <w:szCs w:val="20"/>
          <w:lang w:val="en-US"/>
        </w:rPr>
        <w:t>Telmisartan</w:t>
      </w:r>
      <w:proofErr w:type="spellEnd"/>
      <w:r w:rsidRPr="006F7549">
        <w:rPr>
          <w:rFonts w:eastAsia="Times New Roman" w:cs="Arial"/>
          <w:color w:val="000000"/>
          <w:szCs w:val="20"/>
        </w:rPr>
        <w:t xml:space="preserve"> </w:t>
      </w:r>
      <w:r w:rsidRPr="006F7549">
        <w:rPr>
          <w:rFonts w:eastAsia="Times New Roman" w:cs="Arial"/>
          <w:color w:val="000000"/>
          <w:szCs w:val="20"/>
          <w:lang w:val="en-US"/>
        </w:rPr>
        <w:t>Alone</w:t>
      </w:r>
      <w:r w:rsidRPr="006F7549">
        <w:rPr>
          <w:rFonts w:eastAsia="Times New Roman" w:cs="Arial"/>
          <w:color w:val="000000"/>
          <w:szCs w:val="20"/>
        </w:rPr>
        <w:t xml:space="preserve"> </w:t>
      </w:r>
      <w:r w:rsidRPr="006F7549">
        <w:rPr>
          <w:rFonts w:eastAsia="Times New Roman" w:cs="Arial"/>
          <w:color w:val="000000"/>
          <w:szCs w:val="20"/>
          <w:lang w:val="en-US"/>
        </w:rPr>
        <w:t>and</w:t>
      </w:r>
      <w:r w:rsidRPr="006F7549">
        <w:rPr>
          <w:rFonts w:eastAsia="Times New Roman" w:cs="Arial"/>
          <w:color w:val="000000"/>
          <w:szCs w:val="20"/>
        </w:rPr>
        <w:t xml:space="preserve"> </w:t>
      </w:r>
      <w:r w:rsidRPr="006F7549">
        <w:rPr>
          <w:rFonts w:eastAsia="Times New Roman" w:cs="Arial"/>
          <w:color w:val="000000"/>
          <w:szCs w:val="20"/>
          <w:lang w:val="en-US"/>
        </w:rPr>
        <w:t>in</w:t>
      </w:r>
      <w:r w:rsidRPr="006F7549">
        <w:rPr>
          <w:rFonts w:eastAsia="Times New Roman" w:cs="Arial"/>
          <w:color w:val="000000"/>
          <w:szCs w:val="20"/>
        </w:rPr>
        <w:t xml:space="preserve"> </w:t>
      </w:r>
      <w:r w:rsidRPr="006F7549">
        <w:rPr>
          <w:rFonts w:eastAsia="Times New Roman" w:cs="Arial"/>
          <w:color w:val="000000"/>
          <w:szCs w:val="20"/>
          <w:lang w:val="en-US"/>
        </w:rPr>
        <w:t>combination</w:t>
      </w:r>
      <w:r w:rsidRPr="006F7549">
        <w:rPr>
          <w:rFonts w:eastAsia="Times New Roman" w:cs="Arial"/>
          <w:color w:val="000000"/>
          <w:szCs w:val="20"/>
        </w:rPr>
        <w:t xml:space="preserve"> </w:t>
      </w:r>
      <w:r w:rsidRPr="006F7549">
        <w:rPr>
          <w:rFonts w:eastAsia="Times New Roman" w:cs="Arial"/>
          <w:color w:val="000000"/>
          <w:szCs w:val="20"/>
          <w:lang w:val="en-US"/>
        </w:rPr>
        <w:t>with</w:t>
      </w:r>
      <w:r w:rsidRPr="006F7549">
        <w:rPr>
          <w:rFonts w:eastAsia="Times New Roman" w:cs="Arial"/>
          <w:color w:val="000000"/>
          <w:szCs w:val="20"/>
        </w:rPr>
        <w:t xml:space="preserve"> </w:t>
      </w:r>
      <w:r w:rsidRPr="006F7549">
        <w:rPr>
          <w:rFonts w:eastAsia="Times New Roman" w:cs="Arial"/>
          <w:color w:val="000000"/>
          <w:szCs w:val="20"/>
          <w:lang w:val="en-US"/>
        </w:rPr>
        <w:t>Ramipril</w:t>
      </w:r>
      <w:r w:rsidRPr="006F7549">
        <w:rPr>
          <w:rFonts w:eastAsia="Times New Roman" w:cs="Arial"/>
          <w:color w:val="000000"/>
          <w:szCs w:val="20"/>
        </w:rPr>
        <w:t xml:space="preserve"> </w:t>
      </w:r>
      <w:r w:rsidRPr="006F7549">
        <w:rPr>
          <w:rFonts w:eastAsia="Times New Roman" w:cs="Arial"/>
          <w:color w:val="000000"/>
          <w:szCs w:val="20"/>
          <w:lang w:val="en-US"/>
        </w:rPr>
        <w:t>Global</w:t>
      </w:r>
      <w:r w:rsidRPr="006F7549">
        <w:rPr>
          <w:rFonts w:eastAsia="Times New Roman" w:cs="Arial"/>
          <w:color w:val="000000"/>
          <w:szCs w:val="20"/>
        </w:rPr>
        <w:t xml:space="preserve"> </w:t>
      </w:r>
      <w:r w:rsidRPr="006F7549">
        <w:rPr>
          <w:rFonts w:eastAsia="Times New Roman" w:cs="Arial"/>
          <w:color w:val="000000"/>
          <w:szCs w:val="20"/>
          <w:lang w:val="en-US"/>
        </w:rPr>
        <w:t>Endpoint</w:t>
      </w:r>
      <w:r w:rsidRPr="006F7549">
        <w:rPr>
          <w:rFonts w:eastAsia="Times New Roman" w:cs="Arial"/>
          <w:color w:val="000000"/>
          <w:szCs w:val="20"/>
        </w:rPr>
        <w:t xml:space="preserve"> </w:t>
      </w:r>
      <w:r w:rsidRPr="006F7549">
        <w:rPr>
          <w:rFonts w:eastAsia="Times New Roman" w:cs="Arial"/>
          <w:color w:val="000000"/>
          <w:szCs w:val="20"/>
          <w:lang w:val="en-US"/>
        </w:rPr>
        <w:t>Trial</w:t>
      </w:r>
      <w:r w:rsidRPr="006F7549">
        <w:rPr>
          <w:rFonts w:eastAsia="Times New Roman" w:cs="Arial"/>
          <w:color w:val="000000"/>
          <w:szCs w:val="20"/>
        </w:rPr>
        <w:t xml:space="preserve"> - </w:t>
      </w:r>
      <w:r w:rsidRPr="006F7549">
        <w:rPr>
          <w:rFonts w:eastAsia="Times New Roman" w:cs="Arial"/>
          <w:color w:val="000000"/>
          <w:szCs w:val="20"/>
          <w:lang w:eastAsia="bg-BG"/>
        </w:rPr>
        <w:t xml:space="preserve">текущо глобално изпитване за крайни точки на телмисартан, самостоятелно и в комбинация с рамиприл) и </w:t>
      </w:r>
      <w:r w:rsidRPr="006F7549">
        <w:rPr>
          <w:rFonts w:eastAsia="Times New Roman" w:cs="Arial"/>
          <w:color w:val="000000"/>
          <w:szCs w:val="20"/>
          <w:lang w:val="en-US"/>
        </w:rPr>
        <w:t>VA</w:t>
      </w:r>
      <w:r w:rsidRPr="006F7549">
        <w:rPr>
          <w:rFonts w:eastAsia="Times New Roman" w:cs="Arial"/>
          <w:color w:val="000000"/>
          <w:szCs w:val="20"/>
        </w:rPr>
        <w:t xml:space="preserve"> </w:t>
      </w:r>
      <w:r w:rsidRPr="006F7549">
        <w:rPr>
          <w:rFonts w:eastAsia="Times New Roman" w:cs="Arial"/>
          <w:color w:val="000000"/>
          <w:szCs w:val="20"/>
          <w:lang w:val="en-US"/>
        </w:rPr>
        <w:t>NEPHRON</w:t>
      </w:r>
      <w:r w:rsidRPr="006F7549">
        <w:rPr>
          <w:rFonts w:eastAsia="Times New Roman" w:cs="Arial"/>
          <w:color w:val="000000"/>
          <w:szCs w:val="20"/>
        </w:rPr>
        <w:t>-</w:t>
      </w:r>
      <w:r w:rsidRPr="006F7549">
        <w:rPr>
          <w:rFonts w:eastAsia="Times New Roman" w:cs="Arial"/>
          <w:color w:val="000000"/>
          <w:szCs w:val="20"/>
          <w:lang w:val="en-US"/>
        </w:rPr>
        <w:t>D</w:t>
      </w:r>
      <w:r w:rsidRPr="006F7549">
        <w:rPr>
          <w:rFonts w:eastAsia="Times New Roman" w:cs="Arial"/>
          <w:color w:val="000000"/>
          <w:szCs w:val="20"/>
        </w:rPr>
        <w:t xml:space="preserve"> </w:t>
      </w:r>
      <w:r w:rsidRPr="006F7549">
        <w:rPr>
          <w:rFonts w:eastAsia="Times New Roman" w:cs="Arial"/>
          <w:color w:val="000000"/>
          <w:szCs w:val="2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6F7549">
        <w:rPr>
          <w:rFonts w:eastAsia="Times New Roman" w:cs="Arial"/>
          <w:color w:val="000000"/>
          <w:szCs w:val="20"/>
          <w:lang w:val="en-US"/>
        </w:rPr>
        <w:t>II</w:t>
      </w:r>
      <w:r w:rsidRPr="006F7549">
        <w:rPr>
          <w:rFonts w:eastAsia="Times New Roman" w:cs="Arial"/>
          <w:color w:val="000000"/>
          <w:szCs w:val="20"/>
          <w:lang w:eastAsia="bg-BG"/>
        </w:rPr>
        <w:t>-рецепторен блокер.</w:t>
      </w:r>
    </w:p>
    <w:p w14:paraId="1A6080B2"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val="en-US"/>
        </w:rPr>
        <w:t>ONTARGET</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6F7549">
        <w:rPr>
          <w:rFonts w:eastAsia="Times New Roman" w:cs="Arial"/>
          <w:color w:val="000000"/>
          <w:szCs w:val="20"/>
          <w:lang w:val="en-US"/>
        </w:rPr>
        <w:t>VA</w:t>
      </w:r>
      <w:r w:rsidRPr="006F7549">
        <w:rPr>
          <w:rFonts w:eastAsia="Times New Roman" w:cs="Arial"/>
          <w:color w:val="000000"/>
          <w:szCs w:val="20"/>
          <w:lang w:val="ru-RU"/>
        </w:rPr>
        <w:t xml:space="preserve"> </w:t>
      </w:r>
      <w:r w:rsidRPr="006F7549">
        <w:rPr>
          <w:rFonts w:eastAsia="Times New Roman" w:cs="Arial"/>
          <w:color w:val="000000"/>
          <w:szCs w:val="20"/>
          <w:lang w:val="en-US"/>
        </w:rPr>
        <w:t>NEPHRON</w:t>
      </w:r>
      <w:r w:rsidRPr="006F7549">
        <w:rPr>
          <w:rFonts w:eastAsia="Times New Roman" w:cs="Arial"/>
          <w:color w:val="000000"/>
          <w:szCs w:val="20"/>
          <w:lang w:val="ru-RU"/>
        </w:rPr>
        <w:t>-</w:t>
      </w:r>
      <w:r w:rsidRPr="006F7549">
        <w:rPr>
          <w:rFonts w:eastAsia="Times New Roman" w:cs="Arial"/>
          <w:color w:val="000000"/>
          <w:szCs w:val="20"/>
          <w:lang w:val="en-US"/>
        </w:rPr>
        <w:t>D</w:t>
      </w:r>
      <w:r w:rsidRPr="006F7549">
        <w:rPr>
          <w:rFonts w:eastAsia="Times New Roman" w:cs="Arial"/>
          <w:color w:val="000000"/>
          <w:szCs w:val="20"/>
          <w:lang w:val="ru-RU"/>
        </w:rPr>
        <w:t xml:space="preserve"> </w:t>
      </w:r>
      <w:r w:rsidRPr="006F7549">
        <w:rPr>
          <w:rFonts w:eastAsia="Times New Roman" w:cs="Arial"/>
          <w:color w:val="000000"/>
          <w:szCs w:val="20"/>
          <w:lang w:eastAsia="bg-BG"/>
        </w:rPr>
        <w:t>е проучване при пациенти със захарен диабет тип 2 и диабетна нефропатия.</w:t>
      </w:r>
    </w:p>
    <w:p w14:paraId="0335F92B"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Тези проучвания не показват значим благоприятен ефект върху бъбречните и/или сърдечно</w:t>
      </w:r>
      <w:r w:rsidRPr="006F7549">
        <w:rPr>
          <w:rFonts w:eastAsia="Times New Roman" w:cs="Arial"/>
          <w:color w:val="000000"/>
          <w:szCs w:val="2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монотерапията.Като се имат предвид сходните им фармакодинамични свойства, тези резултати са приложими и за други АСЕ инхибитори и ангиотензин </w:t>
      </w:r>
      <w:r w:rsidRPr="006F7549">
        <w:rPr>
          <w:rFonts w:eastAsia="Times New Roman" w:cs="Arial"/>
          <w:color w:val="000000"/>
          <w:szCs w:val="20"/>
          <w:lang w:val="en-US"/>
        </w:rPr>
        <w:t>II</w:t>
      </w:r>
      <w:r w:rsidRPr="006F7549">
        <w:rPr>
          <w:rFonts w:eastAsia="Times New Roman" w:cs="Arial"/>
          <w:color w:val="000000"/>
          <w:szCs w:val="20"/>
          <w:lang w:eastAsia="bg-BG"/>
        </w:rPr>
        <w:t>-рецепторни блокери.</w:t>
      </w:r>
    </w:p>
    <w:p w14:paraId="48A4AB8E"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АСЕ инхибитори и ангиотензин </w:t>
      </w:r>
      <w:r w:rsidRPr="006F7549">
        <w:rPr>
          <w:rFonts w:eastAsia="Times New Roman" w:cs="Arial"/>
          <w:color w:val="000000"/>
          <w:szCs w:val="20"/>
          <w:lang w:val="en-US"/>
        </w:rPr>
        <w:t>II</w:t>
      </w:r>
      <w:r w:rsidRPr="006F7549">
        <w:rPr>
          <w:rFonts w:eastAsia="Times New Roman" w:cs="Arial"/>
          <w:color w:val="000000"/>
          <w:szCs w:val="20"/>
          <w:lang w:eastAsia="bg-BG"/>
        </w:rPr>
        <w:t>-рецепторни блокери следователно не трябва да се използват едновременно при пациенти с диабетна нефропатия.</w:t>
      </w:r>
    </w:p>
    <w:p w14:paraId="7056449F"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val="en-US"/>
        </w:rPr>
        <w:t>ALTITUDE</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6F7549">
        <w:rPr>
          <w:rFonts w:eastAsia="Times New Roman" w:cs="Arial"/>
          <w:color w:val="000000"/>
          <w:szCs w:val="20"/>
          <w:lang w:val="en-US"/>
        </w:rPr>
        <w:t>II</w:t>
      </w:r>
      <w:r w:rsidRPr="006F7549">
        <w:rPr>
          <w:rFonts w:eastAsia="Times New Roman" w:cs="Arial"/>
          <w:color w:val="000000"/>
          <w:szCs w:val="2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w:t>
      </w:r>
      <w:r w:rsidRPr="006F7549">
        <w:rPr>
          <w:rFonts w:eastAsia="Times New Roman" w:cs="Arial"/>
          <w:color w:val="000000"/>
          <w:szCs w:val="20"/>
          <w:lang w:eastAsia="bg-BG"/>
        </w:rPr>
        <w:softHyphen/>
        <w:t xml:space="preserve">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w:t>
      </w:r>
      <w:r w:rsidRPr="006F7549">
        <w:rPr>
          <w:rFonts w:eastAsia="Times New Roman" w:cs="Arial"/>
          <w:color w:val="000000"/>
          <w:szCs w:val="20"/>
          <w:lang w:eastAsia="bg-BG"/>
        </w:rPr>
        <w:lastRenderedPageBreak/>
        <w:t>дисфункция) се съобщават по-често в групата на алискирен, отколкото в групата на плацебо.</w:t>
      </w:r>
    </w:p>
    <w:p w14:paraId="46C08512" w14:textId="77777777" w:rsidR="006F7549" w:rsidRPr="006F7549" w:rsidRDefault="006F7549" w:rsidP="006F7549">
      <w:pPr>
        <w:spacing w:line="240" w:lineRule="auto"/>
        <w:rPr>
          <w:rFonts w:eastAsia="Times New Roman" w:cs="Arial"/>
          <w:color w:val="000000"/>
          <w:szCs w:val="20"/>
          <w:lang w:eastAsia="bg-BG"/>
        </w:rPr>
      </w:pPr>
    </w:p>
    <w:p w14:paraId="38937708" w14:textId="281B9F71"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В многоцентрово, рандомизирано, двойно сляпо, плацебо-контролирано проучване </w:t>
      </w:r>
      <w:r w:rsidRPr="006F7549">
        <w:rPr>
          <w:rFonts w:eastAsia="Times New Roman" w:cs="Arial"/>
          <w:color w:val="000000"/>
          <w:szCs w:val="20"/>
          <w:lang w:val="ru-RU"/>
        </w:rPr>
        <w:t>(</w:t>
      </w:r>
      <w:r w:rsidRPr="006F7549">
        <w:rPr>
          <w:rFonts w:eastAsia="Times New Roman" w:cs="Arial"/>
          <w:color w:val="000000"/>
          <w:szCs w:val="20"/>
          <w:lang w:val="en-US"/>
        </w:rPr>
        <w:t>SOLVD</w:t>
      </w:r>
      <w:r w:rsidRPr="006F7549">
        <w:rPr>
          <w:rFonts w:eastAsia="Times New Roman" w:cs="Arial"/>
          <w:color w:val="000000"/>
          <w:szCs w:val="20"/>
          <w:lang w:val="ru-RU"/>
        </w:rPr>
        <w:t xml:space="preserve"> </w:t>
      </w:r>
      <w:r w:rsidRPr="006F7549">
        <w:rPr>
          <w:rFonts w:eastAsia="Times New Roman" w:cs="Arial"/>
          <w:color w:val="000000"/>
          <w:szCs w:val="20"/>
          <w:lang w:val="en-US"/>
        </w:rPr>
        <w:t>Prevention</w:t>
      </w:r>
      <w:r w:rsidRPr="006F7549">
        <w:rPr>
          <w:rFonts w:eastAsia="Times New Roman" w:cs="Arial"/>
          <w:color w:val="000000"/>
          <w:szCs w:val="20"/>
          <w:lang w:val="ru-RU"/>
        </w:rPr>
        <w:t xml:space="preserve"> </w:t>
      </w:r>
      <w:r w:rsidRPr="006F7549">
        <w:rPr>
          <w:rFonts w:eastAsia="Times New Roman" w:cs="Arial"/>
          <w:color w:val="000000"/>
          <w:szCs w:val="20"/>
          <w:lang w:val="en-US"/>
        </w:rPr>
        <w:t>trial</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са изследвани пациенти с асимптомно нарушение на камерната функция </w:t>
      </w:r>
      <w:r w:rsidRPr="006F7549">
        <w:rPr>
          <w:rFonts w:eastAsia="Times New Roman" w:cs="Arial"/>
          <w:color w:val="000000"/>
          <w:szCs w:val="20"/>
          <w:lang w:val="ru-RU"/>
        </w:rPr>
        <w:t>(</w:t>
      </w:r>
      <w:r w:rsidRPr="006F7549">
        <w:rPr>
          <w:rFonts w:eastAsia="Times New Roman" w:cs="Arial"/>
          <w:color w:val="000000"/>
          <w:szCs w:val="20"/>
          <w:lang w:val="en-US"/>
        </w:rPr>
        <w:t>LVEF</w:t>
      </w:r>
      <w:r w:rsidRPr="006F7549">
        <w:rPr>
          <w:rFonts w:eastAsia="Times New Roman" w:cs="Arial"/>
          <w:color w:val="000000"/>
          <w:szCs w:val="20"/>
          <w:lang w:val="ru-RU"/>
        </w:rPr>
        <w:t xml:space="preserve"> </w:t>
      </w:r>
      <w:r w:rsidRPr="006F7549">
        <w:rPr>
          <w:rFonts w:eastAsia="Times New Roman" w:cs="Arial"/>
          <w:color w:val="000000"/>
          <w:szCs w:val="20"/>
          <w:lang w:eastAsia="bg-BG"/>
        </w:rPr>
        <w:t>&lt; 35 %). 4 228 пациенти са били рандомизирани да получават или плацебо (</w:t>
      </w:r>
      <w:r w:rsidRPr="006F7549">
        <w:rPr>
          <w:rFonts w:eastAsia="Times New Roman" w:cs="Arial"/>
          <w:color w:val="000000"/>
          <w:szCs w:val="20"/>
          <w:lang w:val="en-US"/>
        </w:rPr>
        <w:t>n</w:t>
      </w:r>
      <w:r w:rsidRPr="006F7549">
        <w:rPr>
          <w:rFonts w:eastAsia="Times New Roman" w:cs="Arial"/>
          <w:color w:val="000000"/>
          <w:szCs w:val="20"/>
          <w:lang w:eastAsia="bg-BG"/>
        </w:rPr>
        <w:t xml:space="preserve"> = 2 117) или еналаприл (</w:t>
      </w:r>
      <w:r w:rsidRPr="006F7549">
        <w:rPr>
          <w:rFonts w:eastAsia="Times New Roman" w:cs="Arial"/>
          <w:color w:val="000000"/>
          <w:szCs w:val="20"/>
          <w:lang w:val="en-US"/>
        </w:rPr>
        <w:t>n</w:t>
      </w:r>
      <w:r w:rsidRPr="006F7549">
        <w:rPr>
          <w:rFonts w:eastAsia="Times New Roman" w:cs="Arial"/>
          <w:color w:val="000000"/>
          <w:szCs w:val="20"/>
          <w:lang w:eastAsia="bg-BG"/>
        </w:rPr>
        <w:t xml:space="preserve"> = 2 111). В плацебо групата 818 пациенти са имали сърдечна недостатъчност или са починали (38,6 %), в сравнение с 630 в групата с еналаприл (29,8 %) (намаление на риска: 29 %; 95 % </w:t>
      </w:r>
      <w:r w:rsidRPr="006F7549">
        <w:rPr>
          <w:rFonts w:eastAsia="Times New Roman" w:cs="Arial"/>
          <w:color w:val="000000"/>
          <w:szCs w:val="20"/>
          <w:lang w:val="en-US"/>
        </w:rPr>
        <w:t>CI</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21 - 36 %; р &lt; 0,001), 518 пациенти в плацебо групата (24,5 %) и 434 в групата с еналаприл (20,6 %) са починали или са били хоспитализирани, поради нова или влошена сърдечна недостатъчност (намаление на риска: 20 %; 95 % </w:t>
      </w:r>
      <w:r w:rsidRPr="006F7549">
        <w:rPr>
          <w:rFonts w:eastAsia="Times New Roman" w:cs="Arial"/>
          <w:color w:val="000000"/>
          <w:szCs w:val="20"/>
          <w:lang w:val="en-US"/>
        </w:rPr>
        <w:t>CI</w:t>
      </w:r>
      <w:r w:rsidRPr="006F7549">
        <w:rPr>
          <w:rFonts w:eastAsia="Times New Roman" w:cs="Arial"/>
          <w:color w:val="000000"/>
          <w:szCs w:val="20"/>
          <w:lang w:val="ru-RU"/>
        </w:rPr>
        <w:t xml:space="preserve">; </w:t>
      </w:r>
      <w:r w:rsidRPr="006F7549">
        <w:rPr>
          <w:rFonts w:eastAsia="Times New Roman" w:cs="Arial"/>
          <w:color w:val="000000"/>
          <w:szCs w:val="20"/>
          <w:lang w:eastAsia="bg-BG"/>
        </w:rPr>
        <w:t>9-30 %; р &lt; 0,001).</w:t>
      </w:r>
    </w:p>
    <w:p w14:paraId="2A5E12D7" w14:textId="77777777" w:rsidR="006F7549" w:rsidRPr="006F7549" w:rsidRDefault="006F7549" w:rsidP="006F7549">
      <w:pPr>
        <w:spacing w:line="240" w:lineRule="auto"/>
        <w:rPr>
          <w:rFonts w:eastAsia="Times New Roman" w:cs="Arial"/>
          <w:color w:val="000000"/>
          <w:szCs w:val="20"/>
          <w:lang w:eastAsia="bg-BG"/>
        </w:rPr>
      </w:pPr>
    </w:p>
    <w:p w14:paraId="4AC77168" w14:textId="77777777" w:rsidR="006F7549" w:rsidRPr="006F7549" w:rsidRDefault="006F7549" w:rsidP="006F7549">
      <w:pPr>
        <w:rPr>
          <w:rFonts w:eastAsia="Times New Roman" w:cs="Arial"/>
          <w:sz w:val="28"/>
          <w:szCs w:val="24"/>
        </w:rPr>
      </w:pPr>
      <w:r w:rsidRPr="006F7549">
        <w:rPr>
          <w:rFonts w:eastAsia="Times New Roman" w:cs="Arial"/>
          <w:color w:val="000000"/>
          <w:szCs w:val="20"/>
          <w:lang w:eastAsia="bg-BG"/>
        </w:rPr>
        <w:t xml:space="preserve">В многоцентрово, рандомизирано, двойно сляпо, плацебо-контролирано проучване </w:t>
      </w:r>
      <w:r w:rsidRPr="006F7549">
        <w:rPr>
          <w:rFonts w:eastAsia="Times New Roman" w:cs="Arial"/>
          <w:color w:val="000000"/>
          <w:szCs w:val="20"/>
          <w:lang w:val="ru-RU"/>
        </w:rPr>
        <w:t>(</w:t>
      </w:r>
      <w:r w:rsidRPr="006F7549">
        <w:rPr>
          <w:rFonts w:eastAsia="Times New Roman" w:cs="Arial"/>
          <w:color w:val="000000"/>
          <w:szCs w:val="20"/>
          <w:lang w:val="en-US"/>
        </w:rPr>
        <w:t>SOLVD</w:t>
      </w:r>
      <w:r w:rsidRPr="006F7549">
        <w:rPr>
          <w:rFonts w:eastAsia="Times New Roman" w:cs="Arial"/>
          <w:color w:val="000000"/>
          <w:szCs w:val="20"/>
          <w:lang w:val="ru-RU"/>
        </w:rPr>
        <w:t xml:space="preserve"> </w:t>
      </w:r>
      <w:r w:rsidRPr="006F7549">
        <w:rPr>
          <w:rFonts w:eastAsia="Times New Roman" w:cs="Arial"/>
          <w:color w:val="000000"/>
          <w:szCs w:val="20"/>
          <w:lang w:val="en-US"/>
        </w:rPr>
        <w:t>Treatment</w:t>
      </w:r>
      <w:r w:rsidRPr="006F7549">
        <w:rPr>
          <w:rFonts w:eastAsia="Times New Roman" w:cs="Arial"/>
          <w:color w:val="000000"/>
          <w:szCs w:val="20"/>
          <w:lang w:val="ru-RU"/>
        </w:rPr>
        <w:t xml:space="preserve"> </w:t>
      </w:r>
      <w:r w:rsidRPr="006F7549">
        <w:rPr>
          <w:rFonts w:eastAsia="Times New Roman" w:cs="Arial"/>
          <w:color w:val="000000"/>
          <w:szCs w:val="20"/>
          <w:lang w:val="en-US"/>
        </w:rPr>
        <w:t>trial</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са изследвани пациенти със симптоматична застойна сърдечна недостатъчност, дължаща се на систолна дисфункция (фракция на изтласкване &lt; 35 %). 2 569 пациенти получаващи конвенционално лечение за сърдечна недостатъчност са били рандомизирани да получават или плацебо </w:t>
      </w:r>
      <w:r w:rsidRPr="006F7549">
        <w:rPr>
          <w:rFonts w:eastAsia="Times New Roman" w:cs="Arial"/>
          <w:color w:val="000000"/>
          <w:szCs w:val="20"/>
          <w:lang w:val="ru-RU"/>
        </w:rPr>
        <w:t>(</w:t>
      </w:r>
      <w:r w:rsidRPr="006F7549">
        <w:rPr>
          <w:rFonts w:eastAsia="Times New Roman" w:cs="Arial"/>
          <w:color w:val="000000"/>
          <w:szCs w:val="20"/>
          <w:lang w:val="en-US"/>
        </w:rPr>
        <w:t>n</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 1 284) или еналаприл </w:t>
      </w:r>
      <w:r w:rsidRPr="006F7549">
        <w:rPr>
          <w:rFonts w:eastAsia="Times New Roman" w:cs="Arial"/>
          <w:color w:val="000000"/>
          <w:szCs w:val="20"/>
          <w:lang w:val="ru-RU"/>
        </w:rPr>
        <w:t>(</w:t>
      </w:r>
      <w:r w:rsidRPr="006F7549">
        <w:rPr>
          <w:rFonts w:eastAsia="Times New Roman" w:cs="Arial"/>
          <w:color w:val="000000"/>
          <w:szCs w:val="20"/>
          <w:lang w:val="en-US"/>
        </w:rPr>
        <w:t>n</w:t>
      </w:r>
      <w:r w:rsidRPr="006F7549">
        <w:rPr>
          <w:rFonts w:eastAsia="Times New Roman" w:cs="Arial"/>
          <w:color w:val="000000"/>
          <w:szCs w:val="20"/>
          <w:lang w:val="ru-RU"/>
        </w:rPr>
        <w:t xml:space="preserve">= </w:t>
      </w:r>
      <w:r w:rsidRPr="006F7549">
        <w:rPr>
          <w:rFonts w:eastAsia="Times New Roman" w:cs="Arial"/>
          <w:color w:val="000000"/>
          <w:szCs w:val="20"/>
          <w:lang w:eastAsia="bg-BG"/>
        </w:rPr>
        <w:t>1 285). В плацебо групата 510 пациенти са починали (39,7 %), в сравнение с 452 в групата с еналаприл (35,2 %) (намаление на риска 16 %; 95%</w:t>
      </w:r>
      <w:r w:rsidRPr="006F7549">
        <w:rPr>
          <w:rFonts w:eastAsia="Times New Roman" w:cs="Arial"/>
          <w:color w:val="000000"/>
          <w:szCs w:val="20"/>
          <w:lang w:val="ru-RU"/>
        </w:rPr>
        <w:t xml:space="preserve"> </w:t>
      </w:r>
      <w:r w:rsidRPr="006F7549">
        <w:rPr>
          <w:rFonts w:eastAsia="Times New Roman" w:cs="Arial"/>
          <w:color w:val="000000"/>
          <w:szCs w:val="20"/>
          <w:lang w:val="en-US"/>
        </w:rPr>
        <w:t>Cl</w:t>
      </w:r>
      <w:r w:rsidRPr="006F7549">
        <w:rPr>
          <w:rFonts w:eastAsia="Times New Roman" w:cs="Arial"/>
          <w:color w:val="000000"/>
          <w:szCs w:val="20"/>
          <w:lang w:eastAsia="bg-BG"/>
        </w:rPr>
        <w:t xml:space="preserve"> 26 %; р = 0,0036). Имало е 461 случая на смърт от сърдечно-съдов произход в плацебо</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групата сравнение с 399 в групата с еналаприл (намаление на риска 18 %; 95 % </w:t>
      </w:r>
      <w:r w:rsidRPr="006F7549">
        <w:rPr>
          <w:rFonts w:eastAsia="Times New Roman" w:cs="Arial"/>
          <w:color w:val="000000"/>
          <w:szCs w:val="20"/>
          <w:lang w:val="en-US"/>
        </w:rPr>
        <w:t>CI</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6 - 28 %; р &lt; 0002), главно поради намаляване на смъртността предизвикана от прогресираща сърдечна недостатъчност (251 в плацебо групата, спрямо 209 в групата с еналаприл, намаление на риска 22 %; 95 % </w:t>
      </w:r>
      <w:r w:rsidRPr="006F7549">
        <w:rPr>
          <w:rFonts w:eastAsia="Times New Roman" w:cs="Arial"/>
          <w:color w:val="000000"/>
          <w:szCs w:val="20"/>
          <w:lang w:val="en-US"/>
        </w:rPr>
        <w:t>CI</w:t>
      </w:r>
      <w:r w:rsidRPr="006F7549">
        <w:rPr>
          <w:rFonts w:eastAsia="Times New Roman" w:cs="Arial"/>
          <w:color w:val="000000"/>
          <w:szCs w:val="20"/>
          <w:lang w:val="ru-RU"/>
        </w:rPr>
        <w:t xml:space="preserve">, </w:t>
      </w:r>
      <w:r w:rsidRPr="006F7549">
        <w:rPr>
          <w:rFonts w:eastAsia="Times New Roman" w:cs="Arial"/>
          <w:color w:val="000000"/>
          <w:szCs w:val="20"/>
          <w:lang w:eastAsia="bg-BG"/>
        </w:rPr>
        <w:t>6 - 35 %) По-малко пациенти са починали или са били хоспитализирани, поради влошена сърдечна недостатъчност (736 в плацебо групата и 613 в групата с еналаприл; намаление на риска 26 %;</w:t>
      </w:r>
    </w:p>
    <w:p w14:paraId="60567593"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95 % </w:t>
      </w:r>
      <w:r w:rsidRPr="006F7549">
        <w:rPr>
          <w:rFonts w:eastAsia="Times New Roman" w:cs="Arial"/>
          <w:color w:val="000000"/>
          <w:szCs w:val="20"/>
          <w:lang w:val="en-US"/>
        </w:rPr>
        <w:t>CI</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18 - 34 %; р &lt; 0,0001). Обобщените данни от проучването </w:t>
      </w:r>
      <w:r w:rsidRPr="006F7549">
        <w:rPr>
          <w:rFonts w:eastAsia="Times New Roman" w:cs="Arial"/>
          <w:color w:val="000000"/>
          <w:szCs w:val="20"/>
          <w:lang w:val="en-US"/>
        </w:rPr>
        <w:t>SOLVD</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показват, че при пациентите с левокамерна дисфункция, еналаприл намалява риска от развитие на миокарден инфаркт с 23 % (95 % </w:t>
      </w:r>
      <w:r w:rsidRPr="006F7549">
        <w:rPr>
          <w:rFonts w:eastAsia="Times New Roman" w:cs="Arial"/>
          <w:color w:val="000000"/>
          <w:szCs w:val="20"/>
          <w:lang w:val="en-US"/>
        </w:rPr>
        <w:t>CI</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11 - 34 %; р &lt; 0,001) и намалява риска от хоспитализации за нестабилна стенокардия с 20 % (95 % </w:t>
      </w:r>
      <w:r w:rsidRPr="006F7549">
        <w:rPr>
          <w:rFonts w:eastAsia="Times New Roman" w:cs="Arial"/>
          <w:color w:val="000000"/>
          <w:szCs w:val="20"/>
          <w:lang w:val="en-US"/>
        </w:rPr>
        <w:t>CI</w:t>
      </w:r>
      <w:r w:rsidRPr="006F7549">
        <w:rPr>
          <w:rFonts w:eastAsia="Times New Roman" w:cs="Arial"/>
          <w:color w:val="000000"/>
          <w:szCs w:val="20"/>
          <w:lang w:val="ru-RU"/>
        </w:rPr>
        <w:t xml:space="preserve">, </w:t>
      </w:r>
      <w:r w:rsidRPr="006F7549">
        <w:rPr>
          <w:rFonts w:eastAsia="Times New Roman" w:cs="Arial"/>
          <w:color w:val="000000"/>
          <w:szCs w:val="20"/>
          <w:lang w:eastAsia="bg-BG"/>
        </w:rPr>
        <w:t>9-29 %; р &lt; 0,001).</w:t>
      </w:r>
    </w:p>
    <w:p w14:paraId="6F67D0C4" w14:textId="77777777" w:rsidR="006F7549" w:rsidRPr="006F7549" w:rsidRDefault="006F7549" w:rsidP="006F7549">
      <w:pPr>
        <w:spacing w:line="240" w:lineRule="auto"/>
        <w:rPr>
          <w:rFonts w:eastAsia="Times New Roman" w:cs="Arial"/>
          <w:color w:val="000000"/>
          <w:szCs w:val="20"/>
          <w:u w:val="single"/>
          <w:lang w:eastAsia="bg-BG"/>
        </w:rPr>
      </w:pPr>
    </w:p>
    <w:p w14:paraId="6FE97D96" w14:textId="3E416FB9"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Педиатрична популация</w:t>
      </w:r>
    </w:p>
    <w:p w14:paraId="442840CD" w14:textId="7CC0D0C2" w:rsidR="006F7549" w:rsidRPr="006F7549" w:rsidRDefault="006F7549" w:rsidP="006F7549">
      <w:pPr>
        <w:spacing w:line="240" w:lineRule="auto"/>
        <w:rPr>
          <w:rFonts w:eastAsia="Times New Roman" w:cs="Arial"/>
          <w:color w:val="000000"/>
          <w:szCs w:val="20"/>
          <w:lang w:eastAsia="bg-BG"/>
        </w:rPr>
      </w:pPr>
      <w:r w:rsidRPr="006F7549">
        <w:rPr>
          <w:rFonts w:eastAsia="Times New Roman" w:cs="Arial"/>
          <w:color w:val="000000"/>
          <w:szCs w:val="20"/>
          <w:lang w:eastAsia="bg-BG"/>
        </w:rPr>
        <w:t xml:space="preserve">Има ограничен опит с приложението на еналаприл при приложението на деца с хипертония, на възраст &gt;6 години. В едно клинично проучване, включващо 110 деца с хипертония на възраст 6 до 16 години с телесно тегло ≥ 20 </w:t>
      </w:r>
      <w:r w:rsidRPr="006F7549">
        <w:rPr>
          <w:rFonts w:eastAsia="Times New Roman" w:cs="Arial"/>
          <w:color w:val="000000"/>
          <w:szCs w:val="20"/>
          <w:lang w:val="en-US"/>
        </w:rPr>
        <w:t>kg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и степен на гломерулна филтрация &gt;30 </w:t>
      </w:r>
      <w:r w:rsidRPr="006F7549">
        <w:rPr>
          <w:rFonts w:eastAsia="Times New Roman" w:cs="Arial"/>
          <w:color w:val="000000"/>
          <w:szCs w:val="20"/>
          <w:lang w:val="en-US"/>
        </w:rPr>
        <w:t>ml</w:t>
      </w:r>
      <w:r w:rsidRPr="006F7549">
        <w:rPr>
          <w:rFonts w:eastAsia="Times New Roman" w:cs="Arial"/>
          <w:color w:val="000000"/>
          <w:szCs w:val="20"/>
          <w:lang w:val="ru-RU"/>
        </w:rPr>
        <w:t>/</w:t>
      </w:r>
      <w:r w:rsidRPr="006F7549">
        <w:rPr>
          <w:rFonts w:eastAsia="Times New Roman" w:cs="Arial"/>
          <w:color w:val="000000"/>
          <w:szCs w:val="20"/>
          <w:lang w:val="en-US"/>
        </w:rPr>
        <w:t>min</w:t>
      </w:r>
      <w:r w:rsidRPr="006F7549">
        <w:rPr>
          <w:rFonts w:eastAsia="Times New Roman" w:cs="Arial"/>
          <w:color w:val="000000"/>
          <w:szCs w:val="20"/>
          <w:lang w:val="ru-RU"/>
        </w:rPr>
        <w:t xml:space="preserve">/1,73 </w:t>
      </w:r>
      <w:r w:rsidRPr="006F7549">
        <w:rPr>
          <w:rFonts w:eastAsia="Times New Roman" w:cs="Arial"/>
          <w:color w:val="000000"/>
          <w:szCs w:val="20"/>
          <w:lang w:val="en-US"/>
        </w:rPr>
        <w:t>m</w:t>
      </w:r>
      <w:r w:rsidRPr="006F7549">
        <w:rPr>
          <w:rFonts w:eastAsia="Times New Roman" w:cs="Arial"/>
          <w:color w:val="000000"/>
          <w:szCs w:val="20"/>
          <w:vertAlign w:val="superscript"/>
          <w:lang w:val="ru-RU"/>
        </w:rPr>
        <w:t>2</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пациентите, които са тежали &lt; 50 </w:t>
      </w:r>
      <w:r w:rsidRPr="006F7549">
        <w:rPr>
          <w:rFonts w:eastAsia="Times New Roman" w:cs="Arial"/>
          <w:color w:val="000000"/>
          <w:szCs w:val="20"/>
          <w:lang w:val="en-US"/>
        </w:rPr>
        <w:t>kg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са получавали 0,625,2,5 или 20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еналаприл дневно, а пациентите, които са тежали ≥50 </w:t>
      </w:r>
      <w:r w:rsidRPr="006F7549">
        <w:rPr>
          <w:rFonts w:eastAsia="Times New Roman" w:cs="Arial"/>
          <w:color w:val="000000"/>
          <w:szCs w:val="20"/>
          <w:lang w:val="en-US"/>
        </w:rPr>
        <w:t>kg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са получавали 1,25, 5 или 40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еналаприл дневно. Приемът на еналаприл еднократно дневно е понижил кръвното налягане по дозозависим начин. Дозозависимият антихипертензивен ефект на еналаприл е бил постоянен при всички подгрупи (възраст, скала на Танер, пол, раса). Все пак, най-ниските изследвани дози 0,625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и 1,25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отговарящи средно на 0,02 </w:t>
      </w:r>
      <w:r w:rsidRPr="006F7549">
        <w:rPr>
          <w:rFonts w:eastAsia="Times New Roman" w:cs="Arial"/>
          <w:color w:val="000000"/>
          <w:szCs w:val="20"/>
          <w:lang w:val="en-US"/>
        </w:rPr>
        <w:t>mg</w:t>
      </w:r>
      <w:r w:rsidRPr="006F7549">
        <w:rPr>
          <w:rFonts w:eastAsia="Times New Roman" w:cs="Arial"/>
          <w:color w:val="000000"/>
          <w:szCs w:val="20"/>
          <w:lang w:val="ru-RU"/>
        </w:rPr>
        <w:t>/</w:t>
      </w:r>
      <w:r w:rsidRPr="006F7549">
        <w:rPr>
          <w:rFonts w:eastAsia="Times New Roman" w:cs="Arial"/>
          <w:color w:val="000000"/>
          <w:szCs w:val="20"/>
          <w:lang w:val="en-US"/>
        </w:rPr>
        <w:t>kg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еднократно дневно, не са показали съществена антихипертензивна ефикасност. Максималната изследвана доза е била 0,58 </w:t>
      </w:r>
      <w:r w:rsidRPr="006F7549">
        <w:rPr>
          <w:rFonts w:eastAsia="Times New Roman" w:cs="Arial"/>
          <w:color w:val="000000"/>
          <w:szCs w:val="20"/>
          <w:lang w:val="en-US"/>
        </w:rPr>
        <w:t>mg</w:t>
      </w:r>
      <w:r w:rsidRPr="006F7549">
        <w:rPr>
          <w:rFonts w:eastAsia="Times New Roman" w:cs="Arial"/>
          <w:color w:val="000000"/>
          <w:szCs w:val="20"/>
          <w:lang w:val="ru-RU"/>
        </w:rPr>
        <w:t>/</w:t>
      </w:r>
      <w:r w:rsidRPr="006F7549">
        <w:rPr>
          <w:rFonts w:eastAsia="Times New Roman" w:cs="Arial"/>
          <w:color w:val="000000"/>
          <w:szCs w:val="20"/>
          <w:lang w:val="en-US"/>
        </w:rPr>
        <w:t>kg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(до 40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еднократно дневно. Профилът на нежеланите реакции при педиатричните пациенти не се различава от този наблюдаван при възрастните пациенти.</w:t>
      </w:r>
    </w:p>
    <w:p w14:paraId="0C158F80" w14:textId="77777777" w:rsidR="006F7549" w:rsidRPr="006F7549" w:rsidRDefault="006F7549" w:rsidP="006F7549">
      <w:pPr>
        <w:spacing w:line="240" w:lineRule="auto"/>
        <w:rPr>
          <w:rFonts w:ascii="Times New Roman" w:eastAsia="Times New Roman" w:hAnsi="Times New Roman" w:cs="Times New Roman"/>
          <w:sz w:val="24"/>
          <w:szCs w:val="24"/>
        </w:rPr>
      </w:pPr>
    </w:p>
    <w:p w14:paraId="346B622B" w14:textId="517D4769" w:rsidR="00875EEC" w:rsidRDefault="002C50EE" w:rsidP="005726E3">
      <w:pPr>
        <w:pStyle w:val="Heading2"/>
      </w:pPr>
      <w:r>
        <w:t>5.2. Фармакокинетични свойства</w:t>
      </w:r>
    </w:p>
    <w:p w14:paraId="4E29669A" w14:textId="25520B85" w:rsidR="006F7549" w:rsidRDefault="006F7549" w:rsidP="006F7549"/>
    <w:p w14:paraId="5AE1C8C0" w14:textId="77777777" w:rsidR="006F7549" w:rsidRPr="006F7549" w:rsidRDefault="006F7549" w:rsidP="006F7549">
      <w:pPr>
        <w:pStyle w:val="Heading3"/>
        <w:rPr>
          <w:rFonts w:eastAsia="Times New Roman"/>
          <w:sz w:val="28"/>
          <w:u w:val="single"/>
        </w:rPr>
      </w:pPr>
      <w:r w:rsidRPr="006F7549">
        <w:rPr>
          <w:rFonts w:eastAsia="Times New Roman"/>
          <w:u w:val="single"/>
          <w:lang w:eastAsia="bg-BG"/>
        </w:rPr>
        <w:lastRenderedPageBreak/>
        <w:t>Абсорбция</w:t>
      </w:r>
    </w:p>
    <w:p w14:paraId="22DF674A"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Пероралният еналаприл се резорбира бързо и достига максимална серумна концентрация след 1 час. Базирайки се на уринния анализ, степента на абсорбция след перорален прием е приблизително 60 %. Абсорбцията на пероралната форма не се влияе от присъствието на храна в гастроинтестиналния тракт.</w:t>
      </w:r>
    </w:p>
    <w:p w14:paraId="6F8A3DD3"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След абсорбцията той се хидролизира бързо до еналаприлат, мощен АСЕ-инхибитор. Максималната серумна концентрация на еналаприлат се достига около 4 часа след перорален прием на еналаприлов малеат. Ефективният полуживот за акумулиране на еналаприлат след многократен прием на перорален еналаприл е 11 часа. При лица с нормална бъбречна функция, </w:t>
      </w:r>
      <w:r w:rsidRPr="006F7549">
        <w:rPr>
          <w:rFonts w:eastAsia="Times New Roman" w:cs="Arial"/>
          <w:color w:val="000000"/>
          <w:szCs w:val="20"/>
          <w:lang w:val="en-US"/>
        </w:rPr>
        <w:t>steady</w:t>
      </w:r>
      <w:r w:rsidRPr="006F7549">
        <w:rPr>
          <w:rFonts w:eastAsia="Times New Roman" w:cs="Arial"/>
          <w:color w:val="000000"/>
          <w:szCs w:val="20"/>
          <w:lang w:val="ru-RU"/>
        </w:rPr>
        <w:t xml:space="preserve"> </w:t>
      </w:r>
      <w:r w:rsidRPr="006F7549">
        <w:rPr>
          <w:rFonts w:eastAsia="Times New Roman" w:cs="Arial"/>
          <w:color w:val="000000"/>
          <w:szCs w:val="20"/>
          <w:lang w:val="en-US"/>
        </w:rPr>
        <w:t>state</w:t>
      </w:r>
      <w:r w:rsidRPr="006F7549">
        <w:rPr>
          <w:rFonts w:eastAsia="Times New Roman" w:cs="Arial"/>
          <w:color w:val="000000"/>
          <w:szCs w:val="20"/>
          <w:lang w:val="ru-RU"/>
        </w:rPr>
        <w:t xml:space="preserve"> </w:t>
      </w:r>
      <w:r w:rsidRPr="006F7549">
        <w:rPr>
          <w:rFonts w:eastAsia="Times New Roman" w:cs="Arial"/>
          <w:color w:val="000000"/>
          <w:szCs w:val="20"/>
          <w:lang w:eastAsia="bg-BG"/>
        </w:rPr>
        <w:t>серумна концентрация на еналаприлат се достига на четвъртия ден от лечението с еналаприлов малеат.</w:t>
      </w:r>
    </w:p>
    <w:p w14:paraId="25A390EF" w14:textId="77777777" w:rsidR="006F7549" w:rsidRPr="006F7549" w:rsidRDefault="006F7549" w:rsidP="006F7549">
      <w:pPr>
        <w:spacing w:line="240" w:lineRule="auto"/>
        <w:rPr>
          <w:rFonts w:eastAsia="Times New Roman" w:cs="Arial"/>
          <w:color w:val="000000"/>
          <w:szCs w:val="20"/>
          <w:u w:val="single"/>
          <w:lang w:eastAsia="bg-BG"/>
        </w:rPr>
      </w:pPr>
    </w:p>
    <w:p w14:paraId="2572AD7B" w14:textId="1F51F152" w:rsidR="006F7549" w:rsidRPr="006F7549" w:rsidRDefault="006F7549" w:rsidP="006F7549">
      <w:pPr>
        <w:pStyle w:val="Heading3"/>
        <w:rPr>
          <w:rFonts w:eastAsia="Times New Roman"/>
          <w:sz w:val="28"/>
          <w:u w:val="single"/>
        </w:rPr>
      </w:pPr>
      <w:r w:rsidRPr="006F7549">
        <w:rPr>
          <w:rFonts w:eastAsia="Times New Roman"/>
          <w:u w:val="single"/>
          <w:lang w:eastAsia="bg-BG"/>
        </w:rPr>
        <w:t>Разпределение</w:t>
      </w:r>
    </w:p>
    <w:p w14:paraId="3B761BD4"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Свързването на еналаприлат с човешките плазмени протеини не надвишава 60 % при терапевтични концентрации.</w:t>
      </w:r>
    </w:p>
    <w:p w14:paraId="39150881" w14:textId="77777777" w:rsidR="006F7549" w:rsidRPr="006F7549" w:rsidRDefault="006F7549" w:rsidP="006F7549">
      <w:pPr>
        <w:spacing w:line="240" w:lineRule="auto"/>
        <w:rPr>
          <w:rFonts w:eastAsia="Times New Roman" w:cs="Arial"/>
          <w:color w:val="000000"/>
          <w:szCs w:val="20"/>
          <w:u w:val="single"/>
          <w:lang w:eastAsia="bg-BG"/>
        </w:rPr>
      </w:pPr>
    </w:p>
    <w:p w14:paraId="3D166D2E" w14:textId="3FE46C21" w:rsidR="006F7549" w:rsidRPr="006F7549" w:rsidRDefault="006F7549" w:rsidP="006F7549">
      <w:pPr>
        <w:pStyle w:val="Heading3"/>
        <w:rPr>
          <w:rFonts w:eastAsia="Times New Roman"/>
          <w:sz w:val="28"/>
          <w:u w:val="single"/>
        </w:rPr>
      </w:pPr>
      <w:r w:rsidRPr="006F7549">
        <w:rPr>
          <w:rFonts w:eastAsia="Times New Roman"/>
          <w:u w:val="single"/>
          <w:lang w:eastAsia="bg-BG"/>
        </w:rPr>
        <w:t>Биотрансформация</w:t>
      </w:r>
    </w:p>
    <w:p w14:paraId="20675D66" w14:textId="21F7F0FA"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С изключение на трансформацията до еналаприлат, няма данни за значителен метаболизъм на еналаприл.</w:t>
      </w:r>
    </w:p>
    <w:p w14:paraId="09C4EF59" w14:textId="77777777" w:rsidR="006F7549" w:rsidRPr="006F7549" w:rsidRDefault="006F7549" w:rsidP="006F7549">
      <w:pPr>
        <w:spacing w:line="240" w:lineRule="auto"/>
        <w:rPr>
          <w:rFonts w:eastAsia="Times New Roman" w:cs="Arial"/>
          <w:color w:val="000000"/>
          <w:szCs w:val="20"/>
          <w:u w:val="single"/>
          <w:lang w:eastAsia="bg-BG"/>
        </w:rPr>
      </w:pPr>
    </w:p>
    <w:p w14:paraId="3876C3CF" w14:textId="76F40085" w:rsidR="006F7549" w:rsidRPr="006F7549" w:rsidRDefault="006F7549" w:rsidP="006F7549">
      <w:pPr>
        <w:pStyle w:val="Heading3"/>
        <w:rPr>
          <w:rFonts w:eastAsia="Times New Roman"/>
          <w:sz w:val="28"/>
          <w:u w:val="single"/>
        </w:rPr>
      </w:pPr>
      <w:r w:rsidRPr="006F7549">
        <w:rPr>
          <w:rFonts w:eastAsia="Times New Roman"/>
          <w:u w:val="single"/>
          <w:lang w:eastAsia="bg-BG"/>
        </w:rPr>
        <w:t>Елиминиране</w:t>
      </w:r>
    </w:p>
    <w:p w14:paraId="3F42A70E"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Екскрецията на еналаприлат е основно чрез бъбреците. Главните компоненти в урината са еналаприлат (около 40 % от дозата) и непроменен еналаприл (около 20 %).</w:t>
      </w:r>
    </w:p>
    <w:p w14:paraId="30D350D7" w14:textId="77777777" w:rsidR="006F7549" w:rsidRPr="006F7549" w:rsidRDefault="006F7549" w:rsidP="006F7549">
      <w:pPr>
        <w:spacing w:line="240" w:lineRule="auto"/>
        <w:rPr>
          <w:rFonts w:eastAsia="Times New Roman" w:cs="Arial"/>
          <w:color w:val="000000"/>
          <w:szCs w:val="20"/>
          <w:u w:val="single"/>
          <w:lang w:eastAsia="bg-BG"/>
        </w:rPr>
      </w:pPr>
    </w:p>
    <w:p w14:paraId="7B0F892B" w14:textId="631ED4B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Бъбречно увреждане</w:t>
      </w:r>
    </w:p>
    <w:p w14:paraId="3812A34E" w14:textId="77777777" w:rsidR="006F7549" w:rsidRPr="006F7549" w:rsidRDefault="006F7549" w:rsidP="006F7549">
      <w:pPr>
        <w:rPr>
          <w:rFonts w:eastAsia="Times New Roman" w:cs="Arial"/>
          <w:sz w:val="28"/>
          <w:szCs w:val="24"/>
        </w:rPr>
      </w:pPr>
      <w:r w:rsidRPr="006F7549">
        <w:rPr>
          <w:rFonts w:eastAsia="Times New Roman" w:cs="Arial"/>
          <w:color w:val="000000"/>
          <w:szCs w:val="20"/>
          <w:lang w:eastAsia="bg-BG"/>
        </w:rPr>
        <w:t xml:space="preserve">Нивата на еналаприл и енаприлат се увеличават при пациенти с бъбречна недостатъчност. При лека до умерена степен на бъбречна недостатъчност (креатининов клирънс 40 - 60 </w:t>
      </w:r>
      <w:r w:rsidRPr="006F7549">
        <w:rPr>
          <w:rFonts w:eastAsia="Times New Roman" w:cs="Arial"/>
          <w:color w:val="000000"/>
          <w:szCs w:val="20"/>
          <w:lang w:val="en-US"/>
        </w:rPr>
        <w:t>ml</w:t>
      </w:r>
      <w:r w:rsidRPr="006F7549">
        <w:rPr>
          <w:rFonts w:eastAsia="Times New Roman" w:cs="Arial"/>
          <w:color w:val="000000"/>
          <w:szCs w:val="20"/>
          <w:lang w:val="ru-RU"/>
        </w:rPr>
        <w:t>/</w:t>
      </w:r>
      <w:r w:rsidRPr="006F7549">
        <w:rPr>
          <w:rFonts w:eastAsia="Times New Roman" w:cs="Arial"/>
          <w:color w:val="000000"/>
          <w:szCs w:val="20"/>
          <w:lang w:val="en-US"/>
        </w:rPr>
        <w:t>min</w:t>
      </w:r>
      <w:r w:rsidRPr="006F7549">
        <w:rPr>
          <w:rFonts w:eastAsia="Times New Roman" w:cs="Arial"/>
          <w:color w:val="000000"/>
          <w:szCs w:val="20"/>
          <w:lang w:val="ru-RU"/>
        </w:rPr>
        <w:t xml:space="preserve">), </w:t>
      </w:r>
      <w:r w:rsidRPr="006F7549">
        <w:rPr>
          <w:rFonts w:eastAsia="Times New Roman" w:cs="Arial"/>
          <w:color w:val="000000"/>
          <w:szCs w:val="20"/>
          <w:lang w:val="en-US"/>
        </w:rPr>
        <w:t>steady</w:t>
      </w:r>
      <w:r w:rsidRPr="006F7549">
        <w:rPr>
          <w:rFonts w:eastAsia="Times New Roman" w:cs="Arial"/>
          <w:color w:val="000000"/>
          <w:szCs w:val="20"/>
        </w:rPr>
        <w:t xml:space="preserve"> </w:t>
      </w:r>
      <w:r w:rsidRPr="006F7549">
        <w:rPr>
          <w:rFonts w:eastAsia="Times New Roman" w:cs="Arial"/>
          <w:color w:val="000000"/>
          <w:szCs w:val="20"/>
          <w:lang w:val="en-US"/>
        </w:rPr>
        <w:t>state</w:t>
      </w:r>
      <w:r w:rsidRPr="006F7549">
        <w:rPr>
          <w:rFonts w:eastAsia="Times New Roman" w:cs="Arial"/>
          <w:color w:val="000000"/>
          <w:szCs w:val="20"/>
          <w:lang w:val="ru-RU"/>
        </w:rPr>
        <w:t xml:space="preserve"> </w:t>
      </w:r>
      <w:r w:rsidRPr="006F7549">
        <w:rPr>
          <w:rFonts w:eastAsia="Times New Roman" w:cs="Arial"/>
          <w:color w:val="000000"/>
          <w:szCs w:val="20"/>
          <w:lang w:val="en-US"/>
        </w:rPr>
        <w:t>AUC</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на еналаприлат е приблизително два пъти по висока, отколкото при нормална бъбречна функция, след прием на 5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еднократно дневно. При тежка бъбречна недостатъчност (креатининов клирънс ≤30 </w:t>
      </w:r>
      <w:r w:rsidRPr="006F7549">
        <w:rPr>
          <w:rFonts w:eastAsia="Times New Roman" w:cs="Arial"/>
          <w:color w:val="000000"/>
          <w:szCs w:val="20"/>
          <w:lang w:val="en-US"/>
        </w:rPr>
        <w:t>ml</w:t>
      </w:r>
      <w:r w:rsidRPr="006F7549">
        <w:rPr>
          <w:rFonts w:eastAsia="Times New Roman" w:cs="Arial"/>
          <w:color w:val="000000"/>
          <w:szCs w:val="20"/>
          <w:lang w:val="ru-RU"/>
        </w:rPr>
        <w:t>/</w:t>
      </w:r>
      <w:r w:rsidRPr="006F7549">
        <w:rPr>
          <w:rFonts w:eastAsia="Times New Roman" w:cs="Arial"/>
          <w:color w:val="000000"/>
          <w:szCs w:val="20"/>
          <w:lang w:val="en-US"/>
        </w:rPr>
        <w:t>min</w:t>
      </w:r>
      <w:r w:rsidRPr="006F7549">
        <w:rPr>
          <w:rFonts w:eastAsia="Times New Roman" w:cs="Arial"/>
          <w:color w:val="000000"/>
          <w:szCs w:val="20"/>
          <w:lang w:val="ru-RU"/>
        </w:rPr>
        <w:t xml:space="preserve">) </w:t>
      </w:r>
      <w:r w:rsidRPr="006F7549">
        <w:rPr>
          <w:rFonts w:eastAsia="Times New Roman" w:cs="Arial"/>
          <w:color w:val="000000"/>
          <w:szCs w:val="20"/>
          <w:lang w:val="en-US"/>
        </w:rPr>
        <w:t>AUC</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се увеличава приблизително 8 пъти. Ефективният полуживот на еналаприлат след многократен прием на еналаприлов малеат се удължава при тези нива на бъбречна недостатъчност и времето да достигане на </w:t>
      </w:r>
      <w:r w:rsidRPr="006F7549">
        <w:rPr>
          <w:rFonts w:eastAsia="Times New Roman" w:cs="Arial"/>
          <w:color w:val="000000"/>
          <w:szCs w:val="20"/>
          <w:lang w:val="en-US"/>
        </w:rPr>
        <w:t>steady</w:t>
      </w:r>
      <w:r w:rsidRPr="006F7549">
        <w:rPr>
          <w:rFonts w:eastAsia="Times New Roman" w:cs="Arial"/>
          <w:color w:val="000000"/>
          <w:szCs w:val="20"/>
          <w:lang w:val="ru-RU"/>
        </w:rPr>
        <w:t xml:space="preserve"> </w:t>
      </w:r>
      <w:r w:rsidRPr="006F7549">
        <w:rPr>
          <w:rFonts w:eastAsia="Times New Roman" w:cs="Arial"/>
          <w:color w:val="000000"/>
          <w:szCs w:val="20"/>
          <w:lang w:val="en-US"/>
        </w:rPr>
        <w:t>state</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се удължава. Еналаприлат може да бъде отстранен от кръвообращението чрез хемодиализа. Диализният клирънс е 62 </w:t>
      </w:r>
      <w:r w:rsidRPr="006F7549">
        <w:rPr>
          <w:rFonts w:eastAsia="Times New Roman" w:cs="Arial"/>
          <w:color w:val="000000"/>
          <w:szCs w:val="20"/>
          <w:lang w:val="en-US"/>
        </w:rPr>
        <w:t>ml</w:t>
      </w:r>
      <w:r w:rsidRPr="006F7549">
        <w:rPr>
          <w:rFonts w:eastAsia="Times New Roman" w:cs="Arial"/>
          <w:color w:val="000000"/>
          <w:szCs w:val="20"/>
          <w:lang w:val="ru-RU"/>
        </w:rPr>
        <w:t>/</w:t>
      </w:r>
      <w:r w:rsidRPr="006F7549">
        <w:rPr>
          <w:rFonts w:eastAsia="Times New Roman" w:cs="Arial"/>
          <w:color w:val="000000"/>
          <w:szCs w:val="20"/>
          <w:lang w:val="en-US"/>
        </w:rPr>
        <w:t>min</w:t>
      </w:r>
      <w:r w:rsidRPr="006F7549">
        <w:rPr>
          <w:rFonts w:eastAsia="Times New Roman" w:cs="Arial"/>
          <w:color w:val="000000"/>
          <w:szCs w:val="20"/>
          <w:lang w:val="ru-RU"/>
        </w:rPr>
        <w:t>.</w:t>
      </w:r>
    </w:p>
    <w:p w14:paraId="4115A602" w14:textId="77777777" w:rsidR="006F7549" w:rsidRPr="006F7549" w:rsidRDefault="006F7549" w:rsidP="006F7549">
      <w:pPr>
        <w:spacing w:line="240" w:lineRule="auto"/>
        <w:rPr>
          <w:rFonts w:eastAsia="Times New Roman" w:cs="Arial"/>
          <w:color w:val="000000"/>
          <w:szCs w:val="20"/>
          <w:u w:val="single"/>
          <w:lang w:eastAsia="bg-BG"/>
        </w:rPr>
      </w:pPr>
    </w:p>
    <w:p w14:paraId="3E0FA9DF" w14:textId="05B6638C"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Деца и юноши</w:t>
      </w:r>
    </w:p>
    <w:p w14:paraId="79F4B53D"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 xml:space="preserve">Проведено е фармакокинетично изследване с приложение на многократни дози при 40 педиатрични пациенти с хипертония от мъжки и женски пол на възраст от 2 месеца до &lt; 16 години след перорално приложение на еналаприлов малеат от 0,07 до 0,14 </w:t>
      </w:r>
      <w:r w:rsidRPr="006F7549">
        <w:rPr>
          <w:rFonts w:eastAsia="Times New Roman" w:cs="Arial"/>
          <w:color w:val="000000"/>
          <w:szCs w:val="20"/>
          <w:lang w:val="en-US"/>
        </w:rPr>
        <w:t>mg</w:t>
      </w:r>
      <w:r w:rsidRPr="006F7549">
        <w:rPr>
          <w:rFonts w:eastAsia="Times New Roman" w:cs="Arial"/>
          <w:color w:val="000000"/>
          <w:szCs w:val="20"/>
          <w:lang w:val="ru-RU"/>
        </w:rPr>
        <w:t>/</w:t>
      </w:r>
      <w:r w:rsidRPr="006F7549">
        <w:rPr>
          <w:rFonts w:eastAsia="Times New Roman" w:cs="Arial"/>
          <w:color w:val="000000"/>
          <w:szCs w:val="20"/>
          <w:lang w:val="en-US"/>
        </w:rPr>
        <w:t>kg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дневно. Не са установени съществени различия във фармакокинетиката на еналаприлат при деца, в сравнение с данните при възрастни. Данните показват повишаване на </w:t>
      </w:r>
      <w:r w:rsidRPr="006F7549">
        <w:rPr>
          <w:rFonts w:eastAsia="Times New Roman" w:cs="Arial"/>
          <w:color w:val="000000"/>
          <w:szCs w:val="20"/>
          <w:lang w:val="en-US"/>
        </w:rPr>
        <w:t>AUC</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(според доза на телесно тегло) с покачване на възрастта, макар че повишаването на </w:t>
      </w:r>
      <w:r w:rsidRPr="006F7549">
        <w:rPr>
          <w:rFonts w:eastAsia="Times New Roman" w:cs="Arial"/>
          <w:color w:val="000000"/>
          <w:szCs w:val="20"/>
          <w:lang w:val="en-US"/>
        </w:rPr>
        <w:t>AUC</w:t>
      </w:r>
      <w:r w:rsidRPr="006F7549">
        <w:rPr>
          <w:rFonts w:eastAsia="Times New Roman" w:cs="Arial"/>
          <w:color w:val="000000"/>
          <w:szCs w:val="20"/>
          <w:lang w:val="ru-RU"/>
        </w:rPr>
        <w:t xml:space="preserve"> </w:t>
      </w:r>
      <w:r w:rsidRPr="006F7549">
        <w:rPr>
          <w:rFonts w:eastAsia="Times New Roman" w:cs="Arial"/>
          <w:color w:val="000000"/>
          <w:szCs w:val="20"/>
          <w:lang w:eastAsia="bg-BG"/>
        </w:rPr>
        <w:t>не се установява, когато данните са преизчислени според доза на телесна повърхност. В стационарно състояние средният ефективен полуживот на кумулиране на еналаприлат след многократен прием на еналаприлов малеат е 14 часа.</w:t>
      </w:r>
    </w:p>
    <w:p w14:paraId="5487946A" w14:textId="77777777" w:rsidR="006F7549" w:rsidRPr="006F7549" w:rsidRDefault="006F7549" w:rsidP="006F7549">
      <w:pPr>
        <w:spacing w:line="240" w:lineRule="auto"/>
        <w:rPr>
          <w:rFonts w:eastAsia="Times New Roman" w:cs="Arial"/>
          <w:color w:val="000000"/>
          <w:szCs w:val="20"/>
          <w:u w:val="single"/>
          <w:lang w:eastAsia="bg-BG"/>
        </w:rPr>
      </w:pPr>
    </w:p>
    <w:p w14:paraId="3BD9CE36" w14:textId="768E84BF"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u w:val="single"/>
          <w:lang w:eastAsia="bg-BG"/>
        </w:rPr>
        <w:t>Кърмене</w:t>
      </w:r>
    </w:p>
    <w:p w14:paraId="2DC8BA92"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lastRenderedPageBreak/>
        <w:t xml:space="preserve">След приложение на еднократна перорална доза от 20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еналаприл при пет родилки, неговото средно пиково ниво в млякото е било 1,7 μ</w:t>
      </w:r>
      <w:r w:rsidRPr="006F7549">
        <w:rPr>
          <w:rFonts w:eastAsia="Times New Roman" w:cs="Arial"/>
          <w:color w:val="000000"/>
          <w:szCs w:val="20"/>
          <w:lang w:val="en-US"/>
        </w:rPr>
        <w:t>g</w:t>
      </w:r>
      <w:r w:rsidRPr="006F7549">
        <w:rPr>
          <w:rFonts w:eastAsia="Times New Roman" w:cs="Arial"/>
          <w:color w:val="000000"/>
          <w:szCs w:val="20"/>
          <w:lang w:val="ru-RU"/>
        </w:rPr>
        <w:t xml:space="preserve">/1 </w:t>
      </w:r>
      <w:r w:rsidRPr="006F7549">
        <w:rPr>
          <w:rFonts w:eastAsia="Times New Roman" w:cs="Arial"/>
          <w:color w:val="000000"/>
          <w:szCs w:val="20"/>
          <w:lang w:eastAsia="bg-BG"/>
        </w:rPr>
        <w:t>(в граници от 0,54 до 5,9 μ</w:t>
      </w:r>
      <w:r w:rsidRPr="006F7549">
        <w:rPr>
          <w:rFonts w:eastAsia="Times New Roman" w:cs="Arial"/>
          <w:color w:val="000000"/>
          <w:szCs w:val="20"/>
          <w:lang w:val="en-US"/>
        </w:rPr>
        <w:t>g</w:t>
      </w:r>
      <w:r w:rsidRPr="006F7549">
        <w:rPr>
          <w:rFonts w:eastAsia="Times New Roman" w:cs="Arial"/>
          <w:color w:val="000000"/>
          <w:szCs w:val="20"/>
          <w:lang w:val="ru-RU"/>
        </w:rPr>
        <w:t>/</w:t>
      </w:r>
      <w:r w:rsidRPr="006F7549">
        <w:rPr>
          <w:rFonts w:eastAsia="Times New Roman" w:cs="Arial"/>
          <w:color w:val="000000"/>
          <w:szCs w:val="20"/>
          <w:lang w:val="en-US"/>
        </w:rPr>
        <w:t>l</w:t>
      </w:r>
      <w:r w:rsidRPr="006F7549">
        <w:rPr>
          <w:rFonts w:eastAsia="Times New Roman" w:cs="Arial"/>
          <w:color w:val="000000"/>
          <w:szCs w:val="20"/>
          <w:lang w:val="ru-RU"/>
        </w:rPr>
        <w:t xml:space="preserve">), </w:t>
      </w:r>
      <w:r w:rsidRPr="006F7549">
        <w:rPr>
          <w:rFonts w:eastAsia="Times New Roman" w:cs="Arial"/>
          <w:color w:val="000000"/>
          <w:szCs w:val="20"/>
          <w:lang w:eastAsia="bg-BG"/>
        </w:rPr>
        <w:t>4 до 6 часа след дозирането. Средното пиково ниво на еналаприлат е било 1,7 μ</w:t>
      </w:r>
      <w:r w:rsidRPr="006F7549">
        <w:rPr>
          <w:rFonts w:eastAsia="Times New Roman" w:cs="Arial"/>
          <w:color w:val="000000"/>
          <w:szCs w:val="20"/>
          <w:lang w:val="en-US"/>
        </w:rPr>
        <w:t>g</w:t>
      </w:r>
      <w:r w:rsidRPr="006F7549">
        <w:rPr>
          <w:rFonts w:eastAsia="Times New Roman" w:cs="Arial"/>
          <w:color w:val="000000"/>
          <w:szCs w:val="20"/>
          <w:lang w:val="ru-RU"/>
        </w:rPr>
        <w:t>/</w:t>
      </w:r>
      <w:r w:rsidRPr="006F7549">
        <w:rPr>
          <w:rFonts w:eastAsia="Times New Roman" w:cs="Arial"/>
          <w:color w:val="000000"/>
          <w:szCs w:val="20"/>
          <w:lang w:val="en-US"/>
        </w:rPr>
        <w:t>l</w:t>
      </w:r>
      <w:r w:rsidRPr="006F7549">
        <w:rPr>
          <w:rFonts w:eastAsia="Times New Roman" w:cs="Arial"/>
          <w:color w:val="000000"/>
          <w:szCs w:val="20"/>
          <w:lang w:val="ru-RU"/>
        </w:rPr>
        <w:t xml:space="preserve"> </w:t>
      </w:r>
      <w:r w:rsidRPr="006F7549">
        <w:rPr>
          <w:rFonts w:eastAsia="Times New Roman" w:cs="Arial"/>
          <w:color w:val="000000"/>
          <w:szCs w:val="20"/>
          <w:lang w:eastAsia="bg-BG"/>
        </w:rPr>
        <w:t>(в граници от 1,2 до 2,3 μ</w:t>
      </w:r>
      <w:r w:rsidRPr="006F7549">
        <w:rPr>
          <w:rFonts w:eastAsia="Times New Roman" w:cs="Arial"/>
          <w:color w:val="000000"/>
          <w:szCs w:val="20"/>
          <w:lang w:val="en-US"/>
        </w:rPr>
        <w:t>g</w:t>
      </w:r>
      <w:r w:rsidRPr="006F7549">
        <w:rPr>
          <w:rFonts w:eastAsia="Times New Roman" w:cs="Arial"/>
          <w:color w:val="000000"/>
          <w:szCs w:val="20"/>
          <w:lang w:val="ru-RU"/>
        </w:rPr>
        <w:t xml:space="preserve">/1); </w:t>
      </w:r>
      <w:r w:rsidRPr="006F7549">
        <w:rPr>
          <w:rFonts w:eastAsia="Times New Roman" w:cs="Arial"/>
          <w:color w:val="000000"/>
          <w:szCs w:val="20"/>
          <w:lang w:eastAsia="bg-BG"/>
        </w:rPr>
        <w:t xml:space="preserve">пикове са установени по различно време в продължение на 24 часов период. Използвайки данните за пиковото ниво в млякото, изчисленият максимален прием при едно кърмаче, хранено единствено с кърма, би бил около 0,16 % от майчината доза, преизчислена на база телесно тегло, Жена която е приемала перорално еналаприл 10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дневно в продължение на 11 месеца е имала пикови нива на еналаприл в млякото от 2 μ</w:t>
      </w:r>
      <w:r w:rsidRPr="006F7549">
        <w:rPr>
          <w:rFonts w:eastAsia="Times New Roman" w:cs="Arial"/>
          <w:color w:val="000000"/>
          <w:szCs w:val="20"/>
          <w:lang w:val="en-US"/>
        </w:rPr>
        <w:t>g</w:t>
      </w:r>
      <w:r w:rsidRPr="006F7549">
        <w:rPr>
          <w:rFonts w:eastAsia="Times New Roman" w:cs="Arial"/>
          <w:color w:val="000000"/>
          <w:szCs w:val="20"/>
          <w:lang w:val="ru-RU"/>
        </w:rPr>
        <w:t>/1,</w:t>
      </w:r>
      <w:r w:rsidRPr="006F7549">
        <w:rPr>
          <w:rFonts w:eastAsia="Times New Roman" w:cs="Arial"/>
          <w:color w:val="000000"/>
          <w:szCs w:val="20"/>
          <w:lang w:eastAsia="bg-BG"/>
        </w:rPr>
        <w:t>4 часа след дозиране и пикови нива на еналаприлат от 0,75 μ</w:t>
      </w:r>
      <w:r w:rsidRPr="006F7549">
        <w:rPr>
          <w:rFonts w:eastAsia="Times New Roman" w:cs="Arial"/>
          <w:color w:val="000000"/>
          <w:szCs w:val="20"/>
          <w:lang w:val="en-US"/>
        </w:rPr>
        <w:t>g</w:t>
      </w:r>
      <w:r w:rsidRPr="006F7549">
        <w:rPr>
          <w:rFonts w:eastAsia="Times New Roman" w:cs="Arial"/>
          <w:color w:val="000000"/>
          <w:szCs w:val="20"/>
          <w:lang w:val="ru-RU"/>
        </w:rPr>
        <w:t>/1,</w:t>
      </w:r>
      <w:r w:rsidRPr="006F7549">
        <w:rPr>
          <w:rFonts w:eastAsia="Times New Roman" w:cs="Arial"/>
          <w:color w:val="000000"/>
          <w:szCs w:val="20"/>
          <w:lang w:eastAsia="bg-BG"/>
        </w:rPr>
        <w:t>9 часа след дозиране. Общото количество на еналаприл и еналаприлат, измерено в млякото, в продължение на 24 часов период е било 1,44 μ</w:t>
      </w:r>
      <w:r w:rsidRPr="006F7549">
        <w:rPr>
          <w:rFonts w:eastAsia="Times New Roman" w:cs="Arial"/>
          <w:color w:val="000000"/>
          <w:szCs w:val="20"/>
          <w:lang w:val="en-US"/>
        </w:rPr>
        <w:t>g</w:t>
      </w:r>
      <w:r w:rsidRPr="006F7549">
        <w:rPr>
          <w:rFonts w:eastAsia="Times New Roman" w:cs="Arial"/>
          <w:color w:val="000000"/>
          <w:szCs w:val="20"/>
          <w:lang w:val="ru-RU"/>
        </w:rPr>
        <w:t>/</w:t>
      </w:r>
      <w:r w:rsidRPr="006F7549">
        <w:rPr>
          <w:rFonts w:eastAsia="Times New Roman" w:cs="Arial"/>
          <w:color w:val="000000"/>
          <w:szCs w:val="20"/>
          <w:lang w:val="en-US"/>
        </w:rPr>
        <w:t>l</w:t>
      </w:r>
      <w:r w:rsidRPr="006F7549">
        <w:rPr>
          <w:rFonts w:eastAsia="Times New Roman" w:cs="Arial"/>
          <w:color w:val="000000"/>
          <w:szCs w:val="20"/>
          <w:lang w:val="ru-RU"/>
        </w:rPr>
        <w:t xml:space="preserve"> </w:t>
      </w:r>
      <w:r w:rsidRPr="006F7549">
        <w:rPr>
          <w:rFonts w:eastAsia="Times New Roman" w:cs="Arial"/>
          <w:color w:val="000000"/>
          <w:szCs w:val="20"/>
          <w:lang w:eastAsia="bg-BG"/>
        </w:rPr>
        <w:t>и 0,63 μ</w:t>
      </w:r>
      <w:r w:rsidRPr="006F7549">
        <w:rPr>
          <w:rFonts w:eastAsia="Times New Roman" w:cs="Arial"/>
          <w:color w:val="000000"/>
          <w:szCs w:val="20"/>
          <w:lang w:val="en-US"/>
        </w:rPr>
        <w:t>g</w:t>
      </w:r>
      <w:r w:rsidRPr="006F7549">
        <w:rPr>
          <w:rFonts w:eastAsia="Times New Roman" w:cs="Arial"/>
          <w:color w:val="000000"/>
          <w:szCs w:val="20"/>
          <w:lang w:val="ru-RU"/>
        </w:rPr>
        <w:t>/</w:t>
      </w:r>
      <w:r w:rsidRPr="006F7549">
        <w:rPr>
          <w:rFonts w:eastAsia="Times New Roman" w:cs="Arial"/>
          <w:color w:val="000000"/>
          <w:szCs w:val="20"/>
          <w:lang w:val="en-US"/>
        </w:rPr>
        <w:t>l</w:t>
      </w:r>
      <w:r w:rsidRPr="006F7549">
        <w:rPr>
          <w:rFonts w:eastAsia="Times New Roman" w:cs="Arial"/>
          <w:color w:val="000000"/>
          <w:szCs w:val="20"/>
          <w:lang w:val="ru-RU"/>
        </w:rPr>
        <w:t xml:space="preserve"> </w:t>
      </w:r>
      <w:r w:rsidRPr="006F7549">
        <w:rPr>
          <w:rFonts w:eastAsia="Times New Roman" w:cs="Arial"/>
          <w:color w:val="000000"/>
          <w:szCs w:val="20"/>
          <w:lang w:eastAsia="bg-BG"/>
        </w:rPr>
        <w:t>съответно.</w:t>
      </w:r>
    </w:p>
    <w:p w14:paraId="08AA3B6C" w14:textId="77777777" w:rsidR="006F7549" w:rsidRPr="006F7549" w:rsidRDefault="006F7549" w:rsidP="006F7549">
      <w:pPr>
        <w:spacing w:line="240" w:lineRule="auto"/>
        <w:rPr>
          <w:rFonts w:eastAsia="Times New Roman" w:cs="Arial"/>
          <w:sz w:val="28"/>
          <w:szCs w:val="24"/>
        </w:rPr>
      </w:pPr>
      <w:r w:rsidRPr="006F7549">
        <w:rPr>
          <w:rFonts w:eastAsia="Times New Roman" w:cs="Arial"/>
          <w:color w:val="000000"/>
          <w:szCs w:val="20"/>
          <w:lang w:eastAsia="bg-BG"/>
        </w:rPr>
        <w:t>Нивата на еналаприлат в млякото са били под прага на установяване (&lt; 0,2 μ</w:t>
      </w:r>
      <w:r w:rsidRPr="006F7549">
        <w:rPr>
          <w:rFonts w:eastAsia="Times New Roman" w:cs="Arial"/>
          <w:color w:val="000000"/>
          <w:szCs w:val="20"/>
          <w:lang w:val="en-US"/>
        </w:rPr>
        <w:t>g</w:t>
      </w:r>
      <w:r w:rsidRPr="006F7549">
        <w:rPr>
          <w:rFonts w:eastAsia="Times New Roman" w:cs="Arial"/>
          <w:color w:val="000000"/>
          <w:szCs w:val="20"/>
          <w:lang w:val="ru-RU"/>
        </w:rPr>
        <w:t>/</w:t>
      </w:r>
      <w:r w:rsidRPr="006F7549">
        <w:rPr>
          <w:rFonts w:eastAsia="Times New Roman" w:cs="Arial"/>
          <w:color w:val="000000"/>
          <w:szCs w:val="20"/>
          <w:lang w:val="en-US"/>
        </w:rPr>
        <w:t>l</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4 часа след еднократна доза от 5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 xml:space="preserve">еналаприл при една майка и от 10 </w:t>
      </w:r>
      <w:r w:rsidRPr="006F7549">
        <w:rPr>
          <w:rFonts w:eastAsia="Times New Roman" w:cs="Arial"/>
          <w:color w:val="000000"/>
          <w:szCs w:val="20"/>
          <w:lang w:val="en-US"/>
        </w:rPr>
        <w:t>mg</w:t>
      </w:r>
      <w:r w:rsidRPr="006F7549">
        <w:rPr>
          <w:rFonts w:eastAsia="Times New Roman" w:cs="Arial"/>
          <w:color w:val="000000"/>
          <w:szCs w:val="20"/>
          <w:lang w:val="ru-RU"/>
        </w:rPr>
        <w:t xml:space="preserve"> </w:t>
      </w:r>
      <w:r w:rsidRPr="006F7549">
        <w:rPr>
          <w:rFonts w:eastAsia="Times New Roman" w:cs="Arial"/>
          <w:color w:val="000000"/>
          <w:szCs w:val="20"/>
          <w:lang w:eastAsia="bg-BG"/>
        </w:rPr>
        <w:t>при две майки; нивата на еналаприл не са определяни.</w:t>
      </w:r>
    </w:p>
    <w:p w14:paraId="5790C488" w14:textId="57327EFE" w:rsidR="006F7549" w:rsidRPr="006F7549" w:rsidRDefault="006F7549" w:rsidP="006F7549"/>
    <w:p w14:paraId="4F31844C" w14:textId="226A5BB7" w:rsidR="00875EEC" w:rsidRDefault="002C50EE" w:rsidP="005726E3">
      <w:pPr>
        <w:pStyle w:val="Heading2"/>
      </w:pPr>
      <w:r>
        <w:t>5.3. Предклинични данни за безопасност</w:t>
      </w:r>
    </w:p>
    <w:p w14:paraId="654D2F2E" w14:textId="473EBDE6" w:rsidR="006F7549" w:rsidRDefault="006F7549" w:rsidP="006F7549"/>
    <w:p w14:paraId="4D080269" w14:textId="31AF4BB5" w:rsidR="006F7549" w:rsidRPr="006F7549" w:rsidRDefault="006F7549" w:rsidP="006F7549">
      <w:pPr>
        <w:rPr>
          <w:sz w:val="24"/>
          <w:szCs w:val="24"/>
        </w:rPr>
      </w:pPr>
      <w:r w:rsidRPr="006F7549">
        <w:rPr>
          <w:lang w:eastAsia="bg-BG"/>
        </w:rPr>
        <w:t>Предклиничните данни не показват особен риск за хора на основата на конвенционални фармакологични проучвания, токсичност при многократно приложение, генотоксичност и карциногенен потенциал. Изследванията за репродуктивна токсичност показват, че еналаприл не оказва ефекти върху фертилитета и репродуктивността при плъхове и не е тератогенен. В едно изследване, в което женски плъхове са били дозирани преди чифтосване и през гестационния период, е наблюдавана повишена честота на смъртността при новородените плъхове в периода на кърмене. Установено е, че съединението преминава през плацентата и се екскретира в млякото. АСЕ инхибиторите, като клас медикаменти, не показват фетотоксичност (причиняващи увреждания и/или смърт на фетуса), когато се прилагат през втория или третия триместър на бременността.</w:t>
      </w:r>
    </w:p>
    <w:p w14:paraId="77B789E8" w14:textId="77777777" w:rsidR="006F7549" w:rsidRPr="006F7549" w:rsidRDefault="006F7549" w:rsidP="006F7549"/>
    <w:p w14:paraId="1BA6531D" w14:textId="2CF83AB1" w:rsidR="00B6672E" w:rsidRDefault="002C50EE" w:rsidP="00936AD0">
      <w:pPr>
        <w:pStyle w:val="Heading1"/>
      </w:pPr>
      <w:r>
        <w:t>7. ПРИТЕЖАТЕЛ НА РАЗРЕШЕНИЕТО ЗА УПОТРЕБА</w:t>
      </w:r>
    </w:p>
    <w:p w14:paraId="49F06D45" w14:textId="279CC928" w:rsidR="006F7549" w:rsidRDefault="006F7549" w:rsidP="006F7549"/>
    <w:p w14:paraId="16AEDEED" w14:textId="77777777" w:rsidR="006F7549" w:rsidRPr="006F7549" w:rsidRDefault="006F7549" w:rsidP="006F7549">
      <w:pPr>
        <w:rPr>
          <w:sz w:val="24"/>
          <w:szCs w:val="24"/>
        </w:rPr>
      </w:pPr>
      <w:r w:rsidRPr="006F7549">
        <w:rPr>
          <w:lang w:eastAsia="bg-BG"/>
        </w:rPr>
        <w:t>Тева Фарма ЕАД</w:t>
      </w:r>
    </w:p>
    <w:p w14:paraId="4DAAE66A" w14:textId="77777777" w:rsidR="006F7549" w:rsidRPr="006F7549" w:rsidRDefault="006F7549" w:rsidP="006F7549">
      <w:pPr>
        <w:rPr>
          <w:sz w:val="24"/>
          <w:szCs w:val="24"/>
        </w:rPr>
      </w:pPr>
      <w:r w:rsidRPr="006F7549">
        <w:rPr>
          <w:lang w:eastAsia="bg-BG"/>
        </w:rPr>
        <w:t>ул. „Люба Величкова" № 9,1407 София</w:t>
      </w:r>
    </w:p>
    <w:p w14:paraId="44DDDC3F" w14:textId="305652D1" w:rsidR="006F7549" w:rsidRPr="006F7549" w:rsidRDefault="006F7549" w:rsidP="006F7549">
      <w:r w:rsidRPr="006F7549">
        <w:rPr>
          <w:lang w:eastAsia="bg-BG"/>
        </w:rPr>
        <w:t>България</w:t>
      </w:r>
    </w:p>
    <w:p w14:paraId="508F3A54" w14:textId="7AB3DB63" w:rsidR="00B6672E" w:rsidRDefault="00936AD0" w:rsidP="00936AD0">
      <w:pPr>
        <w:pStyle w:val="Heading1"/>
      </w:pPr>
      <w:r>
        <w:t>8.</w:t>
      </w:r>
      <w:r w:rsidR="002C50EE">
        <w:t>НОМЕР НА РАЗРЕШЕНИЕТО ЗА УПОТРЕБА</w:t>
      </w:r>
    </w:p>
    <w:p w14:paraId="60F45F65" w14:textId="19FC9E67" w:rsidR="006F7549" w:rsidRDefault="006F7549" w:rsidP="006F7549"/>
    <w:p w14:paraId="0B55A0CD" w14:textId="02AB0575" w:rsidR="006F7549" w:rsidRPr="006F7549" w:rsidRDefault="006F7549" w:rsidP="006F7549">
      <w:r>
        <w:rPr>
          <w:lang w:val="en-US"/>
        </w:rPr>
        <w:t>Per</w:t>
      </w:r>
      <w:r w:rsidRPr="006F7549">
        <w:rPr>
          <w:lang w:val="ru-RU"/>
        </w:rPr>
        <w:t xml:space="preserve">. </w:t>
      </w:r>
      <w:r>
        <w:t>№20030611</w:t>
      </w:r>
    </w:p>
    <w:p w14:paraId="3BC5EC53" w14:textId="75FD0782" w:rsidR="00875EEC" w:rsidRDefault="002C50EE" w:rsidP="005726E3">
      <w:pPr>
        <w:pStyle w:val="Heading1"/>
      </w:pPr>
      <w:r>
        <w:t>9. ДАТА НА ПЪРВО РАЗРЕШАВАНЕ/ПОДНОВЯВАНЕ НА РАЗРЕШЕНИЕТО ЗА УПОТРЕБА</w:t>
      </w:r>
    </w:p>
    <w:p w14:paraId="0715F44D" w14:textId="7049F1EE" w:rsidR="006F7549" w:rsidRDefault="006F7549" w:rsidP="006F7549"/>
    <w:p w14:paraId="32852B93" w14:textId="77777777" w:rsidR="006F7549" w:rsidRPr="006F7549" w:rsidRDefault="006F7549" w:rsidP="006F7549">
      <w:pPr>
        <w:rPr>
          <w:sz w:val="24"/>
          <w:szCs w:val="24"/>
        </w:rPr>
      </w:pPr>
      <w:r w:rsidRPr="006F7549">
        <w:rPr>
          <w:lang w:eastAsia="bg-BG"/>
        </w:rPr>
        <w:t>Дата на първо разрешаване: 29 септември 2003 г.</w:t>
      </w:r>
    </w:p>
    <w:p w14:paraId="39E57993" w14:textId="77777777" w:rsidR="006F7549" w:rsidRPr="006F7549" w:rsidRDefault="006F7549" w:rsidP="006F7549">
      <w:pPr>
        <w:rPr>
          <w:sz w:val="24"/>
          <w:szCs w:val="24"/>
        </w:rPr>
      </w:pPr>
      <w:r w:rsidRPr="006F7549">
        <w:rPr>
          <w:lang w:eastAsia="bg-BG"/>
        </w:rPr>
        <w:t>Дата на последно подновяване: 19 декември 2008 г.</w:t>
      </w:r>
    </w:p>
    <w:p w14:paraId="5FD32DFF" w14:textId="77777777" w:rsidR="006F7549" w:rsidRPr="006F7549" w:rsidRDefault="006F7549" w:rsidP="006F7549"/>
    <w:p w14:paraId="43FB38A2" w14:textId="3375C7B5" w:rsidR="007C605B" w:rsidRDefault="002C50EE" w:rsidP="005726E3">
      <w:pPr>
        <w:pStyle w:val="Heading1"/>
      </w:pPr>
      <w:r>
        <w:lastRenderedPageBreak/>
        <w:t>10. ДАТА НА АКТУАЛИЗИРАНЕ НА ТЕКСТА</w:t>
      </w:r>
      <w:bookmarkEnd w:id="0"/>
    </w:p>
    <w:p w14:paraId="487B3349" w14:textId="77777777" w:rsidR="006F7549" w:rsidRPr="006F7549" w:rsidRDefault="006F7549" w:rsidP="006F7549">
      <w:bookmarkStart w:id="1" w:name="_GoBack"/>
      <w:bookmarkEnd w:id="1"/>
    </w:p>
    <w:sectPr w:rsidR="006F7549" w:rsidRPr="006F7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CA3EA3"/>
    <w:multiLevelType w:val="hybridMultilevel"/>
    <w:tmpl w:val="45AC4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156197"/>
    <w:multiLevelType w:val="hybridMultilevel"/>
    <w:tmpl w:val="58343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4"/>
  </w:num>
  <w:num w:numId="11">
    <w:abstractNumId w:val="33"/>
  </w:num>
  <w:num w:numId="12">
    <w:abstractNumId w:val="16"/>
  </w:num>
  <w:num w:numId="13">
    <w:abstractNumId w:val="21"/>
  </w:num>
  <w:num w:numId="14">
    <w:abstractNumId w:val="14"/>
  </w:num>
  <w:num w:numId="15">
    <w:abstractNumId w:val="32"/>
  </w:num>
  <w:num w:numId="16">
    <w:abstractNumId w:val="12"/>
  </w:num>
  <w:num w:numId="17">
    <w:abstractNumId w:val="26"/>
  </w:num>
  <w:num w:numId="18">
    <w:abstractNumId w:val="9"/>
  </w:num>
  <w:num w:numId="19">
    <w:abstractNumId w:val="28"/>
  </w:num>
  <w:num w:numId="20">
    <w:abstractNumId w:val="25"/>
  </w:num>
  <w:num w:numId="21">
    <w:abstractNumId w:val="19"/>
  </w:num>
  <w:num w:numId="22">
    <w:abstractNumId w:val="27"/>
  </w:num>
  <w:num w:numId="23">
    <w:abstractNumId w:val="20"/>
  </w:num>
  <w:num w:numId="24">
    <w:abstractNumId w:val="10"/>
  </w:num>
  <w:num w:numId="25">
    <w:abstractNumId w:val="24"/>
  </w:num>
  <w:num w:numId="26">
    <w:abstractNumId w:val="23"/>
  </w:num>
  <w:num w:numId="27">
    <w:abstractNumId w:val="34"/>
  </w:num>
  <w:num w:numId="28">
    <w:abstractNumId w:val="7"/>
  </w:num>
  <w:num w:numId="29">
    <w:abstractNumId w:val="22"/>
  </w:num>
  <w:num w:numId="30">
    <w:abstractNumId w:val="37"/>
  </w:num>
  <w:num w:numId="31">
    <w:abstractNumId w:val="5"/>
  </w:num>
  <w:num w:numId="32">
    <w:abstractNumId w:val="36"/>
  </w:num>
  <w:num w:numId="33">
    <w:abstractNumId w:val="30"/>
  </w:num>
  <w:num w:numId="34">
    <w:abstractNumId w:val="35"/>
  </w:num>
  <w:num w:numId="35">
    <w:abstractNumId w:val="8"/>
  </w:num>
  <w:num w:numId="36">
    <w:abstractNumId w:val="11"/>
  </w:num>
  <w:num w:numId="37">
    <w:abstractNumId w:val="6"/>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6F7549"/>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A3561"/>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7178</Words>
  <Characters>40920</Characters>
  <Application>Microsoft Office Word</Application>
  <DocSecurity>0</DocSecurity>
  <Lines>341</Lines>
  <Paragraphs>96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2022-11-29T21:10:00Z</dcterms:created>
  <dcterms:modified xsi:type="dcterms:W3CDTF">2022-11-29T21:10:00Z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