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612E88C6" w:rsidR="00DB32D3" w:rsidRDefault="00DD466D" w:rsidP="005726E3">
      <w:pPr>
        <w:pStyle w:val="Heading1"/>
      </w:pPr>
      <w:r>
        <w:t>1.ИМЕ НА ЛЕКАРСТВЕНИЯ ПРОДУКТ</w:t>
      </w:r>
    </w:p>
    <w:p w14:paraId="5141FA95" w14:textId="6B36FA1F" w:rsidR="000B1F75" w:rsidRDefault="000B1F75" w:rsidP="000B1F75"/>
    <w:p w14:paraId="71B9337F" w14:textId="2D88D060" w:rsidR="000B1F75" w:rsidRPr="000B1F75" w:rsidRDefault="003E5683" w:rsidP="000B1F75">
      <w:pPr>
        <w:rPr>
          <w:sz w:val="24"/>
          <w:szCs w:val="24"/>
        </w:rPr>
      </w:pPr>
      <w:r>
        <w:rPr>
          <w:lang w:eastAsia="bg-BG"/>
        </w:rPr>
        <w:t>Ренитек 20</w:t>
      </w:r>
      <w:r w:rsidR="000B1F75" w:rsidRPr="000B1F75">
        <w:rPr>
          <w:lang w:eastAsia="bg-BG"/>
        </w:rPr>
        <w:t xml:space="preserve"> </w:t>
      </w:r>
      <w:r w:rsidR="000B1F75" w:rsidRPr="000B1F75">
        <w:rPr>
          <w:lang w:val="en-US"/>
        </w:rPr>
        <w:t>mg</w:t>
      </w:r>
      <w:r w:rsidR="000B1F75" w:rsidRPr="000B1F75">
        <w:t xml:space="preserve"> </w:t>
      </w:r>
      <w:r w:rsidR="000B1F75" w:rsidRPr="000B1F75">
        <w:rPr>
          <w:lang w:eastAsia="bg-BG"/>
        </w:rPr>
        <w:t>таблетки</w:t>
      </w:r>
    </w:p>
    <w:p w14:paraId="372668DB" w14:textId="2F6C45EE" w:rsidR="000B1F75" w:rsidRPr="000B1F75" w:rsidRDefault="000B1F75" w:rsidP="000B1F75">
      <w:proofErr w:type="spellStart"/>
      <w:r w:rsidRPr="000B1F75">
        <w:rPr>
          <w:lang w:val="en-US"/>
        </w:rPr>
        <w:t>Renitec</w:t>
      </w:r>
      <w:proofErr w:type="spellEnd"/>
      <w:r w:rsidRPr="000B1F75">
        <w:t xml:space="preserve"> </w:t>
      </w:r>
      <w:r w:rsidR="003E5683">
        <w:rPr>
          <w:lang w:eastAsia="bg-BG"/>
        </w:rPr>
        <w:t>20</w:t>
      </w:r>
      <w:r w:rsidRPr="000B1F75">
        <w:rPr>
          <w:lang w:eastAsia="bg-BG"/>
        </w:rPr>
        <w:t xml:space="preserve"> </w:t>
      </w:r>
      <w:r w:rsidRPr="000B1F75">
        <w:rPr>
          <w:lang w:val="en-US"/>
        </w:rPr>
        <w:t>mg</w:t>
      </w:r>
      <w:r w:rsidRPr="000B1F75">
        <w:t xml:space="preserve"> </w:t>
      </w:r>
      <w:r w:rsidRPr="000B1F75">
        <w:rPr>
          <w:lang w:val="en-US"/>
        </w:rPr>
        <w:t>tablets</w:t>
      </w:r>
    </w:p>
    <w:p w14:paraId="48E6CABE" w14:textId="46E066AA" w:rsidR="00DB32D3" w:rsidRDefault="00DD466D" w:rsidP="005726E3">
      <w:pPr>
        <w:pStyle w:val="Heading1"/>
      </w:pPr>
      <w:r>
        <w:t>2. КАЧЕСТВЕН И КОЛИЧЕСТВЕН СЪСТАВ</w:t>
      </w:r>
    </w:p>
    <w:p w14:paraId="29CF6F9C" w14:textId="15F98413" w:rsidR="000B1F75" w:rsidRDefault="000B1F75" w:rsidP="000B1F75"/>
    <w:p w14:paraId="1C83B8FF" w14:textId="4D79F878" w:rsidR="000B1F75" w:rsidRPr="000B1F75" w:rsidRDefault="003E5683" w:rsidP="000B1F75">
      <w:pPr>
        <w:spacing w:line="240" w:lineRule="auto"/>
        <w:rPr>
          <w:rFonts w:eastAsia="Times New Roman" w:cs="Arial"/>
          <w:sz w:val="12"/>
          <w:szCs w:val="24"/>
        </w:rPr>
      </w:pPr>
      <w:r>
        <w:rPr>
          <w:rFonts w:eastAsia="Times New Roman" w:cs="Arial"/>
          <w:color w:val="000000"/>
          <w:szCs w:val="44"/>
          <w:lang w:eastAsia="bg-BG"/>
        </w:rPr>
        <w:t>Всяка таблетка съдържа 20</w:t>
      </w:r>
      <w:r w:rsidR="000B1F75" w:rsidRPr="000B1F75">
        <w:rPr>
          <w:rFonts w:eastAsia="Times New Roman" w:cs="Arial"/>
          <w:color w:val="000000"/>
          <w:szCs w:val="44"/>
          <w:lang w:eastAsia="bg-BG"/>
        </w:rPr>
        <w:t xml:space="preserve"> </w:t>
      </w:r>
      <w:r w:rsidR="000B1F75" w:rsidRPr="000B1F75">
        <w:rPr>
          <w:rFonts w:eastAsia="Times New Roman" w:cs="Arial"/>
          <w:color w:val="000000"/>
          <w:szCs w:val="44"/>
          <w:lang w:val="en-US"/>
        </w:rPr>
        <w:t>mg</w:t>
      </w:r>
      <w:r w:rsidR="000B1F75" w:rsidRPr="000B1F75">
        <w:rPr>
          <w:rFonts w:eastAsia="Times New Roman" w:cs="Arial"/>
          <w:color w:val="000000"/>
          <w:szCs w:val="44"/>
        </w:rPr>
        <w:t xml:space="preserve"> </w:t>
      </w:r>
      <w:r w:rsidR="000B1F75" w:rsidRPr="000B1F75">
        <w:rPr>
          <w:rFonts w:eastAsia="Times New Roman" w:cs="Arial"/>
          <w:color w:val="000000"/>
          <w:szCs w:val="44"/>
          <w:lang w:eastAsia="bg-BG"/>
        </w:rPr>
        <w:t xml:space="preserve">еналалрилов малеат </w:t>
      </w:r>
      <w:r w:rsidR="000B1F75" w:rsidRPr="000B1F75">
        <w:rPr>
          <w:rFonts w:eastAsia="Times New Roman" w:cs="Arial"/>
          <w:color w:val="000000"/>
          <w:szCs w:val="44"/>
        </w:rPr>
        <w:t>(</w:t>
      </w:r>
      <w:proofErr w:type="spellStart"/>
      <w:r w:rsidR="000B1F75" w:rsidRPr="000B1F75">
        <w:rPr>
          <w:rFonts w:eastAsia="Times New Roman" w:cs="Arial"/>
          <w:color w:val="000000"/>
          <w:szCs w:val="44"/>
          <w:lang w:val="en-US"/>
        </w:rPr>
        <w:t>enalapril</w:t>
      </w:r>
      <w:proofErr w:type="spellEnd"/>
      <w:r w:rsidR="000B1F75" w:rsidRPr="000B1F75">
        <w:rPr>
          <w:rFonts w:eastAsia="Times New Roman" w:cs="Arial"/>
          <w:color w:val="000000"/>
          <w:szCs w:val="44"/>
        </w:rPr>
        <w:t xml:space="preserve"> </w:t>
      </w:r>
      <w:r w:rsidR="000B1F75" w:rsidRPr="000B1F75">
        <w:rPr>
          <w:rFonts w:eastAsia="Times New Roman" w:cs="Arial"/>
          <w:color w:val="000000"/>
          <w:szCs w:val="44"/>
          <w:lang w:val="en-US"/>
        </w:rPr>
        <w:t>maleate</w:t>
      </w:r>
      <w:r w:rsidR="000B1F75" w:rsidRPr="000B1F75">
        <w:rPr>
          <w:rFonts w:eastAsia="Times New Roman" w:cs="Arial"/>
          <w:color w:val="000000"/>
          <w:szCs w:val="44"/>
        </w:rPr>
        <w:t>).</w:t>
      </w:r>
    </w:p>
    <w:p w14:paraId="4166F6FC" w14:textId="77777777" w:rsidR="000B1F75" w:rsidRPr="000B1F75" w:rsidRDefault="000B1F75" w:rsidP="000B1F75">
      <w:pPr>
        <w:spacing w:line="240" w:lineRule="auto"/>
        <w:rPr>
          <w:rFonts w:eastAsia="Times New Roman" w:cs="Arial"/>
          <w:color w:val="000000"/>
          <w:szCs w:val="44"/>
          <w:lang w:eastAsia="bg-BG"/>
        </w:rPr>
      </w:pPr>
    </w:p>
    <w:p w14:paraId="045CDEAA" w14:textId="00BF1A0E" w:rsidR="000B1F75" w:rsidRPr="000B1F75" w:rsidRDefault="000B1F75" w:rsidP="000B1F75">
      <w:pPr>
        <w:spacing w:line="240" w:lineRule="auto"/>
        <w:rPr>
          <w:rFonts w:eastAsia="Times New Roman" w:cs="Arial"/>
          <w:sz w:val="12"/>
          <w:szCs w:val="24"/>
        </w:rPr>
      </w:pPr>
      <w:r w:rsidRPr="000B1F75">
        <w:rPr>
          <w:rFonts w:eastAsia="Times New Roman" w:cs="Arial"/>
          <w:color w:val="000000"/>
          <w:szCs w:val="44"/>
          <w:lang w:eastAsia="bg-BG"/>
        </w:rPr>
        <w:t xml:space="preserve">Помощно(и) вещество(а) с известно действие: всяка таблетка съдържа </w:t>
      </w:r>
      <w:r w:rsidR="003E5683" w:rsidRPr="003E5683">
        <w:rPr>
          <w:rFonts w:eastAsia="Times New Roman" w:cs="Arial"/>
          <w:color w:val="000000"/>
          <w:szCs w:val="44"/>
          <w:lang w:val="ru-RU" w:eastAsia="bg-BG"/>
        </w:rPr>
        <w:t xml:space="preserve">153,9 </w:t>
      </w:r>
      <w:r w:rsidRPr="000B1F75">
        <w:rPr>
          <w:rFonts w:eastAsia="Times New Roman" w:cs="Arial"/>
          <w:color w:val="000000"/>
          <w:szCs w:val="44"/>
          <w:lang w:val="en-US"/>
        </w:rPr>
        <w:t>mg</w:t>
      </w:r>
      <w:r w:rsidRPr="000B1F75">
        <w:rPr>
          <w:rFonts w:eastAsia="Times New Roman" w:cs="Arial"/>
          <w:color w:val="000000"/>
          <w:szCs w:val="44"/>
          <w:lang w:val="ru-RU"/>
        </w:rPr>
        <w:t xml:space="preserve"> </w:t>
      </w:r>
      <w:r w:rsidRPr="000B1F75">
        <w:rPr>
          <w:rFonts w:eastAsia="Times New Roman" w:cs="Arial"/>
          <w:color w:val="000000"/>
          <w:szCs w:val="44"/>
          <w:lang w:eastAsia="bg-BG"/>
        </w:rPr>
        <w:t>лактоза монохидрат.</w:t>
      </w:r>
    </w:p>
    <w:p w14:paraId="204C7C8F" w14:textId="77777777" w:rsidR="000B1F75" w:rsidRPr="000B1F75" w:rsidRDefault="000B1F75" w:rsidP="000B1F75"/>
    <w:p w14:paraId="614984C4" w14:textId="4C89173A" w:rsidR="008A6AF2" w:rsidRDefault="00DD466D" w:rsidP="002C50EE">
      <w:pPr>
        <w:pStyle w:val="Heading1"/>
      </w:pPr>
      <w:r>
        <w:t>3. ЛЕКАРСТВЕНА ФОРМА</w:t>
      </w:r>
    </w:p>
    <w:p w14:paraId="424CD773" w14:textId="18F22647" w:rsidR="000B1F75" w:rsidRDefault="000B1F75" w:rsidP="000B1F75"/>
    <w:p w14:paraId="491D48EA" w14:textId="77777777" w:rsidR="000B1F75" w:rsidRPr="000B1F75" w:rsidRDefault="000B1F75" w:rsidP="000B1F75">
      <w:pPr>
        <w:rPr>
          <w:sz w:val="24"/>
          <w:szCs w:val="24"/>
        </w:rPr>
      </w:pPr>
      <w:r w:rsidRPr="000B1F75">
        <w:rPr>
          <w:lang w:eastAsia="bg-BG"/>
        </w:rPr>
        <w:t>Таблетки</w:t>
      </w:r>
    </w:p>
    <w:p w14:paraId="226C8F78" w14:textId="77777777" w:rsidR="000B1F75" w:rsidRDefault="000B1F75" w:rsidP="000B1F75">
      <w:pPr>
        <w:rPr>
          <w:lang w:eastAsia="bg-BG"/>
        </w:rPr>
      </w:pPr>
    </w:p>
    <w:p w14:paraId="038314CD" w14:textId="53A7AEC0" w:rsidR="000B1F75" w:rsidRPr="000B1F75" w:rsidRDefault="003E5683" w:rsidP="000B1F75">
      <w:pPr>
        <w:rPr>
          <w:sz w:val="24"/>
          <w:szCs w:val="24"/>
        </w:rPr>
      </w:pPr>
      <w:r>
        <w:rPr>
          <w:lang w:eastAsia="bg-BG"/>
        </w:rPr>
        <w:t>Таблетки с прасковен</w:t>
      </w:r>
      <w:r w:rsidR="000B1F75" w:rsidRPr="000B1F75">
        <w:rPr>
          <w:lang w:eastAsia="bg-BG"/>
        </w:rPr>
        <w:t xml:space="preserve"> цвят, под формата на</w:t>
      </w:r>
      <w:r>
        <w:rPr>
          <w:lang w:eastAsia="bg-BG"/>
        </w:rPr>
        <w:t xml:space="preserve"> триъгълник със заоблени краища,</w:t>
      </w:r>
      <w:r w:rsidR="000B1F75" w:rsidRPr="000B1F75">
        <w:rPr>
          <w:lang w:eastAsia="bg-BG"/>
        </w:rPr>
        <w:t xml:space="preserve"> с делителна черта от едната страна и с надпис </w:t>
      </w:r>
      <w:r w:rsidR="000B1F75" w:rsidRPr="000B1F75">
        <w:rPr>
          <w:lang w:val="ru-RU"/>
        </w:rPr>
        <w:t>„</w:t>
      </w:r>
      <w:r w:rsidR="000B1F75" w:rsidRPr="000B1F75">
        <w:rPr>
          <w:lang w:val="en-US"/>
        </w:rPr>
        <w:t>MSD</w:t>
      </w:r>
      <w:r w:rsidR="000B1F75" w:rsidRPr="000B1F75">
        <w:rPr>
          <w:lang w:val="ru-RU"/>
        </w:rPr>
        <w:t xml:space="preserve"> </w:t>
      </w:r>
      <w:r>
        <w:rPr>
          <w:lang w:eastAsia="bg-BG"/>
        </w:rPr>
        <w:t>714</w:t>
      </w:r>
      <w:bookmarkStart w:id="1" w:name="_GoBack"/>
      <w:bookmarkEnd w:id="1"/>
      <w:r w:rsidR="000B1F75" w:rsidRPr="000B1F75">
        <w:rPr>
          <w:lang w:eastAsia="bg-BG"/>
        </w:rPr>
        <w:t>“ от другата страна.</w:t>
      </w:r>
    </w:p>
    <w:p w14:paraId="5911471C" w14:textId="77777777" w:rsidR="000B1F75" w:rsidRDefault="000B1F75" w:rsidP="000B1F75">
      <w:pPr>
        <w:rPr>
          <w:lang w:eastAsia="bg-BG"/>
        </w:rPr>
      </w:pPr>
    </w:p>
    <w:p w14:paraId="56C19D24" w14:textId="5CB64F69" w:rsidR="000B1F75" w:rsidRPr="000B1F75" w:rsidRDefault="000B1F75" w:rsidP="000B1F75">
      <w:pPr>
        <w:rPr>
          <w:sz w:val="24"/>
          <w:szCs w:val="24"/>
        </w:rPr>
      </w:pPr>
      <w:r w:rsidRPr="000B1F75">
        <w:rPr>
          <w:lang w:eastAsia="bg-BG"/>
        </w:rPr>
        <w:t>Делителната черта е само за улесняване на счупването с цел по-лесно поглъщане, а не за разделяне на равни дози.</w:t>
      </w:r>
    </w:p>
    <w:p w14:paraId="1CB340EB" w14:textId="77777777" w:rsidR="000B1F75" w:rsidRPr="000B1F75" w:rsidRDefault="000B1F75" w:rsidP="000B1F75"/>
    <w:p w14:paraId="490FC2C4" w14:textId="6899DE43" w:rsidR="002C50EE" w:rsidRDefault="002C50EE" w:rsidP="002C50EE">
      <w:pPr>
        <w:pStyle w:val="Heading1"/>
      </w:pPr>
      <w:r>
        <w:t>4. КЛИНИЧНИ ДАННИ</w:t>
      </w:r>
    </w:p>
    <w:p w14:paraId="0771830A" w14:textId="39C8B374" w:rsidR="00DB32D3" w:rsidRDefault="002C50EE" w:rsidP="005726E3">
      <w:pPr>
        <w:pStyle w:val="Heading2"/>
      </w:pPr>
      <w:r>
        <w:t>4.1. Терапевтични показания</w:t>
      </w:r>
    </w:p>
    <w:p w14:paraId="63994035" w14:textId="09410DA5" w:rsidR="000B1F75" w:rsidRDefault="000B1F75" w:rsidP="000B1F75"/>
    <w:p w14:paraId="64403AB4" w14:textId="77777777" w:rsidR="000B1F75" w:rsidRDefault="000B1F75" w:rsidP="000B1F75">
      <w:pPr>
        <w:pStyle w:val="ListParagraph"/>
        <w:numPr>
          <w:ilvl w:val="0"/>
          <w:numId w:val="37"/>
        </w:numPr>
        <w:spacing w:line="240" w:lineRule="auto"/>
        <w:rPr>
          <w:rFonts w:eastAsia="Times New Roman" w:cs="Arial"/>
          <w:color w:val="000000"/>
          <w:szCs w:val="44"/>
          <w:lang w:eastAsia="bg-BG"/>
        </w:rPr>
      </w:pPr>
      <w:r w:rsidRPr="000B1F75">
        <w:rPr>
          <w:rFonts w:eastAsia="Times New Roman" w:cs="Arial"/>
          <w:color w:val="000000"/>
          <w:szCs w:val="44"/>
          <w:lang w:eastAsia="bg-BG"/>
        </w:rPr>
        <w:t>Лечение на хипертония</w:t>
      </w:r>
    </w:p>
    <w:p w14:paraId="445E8F3C" w14:textId="77777777" w:rsidR="000B1F75" w:rsidRDefault="000B1F75" w:rsidP="000B1F75">
      <w:pPr>
        <w:pStyle w:val="ListParagraph"/>
        <w:numPr>
          <w:ilvl w:val="0"/>
          <w:numId w:val="37"/>
        </w:numPr>
        <w:spacing w:line="240" w:lineRule="auto"/>
        <w:rPr>
          <w:rFonts w:eastAsia="Times New Roman" w:cs="Arial"/>
          <w:color w:val="000000"/>
          <w:szCs w:val="44"/>
          <w:lang w:eastAsia="bg-BG"/>
        </w:rPr>
      </w:pPr>
      <w:r w:rsidRPr="000B1F75">
        <w:rPr>
          <w:rFonts w:eastAsia="Times New Roman" w:cs="Arial"/>
          <w:color w:val="000000"/>
          <w:szCs w:val="44"/>
          <w:lang w:eastAsia="bg-BG"/>
        </w:rPr>
        <w:t>Лечение на симптоматична сърдечна недостатъчност</w:t>
      </w:r>
    </w:p>
    <w:p w14:paraId="56327814" w14:textId="0BC5F542" w:rsidR="000B1F75" w:rsidRPr="000B1F75" w:rsidRDefault="000B1F75" w:rsidP="000B1F75">
      <w:pPr>
        <w:pStyle w:val="ListParagraph"/>
        <w:numPr>
          <w:ilvl w:val="0"/>
          <w:numId w:val="37"/>
        </w:numPr>
        <w:spacing w:line="240" w:lineRule="auto"/>
        <w:rPr>
          <w:rFonts w:eastAsia="Times New Roman" w:cs="Arial"/>
          <w:color w:val="000000"/>
          <w:szCs w:val="44"/>
          <w:lang w:eastAsia="bg-BG"/>
        </w:rPr>
      </w:pPr>
      <w:r w:rsidRPr="000B1F75">
        <w:rPr>
          <w:rFonts w:eastAsia="Times New Roman" w:cs="Arial"/>
          <w:color w:val="000000"/>
          <w:szCs w:val="44"/>
          <w:lang w:eastAsia="bg-BG"/>
        </w:rPr>
        <w:t>Предотвратяване на симптоматична сърдечна недостатъчност при пациенти с асимптоматична левокамерна дисфункция (фракция на изтласкване &lt; 35 %)</w:t>
      </w:r>
    </w:p>
    <w:p w14:paraId="1FB524FF" w14:textId="4726F6AF" w:rsidR="000B1F75" w:rsidRDefault="000B1F75" w:rsidP="000B1F75">
      <w:pPr>
        <w:rPr>
          <w:rFonts w:eastAsia="Times New Roman" w:cs="Arial"/>
          <w:color w:val="000000"/>
          <w:szCs w:val="44"/>
          <w:lang w:eastAsia="bg-BG"/>
        </w:rPr>
      </w:pPr>
      <w:r w:rsidRPr="000B1F75">
        <w:rPr>
          <w:rFonts w:eastAsia="Times New Roman" w:cs="Arial"/>
          <w:color w:val="000000"/>
          <w:szCs w:val="44"/>
          <w:lang w:eastAsia="bg-BG"/>
        </w:rPr>
        <w:t>(Вижте точка 5.1)</w:t>
      </w:r>
    </w:p>
    <w:p w14:paraId="3CD2790E" w14:textId="77777777" w:rsidR="000B1F75" w:rsidRPr="000B1F75" w:rsidRDefault="000B1F75" w:rsidP="000B1F75"/>
    <w:p w14:paraId="7647A102" w14:textId="7AA9DBB7" w:rsidR="00DB32D3" w:rsidRDefault="002C50EE" w:rsidP="005726E3">
      <w:pPr>
        <w:pStyle w:val="Heading2"/>
      </w:pPr>
      <w:r>
        <w:t>4.2. Дозировка и начин на приложение</w:t>
      </w:r>
    </w:p>
    <w:p w14:paraId="615F0366" w14:textId="15124D14" w:rsidR="000B1F75" w:rsidRDefault="000B1F75" w:rsidP="000B1F75"/>
    <w:p w14:paraId="02D47621" w14:textId="77777777" w:rsidR="000B1F75" w:rsidRPr="000B1F75" w:rsidRDefault="000B1F75" w:rsidP="000B1F75">
      <w:pPr>
        <w:pStyle w:val="Heading3"/>
        <w:rPr>
          <w:rFonts w:eastAsia="Times New Roman"/>
          <w:u w:val="single"/>
        </w:rPr>
      </w:pPr>
      <w:r w:rsidRPr="000B1F75">
        <w:rPr>
          <w:rFonts w:eastAsia="Times New Roman"/>
          <w:u w:val="single"/>
          <w:lang w:eastAsia="bg-BG"/>
        </w:rPr>
        <w:t>Дозировка</w:t>
      </w:r>
    </w:p>
    <w:p w14:paraId="3384F5EC" w14:textId="77777777" w:rsidR="000B1F75" w:rsidRPr="000B1F75" w:rsidRDefault="000B1F75" w:rsidP="000B1F75">
      <w:pPr>
        <w:spacing w:line="240" w:lineRule="auto"/>
        <w:rPr>
          <w:rFonts w:eastAsia="Times New Roman" w:cs="Arial"/>
          <w:color w:val="000000"/>
          <w:lang w:eastAsia="bg-BG"/>
        </w:rPr>
      </w:pPr>
    </w:p>
    <w:p w14:paraId="2BC480C5" w14:textId="2F10D33F" w:rsidR="000B1F75" w:rsidRPr="000B1F75" w:rsidRDefault="000B1F75" w:rsidP="000B1F75">
      <w:pPr>
        <w:spacing w:line="240" w:lineRule="auto"/>
        <w:rPr>
          <w:rFonts w:eastAsia="Times New Roman" w:cs="Arial"/>
        </w:rPr>
      </w:pPr>
      <w:r w:rsidRPr="000B1F75">
        <w:rPr>
          <w:rFonts w:eastAsia="Times New Roman" w:cs="Arial"/>
          <w:color w:val="000000"/>
          <w:lang w:eastAsia="bg-BG"/>
        </w:rPr>
        <w:t>Абсорбцията на таблетките Ренитек не се повлиява от приема на храна.</w:t>
      </w:r>
    </w:p>
    <w:p w14:paraId="0AD9D3CB" w14:textId="77777777" w:rsidR="000B1F75" w:rsidRPr="000B1F75" w:rsidRDefault="000B1F75" w:rsidP="000B1F75">
      <w:pPr>
        <w:spacing w:line="240" w:lineRule="auto"/>
        <w:rPr>
          <w:rFonts w:eastAsia="Times New Roman" w:cs="Arial"/>
          <w:color w:val="000000"/>
          <w:lang w:eastAsia="bg-BG"/>
        </w:rPr>
      </w:pPr>
    </w:p>
    <w:p w14:paraId="2C8CC290" w14:textId="0EDB3701" w:rsidR="000B1F75" w:rsidRPr="000B1F75" w:rsidRDefault="000B1F75" w:rsidP="000B1F75">
      <w:pPr>
        <w:spacing w:line="240" w:lineRule="auto"/>
        <w:rPr>
          <w:rFonts w:eastAsia="Times New Roman" w:cs="Arial"/>
        </w:rPr>
      </w:pPr>
      <w:r w:rsidRPr="000B1F75">
        <w:rPr>
          <w:rFonts w:eastAsia="Times New Roman" w:cs="Arial"/>
          <w:color w:val="000000"/>
          <w:lang w:eastAsia="bg-BG"/>
        </w:rPr>
        <w:t>Дозата трябва да бъде определена индивидуално в зависимост от профила на пациента (вж. точка 4.4) и отговора на кръвното налягане.</w:t>
      </w:r>
    </w:p>
    <w:p w14:paraId="14EF0BF3" w14:textId="619ECF96" w:rsidR="000B1F75" w:rsidRPr="000B1F75" w:rsidRDefault="000B1F75" w:rsidP="000B1F75">
      <w:pPr>
        <w:rPr>
          <w:rFonts w:cs="Arial"/>
        </w:rPr>
      </w:pPr>
    </w:p>
    <w:p w14:paraId="11EE2E16" w14:textId="77777777" w:rsidR="000B1F75" w:rsidRPr="000B1F75" w:rsidRDefault="000B1F75" w:rsidP="000B1F75">
      <w:pPr>
        <w:spacing w:line="240" w:lineRule="auto"/>
        <w:rPr>
          <w:rFonts w:eastAsia="Times New Roman" w:cs="Arial"/>
        </w:rPr>
      </w:pPr>
      <w:r w:rsidRPr="000B1F75">
        <w:rPr>
          <w:rFonts w:eastAsia="Times New Roman" w:cs="Arial"/>
          <w:i/>
          <w:iCs/>
          <w:color w:val="000000"/>
          <w:lang w:eastAsia="bg-BG"/>
        </w:rPr>
        <w:lastRenderedPageBreak/>
        <w:t>Педиатрична популация</w:t>
      </w:r>
    </w:p>
    <w:p w14:paraId="796ABCE3"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Опитът от клинични изпитвания с употреба на Ренитек при педиатрични пациенти с хипертония е ограничен (вж. точки 4.4, 5.1 и 5.2).</w:t>
      </w:r>
    </w:p>
    <w:p w14:paraId="47CEBE9F" w14:textId="77777777" w:rsidR="000B1F75" w:rsidRDefault="000B1F75" w:rsidP="000B1F75">
      <w:pPr>
        <w:spacing w:line="240" w:lineRule="auto"/>
        <w:rPr>
          <w:rFonts w:eastAsia="Times New Roman" w:cs="Arial"/>
          <w:i/>
          <w:iCs/>
          <w:color w:val="000000"/>
          <w:lang w:eastAsia="bg-BG"/>
        </w:rPr>
      </w:pPr>
    </w:p>
    <w:p w14:paraId="0EDD3878" w14:textId="42DA3276" w:rsidR="000B1F75" w:rsidRPr="000B1F75" w:rsidRDefault="000B1F75" w:rsidP="000B1F75">
      <w:pPr>
        <w:spacing w:line="240" w:lineRule="auto"/>
        <w:rPr>
          <w:rFonts w:eastAsia="Times New Roman" w:cs="Arial"/>
        </w:rPr>
      </w:pPr>
      <w:r w:rsidRPr="000B1F75">
        <w:rPr>
          <w:rFonts w:eastAsia="Times New Roman" w:cs="Arial"/>
          <w:i/>
          <w:iCs/>
          <w:color w:val="000000"/>
          <w:lang w:eastAsia="bg-BG"/>
        </w:rPr>
        <w:t>Хипертония</w:t>
      </w:r>
    </w:p>
    <w:p w14:paraId="57CC0B90" w14:textId="1DAE4D5A"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Началната доза е от 5 до максимално 20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в зависимост от степента на хипертонията и състоянието на пациента (вж. по-долу). Ренитек се приема веднъж дневно. При лека степен на хипертония, препоръчителната начална доза е 5 до 10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След началната доза при пациенти със силно активирана ренин-ангиотензин-алдостеронова система (напр. реноваскуларна хипертония, недостиг на соли и/или воден дефицит, сърдечна декомпенсация или тежка хипертония) може да настъпи прекомерно понижаване на кръвното налягане. При такива пациенти препоръчителната начална доза е 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или по-ниска и лечението трябва да започне под лекарско наблюдение.</w:t>
      </w:r>
    </w:p>
    <w:p w14:paraId="2CD5429B" w14:textId="77777777" w:rsidR="000B1F75" w:rsidRDefault="000B1F75" w:rsidP="000B1F75">
      <w:pPr>
        <w:spacing w:line="240" w:lineRule="auto"/>
        <w:rPr>
          <w:rFonts w:eastAsia="Times New Roman" w:cs="Arial"/>
          <w:color w:val="000000"/>
          <w:lang w:eastAsia="bg-BG"/>
        </w:rPr>
      </w:pPr>
    </w:p>
    <w:p w14:paraId="49E48773" w14:textId="6173A6DC"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Предшестващо лечение с високи дози диуретици може да доведе до воден дефицит и риск от хипотония при започване на лечение с еналаприл. Начална доза от 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или по-ниска е препоръчителна при такива пациенти. Ако е възможно, диуретичната терапия трябва да бъде преустановена за 2-3 дни преди започване на лечението с Ренитек. Бъбречната функция и серумният калий трябва да бъдат мониторирани.</w:t>
      </w:r>
    </w:p>
    <w:p w14:paraId="3100CB24" w14:textId="77777777" w:rsidR="000B1F75" w:rsidRDefault="000B1F75" w:rsidP="000B1F75">
      <w:pPr>
        <w:spacing w:line="240" w:lineRule="auto"/>
        <w:rPr>
          <w:rFonts w:eastAsia="Times New Roman" w:cs="Arial"/>
          <w:color w:val="000000"/>
          <w:lang w:eastAsia="bg-BG"/>
        </w:rPr>
      </w:pPr>
    </w:p>
    <w:p w14:paraId="5F2D3572" w14:textId="0C68F161"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Обичайната поддържаща доза е 20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дневно. Максималната поддържаща доза е 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дневно.</w:t>
      </w:r>
    </w:p>
    <w:p w14:paraId="2621E47B" w14:textId="77777777" w:rsidR="000B1F75" w:rsidRDefault="000B1F75" w:rsidP="000B1F75">
      <w:pPr>
        <w:spacing w:line="240" w:lineRule="auto"/>
        <w:rPr>
          <w:rFonts w:eastAsia="Times New Roman" w:cs="Arial"/>
          <w:i/>
          <w:iCs/>
          <w:color w:val="000000"/>
          <w:lang w:eastAsia="bg-BG"/>
        </w:rPr>
      </w:pPr>
    </w:p>
    <w:p w14:paraId="64683B1E" w14:textId="067DE0B3" w:rsidR="000B1F75" w:rsidRPr="000B1F75" w:rsidRDefault="000B1F75" w:rsidP="000B1F75">
      <w:pPr>
        <w:spacing w:line="240" w:lineRule="auto"/>
        <w:rPr>
          <w:rFonts w:eastAsia="Times New Roman" w:cs="Arial"/>
        </w:rPr>
      </w:pPr>
      <w:r w:rsidRPr="000B1F75">
        <w:rPr>
          <w:rFonts w:eastAsia="Times New Roman" w:cs="Arial"/>
          <w:i/>
          <w:iCs/>
          <w:color w:val="000000"/>
          <w:lang w:eastAsia="bg-BG"/>
        </w:rPr>
        <w:t>Сърдечна недостатъчност/Асимптоматична дисфункция на лявата камера</w:t>
      </w:r>
    </w:p>
    <w:p w14:paraId="0DB0CC89"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Ренитек може да се използва за лечение на симптоматична сърдечна недостатъчност обичайно с диуретици и, когато е подходящо, с дигиталисови гликозиди или бета-блокери. Началната доза Ренитек при пациенти със симптоматична сърдечна недостатъчност или асимпгоматична дисфункция на лявата камера е 2,5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и тя трябва да се прилага под строг медицински контрол за оценка на началния ефект върху кръвното налягане. При отсъствието на симптоматична хипотония или след ефективното й овладяване след започване на терапията с Ренитек при сърдечна недостатъчност, дозата трябва да се увеличава постепенно до достигане на обичайната поддържаща доза от 20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приемана еднократно или разделена на два приема според поносимостга на пациента. Това титриране на дозата се препоръчва да се направи в рамките на две до четири седмици. Максималната доза е 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дневно, разделена на два приема.</w:t>
      </w:r>
    </w:p>
    <w:p w14:paraId="2B719A1D" w14:textId="77777777" w:rsidR="000B1F75" w:rsidRDefault="000B1F75" w:rsidP="000B1F75">
      <w:pPr>
        <w:spacing w:line="240" w:lineRule="auto"/>
        <w:rPr>
          <w:rFonts w:eastAsia="Times New Roman" w:cs="Arial"/>
          <w:color w:val="000000"/>
          <w:lang w:eastAsia="bg-BG"/>
        </w:rPr>
      </w:pPr>
    </w:p>
    <w:p w14:paraId="52A3670E" w14:textId="7D471806" w:rsidR="000B1F75" w:rsidRPr="000B1F75" w:rsidRDefault="000B1F75" w:rsidP="000B1F75">
      <w:pPr>
        <w:spacing w:line="240" w:lineRule="auto"/>
        <w:jc w:val="center"/>
        <w:rPr>
          <w:rFonts w:eastAsia="Times New Roman" w:cs="Arial"/>
        </w:rPr>
      </w:pPr>
      <w:r w:rsidRPr="000B1F75">
        <w:rPr>
          <w:rFonts w:eastAsia="Times New Roman" w:cs="Arial"/>
          <w:color w:val="000000"/>
          <w:lang w:eastAsia="bg-BG"/>
        </w:rPr>
        <w:t xml:space="preserve">Таблица 1: Предложено титриране на дозата на Ренитек при пациенти със сърдечна </w:t>
      </w:r>
      <w:r w:rsidRPr="000B1F75">
        <w:rPr>
          <w:rFonts w:eastAsia="Times New Roman" w:cs="Arial"/>
          <w:color w:val="000000"/>
          <w:u w:val="single"/>
          <w:lang w:eastAsia="bg-BG"/>
        </w:rPr>
        <w:t>недостатъчност/асимптоматична дисфункция на лявата камера</w:t>
      </w:r>
    </w:p>
    <w:tbl>
      <w:tblPr>
        <w:tblStyle w:val="TableGrid"/>
        <w:tblW w:w="0" w:type="auto"/>
        <w:tblLook w:val="04A0" w:firstRow="1" w:lastRow="0" w:firstColumn="1" w:lastColumn="0" w:noHBand="0" w:noVBand="1"/>
      </w:tblPr>
      <w:tblGrid>
        <w:gridCol w:w="4669"/>
        <w:gridCol w:w="4681"/>
      </w:tblGrid>
      <w:tr w:rsidR="000B1F75" w14:paraId="18D248A4" w14:textId="77777777" w:rsidTr="000B1F75">
        <w:tc>
          <w:tcPr>
            <w:tcW w:w="4788" w:type="dxa"/>
          </w:tcPr>
          <w:p w14:paraId="7F703FA9" w14:textId="645F22A6" w:rsidR="000B1F75" w:rsidRPr="000B1F75" w:rsidRDefault="000B1F75" w:rsidP="000B1F75">
            <w:r w:rsidRPr="000B1F75">
              <w:rPr>
                <w:b/>
                <w:bCs/>
              </w:rPr>
              <w:t>Седмица</w:t>
            </w:r>
          </w:p>
        </w:tc>
        <w:tc>
          <w:tcPr>
            <w:tcW w:w="4788" w:type="dxa"/>
          </w:tcPr>
          <w:p w14:paraId="10474297" w14:textId="30C11BCA" w:rsidR="000B1F75" w:rsidRPr="000B1F75" w:rsidRDefault="000B1F75" w:rsidP="000B1F75">
            <w:r w:rsidRPr="000B1F75">
              <w:rPr>
                <w:b/>
                <w:bCs/>
              </w:rPr>
              <w:t xml:space="preserve">Доза </w:t>
            </w:r>
            <w:r w:rsidRPr="000B1F75">
              <w:rPr>
                <w:b/>
                <w:bCs/>
                <w:lang w:val="en-US"/>
              </w:rPr>
              <w:t>(mg</w:t>
            </w:r>
            <w:r w:rsidRPr="000B1F75">
              <w:rPr>
                <w:b/>
                <w:bCs/>
              </w:rPr>
              <w:t>/дневно)</w:t>
            </w:r>
          </w:p>
        </w:tc>
      </w:tr>
      <w:tr w:rsidR="000B1F75" w14:paraId="30E25BDA" w14:textId="77777777" w:rsidTr="000B1F75">
        <w:tc>
          <w:tcPr>
            <w:tcW w:w="4788" w:type="dxa"/>
          </w:tcPr>
          <w:p w14:paraId="56396E61" w14:textId="7B53D3EB" w:rsidR="000B1F75" w:rsidRPr="000B1F75" w:rsidRDefault="000B1F75" w:rsidP="000B1F75">
            <w:r w:rsidRPr="000B1F75">
              <w:t>Седмица 1</w:t>
            </w:r>
          </w:p>
        </w:tc>
        <w:tc>
          <w:tcPr>
            <w:tcW w:w="4788" w:type="dxa"/>
          </w:tcPr>
          <w:p w14:paraId="59F5DFC5" w14:textId="77777777" w:rsidR="000B1F75" w:rsidRPr="000B1F75" w:rsidRDefault="000B1F75" w:rsidP="000B1F75">
            <w:r w:rsidRPr="000B1F75">
              <w:t xml:space="preserve">1 -3 ден: 2,5 </w:t>
            </w:r>
            <w:r w:rsidRPr="000B1F75">
              <w:rPr>
                <w:lang w:val="en-US"/>
              </w:rPr>
              <w:t>mg</w:t>
            </w:r>
            <w:r w:rsidRPr="000B1F75">
              <w:rPr>
                <w:lang w:val="ru-RU"/>
              </w:rPr>
              <w:t xml:space="preserve"> </w:t>
            </w:r>
            <w:r w:rsidRPr="000B1F75">
              <w:t>дневно* в един прием</w:t>
            </w:r>
          </w:p>
          <w:p w14:paraId="744C5EEB" w14:textId="48967D14" w:rsidR="000B1F75" w:rsidRPr="000B1F75" w:rsidRDefault="000B1F75" w:rsidP="000B1F75">
            <w:r w:rsidRPr="000B1F75">
              <w:t xml:space="preserve">4-7 ден: 5 </w:t>
            </w:r>
            <w:r w:rsidRPr="000B1F75">
              <w:rPr>
                <w:lang w:val="en-US"/>
              </w:rPr>
              <w:t>mg</w:t>
            </w:r>
            <w:r w:rsidRPr="000B1F75">
              <w:rPr>
                <w:lang w:val="ru-RU"/>
              </w:rPr>
              <w:t xml:space="preserve"> </w:t>
            </w:r>
            <w:r w:rsidRPr="000B1F75">
              <w:t>дневно, разделена в два приема</w:t>
            </w:r>
          </w:p>
        </w:tc>
      </w:tr>
      <w:tr w:rsidR="000B1F75" w14:paraId="5C01B2F5" w14:textId="77777777" w:rsidTr="000B1F75">
        <w:tc>
          <w:tcPr>
            <w:tcW w:w="4788" w:type="dxa"/>
          </w:tcPr>
          <w:p w14:paraId="76EA850C" w14:textId="5049536A" w:rsidR="000B1F75" w:rsidRPr="000B1F75" w:rsidRDefault="000B1F75" w:rsidP="000B1F75">
            <w:r w:rsidRPr="000B1F75">
              <w:t>Седмица 2</w:t>
            </w:r>
          </w:p>
        </w:tc>
        <w:tc>
          <w:tcPr>
            <w:tcW w:w="4788" w:type="dxa"/>
          </w:tcPr>
          <w:p w14:paraId="1DFF08CF" w14:textId="2811D99C" w:rsidR="000B1F75" w:rsidRPr="000B1F75" w:rsidRDefault="000B1F75" w:rsidP="000B1F75">
            <w:r w:rsidRPr="000B1F75">
              <w:t xml:space="preserve">10 </w:t>
            </w:r>
            <w:r w:rsidRPr="000B1F75">
              <w:rPr>
                <w:lang w:val="en-US"/>
              </w:rPr>
              <w:t>mg</w:t>
            </w:r>
            <w:r w:rsidRPr="000B1F75">
              <w:rPr>
                <w:lang w:val="ru-RU"/>
              </w:rPr>
              <w:t xml:space="preserve"> </w:t>
            </w:r>
            <w:r w:rsidRPr="000B1F75">
              <w:t>дневно в един прием или разделена в два приема</w:t>
            </w:r>
          </w:p>
        </w:tc>
      </w:tr>
      <w:tr w:rsidR="000B1F75" w14:paraId="170FF875" w14:textId="77777777" w:rsidTr="000B1F75">
        <w:tc>
          <w:tcPr>
            <w:tcW w:w="4788" w:type="dxa"/>
          </w:tcPr>
          <w:p w14:paraId="483B3EF7" w14:textId="4FD5EFD1" w:rsidR="000B1F75" w:rsidRPr="000B1F75" w:rsidRDefault="000B1F75" w:rsidP="000B1F75">
            <w:r w:rsidRPr="000B1F75">
              <w:t>Седмици 3 и 4</w:t>
            </w:r>
          </w:p>
        </w:tc>
        <w:tc>
          <w:tcPr>
            <w:tcW w:w="4788" w:type="dxa"/>
          </w:tcPr>
          <w:p w14:paraId="23EB5B08" w14:textId="5D5DFCF7" w:rsidR="000B1F75" w:rsidRPr="000B1F75" w:rsidRDefault="000B1F75" w:rsidP="000B1F75">
            <w:r w:rsidRPr="000B1F75">
              <w:t xml:space="preserve">20 </w:t>
            </w:r>
            <w:r w:rsidRPr="000B1F75">
              <w:rPr>
                <w:lang w:val="en-US"/>
              </w:rPr>
              <w:t>mg</w:t>
            </w:r>
            <w:r w:rsidRPr="000B1F75">
              <w:rPr>
                <w:lang w:val="ru-RU"/>
              </w:rPr>
              <w:t xml:space="preserve"> </w:t>
            </w:r>
            <w:r w:rsidRPr="000B1F75">
              <w:t>дневно в един прием или разделена в два приема</w:t>
            </w:r>
          </w:p>
        </w:tc>
      </w:tr>
    </w:tbl>
    <w:p w14:paraId="7971F71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*Специални предпазни мерки трябва да се вземат при пациенти с увредена бъбречна функция или получаващи диуретици (вж. точка 4.4).</w:t>
      </w:r>
    </w:p>
    <w:p w14:paraId="01FBCD60" w14:textId="77777777" w:rsidR="000B1F75" w:rsidRDefault="000B1F75" w:rsidP="000B1F75">
      <w:pPr>
        <w:rPr>
          <w:rFonts w:eastAsia="Times New Roman" w:cs="Arial"/>
          <w:color w:val="000000"/>
          <w:lang w:eastAsia="bg-BG"/>
        </w:rPr>
      </w:pPr>
    </w:p>
    <w:p w14:paraId="248E9A37" w14:textId="34029366" w:rsidR="000B1F75" w:rsidRDefault="000B1F75" w:rsidP="000B1F75">
      <w:pPr>
        <w:rPr>
          <w:rFonts w:eastAsia="Times New Roman" w:cs="Arial"/>
          <w:color w:val="000000"/>
          <w:lang w:eastAsia="bg-BG"/>
        </w:rPr>
      </w:pPr>
      <w:r w:rsidRPr="000B1F75">
        <w:rPr>
          <w:rFonts w:eastAsia="Times New Roman" w:cs="Arial"/>
          <w:color w:val="000000"/>
          <w:lang w:eastAsia="bg-BG"/>
        </w:rPr>
        <w:lastRenderedPageBreak/>
        <w:t>Кръвното налягане и бъбречната функция трябва да бъдат проследявани внимателно както преди, така и след започване на лечението с Ренитек (вж. точка 4.4), поради съобщения за настъпване на хипотония и (по-рядко) на последваща бъбречна недостатъчност. При пациенти лекувани с диуретици, дозата трябва да се намали, ако е възможно още преди започване на терапията с Ренитек. Появата на хипотония след прилагане на начална доза Ренитек не означава, че хипотония ще възникне по време на хронична терапия с Ренитек и не налага прекратяване на започналото лечение. Необходимо е също така да бъдат проследявани нивото на серумния калий и бъбречната функция.</w:t>
      </w:r>
    </w:p>
    <w:p w14:paraId="61DD7A62" w14:textId="08ACF9A4" w:rsidR="000B1F75" w:rsidRDefault="000B1F75" w:rsidP="000B1F75">
      <w:pPr>
        <w:rPr>
          <w:rFonts w:eastAsia="Times New Roman" w:cs="Arial"/>
          <w:color w:val="000000"/>
          <w:lang w:eastAsia="bg-BG"/>
        </w:rPr>
      </w:pPr>
    </w:p>
    <w:p w14:paraId="13FCEA51" w14:textId="77777777" w:rsidR="000B1F75" w:rsidRPr="000B1F75" w:rsidRDefault="000B1F75" w:rsidP="000B1F75">
      <w:pPr>
        <w:spacing w:line="240" w:lineRule="auto"/>
        <w:rPr>
          <w:rFonts w:eastAsia="Times New Roman" w:cs="Arial"/>
          <w:sz w:val="12"/>
          <w:szCs w:val="24"/>
        </w:rPr>
      </w:pPr>
      <w:r w:rsidRPr="000B1F75">
        <w:rPr>
          <w:rFonts w:eastAsia="Times New Roman" w:cs="Arial"/>
          <w:i/>
          <w:iCs/>
          <w:color w:val="000000"/>
          <w:szCs w:val="44"/>
          <w:lang w:eastAsia="bg-BG"/>
        </w:rPr>
        <w:t>Дозировка при бъбречна недостатъчност</w:t>
      </w:r>
    </w:p>
    <w:p w14:paraId="68B5F0E0" w14:textId="77777777" w:rsidR="000B1F75" w:rsidRPr="000B1F75" w:rsidRDefault="000B1F75" w:rsidP="000B1F75">
      <w:pPr>
        <w:spacing w:line="240" w:lineRule="auto"/>
        <w:rPr>
          <w:rFonts w:eastAsia="Times New Roman" w:cs="Arial"/>
          <w:sz w:val="12"/>
          <w:szCs w:val="24"/>
        </w:rPr>
      </w:pPr>
      <w:r w:rsidRPr="000B1F75">
        <w:rPr>
          <w:rFonts w:eastAsia="Times New Roman" w:cs="Arial"/>
          <w:color w:val="000000"/>
          <w:szCs w:val="44"/>
          <w:lang w:eastAsia="bg-BG"/>
        </w:rPr>
        <w:t>Най-общо, интервалите между приема на еналаприл трябва да бъдат удължени и/или дозата намалена.</w:t>
      </w:r>
    </w:p>
    <w:p w14:paraId="2CF83100" w14:textId="77777777" w:rsidR="000B1F75" w:rsidRPr="000B1F75" w:rsidRDefault="000B1F75" w:rsidP="000B1F75">
      <w:pPr>
        <w:spacing w:line="240" w:lineRule="auto"/>
        <w:rPr>
          <w:rFonts w:eastAsia="Times New Roman" w:cs="Arial"/>
          <w:color w:val="000000"/>
          <w:szCs w:val="44"/>
          <w:lang w:eastAsia="bg-BG"/>
        </w:rPr>
      </w:pPr>
    </w:p>
    <w:p w14:paraId="26E6BE35" w14:textId="7D1BC241" w:rsidR="000B1F75" w:rsidRPr="000B1F75" w:rsidRDefault="000B1F75" w:rsidP="000B1F75">
      <w:pPr>
        <w:spacing w:line="240" w:lineRule="auto"/>
        <w:jc w:val="center"/>
        <w:rPr>
          <w:rFonts w:eastAsia="Times New Roman" w:cs="Arial"/>
          <w:sz w:val="12"/>
          <w:szCs w:val="24"/>
        </w:rPr>
      </w:pPr>
      <w:r w:rsidRPr="000B1F75">
        <w:rPr>
          <w:rFonts w:eastAsia="Times New Roman" w:cs="Arial"/>
          <w:color w:val="000000"/>
          <w:szCs w:val="44"/>
          <w:lang w:eastAsia="bg-BG"/>
        </w:rPr>
        <w:t>Таблица 2: Дозировка при бъбречна недостатъчност</w:t>
      </w:r>
    </w:p>
    <w:tbl>
      <w:tblPr>
        <w:tblStyle w:val="TableGrid"/>
        <w:tblW w:w="0" w:type="auto"/>
        <w:tblLook w:val="04A0" w:firstRow="1" w:lastRow="0" w:firstColumn="1" w:lastColumn="0" w:noHBand="0" w:noVBand="1"/>
      </w:tblPr>
      <w:tblGrid>
        <w:gridCol w:w="4682"/>
        <w:gridCol w:w="4668"/>
      </w:tblGrid>
      <w:tr w:rsidR="000B1F75" w14:paraId="4E8E6897" w14:textId="77777777" w:rsidTr="000B1F75">
        <w:tc>
          <w:tcPr>
            <w:tcW w:w="4788" w:type="dxa"/>
          </w:tcPr>
          <w:p w14:paraId="1DD069EF" w14:textId="2BFFD431" w:rsidR="000B1F75" w:rsidRPr="000B1F75" w:rsidRDefault="000B1F75" w:rsidP="000B1F75">
            <w:pPr>
              <w:rPr>
                <w:rFonts w:cs="Arial"/>
              </w:rPr>
            </w:pPr>
            <w:r w:rsidRPr="000B1F75">
              <w:rPr>
                <w:b/>
                <w:bCs/>
                <w:lang w:eastAsia="bg-BG"/>
              </w:rPr>
              <w:t xml:space="preserve">Креатинииов клирънс </w:t>
            </w:r>
            <w:r w:rsidRPr="000B1F75">
              <w:rPr>
                <w:b/>
                <w:bCs/>
              </w:rPr>
              <w:t>(CrCl) ml/min</w:t>
            </w:r>
          </w:p>
        </w:tc>
        <w:tc>
          <w:tcPr>
            <w:tcW w:w="4788" w:type="dxa"/>
          </w:tcPr>
          <w:p w14:paraId="5F7CB73C" w14:textId="107C20E3" w:rsidR="000B1F75" w:rsidRPr="000B1F75" w:rsidRDefault="000B1F75" w:rsidP="000B1F75">
            <w:pPr>
              <w:rPr>
                <w:rFonts w:cs="Arial"/>
              </w:rPr>
            </w:pPr>
            <w:r w:rsidRPr="000B1F75">
              <w:rPr>
                <w:b/>
                <w:bCs/>
                <w:lang w:eastAsia="bg-BG"/>
              </w:rPr>
              <w:t xml:space="preserve">Начална доза </w:t>
            </w:r>
            <w:r w:rsidRPr="000B1F75">
              <w:rPr>
                <w:b/>
                <w:bCs/>
              </w:rPr>
              <w:t>mg</w:t>
            </w:r>
            <w:r w:rsidRPr="000B1F75">
              <w:rPr>
                <w:b/>
                <w:bCs/>
                <w:lang w:eastAsia="bg-BG"/>
              </w:rPr>
              <w:t>/ден</w:t>
            </w:r>
          </w:p>
        </w:tc>
      </w:tr>
      <w:tr w:rsidR="000B1F75" w14:paraId="1634FC32" w14:textId="77777777" w:rsidTr="000B1F75">
        <w:tc>
          <w:tcPr>
            <w:tcW w:w="4788" w:type="dxa"/>
          </w:tcPr>
          <w:p w14:paraId="484F42FE" w14:textId="05066A14" w:rsidR="000B1F75" w:rsidRPr="000B1F75" w:rsidRDefault="000B1F75" w:rsidP="000B1F75">
            <w:pPr>
              <w:rPr>
                <w:rFonts w:cs="Arial"/>
              </w:rPr>
            </w:pPr>
            <w:r w:rsidRPr="000B1F75">
              <w:rPr>
                <w:lang w:eastAsia="bg-BG"/>
              </w:rPr>
              <w:t xml:space="preserve">30 &lt; </w:t>
            </w:r>
            <w:r w:rsidRPr="000B1F75">
              <w:t xml:space="preserve">CrCl </w:t>
            </w:r>
            <w:r w:rsidRPr="000B1F75">
              <w:rPr>
                <w:lang w:eastAsia="bg-BG"/>
              </w:rPr>
              <w:t xml:space="preserve">&lt; 80 </w:t>
            </w:r>
            <w:r w:rsidRPr="000B1F75">
              <w:t>ml/min</w:t>
            </w:r>
          </w:p>
        </w:tc>
        <w:tc>
          <w:tcPr>
            <w:tcW w:w="4788" w:type="dxa"/>
          </w:tcPr>
          <w:p w14:paraId="23C9F7D2" w14:textId="62202AED" w:rsidR="000B1F75" w:rsidRPr="000B1F75" w:rsidRDefault="000B1F75" w:rsidP="000B1F75">
            <w:pPr>
              <w:rPr>
                <w:rFonts w:cs="Arial"/>
              </w:rPr>
            </w:pPr>
            <w:r w:rsidRPr="000B1F75">
              <w:t>5 -10 mg</w:t>
            </w:r>
          </w:p>
        </w:tc>
      </w:tr>
      <w:tr w:rsidR="000B1F75" w14:paraId="2C4C776C" w14:textId="77777777" w:rsidTr="000B1F75">
        <w:tc>
          <w:tcPr>
            <w:tcW w:w="4788" w:type="dxa"/>
          </w:tcPr>
          <w:p w14:paraId="09BBD9E4" w14:textId="071B9FA4" w:rsidR="000B1F75" w:rsidRPr="000B1F75" w:rsidRDefault="000B1F75" w:rsidP="000B1F75">
            <w:pPr>
              <w:rPr>
                <w:rFonts w:cs="Arial"/>
              </w:rPr>
            </w:pPr>
            <w:r w:rsidRPr="000B1F75">
              <w:t xml:space="preserve">10 &lt; CrCl </w:t>
            </w:r>
            <w:r w:rsidRPr="000B1F75">
              <w:rPr>
                <w:lang w:eastAsia="bg-BG"/>
              </w:rPr>
              <w:t>≤</w:t>
            </w:r>
            <w:r w:rsidRPr="000B1F75">
              <w:t>30 ml/min</w:t>
            </w:r>
          </w:p>
        </w:tc>
        <w:tc>
          <w:tcPr>
            <w:tcW w:w="4788" w:type="dxa"/>
          </w:tcPr>
          <w:p w14:paraId="06A2BD7F" w14:textId="49C80C60" w:rsidR="000B1F75" w:rsidRPr="000B1F75" w:rsidRDefault="000B1F75" w:rsidP="000B1F75">
            <w:pPr>
              <w:rPr>
                <w:rFonts w:cs="Arial"/>
              </w:rPr>
            </w:pPr>
            <w:r w:rsidRPr="000B1F75">
              <w:t>2,5 mg</w:t>
            </w:r>
          </w:p>
        </w:tc>
      </w:tr>
      <w:tr w:rsidR="000B1F75" w14:paraId="677F7D8F" w14:textId="77777777" w:rsidTr="000B1F75">
        <w:tc>
          <w:tcPr>
            <w:tcW w:w="4788" w:type="dxa"/>
          </w:tcPr>
          <w:p w14:paraId="0C8E2C40" w14:textId="1A8FA8C0" w:rsidR="000B1F75" w:rsidRPr="000B1F75" w:rsidRDefault="000B1F75" w:rsidP="000B1F75">
            <w:pPr>
              <w:rPr>
                <w:rFonts w:cs="Arial"/>
              </w:rPr>
            </w:pPr>
            <w:r w:rsidRPr="000B1F75">
              <w:t xml:space="preserve">CrCl </w:t>
            </w:r>
            <w:r w:rsidRPr="000B1F75">
              <w:rPr>
                <w:lang w:eastAsia="bg-BG"/>
              </w:rPr>
              <w:t>≤</w:t>
            </w:r>
            <w:r w:rsidRPr="000B1F75">
              <w:t xml:space="preserve"> 10 ml/min</w:t>
            </w:r>
          </w:p>
        </w:tc>
        <w:tc>
          <w:tcPr>
            <w:tcW w:w="4788" w:type="dxa"/>
          </w:tcPr>
          <w:p w14:paraId="454447B3" w14:textId="14499A7B" w:rsidR="000B1F75" w:rsidRPr="000B1F75" w:rsidRDefault="000B1F75" w:rsidP="000B1F75">
            <w:pPr>
              <w:rPr>
                <w:rFonts w:cs="Arial"/>
              </w:rPr>
            </w:pPr>
            <w:r w:rsidRPr="000B1F75">
              <w:t xml:space="preserve">2,5 mg </w:t>
            </w:r>
            <w:r w:rsidRPr="000B1F75">
              <w:rPr>
                <w:lang w:eastAsia="bg-BG"/>
              </w:rPr>
              <w:t>в дните на диализа**</w:t>
            </w:r>
          </w:p>
        </w:tc>
      </w:tr>
    </w:tbl>
    <w:p w14:paraId="1A13B465"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Вижте точка 4.4. Еналаприлат се отстранява чрез диализа. Дозата през дните без хемодиализа трябва да се адаптира в зависимост от промените в кръвното налягане.</w:t>
      </w:r>
    </w:p>
    <w:p w14:paraId="1042F81A" w14:textId="77777777" w:rsidR="000B1F75" w:rsidRDefault="000B1F75" w:rsidP="000B1F75">
      <w:pPr>
        <w:spacing w:line="240" w:lineRule="auto"/>
        <w:rPr>
          <w:rFonts w:eastAsia="Times New Roman" w:cs="Arial"/>
          <w:i/>
          <w:iCs/>
          <w:color w:val="000000"/>
          <w:lang w:eastAsia="bg-BG"/>
        </w:rPr>
      </w:pPr>
    </w:p>
    <w:p w14:paraId="00FC49E8" w14:textId="69CA4842" w:rsidR="000B1F75" w:rsidRPr="000B1F75" w:rsidRDefault="000B1F75" w:rsidP="000B1F75">
      <w:pPr>
        <w:spacing w:line="240" w:lineRule="auto"/>
        <w:rPr>
          <w:rFonts w:eastAsia="Times New Roman" w:cs="Arial"/>
        </w:rPr>
      </w:pPr>
      <w:r w:rsidRPr="000B1F75">
        <w:rPr>
          <w:rFonts w:eastAsia="Times New Roman" w:cs="Arial"/>
          <w:i/>
          <w:iCs/>
          <w:color w:val="000000"/>
          <w:lang w:eastAsia="bg-BG"/>
        </w:rPr>
        <w:t>Употреба при пациенти в старческа възраст</w:t>
      </w:r>
    </w:p>
    <w:p w14:paraId="69ABFA22"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Дозата трябва да бъде съобразена с бъбречната функция при пациенти в старческа възраст (вж. точка 4.4).</w:t>
      </w:r>
    </w:p>
    <w:p w14:paraId="2512384C" w14:textId="77777777" w:rsidR="000B1F75" w:rsidRDefault="000B1F75" w:rsidP="000B1F75">
      <w:pPr>
        <w:spacing w:line="240" w:lineRule="auto"/>
        <w:rPr>
          <w:rFonts w:eastAsia="Times New Roman" w:cs="Arial"/>
          <w:i/>
          <w:iCs/>
          <w:color w:val="000000"/>
          <w:lang w:eastAsia="bg-BG"/>
        </w:rPr>
      </w:pPr>
    </w:p>
    <w:p w14:paraId="05A7D4AE" w14:textId="7434B50A" w:rsidR="000B1F75" w:rsidRPr="000B1F75" w:rsidRDefault="000B1F75" w:rsidP="000B1F75">
      <w:pPr>
        <w:spacing w:line="240" w:lineRule="auto"/>
        <w:rPr>
          <w:rFonts w:eastAsia="Times New Roman" w:cs="Arial"/>
        </w:rPr>
      </w:pPr>
      <w:r w:rsidRPr="000B1F75">
        <w:rPr>
          <w:rFonts w:eastAsia="Times New Roman" w:cs="Arial"/>
          <w:i/>
          <w:iCs/>
          <w:color w:val="000000"/>
          <w:lang w:eastAsia="bg-BG"/>
        </w:rPr>
        <w:t>Употреба при педиатрични пациенти</w:t>
      </w:r>
    </w:p>
    <w:p w14:paraId="1296CC7D"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При пациенти, които могат да поглъщат таблетки, дозата трябва да бъде определена индивидуално според профила на пациента и отговора на кръвното налягане. Препоръчителната начална доза е 2,5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при пациенти с тегло от 20 до &lt;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и 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при пациенти с тегло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Ренитек се приема веднъж </w:t>
      </w:r>
      <w:r w:rsidRPr="000B1F75">
        <w:rPr>
          <w:rFonts w:eastAsia="Times New Roman" w:cs="Arial"/>
          <w:i/>
          <w:iCs/>
          <w:color w:val="000000"/>
          <w:lang w:eastAsia="bg-BG"/>
        </w:rPr>
        <w:t>дневно.</w:t>
      </w:r>
      <w:r w:rsidRPr="000B1F75">
        <w:rPr>
          <w:rFonts w:eastAsia="Times New Roman" w:cs="Arial"/>
          <w:color w:val="000000"/>
          <w:lang w:eastAsia="bg-BG"/>
        </w:rPr>
        <w:t xml:space="preserve"> Дозата трябва да бъде коригирана спрямо нуждите на пациента максимум до 20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дневно при пациенти от 20 до &lt;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и 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при пациенти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(вж. точка 4.4).</w:t>
      </w:r>
    </w:p>
    <w:p w14:paraId="5D592B3B" w14:textId="77777777" w:rsidR="000B1F75" w:rsidRDefault="000B1F75" w:rsidP="000B1F75">
      <w:pPr>
        <w:spacing w:line="240" w:lineRule="auto"/>
        <w:rPr>
          <w:rFonts w:eastAsia="Times New Roman" w:cs="Arial"/>
          <w:color w:val="000000"/>
          <w:lang w:eastAsia="bg-BG"/>
        </w:rPr>
      </w:pPr>
    </w:p>
    <w:p w14:paraId="3E2F9082" w14:textId="4706723B"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Ренитек не се препоръчва при новородени и при педиатрични пациенти с ниво на гломерулната филтрация &lt; 30 </w:t>
      </w:r>
      <w:r w:rsidRPr="000B1F75">
        <w:rPr>
          <w:rFonts w:eastAsia="Times New Roman" w:cs="Arial"/>
          <w:color w:val="000000"/>
          <w:lang w:val="en-US"/>
        </w:rPr>
        <w:t>ml</w:t>
      </w:r>
      <w:r w:rsidRPr="000B1F75">
        <w:rPr>
          <w:rFonts w:eastAsia="Times New Roman" w:cs="Arial"/>
          <w:color w:val="000000"/>
          <w:lang w:val="ru-RU"/>
        </w:rPr>
        <w:t>/</w:t>
      </w:r>
      <w:r w:rsidRPr="000B1F75">
        <w:rPr>
          <w:rFonts w:eastAsia="Times New Roman" w:cs="Arial"/>
          <w:color w:val="000000"/>
          <w:lang w:val="en-US"/>
        </w:rPr>
        <w:t>min</w:t>
      </w:r>
      <w:r w:rsidRPr="000B1F75">
        <w:rPr>
          <w:rFonts w:eastAsia="Times New Roman" w:cs="Arial"/>
          <w:color w:val="000000"/>
          <w:lang w:val="ru-RU"/>
        </w:rPr>
        <w:t xml:space="preserve">/1,73 </w:t>
      </w:r>
      <w:r w:rsidRPr="000B1F75">
        <w:rPr>
          <w:rFonts w:eastAsia="Times New Roman" w:cs="Arial"/>
          <w:color w:val="000000"/>
          <w:lang w:val="en-US"/>
        </w:rPr>
        <w:t>m</w:t>
      </w:r>
      <w:r w:rsidRPr="000B1F75">
        <w:rPr>
          <w:rFonts w:eastAsia="Times New Roman" w:cs="Arial"/>
          <w:color w:val="000000"/>
          <w:vertAlign w:val="superscript"/>
          <w:lang w:val="ru-RU"/>
        </w:rPr>
        <w:t>2</w:t>
      </w:r>
      <w:r w:rsidRPr="000B1F75">
        <w:rPr>
          <w:rFonts w:eastAsia="Times New Roman" w:cs="Arial"/>
          <w:color w:val="000000"/>
          <w:lang w:val="ru-RU"/>
        </w:rPr>
        <w:t xml:space="preserve">, </w:t>
      </w:r>
      <w:r w:rsidRPr="000B1F75">
        <w:rPr>
          <w:rFonts w:eastAsia="Times New Roman" w:cs="Arial"/>
          <w:color w:val="000000"/>
          <w:lang w:eastAsia="bg-BG"/>
        </w:rPr>
        <w:t>поради липса на данни при тези групи пациенти.</w:t>
      </w:r>
    </w:p>
    <w:p w14:paraId="61BDBF8B" w14:textId="77777777" w:rsidR="000B1F75" w:rsidRDefault="000B1F75" w:rsidP="000B1F75">
      <w:pPr>
        <w:spacing w:line="240" w:lineRule="auto"/>
        <w:rPr>
          <w:rFonts w:eastAsia="Times New Roman" w:cs="Arial"/>
          <w:color w:val="000000"/>
          <w:u w:val="single"/>
          <w:lang w:eastAsia="bg-BG"/>
        </w:rPr>
      </w:pPr>
    </w:p>
    <w:p w14:paraId="41C78E70" w14:textId="40DC628E" w:rsidR="000B1F75" w:rsidRPr="000B1F75" w:rsidRDefault="000B1F75" w:rsidP="000B1F75">
      <w:pPr>
        <w:pStyle w:val="Heading3"/>
        <w:rPr>
          <w:rFonts w:eastAsia="Times New Roman"/>
          <w:u w:val="single"/>
        </w:rPr>
      </w:pPr>
      <w:r w:rsidRPr="000B1F75">
        <w:rPr>
          <w:rFonts w:eastAsia="Times New Roman"/>
          <w:u w:val="single"/>
          <w:lang w:eastAsia="bg-BG"/>
        </w:rPr>
        <w:t>Начин на приложение</w:t>
      </w:r>
    </w:p>
    <w:p w14:paraId="1FB035E8"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Перорално приложение.</w:t>
      </w:r>
    </w:p>
    <w:p w14:paraId="6EF1BB9A" w14:textId="77777777" w:rsidR="000B1F75" w:rsidRPr="000B1F75" w:rsidRDefault="000B1F75" w:rsidP="000B1F75">
      <w:pPr>
        <w:rPr>
          <w:rFonts w:cs="Arial"/>
        </w:rPr>
      </w:pPr>
    </w:p>
    <w:p w14:paraId="74903285" w14:textId="476A2F28" w:rsidR="00DB32D3" w:rsidRDefault="002C50EE" w:rsidP="005726E3">
      <w:pPr>
        <w:pStyle w:val="Heading2"/>
      </w:pPr>
      <w:r>
        <w:t>4.3. Противопоказания</w:t>
      </w:r>
    </w:p>
    <w:p w14:paraId="4F9FEE71" w14:textId="458B47E2" w:rsidR="000B1F75" w:rsidRDefault="000B1F75" w:rsidP="000B1F75"/>
    <w:p w14:paraId="0435294C" w14:textId="77777777"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t>Свръхчувствителност към активното вещество или към някое от помощните вещества, изброени в точка 6.1, или друг АСЕ инхибитор</w:t>
      </w:r>
    </w:p>
    <w:p w14:paraId="10A2AEC3" w14:textId="77777777"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t>Анамнеза за ангиоедем, свързан с предишно лечение с АСЕ инхибитор</w:t>
      </w:r>
    </w:p>
    <w:p w14:paraId="2C0DA421" w14:textId="77777777"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t>Наследствен или идиопатичен ангиоедем</w:t>
      </w:r>
    </w:p>
    <w:p w14:paraId="282FC138" w14:textId="77777777"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t>Втори и трети триместьр на бременността (вж. точки 4.4 и 4.6).</w:t>
      </w:r>
    </w:p>
    <w:p w14:paraId="5928F867" w14:textId="77777777"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lastRenderedPageBreak/>
        <w:t xml:space="preserve">Едновременната употреба на Ренитек с алискирен-съдържащи продукти е противопоказана при пациенти със захарен диабет или бъбречно увреждане </w:t>
      </w:r>
      <w:r w:rsidRPr="000B1F75">
        <w:rPr>
          <w:rFonts w:eastAsia="Times New Roman" w:cs="Arial"/>
          <w:color w:val="000000"/>
          <w:lang w:val="ru-RU"/>
        </w:rPr>
        <w:t>(</w:t>
      </w:r>
      <w:r w:rsidRPr="000B1F75">
        <w:rPr>
          <w:rFonts w:eastAsia="Times New Roman" w:cs="Arial"/>
          <w:color w:val="000000"/>
          <w:lang w:val="en-US"/>
        </w:rPr>
        <w:t>GFR</w:t>
      </w:r>
      <w:r w:rsidRPr="000B1F75">
        <w:rPr>
          <w:rFonts w:eastAsia="Times New Roman" w:cs="Arial"/>
          <w:color w:val="000000"/>
          <w:lang w:val="ru-RU"/>
        </w:rPr>
        <w:t xml:space="preserve"> </w:t>
      </w:r>
      <w:r w:rsidRPr="000B1F75">
        <w:rPr>
          <w:rFonts w:eastAsia="Times New Roman" w:cs="Arial"/>
          <w:color w:val="000000"/>
          <w:lang w:eastAsia="bg-BG"/>
        </w:rPr>
        <w:t xml:space="preserve">&lt; 60 </w:t>
      </w:r>
      <w:r w:rsidRPr="000B1F75">
        <w:rPr>
          <w:rFonts w:eastAsia="Times New Roman" w:cs="Arial"/>
          <w:color w:val="000000"/>
          <w:lang w:val="en-US"/>
        </w:rPr>
        <w:t>ml</w:t>
      </w:r>
      <w:r w:rsidRPr="000B1F75">
        <w:rPr>
          <w:rFonts w:eastAsia="Times New Roman" w:cs="Arial"/>
          <w:color w:val="000000"/>
          <w:lang w:val="ru-RU"/>
        </w:rPr>
        <w:t>/</w:t>
      </w:r>
      <w:r w:rsidRPr="000B1F75">
        <w:rPr>
          <w:rFonts w:eastAsia="Times New Roman" w:cs="Arial"/>
          <w:color w:val="000000"/>
          <w:lang w:val="en-US"/>
        </w:rPr>
        <w:t>min</w:t>
      </w:r>
      <w:r w:rsidRPr="000B1F75">
        <w:rPr>
          <w:rFonts w:eastAsia="Times New Roman" w:cs="Arial"/>
          <w:color w:val="000000"/>
          <w:lang w:val="ru-RU"/>
        </w:rPr>
        <w:t xml:space="preserve">/1,73 </w:t>
      </w:r>
      <w:r w:rsidRPr="000B1F75">
        <w:rPr>
          <w:rFonts w:eastAsia="Times New Roman" w:cs="Arial"/>
          <w:color w:val="000000"/>
          <w:lang w:val="en-US"/>
        </w:rPr>
        <w:t>m</w:t>
      </w:r>
      <w:r w:rsidRPr="000B1F75">
        <w:rPr>
          <w:rFonts w:eastAsia="Times New Roman" w:cs="Arial"/>
          <w:color w:val="000000"/>
          <w:lang w:val="ru-RU"/>
        </w:rPr>
        <w:t xml:space="preserve">2) </w:t>
      </w:r>
      <w:r w:rsidRPr="000B1F75">
        <w:rPr>
          <w:rFonts w:eastAsia="Times New Roman" w:cs="Arial"/>
          <w:color w:val="000000"/>
          <w:lang w:eastAsia="bg-BG"/>
        </w:rPr>
        <w:t>(вж. точки 4.5 и 5.1).</w:t>
      </w:r>
    </w:p>
    <w:p w14:paraId="46EC85AD" w14:textId="77801FD1"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t>Едновременна употреба със сакубитрил/валсартан. Ренитек не трябва да се започва по-рано от 36 часа след последната доза сакубитрил/валсартан (вж. също точки 4.4 и 4.5).</w:t>
      </w:r>
    </w:p>
    <w:p w14:paraId="0B5172FC" w14:textId="77777777" w:rsidR="000B1F75" w:rsidRPr="000B1F75" w:rsidRDefault="000B1F75" w:rsidP="000B1F75"/>
    <w:p w14:paraId="76DC8E58" w14:textId="09518339" w:rsidR="00DB32D3" w:rsidRDefault="002C50EE" w:rsidP="005726E3">
      <w:pPr>
        <w:pStyle w:val="Heading2"/>
      </w:pPr>
      <w:r>
        <w:t>4.4. Специални предупреждения и предпазни мерки при употреба</w:t>
      </w:r>
    </w:p>
    <w:p w14:paraId="1723E392" w14:textId="56DE24EA" w:rsidR="000B1F75" w:rsidRDefault="000B1F75" w:rsidP="000B1F75"/>
    <w:p w14:paraId="11B7E310" w14:textId="7777777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Симптоматична хипотония</w:t>
      </w:r>
    </w:p>
    <w:p w14:paraId="568E993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Симптоматична хипотония се наблюдава рядко при хипертоници без усложнения. При</w:t>
      </w:r>
    </w:p>
    <w:p w14:paraId="13192B35" w14:textId="77777777" w:rsidR="000B1F75" w:rsidRPr="000B1F75" w:rsidRDefault="000B1F75" w:rsidP="000B1F75">
      <w:pPr>
        <w:rPr>
          <w:rFonts w:eastAsia="Times New Roman" w:cs="Arial"/>
        </w:rPr>
      </w:pPr>
      <w:r w:rsidRPr="000B1F75">
        <w:rPr>
          <w:rFonts w:eastAsia="Times New Roman" w:cs="Arial"/>
          <w:color w:val="000000"/>
          <w:lang w:eastAsia="bg-BG"/>
        </w:rPr>
        <w:t>хипертониците, получаващи Ренитек, е по-вероятно да се появи симптоматична хипотония ако пациентът е с хиповолемия в резултат на диуретична терапия, ограничаваща солта диета, диализа, диария или повръщане (вж. точки 4.5 и 4,8). Симптоматична хипотония е наблюдавана при пациенти със сърдечна недостатъчност със или без свързана бъбречна недостатъчност. По- вероятно е тя да се появи при пациенти с по-тежка степен на сърдечна недостатъчност, както и да бъде обусловена от високи дози бримкови диуретици, хипонатриемия или функционално бъбречно увреждане. При такива пациенти терапията трябва да започне под лекарски контрол и пациентите да бъдат стриктно проследявани при каквато и да е промяна в дозировката на Ренитек и/или диуретика. Подобни изисквания важат и за пациенти с исхемична болест на сърцето или мозъчносъдово заболяване, при които едно прекомерно понижаване на кръвното налягане може да стане причина за миокарден инфаркт или мозъчносъдов инцидент.</w:t>
      </w:r>
    </w:p>
    <w:p w14:paraId="184E2828" w14:textId="77777777" w:rsidR="000B1F75" w:rsidRDefault="000B1F75" w:rsidP="000B1F75">
      <w:pPr>
        <w:spacing w:line="240" w:lineRule="auto"/>
        <w:rPr>
          <w:rFonts w:eastAsia="Times New Roman" w:cs="Arial"/>
          <w:color w:val="000000"/>
          <w:lang w:eastAsia="bg-BG"/>
        </w:rPr>
      </w:pPr>
    </w:p>
    <w:p w14:paraId="479B3977" w14:textId="71CB1E16" w:rsidR="000B1F75" w:rsidRPr="000B1F75" w:rsidRDefault="000B1F75" w:rsidP="000B1F75">
      <w:pPr>
        <w:spacing w:line="240" w:lineRule="auto"/>
        <w:rPr>
          <w:rFonts w:eastAsia="Times New Roman" w:cs="Arial"/>
        </w:rPr>
      </w:pPr>
      <w:r w:rsidRPr="000B1F75">
        <w:rPr>
          <w:rFonts w:eastAsia="Times New Roman" w:cs="Arial"/>
          <w:color w:val="000000"/>
          <w:lang w:eastAsia="bg-BG"/>
        </w:rPr>
        <w:t>Ако при пациента настъпи хипотония, той трябва да се постави да легне по гръб и при необходимост може да се назначи интравенозна инфузия на изотоничен солеви разтвор. Появата на преходно хипотензивно състояние не е контраиндикация за допълнителни дози, които могат обикновено да бъдат давани без затруднения при възстановен обем и съответно повишено в желани граници кръвно налягане.</w:t>
      </w:r>
    </w:p>
    <w:p w14:paraId="5ABE52A7" w14:textId="77777777" w:rsidR="000B1F75" w:rsidRDefault="000B1F75" w:rsidP="000B1F75">
      <w:pPr>
        <w:spacing w:line="240" w:lineRule="auto"/>
        <w:rPr>
          <w:rFonts w:eastAsia="Times New Roman" w:cs="Arial"/>
          <w:color w:val="000000"/>
          <w:lang w:eastAsia="bg-BG"/>
        </w:rPr>
      </w:pPr>
    </w:p>
    <w:p w14:paraId="28F86053" w14:textId="09674B3F"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някои пациенти със сърдечна недостатъчност, които имат нормално или ниско кръвно налягане, може да настъпи допълнително понижаване на кръвното налягане при употребата на Ренитек. Този ефект е очакван и обикновено не става причина за прекъсване на лечението. Ако хипотонията стане симптоматична, може да се наложи редуциране на дозата и/или спиране на диуретика и/или Ренитек.</w:t>
      </w:r>
    </w:p>
    <w:p w14:paraId="08B8FC47" w14:textId="77777777" w:rsidR="000B1F75" w:rsidRDefault="000B1F75" w:rsidP="000B1F75">
      <w:pPr>
        <w:spacing w:line="240" w:lineRule="auto"/>
        <w:rPr>
          <w:rFonts w:eastAsia="Times New Roman" w:cs="Arial"/>
          <w:color w:val="000000"/>
          <w:u w:val="single"/>
          <w:lang w:eastAsia="bg-BG"/>
        </w:rPr>
      </w:pPr>
    </w:p>
    <w:p w14:paraId="5B941EAD" w14:textId="5275B54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Аортна стеноза/Хипертрофична кардиомиопатия</w:t>
      </w:r>
    </w:p>
    <w:p w14:paraId="5C69BA79"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Както с всички вазодилататори, АСЕ инхибиторите трябва да бъдат давани с повишено внимание на пациенти с обструкция на левокамерния изходен тракт и да бъдат избягвани в случаи на кардиогенен шок и хемодинамично значима обструкция.</w:t>
      </w:r>
    </w:p>
    <w:p w14:paraId="5BC23D56" w14:textId="77777777" w:rsidR="000B1F75" w:rsidRDefault="000B1F75" w:rsidP="000B1F75">
      <w:pPr>
        <w:spacing w:line="240" w:lineRule="auto"/>
        <w:rPr>
          <w:rFonts w:eastAsia="Times New Roman" w:cs="Arial"/>
          <w:color w:val="000000"/>
          <w:u w:val="single"/>
          <w:lang w:eastAsia="bg-BG"/>
        </w:rPr>
      </w:pPr>
    </w:p>
    <w:p w14:paraId="5F2395D0" w14:textId="3BB2F733"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Увреждане на бъбречната функция</w:t>
      </w:r>
    </w:p>
    <w:p w14:paraId="73372EF1"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В случаи на бъбречно увреждане (креатининов клирънс &lt; 80 </w:t>
      </w:r>
      <w:r w:rsidRPr="000B1F75">
        <w:rPr>
          <w:rFonts w:eastAsia="Times New Roman" w:cs="Arial"/>
          <w:color w:val="000000"/>
          <w:lang w:val="en-US"/>
        </w:rPr>
        <w:t>ml</w:t>
      </w:r>
      <w:r w:rsidRPr="000B1F75">
        <w:rPr>
          <w:rFonts w:eastAsia="Times New Roman" w:cs="Arial"/>
          <w:color w:val="000000"/>
          <w:lang w:val="ru-RU"/>
        </w:rPr>
        <w:t>/</w:t>
      </w:r>
      <w:r w:rsidRPr="000B1F75">
        <w:rPr>
          <w:rFonts w:eastAsia="Times New Roman" w:cs="Arial"/>
          <w:color w:val="000000"/>
          <w:lang w:val="en-US"/>
        </w:rPr>
        <w:t>min</w:t>
      </w:r>
      <w:r w:rsidRPr="000B1F75">
        <w:rPr>
          <w:rFonts w:eastAsia="Times New Roman" w:cs="Arial"/>
          <w:color w:val="000000"/>
          <w:lang w:val="ru-RU"/>
        </w:rPr>
        <w:t xml:space="preserve">) </w:t>
      </w:r>
      <w:r w:rsidRPr="000B1F75">
        <w:rPr>
          <w:rFonts w:eastAsia="Times New Roman" w:cs="Arial"/>
          <w:color w:val="000000"/>
          <w:lang w:eastAsia="bg-BG"/>
        </w:rPr>
        <w:t>началната доза еналаприл трябва да бъде коригирана спрямо креатининовия клирънс на пациента (вж. точка 4.2) и след това като функция на отговора на пациента към лечението. При тези пациенти, рутинното проследяване на калий и креатинин са част от нормалната лекарска практика.</w:t>
      </w:r>
    </w:p>
    <w:p w14:paraId="3D63E9E2" w14:textId="77777777" w:rsidR="000B1F75" w:rsidRDefault="000B1F75" w:rsidP="000B1F75">
      <w:pPr>
        <w:spacing w:line="240" w:lineRule="auto"/>
        <w:rPr>
          <w:rFonts w:eastAsia="Times New Roman" w:cs="Arial"/>
          <w:color w:val="000000"/>
          <w:lang w:eastAsia="bg-BG"/>
        </w:rPr>
      </w:pPr>
    </w:p>
    <w:p w14:paraId="2710C059" w14:textId="45B7F5F7" w:rsidR="000B1F75" w:rsidRPr="000B1F75" w:rsidRDefault="000B1F75" w:rsidP="000B1F75">
      <w:pPr>
        <w:spacing w:line="240" w:lineRule="auto"/>
        <w:rPr>
          <w:rFonts w:eastAsia="Times New Roman" w:cs="Arial"/>
        </w:rPr>
      </w:pPr>
      <w:r w:rsidRPr="000B1F75">
        <w:rPr>
          <w:rFonts w:eastAsia="Times New Roman" w:cs="Arial"/>
          <w:color w:val="000000"/>
          <w:lang w:eastAsia="bg-BG"/>
        </w:rPr>
        <w:lastRenderedPageBreak/>
        <w:t>Има съобщения за бъбречна недостатъчност, свързана с приложението на еналаприл, главно при пациенти с тежка сърдечна недостатъчност или подлежащо бъбречно заболяване, включително стеноза на бъбречната артерия. Ако се разпознае бързо и лекува подходящо, бъбречната недостатъчност, когато е свързана с лечение с еналаприл, обикновено е обратима.</w:t>
      </w:r>
    </w:p>
    <w:p w14:paraId="39068CFF" w14:textId="77777777" w:rsidR="000B1F75" w:rsidRDefault="000B1F75" w:rsidP="000B1F75">
      <w:pPr>
        <w:spacing w:line="240" w:lineRule="auto"/>
        <w:rPr>
          <w:rFonts w:eastAsia="Times New Roman" w:cs="Arial"/>
          <w:color w:val="000000"/>
          <w:lang w:eastAsia="bg-BG"/>
        </w:rPr>
      </w:pPr>
    </w:p>
    <w:p w14:paraId="48AFE648" w14:textId="3D10652F" w:rsidR="000B1F75" w:rsidRPr="000B1F75" w:rsidRDefault="000B1F75" w:rsidP="000B1F75">
      <w:pPr>
        <w:spacing w:line="240" w:lineRule="auto"/>
        <w:rPr>
          <w:rFonts w:eastAsia="Times New Roman" w:cs="Arial"/>
        </w:rPr>
      </w:pPr>
      <w:r w:rsidRPr="000B1F75">
        <w:rPr>
          <w:rFonts w:eastAsia="Times New Roman" w:cs="Arial"/>
          <w:color w:val="000000"/>
          <w:lang w:eastAsia="bg-BG"/>
        </w:rPr>
        <w:t>Някои пациенти с хипертония, без проявено предшестващо бъбречно заболяване, развиват повишения на кръвната урея и креатинина, когато еналаприл се прилага едновременно с диуретик. В такива случаи може да се наложи редуциране на дозата еналаприл и/или прекъсване на диуретика. При това състояние трябва да се обсъди възможността за подлежаща стеноза на бъбречната артерия (вж. точка 4.4 Реяоваскуларна хипертония).</w:t>
      </w:r>
    </w:p>
    <w:p w14:paraId="2188CA9D" w14:textId="77777777" w:rsidR="000B1F75" w:rsidRDefault="000B1F75" w:rsidP="000B1F75">
      <w:pPr>
        <w:spacing w:line="240" w:lineRule="auto"/>
        <w:rPr>
          <w:rFonts w:eastAsia="Times New Roman" w:cs="Arial"/>
          <w:color w:val="000000"/>
          <w:u w:val="single"/>
          <w:lang w:eastAsia="bg-BG"/>
        </w:rPr>
      </w:pPr>
    </w:p>
    <w:p w14:paraId="1F222ABB" w14:textId="4B5BF312"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Реноваскуларна хипертония</w:t>
      </w:r>
    </w:p>
    <w:p w14:paraId="7CCE01DA" w14:textId="17D1B10B" w:rsidR="000B1F75" w:rsidRDefault="000B1F75" w:rsidP="000B1F75">
      <w:pPr>
        <w:spacing w:line="240" w:lineRule="auto"/>
        <w:rPr>
          <w:rFonts w:eastAsia="Times New Roman" w:cs="Arial"/>
          <w:color w:val="000000"/>
          <w:lang w:eastAsia="bg-BG"/>
        </w:rPr>
      </w:pPr>
      <w:r w:rsidRPr="000B1F75">
        <w:rPr>
          <w:rFonts w:eastAsia="Times New Roman" w:cs="Arial"/>
          <w:color w:val="000000"/>
          <w:lang w:eastAsia="bg-BG"/>
        </w:rPr>
        <w:t>Съществува повишен риск от хипотония и бъбречна недостатъчност, когато пациенти с билатерална бъбречна артериална стеноза или стеноза на артерията към единствен функциониращ бъбрек са лекувани с АСЕ инхибитори. Загуба на бъбречната функция може да се получи само с леки промени в серумния креатинин. При тези пациенти лечението трябва да започне под непосредствен лекарски контрол с ниски дози, внимателно титриране и проследяване на бъбречната функция.</w:t>
      </w:r>
    </w:p>
    <w:p w14:paraId="6281BBD3" w14:textId="260F7CC6" w:rsidR="000B1F75" w:rsidRDefault="000B1F75" w:rsidP="000B1F75">
      <w:pPr>
        <w:spacing w:line="240" w:lineRule="auto"/>
        <w:rPr>
          <w:rFonts w:eastAsia="Times New Roman" w:cs="Arial"/>
          <w:color w:val="000000"/>
          <w:lang w:eastAsia="bg-BG"/>
        </w:rPr>
      </w:pPr>
    </w:p>
    <w:p w14:paraId="1E9B40E0" w14:textId="7777777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Бъбречна трансплантаиия</w:t>
      </w:r>
    </w:p>
    <w:p w14:paraId="4514812E"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Няма опит по отношение приложението на Ренитек при пациенти с неотдавнашна бъбречна трансплантаиия. Следователно лечение е Ренитек не се препоръчва.</w:t>
      </w:r>
    </w:p>
    <w:p w14:paraId="5FBFF480" w14:textId="77777777" w:rsidR="000B1F75" w:rsidRDefault="000B1F75" w:rsidP="000B1F75">
      <w:pPr>
        <w:spacing w:line="240" w:lineRule="auto"/>
        <w:rPr>
          <w:rFonts w:eastAsia="Times New Roman" w:cs="Arial"/>
          <w:color w:val="000000"/>
          <w:u w:val="single"/>
          <w:lang w:eastAsia="bg-BG"/>
        </w:rPr>
      </w:pPr>
    </w:p>
    <w:p w14:paraId="3EAC9734" w14:textId="70CF676F"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Чернодробна недостатъчност</w:t>
      </w:r>
    </w:p>
    <w:p w14:paraId="7E31896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Рядко АСЕ инхибиторите са свързвани със синдром, който започва </w:t>
      </w:r>
      <w:r w:rsidRPr="000B1F75">
        <w:rPr>
          <w:rFonts w:eastAsia="Times New Roman" w:cs="Arial"/>
          <w:i/>
          <w:iCs/>
          <w:color w:val="000000"/>
          <w:lang w:eastAsia="bg-BG"/>
        </w:rPr>
        <w:t>с</w:t>
      </w:r>
      <w:r w:rsidRPr="000B1F75">
        <w:rPr>
          <w:rFonts w:eastAsia="Times New Roman" w:cs="Arial"/>
          <w:color w:val="000000"/>
          <w:lang w:eastAsia="bg-BG"/>
        </w:rPr>
        <w:t xml:space="preserve"> холестатнчна жълтеница или хепатит и прогресира до фулминантна чернодробна некроза и (понякога) смърт. Механизмът на този синдром не е ясен. Пациентите получаващи АСЕ инхибитори, които развиват жълтеница или изразено повишение на чернодробните ензими, трябва да прекратят лечението с АСЕ инхибитор и да получат подходящо лекарско проследяване след това.</w:t>
      </w:r>
    </w:p>
    <w:p w14:paraId="28798F43" w14:textId="77777777" w:rsidR="000B1F75" w:rsidRDefault="000B1F75" w:rsidP="000B1F75">
      <w:pPr>
        <w:spacing w:line="240" w:lineRule="auto"/>
        <w:rPr>
          <w:rFonts w:eastAsia="Times New Roman" w:cs="Arial"/>
          <w:color w:val="000000"/>
          <w:u w:val="single"/>
          <w:lang w:eastAsia="bg-BG"/>
        </w:rPr>
      </w:pPr>
    </w:p>
    <w:p w14:paraId="4D70C9EC" w14:textId="6213B0F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Неутропения/Агранулоцигоза</w:t>
      </w:r>
    </w:p>
    <w:p w14:paraId="7AFF41AA"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пациенти, получаващи АСЕ инхибитори, се съобщава за неутропения/агранулоцигоза, тромбоцигопения и анемия. При пациенти с нормална бъбречна функция и без други усложняващи фактори, неутропения се развива рядко. Еналаприл трябва да се прилага изключително внимателно при пациенти със съдова колагеноза, имуносупресивна терапия, лечение с алопуринол или прокаинамид, или комбинация от тези усложняващи фактори, особено при предварително съществуваща увредена бъбречна функция. Някои от тези пациенти развиват тежки инфекции, които в някои случаи не се повлияват от интензивно антибиотично лечение. Ако еналаприл се прилага на такива пациенти, препоръчва се периодично да се контролират нивата на белите кръвни клетки (левкоцитите), и пациентите трябва да бъдат инструктирани да съобщават всяка проява на инфекция.</w:t>
      </w:r>
    </w:p>
    <w:p w14:paraId="0B63FDE0" w14:textId="77777777" w:rsidR="000B1F75" w:rsidRDefault="000B1F75" w:rsidP="000B1F75">
      <w:pPr>
        <w:spacing w:line="240" w:lineRule="auto"/>
        <w:rPr>
          <w:rFonts w:eastAsia="Times New Roman" w:cs="Arial"/>
          <w:color w:val="000000"/>
          <w:u w:val="single"/>
          <w:lang w:eastAsia="bg-BG"/>
        </w:rPr>
      </w:pPr>
    </w:p>
    <w:p w14:paraId="2D871C48" w14:textId="5A79BD6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Свръхчувствителност/Ангионевротичен оток</w:t>
      </w:r>
    </w:p>
    <w:p w14:paraId="3354C402"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Съобщава се за ангионевротичен оток, обхващащ лицето, крайниците, устните, езика, глотиса и/или ларинкса при пациенти, лекувани с АСЕ инхибитори, включително Ренитек. Това може да се случи по всяко време на лечението. В такива случаи приемът на Ренитек трябва да бъде преустановен незабавно и пациентът да бъде подложен на наблюдение </w:t>
      </w:r>
      <w:r w:rsidRPr="000B1F75">
        <w:rPr>
          <w:rFonts w:eastAsia="Times New Roman" w:cs="Arial"/>
          <w:color w:val="000000"/>
          <w:lang w:eastAsia="bg-BG"/>
        </w:rPr>
        <w:lastRenderedPageBreak/>
        <w:t>до пълно изчезване на симптомите преди изписването. Дори в случаите, когато отокът обхваща само езика, без да има респираторен дистрес синдром, може да се наложи по-продължително наблюдение на пациентите, тъй като лечението с антихисгамини и кортикостероиди може да не е достатъчно.</w:t>
      </w:r>
    </w:p>
    <w:p w14:paraId="5F0899BF" w14:textId="77777777" w:rsidR="000B1F75" w:rsidRDefault="000B1F75" w:rsidP="000B1F75">
      <w:pPr>
        <w:spacing w:line="240" w:lineRule="auto"/>
        <w:rPr>
          <w:rFonts w:eastAsia="Times New Roman" w:cs="Arial"/>
          <w:color w:val="000000"/>
          <w:lang w:eastAsia="bg-BG"/>
        </w:rPr>
      </w:pPr>
    </w:p>
    <w:p w14:paraId="55F05000" w14:textId="160F2B9B"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Много рядко е било докладвано за смъртни случаи в резултат на ангионевротичен оток, засягащ областта на ларинкса или езика. Пациенти, при които е обхванат езика, глотиса или ларинкса е възможно да получат обструкция на дихателните пътища, особено онези, които имат анамнеза за оперативна интервенция в областта на дихателните пътища. Когато са въвлечени езика, глотиса или ларинкса, е възможно да настъпи остра обструкция на дихателните пътища и в такива случаи трябва незабавно да се предприемат подходящи мерки, включващи подкожно приложение на 1:1 000 разтвор на адреналин (0,3 </w:t>
      </w:r>
      <w:r w:rsidRPr="000B1F75">
        <w:rPr>
          <w:rFonts w:eastAsia="Times New Roman" w:cs="Arial"/>
          <w:color w:val="000000"/>
          <w:lang w:val="en-US"/>
        </w:rPr>
        <w:t>ml</w:t>
      </w:r>
      <w:r w:rsidRPr="000B1F75">
        <w:rPr>
          <w:rFonts w:eastAsia="Times New Roman" w:cs="Arial"/>
          <w:color w:val="000000"/>
          <w:lang w:val="ru-RU"/>
        </w:rPr>
        <w:t xml:space="preserve"> </w:t>
      </w:r>
      <w:r w:rsidRPr="000B1F75">
        <w:rPr>
          <w:rFonts w:eastAsia="Times New Roman" w:cs="Arial"/>
          <w:color w:val="000000"/>
          <w:lang w:eastAsia="bg-BG"/>
        </w:rPr>
        <w:t xml:space="preserve">до 0,5 </w:t>
      </w:r>
      <w:r w:rsidRPr="000B1F75">
        <w:rPr>
          <w:rFonts w:eastAsia="Times New Roman" w:cs="Arial"/>
          <w:color w:val="000000"/>
          <w:lang w:val="en-US"/>
        </w:rPr>
        <w:t>ml</w:t>
      </w:r>
      <w:r w:rsidRPr="000B1F75">
        <w:rPr>
          <w:rFonts w:eastAsia="Times New Roman" w:cs="Arial"/>
          <w:color w:val="000000"/>
          <w:lang w:val="ru-RU"/>
        </w:rPr>
        <w:t xml:space="preserve">) </w:t>
      </w:r>
      <w:r w:rsidRPr="000B1F75">
        <w:rPr>
          <w:rFonts w:eastAsia="Times New Roman" w:cs="Arial"/>
          <w:color w:val="000000"/>
          <w:lang w:eastAsia="bg-BG"/>
        </w:rPr>
        <w:t>подкожно и/или мерки за освобождаване на дихателните пътища.</w:t>
      </w:r>
    </w:p>
    <w:p w14:paraId="40080AC6" w14:textId="77777777" w:rsidR="000B1F75" w:rsidRDefault="000B1F75" w:rsidP="000B1F75">
      <w:pPr>
        <w:spacing w:line="240" w:lineRule="auto"/>
        <w:rPr>
          <w:rFonts w:eastAsia="Times New Roman" w:cs="Arial"/>
          <w:color w:val="000000"/>
          <w:lang w:eastAsia="bg-BG"/>
        </w:rPr>
      </w:pPr>
    </w:p>
    <w:p w14:paraId="7F39F094" w14:textId="67FF1651" w:rsidR="000B1F75" w:rsidRPr="000B1F75" w:rsidRDefault="000B1F75" w:rsidP="000B1F75">
      <w:pPr>
        <w:spacing w:line="240" w:lineRule="auto"/>
        <w:rPr>
          <w:rFonts w:eastAsia="Times New Roman" w:cs="Arial"/>
        </w:rPr>
      </w:pPr>
      <w:r w:rsidRPr="000B1F75">
        <w:rPr>
          <w:rFonts w:eastAsia="Times New Roman" w:cs="Arial"/>
          <w:color w:val="000000"/>
          <w:lang w:eastAsia="bg-BG"/>
        </w:rPr>
        <w:t>Докладвана е по-голяма честота на ангионевротичен оток при чернокожи пациенти, лекувани с АСЕ инхибитори в сравнение с пациенти от бялата раса.</w:t>
      </w:r>
    </w:p>
    <w:p w14:paraId="7745A8A1" w14:textId="77777777" w:rsidR="000B1F75" w:rsidRDefault="000B1F75" w:rsidP="000B1F75">
      <w:pPr>
        <w:spacing w:line="240" w:lineRule="auto"/>
        <w:rPr>
          <w:rFonts w:eastAsia="Times New Roman" w:cs="Arial"/>
          <w:color w:val="000000"/>
          <w:lang w:eastAsia="bg-BG"/>
        </w:rPr>
      </w:pPr>
    </w:p>
    <w:p w14:paraId="637EF2AB" w14:textId="77777777" w:rsidR="000B1F75" w:rsidRDefault="000B1F75" w:rsidP="000B1F75">
      <w:pPr>
        <w:spacing w:line="240" w:lineRule="auto"/>
        <w:rPr>
          <w:rFonts w:eastAsia="Times New Roman" w:cs="Arial"/>
          <w:color w:val="000000"/>
          <w:lang w:eastAsia="bg-BG"/>
        </w:rPr>
      </w:pPr>
      <w:r w:rsidRPr="000B1F75">
        <w:rPr>
          <w:rFonts w:eastAsia="Times New Roman" w:cs="Arial"/>
          <w:color w:val="000000"/>
          <w:lang w:eastAsia="bg-BG"/>
        </w:rPr>
        <w:t xml:space="preserve">Пациенти с анамнеза за ангионевротичен оток, несвързан с приложение на АСЕ инхибитори, може да бъдат с повишен риск за развитие на ангиоедем при употреба на </w:t>
      </w:r>
    </w:p>
    <w:p w14:paraId="6CCF6323" w14:textId="4C1AE945" w:rsidR="000B1F75" w:rsidRPr="000B1F75" w:rsidRDefault="000B1F75" w:rsidP="000B1F75">
      <w:pPr>
        <w:spacing w:line="240" w:lineRule="auto"/>
        <w:rPr>
          <w:rFonts w:eastAsia="Times New Roman" w:cs="Arial"/>
        </w:rPr>
      </w:pPr>
      <w:r w:rsidRPr="000B1F75">
        <w:rPr>
          <w:rFonts w:eastAsia="Times New Roman" w:cs="Arial"/>
          <w:color w:val="000000"/>
          <w:lang w:eastAsia="bg-BG"/>
        </w:rPr>
        <w:t>АСЕ инхибитори (вж. точка 4.3).</w:t>
      </w:r>
    </w:p>
    <w:p w14:paraId="10ED6341" w14:textId="77777777" w:rsidR="000B1F75" w:rsidRDefault="000B1F75" w:rsidP="000B1F75">
      <w:pPr>
        <w:spacing w:line="240" w:lineRule="auto"/>
        <w:rPr>
          <w:rFonts w:eastAsia="Times New Roman" w:cs="Arial"/>
          <w:color w:val="000000"/>
          <w:lang w:eastAsia="bg-BG"/>
        </w:rPr>
      </w:pPr>
    </w:p>
    <w:p w14:paraId="6B1B1BD7" w14:textId="2200BA07" w:rsidR="000B1F75" w:rsidRPr="000B1F75" w:rsidRDefault="000B1F75" w:rsidP="000B1F75">
      <w:pPr>
        <w:spacing w:line="240" w:lineRule="auto"/>
        <w:rPr>
          <w:rFonts w:eastAsia="Times New Roman" w:cs="Arial"/>
        </w:rPr>
      </w:pPr>
      <w:r w:rsidRPr="000B1F75">
        <w:rPr>
          <w:rFonts w:eastAsia="Times New Roman" w:cs="Arial"/>
          <w:color w:val="000000"/>
          <w:lang w:eastAsia="bg-BG"/>
        </w:rPr>
        <w:t>Едновременната употреба на АСЕ инхибитори със сакубитрил/валсартан е противопоказана поради повишения риск от ангиоедем. Лечението със сакубитрил/валсартан не трябва да започва по-рано от 36 часа след последната доза от Ренитек. Лечението с Ренитек не трябва да започва по-рано от 36 часа след последната доза сакубитрил/валсартан (вж. също точки 4.3 и 4.5).</w:t>
      </w:r>
    </w:p>
    <w:p w14:paraId="3B3279B8" w14:textId="77777777" w:rsidR="000B1F75" w:rsidRPr="000B1F75" w:rsidRDefault="000B1F75" w:rsidP="000B1F75">
      <w:pPr>
        <w:spacing w:line="240" w:lineRule="auto"/>
        <w:rPr>
          <w:rFonts w:eastAsia="Times New Roman" w:cs="Arial"/>
        </w:rPr>
      </w:pPr>
    </w:p>
    <w:p w14:paraId="5A64CEFC"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Едновременната употреба на АСЕ инхибитори и рацекадотрил, </w:t>
      </w:r>
      <w:proofErr w:type="spellStart"/>
      <w:r w:rsidRPr="000B1F75">
        <w:rPr>
          <w:rFonts w:eastAsia="Times New Roman" w:cs="Arial"/>
          <w:color w:val="000000"/>
          <w:lang w:val="en-US"/>
        </w:rPr>
        <w:t>mTOR</w:t>
      </w:r>
      <w:proofErr w:type="spellEnd"/>
      <w:r w:rsidRPr="000B1F75">
        <w:rPr>
          <w:rFonts w:eastAsia="Times New Roman" w:cs="Arial"/>
          <w:color w:val="000000"/>
          <w:lang w:val="ru-RU"/>
        </w:rPr>
        <w:t xml:space="preserve"> </w:t>
      </w:r>
      <w:r w:rsidRPr="000B1F75">
        <w:rPr>
          <w:rFonts w:eastAsia="Times New Roman" w:cs="Arial"/>
          <w:color w:val="000000"/>
          <w:lang w:eastAsia="bg-BG"/>
        </w:rPr>
        <w:t xml:space="preserve">инхибитори (напр, сиролимус, еверолимус, темсиролимус) и вилдаглиптин може да доведе до повишен риск от ангиоедем (напр. оток на дихателните пътища или езика, със или без респираторно увреждане) (вж. точка 4.5). Необходимо е повишено внимание при започване на лечение с рацекадотрил, </w:t>
      </w:r>
      <w:proofErr w:type="spellStart"/>
      <w:r w:rsidRPr="000B1F75">
        <w:rPr>
          <w:rFonts w:eastAsia="Times New Roman" w:cs="Arial"/>
          <w:color w:val="000000"/>
          <w:lang w:val="en-US"/>
        </w:rPr>
        <w:t>mTOR</w:t>
      </w:r>
      <w:proofErr w:type="spellEnd"/>
      <w:r w:rsidRPr="000B1F75">
        <w:rPr>
          <w:rFonts w:eastAsia="Times New Roman" w:cs="Arial"/>
          <w:color w:val="000000"/>
          <w:lang w:val="ru-RU"/>
        </w:rPr>
        <w:t xml:space="preserve"> </w:t>
      </w:r>
      <w:r w:rsidRPr="000B1F75">
        <w:rPr>
          <w:rFonts w:eastAsia="Times New Roman" w:cs="Arial"/>
          <w:color w:val="000000"/>
          <w:lang w:eastAsia="bg-BG"/>
        </w:rPr>
        <w:t>инхибитори (напр. сиролимус, еверолимус, темсиролимус) и вилдаглиптин при пациент, който вече приема АСЕ инхибитор.</w:t>
      </w:r>
    </w:p>
    <w:p w14:paraId="6DD95125" w14:textId="77777777" w:rsidR="000B1F75" w:rsidRDefault="000B1F75" w:rsidP="000B1F75">
      <w:pPr>
        <w:spacing w:line="240" w:lineRule="auto"/>
        <w:rPr>
          <w:rFonts w:eastAsia="Times New Roman" w:cs="Arial"/>
          <w:color w:val="000000"/>
          <w:u w:val="single"/>
          <w:lang w:eastAsia="bg-BG"/>
        </w:rPr>
      </w:pPr>
    </w:p>
    <w:p w14:paraId="68656E24" w14:textId="7DD19F4D"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 xml:space="preserve">Анафилактоидни реакции при десенсибилизация с </w:t>
      </w:r>
      <w:r w:rsidRPr="000B1F75">
        <w:rPr>
          <w:rFonts w:eastAsia="Times New Roman" w:cs="Arial"/>
          <w:color w:val="000000"/>
          <w:u w:val="single"/>
          <w:lang w:val="en-US"/>
        </w:rPr>
        <w:t>Hymenoptera</w:t>
      </w:r>
    </w:p>
    <w:p w14:paraId="163F37B1"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Рядко пациенти, приемащи АСЕ инхибитори по време на десенсибилизация с отрова от </w:t>
      </w:r>
      <w:r w:rsidRPr="000B1F75">
        <w:rPr>
          <w:rFonts w:eastAsia="Times New Roman" w:cs="Arial"/>
          <w:color w:val="000000"/>
          <w:lang w:val="en-US"/>
        </w:rPr>
        <w:t>hymenoptera</w:t>
      </w:r>
      <w:r w:rsidRPr="000B1F75">
        <w:rPr>
          <w:rFonts w:eastAsia="Times New Roman" w:cs="Arial"/>
          <w:color w:val="000000"/>
          <w:lang w:val="ru-RU"/>
        </w:rPr>
        <w:t xml:space="preserve">, </w:t>
      </w:r>
      <w:r w:rsidRPr="000B1F75">
        <w:rPr>
          <w:rFonts w:eastAsia="Times New Roman" w:cs="Arial"/>
          <w:color w:val="000000"/>
          <w:lang w:eastAsia="bg-BG"/>
        </w:rPr>
        <w:t>са развивали животозастрашаващи анафилактоидни реакции. Тези реакции са били избягвани чрез временно прекратяване на терапията с АСЕ инхибитор преди всяка десенсибилизация.</w:t>
      </w:r>
    </w:p>
    <w:p w14:paraId="4D934A7C" w14:textId="77777777" w:rsidR="000B1F75" w:rsidRDefault="000B1F75" w:rsidP="000B1F75">
      <w:pPr>
        <w:spacing w:line="240" w:lineRule="auto"/>
        <w:rPr>
          <w:rFonts w:eastAsia="Times New Roman" w:cs="Arial"/>
          <w:color w:val="000000"/>
          <w:u w:val="single"/>
          <w:lang w:eastAsia="bg-BG"/>
        </w:rPr>
      </w:pPr>
    </w:p>
    <w:p w14:paraId="12484843" w14:textId="450AE22A"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 xml:space="preserve">Анафилактоидни реакции по време на </w:t>
      </w:r>
      <w:r w:rsidRPr="000B1F75">
        <w:rPr>
          <w:rFonts w:eastAsia="Times New Roman" w:cs="Arial"/>
          <w:color w:val="000000"/>
          <w:u w:val="single"/>
          <w:lang w:val="en-US"/>
        </w:rPr>
        <w:t>LDL</w:t>
      </w:r>
      <w:r w:rsidRPr="000B1F75">
        <w:rPr>
          <w:rFonts w:eastAsia="Times New Roman" w:cs="Arial"/>
          <w:color w:val="000000"/>
          <w:u w:val="single"/>
          <w:lang w:eastAsia="bg-BG"/>
        </w:rPr>
        <w:t>-афереза</w:t>
      </w:r>
    </w:p>
    <w:p w14:paraId="7A08E65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Рядко пациенти, лекувани с АСЕ инхибитори, получават животозастрашаващи анафилактоидни реакции по време на </w:t>
      </w:r>
      <w:r w:rsidRPr="000B1F75">
        <w:rPr>
          <w:rFonts w:eastAsia="Times New Roman" w:cs="Arial"/>
          <w:color w:val="000000"/>
          <w:lang w:val="en-US"/>
        </w:rPr>
        <w:t>LDL</w:t>
      </w:r>
      <w:r w:rsidRPr="000B1F75">
        <w:rPr>
          <w:rFonts w:eastAsia="Times New Roman" w:cs="Arial"/>
          <w:color w:val="000000"/>
          <w:lang w:val="ru-RU"/>
        </w:rPr>
        <w:t xml:space="preserve"> (</w:t>
      </w:r>
      <w:r w:rsidRPr="000B1F75">
        <w:rPr>
          <w:rFonts w:eastAsia="Times New Roman" w:cs="Arial"/>
          <w:color w:val="000000"/>
          <w:lang w:val="en-US"/>
        </w:rPr>
        <w:t>Low</w:t>
      </w:r>
      <w:r w:rsidRPr="000B1F75">
        <w:rPr>
          <w:rFonts w:eastAsia="Times New Roman" w:cs="Arial"/>
          <w:color w:val="000000"/>
          <w:lang w:val="ru-RU"/>
        </w:rPr>
        <w:t xml:space="preserve"> </w:t>
      </w:r>
      <w:r w:rsidRPr="000B1F75">
        <w:rPr>
          <w:rFonts w:eastAsia="Times New Roman" w:cs="Arial"/>
          <w:color w:val="000000"/>
          <w:lang w:val="en-US"/>
        </w:rPr>
        <w:t>Density</w:t>
      </w:r>
      <w:r w:rsidRPr="000B1F75">
        <w:rPr>
          <w:rFonts w:eastAsia="Times New Roman" w:cs="Arial"/>
          <w:color w:val="000000"/>
          <w:lang w:val="ru-RU"/>
        </w:rPr>
        <w:t xml:space="preserve"> </w:t>
      </w:r>
      <w:r w:rsidRPr="000B1F75">
        <w:rPr>
          <w:rFonts w:eastAsia="Times New Roman" w:cs="Arial"/>
          <w:color w:val="000000"/>
          <w:lang w:val="en-US"/>
        </w:rPr>
        <w:t>Lipoproteins</w:t>
      </w:r>
      <w:r w:rsidRPr="000B1F75">
        <w:rPr>
          <w:rFonts w:eastAsia="Times New Roman" w:cs="Arial"/>
          <w:color w:val="000000"/>
          <w:lang w:val="ru-RU"/>
        </w:rPr>
        <w:t xml:space="preserve"> </w:t>
      </w:r>
      <w:r w:rsidRPr="000B1F75">
        <w:rPr>
          <w:rFonts w:eastAsia="Times New Roman" w:cs="Arial"/>
          <w:color w:val="000000"/>
          <w:lang w:eastAsia="bg-BG"/>
        </w:rPr>
        <w:t>- липопротеини с ниска плътност) афереза с декстран сулфат. Тези реакции се избягват чрез временно прекъсване на терапията с АСЕ инхибитор преди всяка афереза.</w:t>
      </w:r>
    </w:p>
    <w:p w14:paraId="7E7C6BE1" w14:textId="77777777" w:rsidR="000B1F75" w:rsidRDefault="000B1F75" w:rsidP="000B1F75">
      <w:pPr>
        <w:spacing w:line="240" w:lineRule="auto"/>
        <w:rPr>
          <w:rFonts w:eastAsia="Times New Roman" w:cs="Arial"/>
          <w:color w:val="000000"/>
          <w:u w:val="single"/>
          <w:lang w:eastAsia="bg-BG"/>
        </w:rPr>
      </w:pPr>
    </w:p>
    <w:p w14:paraId="427973B1" w14:textId="269D6019"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Пациенти на хемодиализа</w:t>
      </w:r>
    </w:p>
    <w:p w14:paraId="48583048"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Анафилактоидни реакции са съобщавани при пациенти, подложени на диализа с високо- пропускливи мембрани (напр. </w:t>
      </w:r>
      <w:proofErr w:type="gramStart"/>
      <w:r w:rsidRPr="000B1F75">
        <w:rPr>
          <w:rFonts w:eastAsia="Times New Roman" w:cs="Arial"/>
          <w:color w:val="000000"/>
          <w:lang w:val="en-US"/>
        </w:rPr>
        <w:t>AN</w:t>
      </w:r>
      <w:proofErr w:type="gramEnd"/>
      <w:r w:rsidRPr="000B1F75">
        <w:rPr>
          <w:rFonts w:eastAsia="Times New Roman" w:cs="Arial"/>
          <w:color w:val="000000"/>
          <w:lang w:val="ru-RU"/>
        </w:rPr>
        <w:t xml:space="preserve"> </w:t>
      </w:r>
      <w:r w:rsidRPr="000B1F75">
        <w:rPr>
          <w:rFonts w:eastAsia="Times New Roman" w:cs="Arial"/>
          <w:color w:val="000000"/>
          <w:lang w:eastAsia="bg-BG"/>
        </w:rPr>
        <w:t xml:space="preserve">69) и лекувани едновременно с АСЕ инхибитори. При </w:t>
      </w:r>
      <w:r w:rsidRPr="000B1F75">
        <w:rPr>
          <w:rFonts w:eastAsia="Times New Roman" w:cs="Arial"/>
          <w:color w:val="000000"/>
          <w:lang w:eastAsia="bg-BG"/>
        </w:rPr>
        <w:lastRenderedPageBreak/>
        <w:t>тези пациенти трябва да се обсъди използването на друг вид диализни мембрани или друг клас антихипертензивни средства.</w:t>
      </w:r>
    </w:p>
    <w:p w14:paraId="6B0DC131" w14:textId="77777777" w:rsidR="000B1F75" w:rsidRDefault="000B1F75" w:rsidP="000B1F75">
      <w:pPr>
        <w:spacing w:line="240" w:lineRule="auto"/>
        <w:rPr>
          <w:rFonts w:eastAsia="Times New Roman" w:cs="Arial"/>
          <w:color w:val="000000"/>
          <w:u w:val="single"/>
          <w:lang w:eastAsia="bg-BG"/>
        </w:rPr>
      </w:pPr>
    </w:p>
    <w:p w14:paraId="7A4111F8" w14:textId="06439DEA"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Хипогликемия</w:t>
      </w:r>
    </w:p>
    <w:p w14:paraId="2D5B52CD"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Пациенти с диабет, лекувани с перорални антидиабетни средства или с инсулин, започващи лечение с АСЕ инхибитор, трябва внимателно да се проследяват за хипогликемия, особено през първия месец на комбинираното лечение (вж. точка 4.5).</w:t>
      </w:r>
    </w:p>
    <w:p w14:paraId="2AC79951" w14:textId="77777777" w:rsidR="000B1F75" w:rsidRDefault="000B1F75" w:rsidP="000B1F75">
      <w:pPr>
        <w:spacing w:line="240" w:lineRule="auto"/>
        <w:rPr>
          <w:rFonts w:eastAsia="Times New Roman" w:cs="Arial"/>
          <w:b/>
          <w:bCs/>
          <w:color w:val="000000"/>
          <w:u w:val="single"/>
          <w:lang w:eastAsia="bg-BG"/>
        </w:rPr>
      </w:pPr>
    </w:p>
    <w:p w14:paraId="2384581E" w14:textId="09B974EF" w:rsidR="000B1F75" w:rsidRPr="000B1F75" w:rsidRDefault="000B1F75" w:rsidP="000B1F75">
      <w:pPr>
        <w:spacing w:line="240" w:lineRule="auto"/>
        <w:rPr>
          <w:rFonts w:eastAsia="Times New Roman" w:cs="Arial"/>
        </w:rPr>
      </w:pPr>
      <w:r w:rsidRPr="000B1F75">
        <w:rPr>
          <w:rFonts w:eastAsia="Times New Roman" w:cs="Arial"/>
          <w:b/>
          <w:bCs/>
          <w:color w:val="000000"/>
          <w:u w:val="single"/>
          <w:lang w:eastAsia="bg-BG"/>
        </w:rPr>
        <w:t>Кашлица</w:t>
      </w:r>
    </w:p>
    <w:p w14:paraId="273541FA"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употреба на АСЕ инхибитори е възможна поява на кашлица. Тя обикновено е непродуктивна, персистираща и изчезва след спиране на терапията. Индуцираната от лечение с АСЕ инхибитори кашлица трябва да се има предвид при диференциалната диагноза на кашлицата.</w:t>
      </w:r>
    </w:p>
    <w:p w14:paraId="3F48D033" w14:textId="77777777" w:rsidR="000B1F75" w:rsidRDefault="000B1F75" w:rsidP="000B1F75">
      <w:pPr>
        <w:spacing w:line="240" w:lineRule="auto"/>
        <w:rPr>
          <w:rFonts w:eastAsia="Times New Roman" w:cs="Arial"/>
          <w:color w:val="000000"/>
          <w:u w:val="single"/>
          <w:lang w:eastAsia="bg-BG"/>
        </w:rPr>
      </w:pPr>
    </w:p>
    <w:p w14:paraId="4130EDCF" w14:textId="46517D82"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Хирургия/Анестезия</w:t>
      </w:r>
    </w:p>
    <w:p w14:paraId="0D1FFDD0"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пациенти, подложени на голяма хирургична интервенция или при използване на анестетици, предизвикващи хипотония, еналаприл блокира образуването на ангиотензин II, обусловено от компенсаторното освобождаване на ренин. Ако настъпи състояние на хипотония и се прецени, че се дължи на този механизъм, тя може да се коригира чрез възстановяване на обема.</w:t>
      </w:r>
    </w:p>
    <w:p w14:paraId="1C836EC4" w14:textId="77777777" w:rsidR="000B1F75" w:rsidRDefault="000B1F75" w:rsidP="000B1F75">
      <w:pPr>
        <w:spacing w:line="240" w:lineRule="auto"/>
        <w:rPr>
          <w:rFonts w:eastAsia="Times New Roman" w:cs="Arial"/>
          <w:color w:val="000000"/>
          <w:u w:val="single"/>
          <w:lang w:eastAsia="bg-BG"/>
        </w:rPr>
      </w:pPr>
    </w:p>
    <w:p w14:paraId="1F58BF59" w14:textId="6768048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Хиперкалиемия</w:t>
      </w:r>
    </w:p>
    <w:p w14:paraId="33B5C6A7" w14:textId="793D0B00" w:rsidR="000B1F75" w:rsidRDefault="000B1F75" w:rsidP="000B1F75">
      <w:pPr>
        <w:rPr>
          <w:rFonts w:eastAsia="Times New Roman" w:cs="Arial"/>
          <w:color w:val="000000"/>
          <w:lang w:eastAsia="bg-BG"/>
        </w:rPr>
      </w:pPr>
      <w:r w:rsidRPr="000B1F75">
        <w:rPr>
          <w:rFonts w:eastAsia="Times New Roman" w:cs="Arial"/>
          <w:color w:val="000000"/>
          <w:lang w:eastAsia="bg-BG"/>
        </w:rPr>
        <w:t>АСЕ инхибиторите могат да причинят хиперкалиемия, тъй като инхибират освобождаването на алдостерон. Ефектът обикновено не е значителен при пациенти с нормална бъбречна функция. Въпреки това, при пациенти с нарушена бъбречна функция и/или при пациенти, приемащи калиеви добавки (включително заместители на солта), калий-съхраняващи диуретици, триметоприм или ко-тримоксазол, известни също като триметоприм/сулфаметоксазол и особено алдостеронови антагонисти или ангиотензинрецепторни блокери, може да настъпи хиперкалиемия. Калий-съхраняващите диуретици и ангиотензинрецепторните блокери трябва да се използват с повишено внимание при пациенти, получаващи АСЕ инхибитори и трябва да се наблюдават серумният калий и бъбречната функция (вж. точка 4.5).</w:t>
      </w:r>
    </w:p>
    <w:p w14:paraId="35DBE8E0" w14:textId="5081A62D" w:rsidR="000B1F75" w:rsidRDefault="000B1F75" w:rsidP="000B1F75">
      <w:pPr>
        <w:rPr>
          <w:rFonts w:eastAsia="Times New Roman" w:cs="Arial"/>
          <w:color w:val="000000"/>
          <w:lang w:eastAsia="bg-BG"/>
        </w:rPr>
      </w:pPr>
    </w:p>
    <w:p w14:paraId="2AD6C261" w14:textId="7777777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Литий</w:t>
      </w:r>
    </w:p>
    <w:p w14:paraId="0BEBC840"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Комбинирането на литий и еналаприл по принцип не се препоръчва (вж. точка 4.5).</w:t>
      </w:r>
    </w:p>
    <w:p w14:paraId="3647A2CB" w14:textId="77777777" w:rsidR="000B1F75" w:rsidRDefault="000B1F75" w:rsidP="000B1F75">
      <w:pPr>
        <w:spacing w:line="240" w:lineRule="auto"/>
        <w:rPr>
          <w:rFonts w:eastAsia="Times New Roman" w:cs="Arial"/>
          <w:color w:val="000000"/>
          <w:u w:val="single"/>
          <w:lang w:eastAsia="bg-BG"/>
        </w:rPr>
      </w:pPr>
    </w:p>
    <w:p w14:paraId="6F6DFDE3" w14:textId="0269F77A"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Двойно блокиране на ренин-ангиотензин-алдостероновата система (РААС)</w:t>
      </w:r>
    </w:p>
    <w:p w14:paraId="69B1E7F8"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Има данни, че едновременната употреба на АСЕ инхибитори, ангиотензин </w:t>
      </w:r>
      <w:r w:rsidRPr="000B1F75">
        <w:rPr>
          <w:rFonts w:eastAsia="Times New Roman" w:cs="Arial"/>
          <w:color w:val="000000"/>
          <w:lang w:val="en-US"/>
        </w:rPr>
        <w:t>II</w:t>
      </w:r>
      <w:r w:rsidRPr="000B1F75">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0B1F75">
        <w:rPr>
          <w:rFonts w:eastAsia="Times New Roman" w:cs="Arial"/>
          <w:color w:val="000000"/>
          <w:lang w:val="en-US"/>
        </w:rPr>
        <w:t>II</w:t>
      </w:r>
      <w:r w:rsidRPr="000B1F75">
        <w:rPr>
          <w:rFonts w:eastAsia="Times New Roman" w:cs="Arial"/>
          <w:color w:val="000000"/>
          <w:lang w:eastAsia="bg-BG"/>
        </w:rPr>
        <w:t>-рецепторни блокери или алискирен (вж. точки 4.5 и 5.1).</w:t>
      </w:r>
    </w:p>
    <w:p w14:paraId="40DB553E" w14:textId="77777777" w:rsidR="000B1F75" w:rsidRDefault="000B1F75" w:rsidP="000B1F75">
      <w:pPr>
        <w:spacing w:line="240" w:lineRule="auto"/>
        <w:rPr>
          <w:rFonts w:eastAsia="Times New Roman" w:cs="Arial"/>
          <w:color w:val="000000"/>
          <w:lang w:eastAsia="bg-BG"/>
        </w:rPr>
      </w:pPr>
    </w:p>
    <w:p w14:paraId="691D14B2" w14:textId="753D0450"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Ако се прецени, че терапията с двойно блокиране е абсолютно необходима, това трябва да става само под наблюдението </w:t>
      </w:r>
      <w:r w:rsidRPr="000B1F75">
        <w:rPr>
          <w:rFonts w:eastAsia="Times New Roman" w:cs="Arial"/>
          <w:i/>
          <w:iCs/>
          <w:color w:val="000000"/>
          <w:lang w:eastAsia="bg-BG"/>
        </w:rPr>
        <w:t>на</w:t>
      </w:r>
      <w:r w:rsidRPr="000B1F75">
        <w:rPr>
          <w:rFonts w:eastAsia="Times New Roman" w:cs="Arial"/>
          <w:color w:val="000000"/>
          <w:lang w:eastAsia="bg-BG"/>
        </w:rPr>
        <w:t xml:space="preserve"> специалист и при често внимателно мониториране на бъбречната функция, електролитите и кръвното налягане.</w:t>
      </w:r>
    </w:p>
    <w:p w14:paraId="7F9FDC06" w14:textId="77777777" w:rsidR="000B1F75" w:rsidRDefault="000B1F75" w:rsidP="000B1F75">
      <w:pPr>
        <w:spacing w:line="240" w:lineRule="auto"/>
        <w:rPr>
          <w:rFonts w:eastAsia="Times New Roman" w:cs="Arial"/>
          <w:color w:val="000000"/>
          <w:lang w:eastAsia="bg-BG"/>
        </w:rPr>
      </w:pPr>
    </w:p>
    <w:p w14:paraId="1BAFD752" w14:textId="3961FFD2"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АСЕ инхибитори и ангиотензин </w:t>
      </w:r>
      <w:r w:rsidRPr="000B1F75">
        <w:rPr>
          <w:rFonts w:eastAsia="Times New Roman" w:cs="Arial"/>
          <w:color w:val="000000"/>
          <w:lang w:val="en-US"/>
        </w:rPr>
        <w:t>II</w:t>
      </w:r>
      <w:r w:rsidRPr="000B1F75">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5CDFCF7C" w14:textId="77777777" w:rsidR="000B1F75" w:rsidRDefault="000B1F75" w:rsidP="000B1F75">
      <w:pPr>
        <w:spacing w:line="240" w:lineRule="auto"/>
        <w:rPr>
          <w:rFonts w:eastAsia="Times New Roman" w:cs="Arial"/>
          <w:color w:val="000000"/>
          <w:u w:val="single"/>
          <w:lang w:eastAsia="bg-BG"/>
        </w:rPr>
      </w:pPr>
    </w:p>
    <w:p w14:paraId="43E4126C" w14:textId="32C8CFF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lastRenderedPageBreak/>
        <w:t>Педиатрична популация</w:t>
      </w:r>
    </w:p>
    <w:p w14:paraId="1FA38477"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Има ограничени данни за безопасността и ефикасността при деца с хипертония &gt; 6 години, но няма опит за другите показания. Налични са ограничени фармакокинетични данни при деца на възраст над 2 месеца (вж. точки 4.2, 5.1 и 5.2). Ренитек не се препоръчва при деца с други показания освен хипертония.</w:t>
      </w:r>
    </w:p>
    <w:p w14:paraId="3BF84AEB" w14:textId="77777777" w:rsidR="000B1F75" w:rsidRDefault="000B1F75" w:rsidP="000B1F75">
      <w:pPr>
        <w:spacing w:line="240" w:lineRule="auto"/>
        <w:rPr>
          <w:rFonts w:eastAsia="Times New Roman" w:cs="Arial"/>
          <w:color w:val="000000"/>
          <w:lang w:eastAsia="bg-BG"/>
        </w:rPr>
      </w:pPr>
    </w:p>
    <w:p w14:paraId="5F1D8ACB" w14:textId="1127B931"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Ренитек таблетки не се препоръчва при новородени и при педиатрични пациенти с ниво на гломерулната филтрация &lt;30 </w:t>
      </w:r>
      <w:r w:rsidRPr="000B1F75">
        <w:rPr>
          <w:rFonts w:eastAsia="Times New Roman" w:cs="Arial"/>
          <w:color w:val="000000"/>
          <w:lang w:val="en-US"/>
        </w:rPr>
        <w:t>ml</w:t>
      </w:r>
      <w:r w:rsidRPr="000B1F75">
        <w:rPr>
          <w:rFonts w:eastAsia="Times New Roman" w:cs="Arial"/>
          <w:color w:val="000000"/>
          <w:lang w:val="ru-RU"/>
        </w:rPr>
        <w:t>/</w:t>
      </w:r>
      <w:r w:rsidRPr="000B1F75">
        <w:rPr>
          <w:rFonts w:eastAsia="Times New Roman" w:cs="Arial"/>
          <w:color w:val="000000"/>
          <w:lang w:val="en-US"/>
        </w:rPr>
        <w:t>min</w:t>
      </w:r>
      <w:r w:rsidRPr="000B1F75">
        <w:rPr>
          <w:rFonts w:eastAsia="Times New Roman" w:cs="Arial"/>
          <w:color w:val="000000"/>
          <w:lang w:val="ru-RU"/>
        </w:rPr>
        <w:t xml:space="preserve">/1,73 </w:t>
      </w:r>
      <w:r w:rsidRPr="000B1F75">
        <w:rPr>
          <w:rFonts w:eastAsia="Times New Roman" w:cs="Arial"/>
          <w:color w:val="000000"/>
          <w:lang w:val="en-US"/>
        </w:rPr>
        <w:t>m</w:t>
      </w:r>
      <w:r w:rsidRPr="000B1F75">
        <w:rPr>
          <w:rFonts w:eastAsia="Times New Roman" w:cs="Arial"/>
          <w:color w:val="000000"/>
          <w:vertAlign w:val="superscript"/>
          <w:lang w:val="ru-RU"/>
        </w:rPr>
        <w:t>2</w:t>
      </w:r>
      <w:r w:rsidRPr="000B1F75">
        <w:rPr>
          <w:rFonts w:eastAsia="Times New Roman" w:cs="Arial"/>
          <w:color w:val="000000"/>
          <w:lang w:val="ru-RU"/>
        </w:rPr>
        <w:t xml:space="preserve">, </w:t>
      </w:r>
      <w:r w:rsidRPr="000B1F75">
        <w:rPr>
          <w:rFonts w:eastAsia="Times New Roman" w:cs="Arial"/>
          <w:color w:val="000000"/>
          <w:lang w:eastAsia="bg-BG"/>
        </w:rPr>
        <w:t>поради липса на данни при тези групи пациенти (вж. точка 4.2).</w:t>
      </w:r>
    </w:p>
    <w:p w14:paraId="363B2C18" w14:textId="77777777" w:rsidR="000B1F75" w:rsidRDefault="000B1F75" w:rsidP="000B1F75">
      <w:pPr>
        <w:spacing w:line="240" w:lineRule="auto"/>
        <w:rPr>
          <w:rFonts w:eastAsia="Times New Roman" w:cs="Arial"/>
          <w:color w:val="000000"/>
          <w:u w:val="single"/>
          <w:lang w:eastAsia="bg-BG"/>
        </w:rPr>
      </w:pPr>
    </w:p>
    <w:p w14:paraId="0B62651E" w14:textId="3F5EE31A"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Бременност</w:t>
      </w:r>
    </w:p>
    <w:p w14:paraId="58CDDB6E"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По време на бременност не трябва да се започва лечение с АСЕ инхибитори. Освен когато продължаването на лечението с АСЕ инхибитор се смята за наложително, пациентките, планиращи бременност, трябва да преминат на друго алтернативно антихипергензивно лечение, което има установен профил на безопасност по време на бременност. Когато се установи бременност, лечението с АСЕ инхибитор трябва да се преустанови незабавно и да се започне алтернативно лечение, ако е подходящо (вж. точки 4.3 и 4.6).</w:t>
      </w:r>
    </w:p>
    <w:p w14:paraId="7974D00F" w14:textId="77777777" w:rsidR="000B1F75" w:rsidRDefault="000B1F75" w:rsidP="000B1F75">
      <w:pPr>
        <w:spacing w:line="240" w:lineRule="auto"/>
        <w:rPr>
          <w:rFonts w:eastAsia="Times New Roman" w:cs="Arial"/>
          <w:color w:val="000000"/>
          <w:u w:val="single"/>
          <w:lang w:eastAsia="bg-BG"/>
        </w:rPr>
      </w:pPr>
    </w:p>
    <w:p w14:paraId="6C67F941" w14:textId="171771C8"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Етнически различия</w:t>
      </w:r>
    </w:p>
    <w:p w14:paraId="6BD21AD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Както и останалите инхибитори на ангиотензин конвертиращия ензим, еналаприл е по-слабо ефективен за понижаване на кръвното налягане при чернокожи пациенти, в сравнение с останалите пациенти, най-вероятно поради високата честота на разпространение на състояния с нисък ренин при чернокожите пациенти с хипертония.</w:t>
      </w:r>
    </w:p>
    <w:p w14:paraId="79B0951C" w14:textId="77777777" w:rsidR="000B1F75" w:rsidRDefault="000B1F75" w:rsidP="000B1F75">
      <w:pPr>
        <w:spacing w:line="240" w:lineRule="auto"/>
        <w:rPr>
          <w:rFonts w:eastAsia="Times New Roman" w:cs="Arial"/>
          <w:color w:val="000000"/>
          <w:u w:val="single"/>
          <w:lang w:eastAsia="bg-BG"/>
        </w:rPr>
      </w:pPr>
    </w:p>
    <w:p w14:paraId="765C770E" w14:textId="115EB774"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Лактоза</w:t>
      </w:r>
    </w:p>
    <w:p w14:paraId="545042E7"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Пациента с редки наследствени проблеми на непоносимост към галактоза, пълен лакгазен дефицит или глюкозо-галактозна малабсорбция не трябва да приемат този лекарствен продукт.</w:t>
      </w:r>
    </w:p>
    <w:p w14:paraId="109D9085" w14:textId="77777777" w:rsidR="000B1F75" w:rsidRDefault="000B1F75" w:rsidP="000B1F75">
      <w:pPr>
        <w:spacing w:line="240" w:lineRule="auto"/>
        <w:rPr>
          <w:rFonts w:eastAsia="Times New Roman" w:cs="Arial"/>
          <w:color w:val="000000"/>
          <w:u w:val="single"/>
          <w:lang w:eastAsia="bg-BG"/>
        </w:rPr>
      </w:pPr>
    </w:p>
    <w:p w14:paraId="26238AA3" w14:textId="06554751"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Натрий</w:t>
      </w:r>
    </w:p>
    <w:p w14:paraId="3C8A463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Този лекарствен продукт съдържа по-малко от 1 </w:t>
      </w:r>
      <w:proofErr w:type="spellStart"/>
      <w:r w:rsidRPr="000B1F75">
        <w:rPr>
          <w:rFonts w:eastAsia="Times New Roman" w:cs="Arial"/>
          <w:color w:val="000000"/>
          <w:lang w:val="en-US"/>
        </w:rPr>
        <w:t>mmol</w:t>
      </w:r>
      <w:proofErr w:type="spellEnd"/>
      <w:r w:rsidRPr="000B1F75">
        <w:rPr>
          <w:rFonts w:eastAsia="Times New Roman" w:cs="Arial"/>
          <w:color w:val="000000"/>
          <w:lang w:val="ru-RU"/>
        </w:rPr>
        <w:t xml:space="preserve"> </w:t>
      </w:r>
      <w:r w:rsidRPr="000B1F75">
        <w:rPr>
          <w:rFonts w:eastAsia="Times New Roman" w:cs="Arial"/>
          <w:color w:val="000000"/>
          <w:lang w:eastAsia="bg-BG"/>
        </w:rPr>
        <w:t xml:space="preserve">натрий (23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на таблетка, т.е. може да се каже, че практически не съдържа натрий.</w:t>
      </w:r>
    </w:p>
    <w:p w14:paraId="04F86420" w14:textId="6C741162" w:rsidR="000B1F75" w:rsidRPr="000B1F75" w:rsidRDefault="000B1F75" w:rsidP="000B1F75">
      <w:pPr>
        <w:rPr>
          <w:rFonts w:cs="Arial"/>
        </w:rPr>
      </w:pPr>
    </w:p>
    <w:p w14:paraId="20A93F9D" w14:textId="77777777" w:rsidR="000B1F75"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62F27C9B" w14:textId="3BCBDC94" w:rsidR="00DB32D3" w:rsidRDefault="002C50EE" w:rsidP="005726E3">
      <w:pPr>
        <w:pStyle w:val="Heading2"/>
      </w:pPr>
      <w:r>
        <w:t xml:space="preserve"> </w:t>
      </w:r>
    </w:p>
    <w:p w14:paraId="2FAC5BA6" w14:textId="7777777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Лекарства, повишаващи риска от ангиоедем</w:t>
      </w:r>
    </w:p>
    <w:p w14:paraId="16D9FCE6" w14:textId="22F9ACB8" w:rsidR="000B1F75" w:rsidRPr="000B1F75" w:rsidRDefault="000B1F75" w:rsidP="000B1F75">
      <w:pPr>
        <w:rPr>
          <w:rFonts w:eastAsia="Times New Roman" w:cs="Arial"/>
          <w:color w:val="000000"/>
          <w:lang w:eastAsia="bg-BG"/>
        </w:rPr>
      </w:pPr>
      <w:r w:rsidRPr="000B1F75">
        <w:rPr>
          <w:rFonts w:eastAsia="Times New Roman" w:cs="Arial"/>
          <w:color w:val="000000"/>
          <w:lang w:eastAsia="bg-BG"/>
        </w:rPr>
        <w:t>Едновременната употреба на АСЕ инхибитори и сакубитрил/валсартан е противопоказана тъй като увеличава риска от ангиоедем (вж. точки 4.3 и 4.4).</w:t>
      </w:r>
    </w:p>
    <w:p w14:paraId="5F63E0E4" w14:textId="15B777B4" w:rsidR="000B1F75" w:rsidRPr="000B1F75" w:rsidRDefault="000B1F75" w:rsidP="000B1F75">
      <w:pPr>
        <w:rPr>
          <w:rFonts w:eastAsia="Times New Roman" w:cs="Arial"/>
          <w:color w:val="000000"/>
          <w:lang w:eastAsia="bg-BG"/>
        </w:rPr>
      </w:pPr>
    </w:p>
    <w:p w14:paraId="52E6B400"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Едновременната употреба на АСЕ инхибитори и рацекадотрил, </w:t>
      </w:r>
      <w:proofErr w:type="spellStart"/>
      <w:r w:rsidRPr="000B1F75">
        <w:rPr>
          <w:rFonts w:eastAsia="Times New Roman" w:cs="Arial"/>
          <w:color w:val="000000"/>
          <w:lang w:val="en-US"/>
        </w:rPr>
        <w:t>mTOR</w:t>
      </w:r>
      <w:proofErr w:type="spellEnd"/>
      <w:r w:rsidRPr="000B1F75">
        <w:rPr>
          <w:rFonts w:eastAsia="Times New Roman" w:cs="Arial"/>
          <w:color w:val="000000"/>
          <w:lang w:val="ru-RU"/>
        </w:rPr>
        <w:t xml:space="preserve"> </w:t>
      </w:r>
      <w:r w:rsidRPr="000B1F75">
        <w:rPr>
          <w:rFonts w:eastAsia="Times New Roman" w:cs="Arial"/>
          <w:color w:val="000000"/>
          <w:lang w:eastAsia="bg-BG"/>
        </w:rPr>
        <w:t>инхибитори (напр. сиролимус, еверолимус, темсиролимус) и вилдаглиптин може да доведе до повишен риск от ангиоедем (вж. точка 4.4).</w:t>
      </w:r>
    </w:p>
    <w:p w14:paraId="6900AFEB" w14:textId="77777777" w:rsidR="000B1F75" w:rsidRDefault="000B1F75" w:rsidP="000B1F75">
      <w:pPr>
        <w:spacing w:line="240" w:lineRule="auto"/>
        <w:rPr>
          <w:rFonts w:eastAsia="Times New Roman" w:cs="Arial"/>
          <w:color w:val="000000"/>
          <w:u w:val="single"/>
          <w:lang w:eastAsia="bg-BG"/>
        </w:rPr>
      </w:pPr>
    </w:p>
    <w:p w14:paraId="779442A2" w14:textId="40466E42"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 xml:space="preserve">Двойно блокиране на ренин-ангиотензин-алдостероновата система (РААС) </w:t>
      </w:r>
      <w:r w:rsidRPr="000B1F75">
        <w:rPr>
          <w:rFonts w:eastAsia="Times New Roman" w:cs="Arial"/>
          <w:color w:val="000000"/>
          <w:lang w:eastAsia="bg-BG"/>
        </w:rPr>
        <w:t xml:space="preserve">Данни от клинични проучвания показват, че двойното блокиране на ренин-ангиотензин-алдостероновата система (РААС) чрез комбинираната </w:t>
      </w:r>
      <w:r w:rsidRPr="000B1F75">
        <w:rPr>
          <w:rFonts w:eastAsia="Times New Roman" w:cs="Arial"/>
          <w:i/>
          <w:iCs/>
          <w:color w:val="000000"/>
          <w:lang w:eastAsia="bg-BG"/>
        </w:rPr>
        <w:t xml:space="preserve">употреба на АСЕ </w:t>
      </w:r>
      <w:r w:rsidRPr="000B1F75">
        <w:rPr>
          <w:rFonts w:eastAsia="Times New Roman" w:cs="Arial"/>
          <w:color w:val="000000"/>
          <w:lang w:eastAsia="bg-BG"/>
        </w:rPr>
        <w:t xml:space="preserve">инхибитори, ангиотензин </w:t>
      </w:r>
      <w:r w:rsidRPr="000B1F75">
        <w:rPr>
          <w:rFonts w:eastAsia="Times New Roman" w:cs="Arial"/>
          <w:color w:val="000000"/>
          <w:lang w:val="en-US"/>
        </w:rPr>
        <w:t>II</w:t>
      </w:r>
      <w:r w:rsidRPr="000B1F75">
        <w:rPr>
          <w:rFonts w:eastAsia="Times New Roman" w:cs="Arial"/>
          <w:color w:val="000000"/>
          <w:lang w:eastAsia="bg-BG"/>
        </w:rPr>
        <w:t xml:space="preserve">-рецепторни блокери или алискирен се свързва с по-висока честота на </w:t>
      </w:r>
      <w:r w:rsidRPr="000B1F75">
        <w:rPr>
          <w:rFonts w:eastAsia="Times New Roman" w:cs="Arial"/>
          <w:color w:val="000000"/>
          <w:lang w:eastAsia="bg-BG"/>
        </w:rPr>
        <w:lastRenderedPageBreak/>
        <w:t>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4.3,4,4 и 5.1).</w:t>
      </w:r>
    </w:p>
    <w:p w14:paraId="23C486A9" w14:textId="77777777" w:rsidR="000B1F75" w:rsidRDefault="000B1F75" w:rsidP="000B1F75">
      <w:pPr>
        <w:spacing w:line="240" w:lineRule="auto"/>
        <w:rPr>
          <w:rFonts w:eastAsia="Times New Roman" w:cs="Arial"/>
          <w:color w:val="000000"/>
          <w:u w:val="single"/>
          <w:lang w:eastAsia="bg-BG"/>
        </w:rPr>
      </w:pPr>
    </w:p>
    <w:p w14:paraId="0DCD2A81" w14:textId="5A69B152"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Калий-съхраняваши диуретици, добавки, съдържащи калий, или други лекарства, които могат да повишат серумния калий</w:t>
      </w:r>
    </w:p>
    <w:p w14:paraId="12E44ED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Въпреки че серумният калий обикновено остава в нормални граници, при някои пациенти, лекувани с Ренитек, може да се появи хиперкалиемия. Калий-съхраняващите диуретици (напр. спиронолактон, триамтерен или амилорид), добавките, съдържащи калий или заместителите на сол, съдържащи калий може да доведат до значително повишаване на серумния калий. Също така трябва да се внимава, когато Ренитек се прилага едновременно с други средства, които повишават серумния калий, като триметоприм и ко-тримоксазол (триметоприм/сулфаметоксазол), тъй като триметопримът е известен като калий-съхраняващ диуретик като амилорид. Поради това не се препоръчва комбинирането на Ренитек с гореспоменатите лекарства. Ако едновременното приложение е показано, то трябва да се извършва с повишено внимание и трябва често да се мониторира серумния калий.</w:t>
      </w:r>
    </w:p>
    <w:p w14:paraId="44347424" w14:textId="77777777" w:rsidR="000B1F75" w:rsidRDefault="000B1F75" w:rsidP="000B1F75">
      <w:pPr>
        <w:spacing w:line="240" w:lineRule="auto"/>
        <w:rPr>
          <w:rFonts w:eastAsia="Times New Roman" w:cs="Arial"/>
          <w:color w:val="000000"/>
          <w:u w:val="single"/>
          <w:lang w:eastAsia="bg-BG"/>
        </w:rPr>
      </w:pPr>
    </w:p>
    <w:p w14:paraId="5BB13584" w14:textId="456EBC23"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Циклоспорин</w:t>
      </w:r>
    </w:p>
    <w:p w14:paraId="385EF79F"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Хиперкалиемия може да възникне </w:t>
      </w:r>
      <w:r w:rsidRPr="000B1F75">
        <w:rPr>
          <w:rFonts w:eastAsia="Times New Roman" w:cs="Arial"/>
          <w:i/>
          <w:iCs/>
          <w:color w:val="000000"/>
          <w:lang w:eastAsia="bg-BG"/>
        </w:rPr>
        <w:t>по</w:t>
      </w:r>
      <w:r w:rsidRPr="000B1F75">
        <w:rPr>
          <w:rFonts w:eastAsia="Times New Roman" w:cs="Arial"/>
          <w:color w:val="000000"/>
          <w:lang w:eastAsia="bg-BG"/>
        </w:rPr>
        <w:t xml:space="preserve"> време на едновременна </w:t>
      </w:r>
      <w:r w:rsidRPr="000B1F75">
        <w:rPr>
          <w:rFonts w:eastAsia="Times New Roman" w:cs="Arial"/>
          <w:i/>
          <w:iCs/>
          <w:color w:val="000000"/>
          <w:lang w:eastAsia="bg-BG"/>
        </w:rPr>
        <w:t xml:space="preserve">употреба на АСЕ инхибитори с </w:t>
      </w:r>
      <w:r w:rsidRPr="000B1F75">
        <w:rPr>
          <w:rFonts w:eastAsia="Times New Roman" w:cs="Arial"/>
          <w:color w:val="000000"/>
          <w:lang w:eastAsia="bg-BG"/>
        </w:rPr>
        <w:t>циклоспорин. Препоръчва се проследяване на серумния калий.</w:t>
      </w:r>
    </w:p>
    <w:p w14:paraId="765C5F9F" w14:textId="77777777" w:rsidR="000B1F75" w:rsidRDefault="000B1F75" w:rsidP="000B1F75">
      <w:pPr>
        <w:spacing w:line="240" w:lineRule="auto"/>
        <w:rPr>
          <w:rFonts w:eastAsia="Times New Roman" w:cs="Arial"/>
          <w:color w:val="000000"/>
          <w:u w:val="single"/>
          <w:lang w:eastAsia="bg-BG"/>
        </w:rPr>
      </w:pPr>
    </w:p>
    <w:p w14:paraId="2E4E7377" w14:textId="2B58525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Хепарин</w:t>
      </w:r>
    </w:p>
    <w:p w14:paraId="12B07ADE"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Хиперкалиемия може да възникне по време на едновременна употреба на АСЕ инхибитори с хепарин. Препоръчва се проследяване на серумния калий.</w:t>
      </w:r>
    </w:p>
    <w:p w14:paraId="6EFE8560" w14:textId="77777777" w:rsidR="000B1F75" w:rsidRDefault="000B1F75" w:rsidP="000B1F75">
      <w:pPr>
        <w:spacing w:line="240" w:lineRule="auto"/>
        <w:rPr>
          <w:rFonts w:eastAsia="Times New Roman" w:cs="Arial"/>
          <w:color w:val="000000"/>
          <w:u w:val="single"/>
          <w:lang w:eastAsia="bg-BG"/>
        </w:rPr>
      </w:pPr>
    </w:p>
    <w:p w14:paraId="176659F0" w14:textId="50CD4C8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Диуретици (тиазиди или бримкови диуретици)</w:t>
      </w:r>
    </w:p>
    <w:p w14:paraId="4C950402"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Предшестващо лечение с високи дози диуретици може да доведе до обемен дефицит и риск от хипотония при започване на лечение с еналаприл (вж. точка 4.4). Хипотоничните ефекти могат да бъдат намалени чрез преустановяване на лечението с диуретици, чрез повишаване на обема или прием на сол, или чрез започване на лечение с ниска доза еналаприл.</w:t>
      </w:r>
    </w:p>
    <w:p w14:paraId="4D465A64" w14:textId="77777777" w:rsidR="000B1F75" w:rsidRDefault="000B1F75" w:rsidP="000B1F75">
      <w:pPr>
        <w:spacing w:line="240" w:lineRule="auto"/>
        <w:rPr>
          <w:rFonts w:eastAsia="Times New Roman" w:cs="Arial"/>
          <w:color w:val="000000"/>
          <w:u w:val="single"/>
          <w:lang w:eastAsia="bg-BG"/>
        </w:rPr>
      </w:pPr>
    </w:p>
    <w:p w14:paraId="0BC7A6EF" w14:textId="354FB102"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Други антихипертензивни средства</w:t>
      </w:r>
    </w:p>
    <w:p w14:paraId="055BC903"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Едновременната употреба на тези средства може да увеличи хипотоничните ефекти на еналаприл. Едновременната употреба с нитроглицерин и други нитрати или други вазодилататори може допълнително да намали кръвното налягане.</w:t>
      </w:r>
    </w:p>
    <w:p w14:paraId="573B5B75" w14:textId="77777777" w:rsidR="000B1F75" w:rsidRDefault="000B1F75" w:rsidP="000B1F75">
      <w:pPr>
        <w:spacing w:line="240" w:lineRule="auto"/>
        <w:rPr>
          <w:rFonts w:eastAsia="Times New Roman" w:cs="Arial"/>
          <w:color w:val="000000"/>
          <w:u w:val="single"/>
          <w:lang w:eastAsia="bg-BG"/>
        </w:rPr>
      </w:pPr>
    </w:p>
    <w:p w14:paraId="2D3B35AF" w14:textId="1F067ECE"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Литий</w:t>
      </w:r>
    </w:p>
    <w:p w14:paraId="538739E3"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едновременното прилагане на литий с АСЕ инхибитори са съобщени обратими повишения на серумните концентрации на литий и токсичност. Едновременната употреба с тиазидни диуретици може допълнително да повиши нивата на литий и да увеличи риска от литиева токсичност с АСЕ инхибитори. Употребата на еналаприл с литий не се препоръчв, но ако комбинацията се окаже необходима, трябва да се извърши внимателно мониториране на серумните литиеви нива (вж. точка 4.4).</w:t>
      </w:r>
      <w:bookmarkStart w:id="2" w:name="bookmark0"/>
      <w:bookmarkEnd w:id="2"/>
    </w:p>
    <w:p w14:paraId="05C4A5F7" w14:textId="77777777" w:rsidR="000B1F75" w:rsidRPr="000B1F75" w:rsidRDefault="000B1F75" w:rsidP="000B1F75">
      <w:pPr>
        <w:spacing w:line="240" w:lineRule="auto"/>
        <w:rPr>
          <w:rFonts w:eastAsia="Times New Roman" w:cs="Arial"/>
        </w:rPr>
      </w:pPr>
    </w:p>
    <w:p w14:paraId="3A77E4F2" w14:textId="1B30814E" w:rsidR="000B1F75" w:rsidRDefault="000B1F75" w:rsidP="000B1F75">
      <w:pPr>
        <w:rPr>
          <w:rFonts w:eastAsia="Times New Roman" w:cs="Arial"/>
          <w:color w:val="000000"/>
          <w:u w:val="single"/>
          <w:lang w:eastAsia="bg-BG"/>
        </w:rPr>
      </w:pPr>
      <w:r w:rsidRPr="000B1F75">
        <w:rPr>
          <w:rFonts w:eastAsia="Times New Roman" w:cs="Arial"/>
          <w:color w:val="000000"/>
          <w:u w:val="single"/>
          <w:lang w:eastAsia="bg-BG"/>
        </w:rPr>
        <w:t>Трициклични антидепресанти/Антипсихотицн/Анестетици/Наркотични средства</w:t>
      </w:r>
    </w:p>
    <w:p w14:paraId="67946B1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Едновременната употреба на определени анестетици, трициклични антидепресанти и антипсихотици с АСЕ инхибитори може да доведе до по-нататъшно намаляване на кръвното налягане (вж. точка 4.4)</w:t>
      </w:r>
    </w:p>
    <w:p w14:paraId="3FF0DE85" w14:textId="77777777" w:rsidR="000B1F75" w:rsidRDefault="000B1F75" w:rsidP="000B1F75">
      <w:pPr>
        <w:spacing w:line="240" w:lineRule="auto"/>
        <w:rPr>
          <w:rFonts w:eastAsia="Times New Roman" w:cs="Arial"/>
          <w:color w:val="000000"/>
          <w:u w:val="single"/>
          <w:lang w:eastAsia="bg-BG"/>
        </w:rPr>
      </w:pPr>
    </w:p>
    <w:p w14:paraId="43DCDA7F" w14:textId="5A350AE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lastRenderedPageBreak/>
        <w:t>Нестероидни противовъзпалителни средства (НСПВС). включително селективни инхибитори на циклооксигеназа 2 (СОХ-2)</w:t>
      </w:r>
    </w:p>
    <w:p w14:paraId="0AB71A20"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Нестероидните противовъзпалителни средства (НСПВС), включително селективните инхибитори на циклооксигеназа 2 (СОХ-2 инхибитори) може да понижат ефекта на диуретиците и други антихипертензивни средства. Следователно антихипертензивния ефект на ангиотензин II рецепторни антагонисти или АСЕ инхибитори може да бъде намален от НСПВС, включително селективните инхибитори на циклооксигеназа 2.</w:t>
      </w:r>
    </w:p>
    <w:p w14:paraId="7C653512" w14:textId="77777777" w:rsidR="000B1F75" w:rsidRDefault="000B1F75" w:rsidP="000B1F75">
      <w:pPr>
        <w:spacing w:line="240" w:lineRule="auto"/>
        <w:rPr>
          <w:rFonts w:eastAsia="Times New Roman" w:cs="Arial"/>
          <w:color w:val="000000"/>
          <w:lang w:eastAsia="bg-BG"/>
        </w:rPr>
      </w:pPr>
    </w:p>
    <w:p w14:paraId="2D71E4E4" w14:textId="1695658B" w:rsidR="000B1F75" w:rsidRPr="000B1F75" w:rsidRDefault="000B1F75" w:rsidP="000B1F75">
      <w:pPr>
        <w:spacing w:line="240" w:lineRule="auto"/>
        <w:rPr>
          <w:rFonts w:eastAsia="Times New Roman" w:cs="Arial"/>
        </w:rPr>
      </w:pPr>
      <w:r w:rsidRPr="000B1F75">
        <w:rPr>
          <w:rFonts w:eastAsia="Times New Roman" w:cs="Arial"/>
          <w:color w:val="000000"/>
          <w:lang w:eastAsia="bg-BG"/>
        </w:rPr>
        <w:t>Едновременното приложение на НСПВС (включително СОХ-2 инхибитори) и ангиотензин II рецепторни антагонисти или АСЕ инхибитори проявява адитивен ефект върху повишаването на серумния калий и може да доведе до влошаване на бъбречната функция. Тези ефекти обикновено са обратими. Рядко може да се появи остра бъбречна недостатъчност, особено при пациенти с увредена бъбречна функция (като например пациенти в старческа възраст или пациенти с обемен дефицит, включително тези на диуретична терапия). Пациентите трябва да бъдат адекватно хидратирани и трябва да се обмисли мониториране на бъбречната функция след започване на едновременното лечение и периодично след това.</w:t>
      </w:r>
    </w:p>
    <w:p w14:paraId="34D79B37" w14:textId="77777777" w:rsidR="000B1F75" w:rsidRDefault="000B1F75" w:rsidP="000B1F75">
      <w:pPr>
        <w:spacing w:line="240" w:lineRule="auto"/>
        <w:rPr>
          <w:rFonts w:eastAsia="Times New Roman" w:cs="Arial"/>
          <w:color w:val="000000"/>
          <w:u w:val="single"/>
          <w:lang w:eastAsia="bg-BG"/>
        </w:rPr>
      </w:pPr>
    </w:p>
    <w:p w14:paraId="0566B933" w14:textId="51B200DA"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Злато</w:t>
      </w:r>
    </w:p>
    <w:p w14:paraId="50DBA01C"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Нитритоидни реакции (симптоми включващи зачервяване на лицето, гадене, повръщане и ниско кръвно налягане) са съобщавани рядко </w:t>
      </w:r>
      <w:r w:rsidRPr="000B1F75">
        <w:rPr>
          <w:rFonts w:eastAsia="Times New Roman" w:cs="Arial"/>
          <w:i/>
          <w:iCs/>
          <w:color w:val="000000"/>
          <w:lang w:eastAsia="bg-BG"/>
        </w:rPr>
        <w:t>при</w:t>
      </w:r>
      <w:r w:rsidRPr="000B1F75">
        <w:rPr>
          <w:rFonts w:eastAsia="Times New Roman" w:cs="Arial"/>
          <w:color w:val="000000"/>
          <w:lang w:eastAsia="bg-BG"/>
        </w:rPr>
        <w:t xml:space="preserve"> пациенти на лечение с инжекционна форма, съдържаща злато </w:t>
      </w:r>
      <w:r w:rsidRPr="000B1F75">
        <w:rPr>
          <w:rFonts w:eastAsia="Times New Roman" w:cs="Arial"/>
          <w:color w:val="000000"/>
          <w:lang w:val="ru-RU"/>
        </w:rPr>
        <w:t>(</w:t>
      </w:r>
      <w:r w:rsidRPr="000B1F75">
        <w:rPr>
          <w:rFonts w:eastAsia="Times New Roman" w:cs="Arial"/>
          <w:color w:val="000000"/>
          <w:lang w:val="en-US"/>
        </w:rPr>
        <w:t>sodium</w:t>
      </w:r>
      <w:r w:rsidRPr="000B1F75">
        <w:rPr>
          <w:rFonts w:eastAsia="Times New Roman" w:cs="Arial"/>
          <w:color w:val="000000"/>
          <w:lang w:val="ru-RU"/>
        </w:rPr>
        <w:t xml:space="preserve"> </w:t>
      </w:r>
      <w:proofErr w:type="spellStart"/>
      <w:r w:rsidRPr="000B1F75">
        <w:rPr>
          <w:rFonts w:eastAsia="Times New Roman" w:cs="Arial"/>
          <w:color w:val="000000"/>
          <w:lang w:val="en-US"/>
        </w:rPr>
        <w:t>aurothiomalate</w:t>
      </w:r>
      <w:proofErr w:type="spellEnd"/>
      <w:r w:rsidRPr="000B1F75">
        <w:rPr>
          <w:rFonts w:eastAsia="Times New Roman" w:cs="Arial"/>
          <w:color w:val="000000"/>
          <w:lang w:val="ru-RU"/>
        </w:rPr>
        <w:t xml:space="preserve">) </w:t>
      </w:r>
      <w:r w:rsidRPr="000B1F75">
        <w:rPr>
          <w:rFonts w:eastAsia="Times New Roman" w:cs="Arial"/>
          <w:color w:val="000000"/>
          <w:lang w:eastAsia="bg-BG"/>
        </w:rPr>
        <w:t>и едновременно лечение с АСЕ инхибитори, включително еналаприл.</w:t>
      </w:r>
    </w:p>
    <w:p w14:paraId="60651593" w14:textId="77777777" w:rsidR="000B1F75" w:rsidRDefault="000B1F75" w:rsidP="000B1F75">
      <w:pPr>
        <w:spacing w:line="240" w:lineRule="auto"/>
        <w:rPr>
          <w:rFonts w:eastAsia="Times New Roman" w:cs="Arial"/>
          <w:color w:val="000000"/>
          <w:u w:val="single"/>
          <w:lang w:eastAsia="bg-BG"/>
        </w:rPr>
      </w:pPr>
    </w:p>
    <w:p w14:paraId="149A300F" w14:textId="4E6A55A9"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Симпатикомиметици</w:t>
      </w:r>
    </w:p>
    <w:p w14:paraId="7A3279C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Симпатикомиметиците могат да намалят антихипертензивния ефект на АСЕ инхибиторите.</w:t>
      </w:r>
    </w:p>
    <w:p w14:paraId="22678F45" w14:textId="77777777" w:rsidR="000B1F75" w:rsidRDefault="000B1F75" w:rsidP="000B1F75">
      <w:pPr>
        <w:spacing w:line="240" w:lineRule="auto"/>
        <w:rPr>
          <w:rFonts w:eastAsia="Times New Roman" w:cs="Arial"/>
          <w:color w:val="000000"/>
          <w:u w:val="single"/>
          <w:lang w:eastAsia="bg-BG"/>
        </w:rPr>
      </w:pPr>
    </w:p>
    <w:p w14:paraId="7D76A852" w14:textId="20F998C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Антидиабетни</w:t>
      </w:r>
    </w:p>
    <w:p w14:paraId="4C245AAF"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Епидемиологични проучвания предполагат, че едновременното приложение на АСЕ инхибитори и антидиабетни лекарствени продукти (инсулин, перорални антидиабетни средства) може да усили ефекта на намаляване на кръвната захар с риск от хипогликемия. Този феномен може по-вероятно да настъпи през първите седмици от комбинираното лечение и при пациенти с бъбречно увреждане (вж. точки 4.4 и 4.8).</w:t>
      </w:r>
    </w:p>
    <w:p w14:paraId="0AA183D9" w14:textId="77777777" w:rsidR="000B1F75" w:rsidRDefault="000B1F75" w:rsidP="000B1F75">
      <w:pPr>
        <w:spacing w:line="240" w:lineRule="auto"/>
        <w:rPr>
          <w:rFonts w:eastAsia="Times New Roman" w:cs="Arial"/>
          <w:color w:val="000000"/>
          <w:u w:val="single"/>
          <w:lang w:eastAsia="bg-BG"/>
        </w:rPr>
      </w:pPr>
    </w:p>
    <w:p w14:paraId="29B7C005" w14:textId="79F016A4"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Алкохол</w:t>
      </w:r>
    </w:p>
    <w:p w14:paraId="094E4E7F"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Алкохолът повишава хипотензивния ефект на АСЕ инхибиторите.</w:t>
      </w:r>
    </w:p>
    <w:p w14:paraId="04629B1E" w14:textId="77777777" w:rsidR="000B1F75" w:rsidRDefault="000B1F75" w:rsidP="000B1F75">
      <w:pPr>
        <w:spacing w:line="240" w:lineRule="auto"/>
        <w:rPr>
          <w:rFonts w:eastAsia="Times New Roman" w:cs="Arial"/>
          <w:color w:val="000000"/>
          <w:u w:val="single"/>
          <w:lang w:eastAsia="bg-BG"/>
        </w:rPr>
      </w:pPr>
    </w:p>
    <w:p w14:paraId="1C2606FA" w14:textId="714BCF74"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Ацетилсалицилова киселина, тромболитици и β-блокери</w:t>
      </w:r>
    </w:p>
    <w:p w14:paraId="79E65811"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Едновременното прилагане на еналаприл с ацетилсалицилова киселина (в кардиологични дози), тромболитици и β-блокери е безопасно.</w:t>
      </w:r>
    </w:p>
    <w:p w14:paraId="5F53A08C" w14:textId="77777777" w:rsidR="000B1F75" w:rsidRDefault="000B1F75" w:rsidP="000B1F75">
      <w:pPr>
        <w:spacing w:line="240" w:lineRule="auto"/>
        <w:rPr>
          <w:rFonts w:eastAsia="Times New Roman" w:cs="Arial"/>
          <w:color w:val="000000"/>
          <w:u w:val="single"/>
          <w:lang w:eastAsia="bg-BG"/>
        </w:rPr>
      </w:pPr>
    </w:p>
    <w:p w14:paraId="14CD8DAC" w14:textId="55E578AE"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Педиатрична популация</w:t>
      </w:r>
    </w:p>
    <w:p w14:paraId="2EDD5318" w14:textId="3B413710" w:rsidR="000B1F75" w:rsidRDefault="000B1F75" w:rsidP="000B1F75">
      <w:pPr>
        <w:rPr>
          <w:rFonts w:eastAsia="Times New Roman" w:cs="Arial"/>
          <w:color w:val="000000"/>
          <w:lang w:eastAsia="bg-BG"/>
        </w:rPr>
      </w:pPr>
      <w:r w:rsidRPr="000B1F75">
        <w:rPr>
          <w:rFonts w:eastAsia="Times New Roman" w:cs="Arial"/>
          <w:color w:val="000000"/>
          <w:lang w:eastAsia="bg-BG"/>
        </w:rPr>
        <w:t>Проучвания за взаимодействията са провеждани само при възрастни.</w:t>
      </w:r>
    </w:p>
    <w:p w14:paraId="4FEA4597" w14:textId="77777777" w:rsidR="000B1F75" w:rsidRPr="000B1F75" w:rsidRDefault="000B1F75" w:rsidP="000B1F75">
      <w:pPr>
        <w:rPr>
          <w:rFonts w:cs="Arial"/>
        </w:rPr>
      </w:pPr>
    </w:p>
    <w:p w14:paraId="006BE4EC" w14:textId="264305EF" w:rsidR="00DB32D3" w:rsidRDefault="002C50EE" w:rsidP="005726E3">
      <w:pPr>
        <w:pStyle w:val="Heading2"/>
      </w:pPr>
      <w:r>
        <w:t>4.6. Фертилитет, бременност и кърмене</w:t>
      </w:r>
    </w:p>
    <w:p w14:paraId="74476AF4" w14:textId="72DEF744" w:rsidR="000B1F75" w:rsidRDefault="000B1F75" w:rsidP="000B1F75"/>
    <w:p w14:paraId="4092517F" w14:textId="77777777" w:rsidR="000B1F75" w:rsidRPr="000B1F75" w:rsidRDefault="000B1F75" w:rsidP="000B1F75">
      <w:pPr>
        <w:pStyle w:val="Heading3"/>
        <w:rPr>
          <w:rFonts w:eastAsia="Times New Roman"/>
          <w:u w:val="single"/>
        </w:rPr>
      </w:pPr>
      <w:r w:rsidRPr="000B1F75">
        <w:rPr>
          <w:rFonts w:eastAsia="Times New Roman"/>
          <w:u w:val="single"/>
          <w:lang w:eastAsia="bg-BG"/>
        </w:rPr>
        <w:t>Бременност</w:t>
      </w:r>
    </w:p>
    <w:p w14:paraId="6EC0E9CE" w14:textId="566EBA6D" w:rsidR="000B1F75" w:rsidRPr="000B1F75" w:rsidRDefault="000B1F75" w:rsidP="000B1F75">
      <w:pPr>
        <w:rPr>
          <w:rFonts w:eastAsia="Times New Roman" w:cs="Arial"/>
          <w:color w:val="000000"/>
          <w:lang w:eastAsia="bg-BG"/>
        </w:rPr>
      </w:pPr>
      <w:r w:rsidRPr="000B1F75">
        <w:rPr>
          <w:rFonts w:eastAsia="Times New Roman" w:cs="Arial"/>
          <w:color w:val="000000"/>
          <w:lang w:eastAsia="bg-BG"/>
        </w:rPr>
        <w:t>АСЕ инхибитори:</w:t>
      </w:r>
    </w:p>
    <w:p w14:paraId="783D2A62"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lastRenderedPageBreak/>
        <w:t>Не се препоръчва употребата на АСЕ инхибитори по време на първия триместьр на бременността (вж. точка 4.4). Употребата на АСЕ инхибитори по време на втория и третия триместьр на бременността е противопоказана (вж. точки 4.3 и 4.4).</w:t>
      </w:r>
    </w:p>
    <w:p w14:paraId="0BFDB165" w14:textId="77777777" w:rsidR="000B1F75" w:rsidRDefault="000B1F75" w:rsidP="000B1F75">
      <w:pPr>
        <w:spacing w:line="240" w:lineRule="auto"/>
        <w:rPr>
          <w:rFonts w:eastAsia="Times New Roman" w:cs="Arial"/>
          <w:color w:val="000000"/>
          <w:lang w:eastAsia="bg-BG"/>
        </w:rPr>
      </w:pPr>
    </w:p>
    <w:p w14:paraId="5D8FE19E" w14:textId="6F618A25" w:rsidR="000B1F75" w:rsidRPr="000B1F75" w:rsidRDefault="000B1F75" w:rsidP="000B1F75">
      <w:pPr>
        <w:spacing w:line="240" w:lineRule="auto"/>
        <w:rPr>
          <w:rFonts w:eastAsia="Times New Roman" w:cs="Arial"/>
        </w:rPr>
      </w:pPr>
      <w:r w:rsidRPr="000B1F75">
        <w:rPr>
          <w:rFonts w:eastAsia="Times New Roman" w:cs="Arial"/>
          <w:color w:val="000000"/>
          <w:lang w:eastAsia="bg-BG"/>
        </w:rPr>
        <w:t>Епидемиологичните данни относно тератогенния риск, вследствие приложение на АСЕ инхибитори по време на първия триместьр на бременността не са убедителни; обаче не може да бъде изключено малко повишение на риска. Освен когато продължаването на започнатото лечение с АСЕ инхибитор се смята за наложително, при пациентките, планиращи бременност, е необходимо да се смени антихипертензивната терапия с алтернативна, с установен профил на безопасност по време на бременност.</w:t>
      </w:r>
    </w:p>
    <w:p w14:paraId="5A1342D4" w14:textId="77777777" w:rsidR="000B1F75" w:rsidRDefault="000B1F75" w:rsidP="000B1F75">
      <w:pPr>
        <w:spacing w:line="240" w:lineRule="auto"/>
        <w:rPr>
          <w:rFonts w:eastAsia="Times New Roman" w:cs="Arial"/>
          <w:color w:val="000000"/>
          <w:lang w:eastAsia="bg-BG"/>
        </w:rPr>
      </w:pPr>
    </w:p>
    <w:p w14:paraId="73CF5984" w14:textId="1E8B1E39" w:rsidR="000B1F75" w:rsidRPr="000B1F75" w:rsidRDefault="000B1F75" w:rsidP="000B1F75">
      <w:pPr>
        <w:spacing w:line="240" w:lineRule="auto"/>
        <w:rPr>
          <w:rFonts w:eastAsia="Times New Roman" w:cs="Arial"/>
        </w:rPr>
      </w:pPr>
      <w:r w:rsidRPr="000B1F75">
        <w:rPr>
          <w:rFonts w:eastAsia="Times New Roman" w:cs="Arial"/>
          <w:color w:val="000000"/>
          <w:lang w:eastAsia="bg-BG"/>
        </w:rPr>
        <w:t>Когато се установи бременност, лечението с АСЕ инхибитори трябва да се преустанови незабавно и да се започне алтернативно лечение, ако е подходящо.</w:t>
      </w:r>
    </w:p>
    <w:p w14:paraId="69A9C015" w14:textId="77777777" w:rsidR="000B1F75" w:rsidRDefault="000B1F75" w:rsidP="000B1F75">
      <w:pPr>
        <w:spacing w:line="240" w:lineRule="auto"/>
        <w:rPr>
          <w:rFonts w:eastAsia="Times New Roman" w:cs="Arial"/>
          <w:color w:val="000000"/>
          <w:lang w:eastAsia="bg-BG"/>
        </w:rPr>
      </w:pPr>
    </w:p>
    <w:p w14:paraId="74AA051A" w14:textId="01F9DD41" w:rsidR="000B1F75" w:rsidRPr="000B1F75" w:rsidRDefault="000B1F75" w:rsidP="000B1F75">
      <w:pPr>
        <w:spacing w:line="240" w:lineRule="auto"/>
        <w:rPr>
          <w:rFonts w:eastAsia="Times New Roman" w:cs="Arial"/>
          <w:color w:val="000000"/>
          <w:lang w:eastAsia="bg-BG"/>
        </w:rPr>
      </w:pPr>
      <w:r w:rsidRPr="000B1F75">
        <w:rPr>
          <w:rFonts w:eastAsia="Times New Roman" w:cs="Arial"/>
          <w:color w:val="000000"/>
          <w:lang w:eastAsia="bg-BG"/>
        </w:rPr>
        <w:t>Известно е, че лечението с АСЕ инхибитори по време на втория и третия триместьр на бременността предизвиква фетотоксичност при хора (намалена бъбречна функция, олигохидрамнион, забавяне на осификацията на черепа) и неонатална токсичност (бъбречна недостатъчност, хипотония, хиперкалиемия) (вж. точка 5.3). Олигохидрамнион при майката, вероятно представляващ намалена ембрионална бъбречна функция се появява и може да доведе до контрактура на крайниците, черепно-лицеви деформации и хипоплазия на белия дроб,</w:t>
      </w:r>
    </w:p>
    <w:p w14:paraId="3992A2DE" w14:textId="77777777" w:rsidR="000B1F75" w:rsidRPr="000B1F75" w:rsidRDefault="000B1F75" w:rsidP="000B1F75">
      <w:pPr>
        <w:spacing w:line="240" w:lineRule="auto"/>
        <w:rPr>
          <w:rFonts w:eastAsia="Times New Roman" w:cs="Arial"/>
        </w:rPr>
      </w:pPr>
    </w:p>
    <w:p w14:paraId="497EF231"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Ако има експозиция на АСЕ инхибитори от втория триместър на бременността, е препоръчително ултразвуково изследване на бъбречната функция и черепа.</w:t>
      </w:r>
    </w:p>
    <w:p w14:paraId="5AA4D230" w14:textId="77777777" w:rsidR="000B1F75" w:rsidRDefault="000B1F75" w:rsidP="000B1F75">
      <w:pPr>
        <w:spacing w:line="240" w:lineRule="auto"/>
        <w:rPr>
          <w:rFonts w:eastAsia="Times New Roman" w:cs="Arial"/>
          <w:color w:val="000000"/>
          <w:lang w:eastAsia="bg-BG"/>
        </w:rPr>
      </w:pPr>
    </w:p>
    <w:p w14:paraId="261E2FF3" w14:textId="303ACBAF" w:rsidR="000B1F75" w:rsidRPr="000B1F75" w:rsidRDefault="000B1F75" w:rsidP="000B1F75">
      <w:pPr>
        <w:spacing w:line="240" w:lineRule="auto"/>
        <w:rPr>
          <w:rFonts w:eastAsia="Times New Roman" w:cs="Arial"/>
        </w:rPr>
      </w:pPr>
      <w:r w:rsidRPr="000B1F75">
        <w:rPr>
          <w:rFonts w:eastAsia="Times New Roman" w:cs="Arial"/>
          <w:color w:val="000000"/>
          <w:lang w:eastAsia="bg-BG"/>
        </w:rPr>
        <w:t>Новородени, чииго майки са приемали АСЕ инхибитори, трябва стриктно да бъдат проследявани за появата на хипотония (вж. точки 4.3 и 4.4).</w:t>
      </w:r>
    </w:p>
    <w:p w14:paraId="74D8C66D" w14:textId="77777777" w:rsidR="000B1F75" w:rsidRDefault="000B1F75" w:rsidP="000B1F75">
      <w:pPr>
        <w:spacing w:line="240" w:lineRule="auto"/>
        <w:rPr>
          <w:rFonts w:eastAsia="Times New Roman" w:cs="Arial"/>
          <w:color w:val="000000"/>
          <w:u w:val="single"/>
          <w:lang w:eastAsia="bg-BG"/>
        </w:rPr>
      </w:pPr>
    </w:p>
    <w:p w14:paraId="6F223133" w14:textId="00205E92" w:rsidR="000B1F75" w:rsidRPr="000B1F75" w:rsidRDefault="000B1F75" w:rsidP="000B1F75">
      <w:pPr>
        <w:pStyle w:val="Heading3"/>
        <w:rPr>
          <w:rFonts w:eastAsia="Times New Roman"/>
          <w:u w:val="single"/>
        </w:rPr>
      </w:pPr>
      <w:r w:rsidRPr="000B1F75">
        <w:rPr>
          <w:rFonts w:eastAsia="Times New Roman"/>
          <w:u w:val="single"/>
          <w:lang w:eastAsia="bg-BG"/>
        </w:rPr>
        <w:t>Кърмене</w:t>
      </w:r>
    </w:p>
    <w:p w14:paraId="70F2C8C7" w14:textId="0DC66D03" w:rsidR="000B1F75" w:rsidRPr="000B1F75" w:rsidRDefault="000B1F75" w:rsidP="000B1F75">
      <w:pPr>
        <w:rPr>
          <w:rFonts w:cs="Arial"/>
        </w:rPr>
      </w:pPr>
      <w:r w:rsidRPr="000B1F75">
        <w:rPr>
          <w:rFonts w:eastAsia="Times New Roman" w:cs="Arial"/>
          <w:color w:val="000000"/>
          <w:lang w:eastAsia="bg-BG"/>
        </w:rPr>
        <w:t>Ограничени фармакокинетични данни показват много ниски концентрации в кърмата (вж. точка 5.2). Макар и тези концентрации да изглеждат клинично незначими, употребата на Ренитек не се препоръчва по време на кърмене при преждевременно родени и през първите няколко седмици след раждането, поради потенциален риск от сърдечно-съдови и бъбречни ефекти и поради недостатъчен клиничен опит. При по-големи кърмачета употребата на Ренитек при кърмещи майки може да се обмисли, ако това лечение е наложително за майката и ако детето се наблюдава внимателно за появата на нежелани ефекти.</w:t>
      </w:r>
    </w:p>
    <w:p w14:paraId="128BA3A8" w14:textId="697C9775" w:rsidR="00DB32D3" w:rsidRDefault="002C50EE" w:rsidP="005726E3">
      <w:pPr>
        <w:pStyle w:val="Heading2"/>
      </w:pPr>
      <w:r>
        <w:t>4.7. Ефекти върху способността за шофиране и работа с машини</w:t>
      </w:r>
    </w:p>
    <w:p w14:paraId="6BCB4908" w14:textId="70BD9677" w:rsidR="000B1F75" w:rsidRDefault="000B1F75" w:rsidP="000B1F75"/>
    <w:p w14:paraId="1857C93A" w14:textId="77777777" w:rsidR="000B1F75" w:rsidRPr="000B1F75" w:rsidRDefault="000B1F75" w:rsidP="000B1F75">
      <w:pPr>
        <w:rPr>
          <w:sz w:val="24"/>
          <w:szCs w:val="24"/>
        </w:rPr>
      </w:pPr>
      <w:r w:rsidRPr="000B1F75">
        <w:rPr>
          <w:lang w:eastAsia="bg-BG"/>
        </w:rPr>
        <w:t>При шофиране или работа с машини трябва да се има предвид, че понякога може да се появи замайване или обща отпадналост.</w:t>
      </w:r>
    </w:p>
    <w:p w14:paraId="34423610" w14:textId="77777777" w:rsidR="000B1F75" w:rsidRPr="000B1F75" w:rsidRDefault="000B1F75" w:rsidP="000B1F75"/>
    <w:p w14:paraId="44CE30A3" w14:textId="7ACF68F2" w:rsidR="007122AD" w:rsidRDefault="002C50EE" w:rsidP="00936AD0">
      <w:pPr>
        <w:pStyle w:val="Heading2"/>
      </w:pPr>
      <w:r>
        <w:t>4.8. Нежелани лекарствени реакции</w:t>
      </w:r>
    </w:p>
    <w:p w14:paraId="01F9F292" w14:textId="6CDB78D1" w:rsidR="000B1F75" w:rsidRDefault="000B1F75" w:rsidP="000B1F75"/>
    <w:p w14:paraId="379783D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Съобщавани са следните нежелани лекарствени реакции за еналаприл при клинични </w:t>
      </w:r>
      <w:r w:rsidRPr="000B1F75">
        <w:rPr>
          <w:rFonts w:eastAsia="Times New Roman" w:cs="Arial"/>
          <w:i/>
          <w:iCs/>
          <w:color w:val="000000"/>
          <w:lang w:eastAsia="bg-BG"/>
        </w:rPr>
        <w:t>проучвания</w:t>
      </w:r>
      <w:r w:rsidRPr="000B1F75">
        <w:rPr>
          <w:rFonts w:eastAsia="Times New Roman" w:cs="Arial"/>
          <w:color w:val="000000"/>
          <w:lang w:eastAsia="bg-BG"/>
        </w:rPr>
        <w:t xml:space="preserve"> и постмаркетингов опит:</w:t>
      </w:r>
    </w:p>
    <w:p w14:paraId="3AB6E975" w14:textId="4AA97133" w:rsidR="000B1F75" w:rsidRPr="000B1F75" w:rsidRDefault="000B1F75" w:rsidP="000B1F75">
      <w:pPr>
        <w:rPr>
          <w:rFonts w:cs="Arial"/>
        </w:rPr>
      </w:pPr>
    </w:p>
    <w:p w14:paraId="61687DCD" w14:textId="3D40E61C" w:rsidR="000B1F75" w:rsidRDefault="000B1F75" w:rsidP="000B1F75">
      <w:pPr>
        <w:rPr>
          <w:rFonts w:cs="Arial"/>
          <w:b/>
          <w:bCs/>
        </w:rPr>
      </w:pPr>
      <w:r w:rsidRPr="000B1F75">
        <w:rPr>
          <w:rFonts w:cs="Arial"/>
          <w:b/>
          <w:bCs/>
        </w:rPr>
        <w:t>Таблица 3. Нежелани лекарствени реакции на Реннтек</w:t>
      </w:r>
    </w:p>
    <w:tbl>
      <w:tblPr>
        <w:tblStyle w:val="TableGrid"/>
        <w:tblW w:w="0" w:type="auto"/>
        <w:tblLook w:val="04A0" w:firstRow="1" w:lastRow="0" w:firstColumn="1" w:lastColumn="0" w:noHBand="0" w:noVBand="1"/>
      </w:tblPr>
      <w:tblGrid>
        <w:gridCol w:w="1499"/>
        <w:gridCol w:w="1065"/>
        <w:gridCol w:w="1349"/>
        <w:gridCol w:w="1318"/>
        <w:gridCol w:w="1425"/>
        <w:gridCol w:w="1212"/>
        <w:gridCol w:w="1482"/>
      </w:tblGrid>
      <w:tr w:rsidR="000B1F75" w14:paraId="451AB104" w14:textId="77777777" w:rsidTr="000B1F75">
        <w:tc>
          <w:tcPr>
            <w:tcW w:w="1534" w:type="dxa"/>
          </w:tcPr>
          <w:p w14:paraId="3A8E5F19" w14:textId="4D993D8C" w:rsidR="000B1F75" w:rsidRPr="000B1F75" w:rsidRDefault="000B1F75" w:rsidP="000B1F75">
            <w:pPr>
              <w:rPr>
                <w:rFonts w:cs="Arial"/>
              </w:rPr>
            </w:pPr>
            <w:r w:rsidRPr="000B1F75">
              <w:rPr>
                <w:rFonts w:cs="Arial"/>
                <w:b/>
                <w:bCs/>
              </w:rPr>
              <w:lastRenderedPageBreak/>
              <w:t>Системо- органен клас</w:t>
            </w:r>
          </w:p>
        </w:tc>
        <w:tc>
          <w:tcPr>
            <w:tcW w:w="1090" w:type="dxa"/>
          </w:tcPr>
          <w:p w14:paraId="0ADAFAEE" w14:textId="77777777" w:rsidR="000B1F75" w:rsidRPr="000B1F75" w:rsidRDefault="000B1F75" w:rsidP="000B1F75">
            <w:pPr>
              <w:rPr>
                <w:rFonts w:cs="Arial"/>
              </w:rPr>
            </w:pPr>
            <w:r w:rsidRPr="000B1F75">
              <w:rPr>
                <w:rFonts w:cs="Arial"/>
                <w:b/>
                <w:bCs/>
              </w:rPr>
              <w:t>Много чести</w:t>
            </w:r>
          </w:p>
          <w:p w14:paraId="02E32225" w14:textId="0DD9327D" w:rsidR="000B1F75" w:rsidRPr="000B1F75" w:rsidRDefault="000B1F75" w:rsidP="000B1F75">
            <w:pPr>
              <w:rPr>
                <w:rFonts w:cs="Arial"/>
              </w:rPr>
            </w:pPr>
            <w:r w:rsidRPr="000B1F75">
              <w:rPr>
                <w:rFonts w:cs="Arial"/>
                <w:b/>
                <w:bCs/>
              </w:rPr>
              <w:t>(≥1/10)</w:t>
            </w:r>
          </w:p>
        </w:tc>
        <w:tc>
          <w:tcPr>
            <w:tcW w:w="1382" w:type="dxa"/>
          </w:tcPr>
          <w:p w14:paraId="5EA193AC" w14:textId="60729776" w:rsidR="000B1F75" w:rsidRPr="000B1F75" w:rsidRDefault="000B1F75" w:rsidP="000B1F75">
            <w:pPr>
              <w:rPr>
                <w:rFonts w:cs="Arial"/>
              </w:rPr>
            </w:pPr>
            <w:r w:rsidRPr="000B1F75">
              <w:rPr>
                <w:rFonts w:cs="Arial"/>
                <w:b/>
                <w:bCs/>
              </w:rPr>
              <w:t>Чести (≥1/100 до &lt;1/10)</w:t>
            </w:r>
          </w:p>
        </w:tc>
        <w:tc>
          <w:tcPr>
            <w:tcW w:w="1350" w:type="dxa"/>
          </w:tcPr>
          <w:p w14:paraId="27297099" w14:textId="77777777" w:rsidR="000B1F75" w:rsidRPr="000B1F75" w:rsidRDefault="000B1F75" w:rsidP="000B1F75">
            <w:pPr>
              <w:rPr>
                <w:rFonts w:cs="Arial"/>
              </w:rPr>
            </w:pPr>
            <w:r w:rsidRPr="000B1F75">
              <w:rPr>
                <w:rFonts w:cs="Arial"/>
                <w:b/>
                <w:bCs/>
              </w:rPr>
              <w:t>Нечести (≥1/1 000 до</w:t>
            </w:r>
          </w:p>
          <w:p w14:paraId="77AB0A18" w14:textId="7BD1522E" w:rsidR="000B1F75" w:rsidRPr="000B1F75" w:rsidRDefault="000B1F75" w:rsidP="000B1F75">
            <w:pPr>
              <w:rPr>
                <w:rFonts w:cs="Arial"/>
              </w:rPr>
            </w:pPr>
            <w:r w:rsidRPr="000B1F75">
              <w:rPr>
                <w:rFonts w:cs="Arial"/>
                <w:b/>
                <w:bCs/>
              </w:rPr>
              <w:t>&lt;1/100)</w:t>
            </w:r>
          </w:p>
        </w:tc>
        <w:tc>
          <w:tcPr>
            <w:tcW w:w="1460" w:type="dxa"/>
          </w:tcPr>
          <w:p w14:paraId="77AF3F0A" w14:textId="284A9C2F" w:rsidR="000B1F75" w:rsidRPr="000B1F75" w:rsidRDefault="000B1F75" w:rsidP="000B1F75">
            <w:pPr>
              <w:rPr>
                <w:rFonts w:cs="Arial"/>
              </w:rPr>
            </w:pPr>
            <w:r w:rsidRPr="000B1F75">
              <w:rPr>
                <w:rFonts w:cs="Arial"/>
                <w:b/>
                <w:bCs/>
              </w:rPr>
              <w:t>Редки (≥1/10 000 до &lt;1/1 000)</w:t>
            </w:r>
          </w:p>
        </w:tc>
        <w:tc>
          <w:tcPr>
            <w:tcW w:w="1241" w:type="dxa"/>
          </w:tcPr>
          <w:p w14:paraId="19125A72" w14:textId="51567916" w:rsidR="000B1F75" w:rsidRPr="000B1F75" w:rsidRDefault="000B1F75" w:rsidP="000B1F75">
            <w:pPr>
              <w:rPr>
                <w:rFonts w:cs="Arial"/>
              </w:rPr>
            </w:pPr>
            <w:r w:rsidRPr="000B1F75">
              <w:rPr>
                <w:rFonts w:cs="Arial"/>
                <w:b/>
                <w:bCs/>
              </w:rPr>
              <w:t>Много редки (&lt;1/10 000)</w:t>
            </w:r>
          </w:p>
        </w:tc>
        <w:tc>
          <w:tcPr>
            <w:tcW w:w="1519" w:type="dxa"/>
            <w:vAlign w:val="bottom"/>
          </w:tcPr>
          <w:p w14:paraId="70248BF9" w14:textId="7D701BCD" w:rsidR="000B1F75" w:rsidRPr="000B1F75" w:rsidRDefault="000B1F75" w:rsidP="000B1F75">
            <w:pPr>
              <w:rPr>
                <w:rFonts w:cs="Arial"/>
              </w:rPr>
            </w:pPr>
            <w:r w:rsidRPr="000B1F75">
              <w:rPr>
                <w:rFonts w:cs="Arial"/>
                <w:i/>
                <w:iCs/>
              </w:rPr>
              <w:t>С</w:t>
            </w:r>
            <w:r w:rsidRPr="000B1F75">
              <w:rPr>
                <w:rFonts w:cs="Arial"/>
                <w:b/>
                <w:bCs/>
              </w:rPr>
              <w:t xml:space="preserve"> неизвестна честота (от наличните данни не може да бъде направена оценка)</w:t>
            </w:r>
          </w:p>
        </w:tc>
      </w:tr>
      <w:tr w:rsidR="000B1F75" w14:paraId="5C36E37B" w14:textId="77777777" w:rsidTr="000B1F75">
        <w:tc>
          <w:tcPr>
            <w:tcW w:w="1534" w:type="dxa"/>
          </w:tcPr>
          <w:p w14:paraId="2C05AD1D" w14:textId="50E78D5E" w:rsidR="000B1F75" w:rsidRPr="000B1F75" w:rsidRDefault="000B1F75" w:rsidP="000B1F75">
            <w:pPr>
              <w:rPr>
                <w:rFonts w:cs="Arial"/>
              </w:rPr>
            </w:pPr>
            <w:r w:rsidRPr="000B1F75">
              <w:rPr>
                <w:rFonts w:cs="Arial"/>
                <w:i/>
                <w:iCs/>
              </w:rPr>
              <w:t>Нарушения на кръвта а лимфната система</w:t>
            </w:r>
          </w:p>
        </w:tc>
        <w:tc>
          <w:tcPr>
            <w:tcW w:w="1090" w:type="dxa"/>
          </w:tcPr>
          <w:p w14:paraId="70CEF006" w14:textId="77777777" w:rsidR="000B1F75" w:rsidRPr="000B1F75" w:rsidRDefault="000B1F75" w:rsidP="000B1F75">
            <w:pPr>
              <w:rPr>
                <w:rFonts w:cs="Arial"/>
              </w:rPr>
            </w:pPr>
          </w:p>
        </w:tc>
        <w:tc>
          <w:tcPr>
            <w:tcW w:w="1382" w:type="dxa"/>
          </w:tcPr>
          <w:p w14:paraId="4DDB02C0" w14:textId="77777777" w:rsidR="000B1F75" w:rsidRPr="000B1F75" w:rsidRDefault="000B1F75" w:rsidP="000B1F75">
            <w:pPr>
              <w:rPr>
                <w:rFonts w:cs="Arial"/>
              </w:rPr>
            </w:pPr>
          </w:p>
        </w:tc>
        <w:tc>
          <w:tcPr>
            <w:tcW w:w="1350" w:type="dxa"/>
          </w:tcPr>
          <w:p w14:paraId="6605613B" w14:textId="5E273FC4" w:rsidR="000B1F75" w:rsidRPr="000B1F75" w:rsidRDefault="000B1F75" w:rsidP="000B1F75">
            <w:pPr>
              <w:rPr>
                <w:rFonts w:cs="Arial"/>
              </w:rPr>
            </w:pPr>
            <w:r w:rsidRPr="000B1F75">
              <w:rPr>
                <w:rFonts w:cs="Arial"/>
              </w:rPr>
              <w:t>Анемия (включително апластична и хемолитична)</w:t>
            </w:r>
          </w:p>
        </w:tc>
        <w:tc>
          <w:tcPr>
            <w:tcW w:w="1460" w:type="dxa"/>
            <w:vAlign w:val="bottom"/>
          </w:tcPr>
          <w:p w14:paraId="776FFA55" w14:textId="22C61C45" w:rsidR="000B1F75" w:rsidRPr="000B1F75" w:rsidRDefault="000B1F75" w:rsidP="000B1F75">
            <w:pPr>
              <w:rPr>
                <w:rFonts w:cs="Arial"/>
              </w:rPr>
            </w:pPr>
            <w:r w:rsidRPr="000B1F75">
              <w:rPr>
                <w:rFonts w:cs="Arial"/>
              </w:rPr>
              <w:t>Неутропения, намален хемоглобин, намален хематокрит, тромбоцитопе ния, агранулоцитоз а, костномозъчно потискане, панцитопения, лимфаденопат ия, автоимунни заболявания</w:t>
            </w:r>
          </w:p>
        </w:tc>
        <w:tc>
          <w:tcPr>
            <w:tcW w:w="1241" w:type="dxa"/>
          </w:tcPr>
          <w:p w14:paraId="1DE39048" w14:textId="77777777" w:rsidR="000B1F75" w:rsidRPr="000B1F75" w:rsidRDefault="000B1F75" w:rsidP="000B1F75">
            <w:pPr>
              <w:rPr>
                <w:rFonts w:cs="Arial"/>
              </w:rPr>
            </w:pPr>
          </w:p>
        </w:tc>
        <w:tc>
          <w:tcPr>
            <w:tcW w:w="1519" w:type="dxa"/>
          </w:tcPr>
          <w:p w14:paraId="3E22E84F" w14:textId="77777777" w:rsidR="000B1F75" w:rsidRPr="000B1F75" w:rsidRDefault="000B1F75" w:rsidP="000B1F75">
            <w:pPr>
              <w:rPr>
                <w:rFonts w:cs="Arial"/>
              </w:rPr>
            </w:pPr>
          </w:p>
        </w:tc>
      </w:tr>
      <w:tr w:rsidR="000B1F75" w14:paraId="2E534606" w14:textId="77777777" w:rsidTr="000B1F75">
        <w:tc>
          <w:tcPr>
            <w:tcW w:w="1534" w:type="dxa"/>
          </w:tcPr>
          <w:p w14:paraId="40C1DC25" w14:textId="25374348" w:rsidR="000B1F75" w:rsidRPr="000B1F75" w:rsidRDefault="000B1F75" w:rsidP="000B1F75">
            <w:pPr>
              <w:rPr>
                <w:rFonts w:cs="Arial"/>
              </w:rPr>
            </w:pPr>
            <w:r w:rsidRPr="000B1F75">
              <w:rPr>
                <w:rFonts w:cs="Arial"/>
                <w:i/>
                <w:iCs/>
              </w:rPr>
              <w:t>Нарушения на ендокринната система</w:t>
            </w:r>
          </w:p>
        </w:tc>
        <w:tc>
          <w:tcPr>
            <w:tcW w:w="1090" w:type="dxa"/>
          </w:tcPr>
          <w:p w14:paraId="682757F2" w14:textId="77777777" w:rsidR="000B1F75" w:rsidRPr="000B1F75" w:rsidRDefault="000B1F75" w:rsidP="000B1F75">
            <w:pPr>
              <w:rPr>
                <w:rFonts w:cs="Arial"/>
              </w:rPr>
            </w:pPr>
          </w:p>
        </w:tc>
        <w:tc>
          <w:tcPr>
            <w:tcW w:w="1382" w:type="dxa"/>
          </w:tcPr>
          <w:p w14:paraId="4865DD51" w14:textId="77777777" w:rsidR="000B1F75" w:rsidRPr="000B1F75" w:rsidRDefault="000B1F75" w:rsidP="000B1F75">
            <w:pPr>
              <w:rPr>
                <w:rFonts w:cs="Arial"/>
              </w:rPr>
            </w:pPr>
          </w:p>
        </w:tc>
        <w:tc>
          <w:tcPr>
            <w:tcW w:w="1350" w:type="dxa"/>
          </w:tcPr>
          <w:p w14:paraId="06E856AE" w14:textId="77777777" w:rsidR="000B1F75" w:rsidRPr="000B1F75" w:rsidRDefault="000B1F75" w:rsidP="000B1F75">
            <w:pPr>
              <w:rPr>
                <w:rFonts w:cs="Arial"/>
              </w:rPr>
            </w:pPr>
          </w:p>
        </w:tc>
        <w:tc>
          <w:tcPr>
            <w:tcW w:w="1460" w:type="dxa"/>
          </w:tcPr>
          <w:p w14:paraId="1A51F40E" w14:textId="77777777" w:rsidR="000B1F75" w:rsidRPr="000B1F75" w:rsidRDefault="000B1F75" w:rsidP="000B1F75">
            <w:pPr>
              <w:rPr>
                <w:rFonts w:cs="Arial"/>
              </w:rPr>
            </w:pPr>
          </w:p>
        </w:tc>
        <w:tc>
          <w:tcPr>
            <w:tcW w:w="1241" w:type="dxa"/>
          </w:tcPr>
          <w:p w14:paraId="550C8252" w14:textId="77777777" w:rsidR="000B1F75" w:rsidRPr="000B1F75" w:rsidRDefault="000B1F75" w:rsidP="000B1F75">
            <w:pPr>
              <w:rPr>
                <w:rFonts w:cs="Arial"/>
              </w:rPr>
            </w:pPr>
          </w:p>
        </w:tc>
        <w:tc>
          <w:tcPr>
            <w:tcW w:w="1519" w:type="dxa"/>
            <w:vAlign w:val="bottom"/>
          </w:tcPr>
          <w:p w14:paraId="5BF05755" w14:textId="541CEE2E" w:rsidR="000B1F75" w:rsidRPr="000B1F75" w:rsidRDefault="000B1F75" w:rsidP="000B1F75">
            <w:pPr>
              <w:rPr>
                <w:rFonts w:cs="Arial"/>
              </w:rPr>
            </w:pPr>
            <w:r w:rsidRPr="000B1F75">
              <w:rPr>
                <w:rFonts w:cs="Arial"/>
              </w:rPr>
              <w:t xml:space="preserve">Синдром на несъответна секреция на антидиуретичен хормон </w:t>
            </w:r>
            <w:r w:rsidRPr="000B1F75">
              <w:rPr>
                <w:rFonts w:cs="Arial"/>
                <w:lang w:val="ru-RU"/>
              </w:rPr>
              <w:t>(</w:t>
            </w:r>
            <w:r w:rsidRPr="000B1F75">
              <w:rPr>
                <w:rFonts w:cs="Arial"/>
                <w:lang w:val="en-US"/>
              </w:rPr>
              <w:t>SIADH</w:t>
            </w:r>
            <w:r w:rsidRPr="000B1F75">
              <w:rPr>
                <w:rFonts w:cs="Arial"/>
                <w:lang w:val="ru-RU"/>
              </w:rPr>
              <w:t>)</w:t>
            </w:r>
          </w:p>
        </w:tc>
      </w:tr>
      <w:tr w:rsidR="000B1F75" w14:paraId="1D9F9ABC" w14:textId="77777777" w:rsidTr="000B1F75">
        <w:tc>
          <w:tcPr>
            <w:tcW w:w="1534" w:type="dxa"/>
            <w:vAlign w:val="bottom"/>
          </w:tcPr>
          <w:p w14:paraId="4BB22E78" w14:textId="74EA506C" w:rsidR="000B1F75" w:rsidRPr="000B1F75" w:rsidRDefault="000B1F75" w:rsidP="000B1F75">
            <w:pPr>
              <w:rPr>
                <w:rFonts w:cs="Arial"/>
              </w:rPr>
            </w:pPr>
            <w:r w:rsidRPr="000B1F75">
              <w:rPr>
                <w:rFonts w:cs="Arial"/>
                <w:i/>
                <w:iCs/>
              </w:rPr>
              <w:t>Нарушения на метаболизма и храненето</w:t>
            </w:r>
          </w:p>
        </w:tc>
        <w:tc>
          <w:tcPr>
            <w:tcW w:w="1090" w:type="dxa"/>
          </w:tcPr>
          <w:p w14:paraId="0DAD86B7" w14:textId="77777777" w:rsidR="000B1F75" w:rsidRPr="000B1F75" w:rsidRDefault="000B1F75" w:rsidP="000B1F75">
            <w:pPr>
              <w:rPr>
                <w:rFonts w:cs="Arial"/>
              </w:rPr>
            </w:pPr>
          </w:p>
        </w:tc>
        <w:tc>
          <w:tcPr>
            <w:tcW w:w="1382" w:type="dxa"/>
          </w:tcPr>
          <w:p w14:paraId="5515DB25" w14:textId="77777777" w:rsidR="000B1F75" w:rsidRPr="000B1F75" w:rsidRDefault="000B1F75" w:rsidP="000B1F75">
            <w:pPr>
              <w:rPr>
                <w:rFonts w:cs="Arial"/>
              </w:rPr>
            </w:pPr>
          </w:p>
        </w:tc>
        <w:tc>
          <w:tcPr>
            <w:tcW w:w="1350" w:type="dxa"/>
            <w:vAlign w:val="bottom"/>
          </w:tcPr>
          <w:p w14:paraId="5C1C26C9" w14:textId="77777777" w:rsidR="000B1F75" w:rsidRPr="000B1F75" w:rsidRDefault="000B1F75" w:rsidP="000B1F75">
            <w:pPr>
              <w:rPr>
                <w:rFonts w:cs="Arial"/>
              </w:rPr>
            </w:pPr>
            <w:r w:rsidRPr="000B1F75">
              <w:rPr>
                <w:rFonts w:cs="Arial"/>
              </w:rPr>
              <w:t>Хипогликеми я (вж.</w:t>
            </w:r>
          </w:p>
          <w:p w14:paraId="4284EAEA" w14:textId="3F08C80F" w:rsidR="000B1F75" w:rsidRPr="000B1F75" w:rsidRDefault="000B1F75" w:rsidP="000B1F75">
            <w:pPr>
              <w:rPr>
                <w:rFonts w:cs="Arial"/>
              </w:rPr>
            </w:pPr>
            <w:r w:rsidRPr="000B1F75">
              <w:rPr>
                <w:rFonts w:cs="Arial"/>
              </w:rPr>
              <w:t>точка 4.4)</w:t>
            </w:r>
          </w:p>
        </w:tc>
        <w:tc>
          <w:tcPr>
            <w:tcW w:w="1460" w:type="dxa"/>
          </w:tcPr>
          <w:p w14:paraId="0034EFFF" w14:textId="77777777" w:rsidR="000B1F75" w:rsidRPr="000B1F75" w:rsidRDefault="000B1F75" w:rsidP="000B1F75">
            <w:pPr>
              <w:rPr>
                <w:rFonts w:cs="Arial"/>
              </w:rPr>
            </w:pPr>
          </w:p>
        </w:tc>
        <w:tc>
          <w:tcPr>
            <w:tcW w:w="1241" w:type="dxa"/>
          </w:tcPr>
          <w:p w14:paraId="09E7CD13" w14:textId="77777777" w:rsidR="000B1F75" w:rsidRPr="000B1F75" w:rsidRDefault="000B1F75" w:rsidP="000B1F75">
            <w:pPr>
              <w:rPr>
                <w:rFonts w:cs="Arial"/>
              </w:rPr>
            </w:pPr>
          </w:p>
        </w:tc>
        <w:tc>
          <w:tcPr>
            <w:tcW w:w="1519" w:type="dxa"/>
          </w:tcPr>
          <w:p w14:paraId="1CB317AA" w14:textId="77777777" w:rsidR="000B1F75" w:rsidRPr="000B1F75" w:rsidRDefault="000B1F75" w:rsidP="000B1F75">
            <w:pPr>
              <w:rPr>
                <w:rFonts w:cs="Arial"/>
              </w:rPr>
            </w:pPr>
          </w:p>
        </w:tc>
      </w:tr>
      <w:tr w:rsidR="000B1F75" w14:paraId="2327930D" w14:textId="77777777" w:rsidTr="000B1F75">
        <w:tc>
          <w:tcPr>
            <w:tcW w:w="1534" w:type="dxa"/>
          </w:tcPr>
          <w:p w14:paraId="0EFFDB8E" w14:textId="4EEFB586" w:rsidR="000B1F75" w:rsidRPr="000B1F75" w:rsidRDefault="000B1F75" w:rsidP="000B1F75">
            <w:pPr>
              <w:rPr>
                <w:rFonts w:cs="Arial"/>
              </w:rPr>
            </w:pPr>
            <w:r w:rsidRPr="000B1F75">
              <w:rPr>
                <w:rFonts w:cs="Arial"/>
                <w:i/>
                <w:iCs/>
              </w:rPr>
              <w:t>Психични нарушения</w:t>
            </w:r>
          </w:p>
        </w:tc>
        <w:tc>
          <w:tcPr>
            <w:tcW w:w="1090" w:type="dxa"/>
          </w:tcPr>
          <w:p w14:paraId="089689BA" w14:textId="77777777" w:rsidR="000B1F75" w:rsidRPr="000B1F75" w:rsidRDefault="000B1F75" w:rsidP="000B1F75">
            <w:pPr>
              <w:rPr>
                <w:rFonts w:cs="Arial"/>
              </w:rPr>
            </w:pPr>
          </w:p>
        </w:tc>
        <w:tc>
          <w:tcPr>
            <w:tcW w:w="1382" w:type="dxa"/>
          </w:tcPr>
          <w:p w14:paraId="122E6A12" w14:textId="5D13B9DB" w:rsidR="000B1F75" w:rsidRPr="000B1F75" w:rsidRDefault="000B1F75" w:rsidP="000B1F75">
            <w:pPr>
              <w:rPr>
                <w:rFonts w:cs="Arial"/>
              </w:rPr>
            </w:pPr>
            <w:r w:rsidRPr="000B1F75">
              <w:rPr>
                <w:rFonts w:cs="Arial"/>
              </w:rPr>
              <w:t>Депресия</w:t>
            </w:r>
          </w:p>
        </w:tc>
        <w:tc>
          <w:tcPr>
            <w:tcW w:w="1350" w:type="dxa"/>
            <w:vAlign w:val="center"/>
          </w:tcPr>
          <w:p w14:paraId="19A7E6EE" w14:textId="58CE0124" w:rsidR="000B1F75" w:rsidRPr="000B1F75" w:rsidRDefault="000B1F75" w:rsidP="000B1F75">
            <w:pPr>
              <w:rPr>
                <w:rFonts w:cs="Arial"/>
              </w:rPr>
            </w:pPr>
            <w:r w:rsidRPr="000B1F75">
              <w:rPr>
                <w:rFonts w:cs="Arial"/>
              </w:rPr>
              <w:t xml:space="preserve">Объркване, </w:t>
            </w:r>
            <w:r w:rsidRPr="000B1F75">
              <w:rPr>
                <w:rFonts w:cs="Arial"/>
              </w:rPr>
              <w:lastRenderedPageBreak/>
              <w:t>нервност, безсъние</w:t>
            </w:r>
          </w:p>
        </w:tc>
        <w:tc>
          <w:tcPr>
            <w:tcW w:w="1460" w:type="dxa"/>
            <w:vAlign w:val="bottom"/>
          </w:tcPr>
          <w:p w14:paraId="59530500" w14:textId="720EA235" w:rsidR="000B1F75" w:rsidRPr="000B1F75" w:rsidRDefault="000B1F75" w:rsidP="000B1F75">
            <w:pPr>
              <w:rPr>
                <w:rFonts w:cs="Arial"/>
              </w:rPr>
            </w:pPr>
            <w:r w:rsidRPr="000B1F75">
              <w:rPr>
                <w:rFonts w:cs="Arial"/>
              </w:rPr>
              <w:lastRenderedPageBreak/>
              <w:t xml:space="preserve">Необичайни сънища, </w:t>
            </w:r>
            <w:r w:rsidRPr="000B1F75">
              <w:rPr>
                <w:rFonts w:cs="Arial"/>
              </w:rPr>
              <w:lastRenderedPageBreak/>
              <w:t>нарушения на съня</w:t>
            </w:r>
          </w:p>
        </w:tc>
        <w:tc>
          <w:tcPr>
            <w:tcW w:w="1241" w:type="dxa"/>
          </w:tcPr>
          <w:p w14:paraId="60F3AC99" w14:textId="77777777" w:rsidR="000B1F75" w:rsidRPr="000B1F75" w:rsidRDefault="000B1F75" w:rsidP="000B1F75">
            <w:pPr>
              <w:rPr>
                <w:rFonts w:cs="Arial"/>
              </w:rPr>
            </w:pPr>
          </w:p>
        </w:tc>
        <w:tc>
          <w:tcPr>
            <w:tcW w:w="1519" w:type="dxa"/>
          </w:tcPr>
          <w:p w14:paraId="7F3158C6" w14:textId="77777777" w:rsidR="000B1F75" w:rsidRPr="000B1F75" w:rsidRDefault="000B1F75" w:rsidP="000B1F75">
            <w:pPr>
              <w:rPr>
                <w:rFonts w:cs="Arial"/>
              </w:rPr>
            </w:pPr>
          </w:p>
        </w:tc>
      </w:tr>
      <w:tr w:rsidR="000B1F75" w14:paraId="429AB0D3" w14:textId="77777777" w:rsidTr="000B1F75">
        <w:tc>
          <w:tcPr>
            <w:tcW w:w="1534" w:type="dxa"/>
            <w:vAlign w:val="bottom"/>
          </w:tcPr>
          <w:p w14:paraId="40411B96" w14:textId="3671CD2E" w:rsidR="000B1F75" w:rsidRPr="000B1F75" w:rsidRDefault="000B1F75" w:rsidP="000B1F75">
            <w:pPr>
              <w:rPr>
                <w:rFonts w:cs="Arial"/>
              </w:rPr>
            </w:pPr>
            <w:r w:rsidRPr="000B1F75">
              <w:rPr>
                <w:rFonts w:cs="Arial"/>
                <w:i/>
                <w:iCs/>
              </w:rPr>
              <w:t>Нарушения на нервната система</w:t>
            </w:r>
          </w:p>
        </w:tc>
        <w:tc>
          <w:tcPr>
            <w:tcW w:w="1090" w:type="dxa"/>
            <w:vAlign w:val="center"/>
          </w:tcPr>
          <w:p w14:paraId="1CCC165F" w14:textId="32B26C15" w:rsidR="000B1F75" w:rsidRPr="000B1F75" w:rsidRDefault="000B1F75" w:rsidP="000B1F75">
            <w:pPr>
              <w:rPr>
                <w:rFonts w:cs="Arial"/>
              </w:rPr>
            </w:pPr>
            <w:r>
              <w:rPr>
                <w:rFonts w:cs="Arial"/>
              </w:rPr>
              <w:t>Замайван</w:t>
            </w:r>
            <w:r w:rsidRPr="000B1F75">
              <w:rPr>
                <w:rFonts w:cs="Arial"/>
              </w:rPr>
              <w:t>е</w:t>
            </w:r>
          </w:p>
        </w:tc>
        <w:tc>
          <w:tcPr>
            <w:tcW w:w="1382" w:type="dxa"/>
            <w:vAlign w:val="bottom"/>
          </w:tcPr>
          <w:p w14:paraId="5C82FBEC" w14:textId="1606EFF7" w:rsidR="000B1F75" w:rsidRPr="000B1F75" w:rsidRDefault="000B1F75" w:rsidP="000B1F75">
            <w:pPr>
              <w:rPr>
                <w:rFonts w:cs="Arial"/>
              </w:rPr>
            </w:pPr>
            <w:r w:rsidRPr="000B1F75">
              <w:rPr>
                <w:rFonts w:cs="Arial"/>
              </w:rPr>
              <w:t>Главоболие, синкоп, променен вкус</w:t>
            </w:r>
          </w:p>
        </w:tc>
        <w:tc>
          <w:tcPr>
            <w:tcW w:w="1350" w:type="dxa"/>
            <w:vAlign w:val="bottom"/>
          </w:tcPr>
          <w:p w14:paraId="28077C87" w14:textId="2330A555" w:rsidR="000B1F75" w:rsidRPr="000B1F75" w:rsidRDefault="000B1F75" w:rsidP="000B1F75">
            <w:pPr>
              <w:rPr>
                <w:rFonts w:cs="Arial"/>
              </w:rPr>
            </w:pPr>
            <w:r w:rsidRPr="000B1F75">
              <w:rPr>
                <w:rFonts w:cs="Arial"/>
              </w:rPr>
              <w:t>Сънливост, парестезии, вертиго</w:t>
            </w:r>
          </w:p>
        </w:tc>
        <w:tc>
          <w:tcPr>
            <w:tcW w:w="1460" w:type="dxa"/>
          </w:tcPr>
          <w:p w14:paraId="4241212F" w14:textId="77777777" w:rsidR="000B1F75" w:rsidRPr="000B1F75" w:rsidRDefault="000B1F75" w:rsidP="000B1F75">
            <w:pPr>
              <w:rPr>
                <w:rFonts w:cs="Arial"/>
              </w:rPr>
            </w:pPr>
          </w:p>
        </w:tc>
        <w:tc>
          <w:tcPr>
            <w:tcW w:w="1241" w:type="dxa"/>
          </w:tcPr>
          <w:p w14:paraId="57A2CF41" w14:textId="77777777" w:rsidR="000B1F75" w:rsidRPr="000B1F75" w:rsidRDefault="000B1F75" w:rsidP="000B1F75">
            <w:pPr>
              <w:rPr>
                <w:rFonts w:cs="Arial"/>
              </w:rPr>
            </w:pPr>
          </w:p>
        </w:tc>
        <w:tc>
          <w:tcPr>
            <w:tcW w:w="1519" w:type="dxa"/>
          </w:tcPr>
          <w:p w14:paraId="1BF5DFE2" w14:textId="77777777" w:rsidR="000B1F75" w:rsidRPr="000B1F75" w:rsidRDefault="000B1F75" w:rsidP="000B1F75">
            <w:pPr>
              <w:rPr>
                <w:rFonts w:cs="Arial"/>
              </w:rPr>
            </w:pPr>
          </w:p>
        </w:tc>
      </w:tr>
      <w:tr w:rsidR="000B1F75" w14:paraId="32E17F49" w14:textId="77777777" w:rsidTr="000B1F75">
        <w:tc>
          <w:tcPr>
            <w:tcW w:w="1534" w:type="dxa"/>
            <w:vAlign w:val="center"/>
          </w:tcPr>
          <w:p w14:paraId="437E72AF" w14:textId="1C43761D" w:rsidR="000B1F75" w:rsidRPr="000B1F75" w:rsidRDefault="000B1F75" w:rsidP="000B1F75">
            <w:pPr>
              <w:rPr>
                <w:rFonts w:cs="Arial"/>
              </w:rPr>
            </w:pPr>
            <w:r w:rsidRPr="000B1F75">
              <w:rPr>
                <w:rFonts w:cs="Arial"/>
                <w:i/>
                <w:iCs/>
              </w:rPr>
              <w:t>Нарушения на очите</w:t>
            </w:r>
          </w:p>
        </w:tc>
        <w:tc>
          <w:tcPr>
            <w:tcW w:w="1090" w:type="dxa"/>
            <w:vAlign w:val="bottom"/>
          </w:tcPr>
          <w:p w14:paraId="650269DB" w14:textId="6316EDE8" w:rsidR="000B1F75" w:rsidRPr="000B1F75" w:rsidRDefault="000B1F75" w:rsidP="000B1F75">
            <w:pPr>
              <w:rPr>
                <w:rFonts w:cs="Arial"/>
              </w:rPr>
            </w:pPr>
            <w:r w:rsidRPr="000B1F75">
              <w:rPr>
                <w:rFonts w:cs="Arial"/>
              </w:rPr>
              <w:t>Замъглено виждане</w:t>
            </w:r>
          </w:p>
        </w:tc>
        <w:tc>
          <w:tcPr>
            <w:tcW w:w="1382" w:type="dxa"/>
          </w:tcPr>
          <w:p w14:paraId="28A3DEEF" w14:textId="77777777" w:rsidR="000B1F75" w:rsidRPr="000B1F75" w:rsidRDefault="000B1F75" w:rsidP="000B1F75">
            <w:pPr>
              <w:rPr>
                <w:rFonts w:cs="Arial"/>
              </w:rPr>
            </w:pPr>
          </w:p>
        </w:tc>
        <w:tc>
          <w:tcPr>
            <w:tcW w:w="1350" w:type="dxa"/>
          </w:tcPr>
          <w:p w14:paraId="31AC51A3" w14:textId="77777777" w:rsidR="000B1F75" w:rsidRPr="000B1F75" w:rsidRDefault="000B1F75" w:rsidP="000B1F75">
            <w:pPr>
              <w:rPr>
                <w:rFonts w:cs="Arial"/>
              </w:rPr>
            </w:pPr>
          </w:p>
        </w:tc>
        <w:tc>
          <w:tcPr>
            <w:tcW w:w="1460" w:type="dxa"/>
          </w:tcPr>
          <w:p w14:paraId="3AC4B9C0" w14:textId="77777777" w:rsidR="000B1F75" w:rsidRPr="000B1F75" w:rsidRDefault="000B1F75" w:rsidP="000B1F75">
            <w:pPr>
              <w:rPr>
                <w:rFonts w:cs="Arial"/>
              </w:rPr>
            </w:pPr>
          </w:p>
        </w:tc>
        <w:tc>
          <w:tcPr>
            <w:tcW w:w="1241" w:type="dxa"/>
          </w:tcPr>
          <w:p w14:paraId="2816C4EE" w14:textId="77777777" w:rsidR="000B1F75" w:rsidRPr="000B1F75" w:rsidRDefault="000B1F75" w:rsidP="000B1F75">
            <w:pPr>
              <w:rPr>
                <w:rFonts w:cs="Arial"/>
              </w:rPr>
            </w:pPr>
          </w:p>
        </w:tc>
        <w:tc>
          <w:tcPr>
            <w:tcW w:w="1519" w:type="dxa"/>
          </w:tcPr>
          <w:p w14:paraId="0C8DB18F" w14:textId="77777777" w:rsidR="000B1F75" w:rsidRPr="000B1F75" w:rsidRDefault="000B1F75" w:rsidP="000B1F75">
            <w:pPr>
              <w:rPr>
                <w:rFonts w:cs="Arial"/>
              </w:rPr>
            </w:pPr>
          </w:p>
        </w:tc>
      </w:tr>
      <w:tr w:rsidR="000B1F75" w14:paraId="11CE9161" w14:textId="77777777" w:rsidTr="000B1F75">
        <w:tc>
          <w:tcPr>
            <w:tcW w:w="1534" w:type="dxa"/>
            <w:vAlign w:val="bottom"/>
          </w:tcPr>
          <w:p w14:paraId="0FDCE02D" w14:textId="01B1C00A" w:rsidR="000B1F75" w:rsidRPr="000B1F75" w:rsidRDefault="000B1F75" w:rsidP="000B1F75">
            <w:pPr>
              <w:rPr>
                <w:rFonts w:cs="Arial"/>
              </w:rPr>
            </w:pPr>
            <w:r w:rsidRPr="000B1F75">
              <w:rPr>
                <w:rFonts w:cs="Arial"/>
                <w:i/>
                <w:iCs/>
              </w:rPr>
              <w:t>Нарушения на ухото и лабиринта</w:t>
            </w:r>
          </w:p>
        </w:tc>
        <w:tc>
          <w:tcPr>
            <w:tcW w:w="1090" w:type="dxa"/>
          </w:tcPr>
          <w:p w14:paraId="2790CADB" w14:textId="77777777" w:rsidR="000B1F75" w:rsidRPr="000B1F75" w:rsidRDefault="000B1F75" w:rsidP="000B1F75">
            <w:pPr>
              <w:rPr>
                <w:rFonts w:cs="Arial"/>
              </w:rPr>
            </w:pPr>
          </w:p>
        </w:tc>
        <w:tc>
          <w:tcPr>
            <w:tcW w:w="1382" w:type="dxa"/>
          </w:tcPr>
          <w:p w14:paraId="78C30959" w14:textId="77777777" w:rsidR="000B1F75" w:rsidRPr="000B1F75" w:rsidRDefault="000B1F75" w:rsidP="000B1F75">
            <w:pPr>
              <w:rPr>
                <w:rFonts w:cs="Arial"/>
              </w:rPr>
            </w:pPr>
          </w:p>
        </w:tc>
        <w:tc>
          <w:tcPr>
            <w:tcW w:w="1350" w:type="dxa"/>
          </w:tcPr>
          <w:p w14:paraId="6D4A9AB5" w14:textId="1B21028C" w:rsidR="000B1F75" w:rsidRPr="000B1F75" w:rsidRDefault="000B1F75" w:rsidP="000B1F75">
            <w:pPr>
              <w:rPr>
                <w:rFonts w:cs="Arial"/>
              </w:rPr>
            </w:pPr>
            <w:r w:rsidRPr="000B1F75">
              <w:rPr>
                <w:rFonts w:cs="Arial"/>
              </w:rPr>
              <w:t>Шум в ушите</w:t>
            </w:r>
          </w:p>
        </w:tc>
        <w:tc>
          <w:tcPr>
            <w:tcW w:w="1460" w:type="dxa"/>
          </w:tcPr>
          <w:p w14:paraId="621E09DD" w14:textId="77777777" w:rsidR="000B1F75" w:rsidRPr="000B1F75" w:rsidRDefault="000B1F75" w:rsidP="000B1F75">
            <w:pPr>
              <w:rPr>
                <w:rFonts w:cs="Arial"/>
              </w:rPr>
            </w:pPr>
          </w:p>
        </w:tc>
        <w:tc>
          <w:tcPr>
            <w:tcW w:w="1241" w:type="dxa"/>
          </w:tcPr>
          <w:p w14:paraId="356D43B8" w14:textId="77777777" w:rsidR="000B1F75" w:rsidRPr="000B1F75" w:rsidRDefault="000B1F75" w:rsidP="000B1F75">
            <w:pPr>
              <w:rPr>
                <w:rFonts w:cs="Arial"/>
              </w:rPr>
            </w:pPr>
          </w:p>
        </w:tc>
        <w:tc>
          <w:tcPr>
            <w:tcW w:w="1519" w:type="dxa"/>
            <w:vAlign w:val="center"/>
          </w:tcPr>
          <w:p w14:paraId="3BCBBAEB" w14:textId="77777777" w:rsidR="000B1F75" w:rsidRPr="000B1F75" w:rsidRDefault="000B1F75" w:rsidP="000B1F75">
            <w:pPr>
              <w:rPr>
                <w:rFonts w:cs="Arial"/>
              </w:rPr>
            </w:pPr>
          </w:p>
        </w:tc>
      </w:tr>
      <w:tr w:rsidR="000B1F75" w14:paraId="1C203560" w14:textId="77777777" w:rsidTr="000B1F75">
        <w:tc>
          <w:tcPr>
            <w:tcW w:w="1534" w:type="dxa"/>
          </w:tcPr>
          <w:p w14:paraId="3CABFF12" w14:textId="395FBACF" w:rsidR="000B1F75" w:rsidRPr="000B1F75" w:rsidRDefault="000B1F75" w:rsidP="000B1F75">
            <w:pPr>
              <w:rPr>
                <w:rFonts w:cs="Arial"/>
              </w:rPr>
            </w:pPr>
            <w:r w:rsidRPr="000B1F75">
              <w:rPr>
                <w:i/>
                <w:iCs/>
              </w:rPr>
              <w:t>Сърдечни нарушения</w:t>
            </w:r>
          </w:p>
        </w:tc>
        <w:tc>
          <w:tcPr>
            <w:tcW w:w="1090" w:type="dxa"/>
          </w:tcPr>
          <w:p w14:paraId="2D651E4C" w14:textId="77777777" w:rsidR="000B1F75" w:rsidRPr="000B1F75" w:rsidRDefault="000B1F75" w:rsidP="000B1F75">
            <w:pPr>
              <w:rPr>
                <w:rFonts w:cs="Arial"/>
              </w:rPr>
            </w:pPr>
          </w:p>
        </w:tc>
        <w:tc>
          <w:tcPr>
            <w:tcW w:w="1382" w:type="dxa"/>
          </w:tcPr>
          <w:p w14:paraId="1B480B66" w14:textId="288E5A69" w:rsidR="000B1F75" w:rsidRPr="000B1F75" w:rsidRDefault="000B1F75" w:rsidP="000B1F75">
            <w:pPr>
              <w:rPr>
                <w:rFonts w:cs="Arial"/>
              </w:rPr>
            </w:pPr>
            <w:r w:rsidRPr="000B1F75">
              <w:t>Болка в гърдите, ритъмни нарушения, стенокардия, тахикардия</w:t>
            </w:r>
          </w:p>
        </w:tc>
        <w:tc>
          <w:tcPr>
            <w:tcW w:w="1350" w:type="dxa"/>
            <w:vAlign w:val="bottom"/>
          </w:tcPr>
          <w:p w14:paraId="35EA0DF7" w14:textId="782F455C" w:rsidR="000B1F75" w:rsidRPr="000B1F75" w:rsidRDefault="000B1F75" w:rsidP="000B1F75">
            <w:pPr>
              <w:rPr>
                <w:rFonts w:cs="Arial"/>
              </w:rPr>
            </w:pPr>
            <w:r w:rsidRPr="000B1F75">
              <w:t>Палпитации, инфаркт на миокарда или мозъчно- съдов инцидент*, възможно вследствие на ексцесивна хипотония при пациенти с висок риск (вж. точка 4.4)</w:t>
            </w:r>
          </w:p>
        </w:tc>
        <w:tc>
          <w:tcPr>
            <w:tcW w:w="1460" w:type="dxa"/>
          </w:tcPr>
          <w:p w14:paraId="6F268243" w14:textId="77777777" w:rsidR="000B1F75" w:rsidRPr="000B1F75" w:rsidRDefault="000B1F75" w:rsidP="000B1F75">
            <w:pPr>
              <w:rPr>
                <w:rFonts w:cs="Arial"/>
              </w:rPr>
            </w:pPr>
          </w:p>
        </w:tc>
        <w:tc>
          <w:tcPr>
            <w:tcW w:w="1241" w:type="dxa"/>
          </w:tcPr>
          <w:p w14:paraId="336033C2" w14:textId="77777777" w:rsidR="000B1F75" w:rsidRPr="000B1F75" w:rsidRDefault="000B1F75" w:rsidP="000B1F75">
            <w:pPr>
              <w:rPr>
                <w:rFonts w:cs="Arial"/>
              </w:rPr>
            </w:pPr>
          </w:p>
        </w:tc>
        <w:tc>
          <w:tcPr>
            <w:tcW w:w="1519" w:type="dxa"/>
          </w:tcPr>
          <w:p w14:paraId="0CAE7737" w14:textId="77777777" w:rsidR="000B1F75" w:rsidRPr="000B1F75" w:rsidRDefault="000B1F75" w:rsidP="000B1F75">
            <w:pPr>
              <w:rPr>
                <w:rFonts w:cs="Arial"/>
              </w:rPr>
            </w:pPr>
          </w:p>
        </w:tc>
      </w:tr>
      <w:tr w:rsidR="000B1F75" w14:paraId="36A543F3" w14:textId="77777777" w:rsidTr="000B1F75">
        <w:tc>
          <w:tcPr>
            <w:tcW w:w="1534" w:type="dxa"/>
          </w:tcPr>
          <w:p w14:paraId="1AAC66CA" w14:textId="4884C4BF" w:rsidR="000B1F75" w:rsidRPr="000B1F75" w:rsidRDefault="000B1F75" w:rsidP="000B1F75">
            <w:pPr>
              <w:rPr>
                <w:rFonts w:cs="Arial"/>
              </w:rPr>
            </w:pPr>
            <w:r w:rsidRPr="000B1F75">
              <w:rPr>
                <w:i/>
                <w:iCs/>
              </w:rPr>
              <w:t>Съдови нарушения</w:t>
            </w:r>
          </w:p>
        </w:tc>
        <w:tc>
          <w:tcPr>
            <w:tcW w:w="1090" w:type="dxa"/>
          </w:tcPr>
          <w:p w14:paraId="62F00EB9" w14:textId="77777777" w:rsidR="000B1F75" w:rsidRPr="000B1F75" w:rsidRDefault="000B1F75" w:rsidP="000B1F75">
            <w:pPr>
              <w:rPr>
                <w:rFonts w:cs="Arial"/>
              </w:rPr>
            </w:pPr>
          </w:p>
        </w:tc>
        <w:tc>
          <w:tcPr>
            <w:tcW w:w="1382" w:type="dxa"/>
            <w:vAlign w:val="bottom"/>
          </w:tcPr>
          <w:p w14:paraId="2E71CA04" w14:textId="287CA3A3" w:rsidR="000B1F75" w:rsidRPr="000B1F75" w:rsidRDefault="000B1F75" w:rsidP="000B1F75">
            <w:pPr>
              <w:rPr>
                <w:rFonts w:cs="Arial"/>
              </w:rPr>
            </w:pPr>
            <w:r w:rsidRPr="000B1F75">
              <w:t>Хипотония (включително ортостатична хипотония)</w:t>
            </w:r>
          </w:p>
        </w:tc>
        <w:tc>
          <w:tcPr>
            <w:tcW w:w="1350" w:type="dxa"/>
            <w:vAlign w:val="bottom"/>
          </w:tcPr>
          <w:p w14:paraId="5E5FCA20" w14:textId="509E6C4C" w:rsidR="000B1F75" w:rsidRPr="000B1F75" w:rsidRDefault="000B1F75" w:rsidP="000B1F75">
            <w:pPr>
              <w:rPr>
                <w:rFonts w:cs="Arial"/>
              </w:rPr>
            </w:pPr>
            <w:r w:rsidRPr="000B1F75">
              <w:t>Зачервяване на лицето, ортостатична хипотония</w:t>
            </w:r>
          </w:p>
        </w:tc>
        <w:tc>
          <w:tcPr>
            <w:tcW w:w="1460" w:type="dxa"/>
          </w:tcPr>
          <w:p w14:paraId="68AD6F68" w14:textId="77777777" w:rsidR="000B1F75" w:rsidRPr="000B1F75" w:rsidRDefault="000B1F75" w:rsidP="000B1F75">
            <w:r w:rsidRPr="000B1F75">
              <w:t>Феномен на</w:t>
            </w:r>
          </w:p>
          <w:p w14:paraId="1BDA2331" w14:textId="6097D3C7" w:rsidR="000B1F75" w:rsidRPr="000B1F75" w:rsidRDefault="000B1F75" w:rsidP="000B1F75">
            <w:pPr>
              <w:rPr>
                <w:rFonts w:cs="Arial"/>
              </w:rPr>
            </w:pPr>
            <w:r w:rsidRPr="000B1F75">
              <w:rPr>
                <w:lang w:val="en-US"/>
              </w:rPr>
              <w:t>Raynaud</w:t>
            </w:r>
          </w:p>
        </w:tc>
        <w:tc>
          <w:tcPr>
            <w:tcW w:w="1241" w:type="dxa"/>
          </w:tcPr>
          <w:p w14:paraId="1A84C20E" w14:textId="77777777" w:rsidR="000B1F75" w:rsidRPr="000B1F75" w:rsidRDefault="000B1F75" w:rsidP="000B1F75">
            <w:pPr>
              <w:rPr>
                <w:rFonts w:cs="Arial"/>
              </w:rPr>
            </w:pPr>
          </w:p>
        </w:tc>
        <w:tc>
          <w:tcPr>
            <w:tcW w:w="1519" w:type="dxa"/>
          </w:tcPr>
          <w:p w14:paraId="72154FDA" w14:textId="77777777" w:rsidR="000B1F75" w:rsidRPr="000B1F75" w:rsidRDefault="000B1F75" w:rsidP="000B1F75">
            <w:pPr>
              <w:rPr>
                <w:rFonts w:cs="Arial"/>
              </w:rPr>
            </w:pPr>
          </w:p>
        </w:tc>
      </w:tr>
      <w:tr w:rsidR="000B1F75" w14:paraId="1492D402" w14:textId="77777777" w:rsidTr="000B1F75">
        <w:tc>
          <w:tcPr>
            <w:tcW w:w="1534" w:type="dxa"/>
          </w:tcPr>
          <w:p w14:paraId="3BA461D2" w14:textId="77777777" w:rsidR="000B1F75" w:rsidRPr="000B1F75" w:rsidRDefault="000B1F75" w:rsidP="000B1F75">
            <w:r w:rsidRPr="000B1F75">
              <w:rPr>
                <w:i/>
                <w:iCs/>
              </w:rPr>
              <w:t>Респираторни, гръдни</w:t>
            </w:r>
            <w:r w:rsidRPr="000B1F75">
              <w:rPr>
                <w:i/>
                <w:iCs/>
              </w:rPr>
              <w:tab/>
              <w:t>и</w:t>
            </w:r>
          </w:p>
          <w:p w14:paraId="7D2C8E86" w14:textId="2C4977AD" w:rsidR="000B1F75" w:rsidRPr="000B1F75" w:rsidRDefault="000B1F75" w:rsidP="000B1F75">
            <w:pPr>
              <w:rPr>
                <w:rFonts w:cs="Arial"/>
              </w:rPr>
            </w:pPr>
            <w:r w:rsidRPr="000B1F75">
              <w:rPr>
                <w:i/>
                <w:iCs/>
              </w:rPr>
              <w:t>медиастинални нарушения</w:t>
            </w:r>
          </w:p>
        </w:tc>
        <w:tc>
          <w:tcPr>
            <w:tcW w:w="1090" w:type="dxa"/>
          </w:tcPr>
          <w:p w14:paraId="3164B54C" w14:textId="1980FF24" w:rsidR="000B1F75" w:rsidRPr="000B1F75" w:rsidRDefault="000B1F75" w:rsidP="000B1F75">
            <w:pPr>
              <w:rPr>
                <w:rFonts w:cs="Arial"/>
              </w:rPr>
            </w:pPr>
            <w:r w:rsidRPr="000B1F75">
              <w:t>Кашлица</w:t>
            </w:r>
          </w:p>
        </w:tc>
        <w:tc>
          <w:tcPr>
            <w:tcW w:w="1382" w:type="dxa"/>
          </w:tcPr>
          <w:p w14:paraId="7F8BFFF2" w14:textId="04C8D303" w:rsidR="000B1F75" w:rsidRPr="000B1F75" w:rsidRDefault="000B1F75" w:rsidP="000B1F75">
            <w:pPr>
              <w:rPr>
                <w:rFonts w:cs="Arial"/>
              </w:rPr>
            </w:pPr>
            <w:r w:rsidRPr="000B1F75">
              <w:t>Задух</w:t>
            </w:r>
          </w:p>
        </w:tc>
        <w:tc>
          <w:tcPr>
            <w:tcW w:w="1350" w:type="dxa"/>
            <w:vAlign w:val="bottom"/>
          </w:tcPr>
          <w:p w14:paraId="2753BFC8" w14:textId="77777777" w:rsidR="000B1F75" w:rsidRPr="000B1F75" w:rsidRDefault="000B1F75" w:rsidP="000B1F75">
            <w:r w:rsidRPr="000B1F75">
              <w:t>Назална секреция, болки</w:t>
            </w:r>
            <w:r w:rsidRPr="000B1F75">
              <w:tab/>
              <w:t>в</w:t>
            </w:r>
          </w:p>
          <w:p w14:paraId="52F11D25" w14:textId="77777777" w:rsidR="000B1F75" w:rsidRPr="000B1F75" w:rsidRDefault="000B1F75" w:rsidP="000B1F75">
            <w:r w:rsidRPr="000B1F75">
              <w:t>гърлото</w:t>
            </w:r>
            <w:r w:rsidRPr="000B1F75">
              <w:tab/>
              <w:t>и</w:t>
            </w:r>
          </w:p>
          <w:p w14:paraId="38E6D0DD" w14:textId="06F7E4D8" w:rsidR="000B1F75" w:rsidRPr="000B1F75" w:rsidRDefault="000B1F75" w:rsidP="000B1F75">
            <w:pPr>
              <w:rPr>
                <w:rFonts w:cs="Arial"/>
              </w:rPr>
            </w:pPr>
            <w:r w:rsidRPr="000B1F75">
              <w:lastRenderedPageBreak/>
              <w:t>дрезгав глас, бронхоспазъм /астма</w:t>
            </w:r>
          </w:p>
        </w:tc>
        <w:tc>
          <w:tcPr>
            <w:tcW w:w="1460" w:type="dxa"/>
            <w:vAlign w:val="bottom"/>
          </w:tcPr>
          <w:p w14:paraId="09E78222" w14:textId="6F12E21F" w:rsidR="000B1F75" w:rsidRPr="000B1F75" w:rsidRDefault="000B1F75" w:rsidP="000B1F75">
            <w:pPr>
              <w:rPr>
                <w:rFonts w:cs="Arial"/>
              </w:rPr>
            </w:pPr>
            <w:r w:rsidRPr="000B1F75">
              <w:lastRenderedPageBreak/>
              <w:t>Белодробни инфилтрати, ринит, алергичен алвеолит/е</w:t>
            </w:r>
            <w:r w:rsidRPr="000B1F75">
              <w:lastRenderedPageBreak/>
              <w:t>озин офилна пневмония</w:t>
            </w:r>
          </w:p>
        </w:tc>
        <w:tc>
          <w:tcPr>
            <w:tcW w:w="1241" w:type="dxa"/>
          </w:tcPr>
          <w:p w14:paraId="11780FA5" w14:textId="77777777" w:rsidR="000B1F75" w:rsidRPr="000B1F75" w:rsidRDefault="000B1F75" w:rsidP="000B1F75">
            <w:pPr>
              <w:rPr>
                <w:rFonts w:cs="Arial"/>
              </w:rPr>
            </w:pPr>
          </w:p>
        </w:tc>
        <w:tc>
          <w:tcPr>
            <w:tcW w:w="1519" w:type="dxa"/>
          </w:tcPr>
          <w:p w14:paraId="45FCF6BF" w14:textId="77777777" w:rsidR="000B1F75" w:rsidRPr="000B1F75" w:rsidRDefault="000B1F75" w:rsidP="000B1F75">
            <w:pPr>
              <w:rPr>
                <w:rFonts w:cs="Arial"/>
              </w:rPr>
            </w:pPr>
          </w:p>
        </w:tc>
      </w:tr>
      <w:tr w:rsidR="000B1F75" w14:paraId="058C7699" w14:textId="77777777" w:rsidTr="000B1F75">
        <w:tc>
          <w:tcPr>
            <w:tcW w:w="1534" w:type="dxa"/>
          </w:tcPr>
          <w:p w14:paraId="5FDC034D" w14:textId="4279AD2F" w:rsidR="000B1F75" w:rsidRPr="000B1F75" w:rsidRDefault="000B1F75" w:rsidP="000B1F75">
            <w:pPr>
              <w:rPr>
                <w:rFonts w:cs="Arial"/>
              </w:rPr>
            </w:pPr>
            <w:r w:rsidRPr="000B1F75">
              <w:rPr>
                <w:i/>
                <w:iCs/>
              </w:rPr>
              <w:t>Стомашно- чревни нарушения</w:t>
            </w:r>
          </w:p>
        </w:tc>
        <w:tc>
          <w:tcPr>
            <w:tcW w:w="1090" w:type="dxa"/>
          </w:tcPr>
          <w:p w14:paraId="1677921E" w14:textId="50F5A988" w:rsidR="000B1F75" w:rsidRPr="000B1F75" w:rsidRDefault="000B1F75" w:rsidP="000B1F75">
            <w:pPr>
              <w:rPr>
                <w:rFonts w:cs="Arial"/>
              </w:rPr>
            </w:pPr>
            <w:r w:rsidRPr="000B1F75">
              <w:t>Гадене</w:t>
            </w:r>
          </w:p>
        </w:tc>
        <w:tc>
          <w:tcPr>
            <w:tcW w:w="1382" w:type="dxa"/>
          </w:tcPr>
          <w:p w14:paraId="042D4705" w14:textId="7B75AEDA" w:rsidR="000B1F75" w:rsidRPr="000B1F75" w:rsidRDefault="000B1F75" w:rsidP="000B1F75">
            <w:pPr>
              <w:rPr>
                <w:rFonts w:cs="Arial"/>
              </w:rPr>
            </w:pPr>
            <w:r w:rsidRPr="000B1F75">
              <w:t>Диария, коремна болка</w:t>
            </w:r>
          </w:p>
        </w:tc>
        <w:tc>
          <w:tcPr>
            <w:tcW w:w="1350" w:type="dxa"/>
            <w:vAlign w:val="bottom"/>
          </w:tcPr>
          <w:p w14:paraId="6CC1E956" w14:textId="77777777" w:rsidR="000B1F75" w:rsidRPr="000B1F75" w:rsidRDefault="000B1F75" w:rsidP="000B1F75">
            <w:r w:rsidRPr="000B1F75">
              <w:t>Илеус, панкреатит, повръщане, диспепсия, запек, анорексия, стомашно дразнене, сухота</w:t>
            </w:r>
            <w:r w:rsidRPr="000B1F75">
              <w:tab/>
              <w:t>в</w:t>
            </w:r>
          </w:p>
          <w:p w14:paraId="580A2E2E" w14:textId="66218A17" w:rsidR="000B1F75" w:rsidRPr="000B1F75" w:rsidRDefault="000B1F75" w:rsidP="000B1F75">
            <w:pPr>
              <w:rPr>
                <w:rFonts w:cs="Arial"/>
              </w:rPr>
            </w:pPr>
            <w:r w:rsidRPr="000B1F75">
              <w:t>устата, пептична язва</w:t>
            </w:r>
          </w:p>
        </w:tc>
        <w:tc>
          <w:tcPr>
            <w:tcW w:w="1460" w:type="dxa"/>
          </w:tcPr>
          <w:p w14:paraId="199A90BA" w14:textId="2FBB8C51" w:rsidR="000B1F75" w:rsidRPr="000B1F75" w:rsidRDefault="000B1F75" w:rsidP="000B1F75">
            <w:pPr>
              <w:rPr>
                <w:rFonts w:cs="Arial"/>
              </w:rPr>
            </w:pPr>
            <w:r w:rsidRPr="000B1F75">
              <w:t>Стоматит/афто зни улцерации (язви), глосит</w:t>
            </w:r>
          </w:p>
        </w:tc>
        <w:tc>
          <w:tcPr>
            <w:tcW w:w="1241" w:type="dxa"/>
          </w:tcPr>
          <w:p w14:paraId="59AEE644" w14:textId="4902D1D9" w:rsidR="000B1F75" w:rsidRPr="000B1F75" w:rsidRDefault="000B1F75" w:rsidP="000B1F75">
            <w:pPr>
              <w:rPr>
                <w:rFonts w:cs="Arial"/>
              </w:rPr>
            </w:pPr>
            <w:r w:rsidRPr="000B1F75">
              <w:t>Интестинале н ангиоедем</w:t>
            </w:r>
          </w:p>
        </w:tc>
        <w:tc>
          <w:tcPr>
            <w:tcW w:w="1519" w:type="dxa"/>
          </w:tcPr>
          <w:p w14:paraId="25C4AF79" w14:textId="77777777" w:rsidR="000B1F75" w:rsidRPr="000B1F75" w:rsidRDefault="000B1F75" w:rsidP="000B1F75">
            <w:pPr>
              <w:rPr>
                <w:rFonts w:cs="Arial"/>
              </w:rPr>
            </w:pPr>
          </w:p>
        </w:tc>
      </w:tr>
      <w:tr w:rsidR="000B1F75" w14:paraId="306F47D6" w14:textId="77777777" w:rsidTr="000B1F75">
        <w:tc>
          <w:tcPr>
            <w:tcW w:w="1534" w:type="dxa"/>
          </w:tcPr>
          <w:p w14:paraId="78AE838D" w14:textId="63687D36" w:rsidR="000B1F75" w:rsidRPr="000B1F75" w:rsidRDefault="000B1F75" w:rsidP="000B1F75">
            <w:pPr>
              <w:rPr>
                <w:rFonts w:cs="Arial"/>
              </w:rPr>
            </w:pPr>
            <w:r w:rsidRPr="000B1F75">
              <w:rPr>
                <w:i/>
                <w:iCs/>
              </w:rPr>
              <w:t>Хепатобилиарн и нарушения</w:t>
            </w:r>
          </w:p>
        </w:tc>
        <w:tc>
          <w:tcPr>
            <w:tcW w:w="1090" w:type="dxa"/>
          </w:tcPr>
          <w:p w14:paraId="59F9AC5C" w14:textId="77777777" w:rsidR="000B1F75" w:rsidRPr="000B1F75" w:rsidRDefault="000B1F75" w:rsidP="000B1F75">
            <w:pPr>
              <w:rPr>
                <w:rFonts w:cs="Arial"/>
              </w:rPr>
            </w:pPr>
          </w:p>
        </w:tc>
        <w:tc>
          <w:tcPr>
            <w:tcW w:w="1382" w:type="dxa"/>
          </w:tcPr>
          <w:p w14:paraId="5A56343D" w14:textId="77777777" w:rsidR="000B1F75" w:rsidRPr="000B1F75" w:rsidRDefault="000B1F75" w:rsidP="000B1F75">
            <w:pPr>
              <w:rPr>
                <w:rFonts w:cs="Arial"/>
              </w:rPr>
            </w:pPr>
          </w:p>
        </w:tc>
        <w:tc>
          <w:tcPr>
            <w:tcW w:w="1350" w:type="dxa"/>
          </w:tcPr>
          <w:p w14:paraId="381EFACD" w14:textId="77777777" w:rsidR="000B1F75" w:rsidRPr="000B1F75" w:rsidRDefault="000B1F75" w:rsidP="000B1F75">
            <w:pPr>
              <w:rPr>
                <w:rFonts w:cs="Arial"/>
              </w:rPr>
            </w:pPr>
          </w:p>
        </w:tc>
        <w:tc>
          <w:tcPr>
            <w:tcW w:w="1460" w:type="dxa"/>
            <w:vAlign w:val="bottom"/>
          </w:tcPr>
          <w:p w14:paraId="178860DE" w14:textId="3A987B5A" w:rsidR="000B1F75" w:rsidRPr="000B1F75" w:rsidRDefault="000B1F75" w:rsidP="000B1F75">
            <w:pPr>
              <w:rPr>
                <w:rFonts w:cs="Arial"/>
              </w:rPr>
            </w:pPr>
            <w:r w:rsidRPr="000B1F75">
              <w:t>Чернодробна недостатьчнос т, хепатит - или хепатоцелулар ен или холестатичен, хепатит включващ некроза, холестаза (включително жълтеница)</w:t>
            </w:r>
          </w:p>
        </w:tc>
        <w:tc>
          <w:tcPr>
            <w:tcW w:w="1241" w:type="dxa"/>
          </w:tcPr>
          <w:p w14:paraId="65F8E8AE" w14:textId="77777777" w:rsidR="000B1F75" w:rsidRPr="000B1F75" w:rsidRDefault="000B1F75" w:rsidP="000B1F75">
            <w:pPr>
              <w:rPr>
                <w:rFonts w:cs="Arial"/>
              </w:rPr>
            </w:pPr>
          </w:p>
        </w:tc>
        <w:tc>
          <w:tcPr>
            <w:tcW w:w="1519" w:type="dxa"/>
          </w:tcPr>
          <w:p w14:paraId="190358B8" w14:textId="77777777" w:rsidR="000B1F75" w:rsidRPr="000B1F75" w:rsidRDefault="000B1F75" w:rsidP="000B1F75">
            <w:pPr>
              <w:rPr>
                <w:rFonts w:cs="Arial"/>
              </w:rPr>
            </w:pPr>
          </w:p>
        </w:tc>
      </w:tr>
      <w:tr w:rsidR="000B1F75" w14:paraId="6F2E2651" w14:textId="77777777" w:rsidTr="000B1F75">
        <w:tc>
          <w:tcPr>
            <w:tcW w:w="1534" w:type="dxa"/>
          </w:tcPr>
          <w:p w14:paraId="06C0F368" w14:textId="77777777" w:rsidR="000B1F75" w:rsidRPr="000B1F75" w:rsidRDefault="000B1F75" w:rsidP="000B1F75">
            <w:r w:rsidRPr="000B1F75">
              <w:rPr>
                <w:i/>
                <w:iCs/>
              </w:rPr>
              <w:t>Нарушения на кожата</w:t>
            </w:r>
            <w:r w:rsidRPr="000B1F75">
              <w:rPr>
                <w:i/>
                <w:iCs/>
              </w:rPr>
              <w:tab/>
              <w:t>и</w:t>
            </w:r>
          </w:p>
          <w:p w14:paraId="3823B10A" w14:textId="334689BD" w:rsidR="000B1F75" w:rsidRPr="000B1F75" w:rsidRDefault="000B1F75" w:rsidP="000B1F75">
            <w:pPr>
              <w:rPr>
                <w:rFonts w:cs="Arial"/>
              </w:rPr>
            </w:pPr>
            <w:r w:rsidRPr="000B1F75">
              <w:rPr>
                <w:i/>
                <w:iCs/>
              </w:rPr>
              <w:t>подкожната тъкан</w:t>
            </w:r>
          </w:p>
        </w:tc>
        <w:tc>
          <w:tcPr>
            <w:tcW w:w="1090" w:type="dxa"/>
          </w:tcPr>
          <w:p w14:paraId="4C4B8D5F" w14:textId="77777777" w:rsidR="000B1F75" w:rsidRPr="000B1F75" w:rsidRDefault="000B1F75" w:rsidP="000B1F75">
            <w:pPr>
              <w:rPr>
                <w:rFonts w:cs="Arial"/>
              </w:rPr>
            </w:pPr>
          </w:p>
        </w:tc>
        <w:tc>
          <w:tcPr>
            <w:tcW w:w="1382" w:type="dxa"/>
          </w:tcPr>
          <w:p w14:paraId="097B4CF5" w14:textId="341EF0E7" w:rsidR="000B1F75" w:rsidRPr="000B1F75" w:rsidRDefault="000B1F75" w:rsidP="000B1F75">
            <w:pPr>
              <w:rPr>
                <w:rFonts w:cs="Arial"/>
              </w:rPr>
            </w:pPr>
            <w:r w:rsidRPr="000B1F75">
              <w:t xml:space="preserve">Обрив, свръхчувствит елност/ангион евротичен оток: ангионевротич ен оток на лицето, </w:t>
            </w:r>
            <w:r w:rsidRPr="000B1F75">
              <w:lastRenderedPageBreak/>
              <w:t>крайниците, устните, езика, глотиса и/или ларинкса са съобщени (вж. точка 4.4)</w:t>
            </w:r>
          </w:p>
        </w:tc>
        <w:tc>
          <w:tcPr>
            <w:tcW w:w="1350" w:type="dxa"/>
          </w:tcPr>
          <w:p w14:paraId="5A440581" w14:textId="220C8E35" w:rsidR="000B1F75" w:rsidRPr="000B1F75" w:rsidRDefault="000B1F75" w:rsidP="000B1F75">
            <w:pPr>
              <w:rPr>
                <w:rFonts w:cs="Arial"/>
              </w:rPr>
            </w:pPr>
            <w:r w:rsidRPr="000B1F75">
              <w:lastRenderedPageBreak/>
              <w:t>Диафореза, сърбеж, уртикария, алопеция</w:t>
            </w:r>
          </w:p>
        </w:tc>
        <w:tc>
          <w:tcPr>
            <w:tcW w:w="1460" w:type="dxa"/>
          </w:tcPr>
          <w:p w14:paraId="7E941008" w14:textId="56B85B3F" w:rsidR="000B1F75" w:rsidRPr="000B1F75" w:rsidRDefault="000B1F75" w:rsidP="000B1F75">
            <w:pPr>
              <w:rPr>
                <w:rFonts w:cs="Arial"/>
              </w:rPr>
            </w:pPr>
            <w:r w:rsidRPr="000B1F75">
              <w:t xml:space="preserve">Еритема мултиформе, синдром на </w:t>
            </w:r>
            <w:r w:rsidRPr="000B1F75">
              <w:rPr>
                <w:lang w:val="en-US"/>
              </w:rPr>
              <w:t>Stevens</w:t>
            </w:r>
            <w:r w:rsidRPr="000B1F75">
              <w:t xml:space="preserve">- </w:t>
            </w:r>
            <w:r w:rsidRPr="000B1F75">
              <w:rPr>
                <w:lang w:val="en-US"/>
              </w:rPr>
              <w:t>Johnson</w:t>
            </w:r>
            <w:r w:rsidRPr="000B1F75">
              <w:t xml:space="preserve">, ексфолиативен дерматит, токсична епидермална </w:t>
            </w:r>
            <w:r w:rsidRPr="000B1F75">
              <w:lastRenderedPageBreak/>
              <w:t>некролиза, пемфигус, еритродерма</w:t>
            </w:r>
          </w:p>
        </w:tc>
        <w:tc>
          <w:tcPr>
            <w:tcW w:w="1241" w:type="dxa"/>
          </w:tcPr>
          <w:p w14:paraId="113811DF" w14:textId="77777777" w:rsidR="000B1F75" w:rsidRPr="000B1F75" w:rsidRDefault="000B1F75" w:rsidP="000B1F75">
            <w:pPr>
              <w:rPr>
                <w:rFonts w:cs="Arial"/>
              </w:rPr>
            </w:pPr>
          </w:p>
        </w:tc>
        <w:tc>
          <w:tcPr>
            <w:tcW w:w="1519" w:type="dxa"/>
            <w:vAlign w:val="bottom"/>
          </w:tcPr>
          <w:p w14:paraId="2F12615E" w14:textId="7991717A" w:rsidR="000B1F75" w:rsidRPr="000B1F75" w:rsidRDefault="000B1F75" w:rsidP="000B1F75">
            <w:pPr>
              <w:rPr>
                <w:rFonts w:cs="Arial"/>
              </w:rPr>
            </w:pPr>
            <w:r w:rsidRPr="000B1F75">
              <w:t xml:space="preserve">Съобщава се за симптомокомпл екс, който може да включва някои или всички от следните прояви: висока </w:t>
            </w:r>
            <w:r w:rsidRPr="000B1F75">
              <w:lastRenderedPageBreak/>
              <w:t xml:space="preserve">температура, серозит, васкулит, миалгия/миозит, артралгня/артри т, положителен </w:t>
            </w:r>
            <w:r w:rsidRPr="000B1F75">
              <w:rPr>
                <w:lang w:val="en-US"/>
              </w:rPr>
              <w:t>ANA</w:t>
            </w:r>
            <w:r w:rsidRPr="000B1F75">
              <w:rPr>
                <w:lang w:val="ru-RU"/>
              </w:rPr>
              <w:t xml:space="preserve">, </w:t>
            </w:r>
            <w:r w:rsidRPr="000B1F75">
              <w:t>повишено СУЕ, еозинофилия и левкоцитоза. Може да възникнат обрив, фоточувствител ност или други кожни прояви.</w:t>
            </w:r>
          </w:p>
        </w:tc>
      </w:tr>
      <w:tr w:rsidR="000B1F75" w14:paraId="76553777" w14:textId="77777777" w:rsidTr="000B1F75">
        <w:tc>
          <w:tcPr>
            <w:tcW w:w="1534" w:type="dxa"/>
            <w:vAlign w:val="bottom"/>
          </w:tcPr>
          <w:p w14:paraId="5880E317" w14:textId="5BBB3D3F" w:rsidR="000B1F75" w:rsidRPr="000B1F75" w:rsidRDefault="000B1F75" w:rsidP="000B1F75">
            <w:pPr>
              <w:rPr>
                <w:rFonts w:cs="Arial"/>
              </w:rPr>
            </w:pPr>
            <w:r w:rsidRPr="000B1F75">
              <w:rPr>
                <w:i/>
                <w:iCs/>
              </w:rPr>
              <w:t xml:space="preserve">Нарушения на мускулно-скеле тната система и съединителнат </w:t>
            </w:r>
            <w:r w:rsidRPr="000B1F75">
              <w:rPr>
                <w:i/>
                <w:iCs/>
                <w:u w:val="single"/>
              </w:rPr>
              <w:t>а тъкан</w:t>
            </w:r>
          </w:p>
        </w:tc>
        <w:tc>
          <w:tcPr>
            <w:tcW w:w="1090" w:type="dxa"/>
          </w:tcPr>
          <w:p w14:paraId="6394D853" w14:textId="77777777" w:rsidR="000B1F75" w:rsidRPr="000B1F75" w:rsidRDefault="000B1F75" w:rsidP="000B1F75">
            <w:pPr>
              <w:rPr>
                <w:rFonts w:cs="Arial"/>
              </w:rPr>
            </w:pPr>
          </w:p>
        </w:tc>
        <w:tc>
          <w:tcPr>
            <w:tcW w:w="1382" w:type="dxa"/>
          </w:tcPr>
          <w:p w14:paraId="603BC25D" w14:textId="77777777" w:rsidR="000B1F75" w:rsidRPr="000B1F75" w:rsidRDefault="000B1F75" w:rsidP="000B1F75">
            <w:pPr>
              <w:rPr>
                <w:rFonts w:cs="Arial"/>
              </w:rPr>
            </w:pPr>
          </w:p>
        </w:tc>
        <w:tc>
          <w:tcPr>
            <w:tcW w:w="1350" w:type="dxa"/>
          </w:tcPr>
          <w:p w14:paraId="6F9C5E4C" w14:textId="39297154" w:rsidR="000B1F75" w:rsidRPr="000B1F75" w:rsidRDefault="000B1F75" w:rsidP="000B1F75">
            <w:pPr>
              <w:rPr>
                <w:rFonts w:cs="Arial"/>
              </w:rPr>
            </w:pPr>
            <w:r w:rsidRPr="000B1F75">
              <w:t>Мускулни крампи</w:t>
            </w:r>
          </w:p>
        </w:tc>
        <w:tc>
          <w:tcPr>
            <w:tcW w:w="1460" w:type="dxa"/>
          </w:tcPr>
          <w:p w14:paraId="5CDA74C1" w14:textId="77777777" w:rsidR="000B1F75" w:rsidRPr="000B1F75" w:rsidRDefault="000B1F75" w:rsidP="000B1F75">
            <w:pPr>
              <w:rPr>
                <w:rFonts w:cs="Arial"/>
              </w:rPr>
            </w:pPr>
          </w:p>
        </w:tc>
        <w:tc>
          <w:tcPr>
            <w:tcW w:w="1241" w:type="dxa"/>
          </w:tcPr>
          <w:p w14:paraId="43BE06BA" w14:textId="77777777" w:rsidR="000B1F75" w:rsidRPr="000B1F75" w:rsidRDefault="000B1F75" w:rsidP="000B1F75">
            <w:pPr>
              <w:rPr>
                <w:rFonts w:cs="Arial"/>
              </w:rPr>
            </w:pPr>
          </w:p>
        </w:tc>
        <w:tc>
          <w:tcPr>
            <w:tcW w:w="1519" w:type="dxa"/>
          </w:tcPr>
          <w:p w14:paraId="6C14D5A6" w14:textId="77777777" w:rsidR="000B1F75" w:rsidRPr="000B1F75" w:rsidRDefault="000B1F75" w:rsidP="000B1F75">
            <w:pPr>
              <w:rPr>
                <w:rFonts w:cs="Arial"/>
              </w:rPr>
            </w:pPr>
          </w:p>
        </w:tc>
      </w:tr>
      <w:tr w:rsidR="000B1F75" w14:paraId="52A4CB5A" w14:textId="77777777" w:rsidTr="000B1F75">
        <w:tc>
          <w:tcPr>
            <w:tcW w:w="1534" w:type="dxa"/>
          </w:tcPr>
          <w:p w14:paraId="3E3DBB4E" w14:textId="05ED7C62" w:rsidR="000B1F75" w:rsidRPr="000B1F75" w:rsidRDefault="000B1F75" w:rsidP="000B1F75">
            <w:pPr>
              <w:rPr>
                <w:rFonts w:cs="Arial"/>
              </w:rPr>
            </w:pPr>
            <w:r w:rsidRPr="000B1F75">
              <w:rPr>
                <w:i/>
                <w:iCs/>
              </w:rPr>
              <w:t>Нарушения на бъбреците и пикочните пътища</w:t>
            </w:r>
          </w:p>
        </w:tc>
        <w:tc>
          <w:tcPr>
            <w:tcW w:w="1090" w:type="dxa"/>
          </w:tcPr>
          <w:p w14:paraId="6147688A" w14:textId="77777777" w:rsidR="000B1F75" w:rsidRPr="000B1F75" w:rsidRDefault="000B1F75" w:rsidP="000B1F75">
            <w:pPr>
              <w:rPr>
                <w:rFonts w:cs="Arial"/>
              </w:rPr>
            </w:pPr>
          </w:p>
        </w:tc>
        <w:tc>
          <w:tcPr>
            <w:tcW w:w="1382" w:type="dxa"/>
          </w:tcPr>
          <w:p w14:paraId="0B8261BC" w14:textId="77777777" w:rsidR="000B1F75" w:rsidRPr="000B1F75" w:rsidRDefault="000B1F75" w:rsidP="000B1F75">
            <w:pPr>
              <w:rPr>
                <w:rFonts w:cs="Arial"/>
              </w:rPr>
            </w:pPr>
          </w:p>
        </w:tc>
        <w:tc>
          <w:tcPr>
            <w:tcW w:w="1350" w:type="dxa"/>
          </w:tcPr>
          <w:p w14:paraId="23EC167B" w14:textId="02C97F6A" w:rsidR="000B1F75" w:rsidRPr="000B1F75" w:rsidRDefault="000B1F75" w:rsidP="000B1F75">
            <w:pPr>
              <w:rPr>
                <w:rFonts w:cs="Arial"/>
              </w:rPr>
            </w:pPr>
            <w:r w:rsidRPr="000B1F75">
              <w:t>Бъбречна дисфункция, бъбречна недостатъчно ст, протеинурия</w:t>
            </w:r>
          </w:p>
        </w:tc>
        <w:tc>
          <w:tcPr>
            <w:tcW w:w="1460" w:type="dxa"/>
          </w:tcPr>
          <w:p w14:paraId="33273477" w14:textId="0729C7C0" w:rsidR="000B1F75" w:rsidRPr="000B1F75" w:rsidRDefault="000B1F75" w:rsidP="000B1F75">
            <w:pPr>
              <w:rPr>
                <w:rFonts w:cs="Arial"/>
              </w:rPr>
            </w:pPr>
            <w:r w:rsidRPr="000B1F75">
              <w:t>Олигурия</w:t>
            </w:r>
          </w:p>
        </w:tc>
        <w:tc>
          <w:tcPr>
            <w:tcW w:w="1241" w:type="dxa"/>
            <w:textDirection w:val="btLr"/>
          </w:tcPr>
          <w:p w14:paraId="02149386" w14:textId="77777777" w:rsidR="000B1F75" w:rsidRPr="000B1F75" w:rsidRDefault="000B1F75" w:rsidP="000B1F75">
            <w:pPr>
              <w:rPr>
                <w:rFonts w:cs="Arial"/>
              </w:rPr>
            </w:pPr>
          </w:p>
        </w:tc>
        <w:tc>
          <w:tcPr>
            <w:tcW w:w="1519" w:type="dxa"/>
            <w:textDirection w:val="btLr"/>
          </w:tcPr>
          <w:p w14:paraId="6A6C2A6F" w14:textId="77777777" w:rsidR="000B1F75" w:rsidRPr="000B1F75" w:rsidRDefault="000B1F75" w:rsidP="000B1F75">
            <w:pPr>
              <w:rPr>
                <w:rFonts w:cs="Arial"/>
              </w:rPr>
            </w:pPr>
          </w:p>
        </w:tc>
      </w:tr>
      <w:tr w:rsidR="000B1F75" w14:paraId="5E5E28A6" w14:textId="77777777" w:rsidTr="000B1F75">
        <w:tc>
          <w:tcPr>
            <w:tcW w:w="1534" w:type="dxa"/>
          </w:tcPr>
          <w:p w14:paraId="171A232D" w14:textId="67191914" w:rsidR="000B1F75" w:rsidRPr="000B1F75" w:rsidRDefault="000B1F75" w:rsidP="000B1F75">
            <w:pPr>
              <w:rPr>
                <w:rFonts w:cs="Arial"/>
              </w:rPr>
            </w:pPr>
            <w:r w:rsidRPr="000B1F75">
              <w:rPr>
                <w:i/>
                <w:iCs/>
              </w:rPr>
              <w:t>Нарушения на възпра из водите лната система и гърдата</w:t>
            </w:r>
          </w:p>
        </w:tc>
        <w:tc>
          <w:tcPr>
            <w:tcW w:w="1090" w:type="dxa"/>
          </w:tcPr>
          <w:p w14:paraId="60C422E7" w14:textId="77777777" w:rsidR="000B1F75" w:rsidRPr="000B1F75" w:rsidRDefault="000B1F75" w:rsidP="000B1F75">
            <w:pPr>
              <w:rPr>
                <w:rFonts w:cs="Arial"/>
              </w:rPr>
            </w:pPr>
          </w:p>
        </w:tc>
        <w:tc>
          <w:tcPr>
            <w:tcW w:w="1382" w:type="dxa"/>
          </w:tcPr>
          <w:p w14:paraId="5F7BE28A" w14:textId="77777777" w:rsidR="000B1F75" w:rsidRPr="000B1F75" w:rsidRDefault="000B1F75" w:rsidP="000B1F75">
            <w:pPr>
              <w:rPr>
                <w:rFonts w:cs="Arial"/>
              </w:rPr>
            </w:pPr>
          </w:p>
        </w:tc>
        <w:tc>
          <w:tcPr>
            <w:tcW w:w="1350" w:type="dxa"/>
          </w:tcPr>
          <w:p w14:paraId="2EAEB42E" w14:textId="48E40196" w:rsidR="000B1F75" w:rsidRPr="000B1F75" w:rsidRDefault="000B1F75" w:rsidP="000B1F75">
            <w:pPr>
              <w:rPr>
                <w:rFonts w:cs="Arial"/>
              </w:rPr>
            </w:pPr>
            <w:r w:rsidRPr="000B1F75">
              <w:t>Импотентнос т</w:t>
            </w:r>
          </w:p>
        </w:tc>
        <w:tc>
          <w:tcPr>
            <w:tcW w:w="1460" w:type="dxa"/>
          </w:tcPr>
          <w:p w14:paraId="7F431FB3" w14:textId="6E1DB1DA" w:rsidR="000B1F75" w:rsidRPr="000B1F75" w:rsidRDefault="000B1F75" w:rsidP="000B1F75">
            <w:pPr>
              <w:rPr>
                <w:rFonts w:cs="Arial"/>
              </w:rPr>
            </w:pPr>
            <w:r w:rsidRPr="000B1F75">
              <w:t>Г инекомастия</w:t>
            </w:r>
          </w:p>
        </w:tc>
        <w:tc>
          <w:tcPr>
            <w:tcW w:w="1241" w:type="dxa"/>
          </w:tcPr>
          <w:p w14:paraId="4D2411CF" w14:textId="77777777" w:rsidR="000B1F75" w:rsidRPr="000B1F75" w:rsidRDefault="000B1F75" w:rsidP="000B1F75">
            <w:pPr>
              <w:rPr>
                <w:rFonts w:cs="Arial"/>
              </w:rPr>
            </w:pPr>
          </w:p>
        </w:tc>
        <w:tc>
          <w:tcPr>
            <w:tcW w:w="1519" w:type="dxa"/>
          </w:tcPr>
          <w:p w14:paraId="7BCC0EBB" w14:textId="77777777" w:rsidR="000B1F75" w:rsidRPr="000B1F75" w:rsidRDefault="000B1F75" w:rsidP="000B1F75">
            <w:pPr>
              <w:rPr>
                <w:rFonts w:cs="Arial"/>
              </w:rPr>
            </w:pPr>
          </w:p>
        </w:tc>
      </w:tr>
      <w:tr w:rsidR="000B1F75" w14:paraId="2EDC4085" w14:textId="77777777" w:rsidTr="000B1F75">
        <w:tc>
          <w:tcPr>
            <w:tcW w:w="1534" w:type="dxa"/>
          </w:tcPr>
          <w:p w14:paraId="043CFAA6" w14:textId="77777777" w:rsidR="000B1F75" w:rsidRPr="000B1F75" w:rsidRDefault="000B1F75" w:rsidP="000B1F75">
            <w:r w:rsidRPr="000B1F75">
              <w:rPr>
                <w:i/>
                <w:iCs/>
              </w:rPr>
              <w:t xml:space="preserve">Общи нарушения </w:t>
            </w:r>
            <w:r w:rsidRPr="000B1F75">
              <w:rPr>
                <w:i/>
                <w:iCs/>
              </w:rPr>
              <w:lastRenderedPageBreak/>
              <w:t>и ефекти</w:t>
            </w:r>
            <w:r w:rsidRPr="000B1F75">
              <w:rPr>
                <w:i/>
                <w:iCs/>
              </w:rPr>
              <w:tab/>
              <w:t>на</w:t>
            </w:r>
          </w:p>
          <w:p w14:paraId="5D4A46F0" w14:textId="32686EEC" w:rsidR="000B1F75" w:rsidRPr="000B1F75" w:rsidRDefault="000B1F75" w:rsidP="000B1F75">
            <w:pPr>
              <w:rPr>
                <w:rFonts w:cs="Arial"/>
              </w:rPr>
            </w:pPr>
            <w:r w:rsidRPr="000B1F75">
              <w:rPr>
                <w:i/>
                <w:iCs/>
              </w:rPr>
              <w:t>мястото на приложение</w:t>
            </w:r>
          </w:p>
        </w:tc>
        <w:tc>
          <w:tcPr>
            <w:tcW w:w="1090" w:type="dxa"/>
          </w:tcPr>
          <w:p w14:paraId="05904ED7" w14:textId="6B742B8C" w:rsidR="000B1F75" w:rsidRPr="000B1F75" w:rsidRDefault="000B1F75" w:rsidP="000B1F75">
            <w:pPr>
              <w:rPr>
                <w:rFonts w:cs="Arial"/>
              </w:rPr>
            </w:pPr>
            <w:r w:rsidRPr="000B1F75">
              <w:lastRenderedPageBreak/>
              <w:t>Астения</w:t>
            </w:r>
          </w:p>
        </w:tc>
        <w:tc>
          <w:tcPr>
            <w:tcW w:w="1382" w:type="dxa"/>
          </w:tcPr>
          <w:p w14:paraId="0C2D45EE" w14:textId="62B79590" w:rsidR="000B1F75" w:rsidRPr="000B1F75" w:rsidRDefault="000B1F75" w:rsidP="000B1F75">
            <w:pPr>
              <w:rPr>
                <w:rFonts w:cs="Arial"/>
              </w:rPr>
            </w:pPr>
            <w:r w:rsidRPr="000B1F75">
              <w:t>Умора</w:t>
            </w:r>
          </w:p>
        </w:tc>
        <w:tc>
          <w:tcPr>
            <w:tcW w:w="1350" w:type="dxa"/>
          </w:tcPr>
          <w:p w14:paraId="3FE07B4D" w14:textId="37F1B152" w:rsidR="000B1F75" w:rsidRPr="000B1F75" w:rsidRDefault="000B1F75" w:rsidP="000B1F75">
            <w:pPr>
              <w:rPr>
                <w:rFonts w:cs="Arial"/>
              </w:rPr>
            </w:pPr>
            <w:r w:rsidRPr="000B1F75">
              <w:t>Общо неразполо</w:t>
            </w:r>
            <w:r w:rsidRPr="000B1F75">
              <w:lastRenderedPageBreak/>
              <w:t>жен ие, висока температура</w:t>
            </w:r>
          </w:p>
        </w:tc>
        <w:tc>
          <w:tcPr>
            <w:tcW w:w="1460" w:type="dxa"/>
          </w:tcPr>
          <w:p w14:paraId="21E70986" w14:textId="77777777" w:rsidR="000B1F75" w:rsidRPr="000B1F75" w:rsidRDefault="000B1F75" w:rsidP="000B1F75">
            <w:pPr>
              <w:rPr>
                <w:rFonts w:cs="Arial"/>
              </w:rPr>
            </w:pPr>
          </w:p>
        </w:tc>
        <w:tc>
          <w:tcPr>
            <w:tcW w:w="1241" w:type="dxa"/>
          </w:tcPr>
          <w:p w14:paraId="37651746" w14:textId="77777777" w:rsidR="000B1F75" w:rsidRPr="000B1F75" w:rsidRDefault="000B1F75" w:rsidP="000B1F75">
            <w:pPr>
              <w:rPr>
                <w:rFonts w:cs="Arial"/>
              </w:rPr>
            </w:pPr>
          </w:p>
        </w:tc>
        <w:tc>
          <w:tcPr>
            <w:tcW w:w="1519" w:type="dxa"/>
          </w:tcPr>
          <w:p w14:paraId="3C3A97BF" w14:textId="77777777" w:rsidR="000B1F75" w:rsidRPr="000B1F75" w:rsidRDefault="000B1F75" w:rsidP="000B1F75">
            <w:pPr>
              <w:rPr>
                <w:rFonts w:cs="Arial"/>
              </w:rPr>
            </w:pPr>
          </w:p>
        </w:tc>
      </w:tr>
      <w:tr w:rsidR="000B1F75" w14:paraId="1B076F72" w14:textId="77777777" w:rsidTr="000B1F75">
        <w:tc>
          <w:tcPr>
            <w:tcW w:w="1534" w:type="dxa"/>
          </w:tcPr>
          <w:p w14:paraId="52A408C1" w14:textId="4E2C61DE" w:rsidR="000B1F75" w:rsidRPr="000B1F75" w:rsidRDefault="000B1F75" w:rsidP="000B1F75">
            <w:pPr>
              <w:rPr>
                <w:rFonts w:cs="Arial"/>
              </w:rPr>
            </w:pPr>
            <w:r w:rsidRPr="000B1F75">
              <w:rPr>
                <w:i/>
                <w:iCs/>
              </w:rPr>
              <w:t>Изследвания</w:t>
            </w:r>
          </w:p>
        </w:tc>
        <w:tc>
          <w:tcPr>
            <w:tcW w:w="1090" w:type="dxa"/>
          </w:tcPr>
          <w:p w14:paraId="79F0B72A" w14:textId="77777777" w:rsidR="000B1F75" w:rsidRPr="000B1F75" w:rsidRDefault="000B1F75" w:rsidP="000B1F75">
            <w:pPr>
              <w:rPr>
                <w:rFonts w:cs="Arial"/>
              </w:rPr>
            </w:pPr>
          </w:p>
        </w:tc>
        <w:tc>
          <w:tcPr>
            <w:tcW w:w="1382" w:type="dxa"/>
          </w:tcPr>
          <w:p w14:paraId="22AFCB68" w14:textId="17B35BA4" w:rsidR="000B1F75" w:rsidRPr="000B1F75" w:rsidRDefault="000B1F75" w:rsidP="000B1F75">
            <w:pPr>
              <w:rPr>
                <w:rFonts w:cs="Arial"/>
              </w:rPr>
            </w:pPr>
            <w:r w:rsidRPr="000B1F75">
              <w:t>Хиперкалиеми я, повишен серумен креатинин</w:t>
            </w:r>
          </w:p>
        </w:tc>
        <w:tc>
          <w:tcPr>
            <w:tcW w:w="1350" w:type="dxa"/>
          </w:tcPr>
          <w:p w14:paraId="4D1B2614" w14:textId="56CF5BD3" w:rsidR="000B1F75" w:rsidRPr="000B1F75" w:rsidRDefault="000B1F75" w:rsidP="000B1F75">
            <w:pPr>
              <w:rPr>
                <w:rFonts w:cs="Arial"/>
              </w:rPr>
            </w:pPr>
            <w:r w:rsidRPr="000B1F75">
              <w:t>Повишена кръвна у рея, хипонатрием ия</w:t>
            </w:r>
          </w:p>
        </w:tc>
        <w:tc>
          <w:tcPr>
            <w:tcW w:w="1460" w:type="dxa"/>
          </w:tcPr>
          <w:p w14:paraId="2590AA2E" w14:textId="6C027ECC" w:rsidR="000B1F75" w:rsidRPr="000B1F75" w:rsidRDefault="000B1F75" w:rsidP="000B1F75">
            <w:pPr>
              <w:rPr>
                <w:rFonts w:cs="Arial"/>
              </w:rPr>
            </w:pPr>
            <w:r w:rsidRPr="000B1F75">
              <w:t>Повишени стойности на чернодробни ензими, повишени стойности на серумния билирубин</w:t>
            </w:r>
          </w:p>
        </w:tc>
        <w:tc>
          <w:tcPr>
            <w:tcW w:w="1241" w:type="dxa"/>
          </w:tcPr>
          <w:p w14:paraId="39DD632E" w14:textId="77777777" w:rsidR="000B1F75" w:rsidRPr="000B1F75" w:rsidRDefault="000B1F75" w:rsidP="000B1F75">
            <w:pPr>
              <w:rPr>
                <w:rFonts w:cs="Arial"/>
              </w:rPr>
            </w:pPr>
          </w:p>
        </w:tc>
        <w:tc>
          <w:tcPr>
            <w:tcW w:w="1519" w:type="dxa"/>
          </w:tcPr>
          <w:p w14:paraId="7D32A596" w14:textId="77777777" w:rsidR="000B1F75" w:rsidRPr="000B1F75" w:rsidRDefault="000B1F75" w:rsidP="000B1F75">
            <w:pPr>
              <w:rPr>
                <w:rFonts w:cs="Arial"/>
              </w:rPr>
            </w:pPr>
          </w:p>
        </w:tc>
      </w:tr>
    </w:tbl>
    <w:p w14:paraId="3E4CE965"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В клиничните изпитвания честотата на тези в групата на плацебо и тези в трупата на активна контрола е била сравнима.</w:t>
      </w:r>
    </w:p>
    <w:p w14:paraId="2A58530E" w14:textId="77777777" w:rsidR="000B1F75" w:rsidRPr="000B1F75" w:rsidRDefault="000B1F75" w:rsidP="000B1F75">
      <w:pPr>
        <w:spacing w:line="240" w:lineRule="auto"/>
        <w:rPr>
          <w:rFonts w:eastAsia="Times New Roman" w:cs="Arial"/>
          <w:color w:val="000000"/>
          <w:u w:val="single"/>
          <w:lang w:eastAsia="bg-BG"/>
        </w:rPr>
      </w:pPr>
    </w:p>
    <w:p w14:paraId="27A2A175" w14:textId="43F85EC4"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Съобщаване на подозирани нежелани реакции</w:t>
      </w:r>
    </w:p>
    <w:p w14:paraId="2518D03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+35928903417, уебсайт: </w:t>
      </w:r>
      <w:r w:rsidRPr="000B1F75">
        <w:rPr>
          <w:rFonts w:eastAsia="Times New Roman" w:cs="Arial"/>
        </w:rPr>
        <w:fldChar w:fldCharType="begin"/>
      </w:r>
      <w:r w:rsidRPr="000B1F75">
        <w:rPr>
          <w:rFonts w:eastAsia="Times New Roman" w:cs="Arial"/>
        </w:rPr>
        <w:instrText xml:space="preserve"> HYPERLINK "http://www.bda.bg" </w:instrText>
      </w:r>
      <w:r w:rsidRPr="000B1F75">
        <w:rPr>
          <w:rFonts w:eastAsia="Times New Roman" w:cs="Arial"/>
        </w:rPr>
      </w:r>
      <w:r w:rsidRPr="000B1F75">
        <w:rPr>
          <w:rFonts w:eastAsia="Times New Roman" w:cs="Arial"/>
        </w:rPr>
        <w:fldChar w:fldCharType="separate"/>
      </w:r>
      <w:r w:rsidRPr="000B1F75">
        <w:rPr>
          <w:rFonts w:eastAsia="Times New Roman" w:cs="Arial"/>
          <w:color w:val="000000"/>
          <w:lang w:val="en-US"/>
        </w:rPr>
        <w:t>www.bda.bg</w:t>
      </w:r>
      <w:r w:rsidRPr="000B1F75">
        <w:rPr>
          <w:rFonts w:eastAsia="Times New Roman" w:cs="Arial"/>
        </w:rPr>
        <w:fldChar w:fldCharType="end"/>
      </w:r>
      <w:r w:rsidRPr="000B1F75">
        <w:rPr>
          <w:rFonts w:eastAsia="Times New Roman" w:cs="Arial"/>
          <w:color w:val="000000"/>
          <w:lang w:val="en-US"/>
        </w:rPr>
        <w:t>.</w:t>
      </w:r>
    </w:p>
    <w:p w14:paraId="7DC8A22D" w14:textId="77777777" w:rsidR="000B1F75" w:rsidRPr="000B1F75" w:rsidRDefault="000B1F75" w:rsidP="000B1F75">
      <w:pPr>
        <w:rPr>
          <w:rFonts w:cs="Arial"/>
        </w:rPr>
      </w:pPr>
    </w:p>
    <w:p w14:paraId="5A87DBA3" w14:textId="657EB480" w:rsidR="007122AD" w:rsidRDefault="002C50EE" w:rsidP="00936AD0">
      <w:pPr>
        <w:pStyle w:val="Heading2"/>
      </w:pPr>
      <w:r>
        <w:t>4.9. Предозиране</w:t>
      </w:r>
    </w:p>
    <w:p w14:paraId="48DF82E4" w14:textId="41AD505A" w:rsidR="000B1F75" w:rsidRDefault="000B1F75" w:rsidP="000B1F75"/>
    <w:p w14:paraId="4D069A9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Има ограничени данни за предозиране при хора. Най-важните симптоми, свързани с предозиране, са изразена хипотония, започваща около 6 часа след приемането на таблетките, едновременно с блокада на ренин-ангиотензиновата система и ступор. Симптомите, свързани с предозиране на АСЕ инхибитори, може да включват циркулаторен шок, електролитни нарушения, бъбречна недостатъчност, хипервентилация, тахикардия, палпитации, брадикардия, замайване, безпокойство и кашлица. Има съобщения за 100 до 200 пъти по-високи серумни нива на еналаприлат </w:t>
      </w:r>
      <w:r w:rsidRPr="000B1F75">
        <w:rPr>
          <w:rFonts w:eastAsia="Times New Roman" w:cs="Arial"/>
          <w:i/>
          <w:iCs/>
          <w:color w:val="000000"/>
          <w:lang w:eastAsia="bg-BG"/>
        </w:rPr>
        <w:t>след</w:t>
      </w:r>
      <w:r w:rsidRPr="000B1F75">
        <w:rPr>
          <w:rFonts w:eastAsia="Times New Roman" w:cs="Arial"/>
          <w:color w:val="000000"/>
          <w:lang w:eastAsia="bg-BG"/>
        </w:rPr>
        <w:t xml:space="preserve"> приемане на 300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респективно 440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еналаприл, в сравнение с обичайно наблюдаваните след терапевтично дозиране.</w:t>
      </w:r>
    </w:p>
    <w:p w14:paraId="66D0064A" w14:textId="77777777" w:rsidR="000B1F75" w:rsidRDefault="000B1F75" w:rsidP="000B1F75">
      <w:pPr>
        <w:rPr>
          <w:rFonts w:eastAsia="Times New Roman" w:cs="Arial"/>
          <w:color w:val="000000"/>
          <w:lang w:eastAsia="bg-BG"/>
        </w:rPr>
      </w:pPr>
    </w:p>
    <w:p w14:paraId="30F05946" w14:textId="318C1A0C" w:rsidR="000B1F75" w:rsidRPr="000B1F75" w:rsidRDefault="000B1F75" w:rsidP="000B1F75">
      <w:pPr>
        <w:rPr>
          <w:rFonts w:cs="Arial"/>
        </w:rPr>
      </w:pPr>
      <w:r w:rsidRPr="000B1F75">
        <w:rPr>
          <w:rFonts w:eastAsia="Times New Roman" w:cs="Arial"/>
          <w:color w:val="000000"/>
          <w:lang w:eastAsia="bg-BG"/>
        </w:rPr>
        <w:t>Препоръчителното лечение при предозиране е прилагане на интравенозна инфузия с изотоничен физиологичен разтвор. Ако възникне хипотония, пациентът трябва да се постави в легнало положение. Ако са налични, инфузия с ангиотензин II и/или интравенозни катехоламини може да бъдат от полза. Ако приемането на препарата е станало скоро, вземете мерки, насочени към елиминиране на еналаприловия малеат (напр. повръщане, стомашна промивка, приемане на абсорбенти и натриев сулфат). Еналаприлат може да бъде отстранен от кръвообращението чрез хемодиализа (вж. точка 4.4). Пейсмейкър терапията е показана за лечение на резистентна брадикардия. Жизнените показатели, серумните електролити и концентрациите на креатинина трябва да бъдат непрекъснато проследявани.</w:t>
      </w:r>
    </w:p>
    <w:p w14:paraId="02081B24" w14:textId="36FE76F4" w:rsidR="00395555" w:rsidRPr="00395555" w:rsidRDefault="002C50EE" w:rsidP="008A6AF2">
      <w:pPr>
        <w:pStyle w:val="Heading1"/>
      </w:pPr>
      <w:r>
        <w:lastRenderedPageBreak/>
        <w:t>5. ФАРМАКОЛОГИЧНИ СВОЙСТВА</w:t>
      </w:r>
    </w:p>
    <w:p w14:paraId="6339E404" w14:textId="558E2D1B" w:rsidR="00875EEC" w:rsidRDefault="002C50EE" w:rsidP="005726E3">
      <w:pPr>
        <w:pStyle w:val="Heading2"/>
      </w:pPr>
      <w:r>
        <w:t>5.1. Фармакодинамични свойства</w:t>
      </w:r>
    </w:p>
    <w:p w14:paraId="4A65580C" w14:textId="2CEFAC23" w:rsidR="000B1F75" w:rsidRDefault="000B1F75" w:rsidP="000B1F75"/>
    <w:p w14:paraId="6BE180B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Фармакотерапевтична група: инхибитори на ангиотензин-конвертиращия ензим, АТС код: С09АА02</w:t>
      </w:r>
    </w:p>
    <w:p w14:paraId="64CA2E7C" w14:textId="77777777" w:rsidR="000B1F75" w:rsidRDefault="000B1F75" w:rsidP="000B1F75">
      <w:pPr>
        <w:spacing w:line="240" w:lineRule="auto"/>
        <w:rPr>
          <w:rFonts w:eastAsia="Times New Roman" w:cs="Arial"/>
          <w:color w:val="000000"/>
          <w:lang w:eastAsia="bg-BG"/>
        </w:rPr>
      </w:pPr>
    </w:p>
    <w:p w14:paraId="451367FC" w14:textId="698D1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Ренитек (еналаприлов малеат) е малеатна сол на еналаприл, дериват на две аминокиселини, </w:t>
      </w:r>
      <w:r w:rsidRPr="000B1F75">
        <w:rPr>
          <w:rFonts w:eastAsia="Times New Roman" w:cs="Arial"/>
          <w:color w:val="000000"/>
          <w:lang w:val="en-US"/>
        </w:rPr>
        <w:t>L</w:t>
      </w:r>
      <w:r w:rsidRPr="000B1F75">
        <w:rPr>
          <w:rFonts w:eastAsia="Times New Roman" w:cs="Arial"/>
          <w:color w:val="000000"/>
          <w:lang w:val="ru-RU"/>
        </w:rPr>
        <w:t xml:space="preserve">- </w:t>
      </w:r>
      <w:r w:rsidRPr="000B1F75">
        <w:rPr>
          <w:rFonts w:eastAsia="Times New Roman" w:cs="Arial"/>
          <w:color w:val="000000"/>
          <w:lang w:eastAsia="bg-BG"/>
        </w:rPr>
        <w:t xml:space="preserve">аланин и </w:t>
      </w:r>
      <w:r w:rsidRPr="000B1F75">
        <w:rPr>
          <w:rFonts w:eastAsia="Times New Roman" w:cs="Arial"/>
          <w:color w:val="000000"/>
          <w:lang w:val="en-US"/>
        </w:rPr>
        <w:t>L</w:t>
      </w:r>
      <w:r w:rsidRPr="000B1F75">
        <w:rPr>
          <w:rFonts w:eastAsia="Times New Roman" w:cs="Arial"/>
          <w:color w:val="000000"/>
          <w:lang w:eastAsia="bg-BG"/>
        </w:rPr>
        <w:t xml:space="preserve">-пролин. Ангиотензин конвертиращият ензим (АСЕ) е пептидилдипептидаза, която катализира конверсията на ангиотензин I до пресорната субстанция ангиотензин II. След абсорбцията, еналаприл се хидролизира до еналаприлат, който инхибира ангиотензин- конвеитиращия ензим (АСЕ). Инхибирането на АСЕ води до намаляване на плазмения ангиотензин </w:t>
      </w:r>
      <w:r w:rsidRPr="000B1F75">
        <w:rPr>
          <w:rFonts w:eastAsia="Times New Roman" w:cs="Arial"/>
          <w:color w:val="000000"/>
          <w:lang w:val="en-US"/>
        </w:rPr>
        <w:t>II</w:t>
      </w:r>
      <w:r w:rsidRPr="000B1F75">
        <w:rPr>
          <w:rFonts w:eastAsia="Times New Roman" w:cs="Arial"/>
          <w:color w:val="000000"/>
          <w:lang w:eastAsia="bg-BG"/>
        </w:rPr>
        <w:t>, което води до увеличаване на плазмената ренинова активност (в резултат на премахване на негативната обратна връзка на рениново освобождаване), и намаляване на алдостероновата секреция.</w:t>
      </w:r>
    </w:p>
    <w:p w14:paraId="5900C5DE" w14:textId="77777777" w:rsidR="000B1F75" w:rsidRDefault="000B1F75" w:rsidP="000B1F75">
      <w:pPr>
        <w:spacing w:line="240" w:lineRule="auto"/>
        <w:rPr>
          <w:rFonts w:eastAsia="Times New Roman" w:cs="Arial"/>
          <w:color w:val="000000"/>
          <w:lang w:eastAsia="bg-BG"/>
        </w:rPr>
      </w:pPr>
    </w:p>
    <w:p w14:paraId="14890C49" w14:textId="3B66275C" w:rsidR="000B1F75" w:rsidRPr="000B1F75" w:rsidRDefault="000B1F75" w:rsidP="000B1F75">
      <w:pPr>
        <w:spacing w:line="240" w:lineRule="auto"/>
        <w:rPr>
          <w:rFonts w:eastAsia="Times New Roman" w:cs="Arial"/>
        </w:rPr>
      </w:pPr>
      <w:r w:rsidRPr="000B1F75">
        <w:rPr>
          <w:rFonts w:eastAsia="Times New Roman" w:cs="Arial"/>
          <w:color w:val="000000"/>
          <w:lang w:eastAsia="bg-BG"/>
        </w:rPr>
        <w:t>АСЕ е идентичен на кининаза II. Така, Ренитек може също да блокира разграждането на брадикинин, мощен вазодепресорен пептид. Обаче, ролята на този ефект на Ренитек в терапевтично отношение остава да се изясни.</w:t>
      </w:r>
    </w:p>
    <w:p w14:paraId="43ECA2BA" w14:textId="77777777" w:rsidR="000B1F75" w:rsidRDefault="000B1F75" w:rsidP="000B1F75">
      <w:pPr>
        <w:spacing w:line="240" w:lineRule="auto"/>
        <w:rPr>
          <w:rFonts w:eastAsia="Times New Roman" w:cs="Arial"/>
          <w:color w:val="000000"/>
          <w:u w:val="single"/>
          <w:lang w:eastAsia="bg-BG"/>
        </w:rPr>
      </w:pPr>
    </w:p>
    <w:p w14:paraId="68A908E9" w14:textId="0DB3C080"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Механизъм на действие</w:t>
      </w:r>
    </w:p>
    <w:p w14:paraId="37C7BBEB"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Въпреки че се счита, че механизмът, чрез който Ренитек понижава кръвното налягане, е първично потискане на ренин-ангиотензин-алдостероновата система, Ренитек има антихипертензивен ефект, дори при пациенти с ниско-ренинова хипертония.</w:t>
      </w:r>
    </w:p>
    <w:p w14:paraId="3F3B7B34" w14:textId="77777777" w:rsidR="000B1F75" w:rsidRDefault="000B1F75" w:rsidP="000B1F75">
      <w:pPr>
        <w:spacing w:line="240" w:lineRule="auto"/>
        <w:rPr>
          <w:rFonts w:eastAsia="Times New Roman" w:cs="Arial"/>
          <w:color w:val="000000"/>
          <w:u w:val="single"/>
          <w:lang w:eastAsia="bg-BG"/>
        </w:rPr>
      </w:pPr>
    </w:p>
    <w:p w14:paraId="04810815" w14:textId="6C4C1E83" w:rsidR="000B1F75" w:rsidRPr="000B1F75" w:rsidRDefault="000B1F75" w:rsidP="000B1F75">
      <w:pPr>
        <w:spacing w:line="240" w:lineRule="auto"/>
        <w:rPr>
          <w:rFonts w:eastAsia="Times New Roman" w:cs="Arial"/>
          <w:color w:val="000000"/>
          <w:u w:val="single"/>
          <w:lang w:eastAsia="bg-BG"/>
        </w:rPr>
      </w:pPr>
      <w:r w:rsidRPr="000B1F75">
        <w:rPr>
          <w:rFonts w:eastAsia="Times New Roman" w:cs="Arial"/>
          <w:color w:val="000000"/>
          <w:u w:val="single"/>
          <w:lang w:eastAsia="bg-BG"/>
        </w:rPr>
        <w:t>Фармакодинамични ефекти</w:t>
      </w:r>
    </w:p>
    <w:p w14:paraId="651FBBB5"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Приемът на Ренитек при пациенти с хипертония води до намаляване на кръвното налягане, както в легнало, така и в изправено положение без значително увеличаване на сърдечната честота.</w:t>
      </w:r>
    </w:p>
    <w:p w14:paraId="58156C80" w14:textId="77777777" w:rsidR="000B1F75" w:rsidRDefault="000B1F75" w:rsidP="000B1F75">
      <w:pPr>
        <w:spacing w:line="240" w:lineRule="auto"/>
        <w:rPr>
          <w:rFonts w:eastAsia="Times New Roman" w:cs="Arial"/>
          <w:color w:val="000000"/>
          <w:lang w:eastAsia="bg-BG"/>
        </w:rPr>
      </w:pPr>
    </w:p>
    <w:p w14:paraId="0D7103CC" w14:textId="67F25E38" w:rsidR="000B1F75" w:rsidRPr="000B1F75" w:rsidRDefault="000B1F75" w:rsidP="000B1F75">
      <w:pPr>
        <w:spacing w:line="240" w:lineRule="auto"/>
        <w:rPr>
          <w:rFonts w:eastAsia="Times New Roman" w:cs="Arial"/>
        </w:rPr>
      </w:pPr>
      <w:r w:rsidRPr="000B1F75">
        <w:rPr>
          <w:rFonts w:eastAsia="Times New Roman" w:cs="Arial"/>
          <w:color w:val="000000"/>
          <w:lang w:eastAsia="bg-BG"/>
        </w:rPr>
        <w:t>Симптоматичната ортостатична хипотония е рядка. При някои пациенти оптималното понижаване на кръвното налягане може да изисква продължителност на терапията няколко седмици. Внезапното спиране на Ренитек не би трябвало да се свързва с рязко увеличаване на кръвното налягане.</w:t>
      </w:r>
    </w:p>
    <w:p w14:paraId="442FD2A4" w14:textId="77777777" w:rsidR="000B1F75" w:rsidRDefault="000B1F75" w:rsidP="000B1F75">
      <w:pPr>
        <w:spacing w:line="240" w:lineRule="auto"/>
        <w:rPr>
          <w:rFonts w:eastAsia="Times New Roman" w:cs="Arial"/>
          <w:color w:val="000000"/>
          <w:lang w:eastAsia="bg-BG"/>
        </w:rPr>
      </w:pPr>
    </w:p>
    <w:p w14:paraId="43AB51F2" w14:textId="48F04264" w:rsidR="000B1F75" w:rsidRPr="000B1F75" w:rsidRDefault="000B1F75" w:rsidP="000B1F75">
      <w:pPr>
        <w:spacing w:line="240" w:lineRule="auto"/>
        <w:rPr>
          <w:rFonts w:eastAsia="Times New Roman" w:cs="Arial"/>
        </w:rPr>
      </w:pPr>
      <w:r w:rsidRPr="000B1F75">
        <w:rPr>
          <w:rFonts w:eastAsia="Times New Roman" w:cs="Arial"/>
          <w:color w:val="000000"/>
          <w:lang w:eastAsia="bg-BG"/>
        </w:rPr>
        <w:t>Ефективно инхибиране на АСЕ активността обикновено настъпва 2 до 4 часа след перорален прием на единична доза еналаприл. Началото на антихипертензивната активност е наблюдавано обикновено на първия час, с пиково намаляване на кръвното налягане, постигнато 4 до 6 часа след приема. Продължителността на ефекта зависи от дозата. Обаче, при препоръчителните дози, антихипертензивният и хемодинамичен ефект се поддържат най-малко 24 часа.</w:t>
      </w:r>
    </w:p>
    <w:p w14:paraId="0A376408" w14:textId="77777777" w:rsidR="000B1F75" w:rsidRDefault="000B1F75" w:rsidP="000B1F75">
      <w:pPr>
        <w:spacing w:line="240" w:lineRule="auto"/>
        <w:rPr>
          <w:rFonts w:eastAsia="Times New Roman" w:cs="Arial"/>
          <w:color w:val="000000"/>
          <w:lang w:eastAsia="bg-BG"/>
        </w:rPr>
      </w:pPr>
    </w:p>
    <w:p w14:paraId="1E738A88" w14:textId="79B0AF06" w:rsidR="000B1F75" w:rsidRPr="000B1F75" w:rsidRDefault="000B1F75" w:rsidP="000B1F75">
      <w:pPr>
        <w:spacing w:line="240" w:lineRule="auto"/>
        <w:rPr>
          <w:rFonts w:eastAsia="Times New Roman" w:cs="Arial"/>
        </w:rPr>
      </w:pPr>
      <w:r w:rsidRPr="000B1F75">
        <w:rPr>
          <w:rFonts w:eastAsia="Times New Roman" w:cs="Arial"/>
          <w:color w:val="000000"/>
          <w:lang w:eastAsia="bg-BG"/>
        </w:rPr>
        <w:t>В хемодинамични проучвания на пациенти с есенциална хипертония, намаляването на кръвното налягане е придружено от намаляване на периферната артериална резистентност с увеличаване на сърдечния ударен обем и малка или липсваща промяна в сърдечната честота.</w:t>
      </w:r>
    </w:p>
    <w:p w14:paraId="05C011BA" w14:textId="77777777" w:rsidR="000B1F75" w:rsidRDefault="000B1F75" w:rsidP="000B1F75">
      <w:pPr>
        <w:spacing w:line="240" w:lineRule="auto"/>
        <w:rPr>
          <w:rFonts w:eastAsia="Times New Roman" w:cs="Arial"/>
          <w:color w:val="000000"/>
          <w:lang w:eastAsia="bg-BG"/>
        </w:rPr>
      </w:pPr>
    </w:p>
    <w:p w14:paraId="5196402C" w14:textId="0A053B49" w:rsidR="000B1F75" w:rsidRPr="000B1F75" w:rsidRDefault="000B1F75" w:rsidP="000B1F75">
      <w:pPr>
        <w:spacing w:line="240" w:lineRule="auto"/>
        <w:rPr>
          <w:rFonts w:eastAsia="Times New Roman" w:cs="Arial"/>
        </w:rPr>
      </w:pPr>
      <w:r w:rsidRPr="000B1F75">
        <w:rPr>
          <w:rFonts w:eastAsia="Times New Roman" w:cs="Arial"/>
          <w:color w:val="000000"/>
          <w:lang w:eastAsia="bg-BG"/>
        </w:rPr>
        <w:t>Вследствие приема на Ренитек, има увеличаване на бъбречния кръвоток; нивото на гломерулната филтрация е непроменено. Няма доказателства за задръжка на натрий или вода. Обаче, при пациенти с ниско ниво на гломерулната филтрация преди лечението, това ниво обикновено се увеличава.</w:t>
      </w:r>
    </w:p>
    <w:p w14:paraId="7C3DB1F2" w14:textId="77777777" w:rsidR="000B1F75" w:rsidRDefault="000B1F75" w:rsidP="000B1F75">
      <w:pPr>
        <w:spacing w:line="240" w:lineRule="auto"/>
        <w:rPr>
          <w:rFonts w:eastAsia="Times New Roman" w:cs="Arial"/>
          <w:color w:val="000000"/>
          <w:lang w:eastAsia="bg-BG"/>
        </w:rPr>
      </w:pPr>
    </w:p>
    <w:p w14:paraId="0C28BDBE" w14:textId="3474B482"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В краткотрайни клинични проучвания при пациенти със и без диабет, с бъбречно заболяване след прием на еналаприл е наблюдавано намаление на албуминурията и на екскрецията с урината на </w:t>
      </w:r>
      <w:r w:rsidRPr="000B1F75">
        <w:rPr>
          <w:rFonts w:eastAsia="Times New Roman" w:cs="Arial"/>
          <w:color w:val="000000"/>
          <w:lang w:val="en-US"/>
        </w:rPr>
        <w:t>IgG</w:t>
      </w:r>
      <w:r w:rsidRPr="000B1F75">
        <w:rPr>
          <w:rFonts w:eastAsia="Times New Roman" w:cs="Arial"/>
          <w:color w:val="000000"/>
          <w:lang w:val="ru-RU"/>
        </w:rPr>
        <w:t xml:space="preserve"> </w:t>
      </w:r>
      <w:r w:rsidRPr="000B1F75">
        <w:rPr>
          <w:rFonts w:eastAsia="Times New Roman" w:cs="Arial"/>
          <w:color w:val="000000"/>
          <w:lang w:eastAsia="bg-BG"/>
        </w:rPr>
        <w:t>и общ белтък.</w:t>
      </w:r>
    </w:p>
    <w:p w14:paraId="01AB8426" w14:textId="65E07F22" w:rsidR="000B1F75" w:rsidRDefault="000B1F75" w:rsidP="000B1F75"/>
    <w:p w14:paraId="69BF7C99"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Когато се дава заедно </w:t>
      </w:r>
      <w:r w:rsidRPr="000B1F75">
        <w:rPr>
          <w:rFonts w:eastAsia="Times New Roman" w:cs="Arial"/>
          <w:i/>
          <w:iCs/>
          <w:color w:val="000000"/>
          <w:lang w:eastAsia="bg-BG"/>
        </w:rPr>
        <w:t>с</w:t>
      </w:r>
      <w:r w:rsidRPr="000B1F75">
        <w:rPr>
          <w:rFonts w:eastAsia="Times New Roman" w:cs="Arial"/>
          <w:color w:val="000000"/>
          <w:lang w:eastAsia="bg-BG"/>
        </w:rPr>
        <w:t xml:space="preserve"> тиазидни диуретици, ефектът на Ренитек, водещ до намаляване на кръвното налягане, е най-малко адитивен. Ренитек може да намали или да предпази от развитие на тиазид-индуцирана хипокалиемия.</w:t>
      </w:r>
    </w:p>
    <w:p w14:paraId="6A5728DB" w14:textId="77777777" w:rsidR="000B1F75" w:rsidRDefault="000B1F75" w:rsidP="000B1F75">
      <w:pPr>
        <w:spacing w:line="240" w:lineRule="auto"/>
        <w:rPr>
          <w:rFonts w:eastAsia="Times New Roman" w:cs="Arial"/>
          <w:color w:val="000000"/>
          <w:lang w:eastAsia="bg-BG"/>
        </w:rPr>
      </w:pPr>
    </w:p>
    <w:p w14:paraId="721BE1A8" w14:textId="6438991F"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При пациенти със сърдечна недостатъчност на терапия с дигиталисови гликозиди и диуретици, лечението с перорален или инжекционен Ренитек е свързано с намаляване на периферната резистентност и кръвното налягане. Сърдечният ударен обем е увеличен, докато сърдечната честота (обичайно висока при пациенти със сърдечна недостатъчност) е намалена. Белодробното капилярно налягане също намалява. Подобрени са физическата активност и тежестта на сърдечна недостатъчност, измервана спрямо критериите на </w:t>
      </w:r>
      <w:r w:rsidRPr="000B1F75">
        <w:rPr>
          <w:rFonts w:eastAsia="Times New Roman" w:cs="Arial"/>
          <w:color w:val="000000"/>
          <w:lang w:val="en-US"/>
        </w:rPr>
        <w:t>New</w:t>
      </w:r>
      <w:r w:rsidRPr="000B1F75">
        <w:rPr>
          <w:rFonts w:eastAsia="Times New Roman" w:cs="Arial"/>
          <w:color w:val="000000"/>
          <w:lang w:val="ru-RU"/>
        </w:rPr>
        <w:t xml:space="preserve"> </w:t>
      </w:r>
      <w:r w:rsidRPr="000B1F75">
        <w:rPr>
          <w:rFonts w:eastAsia="Times New Roman" w:cs="Arial"/>
          <w:color w:val="000000"/>
          <w:lang w:val="en-US"/>
        </w:rPr>
        <w:t>York</w:t>
      </w:r>
      <w:r w:rsidRPr="000B1F75">
        <w:rPr>
          <w:rFonts w:eastAsia="Times New Roman" w:cs="Arial"/>
          <w:color w:val="000000"/>
          <w:lang w:val="ru-RU"/>
        </w:rPr>
        <w:t xml:space="preserve"> </w:t>
      </w:r>
      <w:r w:rsidRPr="000B1F75">
        <w:rPr>
          <w:rFonts w:eastAsia="Times New Roman" w:cs="Arial"/>
          <w:color w:val="000000"/>
          <w:lang w:val="en-US"/>
        </w:rPr>
        <w:t>Heart</w:t>
      </w:r>
      <w:r w:rsidRPr="000B1F75">
        <w:rPr>
          <w:rFonts w:eastAsia="Times New Roman" w:cs="Arial"/>
          <w:color w:val="000000"/>
          <w:lang w:val="ru-RU"/>
        </w:rPr>
        <w:t xml:space="preserve"> </w:t>
      </w:r>
      <w:r w:rsidRPr="000B1F75">
        <w:rPr>
          <w:rFonts w:eastAsia="Times New Roman" w:cs="Arial"/>
          <w:color w:val="000000"/>
          <w:lang w:val="en-US"/>
        </w:rPr>
        <w:t>Association</w:t>
      </w:r>
      <w:r w:rsidRPr="000B1F75">
        <w:rPr>
          <w:rFonts w:eastAsia="Times New Roman" w:cs="Arial"/>
          <w:color w:val="000000"/>
          <w:lang w:val="ru-RU"/>
        </w:rPr>
        <w:t xml:space="preserve"> (</w:t>
      </w:r>
      <w:r w:rsidRPr="000B1F75">
        <w:rPr>
          <w:rFonts w:eastAsia="Times New Roman" w:cs="Arial"/>
          <w:color w:val="000000"/>
          <w:lang w:val="en-US"/>
        </w:rPr>
        <w:t>NYHA</w:t>
      </w:r>
      <w:r w:rsidRPr="000B1F75">
        <w:rPr>
          <w:rFonts w:eastAsia="Times New Roman" w:cs="Arial"/>
          <w:color w:val="000000"/>
          <w:lang w:val="ru-RU"/>
        </w:rPr>
        <w:t xml:space="preserve">). </w:t>
      </w:r>
      <w:r w:rsidRPr="000B1F75">
        <w:rPr>
          <w:rFonts w:eastAsia="Times New Roman" w:cs="Arial"/>
          <w:color w:val="000000"/>
          <w:lang w:eastAsia="bg-BG"/>
        </w:rPr>
        <w:t>Тези ефекти са продължили по време на хроничната терапия.</w:t>
      </w:r>
    </w:p>
    <w:p w14:paraId="71A11B00" w14:textId="77777777" w:rsidR="000B1F75" w:rsidRDefault="000B1F75" w:rsidP="000B1F75">
      <w:pPr>
        <w:spacing w:line="240" w:lineRule="auto"/>
        <w:rPr>
          <w:rFonts w:eastAsia="Times New Roman" w:cs="Arial"/>
          <w:color w:val="000000"/>
          <w:lang w:eastAsia="bg-BG"/>
        </w:rPr>
      </w:pPr>
    </w:p>
    <w:p w14:paraId="32ACCF56" w14:textId="2CC7374C"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пациенти с лека до умерена сърдечна недостатъчност, еналаприл е забавил прогресията на сърдечна дилатация/уголемяване и недостатъчност, доказано чрез редукцията на левокамерния краен диастолен и систолен обем и подобрената фракция на изтласкване.</w:t>
      </w:r>
    </w:p>
    <w:p w14:paraId="26CB3737" w14:textId="77777777" w:rsidR="000B1F75" w:rsidRDefault="000B1F75" w:rsidP="000B1F75">
      <w:pPr>
        <w:spacing w:line="240" w:lineRule="auto"/>
        <w:rPr>
          <w:rFonts w:eastAsia="Times New Roman" w:cs="Arial"/>
          <w:color w:val="000000"/>
          <w:u w:val="single"/>
          <w:lang w:eastAsia="bg-BG"/>
        </w:rPr>
      </w:pPr>
    </w:p>
    <w:p w14:paraId="2A9ADFE6" w14:textId="4C95B846"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Двойно блокиране на пенин-ангиотензин-алдостероновата система (РААС)</w:t>
      </w:r>
    </w:p>
    <w:p w14:paraId="13E57377" w14:textId="77777777" w:rsidR="000B1F75" w:rsidRDefault="000B1F75" w:rsidP="000B1F75">
      <w:pPr>
        <w:spacing w:line="240" w:lineRule="auto"/>
        <w:rPr>
          <w:rFonts w:eastAsia="Times New Roman" w:cs="Arial"/>
          <w:color w:val="000000"/>
          <w:lang w:eastAsia="bg-BG"/>
        </w:rPr>
      </w:pPr>
    </w:p>
    <w:p w14:paraId="128C433D" w14:textId="5D11EE0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Две големи рандомизирани контролирани проучвания - </w:t>
      </w:r>
      <w:r w:rsidRPr="000B1F75">
        <w:rPr>
          <w:rFonts w:eastAsia="Times New Roman" w:cs="Arial"/>
          <w:color w:val="000000"/>
          <w:lang w:val="en-US"/>
        </w:rPr>
        <w:t>ONTARGET</w:t>
      </w:r>
      <w:r w:rsidRPr="000B1F75">
        <w:rPr>
          <w:rFonts w:eastAsia="Times New Roman" w:cs="Arial"/>
          <w:color w:val="000000"/>
        </w:rPr>
        <w:t xml:space="preserve"> (</w:t>
      </w:r>
      <w:proofErr w:type="spellStart"/>
      <w:r w:rsidRPr="000B1F75">
        <w:rPr>
          <w:rFonts w:eastAsia="Times New Roman" w:cs="Arial"/>
          <w:color w:val="000000"/>
          <w:lang w:val="en-US"/>
        </w:rPr>
        <w:t>ONgoing</w:t>
      </w:r>
      <w:proofErr w:type="spellEnd"/>
      <w:r w:rsidRPr="000B1F75">
        <w:rPr>
          <w:rFonts w:eastAsia="Times New Roman" w:cs="Arial"/>
          <w:color w:val="000000"/>
        </w:rPr>
        <w:t xml:space="preserve"> </w:t>
      </w:r>
      <w:proofErr w:type="spellStart"/>
      <w:r w:rsidRPr="000B1F75">
        <w:rPr>
          <w:rFonts w:eastAsia="Times New Roman" w:cs="Arial"/>
          <w:color w:val="000000"/>
          <w:lang w:val="en-US"/>
        </w:rPr>
        <w:t>Telmisartan</w:t>
      </w:r>
      <w:proofErr w:type="spellEnd"/>
      <w:r w:rsidRPr="000B1F75">
        <w:rPr>
          <w:rFonts w:eastAsia="Times New Roman" w:cs="Arial"/>
          <w:color w:val="000000"/>
        </w:rPr>
        <w:t xml:space="preserve"> </w:t>
      </w:r>
      <w:r w:rsidRPr="000B1F75">
        <w:rPr>
          <w:rFonts w:eastAsia="Times New Roman" w:cs="Arial"/>
          <w:color w:val="000000"/>
          <w:lang w:val="en-US"/>
        </w:rPr>
        <w:t>Alone</w:t>
      </w:r>
      <w:r w:rsidRPr="000B1F75">
        <w:rPr>
          <w:rFonts w:eastAsia="Times New Roman" w:cs="Arial"/>
          <w:color w:val="000000"/>
        </w:rPr>
        <w:t xml:space="preserve"> </w:t>
      </w:r>
      <w:r w:rsidRPr="000B1F75">
        <w:rPr>
          <w:rFonts w:eastAsia="Times New Roman" w:cs="Arial"/>
          <w:color w:val="000000"/>
          <w:lang w:val="en-US"/>
        </w:rPr>
        <w:t>and</w:t>
      </w:r>
      <w:r w:rsidRPr="000B1F75">
        <w:rPr>
          <w:rFonts w:eastAsia="Times New Roman" w:cs="Arial"/>
          <w:color w:val="000000"/>
        </w:rPr>
        <w:t xml:space="preserve"> </w:t>
      </w:r>
      <w:r w:rsidRPr="000B1F75">
        <w:rPr>
          <w:rFonts w:eastAsia="Times New Roman" w:cs="Arial"/>
          <w:color w:val="000000"/>
          <w:lang w:val="en-US"/>
        </w:rPr>
        <w:t>in</w:t>
      </w:r>
      <w:r w:rsidRPr="000B1F75">
        <w:rPr>
          <w:rFonts w:eastAsia="Times New Roman" w:cs="Arial"/>
          <w:color w:val="000000"/>
        </w:rPr>
        <w:t xml:space="preserve"> </w:t>
      </w:r>
      <w:r w:rsidRPr="000B1F75">
        <w:rPr>
          <w:rFonts w:eastAsia="Times New Roman" w:cs="Arial"/>
          <w:color w:val="000000"/>
          <w:lang w:val="en-US"/>
        </w:rPr>
        <w:t>combination</w:t>
      </w:r>
      <w:r w:rsidRPr="000B1F75">
        <w:rPr>
          <w:rFonts w:eastAsia="Times New Roman" w:cs="Arial"/>
          <w:color w:val="000000"/>
        </w:rPr>
        <w:t xml:space="preserve"> </w:t>
      </w:r>
      <w:r w:rsidRPr="000B1F75">
        <w:rPr>
          <w:rFonts w:eastAsia="Times New Roman" w:cs="Arial"/>
          <w:color w:val="000000"/>
          <w:lang w:val="en-US"/>
        </w:rPr>
        <w:t>with</w:t>
      </w:r>
      <w:r w:rsidRPr="000B1F75">
        <w:rPr>
          <w:rFonts w:eastAsia="Times New Roman" w:cs="Arial"/>
          <w:color w:val="000000"/>
        </w:rPr>
        <w:t xml:space="preserve"> </w:t>
      </w:r>
      <w:r w:rsidRPr="000B1F75">
        <w:rPr>
          <w:rFonts w:eastAsia="Times New Roman" w:cs="Arial"/>
          <w:color w:val="000000"/>
          <w:lang w:val="en-US"/>
        </w:rPr>
        <w:t>Ramipril</w:t>
      </w:r>
      <w:r w:rsidRPr="000B1F75">
        <w:rPr>
          <w:rFonts w:eastAsia="Times New Roman" w:cs="Arial"/>
          <w:color w:val="000000"/>
        </w:rPr>
        <w:t xml:space="preserve"> </w:t>
      </w:r>
      <w:r w:rsidRPr="000B1F75">
        <w:rPr>
          <w:rFonts w:eastAsia="Times New Roman" w:cs="Arial"/>
          <w:color w:val="000000"/>
          <w:lang w:val="en-US"/>
        </w:rPr>
        <w:t>Global</w:t>
      </w:r>
      <w:r w:rsidRPr="000B1F75">
        <w:rPr>
          <w:rFonts w:eastAsia="Times New Roman" w:cs="Arial"/>
          <w:color w:val="000000"/>
        </w:rPr>
        <w:t xml:space="preserve"> </w:t>
      </w:r>
      <w:r w:rsidRPr="000B1F75">
        <w:rPr>
          <w:rFonts w:eastAsia="Times New Roman" w:cs="Arial"/>
          <w:color w:val="000000"/>
          <w:lang w:val="en-US"/>
        </w:rPr>
        <w:t>Endpoint</w:t>
      </w:r>
      <w:r w:rsidRPr="000B1F75">
        <w:rPr>
          <w:rFonts w:eastAsia="Times New Roman" w:cs="Arial"/>
          <w:color w:val="000000"/>
        </w:rPr>
        <w:t xml:space="preserve"> </w:t>
      </w:r>
      <w:r w:rsidRPr="000B1F75">
        <w:rPr>
          <w:rFonts w:eastAsia="Times New Roman" w:cs="Arial"/>
          <w:color w:val="000000"/>
          <w:lang w:val="en-US"/>
        </w:rPr>
        <w:t>Trial</w:t>
      </w:r>
      <w:r w:rsidRPr="000B1F75">
        <w:rPr>
          <w:rFonts w:eastAsia="Times New Roman" w:cs="Arial"/>
          <w:color w:val="000000"/>
        </w:rPr>
        <w:t xml:space="preserve"> - </w:t>
      </w:r>
      <w:r w:rsidRPr="000B1F75">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0B1F75">
        <w:rPr>
          <w:rFonts w:eastAsia="Times New Roman" w:cs="Arial"/>
          <w:color w:val="000000"/>
          <w:lang w:val="en-US"/>
        </w:rPr>
        <w:t>VA</w:t>
      </w:r>
      <w:r w:rsidRPr="000B1F75">
        <w:rPr>
          <w:rFonts w:eastAsia="Times New Roman" w:cs="Arial"/>
          <w:color w:val="000000"/>
        </w:rPr>
        <w:t xml:space="preserve"> </w:t>
      </w:r>
      <w:r w:rsidRPr="000B1F75">
        <w:rPr>
          <w:rFonts w:eastAsia="Times New Roman" w:cs="Arial"/>
          <w:color w:val="000000"/>
          <w:lang w:val="en-US"/>
        </w:rPr>
        <w:t>NEPHRON</w:t>
      </w:r>
      <w:r w:rsidRPr="000B1F75">
        <w:rPr>
          <w:rFonts w:eastAsia="Times New Roman" w:cs="Arial"/>
          <w:color w:val="000000"/>
        </w:rPr>
        <w:t>-</w:t>
      </w:r>
      <w:r w:rsidRPr="000B1F75">
        <w:rPr>
          <w:rFonts w:eastAsia="Times New Roman" w:cs="Arial"/>
          <w:color w:val="000000"/>
          <w:lang w:val="en-US"/>
        </w:rPr>
        <w:t>D</w:t>
      </w:r>
      <w:r w:rsidRPr="000B1F75">
        <w:rPr>
          <w:rFonts w:eastAsia="Times New Roman" w:cs="Arial"/>
          <w:color w:val="000000"/>
        </w:rPr>
        <w:t xml:space="preserve"> </w:t>
      </w:r>
      <w:r w:rsidRPr="000B1F75">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0B1F75">
        <w:rPr>
          <w:rFonts w:eastAsia="Times New Roman" w:cs="Arial"/>
          <w:color w:val="000000"/>
          <w:lang w:val="en-US"/>
        </w:rPr>
        <w:t>II</w:t>
      </w:r>
      <w:r w:rsidRPr="000B1F75">
        <w:rPr>
          <w:rFonts w:eastAsia="Times New Roman" w:cs="Arial"/>
          <w:color w:val="000000"/>
          <w:lang w:eastAsia="bg-BG"/>
        </w:rPr>
        <w:t>-рецепторен блокер.</w:t>
      </w:r>
    </w:p>
    <w:p w14:paraId="4DF3D625" w14:textId="77777777" w:rsidR="000B1F75" w:rsidRDefault="000B1F75" w:rsidP="000B1F75">
      <w:pPr>
        <w:spacing w:line="240" w:lineRule="auto"/>
        <w:rPr>
          <w:rFonts w:eastAsia="Times New Roman" w:cs="Arial"/>
          <w:color w:val="000000"/>
          <w:lang w:val="en-US"/>
        </w:rPr>
      </w:pPr>
    </w:p>
    <w:p w14:paraId="29FC35FB" w14:textId="648B4570" w:rsidR="000B1F75" w:rsidRPr="000B1F75" w:rsidRDefault="000B1F75" w:rsidP="000B1F75">
      <w:pPr>
        <w:spacing w:line="240" w:lineRule="auto"/>
        <w:rPr>
          <w:rFonts w:eastAsia="Times New Roman" w:cs="Arial"/>
        </w:rPr>
      </w:pPr>
      <w:r w:rsidRPr="000B1F75">
        <w:rPr>
          <w:rFonts w:eastAsia="Times New Roman" w:cs="Arial"/>
          <w:color w:val="000000"/>
          <w:lang w:val="en-US"/>
        </w:rPr>
        <w:t>ONTARGET</w:t>
      </w:r>
      <w:r w:rsidRPr="000B1F75">
        <w:rPr>
          <w:rFonts w:eastAsia="Times New Roman" w:cs="Arial"/>
          <w:color w:val="000000"/>
          <w:lang w:val="ru-RU"/>
        </w:rPr>
        <w:t xml:space="preserve"> </w:t>
      </w:r>
      <w:r w:rsidRPr="000B1F75">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0B1F75">
        <w:rPr>
          <w:rFonts w:eastAsia="Times New Roman" w:cs="Arial"/>
          <w:color w:val="000000"/>
          <w:lang w:val="en-US"/>
        </w:rPr>
        <w:t>VA</w:t>
      </w:r>
      <w:r w:rsidRPr="000B1F75">
        <w:rPr>
          <w:rFonts w:eastAsia="Times New Roman" w:cs="Arial"/>
          <w:color w:val="000000"/>
          <w:lang w:val="ru-RU"/>
        </w:rPr>
        <w:t xml:space="preserve"> </w:t>
      </w:r>
      <w:r w:rsidRPr="000B1F75">
        <w:rPr>
          <w:rFonts w:eastAsia="Times New Roman" w:cs="Arial"/>
          <w:color w:val="000000"/>
          <w:lang w:val="en-US"/>
        </w:rPr>
        <w:t>NEPHRON</w:t>
      </w:r>
      <w:r w:rsidRPr="000B1F75">
        <w:rPr>
          <w:rFonts w:eastAsia="Times New Roman" w:cs="Arial"/>
          <w:color w:val="000000"/>
          <w:lang w:val="ru-RU"/>
        </w:rPr>
        <w:t>-</w:t>
      </w:r>
      <w:r w:rsidRPr="000B1F75">
        <w:rPr>
          <w:rFonts w:eastAsia="Times New Roman" w:cs="Arial"/>
          <w:color w:val="000000"/>
          <w:lang w:val="en-US"/>
        </w:rPr>
        <w:t>D</w:t>
      </w:r>
      <w:r w:rsidRPr="000B1F75">
        <w:rPr>
          <w:rFonts w:eastAsia="Times New Roman" w:cs="Arial"/>
          <w:color w:val="000000"/>
          <w:lang w:val="ru-RU"/>
        </w:rPr>
        <w:t xml:space="preserve"> </w:t>
      </w:r>
      <w:r w:rsidRPr="000B1F75">
        <w:rPr>
          <w:rFonts w:eastAsia="Times New Roman" w:cs="Arial"/>
          <w:color w:val="000000"/>
          <w:lang w:eastAsia="bg-BG"/>
        </w:rPr>
        <w:t>е проучване при пациенти със захарен диабет тип 2 и диабетна нефропатия.</w:t>
      </w:r>
    </w:p>
    <w:p w14:paraId="0D83465C" w14:textId="77777777" w:rsidR="000B1F75" w:rsidRDefault="000B1F75" w:rsidP="000B1F75">
      <w:pPr>
        <w:spacing w:line="240" w:lineRule="auto"/>
        <w:rPr>
          <w:rFonts w:eastAsia="Times New Roman" w:cs="Arial"/>
          <w:color w:val="000000"/>
          <w:lang w:eastAsia="bg-BG"/>
        </w:rPr>
      </w:pPr>
    </w:p>
    <w:p w14:paraId="4BAFA836" w14:textId="1E6B17F8" w:rsidR="000B1F75" w:rsidRPr="000B1F75" w:rsidRDefault="000B1F75" w:rsidP="000B1F75">
      <w:pPr>
        <w:spacing w:line="240" w:lineRule="auto"/>
        <w:rPr>
          <w:rFonts w:eastAsia="Times New Roman" w:cs="Arial"/>
        </w:rPr>
      </w:pPr>
      <w:r w:rsidRPr="000B1F75">
        <w:rPr>
          <w:rFonts w:eastAsia="Times New Roman" w:cs="Arial"/>
          <w:color w:val="000000"/>
          <w:lang w:eastAsia="bg-BG"/>
        </w:rPr>
        <w:t>Тези проучвания не показват значим благоприятен ефект върху бъбречните и/или сърдечно</w:t>
      </w:r>
      <w:r w:rsidRPr="000B1F75">
        <w:rPr>
          <w:rFonts w:eastAsia="Times New Roman" w:cs="Arial"/>
          <w:color w:val="000000"/>
          <w:lang w:eastAsia="bg-BG"/>
        </w:rPr>
        <w:softHyphen/>
        <w:t>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 Като се имат предвид сходните им фармакодинамични свойства, тези резултати са приложими и за други АСЕ инхибитори и ангиотензин П-рецепторни блокери.</w:t>
      </w:r>
    </w:p>
    <w:p w14:paraId="2429DD64" w14:textId="77777777" w:rsidR="000B1F75" w:rsidRDefault="000B1F75" w:rsidP="000B1F75">
      <w:pPr>
        <w:spacing w:line="240" w:lineRule="auto"/>
        <w:rPr>
          <w:rFonts w:eastAsia="Times New Roman" w:cs="Arial"/>
          <w:color w:val="000000"/>
          <w:lang w:eastAsia="bg-BG"/>
        </w:rPr>
      </w:pPr>
    </w:p>
    <w:p w14:paraId="2CD50B24" w14:textId="002EF2EB"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АСЕ инхибитори и ангиотензин </w:t>
      </w:r>
      <w:r w:rsidRPr="000B1F75">
        <w:rPr>
          <w:rFonts w:eastAsia="Times New Roman" w:cs="Arial"/>
          <w:color w:val="000000"/>
          <w:lang w:val="en-US"/>
        </w:rPr>
        <w:t>II</w:t>
      </w:r>
      <w:r w:rsidRPr="000B1F75">
        <w:rPr>
          <w:rFonts w:eastAsia="Times New Roman" w:cs="Arial"/>
          <w:color w:val="000000"/>
          <w:lang w:eastAsia="bg-BG"/>
        </w:rPr>
        <w:t>-рецепторни блокери следователно не трябва да се използват едновременно при пациенти с диабетна нефропатия.</w:t>
      </w:r>
    </w:p>
    <w:p w14:paraId="4313162D" w14:textId="77777777" w:rsidR="000B1F75" w:rsidRDefault="000B1F75" w:rsidP="000B1F75">
      <w:pPr>
        <w:spacing w:line="240" w:lineRule="auto"/>
        <w:rPr>
          <w:rFonts w:eastAsia="Times New Roman" w:cs="Arial"/>
          <w:color w:val="000000"/>
          <w:lang w:val="en-US"/>
        </w:rPr>
      </w:pPr>
    </w:p>
    <w:p w14:paraId="041930A9" w14:textId="751F0BC2" w:rsidR="000B1F75" w:rsidRPr="000B1F75" w:rsidRDefault="000B1F75" w:rsidP="000B1F75">
      <w:pPr>
        <w:spacing w:line="240" w:lineRule="auto"/>
        <w:rPr>
          <w:rFonts w:eastAsia="Times New Roman" w:cs="Arial"/>
        </w:rPr>
      </w:pPr>
      <w:r w:rsidRPr="000B1F75">
        <w:rPr>
          <w:rFonts w:eastAsia="Times New Roman" w:cs="Arial"/>
          <w:color w:val="000000"/>
          <w:lang w:val="en-US"/>
        </w:rPr>
        <w:t>ALTITUDE</w:t>
      </w:r>
      <w:r w:rsidRPr="000B1F75">
        <w:rPr>
          <w:rFonts w:eastAsia="Times New Roman" w:cs="Arial"/>
          <w:color w:val="000000"/>
          <w:lang w:val="ru-RU"/>
        </w:rPr>
        <w:t xml:space="preserve"> </w:t>
      </w:r>
      <w:r w:rsidRPr="000B1F75">
        <w:rPr>
          <w:rFonts w:eastAsia="Times New Roman" w:cs="Arial"/>
          <w:color w:val="00000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0B1F75">
        <w:rPr>
          <w:rFonts w:eastAsia="Times New Roman" w:cs="Arial"/>
          <w:color w:val="000000"/>
          <w:lang w:val="en-US"/>
        </w:rPr>
        <w:t>II</w:t>
      </w:r>
      <w:r w:rsidRPr="000B1F75">
        <w:rPr>
          <w:rFonts w:eastAsia="Times New Roman" w:cs="Arial"/>
          <w:color w:val="000000"/>
          <w:lang w:eastAsia="bg-BG"/>
        </w:rPr>
        <w:t xml:space="preserve">-рецепторен блокер при пациенти </w:t>
      </w:r>
      <w:r w:rsidRPr="000B1F75">
        <w:rPr>
          <w:rFonts w:eastAsia="Times New Roman" w:cs="Arial"/>
          <w:color w:val="000000"/>
          <w:lang w:eastAsia="bg-BG"/>
        </w:rPr>
        <w:lastRenderedPageBreak/>
        <w:t>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707A1CAE" w14:textId="4E468A33" w:rsidR="000B1F75" w:rsidRDefault="000B1F75" w:rsidP="000B1F75"/>
    <w:p w14:paraId="6D052712" w14:textId="7777777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Клинична ефикасност и безопасност</w:t>
      </w:r>
    </w:p>
    <w:p w14:paraId="79B8C20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Едно многоцентрово, рандомизирано, двойно сляпо, плацебо-контролирано клинично изпитване </w:t>
      </w:r>
      <w:r w:rsidRPr="000B1F75">
        <w:rPr>
          <w:rFonts w:eastAsia="Times New Roman" w:cs="Arial"/>
          <w:color w:val="000000"/>
          <w:lang w:val="ru-RU"/>
        </w:rPr>
        <w:t>(</w:t>
      </w:r>
      <w:r w:rsidRPr="000B1F75">
        <w:rPr>
          <w:rFonts w:eastAsia="Times New Roman" w:cs="Arial"/>
          <w:color w:val="000000"/>
          <w:lang w:val="en-US"/>
        </w:rPr>
        <w:t>SOLVD</w:t>
      </w:r>
      <w:r w:rsidRPr="000B1F75">
        <w:rPr>
          <w:rFonts w:eastAsia="Times New Roman" w:cs="Arial"/>
          <w:color w:val="000000"/>
          <w:lang w:val="ru-RU"/>
        </w:rPr>
        <w:t xml:space="preserve"> </w:t>
      </w:r>
      <w:r w:rsidRPr="000B1F75">
        <w:rPr>
          <w:rFonts w:eastAsia="Times New Roman" w:cs="Arial"/>
          <w:color w:val="000000"/>
          <w:lang w:val="en-US"/>
        </w:rPr>
        <w:t>Prevention</w:t>
      </w:r>
      <w:r w:rsidRPr="000B1F75">
        <w:rPr>
          <w:rFonts w:eastAsia="Times New Roman" w:cs="Arial"/>
          <w:color w:val="000000"/>
          <w:lang w:val="ru-RU"/>
        </w:rPr>
        <w:t xml:space="preserve"> </w:t>
      </w:r>
      <w:r w:rsidRPr="000B1F75">
        <w:rPr>
          <w:rFonts w:eastAsia="Times New Roman" w:cs="Arial"/>
          <w:color w:val="000000"/>
          <w:lang w:val="en-US"/>
        </w:rPr>
        <w:t>trial</w:t>
      </w:r>
      <w:r w:rsidRPr="000B1F75">
        <w:rPr>
          <w:rFonts w:eastAsia="Times New Roman" w:cs="Arial"/>
          <w:color w:val="000000"/>
          <w:lang w:val="ru-RU"/>
        </w:rPr>
        <w:t xml:space="preserve">) </w:t>
      </w:r>
      <w:r w:rsidRPr="000B1F75">
        <w:rPr>
          <w:rFonts w:eastAsia="Times New Roman" w:cs="Arial"/>
          <w:color w:val="000000"/>
          <w:lang w:eastAsia="bg-BG"/>
        </w:rPr>
        <w:t xml:space="preserve">изследва популация с асимптоматична дисфункция на лявата камера </w:t>
      </w:r>
      <w:r w:rsidRPr="000B1F75">
        <w:rPr>
          <w:rFonts w:eastAsia="Times New Roman" w:cs="Arial"/>
          <w:color w:val="000000"/>
          <w:lang w:val="ru-RU"/>
        </w:rPr>
        <w:t>(</w:t>
      </w:r>
      <w:r w:rsidRPr="000B1F75">
        <w:rPr>
          <w:rFonts w:eastAsia="Times New Roman" w:cs="Arial"/>
          <w:color w:val="000000"/>
          <w:lang w:val="en-US"/>
        </w:rPr>
        <w:t>LVEF</w:t>
      </w:r>
      <w:r w:rsidRPr="000B1F75">
        <w:rPr>
          <w:rFonts w:eastAsia="Times New Roman" w:cs="Arial"/>
          <w:color w:val="000000"/>
          <w:lang w:val="ru-RU"/>
        </w:rPr>
        <w:t xml:space="preserve"> </w:t>
      </w:r>
      <w:r w:rsidRPr="000B1F75">
        <w:rPr>
          <w:rFonts w:eastAsia="Times New Roman" w:cs="Arial"/>
          <w:color w:val="000000"/>
          <w:lang w:eastAsia="bg-BG"/>
        </w:rPr>
        <w:t>&lt; 35 %). 4 228 пациенти са рандомизирани да получават или плацебо (</w:t>
      </w:r>
      <w:r w:rsidRPr="000B1F75">
        <w:rPr>
          <w:rFonts w:eastAsia="Times New Roman" w:cs="Arial"/>
          <w:color w:val="000000"/>
          <w:lang w:val="en-US"/>
        </w:rPr>
        <w:t>n</w:t>
      </w:r>
      <w:r w:rsidRPr="000B1F75">
        <w:rPr>
          <w:rFonts w:eastAsia="Times New Roman" w:cs="Arial"/>
          <w:color w:val="000000"/>
          <w:lang w:eastAsia="bg-BG"/>
        </w:rPr>
        <w:t xml:space="preserve"> = 2 117) или еналаприл (</w:t>
      </w:r>
      <w:r w:rsidRPr="000B1F75">
        <w:rPr>
          <w:rFonts w:eastAsia="Times New Roman" w:cs="Arial"/>
          <w:color w:val="000000"/>
          <w:lang w:val="en-US"/>
        </w:rPr>
        <w:t>n</w:t>
      </w:r>
      <w:r w:rsidRPr="000B1F75">
        <w:rPr>
          <w:rFonts w:eastAsia="Times New Roman" w:cs="Arial"/>
          <w:color w:val="000000"/>
          <w:lang w:eastAsia="bg-BG"/>
        </w:rPr>
        <w:t xml:space="preserve">= 2 111). 818 пациенти в групата на плацебо са били със сърдечна недостатъчност или са починали (38,6 %) в сравнение с 630 в групата на еналаприл (29,8 %) (понижаване на риска: 29 %;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21-36 %; р &lt; 0,001). 518 пациенти в групата на плацебо (24,5 %) и 434 в групата на еналаприл (20,6 %) са починали или са били хоспитализирани поради нова или влошаваща се сърдечна недостатъчност (понижаване на риска: 20 %;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9-30 %; р&lt; 0,001).</w:t>
      </w:r>
    </w:p>
    <w:p w14:paraId="1B29E8AD" w14:textId="77777777" w:rsidR="000B1F75" w:rsidRDefault="000B1F75" w:rsidP="000B1F75">
      <w:pPr>
        <w:spacing w:line="240" w:lineRule="auto"/>
        <w:rPr>
          <w:rFonts w:eastAsia="Times New Roman" w:cs="Arial"/>
          <w:color w:val="000000"/>
          <w:lang w:eastAsia="bg-BG"/>
        </w:rPr>
      </w:pPr>
    </w:p>
    <w:p w14:paraId="3FF8039F" w14:textId="1B154CA4"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Едно многоцентрово, рандомизирано, двойно сляпо, плацебо-контролирано клинично изпитване </w:t>
      </w:r>
      <w:r w:rsidRPr="000B1F75">
        <w:rPr>
          <w:rFonts w:eastAsia="Times New Roman" w:cs="Arial"/>
          <w:color w:val="000000"/>
          <w:lang w:val="ru-RU"/>
        </w:rPr>
        <w:t>(</w:t>
      </w:r>
      <w:r w:rsidRPr="000B1F75">
        <w:rPr>
          <w:rFonts w:eastAsia="Times New Roman" w:cs="Arial"/>
          <w:color w:val="000000"/>
          <w:lang w:val="en-US"/>
        </w:rPr>
        <w:t>SOLVD</w:t>
      </w:r>
      <w:r w:rsidRPr="000B1F75">
        <w:rPr>
          <w:rFonts w:eastAsia="Times New Roman" w:cs="Arial"/>
          <w:color w:val="000000"/>
          <w:lang w:val="ru-RU"/>
        </w:rPr>
        <w:t xml:space="preserve"> </w:t>
      </w:r>
      <w:r w:rsidRPr="000B1F75">
        <w:rPr>
          <w:rFonts w:eastAsia="Times New Roman" w:cs="Arial"/>
          <w:color w:val="000000"/>
          <w:lang w:val="en-US"/>
        </w:rPr>
        <w:t>Treatment</w:t>
      </w:r>
      <w:r w:rsidRPr="000B1F75">
        <w:rPr>
          <w:rFonts w:eastAsia="Times New Roman" w:cs="Arial"/>
          <w:color w:val="000000"/>
          <w:lang w:val="ru-RU"/>
        </w:rPr>
        <w:t xml:space="preserve"> </w:t>
      </w:r>
      <w:r w:rsidRPr="000B1F75">
        <w:rPr>
          <w:rFonts w:eastAsia="Times New Roman" w:cs="Arial"/>
          <w:color w:val="000000"/>
          <w:lang w:val="en-US"/>
        </w:rPr>
        <w:t>trial</w:t>
      </w:r>
      <w:r w:rsidRPr="000B1F75">
        <w:rPr>
          <w:rFonts w:eastAsia="Times New Roman" w:cs="Arial"/>
          <w:color w:val="000000"/>
          <w:lang w:val="ru-RU"/>
        </w:rPr>
        <w:t xml:space="preserve">) </w:t>
      </w:r>
      <w:r w:rsidRPr="000B1F75">
        <w:rPr>
          <w:rFonts w:eastAsia="Times New Roman" w:cs="Arial"/>
          <w:color w:val="000000"/>
          <w:lang w:eastAsia="bg-BG"/>
        </w:rPr>
        <w:t xml:space="preserve">изследва популация със симптоматична застойна сърдечна недостатъчност поради систолна дисфункция (фракция на изтласкване &lt;35 %). 2 569 пациенти, получаващи конвенционална терапия за сърдечна недостатъчност са рандомизирани да получават или плацебо </w:t>
      </w:r>
      <w:r w:rsidRPr="000B1F75">
        <w:rPr>
          <w:rFonts w:eastAsia="Times New Roman" w:cs="Arial"/>
          <w:color w:val="000000"/>
          <w:lang w:val="ru-RU"/>
        </w:rPr>
        <w:t>(</w:t>
      </w:r>
      <w:r w:rsidRPr="000B1F75">
        <w:rPr>
          <w:rFonts w:eastAsia="Times New Roman" w:cs="Arial"/>
          <w:color w:val="000000"/>
          <w:lang w:val="en-US"/>
        </w:rPr>
        <w:t>n</w:t>
      </w:r>
      <w:r w:rsidRPr="000B1F75">
        <w:rPr>
          <w:rFonts w:eastAsia="Times New Roman" w:cs="Arial"/>
          <w:color w:val="000000"/>
          <w:lang w:val="ru-RU"/>
        </w:rPr>
        <w:t xml:space="preserve"> </w:t>
      </w:r>
      <w:r w:rsidRPr="000B1F75">
        <w:rPr>
          <w:rFonts w:eastAsia="Times New Roman" w:cs="Arial"/>
          <w:color w:val="000000"/>
          <w:lang w:eastAsia="bg-BG"/>
        </w:rPr>
        <w:t xml:space="preserve">= 1 284) или еналаприл </w:t>
      </w:r>
      <w:r w:rsidRPr="000B1F75">
        <w:rPr>
          <w:rFonts w:eastAsia="Times New Roman" w:cs="Arial"/>
          <w:color w:val="000000"/>
          <w:lang w:val="ru-RU"/>
        </w:rPr>
        <w:t>(</w:t>
      </w:r>
      <w:r w:rsidRPr="000B1F75">
        <w:rPr>
          <w:rFonts w:eastAsia="Times New Roman" w:cs="Arial"/>
          <w:color w:val="000000"/>
          <w:lang w:val="en-US"/>
        </w:rPr>
        <w:t>n</w:t>
      </w:r>
      <w:r w:rsidRPr="000B1F75">
        <w:rPr>
          <w:rFonts w:eastAsia="Times New Roman" w:cs="Arial"/>
          <w:color w:val="000000"/>
          <w:lang w:val="ru-RU"/>
        </w:rPr>
        <w:t xml:space="preserve"> </w:t>
      </w:r>
      <w:r w:rsidRPr="000B1F75">
        <w:rPr>
          <w:rFonts w:eastAsia="Times New Roman" w:cs="Arial"/>
          <w:color w:val="000000"/>
          <w:lang w:eastAsia="bg-BG"/>
        </w:rPr>
        <w:t>= 1 285).</w:t>
      </w:r>
    </w:p>
    <w:p w14:paraId="28AFC175"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В групата на плацебо 510 са починали (39,7 %) в сравнение с 452 в групата на еналаприл (35,2 %) (понижаване на риска 16 %;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5-26 %; р = 0,0036). В групата на плацебо 461 са починали от сърдечно-съдови заболявания в сравнение с 399 в групата на еналаприл (понижаване на риска 18 %,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6-28 %, р &lt; 0,002), главно от понижаване на смъртността поради прогресивна сърдечна недостатъчност (251 в групата на плацебо спрямо 209 в групата на еналаприл, понижаване на риска 22 %,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6-35 %). По-малко пациенти са починали или са били хоспитализирани поради влошаваща сърдечна недостатъчност (736 в групата на плацебо и 613 в групата на еналаприл; понижаване на риска 26 %;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18-34 %; р &lt; 0,0001). Като цяло в </w:t>
      </w:r>
      <w:r w:rsidRPr="000B1F75">
        <w:rPr>
          <w:rFonts w:eastAsia="Times New Roman" w:cs="Arial"/>
          <w:color w:val="000000"/>
          <w:lang w:val="en-US"/>
        </w:rPr>
        <w:t>SOLVD</w:t>
      </w:r>
      <w:r w:rsidRPr="000B1F75">
        <w:rPr>
          <w:rFonts w:eastAsia="Times New Roman" w:cs="Arial"/>
          <w:color w:val="000000"/>
          <w:lang w:val="ru-RU"/>
        </w:rPr>
        <w:t xml:space="preserve"> </w:t>
      </w:r>
      <w:r w:rsidRPr="000B1F75">
        <w:rPr>
          <w:rFonts w:eastAsia="Times New Roman" w:cs="Arial"/>
          <w:color w:val="000000"/>
          <w:lang w:eastAsia="bg-BG"/>
        </w:rPr>
        <w:t xml:space="preserve">проучването, при пациенти с дисфункция на лявата камера, Ренитек понижава риска от инфаркт на миокарда с 23 </w:t>
      </w:r>
      <w:r w:rsidRPr="000B1F75">
        <w:rPr>
          <w:rFonts w:eastAsia="Times New Roman" w:cs="Arial"/>
          <w:i/>
          <w:iCs/>
          <w:color w:val="000000"/>
          <w:lang w:eastAsia="bg-BG"/>
        </w:rPr>
        <w:t>% (95 %</w:t>
      </w:r>
      <w:r w:rsidRPr="000B1F75">
        <w:rPr>
          <w:rFonts w:eastAsia="Times New Roman" w:cs="Arial"/>
          <w:color w:val="000000"/>
          <w:lang w:eastAsia="bg-BG"/>
        </w:rPr>
        <w:t xml:space="preserve">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11-34 %; р &lt; 0,001) и понижава риска от хоспитализация поради нестабилна стенокардия с 20 %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9-29 %; р &lt; 0,001).</w:t>
      </w:r>
    </w:p>
    <w:p w14:paraId="126C2EAB" w14:textId="77777777" w:rsidR="000B1F75" w:rsidRDefault="000B1F75" w:rsidP="000B1F75">
      <w:pPr>
        <w:spacing w:line="240" w:lineRule="auto"/>
        <w:rPr>
          <w:rFonts w:eastAsia="Times New Roman" w:cs="Arial"/>
          <w:color w:val="000000"/>
          <w:u w:val="single"/>
          <w:lang w:eastAsia="bg-BG"/>
        </w:rPr>
      </w:pPr>
    </w:p>
    <w:p w14:paraId="799D5F0C" w14:textId="31CFF80F"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Педиатрична популация</w:t>
      </w:r>
    </w:p>
    <w:p w14:paraId="033095CE" w14:textId="4408C8C9" w:rsidR="000B1F75" w:rsidRDefault="000B1F75" w:rsidP="000B1F75">
      <w:pPr>
        <w:rPr>
          <w:rFonts w:eastAsia="Times New Roman" w:cs="Arial"/>
          <w:color w:val="000000"/>
          <w:lang w:eastAsia="bg-BG"/>
        </w:rPr>
      </w:pPr>
      <w:r w:rsidRPr="000B1F75">
        <w:rPr>
          <w:rFonts w:eastAsia="Times New Roman" w:cs="Arial"/>
          <w:color w:val="000000"/>
          <w:lang w:eastAsia="bg-BG"/>
        </w:rPr>
        <w:t xml:space="preserve">Има ограничен опит с употребата на еналаприл при педиатрични пациенти с хипертония на възраст &gt; 6 години. В клинично проучване, включващо 110 педиатрични пациенти с хипертония на възраст от 6 до 16 години с телесно тегло ≥ 20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и скорост на гломерулната филтрация &gt;30 </w:t>
      </w:r>
      <w:r w:rsidRPr="000B1F75">
        <w:rPr>
          <w:rFonts w:eastAsia="Times New Roman" w:cs="Arial"/>
          <w:color w:val="000000"/>
          <w:lang w:val="en-US"/>
        </w:rPr>
        <w:t>ml</w:t>
      </w:r>
      <w:r w:rsidRPr="000B1F75">
        <w:rPr>
          <w:rFonts w:eastAsia="Times New Roman" w:cs="Arial"/>
          <w:color w:val="000000"/>
          <w:lang w:val="ru-RU"/>
        </w:rPr>
        <w:t>/</w:t>
      </w:r>
      <w:r w:rsidRPr="000B1F75">
        <w:rPr>
          <w:rFonts w:eastAsia="Times New Roman" w:cs="Arial"/>
          <w:color w:val="000000"/>
          <w:lang w:val="en-US"/>
        </w:rPr>
        <w:t>min</w:t>
      </w:r>
      <w:r w:rsidRPr="000B1F75">
        <w:rPr>
          <w:rFonts w:eastAsia="Times New Roman" w:cs="Arial"/>
          <w:color w:val="000000"/>
          <w:lang w:val="ru-RU"/>
        </w:rPr>
        <w:t xml:space="preserve">/1,73 </w:t>
      </w:r>
      <w:r w:rsidRPr="000B1F75">
        <w:rPr>
          <w:rFonts w:eastAsia="Times New Roman" w:cs="Arial"/>
          <w:color w:val="000000"/>
          <w:lang w:val="en-US"/>
        </w:rPr>
        <w:t>m</w:t>
      </w:r>
      <w:r w:rsidRPr="000B1F75">
        <w:rPr>
          <w:rFonts w:eastAsia="Times New Roman" w:cs="Arial"/>
          <w:color w:val="000000"/>
          <w:vertAlign w:val="superscript"/>
          <w:lang w:val="ru-RU"/>
        </w:rPr>
        <w:t>2</w:t>
      </w:r>
      <w:r w:rsidRPr="000B1F75">
        <w:rPr>
          <w:rFonts w:eastAsia="Times New Roman" w:cs="Arial"/>
          <w:color w:val="000000"/>
          <w:lang w:val="ru-RU"/>
        </w:rPr>
        <w:t xml:space="preserve">, </w:t>
      </w:r>
      <w:r w:rsidRPr="000B1F75">
        <w:rPr>
          <w:rFonts w:eastAsia="Times New Roman" w:cs="Arial"/>
          <w:color w:val="000000"/>
          <w:lang w:eastAsia="bg-BG"/>
        </w:rPr>
        <w:t xml:space="preserve">пациентите с тегло &lt;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са получавали 0,625,2,5 или 20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еналаприл дневно и пациентите с тегло &gt;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са получавали 1,25, 5 или 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еналаприл дневно. Приемът на еналаприл веднъж дневно е намалил дозозависимо най-ниските стойности на кръвното налягане. Дозозависимият антихипертензивен ефект на еналаприл е бил проявен по сходен начин при всички подгрупи (възраст, степен по скалата на </w:t>
      </w:r>
      <w:r w:rsidRPr="000B1F75">
        <w:rPr>
          <w:rFonts w:eastAsia="Times New Roman" w:cs="Arial"/>
          <w:color w:val="000000"/>
          <w:lang w:val="en-US"/>
        </w:rPr>
        <w:t>Tanner</w:t>
      </w:r>
      <w:r w:rsidRPr="000B1F75">
        <w:rPr>
          <w:rFonts w:eastAsia="Times New Roman" w:cs="Arial"/>
          <w:color w:val="000000"/>
          <w:lang w:val="ru-RU"/>
        </w:rPr>
        <w:t xml:space="preserve">, </w:t>
      </w:r>
      <w:r w:rsidRPr="000B1F75">
        <w:rPr>
          <w:rFonts w:eastAsia="Times New Roman" w:cs="Arial"/>
          <w:color w:val="000000"/>
          <w:lang w:eastAsia="bg-BG"/>
        </w:rPr>
        <w:t xml:space="preserve">пол, раса). Обаче, най-ниските изследвани дози, 0,625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и 1,25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съответстващи на средно 0,02 </w:t>
      </w:r>
      <w:r w:rsidRPr="000B1F75">
        <w:rPr>
          <w:rFonts w:eastAsia="Times New Roman" w:cs="Arial"/>
          <w:color w:val="000000"/>
          <w:lang w:val="en-US"/>
        </w:rPr>
        <w:t>mg</w:t>
      </w:r>
      <w:r w:rsidRPr="000B1F75">
        <w:rPr>
          <w:rFonts w:eastAsia="Times New Roman" w:cs="Arial"/>
          <w:color w:val="000000"/>
          <w:lang w:val="ru-RU"/>
        </w:rPr>
        <w:t>/</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еднократно дневно, не са показали съществена антихипертензивна ефикасност. Максималната изследвана доза е била 0,58 </w:t>
      </w:r>
      <w:r w:rsidRPr="000B1F75">
        <w:rPr>
          <w:rFonts w:eastAsia="Times New Roman" w:cs="Arial"/>
          <w:color w:val="000000"/>
          <w:lang w:val="en-US"/>
        </w:rPr>
        <w:t>mg</w:t>
      </w:r>
      <w:r w:rsidRPr="000B1F75">
        <w:rPr>
          <w:rFonts w:eastAsia="Times New Roman" w:cs="Arial"/>
          <w:color w:val="000000"/>
          <w:lang w:val="ru-RU"/>
        </w:rPr>
        <w:t>/</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(до 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еднократно дневно. Профилът на </w:t>
      </w:r>
      <w:r w:rsidRPr="000B1F75">
        <w:rPr>
          <w:rFonts w:eastAsia="Times New Roman" w:cs="Arial"/>
          <w:color w:val="000000"/>
          <w:lang w:eastAsia="bg-BG"/>
        </w:rPr>
        <w:lastRenderedPageBreak/>
        <w:t>нежеланите лекарствени реакции при деца не се различава от този, наблюдаван при възрастни пациенти.</w:t>
      </w:r>
    </w:p>
    <w:p w14:paraId="200BB312" w14:textId="77777777" w:rsidR="000B1F75" w:rsidRPr="000B1F75" w:rsidRDefault="000B1F75" w:rsidP="000B1F75">
      <w:pPr>
        <w:rPr>
          <w:rFonts w:cs="Arial"/>
        </w:rPr>
      </w:pPr>
    </w:p>
    <w:p w14:paraId="346B622B" w14:textId="5B471A14" w:rsidR="00875EEC" w:rsidRDefault="002C50EE" w:rsidP="005726E3">
      <w:pPr>
        <w:pStyle w:val="Heading2"/>
      </w:pPr>
      <w:r>
        <w:t>5.2. Фармакокинетични свойства</w:t>
      </w:r>
    </w:p>
    <w:p w14:paraId="51C067CD" w14:textId="5D5B0AF2" w:rsidR="000B1F75" w:rsidRDefault="000B1F75" w:rsidP="000B1F75"/>
    <w:p w14:paraId="5B762F9C" w14:textId="77777777" w:rsidR="000B1F75" w:rsidRPr="00FD7357" w:rsidRDefault="000B1F75" w:rsidP="00FD7357">
      <w:pPr>
        <w:pStyle w:val="Heading3"/>
        <w:rPr>
          <w:rFonts w:eastAsia="Times New Roman"/>
          <w:u w:val="single"/>
        </w:rPr>
      </w:pPr>
      <w:r w:rsidRPr="00FD7357">
        <w:rPr>
          <w:rFonts w:eastAsia="Times New Roman"/>
          <w:u w:val="single"/>
          <w:lang w:eastAsia="bg-BG"/>
        </w:rPr>
        <w:t>Абсорбция</w:t>
      </w:r>
    </w:p>
    <w:p w14:paraId="600D5A8C" w14:textId="77777777" w:rsidR="000B1F75" w:rsidRPr="00FD7357" w:rsidRDefault="000B1F75" w:rsidP="000B1F75">
      <w:pPr>
        <w:spacing w:line="240" w:lineRule="auto"/>
        <w:rPr>
          <w:rFonts w:eastAsia="Times New Roman" w:cs="Arial"/>
        </w:rPr>
      </w:pPr>
      <w:r w:rsidRPr="00FD7357">
        <w:rPr>
          <w:rFonts w:eastAsia="Times New Roman" w:cs="Arial"/>
          <w:color w:val="000000"/>
          <w:lang w:eastAsia="bg-BG"/>
        </w:rPr>
        <w:t>Пероралният еналаприл се абсорбира бързо, с пикови серумни концентрации на еналаприл, настъпващи в рамките на първия час. На базата на откриването в урината, степента на абсорбция на еналаприл от таблетките е приблизително 60 %. Абсорбцията на пероралния Ренитек не се влияе от наличието на храна в гастроинтестиналния тракт.</w:t>
      </w:r>
    </w:p>
    <w:p w14:paraId="246ACEE5" w14:textId="77777777" w:rsidR="000B1F75" w:rsidRPr="00FD7357" w:rsidRDefault="000B1F75" w:rsidP="000B1F75">
      <w:pPr>
        <w:spacing w:line="240" w:lineRule="auto"/>
        <w:rPr>
          <w:rFonts w:eastAsia="Times New Roman" w:cs="Arial"/>
          <w:color w:val="000000"/>
          <w:lang w:eastAsia="bg-BG"/>
        </w:rPr>
      </w:pPr>
    </w:p>
    <w:p w14:paraId="01B1E36D" w14:textId="77777777" w:rsidR="00FD7357" w:rsidRPr="00FD7357" w:rsidRDefault="000B1F75" w:rsidP="00FD7357">
      <w:pPr>
        <w:rPr>
          <w:rFonts w:eastAsia="Times New Roman" w:cs="Arial"/>
        </w:rPr>
      </w:pPr>
      <w:r w:rsidRPr="00FD7357">
        <w:rPr>
          <w:rFonts w:eastAsia="Times New Roman" w:cs="Arial"/>
          <w:color w:val="000000"/>
          <w:lang w:eastAsia="bg-BG"/>
        </w:rPr>
        <w:t>След абсорбцията, пероралният еналаприл се хидролизира бързо и екстензивно</w:t>
      </w:r>
      <w:r w:rsidRPr="00FD7357">
        <w:rPr>
          <w:rFonts w:eastAsia="Times New Roman" w:cs="Arial"/>
          <w:color w:val="000000"/>
          <w:lang w:val="ru-RU"/>
        </w:rPr>
        <w:t xml:space="preserve"> </w:t>
      </w:r>
      <w:r w:rsidRPr="00FD7357">
        <w:rPr>
          <w:rFonts w:eastAsia="Times New Roman" w:cs="Arial"/>
          <w:color w:val="000000"/>
          <w:lang w:eastAsia="bg-BG"/>
        </w:rPr>
        <w:t>до еналаприлат, мощен инхибитор на ангиотензин конвертиращия ензим. Подобни пикови серумния концентрации на еналаприлат настъпват около 4 часа след пероралната доза на таблектите</w:t>
      </w:r>
      <w:r w:rsidRPr="00FD7357">
        <w:rPr>
          <w:rFonts w:eastAsia="Times New Roman" w:cs="Arial"/>
        </w:rPr>
        <w:t xml:space="preserve"> </w:t>
      </w:r>
      <w:r w:rsidRPr="00FD7357">
        <w:rPr>
          <w:rFonts w:eastAsia="Times New Roman" w:cs="Arial"/>
          <w:color w:val="000000"/>
          <w:lang w:eastAsia="bg-BG"/>
        </w:rPr>
        <w:t>еналаприл. Ефективният кумулационен полуживот на еналаприлат, след многократен</w:t>
      </w:r>
      <w:r w:rsidRPr="00FD7357">
        <w:rPr>
          <w:rFonts w:eastAsia="Times New Roman" w:cs="Arial"/>
        </w:rPr>
        <w:t xml:space="preserve"> </w:t>
      </w:r>
      <w:r w:rsidRPr="00FD7357">
        <w:rPr>
          <w:rFonts w:eastAsia="Times New Roman" w:cs="Arial"/>
          <w:color w:val="000000"/>
          <w:lang w:eastAsia="bg-BG"/>
        </w:rPr>
        <w:t>перорален прием на еналаприл е 11 часа. При индивиди с нормална бъбречна функция</w:t>
      </w:r>
      <w:r w:rsidR="00FD7357" w:rsidRPr="00FD7357">
        <w:rPr>
          <w:rFonts w:eastAsia="Times New Roman" w:cs="Arial"/>
          <w:color w:val="000000"/>
          <w:lang w:eastAsia="bg-BG"/>
        </w:rPr>
        <w:t xml:space="preserve"> серумните концентрации на еналаприлат при стационарно състояние са достигнати след 4 дни на лечение.</w:t>
      </w:r>
    </w:p>
    <w:p w14:paraId="758DB01F" w14:textId="77777777" w:rsidR="00FD7357" w:rsidRDefault="00FD7357" w:rsidP="00FD7357">
      <w:pPr>
        <w:spacing w:line="240" w:lineRule="auto"/>
        <w:rPr>
          <w:rFonts w:eastAsia="Times New Roman" w:cs="Arial"/>
          <w:color w:val="000000"/>
          <w:u w:val="single"/>
          <w:lang w:eastAsia="bg-BG"/>
        </w:rPr>
      </w:pPr>
    </w:p>
    <w:p w14:paraId="206E8B77" w14:textId="117CA334" w:rsidR="00FD7357" w:rsidRPr="00FD7357" w:rsidRDefault="00FD7357" w:rsidP="00FD7357">
      <w:pPr>
        <w:pStyle w:val="Heading3"/>
        <w:rPr>
          <w:rFonts w:eastAsia="Times New Roman"/>
          <w:u w:val="single"/>
        </w:rPr>
      </w:pPr>
      <w:r w:rsidRPr="00FD7357">
        <w:rPr>
          <w:rFonts w:eastAsia="Times New Roman"/>
          <w:u w:val="single"/>
          <w:lang w:eastAsia="bg-BG"/>
        </w:rPr>
        <w:t>Разпределение</w:t>
      </w:r>
    </w:p>
    <w:p w14:paraId="4BE916EB"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Свързването на еналаприлат с човешката плазма над нивата на концентрациите, които са с терапевтична значимост не надвишава 60 %.</w:t>
      </w:r>
    </w:p>
    <w:p w14:paraId="4451DDB4" w14:textId="77777777" w:rsidR="00FD7357" w:rsidRDefault="00FD7357" w:rsidP="00FD7357">
      <w:pPr>
        <w:spacing w:line="240" w:lineRule="auto"/>
        <w:rPr>
          <w:rFonts w:eastAsia="Times New Roman" w:cs="Arial"/>
          <w:color w:val="000000"/>
          <w:u w:val="single"/>
          <w:lang w:eastAsia="bg-BG"/>
        </w:rPr>
      </w:pPr>
    </w:p>
    <w:p w14:paraId="4821192D" w14:textId="57AA88E0" w:rsidR="00FD7357" w:rsidRPr="00FD7357" w:rsidRDefault="00FD7357" w:rsidP="00FD7357">
      <w:pPr>
        <w:pStyle w:val="Heading3"/>
        <w:rPr>
          <w:rFonts w:eastAsia="Times New Roman"/>
          <w:u w:val="single"/>
        </w:rPr>
      </w:pPr>
      <w:r w:rsidRPr="00FD7357">
        <w:rPr>
          <w:rFonts w:eastAsia="Times New Roman"/>
          <w:u w:val="single"/>
          <w:lang w:eastAsia="bg-BG"/>
        </w:rPr>
        <w:t>Биотоансформация</w:t>
      </w:r>
    </w:p>
    <w:p w14:paraId="38CFAB17"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С изключение на конверсията в еналаприлат, липсват доказателства за значителен метаболизъм на еналаприла.</w:t>
      </w:r>
    </w:p>
    <w:p w14:paraId="5A8DE6C0" w14:textId="77777777" w:rsidR="00FD7357" w:rsidRDefault="00FD7357" w:rsidP="00FD7357">
      <w:pPr>
        <w:spacing w:line="240" w:lineRule="auto"/>
        <w:rPr>
          <w:rFonts w:eastAsia="Times New Roman" w:cs="Arial"/>
          <w:color w:val="000000"/>
          <w:u w:val="single"/>
          <w:lang w:eastAsia="bg-BG"/>
        </w:rPr>
      </w:pPr>
    </w:p>
    <w:p w14:paraId="11E35FBC" w14:textId="13B3248D" w:rsidR="00FD7357" w:rsidRPr="00FD7357" w:rsidRDefault="00FD7357" w:rsidP="00FD7357">
      <w:pPr>
        <w:pStyle w:val="Heading3"/>
        <w:rPr>
          <w:rFonts w:eastAsia="Times New Roman"/>
          <w:u w:val="single"/>
        </w:rPr>
      </w:pPr>
      <w:r w:rsidRPr="00FD7357">
        <w:rPr>
          <w:rFonts w:eastAsia="Times New Roman"/>
          <w:u w:val="single"/>
          <w:lang w:eastAsia="bg-BG"/>
        </w:rPr>
        <w:t>Елиминиране</w:t>
      </w:r>
    </w:p>
    <w:p w14:paraId="5ADC629F"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Отделянето на еналаприлат е главно през бъбреците. Основните компоненти в урината са еналаприлат, изчисляващ се около 40 % от дозата, и интактен еналаприл (около 20 %).</w:t>
      </w:r>
    </w:p>
    <w:p w14:paraId="1D72A743" w14:textId="77777777" w:rsidR="00FD7357" w:rsidRDefault="00FD7357" w:rsidP="00FD7357">
      <w:pPr>
        <w:spacing w:line="240" w:lineRule="auto"/>
        <w:rPr>
          <w:rFonts w:eastAsia="Times New Roman" w:cs="Arial"/>
          <w:color w:val="000000"/>
          <w:u w:val="single"/>
          <w:lang w:eastAsia="bg-BG"/>
        </w:rPr>
      </w:pPr>
    </w:p>
    <w:p w14:paraId="53C057DC" w14:textId="10DA3011" w:rsidR="00FD7357" w:rsidRPr="00FD7357" w:rsidRDefault="00FD7357" w:rsidP="00FD7357">
      <w:pPr>
        <w:spacing w:line="240" w:lineRule="auto"/>
        <w:rPr>
          <w:rFonts w:eastAsia="Times New Roman" w:cs="Arial"/>
        </w:rPr>
      </w:pPr>
      <w:r w:rsidRPr="00FD7357">
        <w:rPr>
          <w:rFonts w:eastAsia="Times New Roman" w:cs="Arial"/>
          <w:color w:val="000000"/>
          <w:u w:val="single"/>
          <w:lang w:eastAsia="bg-BG"/>
        </w:rPr>
        <w:t>Бъбречно увреждане</w:t>
      </w:r>
    </w:p>
    <w:p w14:paraId="14F7748E"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 xml:space="preserve">Експозицията на еналаприл и еналаприлат е повишена при пациенти с бъбречна недостатъчност. При пациенти със средна до умерена бъбречна недостатъчност (креатининов клирънс 40-60 </w:t>
      </w:r>
      <w:r w:rsidRPr="00FD7357">
        <w:rPr>
          <w:rFonts w:eastAsia="Times New Roman" w:cs="Arial"/>
          <w:color w:val="000000"/>
          <w:lang w:val="en-US"/>
        </w:rPr>
        <w:t>ml</w:t>
      </w:r>
      <w:r w:rsidRPr="00FD7357">
        <w:rPr>
          <w:rFonts w:eastAsia="Times New Roman" w:cs="Arial"/>
          <w:color w:val="000000"/>
          <w:lang w:val="ru-RU"/>
        </w:rPr>
        <w:t>/</w:t>
      </w:r>
      <w:r w:rsidRPr="00FD7357">
        <w:rPr>
          <w:rFonts w:eastAsia="Times New Roman" w:cs="Arial"/>
          <w:color w:val="000000"/>
          <w:lang w:val="en-US"/>
        </w:rPr>
        <w:t>min</w:t>
      </w:r>
      <w:r w:rsidRPr="00FD7357">
        <w:rPr>
          <w:rFonts w:eastAsia="Times New Roman" w:cs="Arial"/>
          <w:color w:val="000000"/>
          <w:lang w:val="ru-RU"/>
        </w:rPr>
        <w:t xml:space="preserve">) </w:t>
      </w:r>
      <w:r w:rsidRPr="00FD7357">
        <w:rPr>
          <w:rFonts w:eastAsia="Times New Roman" w:cs="Arial"/>
          <w:color w:val="000000"/>
          <w:lang w:val="en-US"/>
        </w:rPr>
        <w:t>AUC</w:t>
      </w:r>
      <w:r w:rsidRPr="00FD7357">
        <w:rPr>
          <w:rFonts w:eastAsia="Times New Roman" w:cs="Arial"/>
          <w:color w:val="000000"/>
          <w:lang w:val="ru-RU"/>
        </w:rPr>
        <w:t xml:space="preserve"> </w:t>
      </w:r>
      <w:r w:rsidRPr="00FD7357">
        <w:rPr>
          <w:rFonts w:eastAsia="Times New Roman" w:cs="Arial"/>
          <w:color w:val="000000"/>
          <w:lang w:eastAsia="bg-BG"/>
        </w:rPr>
        <w:t xml:space="preserve">на еналаприлат в стационарно състояние е приблизително два пъти по-висока отколкото при пациенти с нормална бъбречна функция след прилагане на 5 </w:t>
      </w:r>
      <w:r w:rsidRPr="00FD7357">
        <w:rPr>
          <w:rFonts w:eastAsia="Times New Roman" w:cs="Arial"/>
          <w:color w:val="000000"/>
          <w:lang w:val="en-US"/>
        </w:rPr>
        <w:t>mg</w:t>
      </w:r>
      <w:r w:rsidRPr="00FD7357">
        <w:rPr>
          <w:rFonts w:eastAsia="Times New Roman" w:cs="Arial"/>
          <w:color w:val="000000"/>
          <w:lang w:val="ru-RU"/>
        </w:rPr>
        <w:t xml:space="preserve"> </w:t>
      </w:r>
      <w:r w:rsidRPr="00FD7357">
        <w:rPr>
          <w:rFonts w:eastAsia="Times New Roman" w:cs="Arial"/>
          <w:color w:val="000000"/>
          <w:lang w:eastAsia="bg-BG"/>
        </w:rPr>
        <w:t xml:space="preserve">веднъж дневно. При тежко бъбречно увреждане (креатининов клирънс &lt;30 </w:t>
      </w:r>
      <w:r w:rsidRPr="00FD7357">
        <w:rPr>
          <w:rFonts w:eastAsia="Times New Roman" w:cs="Arial"/>
          <w:color w:val="000000"/>
          <w:lang w:val="en-US"/>
        </w:rPr>
        <w:t>ml</w:t>
      </w:r>
      <w:r w:rsidRPr="00FD7357">
        <w:rPr>
          <w:rFonts w:eastAsia="Times New Roman" w:cs="Arial"/>
          <w:color w:val="000000"/>
          <w:lang w:val="ru-RU"/>
        </w:rPr>
        <w:t>/</w:t>
      </w:r>
      <w:r w:rsidRPr="00FD7357">
        <w:rPr>
          <w:rFonts w:eastAsia="Times New Roman" w:cs="Arial"/>
          <w:color w:val="000000"/>
          <w:lang w:val="en-US"/>
        </w:rPr>
        <w:t>min</w:t>
      </w:r>
      <w:r w:rsidRPr="00FD7357">
        <w:rPr>
          <w:rFonts w:eastAsia="Times New Roman" w:cs="Arial"/>
          <w:color w:val="000000"/>
          <w:lang w:val="ru-RU"/>
        </w:rPr>
        <w:t xml:space="preserve">), </w:t>
      </w:r>
      <w:r w:rsidRPr="00FD7357">
        <w:rPr>
          <w:rFonts w:eastAsia="Times New Roman" w:cs="Arial"/>
          <w:color w:val="000000"/>
          <w:lang w:val="en-US"/>
        </w:rPr>
        <w:t>AUC</w:t>
      </w:r>
      <w:r w:rsidRPr="00FD7357">
        <w:rPr>
          <w:rFonts w:eastAsia="Times New Roman" w:cs="Arial"/>
          <w:color w:val="000000"/>
          <w:lang w:val="ru-RU"/>
        </w:rPr>
        <w:t xml:space="preserve"> </w:t>
      </w:r>
      <w:r w:rsidRPr="00FD7357">
        <w:rPr>
          <w:rFonts w:eastAsia="Times New Roman" w:cs="Arial"/>
          <w:color w:val="000000"/>
          <w:lang w:eastAsia="bg-BG"/>
        </w:rPr>
        <w:t xml:space="preserve">е увеличена приблизително 8-пъти. Ефективният полуживот на еналаприлат след многократно прилагане на еналаприлов малеат е удължен при това ниво на бъбречна недостатъчност и времето за достигане на стационарно състояние е удължено (вж. точка 4.2). Еналаприлат може да бъде отстранен от кръвообращението чрез хемодиализа. Креатининовият клирънс при диализа 62 </w:t>
      </w:r>
      <w:r w:rsidRPr="00FD7357">
        <w:rPr>
          <w:rFonts w:eastAsia="Times New Roman" w:cs="Arial"/>
          <w:color w:val="000000"/>
          <w:lang w:val="en-US"/>
        </w:rPr>
        <w:t>ml</w:t>
      </w:r>
      <w:r w:rsidRPr="00FD7357">
        <w:rPr>
          <w:rFonts w:eastAsia="Times New Roman" w:cs="Arial"/>
          <w:color w:val="000000"/>
          <w:lang w:val="ru-RU"/>
        </w:rPr>
        <w:t>/</w:t>
      </w:r>
      <w:r w:rsidRPr="00FD7357">
        <w:rPr>
          <w:rFonts w:eastAsia="Times New Roman" w:cs="Arial"/>
          <w:color w:val="000000"/>
          <w:lang w:val="en-US"/>
        </w:rPr>
        <w:t>min</w:t>
      </w:r>
      <w:r w:rsidRPr="00FD7357">
        <w:rPr>
          <w:rFonts w:eastAsia="Times New Roman" w:cs="Arial"/>
          <w:color w:val="000000"/>
          <w:lang w:val="ru-RU"/>
        </w:rPr>
        <w:t>.</w:t>
      </w:r>
    </w:p>
    <w:p w14:paraId="32596E3E" w14:textId="77777777" w:rsidR="00FD7357" w:rsidRDefault="00FD7357" w:rsidP="00FD7357">
      <w:pPr>
        <w:spacing w:line="240" w:lineRule="auto"/>
        <w:rPr>
          <w:rFonts w:eastAsia="Times New Roman" w:cs="Arial"/>
          <w:color w:val="000000"/>
          <w:u w:val="single"/>
          <w:lang w:eastAsia="bg-BG"/>
        </w:rPr>
      </w:pPr>
    </w:p>
    <w:p w14:paraId="743F390F" w14:textId="528779D3" w:rsidR="00FD7357" w:rsidRPr="00FD7357" w:rsidRDefault="00FD7357" w:rsidP="00FD7357">
      <w:pPr>
        <w:spacing w:line="240" w:lineRule="auto"/>
        <w:rPr>
          <w:rFonts w:eastAsia="Times New Roman" w:cs="Arial"/>
        </w:rPr>
      </w:pPr>
      <w:r w:rsidRPr="00FD7357">
        <w:rPr>
          <w:rFonts w:eastAsia="Times New Roman" w:cs="Arial"/>
          <w:color w:val="000000"/>
          <w:u w:val="single"/>
          <w:lang w:eastAsia="bg-BG"/>
        </w:rPr>
        <w:t>Деца и юноши</w:t>
      </w:r>
    </w:p>
    <w:p w14:paraId="387CED9C"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 xml:space="preserve">Фармакокинетично проучване за многократно прилагане е проведено при 40 педиатрични пациенти от мъжки и женски пол с хипертония на възраст от 2 месеца до ≤ 16 години след перорално приложение на 0,07 до 0,14 </w:t>
      </w:r>
      <w:r w:rsidRPr="00FD7357">
        <w:rPr>
          <w:rFonts w:eastAsia="Times New Roman" w:cs="Arial"/>
          <w:color w:val="000000"/>
          <w:lang w:val="en-US"/>
        </w:rPr>
        <w:t>mg</w:t>
      </w:r>
      <w:r w:rsidRPr="00FD7357">
        <w:rPr>
          <w:rFonts w:eastAsia="Times New Roman" w:cs="Arial"/>
          <w:color w:val="000000"/>
          <w:lang w:val="ru-RU"/>
        </w:rPr>
        <w:t>/</w:t>
      </w:r>
      <w:r w:rsidRPr="00FD7357">
        <w:rPr>
          <w:rFonts w:eastAsia="Times New Roman" w:cs="Arial"/>
          <w:color w:val="000000"/>
          <w:lang w:val="en-US"/>
        </w:rPr>
        <w:t>kg</w:t>
      </w:r>
      <w:r w:rsidRPr="00FD7357">
        <w:rPr>
          <w:rFonts w:eastAsia="Times New Roman" w:cs="Arial"/>
          <w:color w:val="000000"/>
          <w:lang w:val="ru-RU"/>
        </w:rPr>
        <w:t xml:space="preserve"> </w:t>
      </w:r>
      <w:r w:rsidRPr="00FD7357">
        <w:rPr>
          <w:rFonts w:eastAsia="Times New Roman" w:cs="Arial"/>
          <w:color w:val="000000"/>
          <w:lang w:eastAsia="bg-BG"/>
        </w:rPr>
        <w:t xml:space="preserve">дневно еналаприлов малеат. Няма съществени разлики във фармакокинетиката на еналаприлат при деца в сравнение с </w:t>
      </w:r>
      <w:r w:rsidRPr="00FD7357">
        <w:rPr>
          <w:rFonts w:eastAsia="Times New Roman" w:cs="Arial"/>
          <w:color w:val="000000"/>
          <w:lang w:eastAsia="bg-BG"/>
        </w:rPr>
        <w:lastRenderedPageBreak/>
        <w:t xml:space="preserve">предшестващи данни при възрастни. Данните показват повишаване на </w:t>
      </w:r>
      <w:r w:rsidRPr="00FD7357">
        <w:rPr>
          <w:rFonts w:eastAsia="Times New Roman" w:cs="Arial"/>
          <w:color w:val="000000"/>
          <w:lang w:val="en-US"/>
        </w:rPr>
        <w:t>AUC</w:t>
      </w:r>
      <w:r w:rsidRPr="00FD7357">
        <w:rPr>
          <w:rFonts w:eastAsia="Times New Roman" w:cs="Arial"/>
          <w:color w:val="000000"/>
          <w:lang w:val="ru-RU"/>
        </w:rPr>
        <w:t xml:space="preserve"> </w:t>
      </w:r>
      <w:r w:rsidRPr="00FD7357">
        <w:rPr>
          <w:rFonts w:eastAsia="Times New Roman" w:cs="Arial"/>
          <w:color w:val="000000"/>
          <w:lang w:eastAsia="bg-BG"/>
        </w:rPr>
        <w:t xml:space="preserve">(преизчисляване на дозата за телесно тегло) с увеличаване на възрастта; обаче, не се наблюдава увеличаване на </w:t>
      </w:r>
      <w:r w:rsidRPr="00FD7357">
        <w:rPr>
          <w:rFonts w:eastAsia="Times New Roman" w:cs="Arial"/>
          <w:color w:val="000000"/>
          <w:lang w:val="en-US"/>
        </w:rPr>
        <w:t>AUC</w:t>
      </w:r>
      <w:r w:rsidRPr="00FD7357">
        <w:rPr>
          <w:rFonts w:eastAsia="Times New Roman" w:cs="Arial"/>
          <w:color w:val="000000"/>
          <w:lang w:val="ru-RU"/>
        </w:rPr>
        <w:t xml:space="preserve">, </w:t>
      </w:r>
      <w:r w:rsidRPr="00FD7357">
        <w:rPr>
          <w:rFonts w:eastAsia="Times New Roman" w:cs="Arial"/>
          <w:color w:val="000000"/>
          <w:lang w:eastAsia="bg-BG"/>
        </w:rPr>
        <w:t>когато данните са преизчислени за телесна повърхност. В стационарно състояние, средният ефективен кумулационен полуживот на еналаприлат е 14 часа.</w:t>
      </w:r>
    </w:p>
    <w:p w14:paraId="59A3ADB5" w14:textId="77777777" w:rsidR="00FD7357" w:rsidRDefault="00FD7357" w:rsidP="00FD7357">
      <w:pPr>
        <w:spacing w:line="240" w:lineRule="auto"/>
        <w:rPr>
          <w:rFonts w:eastAsia="Times New Roman" w:cs="Arial"/>
          <w:i/>
          <w:iCs/>
          <w:color w:val="000000"/>
          <w:lang w:eastAsia="bg-BG"/>
        </w:rPr>
      </w:pPr>
    </w:p>
    <w:p w14:paraId="2BB44893" w14:textId="2BE70B27" w:rsidR="00FD7357" w:rsidRPr="00FD7357" w:rsidRDefault="00FD7357" w:rsidP="00FD7357">
      <w:pPr>
        <w:pStyle w:val="Heading3"/>
        <w:rPr>
          <w:rFonts w:eastAsia="Times New Roman"/>
          <w:u w:val="single"/>
        </w:rPr>
      </w:pPr>
      <w:r w:rsidRPr="00FD7357">
        <w:rPr>
          <w:rFonts w:eastAsia="Times New Roman"/>
          <w:u w:val="single"/>
          <w:lang w:eastAsia="bg-BG"/>
        </w:rPr>
        <w:t>Кърмене</w:t>
      </w:r>
    </w:p>
    <w:p w14:paraId="3E50ED25"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 xml:space="preserve">След еднократна перорална доза от 20 </w:t>
      </w:r>
      <w:r w:rsidRPr="00FD7357">
        <w:rPr>
          <w:rFonts w:eastAsia="Times New Roman" w:cs="Arial"/>
          <w:color w:val="000000"/>
          <w:lang w:val="en-US"/>
        </w:rPr>
        <w:t>mg</w:t>
      </w:r>
      <w:r w:rsidRPr="00FD7357">
        <w:rPr>
          <w:rFonts w:eastAsia="Times New Roman" w:cs="Arial"/>
          <w:color w:val="000000"/>
          <w:lang w:val="ru-RU"/>
        </w:rPr>
        <w:t xml:space="preserve"> </w:t>
      </w:r>
      <w:r w:rsidRPr="00FD7357">
        <w:rPr>
          <w:rFonts w:eastAsia="Times New Roman" w:cs="Arial"/>
          <w:color w:val="000000"/>
          <w:lang w:eastAsia="bg-BG"/>
        </w:rPr>
        <w:t>при пет жени по време на следродилния период, средното пиково ниво на еналаприл в кърмата е било 1,7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(диапазон от 0,54 до 5,9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в рамките на 4 до 6 часа след приема на дозата. Средното пиково ниво на еналаприлат е било 1,7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(диапазон от 1,2 до 2,3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пиковете са настъпили по различно време през 24 часовия период. Използвайки данните от пиковите нива в кърмата, изчисленият максимален прием при едно кърмаче, хранено единствено с кърма, би бил около 0,16 % от коригираната според теглото на майката доза.</w:t>
      </w:r>
    </w:p>
    <w:p w14:paraId="41A671B1"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 xml:space="preserve">Жена, която е приемала перорално 10 </w:t>
      </w:r>
      <w:r w:rsidRPr="00FD7357">
        <w:rPr>
          <w:rFonts w:eastAsia="Times New Roman" w:cs="Arial"/>
          <w:color w:val="000000"/>
          <w:lang w:val="en-US"/>
        </w:rPr>
        <w:t>mg</w:t>
      </w:r>
      <w:r w:rsidRPr="00FD7357">
        <w:rPr>
          <w:rFonts w:eastAsia="Times New Roman" w:cs="Arial"/>
          <w:color w:val="000000"/>
          <w:lang w:val="ru-RU"/>
        </w:rPr>
        <w:t xml:space="preserve"> </w:t>
      </w:r>
      <w:r w:rsidRPr="00FD7357">
        <w:rPr>
          <w:rFonts w:eastAsia="Times New Roman" w:cs="Arial"/>
          <w:color w:val="000000"/>
          <w:lang w:eastAsia="bg-BG"/>
        </w:rPr>
        <w:t>еналаприл дневно за 11 месеца, е имала пикови нива на еналаприл в кърмата от 2 μ</w:t>
      </w:r>
      <w:r w:rsidRPr="00FD7357">
        <w:rPr>
          <w:rFonts w:eastAsia="Times New Roman" w:cs="Arial"/>
          <w:color w:val="000000"/>
          <w:lang w:val="en-US"/>
        </w:rPr>
        <w:t>g</w:t>
      </w:r>
      <w:r w:rsidRPr="00FD7357">
        <w:rPr>
          <w:rFonts w:eastAsia="Times New Roman" w:cs="Arial"/>
          <w:color w:val="000000"/>
          <w:lang w:val="ru-RU"/>
        </w:rPr>
        <w:t>/1</w:t>
      </w:r>
      <w:r w:rsidRPr="00FD7357">
        <w:rPr>
          <w:rFonts w:eastAsia="Times New Roman" w:cs="Arial"/>
          <w:color w:val="000000"/>
          <w:lang w:eastAsia="bg-BG"/>
        </w:rPr>
        <w:t>4 часа след приема и пикови нива на еналаприлат от 0,75 μ/1 около 9 часа след приема. Общото количество на еналаприл и еналаприлат, измерено в кърмата по време на 24 часовия период, е било 1,44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и 0,63 μ</w:t>
      </w:r>
      <w:r w:rsidRPr="00FD7357">
        <w:rPr>
          <w:rFonts w:eastAsia="Times New Roman" w:cs="Arial"/>
          <w:color w:val="000000"/>
          <w:lang w:val="en-US"/>
        </w:rPr>
        <w:t>g</w:t>
      </w:r>
      <w:r w:rsidRPr="00FD7357">
        <w:rPr>
          <w:rFonts w:eastAsia="Times New Roman" w:cs="Arial"/>
          <w:color w:val="000000"/>
          <w:lang w:val="ru-RU"/>
        </w:rPr>
        <w:t>/</w:t>
      </w:r>
      <w:r w:rsidRPr="00FD7357">
        <w:rPr>
          <w:rFonts w:eastAsia="Times New Roman" w:cs="Arial"/>
          <w:color w:val="000000"/>
          <w:lang w:val="en-US"/>
        </w:rPr>
        <w:t>l</w:t>
      </w:r>
      <w:r w:rsidRPr="00FD7357">
        <w:rPr>
          <w:rFonts w:eastAsia="Times New Roman" w:cs="Arial"/>
          <w:color w:val="000000"/>
          <w:lang w:val="ru-RU"/>
        </w:rPr>
        <w:t xml:space="preserve"> </w:t>
      </w:r>
      <w:r w:rsidRPr="00FD7357">
        <w:rPr>
          <w:rFonts w:eastAsia="Times New Roman" w:cs="Arial"/>
          <w:color w:val="000000"/>
          <w:lang w:eastAsia="bg-BG"/>
        </w:rPr>
        <w:t>съответно.</w:t>
      </w:r>
    </w:p>
    <w:p w14:paraId="08BFE033" w14:textId="774BF116" w:rsidR="000B1F75" w:rsidRDefault="00FD7357" w:rsidP="00FD7357">
      <w:pPr>
        <w:spacing w:line="240" w:lineRule="auto"/>
        <w:rPr>
          <w:rFonts w:eastAsia="Times New Roman" w:cs="Arial"/>
          <w:color w:val="000000"/>
          <w:lang w:eastAsia="bg-BG"/>
        </w:rPr>
      </w:pPr>
      <w:r w:rsidRPr="00FD7357">
        <w:rPr>
          <w:rFonts w:eastAsia="Times New Roman" w:cs="Arial"/>
          <w:color w:val="000000"/>
          <w:lang w:eastAsia="bg-BG"/>
        </w:rPr>
        <w:t>Нивата на еналаприлат в кърмата са били недоловими (&lt; 0,2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 xml:space="preserve">4 часа след прием на еднократна доза от 5 </w:t>
      </w:r>
      <w:r w:rsidRPr="00FD7357">
        <w:rPr>
          <w:rFonts w:eastAsia="Times New Roman" w:cs="Arial"/>
          <w:color w:val="000000"/>
          <w:lang w:val="en-US"/>
        </w:rPr>
        <w:t>mg</w:t>
      </w:r>
      <w:r w:rsidRPr="00FD7357">
        <w:rPr>
          <w:rFonts w:eastAsia="Times New Roman" w:cs="Arial"/>
          <w:color w:val="000000"/>
          <w:lang w:val="ru-RU"/>
        </w:rPr>
        <w:t xml:space="preserve"> </w:t>
      </w:r>
      <w:r w:rsidRPr="00FD7357">
        <w:rPr>
          <w:rFonts w:eastAsia="Times New Roman" w:cs="Arial"/>
          <w:color w:val="000000"/>
          <w:lang w:eastAsia="bg-BG"/>
        </w:rPr>
        <w:t xml:space="preserve">еналаприл при една майка и 10 </w:t>
      </w:r>
      <w:r w:rsidRPr="00FD7357">
        <w:rPr>
          <w:rFonts w:eastAsia="Times New Roman" w:cs="Arial"/>
          <w:color w:val="000000"/>
          <w:lang w:val="en-US"/>
        </w:rPr>
        <w:t>mg</w:t>
      </w:r>
      <w:r w:rsidRPr="00FD7357">
        <w:rPr>
          <w:rFonts w:eastAsia="Times New Roman" w:cs="Arial"/>
          <w:color w:val="000000"/>
          <w:lang w:val="ru-RU"/>
        </w:rPr>
        <w:t xml:space="preserve"> </w:t>
      </w:r>
      <w:r w:rsidRPr="00FD7357">
        <w:rPr>
          <w:rFonts w:eastAsia="Times New Roman" w:cs="Arial"/>
          <w:color w:val="000000"/>
          <w:lang w:eastAsia="bg-BG"/>
        </w:rPr>
        <w:t>при две майки: нивата на еналаприл не са били определени.</w:t>
      </w:r>
    </w:p>
    <w:p w14:paraId="376CCE41" w14:textId="77777777" w:rsidR="00FD7357" w:rsidRPr="00FD7357" w:rsidRDefault="00FD7357" w:rsidP="00FD7357">
      <w:pPr>
        <w:spacing w:line="240" w:lineRule="auto"/>
        <w:rPr>
          <w:rFonts w:eastAsia="Times New Roman" w:cs="Arial"/>
        </w:rPr>
      </w:pPr>
    </w:p>
    <w:p w14:paraId="4F31844C" w14:textId="643177CA" w:rsidR="00875EEC" w:rsidRDefault="002C50EE" w:rsidP="005726E3">
      <w:pPr>
        <w:pStyle w:val="Heading2"/>
      </w:pPr>
      <w:r>
        <w:t>5.3. Предклинични данни за безопасност</w:t>
      </w:r>
    </w:p>
    <w:p w14:paraId="58CD7AF7" w14:textId="5DF335DD" w:rsidR="00FD7357" w:rsidRDefault="00FD7357" w:rsidP="00FD7357"/>
    <w:p w14:paraId="616DFC2E"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Неклиничните данни не показват особен риск за хора на базата на конвенционалните фармакологични проучвания за безопасност, токсичност при многократно прилагане, генотоксичност, карциногенен потенциал. Проучванията за репродуктивна токсичност предполагат, че еналаприл няма ефект върху фертилитета и репродуктивната способност при плъхове и не е тератогенен. При проучване, в което женски плъхове са дозирани преди чифтосване и през гестационния период, по време на лактация се появява повишена честота на смърт при малките плъхове. Показано е, че съединението преминава през плацентата и се секретира в млякото. Инхибиторите на ангиотензин конвертиращия ензим, като клас, не са показали фетотоксичност (причиняващи нараняване и/или смърт на фетуса) когато се прилагат по време на втория или третия триместър.</w:t>
      </w:r>
    </w:p>
    <w:p w14:paraId="56663AD9" w14:textId="77777777" w:rsidR="00FD7357" w:rsidRPr="00FD7357" w:rsidRDefault="00FD7357" w:rsidP="00FD7357"/>
    <w:p w14:paraId="1BA6531D" w14:textId="6A54BD9C" w:rsidR="00B6672E" w:rsidRDefault="002C50EE" w:rsidP="00936AD0">
      <w:pPr>
        <w:pStyle w:val="Heading1"/>
      </w:pPr>
      <w:r>
        <w:t>7. ПРИТЕЖАТЕЛ НА РАЗРЕШЕНИЕТО ЗА УПОТРЕБА</w:t>
      </w:r>
    </w:p>
    <w:p w14:paraId="4FFAF80A" w14:textId="6A0A86D3" w:rsidR="00FD7357" w:rsidRDefault="00FD7357" w:rsidP="00FD7357"/>
    <w:p w14:paraId="3AFD5621" w14:textId="77777777" w:rsidR="00FD7357" w:rsidRDefault="00FD7357" w:rsidP="00FD7357">
      <w:pPr>
        <w:rPr>
          <w:lang w:val="en-US"/>
        </w:rPr>
      </w:pPr>
      <w:r w:rsidRPr="00FD7357">
        <w:rPr>
          <w:lang w:val="en-US"/>
        </w:rPr>
        <w:t xml:space="preserve">N.V. </w:t>
      </w:r>
      <w:proofErr w:type="spellStart"/>
      <w:r w:rsidRPr="00FD7357">
        <w:rPr>
          <w:lang w:val="en-US"/>
        </w:rPr>
        <w:t>Organon</w:t>
      </w:r>
      <w:proofErr w:type="spellEnd"/>
      <w:r w:rsidRPr="00FD7357">
        <w:rPr>
          <w:lang w:val="en-US"/>
        </w:rPr>
        <w:t xml:space="preserve"> </w:t>
      </w:r>
    </w:p>
    <w:p w14:paraId="192BB02E" w14:textId="77777777" w:rsidR="00FD7357" w:rsidRDefault="00FD7357" w:rsidP="00FD7357">
      <w:pPr>
        <w:rPr>
          <w:lang w:eastAsia="bg-BG"/>
        </w:rPr>
      </w:pPr>
      <w:proofErr w:type="spellStart"/>
      <w:r w:rsidRPr="00FD7357">
        <w:rPr>
          <w:lang w:val="en-US"/>
        </w:rPr>
        <w:t>Kloosterstraat</w:t>
      </w:r>
      <w:proofErr w:type="spellEnd"/>
      <w:r w:rsidRPr="00FD7357">
        <w:rPr>
          <w:lang w:val="ru-RU"/>
        </w:rPr>
        <w:t xml:space="preserve"> </w:t>
      </w:r>
      <w:r w:rsidRPr="00FD7357">
        <w:rPr>
          <w:lang w:eastAsia="bg-BG"/>
        </w:rPr>
        <w:t xml:space="preserve">6 </w:t>
      </w:r>
    </w:p>
    <w:p w14:paraId="3074EECA" w14:textId="77777777" w:rsidR="00FD7357" w:rsidRPr="00FD7357" w:rsidRDefault="00FD7357" w:rsidP="00FD7357">
      <w:pPr>
        <w:rPr>
          <w:lang w:val="ru-RU"/>
        </w:rPr>
      </w:pPr>
      <w:r w:rsidRPr="00FD7357">
        <w:rPr>
          <w:lang w:eastAsia="bg-BG"/>
        </w:rPr>
        <w:t xml:space="preserve">5349 </w:t>
      </w:r>
      <w:r w:rsidRPr="00FD7357">
        <w:rPr>
          <w:lang w:val="en-US"/>
        </w:rPr>
        <w:t>AB</w:t>
      </w:r>
      <w:r w:rsidRPr="00FD7357">
        <w:rPr>
          <w:lang w:val="ru-RU"/>
        </w:rPr>
        <w:t xml:space="preserve"> </w:t>
      </w:r>
      <w:r w:rsidRPr="00FD7357">
        <w:rPr>
          <w:lang w:val="en-US"/>
        </w:rPr>
        <w:t>Oss</w:t>
      </w:r>
      <w:r w:rsidRPr="00FD7357">
        <w:rPr>
          <w:lang w:val="ru-RU"/>
        </w:rPr>
        <w:t xml:space="preserve"> </w:t>
      </w:r>
    </w:p>
    <w:p w14:paraId="204BE06B" w14:textId="3C129899" w:rsidR="00FD7357" w:rsidRPr="00FD7357" w:rsidRDefault="00FD7357" w:rsidP="00FD7357">
      <w:pPr>
        <w:rPr>
          <w:sz w:val="24"/>
          <w:szCs w:val="24"/>
          <w:lang w:val="ru-RU"/>
        </w:rPr>
      </w:pPr>
      <w:r w:rsidRPr="00FD7357">
        <w:rPr>
          <w:lang w:eastAsia="bg-BG"/>
        </w:rPr>
        <w:t>Нидерландия</w:t>
      </w:r>
    </w:p>
    <w:p w14:paraId="30E33BC6" w14:textId="77777777" w:rsidR="00FD7357" w:rsidRPr="00FD7357" w:rsidRDefault="00FD7357" w:rsidP="00FD7357">
      <w:pPr>
        <w:rPr>
          <w:lang w:val="ru-RU"/>
        </w:rPr>
      </w:pPr>
    </w:p>
    <w:p w14:paraId="508F3A54" w14:textId="10F9809F" w:rsidR="00B6672E" w:rsidRDefault="00936AD0" w:rsidP="00936AD0">
      <w:pPr>
        <w:pStyle w:val="Heading1"/>
      </w:pPr>
      <w:r>
        <w:t>8.</w:t>
      </w:r>
      <w:r w:rsidR="002C50EE">
        <w:t>НОМЕР НА РАЗРЕШЕНИЕТО ЗА УПОТРЕБА</w:t>
      </w:r>
    </w:p>
    <w:p w14:paraId="4EC800F1" w14:textId="69D90BB1" w:rsidR="00FD7357" w:rsidRDefault="00FD7357" w:rsidP="00FD7357"/>
    <w:p w14:paraId="46A285F4" w14:textId="67229136" w:rsidR="00FD7357" w:rsidRPr="00FD7357" w:rsidRDefault="003E5683" w:rsidP="00FD7357">
      <w:r>
        <w:lastRenderedPageBreak/>
        <w:t>Регистрационен номер: 20010652</w:t>
      </w:r>
    </w:p>
    <w:p w14:paraId="3BC5EC53" w14:textId="452794A8" w:rsidR="00875EEC" w:rsidRDefault="002C50EE" w:rsidP="005726E3">
      <w:pPr>
        <w:pStyle w:val="Heading1"/>
      </w:pPr>
      <w:r>
        <w:t>9. ДАТА НА ПЪРВО РАЗРЕШАВАНЕ/ПОДНОВЯВАНЕ НА РАЗРЕШЕНИЕТО ЗА УПОТРЕБА</w:t>
      </w:r>
    </w:p>
    <w:p w14:paraId="1A7EDBF5" w14:textId="0FC90133" w:rsidR="00FD7357" w:rsidRDefault="00FD7357" w:rsidP="00FD7357"/>
    <w:p w14:paraId="10E8C906" w14:textId="77777777" w:rsidR="00FD7357" w:rsidRPr="00FD7357" w:rsidRDefault="00FD7357" w:rsidP="00FD7357">
      <w:pPr>
        <w:rPr>
          <w:sz w:val="24"/>
          <w:szCs w:val="24"/>
        </w:rPr>
      </w:pPr>
      <w:r w:rsidRPr="00FD7357">
        <w:rPr>
          <w:lang w:eastAsia="bg-BG"/>
        </w:rPr>
        <w:t>Дата на първо разрешаване: 18 юни 2001 г.</w:t>
      </w:r>
    </w:p>
    <w:p w14:paraId="2D3FC809" w14:textId="4D74ACE4" w:rsidR="00FD7357" w:rsidRPr="00FD7357" w:rsidRDefault="00FD7357" w:rsidP="00FD7357">
      <w:r w:rsidRPr="00FD7357">
        <w:rPr>
          <w:lang w:eastAsia="bg-BG"/>
        </w:rPr>
        <w:t>Дата на последно подновяване: 06 октомври 2011 г.</w:t>
      </w:r>
    </w:p>
    <w:p w14:paraId="43FB38A2" w14:textId="107DB16A" w:rsidR="007C605B" w:rsidRDefault="002C50EE" w:rsidP="005726E3">
      <w:pPr>
        <w:pStyle w:val="Heading1"/>
      </w:pPr>
      <w:r>
        <w:t>10. ДАТА НА АКТУАЛИЗИРАНЕ НА ТЕКСТА</w:t>
      </w:r>
      <w:bookmarkEnd w:id="0"/>
    </w:p>
    <w:p w14:paraId="410BE289" w14:textId="1193D17E" w:rsidR="00FD7357" w:rsidRPr="003E5683" w:rsidRDefault="00FD7357" w:rsidP="00FD7357">
      <w:pPr>
        <w:rPr>
          <w:lang w:val="en-US"/>
        </w:rPr>
      </w:pPr>
      <w:r>
        <w:t>ММ/ГГГГ</w:t>
      </w:r>
    </w:p>
    <w:sectPr w:rsidR="00FD7357" w:rsidRPr="003E5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68E4416"/>
    <w:multiLevelType w:val="hybridMultilevel"/>
    <w:tmpl w:val="709EB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BC593D"/>
    <w:multiLevelType w:val="hybridMultilevel"/>
    <w:tmpl w:val="8B9A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0"/>
  </w:num>
  <w:num w:numId="2">
    <w:abstractNumId w:val="0"/>
  </w:num>
  <w:num w:numId="3">
    <w:abstractNumId w:val="15"/>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3"/>
  </w:num>
  <w:num w:numId="12">
    <w:abstractNumId w:val="16"/>
  </w:num>
  <w:num w:numId="13">
    <w:abstractNumId w:val="22"/>
  </w:num>
  <w:num w:numId="14">
    <w:abstractNumId w:val="14"/>
  </w:num>
  <w:num w:numId="15">
    <w:abstractNumId w:val="32"/>
  </w:num>
  <w:num w:numId="16">
    <w:abstractNumId w:val="11"/>
  </w:num>
  <w:num w:numId="17">
    <w:abstractNumId w:val="27"/>
  </w:num>
  <w:num w:numId="18">
    <w:abstractNumId w:val="8"/>
  </w:num>
  <w:num w:numId="19">
    <w:abstractNumId w:val="29"/>
  </w:num>
  <w:num w:numId="20">
    <w:abstractNumId w:val="26"/>
  </w:num>
  <w:num w:numId="21">
    <w:abstractNumId w:val="19"/>
  </w:num>
  <w:num w:numId="22">
    <w:abstractNumId w:val="28"/>
  </w:num>
  <w:num w:numId="23">
    <w:abstractNumId w:val="21"/>
  </w:num>
  <w:num w:numId="24">
    <w:abstractNumId w:val="9"/>
  </w:num>
  <w:num w:numId="25">
    <w:abstractNumId w:val="25"/>
  </w:num>
  <w:num w:numId="26">
    <w:abstractNumId w:val="24"/>
  </w:num>
  <w:num w:numId="27">
    <w:abstractNumId w:val="34"/>
  </w:num>
  <w:num w:numId="28">
    <w:abstractNumId w:val="6"/>
  </w:num>
  <w:num w:numId="29">
    <w:abstractNumId w:val="23"/>
  </w:num>
  <w:num w:numId="30">
    <w:abstractNumId w:val="37"/>
  </w:num>
  <w:num w:numId="31">
    <w:abstractNumId w:val="5"/>
  </w:num>
  <w:num w:numId="32">
    <w:abstractNumId w:val="36"/>
  </w:num>
  <w:num w:numId="33">
    <w:abstractNumId w:val="31"/>
  </w:num>
  <w:num w:numId="34">
    <w:abstractNumId w:val="35"/>
  </w:num>
  <w:num w:numId="35">
    <w:abstractNumId w:val="7"/>
  </w:num>
  <w:num w:numId="36">
    <w:abstractNumId w:val="10"/>
  </w:num>
  <w:num w:numId="37">
    <w:abstractNumId w:val="13"/>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B1F75"/>
    <w:rsid w:val="00185A46"/>
    <w:rsid w:val="001915B6"/>
    <w:rsid w:val="001D1B23"/>
    <w:rsid w:val="002B3C38"/>
    <w:rsid w:val="002B4DBB"/>
    <w:rsid w:val="002C50EE"/>
    <w:rsid w:val="00340A0A"/>
    <w:rsid w:val="003765DC"/>
    <w:rsid w:val="00395555"/>
    <w:rsid w:val="003E3126"/>
    <w:rsid w:val="003E5683"/>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 w:val="00FD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7135</Words>
  <Characters>40676</Characters>
  <Application>Microsoft Office Word</Application>
  <DocSecurity>0</DocSecurity>
  <Lines>338</Lines>
  <Paragraphs>95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2022-11-01T00:32:00Z</dcterms:created>
  <dcterms:modified xsi:type="dcterms:W3CDTF">2022-11-01T00:32:00Z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