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79516554" w14:textId="5B0A4C8C" w:rsidR="00DB32D3" w:rsidRDefault="00DD466D" w:rsidP="005726E3">
      <w:pPr>
        <w:pStyle w:val="Heading1"/>
      </w:pPr>
      <w:r>
        <w:t>1.ИМЕ НА ЛЕКАРСТВЕНИЯ ПРОДУКТ</w:t>
      </w:r>
    </w:p>
    <w:p w14:paraId="352785AE" w14:textId="4840307D" w:rsidR="00B97F9B" w:rsidRDefault="00B97F9B" w:rsidP="00B97F9B"/>
    <w:p w14:paraId="48C0F457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10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eastAsia="bg-BG"/>
        </w:rPr>
        <w:t>филмирани таблетки</w:t>
      </w:r>
    </w:p>
    <w:p w14:paraId="2D6A8785" w14:textId="77777777" w:rsidR="00B97F9B" w:rsidRPr="00B97F9B" w:rsidRDefault="00B97F9B" w:rsidP="00B97F9B">
      <w:pPr>
        <w:rPr>
          <w:sz w:val="24"/>
          <w:szCs w:val="24"/>
        </w:rPr>
      </w:pPr>
      <w:proofErr w:type="spellStart"/>
      <w:r w:rsidRPr="00B97F9B">
        <w:rPr>
          <w:lang w:val="en-US"/>
        </w:rPr>
        <w:t>Renovia</w:t>
      </w:r>
      <w:proofErr w:type="spellEnd"/>
      <w:r w:rsidRPr="00B97F9B">
        <w:t xml:space="preserve"> </w:t>
      </w:r>
      <w:r w:rsidRPr="00B97F9B">
        <w:rPr>
          <w:lang w:eastAsia="bg-BG"/>
        </w:rPr>
        <w:t xml:space="preserve">10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val="en-US"/>
        </w:rPr>
        <w:t>film</w:t>
      </w:r>
      <w:r w:rsidRPr="00B97F9B">
        <w:t>-</w:t>
      </w:r>
      <w:r w:rsidRPr="00B97F9B">
        <w:rPr>
          <w:lang w:val="en-US"/>
        </w:rPr>
        <w:t>coated</w:t>
      </w:r>
      <w:r w:rsidRPr="00B97F9B">
        <w:t xml:space="preserve"> </w:t>
      </w:r>
      <w:r w:rsidRPr="00B97F9B">
        <w:rPr>
          <w:lang w:val="en-US"/>
        </w:rPr>
        <w:t>tablets</w:t>
      </w:r>
    </w:p>
    <w:p w14:paraId="6EB257E0" w14:textId="77777777" w:rsidR="00B97F9B" w:rsidRDefault="00B97F9B" w:rsidP="00B97F9B">
      <w:pPr>
        <w:rPr>
          <w:lang w:eastAsia="bg-BG"/>
        </w:rPr>
      </w:pPr>
    </w:p>
    <w:p w14:paraId="6ADDD1F4" w14:textId="7155412D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</w:t>
      </w:r>
      <w:r w:rsidRPr="00B97F9B">
        <w:t xml:space="preserve">20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eastAsia="bg-BG"/>
        </w:rPr>
        <w:t>филмирани таблетки</w:t>
      </w:r>
    </w:p>
    <w:p w14:paraId="5ACC7945" w14:textId="77777777" w:rsidR="00B97F9B" w:rsidRPr="00B97F9B" w:rsidRDefault="00B97F9B" w:rsidP="00B97F9B">
      <w:pPr>
        <w:rPr>
          <w:sz w:val="24"/>
          <w:szCs w:val="24"/>
        </w:rPr>
      </w:pPr>
      <w:proofErr w:type="spellStart"/>
      <w:r w:rsidRPr="00B97F9B">
        <w:rPr>
          <w:lang w:val="en-US"/>
        </w:rPr>
        <w:t>Renovia</w:t>
      </w:r>
      <w:proofErr w:type="spellEnd"/>
      <w:r w:rsidRPr="00B97F9B">
        <w:t xml:space="preserve"> </w:t>
      </w:r>
      <w:r w:rsidRPr="00B97F9B">
        <w:rPr>
          <w:lang w:eastAsia="bg-BG"/>
        </w:rPr>
        <w:t xml:space="preserve">20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val="en-US"/>
        </w:rPr>
        <w:t>film</w:t>
      </w:r>
      <w:r w:rsidRPr="00B97F9B">
        <w:t>-</w:t>
      </w:r>
      <w:r w:rsidRPr="00B97F9B">
        <w:rPr>
          <w:lang w:val="en-US"/>
        </w:rPr>
        <w:t>coated</w:t>
      </w:r>
      <w:r w:rsidRPr="00B97F9B">
        <w:t xml:space="preserve"> </w:t>
      </w:r>
      <w:r w:rsidRPr="00B97F9B">
        <w:rPr>
          <w:lang w:val="en-US"/>
        </w:rPr>
        <w:t>tablets</w:t>
      </w:r>
    </w:p>
    <w:p w14:paraId="619101CD" w14:textId="77777777" w:rsidR="00B97F9B" w:rsidRPr="00B97F9B" w:rsidRDefault="00B97F9B" w:rsidP="00B97F9B"/>
    <w:p w14:paraId="48E6CABE" w14:textId="4AE22862" w:rsidR="00DB32D3" w:rsidRDefault="00DD466D" w:rsidP="005726E3">
      <w:pPr>
        <w:pStyle w:val="Heading1"/>
      </w:pPr>
      <w:r>
        <w:t>2. КАЧЕСТВЕН И КОЛИЧЕСТВЕН СЪСТАВ</w:t>
      </w:r>
    </w:p>
    <w:p w14:paraId="613402C1" w14:textId="235A8713" w:rsidR="00B97F9B" w:rsidRDefault="00B97F9B" w:rsidP="00B97F9B"/>
    <w:p w14:paraId="006DC4BD" w14:textId="0B6F572F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В</w:t>
      </w:r>
      <w:r>
        <w:rPr>
          <w:lang w:eastAsia="bg-BG"/>
        </w:rPr>
        <w:t xml:space="preserve">сяка филмирана таблетка съдържа 10 </w:t>
      </w:r>
      <w:r w:rsidRPr="00B97F9B">
        <w:rPr>
          <w:lang w:val="en-US"/>
        </w:rPr>
        <w:t>mg</w:t>
      </w:r>
      <w:r>
        <w:t xml:space="preserve"> </w:t>
      </w:r>
      <w:r>
        <w:rPr>
          <w:lang w:eastAsia="bg-BG"/>
        </w:rPr>
        <w:t xml:space="preserve">лерканидипинов хидрохлорид </w:t>
      </w:r>
      <w:r w:rsidRPr="00B97F9B">
        <w:t>(</w:t>
      </w:r>
      <w:proofErr w:type="spellStart"/>
      <w:r w:rsidRPr="00B97F9B">
        <w:rPr>
          <w:lang w:val="en-US"/>
        </w:rPr>
        <w:t>lercanidipine</w:t>
      </w:r>
      <w:proofErr w:type="spellEnd"/>
    </w:p>
    <w:p w14:paraId="0E21368B" w14:textId="77777777" w:rsidR="00B97F9B" w:rsidRPr="00B97F9B" w:rsidRDefault="00B97F9B" w:rsidP="00B97F9B">
      <w:pPr>
        <w:rPr>
          <w:sz w:val="24"/>
          <w:szCs w:val="24"/>
        </w:rPr>
      </w:pPr>
      <w:proofErr w:type="gramStart"/>
      <w:r w:rsidRPr="00B97F9B">
        <w:rPr>
          <w:lang w:val="en-US"/>
        </w:rPr>
        <w:t>hydrochloride</w:t>
      </w:r>
      <w:proofErr w:type="gramEnd"/>
      <w:r w:rsidRPr="00B97F9B">
        <w:t xml:space="preserve">), </w:t>
      </w:r>
      <w:r w:rsidRPr="00B97F9B">
        <w:rPr>
          <w:lang w:eastAsia="bg-BG"/>
        </w:rPr>
        <w:t xml:space="preserve">еквивалентно на 9,4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eastAsia="bg-BG"/>
        </w:rPr>
        <w:t xml:space="preserve">лерканидипин </w:t>
      </w:r>
      <w:r w:rsidRPr="00B97F9B">
        <w:t>(</w:t>
      </w:r>
      <w:proofErr w:type="spellStart"/>
      <w:r w:rsidRPr="00B97F9B">
        <w:rPr>
          <w:lang w:val="en-US"/>
        </w:rPr>
        <w:t>lercanidipine</w:t>
      </w:r>
      <w:proofErr w:type="spellEnd"/>
      <w:r w:rsidRPr="00B97F9B">
        <w:t>).</w:t>
      </w:r>
    </w:p>
    <w:p w14:paraId="7282F1B4" w14:textId="77777777" w:rsidR="00B97F9B" w:rsidRDefault="00B97F9B" w:rsidP="00B97F9B">
      <w:pPr>
        <w:rPr>
          <w:lang w:eastAsia="bg-BG"/>
        </w:rPr>
      </w:pPr>
    </w:p>
    <w:p w14:paraId="2B362899" w14:textId="35437C86" w:rsidR="00B97F9B" w:rsidRPr="00B97F9B" w:rsidRDefault="00B97F9B" w:rsidP="00B97F9B">
      <w:pPr>
        <w:rPr>
          <w:sz w:val="24"/>
          <w:szCs w:val="24"/>
        </w:rPr>
      </w:pPr>
      <w:r>
        <w:rPr>
          <w:lang w:eastAsia="bg-BG"/>
        </w:rPr>
        <w:t xml:space="preserve">Всяка филмирана таблетка съдържа 20 </w:t>
      </w:r>
      <w:r w:rsidRPr="00B97F9B">
        <w:rPr>
          <w:lang w:val="en-US"/>
        </w:rPr>
        <w:t>mg</w:t>
      </w:r>
      <w:r>
        <w:t xml:space="preserve"> </w:t>
      </w:r>
      <w:r>
        <w:rPr>
          <w:lang w:eastAsia="bg-BG"/>
        </w:rPr>
        <w:t xml:space="preserve">лерканидипинов хидрохлорид </w:t>
      </w:r>
      <w:r w:rsidRPr="00B97F9B">
        <w:t>(</w:t>
      </w:r>
      <w:proofErr w:type="spellStart"/>
      <w:r w:rsidRPr="00B97F9B">
        <w:rPr>
          <w:lang w:val="en-US"/>
        </w:rPr>
        <w:t>lercanidipine</w:t>
      </w:r>
      <w:proofErr w:type="spellEnd"/>
    </w:p>
    <w:p w14:paraId="57C03A1A" w14:textId="77777777" w:rsidR="00B97F9B" w:rsidRPr="00B97F9B" w:rsidRDefault="00B97F9B" w:rsidP="00B97F9B">
      <w:pPr>
        <w:rPr>
          <w:sz w:val="24"/>
          <w:szCs w:val="24"/>
        </w:rPr>
      </w:pPr>
      <w:proofErr w:type="gramStart"/>
      <w:r w:rsidRPr="00B97F9B">
        <w:rPr>
          <w:lang w:val="en-US"/>
        </w:rPr>
        <w:t>hydrochloride</w:t>
      </w:r>
      <w:proofErr w:type="gramEnd"/>
      <w:r w:rsidRPr="00B97F9B">
        <w:t xml:space="preserve">), </w:t>
      </w:r>
      <w:r w:rsidRPr="00B97F9B">
        <w:rPr>
          <w:lang w:eastAsia="bg-BG"/>
        </w:rPr>
        <w:t xml:space="preserve">еквивалентно на 18,8 </w:t>
      </w:r>
      <w:r w:rsidRPr="00B97F9B">
        <w:rPr>
          <w:lang w:val="en-US"/>
        </w:rPr>
        <w:t>mg</w:t>
      </w:r>
      <w:r w:rsidRPr="00B97F9B">
        <w:t xml:space="preserve"> </w:t>
      </w:r>
      <w:r w:rsidRPr="00B97F9B">
        <w:rPr>
          <w:lang w:eastAsia="bg-BG"/>
        </w:rPr>
        <w:t xml:space="preserve">лерканидипин </w:t>
      </w:r>
      <w:r w:rsidRPr="00B97F9B">
        <w:t>(</w:t>
      </w:r>
      <w:proofErr w:type="spellStart"/>
      <w:r w:rsidRPr="00B97F9B">
        <w:rPr>
          <w:lang w:val="en-US"/>
        </w:rPr>
        <w:t>lercanidipine</w:t>
      </w:r>
      <w:proofErr w:type="spellEnd"/>
      <w:r w:rsidRPr="00B97F9B">
        <w:t>).</w:t>
      </w:r>
    </w:p>
    <w:p w14:paraId="04D54902" w14:textId="77777777" w:rsidR="00B97F9B" w:rsidRDefault="00B97F9B" w:rsidP="00B97F9B">
      <w:pPr>
        <w:rPr>
          <w:u w:val="single"/>
          <w:lang w:eastAsia="bg-BG"/>
        </w:rPr>
      </w:pPr>
    </w:p>
    <w:p w14:paraId="0481E8B4" w14:textId="52E70C72" w:rsidR="00B97F9B" w:rsidRPr="00B97F9B" w:rsidRDefault="00B97F9B" w:rsidP="00B97F9B">
      <w:pPr>
        <w:rPr>
          <w:sz w:val="24"/>
          <w:szCs w:val="24"/>
        </w:rPr>
      </w:pPr>
      <w:r w:rsidRPr="00B97F9B">
        <w:rPr>
          <w:u w:val="single"/>
          <w:lang w:eastAsia="bg-BG"/>
        </w:rPr>
        <w:t>Помощно(и) вещество(а) с известно дейстие:</w:t>
      </w:r>
    </w:p>
    <w:p w14:paraId="06C8F6BE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Една филмирана таблетка от 10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 xml:space="preserve">съдържа 30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лактоза монохидрат.</w:t>
      </w:r>
    </w:p>
    <w:p w14:paraId="62FC9906" w14:textId="66AE9716" w:rsidR="00B97F9B" w:rsidRPr="00B97F9B" w:rsidRDefault="00B97F9B" w:rsidP="00B97F9B">
      <w:r w:rsidRPr="00B97F9B">
        <w:rPr>
          <w:lang w:eastAsia="bg-BG"/>
        </w:rPr>
        <w:t xml:space="preserve">Една филмирана таблетка от 20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 xml:space="preserve">съдържа 60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лактоза монохидрат.</w:t>
      </w:r>
    </w:p>
    <w:p w14:paraId="614984C4" w14:textId="790D030F" w:rsidR="008A6AF2" w:rsidRDefault="00DD466D" w:rsidP="002C50EE">
      <w:pPr>
        <w:pStyle w:val="Heading1"/>
      </w:pPr>
      <w:r>
        <w:t>3. ЛЕКАРСТВЕНА ФОРМА</w:t>
      </w:r>
    </w:p>
    <w:p w14:paraId="033B4340" w14:textId="138F97D7" w:rsidR="00B97F9B" w:rsidRDefault="00B97F9B" w:rsidP="00B97F9B"/>
    <w:p w14:paraId="3EE7E961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Филмирана таблетка от 10 </w:t>
      </w:r>
      <w:r w:rsidRPr="00B97F9B">
        <w:rPr>
          <w:lang w:val="en-US"/>
        </w:rPr>
        <w:t>mg</w:t>
      </w:r>
    </w:p>
    <w:p w14:paraId="61F11629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Жълта, кръгла, биконвексна таблетка с дължина 6,5 </w:t>
      </w:r>
      <w:r w:rsidRPr="00B97F9B">
        <w:rPr>
          <w:lang w:val="en-US"/>
        </w:rPr>
        <w:t>mm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с делителна черта от едната страна.</w:t>
      </w:r>
    </w:p>
    <w:p w14:paraId="78EC209F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Делителната черта е само за улесняване на счупването с цел по-лесно гълтане, а не за разделяне на равни дози.</w:t>
      </w:r>
    </w:p>
    <w:p w14:paraId="15AC6C06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Филмирана таблетка от 20 </w:t>
      </w:r>
      <w:r w:rsidRPr="00B97F9B">
        <w:rPr>
          <w:lang w:val="en-US"/>
        </w:rPr>
        <w:t>mg</w:t>
      </w:r>
      <w:r w:rsidRPr="00B97F9B">
        <w:rPr>
          <w:lang w:val="ru-RU"/>
        </w:rPr>
        <w:t>.</w:t>
      </w:r>
    </w:p>
    <w:p w14:paraId="12B8EA30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Розова, кръгла, биконвексна таблетка с дължина 8,5 </w:t>
      </w:r>
      <w:r w:rsidRPr="00B97F9B">
        <w:rPr>
          <w:lang w:val="en-US"/>
        </w:rPr>
        <w:t>mm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с делителна черта от едната страна. Таблетката може да бъде разделена на равни дози.</w:t>
      </w:r>
    </w:p>
    <w:p w14:paraId="06C0BF52" w14:textId="77777777" w:rsidR="00B97F9B" w:rsidRPr="00B97F9B" w:rsidRDefault="00B97F9B" w:rsidP="00B97F9B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0771830A" w14:textId="5AFCFC44" w:rsidR="00DB32D3" w:rsidRDefault="002C50EE" w:rsidP="005726E3">
      <w:pPr>
        <w:pStyle w:val="Heading2"/>
      </w:pPr>
      <w:r>
        <w:t>4.1. Терапевтични показания</w:t>
      </w:r>
    </w:p>
    <w:p w14:paraId="3666ABD3" w14:textId="1BDA7F71" w:rsidR="00B97F9B" w:rsidRDefault="00B97F9B" w:rsidP="00B97F9B"/>
    <w:p w14:paraId="2857D7F6" w14:textId="2EFD73D2" w:rsidR="00B97F9B" w:rsidRDefault="00B97F9B" w:rsidP="00B97F9B">
      <w:r>
        <w:t>Реновиа е показан при възрастни за лечение на лека до умерена есенциална хипертония.</w:t>
      </w:r>
    </w:p>
    <w:p w14:paraId="4C50FB28" w14:textId="77777777" w:rsidR="00B97F9B" w:rsidRPr="00B97F9B" w:rsidRDefault="00B97F9B" w:rsidP="00B97F9B"/>
    <w:p w14:paraId="7647A102" w14:textId="1489DE3B" w:rsidR="00DB32D3" w:rsidRDefault="002C50EE" w:rsidP="005726E3">
      <w:pPr>
        <w:pStyle w:val="Heading2"/>
      </w:pPr>
      <w:r>
        <w:t>4.2. Дозировка и начин на приложение</w:t>
      </w:r>
    </w:p>
    <w:p w14:paraId="081F2C91" w14:textId="59C00C64" w:rsidR="00B97F9B" w:rsidRDefault="00B97F9B" w:rsidP="00B97F9B"/>
    <w:p w14:paraId="141AA3FC" w14:textId="77777777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lastRenderedPageBreak/>
        <w:t>Дозировка</w:t>
      </w:r>
    </w:p>
    <w:p w14:paraId="5D11A50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Препоръчителната доза е 10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перорално един път дневно, поне 15 минути преди хранене. В зависимост от индивидуалния отговор на пациента, дозата може да се увеличи до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</w:p>
    <w:p w14:paraId="08F4FD60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Дозата трябва да се титрира постепенно, защото за да се прояви максималният антихипертензивен ефект може да са необходими около 2 седмици.</w:t>
      </w:r>
    </w:p>
    <w:p w14:paraId="1F55D47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9A8FAB5" w14:textId="60AB1BC9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Някои пациенти с незадоволителен контрол от един антихипертензивен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лекарствен продукт може</w:t>
      </w:r>
    </w:p>
    <w:p w14:paraId="22A6B963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да се повлияят благоприятно от добавянето на Реновиа към лечението с бета-блокер (атенолол) диуретик (хидрохлоротиазнд) или инхибитор на ангиотензин-конвертирщия ензим, (каптоприл</w:t>
      </w:r>
    </w:p>
    <w:p w14:paraId="37A83085" w14:textId="3AC3FEDE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или еналаприл).</w:t>
      </w:r>
    </w:p>
    <w:p w14:paraId="0C15623E" w14:textId="2B66A4F7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</w:p>
    <w:p w14:paraId="79EDA3A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Тъй като кривата доза-отговор е стръмна с плато при дози между 20-30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B97F9B">
        <w:rPr>
          <w:rFonts w:eastAsia="Times New Roman" w:cs="Arial"/>
          <w:color w:val="000000"/>
          <w:szCs w:val="20"/>
          <w:lang w:eastAsia="bg-BG"/>
        </w:rPr>
        <w:t>не се очаква по-добра ефективност при по-високи дози, но нежеланите ефекти могат да се увеличат.</w:t>
      </w:r>
    </w:p>
    <w:p w14:paraId="0250A203" w14:textId="77777777" w:rsidR="00B97F9B" w:rsidRPr="00B97F9B" w:rsidRDefault="00B97F9B" w:rsidP="00B97F9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CAB58E4" w14:textId="024DEB83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Пациенти в старческа възраст: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въпреки че според фармакокинетичните данни и клиничния опит не се налага корекция на дневната доза, при започване на лечението при пациенти в старческа възраст е необходимо особено внимание.</w:t>
      </w:r>
    </w:p>
    <w:p w14:paraId="1987E293" w14:textId="77777777" w:rsidR="00B97F9B" w:rsidRPr="00B97F9B" w:rsidRDefault="00B97F9B" w:rsidP="00B97F9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47DF0FA" w14:textId="6A640104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популация: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безопасността и ефикасността на Реновиа при деца на възраст до 18 години не са установени.</w:t>
      </w:r>
    </w:p>
    <w:p w14:paraId="2E9291F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Няма налични данни.</w:t>
      </w:r>
    </w:p>
    <w:p w14:paraId="3C287277" w14:textId="77777777" w:rsidR="00B97F9B" w:rsidRPr="00B97F9B" w:rsidRDefault="00B97F9B" w:rsidP="00B97F9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96B737E" w14:textId="4A3A5DAC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Пациенти с бъбречни или чернодробни нарушения: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необходимо е особено внимание при започване на </w:t>
      </w:r>
    </w:p>
    <w:p w14:paraId="47F6A731" w14:textId="0D0BD15C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лечението при пациенти с леко до умерено нарушена бъбречна или чернодробна функция. Въпреки че обичайната препоръчителна доза може да се понася от тези пациенти, увеличението на дозата до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дневно трябва да се осъществява внимателно. Антихипертензивният ефект може да се усили при пациенти с чернодробно увреждане и следователно е необходимо коригиране на дозата.</w:t>
      </w:r>
    </w:p>
    <w:p w14:paraId="5C78E34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Реновиа е противопоказан при пациенти с тежки чернодробни нарушения или при пациенти с тежки бъбречни нарушения </w:t>
      </w:r>
      <w:r w:rsidRPr="00B97F9B">
        <w:rPr>
          <w:rFonts w:eastAsia="Times New Roman" w:cs="Arial"/>
          <w:color w:val="000000"/>
          <w:szCs w:val="20"/>
          <w:lang w:val="ru-RU"/>
        </w:rPr>
        <w:t>(</w:t>
      </w:r>
      <w:r w:rsidRPr="00B97F9B">
        <w:rPr>
          <w:rFonts w:eastAsia="Times New Roman" w:cs="Arial"/>
          <w:color w:val="000000"/>
          <w:szCs w:val="20"/>
          <w:lang w:val="en-US"/>
        </w:rPr>
        <w:t>GFR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&lt;30 </w:t>
      </w:r>
      <w:r w:rsidRPr="00B97F9B">
        <w:rPr>
          <w:rFonts w:eastAsia="Times New Roman" w:cs="Arial"/>
          <w:color w:val="000000"/>
          <w:szCs w:val="20"/>
          <w:lang w:val="en-US"/>
        </w:rPr>
        <w:t>ml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min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B97F9B">
        <w:rPr>
          <w:rFonts w:eastAsia="Times New Roman" w:cs="Arial"/>
          <w:color w:val="000000"/>
          <w:szCs w:val="20"/>
          <w:lang w:eastAsia="bg-BG"/>
        </w:rPr>
        <w:t>включително при пациенти на диализа (виж точка 4.3 и точка 4.4).</w:t>
      </w:r>
    </w:p>
    <w:p w14:paraId="28CCFCB4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4B525BE" w14:textId="76BC170B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Начин на приложение</w:t>
      </w:r>
    </w:p>
    <w:p w14:paraId="5475ADE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Трябва да се предприемат предпазни мерки преди използване или прилагане на лекарствения продукт:</w:t>
      </w:r>
    </w:p>
    <w:p w14:paraId="0BA57BE4" w14:textId="77777777" w:rsidR="00B97F9B" w:rsidRPr="00B97F9B" w:rsidRDefault="00B97F9B" w:rsidP="00B97F9B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Лекарството за предпочитане се прилага сутрин, поне 15 минути преди закуска.</w:t>
      </w:r>
    </w:p>
    <w:p w14:paraId="1BD3534D" w14:textId="7ED22CA8" w:rsidR="00B97F9B" w:rsidRPr="00B97F9B" w:rsidRDefault="00B97F9B" w:rsidP="00B97F9B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Този продукт не трябва да се приема със сок от грейпфрут (вижте точки 4.3 и 4.5).</w:t>
      </w:r>
    </w:p>
    <w:p w14:paraId="600813B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</w:p>
    <w:p w14:paraId="74903285" w14:textId="3E00A8E9" w:rsidR="00DB32D3" w:rsidRDefault="002C50EE" w:rsidP="005726E3">
      <w:pPr>
        <w:pStyle w:val="Heading2"/>
      </w:pPr>
      <w:r>
        <w:t>4.3. Противопоказания</w:t>
      </w:r>
    </w:p>
    <w:p w14:paraId="3A5CCD75" w14:textId="1542E10A" w:rsidR="00B97F9B" w:rsidRDefault="00B97F9B" w:rsidP="00B97F9B"/>
    <w:p w14:paraId="70492B06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Свръхчувствителност към активното вещество или към някое от помощните вещества, изброени в точка 6.1</w:t>
      </w:r>
    </w:p>
    <w:p w14:paraId="50C0AC85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Обструкция на изхода на лявата камера</w:t>
      </w:r>
    </w:p>
    <w:p w14:paraId="7A7FDCFA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Нелекувана застойна сърдечна недостатъчност</w:t>
      </w:r>
    </w:p>
    <w:p w14:paraId="6EE61A5E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>Нестабилна ангина пекторис или наскоро прекаран (до 1 месец) инфаркт на миокарда</w:t>
      </w:r>
    </w:p>
    <w:p w14:paraId="4A342420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Тежко чернодробно увреждане</w:t>
      </w:r>
    </w:p>
    <w:p w14:paraId="6A22E4CC" w14:textId="77777777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Тежко бъбречно увреждане </w:t>
      </w:r>
      <w:r w:rsidRPr="00B97F9B">
        <w:rPr>
          <w:rFonts w:eastAsia="Times New Roman" w:cs="Arial"/>
          <w:color w:val="000000"/>
          <w:szCs w:val="20"/>
          <w:lang w:val="ru-RU"/>
        </w:rPr>
        <w:t>(</w:t>
      </w:r>
      <w:r w:rsidRPr="00B97F9B">
        <w:rPr>
          <w:rFonts w:eastAsia="Times New Roman" w:cs="Arial"/>
          <w:color w:val="000000"/>
          <w:szCs w:val="20"/>
          <w:lang w:val="en-US"/>
        </w:rPr>
        <w:t>GFR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&lt;30 </w:t>
      </w:r>
      <w:r w:rsidRPr="00B97F9B">
        <w:rPr>
          <w:rFonts w:eastAsia="Times New Roman" w:cs="Arial"/>
          <w:color w:val="000000"/>
          <w:szCs w:val="20"/>
          <w:lang w:val="en-US"/>
        </w:rPr>
        <w:t>ml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min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B97F9B">
        <w:rPr>
          <w:rFonts w:eastAsia="Times New Roman" w:cs="Arial"/>
          <w:color w:val="000000"/>
          <w:szCs w:val="20"/>
          <w:lang w:eastAsia="bg-BG"/>
        </w:rPr>
        <w:t>включително и пациенти на диализа.</w:t>
      </w:r>
    </w:p>
    <w:p w14:paraId="4375F737" w14:textId="0AF4BDD2" w:rsidR="00B97F9B" w:rsidRPr="00B97F9B" w:rsidRDefault="00B97F9B" w:rsidP="00B97F9B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Едновременно приложение на:</w:t>
      </w:r>
    </w:p>
    <w:p w14:paraId="6A2052A5" w14:textId="77777777" w:rsidR="00B97F9B" w:rsidRPr="00B97F9B" w:rsidRDefault="00B97F9B" w:rsidP="00B97F9B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силни инхибитори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>(вижте точка 4.5);</w:t>
      </w:r>
    </w:p>
    <w:p w14:paraId="77078C42" w14:textId="77777777" w:rsidR="00B97F9B" w:rsidRPr="00B97F9B" w:rsidRDefault="00B97F9B" w:rsidP="00B97F9B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циклоспорин (вижте точка 4.5);</w:t>
      </w:r>
    </w:p>
    <w:p w14:paraId="41FFFA41" w14:textId="139FDDAA" w:rsidR="00B97F9B" w:rsidRPr="00B97F9B" w:rsidRDefault="00B97F9B" w:rsidP="00B97F9B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грейпфрут или сок от грейпфрут (вижте точка 4.5).</w:t>
      </w:r>
    </w:p>
    <w:p w14:paraId="52C23665" w14:textId="7FADB341" w:rsidR="00B97F9B" w:rsidRPr="00B97F9B" w:rsidRDefault="00B97F9B" w:rsidP="00B97F9B"/>
    <w:p w14:paraId="76DC8E58" w14:textId="0AC98677" w:rsidR="00DB32D3" w:rsidRDefault="002C50EE" w:rsidP="005726E3">
      <w:pPr>
        <w:pStyle w:val="Heading2"/>
      </w:pPr>
      <w:r>
        <w:t>4.4. Специални предупреждения и предпазни мерки при употреба</w:t>
      </w:r>
    </w:p>
    <w:p w14:paraId="70383009" w14:textId="3697BAF0" w:rsidR="00B97F9B" w:rsidRDefault="00B97F9B" w:rsidP="00B97F9B"/>
    <w:p w14:paraId="0425688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Синдром на болния синусов възел</w:t>
      </w:r>
    </w:p>
    <w:p w14:paraId="2A276A3E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Лерканидипин трябва да се прилага с внимание при пациенти със синдром на болния синусов възел (без пейсмейкър).</w:t>
      </w:r>
    </w:p>
    <w:p w14:paraId="34B766A5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523A1A4" w14:textId="3DB3C5C8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Левокамерна дисфункция</w:t>
      </w:r>
    </w:p>
    <w:p w14:paraId="02FCF79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Въпреки че хемодинамичните контролирани изпитвания не демонстрират нарушение на камерната функция, необходимо е внимание при пациенти с левокамерна дисфункция.</w:t>
      </w:r>
    </w:p>
    <w:p w14:paraId="75EB51CA" w14:textId="7AE9A260" w:rsidR="00B97F9B" w:rsidRPr="00B97F9B" w:rsidRDefault="00B97F9B" w:rsidP="00B97F9B">
      <w:pPr>
        <w:rPr>
          <w:rFonts w:cs="Arial"/>
          <w:sz w:val="24"/>
        </w:rPr>
      </w:pPr>
    </w:p>
    <w:p w14:paraId="48EA4F4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Исхемична болест на сърцето</w:t>
      </w:r>
    </w:p>
    <w:p w14:paraId="5FF0B21B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Предполага се, че някои краткодействащи дихидропиридини могат да бъдат свързани с повишен сърдечносъдов риск при пациенти с исхемична болест на сърцето. Въпреки че лерканидипин е дългодействащ, при тези пациенти е необходимо внимание. Някои дихидропиридини рядко могат да доведат до прекордиална болка или ангина лекторис. Много рядко при пациенти с предшестваща ангина пекторис може да се проявят увеличение на честотата, продължителността и тежестта на стенокардиите пристъпи. Могат да се наблюдават изолирани случаи на инфаркт на миокарда (вижте точка 4.8).</w:t>
      </w:r>
    </w:p>
    <w:p w14:paraId="7E1C7F16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FEDA90D" w14:textId="5AB5737E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Употреба при бъбречни или чернодробни увреждания</w:t>
      </w:r>
    </w:p>
    <w:p w14:paraId="4B7B1922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При започване на лечението при пациенти с леко до умерено бъбречно увреждане е необходимо особено внимание. Въпреки че тези пациенти може да понасят обичайната препоръчителна доза от 10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увеличението на дозата до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дневно трябва да се осъществява внимателно. Антихипертензивният ефект може да се усили при пациенти с умерено чернодробно увреждане и следователно трябва да се има предвид коригиране на дозата.</w:t>
      </w:r>
    </w:p>
    <w:p w14:paraId="4C801D2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Лерканидипин е противопоказан при пациенти с тежко чернодробно увреждане или тежко бъбречно увреждане </w:t>
      </w:r>
      <w:r w:rsidRPr="00B97F9B">
        <w:rPr>
          <w:rFonts w:eastAsia="Times New Roman" w:cs="Arial"/>
          <w:color w:val="000000"/>
          <w:szCs w:val="20"/>
          <w:lang w:val="ru-RU"/>
        </w:rPr>
        <w:t>(</w:t>
      </w:r>
      <w:r w:rsidRPr="00B97F9B">
        <w:rPr>
          <w:rFonts w:eastAsia="Times New Roman" w:cs="Arial"/>
          <w:color w:val="000000"/>
          <w:szCs w:val="20"/>
          <w:lang w:val="en-US"/>
        </w:rPr>
        <w:t>GFR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&lt;30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min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B97F9B">
        <w:rPr>
          <w:rFonts w:eastAsia="Times New Roman" w:cs="Arial"/>
          <w:color w:val="000000"/>
          <w:szCs w:val="20"/>
          <w:lang w:eastAsia="bg-BG"/>
        </w:rPr>
        <w:t>включително пациенти на хемоднализа (вижте точка 4.2 и точка 4.3)</w:t>
      </w:r>
    </w:p>
    <w:p w14:paraId="2BDA925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9EAEE94" w14:textId="264478C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Перитонеална диализа</w:t>
      </w:r>
    </w:p>
    <w:p w14:paraId="74CF914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Лерканидипин се свързва с помътняване на перитонеалния диализат при пациенти на перитонеална диализа. Помътняването се дължи на повишена концентрация на триглицериди в перитонеалния диализат. Механизмът не е известен, но мътността започва да намалява скоро след спирането на лерканидипин. Това е важен признак за разпознаване, тъй като мътният перитонеален диализат може да бъде погрешно приет като инфекциозен перитонит, с последваща ненужна хоспитализация и емпирично приложение на антибиотици.</w:t>
      </w:r>
    </w:p>
    <w:p w14:paraId="1F06FB6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A0672F7" w14:textId="7B2D9701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 xml:space="preserve">Индуктори на 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4</w:t>
      </w:r>
    </w:p>
    <w:p w14:paraId="447563E4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 xml:space="preserve">Индукторите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>като антиконвулсанти (напр. фенитоин, карбамазепин) и рифампицин могат да намалят плазмените нива на лерканидипин и поради това ефективността на лерканидипин да е по-ниска от очакваната (вижте точка 4.5.).</w:t>
      </w:r>
    </w:p>
    <w:p w14:paraId="0C20C990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6860CD3" w14:textId="69E83406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Алкохол</w:t>
      </w:r>
    </w:p>
    <w:p w14:paraId="3FA6E32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Алкохолът трябва да се избягва, тъй като може да усили ефекта на вазодилатативните антихипертензивни лекарства (вижте точка 4.5).</w:t>
      </w:r>
    </w:p>
    <w:p w14:paraId="3D154106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0661E1A" w14:textId="60E144B2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Лактоза</w:t>
      </w:r>
    </w:p>
    <w:p w14:paraId="689D7C5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Това лекарство съдържа лактоза. Пациенти с рядка наследствена непоносимост към галактоза, общ дефицит на лактаза или глюкозо-галактозна малабсорбция не трябва да приемат това лекарство.</w:t>
      </w:r>
    </w:p>
    <w:p w14:paraId="1CDDB5A6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CB939CD" w14:textId="736C4D48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Натрий</w:t>
      </w:r>
    </w:p>
    <w:p w14:paraId="68EB6E4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Това лекарство съдържа по-малко от 1 </w:t>
      </w:r>
      <w:proofErr w:type="spellStart"/>
      <w:r w:rsidRPr="00B97F9B">
        <w:rPr>
          <w:rFonts w:eastAsia="Times New Roman" w:cs="Arial"/>
          <w:color w:val="000000"/>
          <w:szCs w:val="20"/>
          <w:lang w:val="en-US"/>
        </w:rPr>
        <w:t>mmol</w:t>
      </w:r>
      <w:proofErr w:type="spellEnd"/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натрий (23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B97F9B">
        <w:rPr>
          <w:rFonts w:eastAsia="Times New Roman" w:cs="Arial"/>
          <w:color w:val="000000"/>
          <w:szCs w:val="20"/>
          <w:lang w:eastAsia="bg-BG"/>
        </w:rPr>
        <w:t>на филмирана таблетка, т.е. на практика не съдържа натрий.</w:t>
      </w:r>
    </w:p>
    <w:p w14:paraId="727C2A1D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AF25690" w14:textId="008E69C4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Педиатрична популация</w:t>
      </w:r>
    </w:p>
    <w:p w14:paraId="7007464A" w14:textId="2068974B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Безопасността и ефикасността на лерканидипин при деца не са установени.</w:t>
      </w:r>
    </w:p>
    <w:p w14:paraId="6780E7E5" w14:textId="77777777" w:rsidR="00B97F9B" w:rsidRPr="00B97F9B" w:rsidRDefault="00B97F9B" w:rsidP="00B97F9B"/>
    <w:p w14:paraId="5A4E6279" w14:textId="77777777" w:rsidR="00B97F9B" w:rsidRDefault="002C50EE" w:rsidP="005726E3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76847763" w14:textId="77777777" w:rsidR="00B97F9B" w:rsidRDefault="00B97F9B" w:rsidP="005726E3">
      <w:pPr>
        <w:pStyle w:val="Heading2"/>
      </w:pPr>
    </w:p>
    <w:p w14:paraId="350BD403" w14:textId="77777777" w:rsidR="00B97F9B" w:rsidRPr="00B97F9B" w:rsidRDefault="00B97F9B" w:rsidP="005726E3">
      <w:pPr>
        <w:pStyle w:val="Heading2"/>
        <w:rPr>
          <w:rFonts w:cs="Arial"/>
          <w:b/>
          <w:bCs/>
          <w:i/>
          <w:iCs/>
          <w:sz w:val="22"/>
          <w:szCs w:val="20"/>
          <w:u w:val="single"/>
        </w:rPr>
      </w:pPr>
      <w:r w:rsidRPr="00B97F9B">
        <w:rPr>
          <w:rFonts w:cs="Arial"/>
          <w:b/>
          <w:bCs/>
          <w:i/>
          <w:iCs/>
          <w:sz w:val="22"/>
          <w:szCs w:val="20"/>
          <w:u w:val="single"/>
        </w:rPr>
        <w:t>Противопоказания за едновременна употреба</w:t>
      </w:r>
    </w:p>
    <w:p w14:paraId="758A780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9CF4F34" w14:textId="46D1B145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 xml:space="preserve">Инхибитори на 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4</w:t>
      </w:r>
    </w:p>
    <w:p w14:paraId="011E587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Известно е, че лерканидипин се метаболизира от ензима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поради това едновременното приложение на инхибитори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може да повлияе метаболизма и елиминирането на лерканидипин. Проучване за взаимодействие със силен инхибитор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кетоконазол, показва значително повишение на плазмените нива на лерканидипин (15 пъти повишение на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8 пъти повишение на </w:t>
      </w:r>
      <w:proofErr w:type="spellStart"/>
      <w:r w:rsidRPr="00B97F9B">
        <w:rPr>
          <w:rFonts w:eastAsia="Times New Roman" w:cs="Arial"/>
          <w:color w:val="000000"/>
          <w:szCs w:val="20"/>
          <w:lang w:val="en-US"/>
        </w:rPr>
        <w:t>C</w:t>
      </w:r>
      <w:r w:rsidRPr="00B97F9B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proofErr w:type="spellEnd"/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за еутомера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eastAsia="bg-BG"/>
        </w:rPr>
        <w:t>-лерканидипин).</w:t>
      </w:r>
    </w:p>
    <w:p w14:paraId="0435315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Трябва да се избягва едновременното предписване на лерканидипин с инхибитори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>(напр. кетоконазол, итраконазол, ритонавир, еритромицин, тролеандомицин, кларитромицин (вижте точка 4.3).</w:t>
      </w:r>
    </w:p>
    <w:p w14:paraId="3D296C8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7B1A09C" w14:textId="5C2CC90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Циклоспорин</w:t>
      </w:r>
    </w:p>
    <w:p w14:paraId="446B37C7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Наблюдават се повишени плазмени нива както на лерканидипин, така и на циклоспорин при едновременно приложение. Проучване при млади здрави доброволци показва, че ако циклоспорин се прилага 3 часа след прием на лерканидипин, плазмените нива на лерканидипин не се променят, докато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на циклоспорин се повишава с 27%. Едновременното приложение обаче на лерканидипин с циклоспорин води до 3 пъти увеличение на плазмените нива на лерканидипин и 21% увеличение на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на циклоспорин. Циклоспорин и лерканидипин не трябва да се прилагат едновременно (виж точка 4.3).</w:t>
      </w:r>
    </w:p>
    <w:p w14:paraId="3B0BD25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047A337" w14:textId="79368150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Грейпрут или сок от грейпфрут</w:t>
      </w:r>
    </w:p>
    <w:p w14:paraId="374D63C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Подобно на други дихидропиридини, лерканидипин е чувствителен към инхибиране на метаболизма на грейпфрут или сок от грейпфрут, с последващо повишение на </w:t>
      </w: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>системната му бионаличност и усилване на хипотензивния ефект. Лерканидипин не трябва да се приема с грейпфрут или сок от грейпфрут (вижте точка 4.3).</w:t>
      </w:r>
    </w:p>
    <w:p w14:paraId="75DE27B9" w14:textId="77777777" w:rsidR="00B97F9B" w:rsidRPr="00B97F9B" w:rsidRDefault="00B97F9B" w:rsidP="00B97F9B">
      <w:pPr>
        <w:spacing w:line="240" w:lineRule="auto"/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</w:pPr>
    </w:p>
    <w:p w14:paraId="2EFA7BC0" w14:textId="4F908228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  <w:t>Едновременната употреба не се препоръчва</w:t>
      </w:r>
    </w:p>
    <w:p w14:paraId="2905FF61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A6A4B24" w14:textId="66A6D353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 xml:space="preserve">Индуктори на 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4</w:t>
      </w:r>
    </w:p>
    <w:p w14:paraId="3AD18E7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Едновременното приложение на лерканидипин с индуктори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>като антиконвулсанти (напр. фенитоин, фенобарбитал, карбамазепин) и рифампицин трябва да се осъществява внимателно, тъй като антихипертензивният ефект може да бъде намален и кръвното налягане трябва да се измерва по-често от обичайното (виж т. 4.4).</w:t>
      </w:r>
    </w:p>
    <w:p w14:paraId="66BBB54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453B577" w14:textId="6622F91D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Алкохол</w:t>
      </w:r>
    </w:p>
    <w:p w14:paraId="6A65533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Алкохол трябва да се избягва, тъй като може да усили ефекта на вазодилатативните антихипертензивни лекарства (вижте точка 4.4).</w:t>
      </w:r>
    </w:p>
    <w:p w14:paraId="6985C6E9" w14:textId="77777777" w:rsidR="00B97F9B" w:rsidRPr="00B97F9B" w:rsidRDefault="00B97F9B" w:rsidP="00B97F9B">
      <w:pPr>
        <w:spacing w:line="240" w:lineRule="auto"/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</w:pPr>
    </w:p>
    <w:p w14:paraId="4C368600" w14:textId="4A27877E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  <w:t>Предпазни мерки, включващи корекция на дозата</w:t>
      </w:r>
    </w:p>
    <w:p w14:paraId="6CBC0EB4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2BF9519" w14:textId="4C2CC630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 xml:space="preserve">Субстрати на 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u w:val="single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u w:val="single"/>
          <w:lang w:val="ru-RU"/>
        </w:rPr>
        <w:t>4</w:t>
      </w:r>
    </w:p>
    <w:p w14:paraId="6AC7DDE2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Необходимо е внимание при едновременното предписване на лерканидипин с други субстрати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като терфенадин, астемизол, антиаритмици клас </w:t>
      </w:r>
      <w:r w:rsidRPr="00B97F9B">
        <w:rPr>
          <w:rFonts w:eastAsia="Times New Roman" w:cs="Arial"/>
          <w:color w:val="000000"/>
          <w:szCs w:val="20"/>
          <w:lang w:val="en-US"/>
        </w:rPr>
        <w:t>III</w:t>
      </w:r>
      <w:r w:rsidRPr="00B97F9B">
        <w:rPr>
          <w:rFonts w:eastAsia="Times New Roman" w:cs="Arial"/>
          <w:color w:val="000000"/>
          <w:szCs w:val="20"/>
          <w:lang w:eastAsia="bg-BG"/>
        </w:rPr>
        <w:t>, като амиодарон, хинидин, соталол.</w:t>
      </w:r>
    </w:p>
    <w:p w14:paraId="0E17FD5A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0982655" w14:textId="058D057B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Мидазолам</w:t>
      </w:r>
    </w:p>
    <w:p w14:paraId="38034ED7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При едновременно перорално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лерканидипин с мидазолам от доброволци в старческа възраст, абсорбцията на лерканидипин се увеличава (с около 40%), а скоростта на абсорбция намалява </w:t>
      </w:r>
      <w:r w:rsidRPr="00B97F9B">
        <w:rPr>
          <w:rFonts w:eastAsia="Times New Roman" w:cs="Arial"/>
          <w:color w:val="000000"/>
          <w:szCs w:val="20"/>
          <w:lang w:val="ru-RU"/>
        </w:rPr>
        <w:t>(</w:t>
      </w:r>
      <w:proofErr w:type="spellStart"/>
      <w:r w:rsidRPr="00B97F9B">
        <w:rPr>
          <w:rFonts w:eastAsia="Times New Roman" w:cs="Arial"/>
          <w:color w:val="000000"/>
          <w:szCs w:val="20"/>
          <w:lang w:val="en-US"/>
        </w:rPr>
        <w:t>t</w:t>
      </w:r>
      <w:r w:rsidRPr="00B97F9B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proofErr w:type="spellEnd"/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намалява от 1,75 до 3 часа). Концентрациите на мидазолам остават непроменени.</w:t>
      </w:r>
    </w:p>
    <w:p w14:paraId="6326FE32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1F45E47" w14:textId="69F29EFA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Метопролол</w:t>
      </w:r>
    </w:p>
    <w:p w14:paraId="5E44DBA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При едновременно приложение на лерканидипин с метопролол, бета-блокер, който се елиминира главно чрез черния дроб, бионаличността на метопролол не се променя, докато бионаличността на лерканидипин намалява с 50%. Този ефект може да се дължи на намаление на чернодробния кръвоток, причинен от бета-блокерите и поради това може да се прояви и при други лекарства от тази група. Следователно лерканидипин може безопасно да се прилага заедно с бета-блокери, но може да е необходимо коригиране на дозата.</w:t>
      </w:r>
    </w:p>
    <w:p w14:paraId="78CCEA41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2AC3D1D" w14:textId="150841B1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Дигоксин</w:t>
      </w:r>
    </w:p>
    <w:p w14:paraId="74B13D0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Едновременното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лерканидипин при пациенти на продължителна терапия с р-метилдигоксин, не демонстрира фармакокинетични взаимодействия. Наблюдава се обаче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 xml:space="preserve">средно </w:t>
      </w:r>
      <w:r w:rsidRPr="00B97F9B">
        <w:rPr>
          <w:rFonts w:eastAsia="Times New Roman" w:cs="Arial"/>
          <w:color w:val="000000"/>
          <w:szCs w:val="20"/>
          <w:lang w:eastAsia="bg-BG"/>
        </w:rPr>
        <w:t>увеличение на С</w:t>
      </w:r>
      <w:r w:rsidRPr="00B97F9B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на дигоксин с 33%, докато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и бъбречният клирънс не се променят сигнификантно. Пациенти, лекувани едновременно с дигоксин, трябва внимателно клинично да се проследяват за признаци на дигиталисова интоксикация.</w:t>
      </w:r>
    </w:p>
    <w:p w14:paraId="0A36A5D9" w14:textId="77777777" w:rsidR="00B97F9B" w:rsidRPr="00B97F9B" w:rsidRDefault="00B97F9B" w:rsidP="00B97F9B">
      <w:pPr>
        <w:spacing w:line="240" w:lineRule="auto"/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</w:pPr>
    </w:p>
    <w:p w14:paraId="4E7F17EC" w14:textId="6843C05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b/>
          <w:bCs/>
          <w:i/>
          <w:iCs/>
          <w:color w:val="000000"/>
          <w:szCs w:val="20"/>
          <w:u w:val="single"/>
          <w:lang w:eastAsia="bg-BG"/>
        </w:rPr>
        <w:t>Едновременна употреба с други лекарства</w:t>
      </w:r>
    </w:p>
    <w:p w14:paraId="264147E2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CC5A59A" w14:textId="6D8519F2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Флуоксетин</w:t>
      </w:r>
    </w:p>
    <w:p w14:paraId="456F023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Проучване за взаимодействие с флуоксетин (инхибитор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2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6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4), </w:t>
      </w:r>
      <w:r w:rsidRPr="00B97F9B">
        <w:rPr>
          <w:rFonts w:eastAsia="Times New Roman" w:cs="Arial"/>
          <w:color w:val="000000"/>
          <w:szCs w:val="20"/>
          <w:lang w:eastAsia="bg-BG"/>
        </w:rPr>
        <w:t>проведено при доброволци на възраст 65±7 години (средно±стандартно отклонение), не показва клинично значими промени във фармакокинетиката на лерканидипин.</w:t>
      </w:r>
    </w:p>
    <w:p w14:paraId="1E10687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EB53985" w14:textId="316F8364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Циметидин</w:t>
      </w:r>
    </w:p>
    <w:p w14:paraId="196C83FA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Едновременното приложение на 800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циметидин дневно не води до значителни промени в плазмените концентрации на лерканидипин. При по-високи дози обаче, е необходимо внимание, тъй като може да се увеличат бионаличността и да се усили хипотензивният ефект на лерканидипин.</w:t>
      </w:r>
    </w:p>
    <w:p w14:paraId="3813F386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30FCD6F" w14:textId="7683C470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Симвастатин</w:t>
      </w:r>
    </w:p>
    <w:p w14:paraId="4048FD5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При едновременно многократно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лерканидпин с 40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симвастатин,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на лерканидипин не се променя сигнификантно, докато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на симвастатин се увеличава с 56%, а на активния му метаболит Р-хидроксиацид - с 28%. Не се очаква тези промени да имат клинично значение. Не се очаква взаимодействие когато лерканидипин се приема сутрин, а симвастатин се прилага вечер, както се препоръчва за това лекарство.</w:t>
      </w:r>
    </w:p>
    <w:p w14:paraId="68FA7B4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B2B6FD5" w14:textId="707238D0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Диуретици и АСЕ-инхибитори</w:t>
      </w:r>
    </w:p>
    <w:p w14:paraId="5C6E22EE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Лерканидипин може да бъде безопасно прилаган с диуретици и АСЕ-инхибитори.</w:t>
      </w:r>
    </w:p>
    <w:p w14:paraId="2BFAB7DD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83EFB87" w14:textId="6C58F6A3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Други лекарства, повлияващи кръвното налягане</w:t>
      </w:r>
    </w:p>
    <w:p w14:paraId="73440F34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Както при всички антихипертензивни лекарства, при едновременно прилагане на лерканидипин с други лекарства, повлияващи кръвното налягане, като алфа-блокери за лечение на симптоми на уринарния тракт, трициклични антидепресанти, невролептици, може да се наблюдава повишен хипотензивен ефект. От друга страна едновременното приложение с кортикостероиди може да доведе до намаляване на хипотензивния ефект.</w:t>
      </w:r>
    </w:p>
    <w:p w14:paraId="62F27C9B" w14:textId="4DEEDB8C" w:rsidR="00DB32D3" w:rsidRPr="00DB32D3" w:rsidRDefault="00DB32D3" w:rsidP="00B97F9B"/>
    <w:p w14:paraId="006BE4EC" w14:textId="3219DD16" w:rsidR="00DB32D3" w:rsidRDefault="002C50EE" w:rsidP="005726E3">
      <w:pPr>
        <w:pStyle w:val="Heading2"/>
      </w:pPr>
      <w:r>
        <w:t>4.6. Фертилитет, бременност и кърмене</w:t>
      </w:r>
    </w:p>
    <w:p w14:paraId="254365D7" w14:textId="25A6C292" w:rsidR="00B97F9B" w:rsidRDefault="00B97F9B" w:rsidP="00B97F9B"/>
    <w:p w14:paraId="222D118C" w14:textId="77777777" w:rsidR="00B97F9B" w:rsidRPr="00B97F9B" w:rsidRDefault="00B97F9B" w:rsidP="00B97F9B">
      <w:pPr>
        <w:pStyle w:val="Heading3"/>
        <w:rPr>
          <w:rFonts w:eastAsia="Times New Roman"/>
          <w:u w:val="single"/>
        </w:rPr>
      </w:pPr>
      <w:r w:rsidRPr="00B97F9B">
        <w:rPr>
          <w:rFonts w:eastAsia="Times New Roman"/>
          <w:u w:val="single"/>
          <w:lang w:eastAsia="bg-BG"/>
        </w:rPr>
        <w:t>Бременност</w:t>
      </w:r>
    </w:p>
    <w:p w14:paraId="0983303C" w14:textId="44F02C2D" w:rsidR="00B97F9B" w:rsidRDefault="00B97F9B" w:rsidP="00B97F9B">
      <w:pPr>
        <w:rPr>
          <w:lang w:eastAsia="bg-BG"/>
        </w:rPr>
      </w:pPr>
      <w:r w:rsidRPr="00B97F9B">
        <w:rPr>
          <w:lang w:eastAsia="bg-BG"/>
        </w:rPr>
        <w:t>Няма данни за употребата на лерканидипин при бременни жени. Проучванията при животни не показват тератогенен ефект ( виж точка 5.3), но това се наблюдава при други дихидропиридинови вещества. Употребата на Реновиа не се препоръчва по време на бременност и кърмене и при жени с детероден потенциал, които не ползват контрацепция.</w:t>
      </w:r>
    </w:p>
    <w:p w14:paraId="4CDB8846" w14:textId="1D07BBAD" w:rsidR="00B97F9B" w:rsidRDefault="00B97F9B" w:rsidP="00B97F9B">
      <w:pPr>
        <w:rPr>
          <w:lang w:eastAsia="bg-BG"/>
        </w:rPr>
      </w:pPr>
    </w:p>
    <w:p w14:paraId="3191949B" w14:textId="77777777" w:rsidR="00B97F9B" w:rsidRPr="00B97F9B" w:rsidRDefault="00B97F9B" w:rsidP="00B97F9B">
      <w:pPr>
        <w:pStyle w:val="Heading3"/>
        <w:rPr>
          <w:rFonts w:eastAsia="Times New Roman"/>
          <w:u w:val="single"/>
        </w:rPr>
      </w:pPr>
      <w:r w:rsidRPr="00B97F9B">
        <w:rPr>
          <w:rFonts w:eastAsia="Times New Roman"/>
          <w:u w:val="single"/>
          <w:lang w:eastAsia="bg-BG"/>
        </w:rPr>
        <w:t>Кърмене</w:t>
      </w:r>
    </w:p>
    <w:p w14:paraId="38FEBD19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Не е известно дали лерканидипин или метаболитите му се излъчват в кърмата. Не може да се изключи риск за новородените и кърмачетата. Реновиа не трябва да се приема по време на кърмене.</w:t>
      </w:r>
    </w:p>
    <w:p w14:paraId="004A5B85" w14:textId="77777777" w:rsidR="00B97F9B" w:rsidRDefault="00B97F9B" w:rsidP="00B97F9B">
      <w:pPr>
        <w:rPr>
          <w:lang w:eastAsia="bg-BG"/>
        </w:rPr>
      </w:pPr>
    </w:p>
    <w:p w14:paraId="1FA94A2A" w14:textId="54BA0B25" w:rsidR="00B97F9B" w:rsidRPr="00B97F9B" w:rsidRDefault="00B97F9B" w:rsidP="00B97F9B">
      <w:pPr>
        <w:pStyle w:val="Heading3"/>
        <w:rPr>
          <w:rFonts w:eastAsia="Times New Roman"/>
          <w:u w:val="single"/>
        </w:rPr>
      </w:pPr>
      <w:r w:rsidRPr="00B97F9B">
        <w:rPr>
          <w:rFonts w:eastAsia="Times New Roman"/>
          <w:u w:val="single"/>
          <w:lang w:eastAsia="bg-BG"/>
        </w:rPr>
        <w:t>Фертилитет</w:t>
      </w:r>
    </w:p>
    <w:p w14:paraId="3C8EFE2E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Няма клинични данни за употребата на лерканидипин. Съобщавани са обратими биохимични промени в главата на сперматозоидите, които могат да нарушат оплождането при някои пациенти, лекувани с блокери на калциевите канали. В случаи на неуспешно повторно </w:t>
      </w:r>
      <w:r w:rsidRPr="00B97F9B">
        <w:rPr>
          <w:i/>
          <w:iCs/>
          <w:lang w:val="en-US"/>
        </w:rPr>
        <w:t>in</w:t>
      </w:r>
      <w:r w:rsidRPr="00B97F9B">
        <w:rPr>
          <w:i/>
          <w:iCs/>
          <w:lang w:val="ru-RU"/>
        </w:rPr>
        <w:t xml:space="preserve"> </w:t>
      </w:r>
      <w:r w:rsidRPr="00B97F9B">
        <w:rPr>
          <w:i/>
          <w:iCs/>
          <w:lang w:val="en-US"/>
        </w:rPr>
        <w:t>vitro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оплождане и ако няма друго обяснение за това, трябва да се има предвид, че причината за това може да са блокерите на калциевите канали.</w:t>
      </w:r>
    </w:p>
    <w:p w14:paraId="4CB791F2" w14:textId="77777777" w:rsidR="00B97F9B" w:rsidRPr="00B97F9B" w:rsidRDefault="00B97F9B" w:rsidP="00B97F9B"/>
    <w:p w14:paraId="128BA3A8" w14:textId="3FA59EF6" w:rsidR="00DB32D3" w:rsidRDefault="002C50EE" w:rsidP="005726E3">
      <w:pPr>
        <w:pStyle w:val="Heading2"/>
      </w:pPr>
      <w:r>
        <w:t>4.7. Ефекти върху способността за шофиране и работа с машини</w:t>
      </w:r>
    </w:p>
    <w:p w14:paraId="4FD00C33" w14:textId="7B70D7AA" w:rsidR="00B97F9B" w:rsidRDefault="00B97F9B" w:rsidP="00B97F9B"/>
    <w:p w14:paraId="2365196F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lastRenderedPageBreak/>
        <w:t>Реновиа повлиява в малка степен способността на пациента за шофиране и работа с машини. Въпреки това е необходимо внимание, защото може да възникнат замаяност, астения, умора и рядко сънливост.</w:t>
      </w:r>
    </w:p>
    <w:p w14:paraId="330E9E7A" w14:textId="77777777" w:rsidR="00B97F9B" w:rsidRPr="00B97F9B" w:rsidRDefault="00B97F9B" w:rsidP="00B97F9B"/>
    <w:p w14:paraId="44CE30A3" w14:textId="788D8732" w:rsidR="007122AD" w:rsidRDefault="002C50EE" w:rsidP="00936AD0">
      <w:pPr>
        <w:pStyle w:val="Heading2"/>
      </w:pPr>
      <w:r>
        <w:t>4.8. Нежелани лекарствени реакции</w:t>
      </w:r>
    </w:p>
    <w:p w14:paraId="68887B21" w14:textId="56E88577" w:rsidR="00B97F9B" w:rsidRDefault="00B97F9B" w:rsidP="00B97F9B"/>
    <w:p w14:paraId="251767D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Обобщение на профила на безопасност</w:t>
      </w:r>
    </w:p>
    <w:p w14:paraId="0DF837D2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Безопасността на лерканидипин в доза от 10-20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веднъж дневно е оценена в двойно-слепи, плацебо-контролирани клинични проучвания (при 1200 пациента, приемащи лерканидипин и 603 пациента, приемащи плацебо) и при активно-контролирани и неконтролирани дългосрочни клинични изпитвания при общо 3676 пациенти с хипертония, приемащи лерканидипин.</w:t>
      </w:r>
    </w:p>
    <w:p w14:paraId="06821F0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Най-често съобщаваните нежелани реакции в клиничните изпитвания и в постмаркетинговия опит са: периферен оток, главоболие, зачервяване, тахикардия и палпитации.</w:t>
      </w:r>
    </w:p>
    <w:p w14:paraId="3DF829B5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8EDEC32" w14:textId="74D8D88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Нежелани лекарствени реакции в табличен вид</w:t>
      </w:r>
    </w:p>
    <w:p w14:paraId="6A8B160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Нежеланите лекарствени реакции, съобщени по време на клинични проучвания и от постмаркетинговия опит в световен мащаб, за които има възможна причинно-следствена връзка, са представени в таблицата, според </w:t>
      </w:r>
      <w:proofErr w:type="spellStart"/>
      <w:r w:rsidRPr="00B97F9B">
        <w:rPr>
          <w:rFonts w:eastAsia="Times New Roman" w:cs="Arial"/>
          <w:color w:val="000000"/>
          <w:szCs w:val="20"/>
          <w:lang w:val="en-US"/>
        </w:rPr>
        <w:t>MedDRA</w:t>
      </w:r>
      <w:proofErr w:type="spellEnd"/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класификацията по органи и системи и подредени по честота: много чести (≥1/10); чести (≥1/100 до &lt;1/10); нечести (≥1/1 000 до &lt;1/100); редки (≥1/10 000 до &lt;1/1 000); много редки (&lt;1/10 000); неизвестни (честотата не може да се определи от наличните данни). При всяко групиране нежеланите лекарствени реакции се изброяват в низходящ ред по отношение на тяхната сериозност.</w:t>
      </w:r>
    </w:p>
    <w:p w14:paraId="31551653" w14:textId="1F45448E" w:rsidR="00B97F9B" w:rsidRDefault="00B97F9B" w:rsidP="00B97F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693"/>
        <w:gridCol w:w="1551"/>
        <w:gridCol w:w="2460"/>
        <w:gridCol w:w="1746"/>
      </w:tblGrid>
      <w:tr w:rsidR="00B97F9B" w14:paraId="6F282909" w14:textId="77777777" w:rsidTr="00B97F9B">
        <w:tc>
          <w:tcPr>
            <w:tcW w:w="1876" w:type="dxa"/>
          </w:tcPr>
          <w:p w14:paraId="25579EE6" w14:textId="552FCFDD" w:rsidR="00B97F9B" w:rsidRPr="00B97F9B" w:rsidRDefault="00B97F9B" w:rsidP="00B97F9B">
            <w:proofErr w:type="spellStart"/>
            <w:r w:rsidRPr="00B97F9B">
              <w:rPr>
                <w:b/>
                <w:bCs/>
                <w:szCs w:val="20"/>
                <w:lang w:val="en-US"/>
              </w:rPr>
              <w:t>MedDRA</w:t>
            </w:r>
            <w:proofErr w:type="spellEnd"/>
            <w:r w:rsidRPr="00B97F9B">
              <w:rPr>
                <w:b/>
                <w:bCs/>
                <w:szCs w:val="20"/>
                <w:lang w:val="ru-RU"/>
              </w:rPr>
              <w:t xml:space="preserve"> </w:t>
            </w:r>
            <w:r w:rsidRPr="00B97F9B">
              <w:rPr>
                <w:b/>
                <w:bCs/>
                <w:szCs w:val="20"/>
              </w:rPr>
              <w:t>класификация по органи и системи</w:t>
            </w:r>
          </w:p>
        </w:tc>
        <w:tc>
          <w:tcPr>
            <w:tcW w:w="1785" w:type="dxa"/>
          </w:tcPr>
          <w:p w14:paraId="2D77B5BF" w14:textId="26462E0C" w:rsidR="00B97F9B" w:rsidRPr="00B97F9B" w:rsidRDefault="00B97F9B" w:rsidP="00B97F9B">
            <w:r w:rsidRPr="00B97F9B">
              <w:rPr>
                <w:b/>
                <w:bCs/>
                <w:szCs w:val="20"/>
              </w:rPr>
              <w:t>Чести</w:t>
            </w:r>
          </w:p>
        </w:tc>
        <w:tc>
          <w:tcPr>
            <w:tcW w:w="1702" w:type="dxa"/>
          </w:tcPr>
          <w:p w14:paraId="64843235" w14:textId="6D615740" w:rsidR="00B97F9B" w:rsidRPr="00B97F9B" w:rsidRDefault="00B97F9B" w:rsidP="00B97F9B">
            <w:r w:rsidRPr="00B97F9B">
              <w:rPr>
                <w:b/>
                <w:bCs/>
                <w:szCs w:val="20"/>
              </w:rPr>
              <w:t>Нечести</w:t>
            </w:r>
          </w:p>
        </w:tc>
        <w:tc>
          <w:tcPr>
            <w:tcW w:w="2460" w:type="dxa"/>
          </w:tcPr>
          <w:p w14:paraId="3E870295" w14:textId="4A5D2ABC" w:rsidR="00B97F9B" w:rsidRPr="00B97F9B" w:rsidRDefault="00B97F9B" w:rsidP="00B97F9B">
            <w:r w:rsidRPr="00B97F9B">
              <w:rPr>
                <w:b/>
                <w:bCs/>
                <w:szCs w:val="20"/>
              </w:rPr>
              <w:t>Редки</w:t>
            </w:r>
          </w:p>
        </w:tc>
        <w:tc>
          <w:tcPr>
            <w:tcW w:w="1753" w:type="dxa"/>
          </w:tcPr>
          <w:p w14:paraId="5C7AD41C" w14:textId="733D4B21" w:rsidR="00B97F9B" w:rsidRPr="00B97F9B" w:rsidRDefault="00B97F9B" w:rsidP="00B97F9B">
            <w:r w:rsidRPr="00B97F9B">
              <w:rPr>
                <w:b/>
                <w:bCs/>
                <w:szCs w:val="20"/>
              </w:rPr>
              <w:t>С неизвестна честота</w:t>
            </w:r>
          </w:p>
        </w:tc>
      </w:tr>
      <w:tr w:rsidR="00B97F9B" w14:paraId="61B2CC25" w14:textId="77777777" w:rsidTr="00B97F9B">
        <w:tc>
          <w:tcPr>
            <w:tcW w:w="1876" w:type="dxa"/>
          </w:tcPr>
          <w:p w14:paraId="72BB2990" w14:textId="11783338" w:rsidR="00B97F9B" w:rsidRPr="00B97F9B" w:rsidRDefault="00B97F9B" w:rsidP="00B97F9B">
            <w:r w:rsidRPr="00B97F9B">
              <w:rPr>
                <w:szCs w:val="20"/>
              </w:rPr>
              <w:t>Нарушения на имунната система</w:t>
            </w:r>
          </w:p>
        </w:tc>
        <w:tc>
          <w:tcPr>
            <w:tcW w:w="1785" w:type="dxa"/>
          </w:tcPr>
          <w:p w14:paraId="11367DB7" w14:textId="77777777" w:rsidR="00B97F9B" w:rsidRPr="00B97F9B" w:rsidRDefault="00B97F9B" w:rsidP="00B97F9B"/>
        </w:tc>
        <w:tc>
          <w:tcPr>
            <w:tcW w:w="1702" w:type="dxa"/>
          </w:tcPr>
          <w:p w14:paraId="72818774" w14:textId="77777777" w:rsidR="00B97F9B" w:rsidRPr="00B97F9B" w:rsidRDefault="00B97F9B" w:rsidP="00B97F9B"/>
        </w:tc>
        <w:tc>
          <w:tcPr>
            <w:tcW w:w="2460" w:type="dxa"/>
          </w:tcPr>
          <w:p w14:paraId="6E367343" w14:textId="4B519321" w:rsidR="00B97F9B" w:rsidRPr="00B97F9B" w:rsidRDefault="00B97F9B" w:rsidP="00B97F9B">
            <w:r w:rsidRPr="00B97F9B">
              <w:rPr>
                <w:szCs w:val="20"/>
              </w:rPr>
              <w:t>Свръхчувствителност</w:t>
            </w:r>
          </w:p>
        </w:tc>
        <w:tc>
          <w:tcPr>
            <w:tcW w:w="1753" w:type="dxa"/>
          </w:tcPr>
          <w:p w14:paraId="39F0B093" w14:textId="77777777" w:rsidR="00B97F9B" w:rsidRPr="00B97F9B" w:rsidRDefault="00B97F9B" w:rsidP="00B97F9B"/>
        </w:tc>
      </w:tr>
      <w:tr w:rsidR="00B97F9B" w14:paraId="6C01ACAA" w14:textId="77777777" w:rsidTr="00B97F9B">
        <w:tc>
          <w:tcPr>
            <w:tcW w:w="1876" w:type="dxa"/>
          </w:tcPr>
          <w:p w14:paraId="234E91FE" w14:textId="13864424" w:rsidR="00B97F9B" w:rsidRPr="00B97F9B" w:rsidRDefault="00B97F9B" w:rsidP="00B97F9B">
            <w:r w:rsidRPr="00B97F9B">
              <w:rPr>
                <w:szCs w:val="20"/>
              </w:rPr>
              <w:t>Нарушения на нервната система</w:t>
            </w:r>
          </w:p>
        </w:tc>
        <w:tc>
          <w:tcPr>
            <w:tcW w:w="1785" w:type="dxa"/>
          </w:tcPr>
          <w:p w14:paraId="18437BFE" w14:textId="20F0C2D1" w:rsidR="00B97F9B" w:rsidRPr="00B97F9B" w:rsidRDefault="00B97F9B" w:rsidP="00B97F9B">
            <w:r w:rsidRPr="00B97F9B">
              <w:rPr>
                <w:szCs w:val="20"/>
              </w:rPr>
              <w:t>Главоболие</w:t>
            </w:r>
          </w:p>
        </w:tc>
        <w:tc>
          <w:tcPr>
            <w:tcW w:w="1702" w:type="dxa"/>
          </w:tcPr>
          <w:p w14:paraId="6FF87405" w14:textId="4F6E8612" w:rsidR="00B97F9B" w:rsidRPr="00B97F9B" w:rsidRDefault="00B97F9B" w:rsidP="00B97F9B">
            <w:r w:rsidRPr="00B97F9B">
              <w:rPr>
                <w:szCs w:val="20"/>
              </w:rPr>
              <w:t>Замаяност</w:t>
            </w:r>
          </w:p>
        </w:tc>
        <w:tc>
          <w:tcPr>
            <w:tcW w:w="2460" w:type="dxa"/>
          </w:tcPr>
          <w:p w14:paraId="5E1A3894" w14:textId="77777777" w:rsidR="00B97F9B" w:rsidRPr="00B97F9B" w:rsidRDefault="00B97F9B" w:rsidP="00B97F9B">
            <w:r w:rsidRPr="00B97F9B">
              <w:rPr>
                <w:szCs w:val="20"/>
              </w:rPr>
              <w:t>Сънливост</w:t>
            </w:r>
          </w:p>
          <w:p w14:paraId="2987DF3A" w14:textId="2EF97004" w:rsidR="00B97F9B" w:rsidRPr="00B97F9B" w:rsidRDefault="00B97F9B" w:rsidP="00B97F9B">
            <w:r w:rsidRPr="00B97F9B">
              <w:rPr>
                <w:szCs w:val="20"/>
              </w:rPr>
              <w:t>Синкоп</w:t>
            </w:r>
          </w:p>
        </w:tc>
        <w:tc>
          <w:tcPr>
            <w:tcW w:w="1753" w:type="dxa"/>
          </w:tcPr>
          <w:p w14:paraId="5C8B6DD7" w14:textId="77777777" w:rsidR="00B97F9B" w:rsidRPr="00B97F9B" w:rsidRDefault="00B97F9B" w:rsidP="00B97F9B"/>
        </w:tc>
      </w:tr>
      <w:tr w:rsidR="00B97F9B" w14:paraId="501974CD" w14:textId="77777777" w:rsidTr="00B97F9B">
        <w:tc>
          <w:tcPr>
            <w:tcW w:w="1876" w:type="dxa"/>
          </w:tcPr>
          <w:p w14:paraId="1749F49D" w14:textId="324B12A9" w:rsidR="00B97F9B" w:rsidRPr="00B97F9B" w:rsidRDefault="00B97F9B" w:rsidP="00B97F9B">
            <w:r w:rsidRPr="00B97F9B">
              <w:rPr>
                <w:szCs w:val="20"/>
              </w:rPr>
              <w:t>Сърдечни нарушения</w:t>
            </w:r>
          </w:p>
        </w:tc>
        <w:tc>
          <w:tcPr>
            <w:tcW w:w="1785" w:type="dxa"/>
          </w:tcPr>
          <w:p w14:paraId="0517A2A2" w14:textId="77777777" w:rsidR="00B97F9B" w:rsidRPr="00B97F9B" w:rsidRDefault="00B97F9B" w:rsidP="00B97F9B">
            <w:r w:rsidRPr="00B97F9B">
              <w:rPr>
                <w:szCs w:val="20"/>
              </w:rPr>
              <w:t>Тахикардия</w:t>
            </w:r>
          </w:p>
          <w:p w14:paraId="0B39F272" w14:textId="76C6CE08" w:rsidR="00B97F9B" w:rsidRPr="00B97F9B" w:rsidRDefault="00B97F9B" w:rsidP="00B97F9B">
            <w:r w:rsidRPr="00B97F9B">
              <w:rPr>
                <w:szCs w:val="20"/>
              </w:rPr>
              <w:t>Палпитации</w:t>
            </w:r>
          </w:p>
        </w:tc>
        <w:tc>
          <w:tcPr>
            <w:tcW w:w="1702" w:type="dxa"/>
          </w:tcPr>
          <w:p w14:paraId="4916B6DC" w14:textId="77777777" w:rsidR="00B97F9B" w:rsidRPr="00B97F9B" w:rsidRDefault="00B97F9B" w:rsidP="00B97F9B"/>
        </w:tc>
        <w:tc>
          <w:tcPr>
            <w:tcW w:w="2460" w:type="dxa"/>
          </w:tcPr>
          <w:p w14:paraId="0771FFA6" w14:textId="43DAF70D" w:rsidR="00B97F9B" w:rsidRPr="00B97F9B" w:rsidRDefault="00B97F9B" w:rsidP="00B97F9B">
            <w:r w:rsidRPr="00B97F9B">
              <w:rPr>
                <w:szCs w:val="20"/>
              </w:rPr>
              <w:t>Ангина пекторис</w:t>
            </w:r>
          </w:p>
        </w:tc>
        <w:tc>
          <w:tcPr>
            <w:tcW w:w="1753" w:type="dxa"/>
          </w:tcPr>
          <w:p w14:paraId="3B694218" w14:textId="77777777" w:rsidR="00B97F9B" w:rsidRPr="00B97F9B" w:rsidRDefault="00B97F9B" w:rsidP="00B97F9B"/>
        </w:tc>
      </w:tr>
      <w:tr w:rsidR="00B97F9B" w14:paraId="6704B367" w14:textId="77777777" w:rsidTr="00B97F9B">
        <w:tc>
          <w:tcPr>
            <w:tcW w:w="1876" w:type="dxa"/>
          </w:tcPr>
          <w:p w14:paraId="7BA2AD64" w14:textId="42448829" w:rsidR="00B97F9B" w:rsidRPr="00B97F9B" w:rsidRDefault="00B97F9B" w:rsidP="00B97F9B">
            <w:r w:rsidRPr="00B97F9B">
              <w:rPr>
                <w:szCs w:val="20"/>
              </w:rPr>
              <w:t>Съдови нарушения</w:t>
            </w:r>
          </w:p>
        </w:tc>
        <w:tc>
          <w:tcPr>
            <w:tcW w:w="1785" w:type="dxa"/>
          </w:tcPr>
          <w:p w14:paraId="2AE2DC20" w14:textId="5A286FF3" w:rsidR="00B97F9B" w:rsidRPr="00B97F9B" w:rsidRDefault="00B97F9B" w:rsidP="00B97F9B">
            <w:r w:rsidRPr="00B97F9B">
              <w:rPr>
                <w:szCs w:val="20"/>
              </w:rPr>
              <w:t>Зачервяване</w:t>
            </w:r>
          </w:p>
        </w:tc>
        <w:tc>
          <w:tcPr>
            <w:tcW w:w="1702" w:type="dxa"/>
          </w:tcPr>
          <w:p w14:paraId="5C2388C5" w14:textId="5C5B9C0F" w:rsidR="00B97F9B" w:rsidRPr="00B97F9B" w:rsidRDefault="00B97F9B" w:rsidP="00B97F9B">
            <w:r w:rsidRPr="00B97F9B">
              <w:rPr>
                <w:szCs w:val="20"/>
              </w:rPr>
              <w:t>Хипотония</w:t>
            </w:r>
          </w:p>
        </w:tc>
        <w:tc>
          <w:tcPr>
            <w:tcW w:w="2460" w:type="dxa"/>
          </w:tcPr>
          <w:p w14:paraId="5A42E2E7" w14:textId="77777777" w:rsidR="00B97F9B" w:rsidRPr="00B97F9B" w:rsidRDefault="00B97F9B" w:rsidP="00B97F9B"/>
        </w:tc>
        <w:tc>
          <w:tcPr>
            <w:tcW w:w="1753" w:type="dxa"/>
          </w:tcPr>
          <w:p w14:paraId="5307A2FD" w14:textId="77777777" w:rsidR="00B97F9B" w:rsidRPr="00B97F9B" w:rsidRDefault="00B97F9B" w:rsidP="00B97F9B"/>
        </w:tc>
      </w:tr>
      <w:tr w:rsidR="00B97F9B" w14:paraId="629F5CA2" w14:textId="77777777" w:rsidTr="00B97F9B">
        <w:tc>
          <w:tcPr>
            <w:tcW w:w="1876" w:type="dxa"/>
          </w:tcPr>
          <w:p w14:paraId="3A635B0C" w14:textId="0DCDF672" w:rsidR="00B97F9B" w:rsidRPr="00B97F9B" w:rsidRDefault="00B97F9B" w:rsidP="00B97F9B">
            <w:r w:rsidRPr="00B97F9B">
              <w:rPr>
                <w:szCs w:val="20"/>
              </w:rPr>
              <w:t>Стомашно-чревни нарушения</w:t>
            </w:r>
          </w:p>
        </w:tc>
        <w:tc>
          <w:tcPr>
            <w:tcW w:w="1785" w:type="dxa"/>
          </w:tcPr>
          <w:p w14:paraId="10A8B307" w14:textId="77777777" w:rsidR="00B97F9B" w:rsidRPr="00B97F9B" w:rsidRDefault="00B97F9B" w:rsidP="00B97F9B"/>
        </w:tc>
        <w:tc>
          <w:tcPr>
            <w:tcW w:w="1702" w:type="dxa"/>
          </w:tcPr>
          <w:p w14:paraId="32E8DAF3" w14:textId="31741C8D" w:rsidR="00B97F9B" w:rsidRPr="00B97F9B" w:rsidRDefault="00B97F9B" w:rsidP="00B97F9B">
            <w:r w:rsidRPr="00B97F9B">
              <w:rPr>
                <w:szCs w:val="20"/>
              </w:rPr>
              <w:t>Диспепсия Гадене Болки в горната част на корема</w:t>
            </w:r>
          </w:p>
        </w:tc>
        <w:tc>
          <w:tcPr>
            <w:tcW w:w="2460" w:type="dxa"/>
          </w:tcPr>
          <w:p w14:paraId="2A247A17" w14:textId="4E781C59" w:rsidR="00B97F9B" w:rsidRPr="00B97F9B" w:rsidRDefault="00B97F9B" w:rsidP="00B97F9B">
            <w:r w:rsidRPr="00B97F9B">
              <w:rPr>
                <w:szCs w:val="20"/>
              </w:rPr>
              <w:t>Повръщане Диария</w:t>
            </w:r>
          </w:p>
        </w:tc>
        <w:tc>
          <w:tcPr>
            <w:tcW w:w="1753" w:type="dxa"/>
          </w:tcPr>
          <w:p w14:paraId="70E454FA" w14:textId="77777777" w:rsidR="00B97F9B" w:rsidRPr="00B97F9B" w:rsidRDefault="00B97F9B" w:rsidP="00B97F9B">
            <w:r w:rsidRPr="00B97F9B">
              <w:rPr>
                <w:szCs w:val="20"/>
              </w:rPr>
              <w:t>Хипертрофия на венците</w:t>
            </w:r>
            <w:r w:rsidRPr="00B97F9B">
              <w:rPr>
                <w:szCs w:val="20"/>
                <w:vertAlign w:val="superscript"/>
              </w:rPr>
              <w:t>1</w:t>
            </w:r>
          </w:p>
          <w:p w14:paraId="546C87B7" w14:textId="029CE213" w:rsidR="00B97F9B" w:rsidRPr="00B97F9B" w:rsidRDefault="00B97F9B" w:rsidP="00B97F9B">
            <w:r w:rsidRPr="00B97F9B">
              <w:rPr>
                <w:szCs w:val="20"/>
              </w:rPr>
              <w:t>Мътен перитонеален диализат</w:t>
            </w:r>
            <w:r w:rsidRPr="00B97F9B">
              <w:rPr>
                <w:szCs w:val="20"/>
                <w:vertAlign w:val="superscript"/>
              </w:rPr>
              <w:t>1</w:t>
            </w:r>
          </w:p>
        </w:tc>
      </w:tr>
      <w:tr w:rsidR="00B97F9B" w14:paraId="704BF093" w14:textId="77777777" w:rsidTr="00B97F9B">
        <w:tc>
          <w:tcPr>
            <w:tcW w:w="1876" w:type="dxa"/>
          </w:tcPr>
          <w:p w14:paraId="16B194EF" w14:textId="5799B211" w:rsidR="00B97F9B" w:rsidRPr="00B97F9B" w:rsidRDefault="00B97F9B" w:rsidP="00B97F9B">
            <w:r w:rsidRPr="00B97F9B">
              <w:rPr>
                <w:szCs w:val="20"/>
              </w:rPr>
              <w:t>Хепато-билиарни нарушения</w:t>
            </w:r>
          </w:p>
        </w:tc>
        <w:tc>
          <w:tcPr>
            <w:tcW w:w="1785" w:type="dxa"/>
          </w:tcPr>
          <w:p w14:paraId="35AB65BF" w14:textId="77777777" w:rsidR="00B97F9B" w:rsidRPr="00B97F9B" w:rsidRDefault="00B97F9B" w:rsidP="00B97F9B"/>
        </w:tc>
        <w:tc>
          <w:tcPr>
            <w:tcW w:w="1702" w:type="dxa"/>
          </w:tcPr>
          <w:p w14:paraId="0B6B30D3" w14:textId="77777777" w:rsidR="00B97F9B" w:rsidRPr="00B97F9B" w:rsidRDefault="00B97F9B" w:rsidP="00B97F9B"/>
        </w:tc>
        <w:tc>
          <w:tcPr>
            <w:tcW w:w="2460" w:type="dxa"/>
          </w:tcPr>
          <w:p w14:paraId="2A3CB95D" w14:textId="77777777" w:rsidR="00B97F9B" w:rsidRPr="00B97F9B" w:rsidRDefault="00B97F9B" w:rsidP="00B97F9B"/>
        </w:tc>
        <w:tc>
          <w:tcPr>
            <w:tcW w:w="1753" w:type="dxa"/>
          </w:tcPr>
          <w:p w14:paraId="769FECCA" w14:textId="3E5114BD" w:rsidR="00B97F9B" w:rsidRPr="00B97F9B" w:rsidRDefault="00B97F9B" w:rsidP="00B97F9B">
            <w:r w:rsidRPr="00B97F9B">
              <w:rPr>
                <w:i/>
                <w:iCs/>
                <w:szCs w:val="20"/>
              </w:rPr>
              <w:t xml:space="preserve">Повишение на </w:t>
            </w:r>
            <w:r w:rsidRPr="00B97F9B">
              <w:rPr>
                <w:szCs w:val="20"/>
              </w:rPr>
              <w:t>серумните трансаминази</w:t>
            </w:r>
            <w:r w:rsidRPr="00B97F9B">
              <w:rPr>
                <w:szCs w:val="20"/>
                <w:vertAlign w:val="superscript"/>
              </w:rPr>
              <w:t>1</w:t>
            </w:r>
          </w:p>
        </w:tc>
      </w:tr>
      <w:tr w:rsidR="00B97F9B" w14:paraId="7F3E5821" w14:textId="77777777" w:rsidTr="00B97F9B">
        <w:tc>
          <w:tcPr>
            <w:tcW w:w="1876" w:type="dxa"/>
          </w:tcPr>
          <w:p w14:paraId="2C592686" w14:textId="479569FB" w:rsidR="00B97F9B" w:rsidRPr="00B97F9B" w:rsidRDefault="00B97F9B" w:rsidP="00B97F9B">
            <w:r w:rsidRPr="00B97F9B">
              <w:rPr>
                <w:szCs w:val="20"/>
              </w:rPr>
              <w:lastRenderedPageBreak/>
              <w:t>Нарушения на кожата и подкожната тъкан</w:t>
            </w:r>
          </w:p>
        </w:tc>
        <w:tc>
          <w:tcPr>
            <w:tcW w:w="1785" w:type="dxa"/>
          </w:tcPr>
          <w:p w14:paraId="7327A48A" w14:textId="77777777" w:rsidR="00B97F9B" w:rsidRPr="00B97F9B" w:rsidRDefault="00B97F9B" w:rsidP="00B97F9B"/>
        </w:tc>
        <w:tc>
          <w:tcPr>
            <w:tcW w:w="1702" w:type="dxa"/>
          </w:tcPr>
          <w:p w14:paraId="52E0355F" w14:textId="4A0F9B6C" w:rsidR="00B97F9B" w:rsidRPr="00B97F9B" w:rsidRDefault="00B97F9B" w:rsidP="00B97F9B">
            <w:r w:rsidRPr="00B97F9B">
              <w:rPr>
                <w:szCs w:val="20"/>
              </w:rPr>
              <w:t>Обрив Сърбеж</w:t>
            </w:r>
          </w:p>
        </w:tc>
        <w:tc>
          <w:tcPr>
            <w:tcW w:w="2460" w:type="dxa"/>
          </w:tcPr>
          <w:p w14:paraId="7E6C656F" w14:textId="53CA64E3" w:rsidR="00B97F9B" w:rsidRPr="00B97F9B" w:rsidRDefault="00B97F9B" w:rsidP="00B97F9B">
            <w:r w:rsidRPr="00B97F9B">
              <w:rPr>
                <w:szCs w:val="20"/>
              </w:rPr>
              <w:t>Уртикария</w:t>
            </w:r>
          </w:p>
        </w:tc>
        <w:tc>
          <w:tcPr>
            <w:tcW w:w="1753" w:type="dxa"/>
          </w:tcPr>
          <w:p w14:paraId="1F7C510E" w14:textId="168D2C76" w:rsidR="00B97F9B" w:rsidRPr="00B97F9B" w:rsidRDefault="00B97F9B" w:rsidP="00B97F9B">
            <w:r w:rsidRPr="00B97F9B">
              <w:rPr>
                <w:szCs w:val="20"/>
              </w:rPr>
              <w:t>Ангиоедем</w:t>
            </w:r>
            <w:r w:rsidRPr="00B97F9B">
              <w:rPr>
                <w:szCs w:val="20"/>
                <w:vertAlign w:val="superscript"/>
              </w:rPr>
              <w:t>1</w:t>
            </w:r>
          </w:p>
        </w:tc>
      </w:tr>
      <w:tr w:rsidR="00B97F9B" w14:paraId="05CF9512" w14:textId="77777777" w:rsidTr="00B97F9B">
        <w:tc>
          <w:tcPr>
            <w:tcW w:w="1876" w:type="dxa"/>
          </w:tcPr>
          <w:p w14:paraId="15C7E639" w14:textId="40EF7618" w:rsidR="00B97F9B" w:rsidRPr="00B97F9B" w:rsidRDefault="00B97F9B" w:rsidP="00B97F9B">
            <w:r w:rsidRPr="00B97F9B">
              <w:rPr>
                <w:szCs w:val="20"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1785" w:type="dxa"/>
          </w:tcPr>
          <w:p w14:paraId="30D7D27A" w14:textId="77777777" w:rsidR="00B97F9B" w:rsidRPr="00B97F9B" w:rsidRDefault="00B97F9B" w:rsidP="00B97F9B"/>
        </w:tc>
        <w:tc>
          <w:tcPr>
            <w:tcW w:w="1702" w:type="dxa"/>
          </w:tcPr>
          <w:p w14:paraId="62B26DE2" w14:textId="3D925EA5" w:rsidR="00B97F9B" w:rsidRPr="00B97F9B" w:rsidRDefault="00B97F9B" w:rsidP="00B97F9B">
            <w:r w:rsidRPr="00B97F9B">
              <w:rPr>
                <w:szCs w:val="20"/>
              </w:rPr>
              <w:t>Миалгия</w:t>
            </w:r>
          </w:p>
        </w:tc>
        <w:tc>
          <w:tcPr>
            <w:tcW w:w="2460" w:type="dxa"/>
          </w:tcPr>
          <w:p w14:paraId="722E4F97" w14:textId="77777777" w:rsidR="00B97F9B" w:rsidRPr="00B97F9B" w:rsidRDefault="00B97F9B" w:rsidP="00B97F9B"/>
        </w:tc>
        <w:tc>
          <w:tcPr>
            <w:tcW w:w="1753" w:type="dxa"/>
          </w:tcPr>
          <w:p w14:paraId="75B0418C" w14:textId="77777777" w:rsidR="00B97F9B" w:rsidRPr="00B97F9B" w:rsidRDefault="00B97F9B" w:rsidP="00B97F9B"/>
        </w:tc>
      </w:tr>
      <w:tr w:rsidR="00B97F9B" w14:paraId="361E1E8A" w14:textId="77777777" w:rsidTr="00B97F9B">
        <w:tc>
          <w:tcPr>
            <w:tcW w:w="1876" w:type="dxa"/>
          </w:tcPr>
          <w:p w14:paraId="079674BC" w14:textId="3345B74F" w:rsidR="00B97F9B" w:rsidRPr="00B97F9B" w:rsidRDefault="00B97F9B" w:rsidP="00B97F9B">
            <w:r w:rsidRPr="00B97F9B">
              <w:rPr>
                <w:szCs w:val="20"/>
              </w:rPr>
              <w:t>Нарушения на бъбреците и пикочните пътища</w:t>
            </w:r>
          </w:p>
        </w:tc>
        <w:tc>
          <w:tcPr>
            <w:tcW w:w="1785" w:type="dxa"/>
          </w:tcPr>
          <w:p w14:paraId="320915AF" w14:textId="77777777" w:rsidR="00B97F9B" w:rsidRPr="00B97F9B" w:rsidRDefault="00B97F9B" w:rsidP="00B97F9B"/>
        </w:tc>
        <w:tc>
          <w:tcPr>
            <w:tcW w:w="1702" w:type="dxa"/>
          </w:tcPr>
          <w:p w14:paraId="219195B2" w14:textId="14962399" w:rsidR="00B97F9B" w:rsidRPr="00B97F9B" w:rsidRDefault="00B97F9B" w:rsidP="00B97F9B">
            <w:r w:rsidRPr="00B97F9B">
              <w:rPr>
                <w:szCs w:val="20"/>
              </w:rPr>
              <w:t>Полиурия</w:t>
            </w:r>
          </w:p>
        </w:tc>
        <w:tc>
          <w:tcPr>
            <w:tcW w:w="2460" w:type="dxa"/>
          </w:tcPr>
          <w:p w14:paraId="69288D33" w14:textId="5EE06C83" w:rsidR="00B97F9B" w:rsidRPr="00B97F9B" w:rsidRDefault="00B97F9B" w:rsidP="00B97F9B">
            <w:r w:rsidRPr="00B97F9B">
              <w:rPr>
                <w:szCs w:val="20"/>
              </w:rPr>
              <w:t>Полакиурия</w:t>
            </w:r>
          </w:p>
        </w:tc>
        <w:tc>
          <w:tcPr>
            <w:tcW w:w="1753" w:type="dxa"/>
          </w:tcPr>
          <w:p w14:paraId="53BDDEED" w14:textId="77777777" w:rsidR="00B97F9B" w:rsidRPr="00B97F9B" w:rsidRDefault="00B97F9B" w:rsidP="00B97F9B"/>
        </w:tc>
      </w:tr>
      <w:tr w:rsidR="00B97F9B" w14:paraId="516AE184" w14:textId="77777777" w:rsidTr="00B97F9B">
        <w:tc>
          <w:tcPr>
            <w:tcW w:w="1876" w:type="dxa"/>
          </w:tcPr>
          <w:p w14:paraId="3C8651F3" w14:textId="62AFC5D0" w:rsidR="00B97F9B" w:rsidRPr="00B97F9B" w:rsidRDefault="00B97F9B" w:rsidP="00B97F9B">
            <w:r w:rsidRPr="00B97F9B">
              <w:rPr>
                <w:szCs w:val="20"/>
              </w:rPr>
              <w:t>Общи нарушения и ефекти на мястото на приложение</w:t>
            </w:r>
          </w:p>
        </w:tc>
        <w:tc>
          <w:tcPr>
            <w:tcW w:w="1785" w:type="dxa"/>
          </w:tcPr>
          <w:p w14:paraId="0802AB80" w14:textId="0C44AFCE" w:rsidR="00B97F9B" w:rsidRPr="00B97F9B" w:rsidRDefault="00B97F9B" w:rsidP="00B97F9B">
            <w:r w:rsidRPr="00B97F9B">
              <w:rPr>
                <w:szCs w:val="20"/>
              </w:rPr>
              <w:t>Периферен оток</w:t>
            </w:r>
          </w:p>
        </w:tc>
        <w:tc>
          <w:tcPr>
            <w:tcW w:w="1702" w:type="dxa"/>
          </w:tcPr>
          <w:p w14:paraId="697A0744" w14:textId="42193340" w:rsidR="00B97F9B" w:rsidRPr="00B97F9B" w:rsidRDefault="00B97F9B" w:rsidP="00B97F9B">
            <w:r w:rsidRPr="00B97F9B">
              <w:rPr>
                <w:szCs w:val="20"/>
              </w:rPr>
              <w:t>Астения Умора</w:t>
            </w:r>
          </w:p>
        </w:tc>
        <w:tc>
          <w:tcPr>
            <w:tcW w:w="2460" w:type="dxa"/>
          </w:tcPr>
          <w:p w14:paraId="0975BDA2" w14:textId="5BCFE7AE" w:rsidR="00B97F9B" w:rsidRPr="00B97F9B" w:rsidRDefault="00B97F9B" w:rsidP="00B97F9B">
            <w:r w:rsidRPr="00B97F9B">
              <w:rPr>
                <w:szCs w:val="20"/>
              </w:rPr>
              <w:t>Болки в гърдите</w:t>
            </w:r>
          </w:p>
        </w:tc>
        <w:tc>
          <w:tcPr>
            <w:tcW w:w="1753" w:type="dxa"/>
          </w:tcPr>
          <w:p w14:paraId="04F8A1FC" w14:textId="77777777" w:rsidR="00B97F9B" w:rsidRPr="00B97F9B" w:rsidRDefault="00B97F9B" w:rsidP="00B97F9B"/>
        </w:tc>
      </w:tr>
    </w:tbl>
    <w:p w14:paraId="6F4F9F83" w14:textId="7C789031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vertAlign w:val="superscript"/>
          <w:lang w:eastAsia="bg-BG"/>
        </w:rPr>
        <w:t>1</w:t>
      </w:r>
      <w:r w:rsidRPr="00B97F9B">
        <w:rPr>
          <w:rFonts w:eastAsia="Times New Roman" w:cs="Arial"/>
          <w:color w:val="000000"/>
          <w:lang w:eastAsia="bg-BG"/>
        </w:rPr>
        <w:t>спонтанни съобщения за нежелани лекарствени реакции от постмаркетинговия опит в световен мащаб</w:t>
      </w:r>
    </w:p>
    <w:p w14:paraId="2476F4BB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A76371" w14:textId="3840AE99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u w:val="single"/>
          <w:lang w:eastAsia="bg-BG"/>
        </w:rPr>
        <w:t>Описание на избрани нежелани реакции</w:t>
      </w:r>
    </w:p>
    <w:p w14:paraId="1C9ED3D3" w14:textId="77777777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lang w:eastAsia="bg-BG"/>
        </w:rPr>
        <w:t xml:space="preserve">При плацебо-контролирани клинични проучвания честотата на периферния оток е 0,9% при лерканидипин 10-20 </w:t>
      </w:r>
      <w:r w:rsidRPr="00B97F9B">
        <w:rPr>
          <w:rFonts w:eastAsia="Times New Roman" w:cs="Arial"/>
          <w:color w:val="000000"/>
          <w:lang w:val="en-US"/>
        </w:rPr>
        <w:t>mg</w:t>
      </w:r>
      <w:r w:rsidRPr="00B97F9B">
        <w:rPr>
          <w:rFonts w:eastAsia="Times New Roman" w:cs="Arial"/>
          <w:color w:val="000000"/>
          <w:lang w:val="ru-RU"/>
        </w:rPr>
        <w:t xml:space="preserve"> </w:t>
      </w:r>
      <w:r w:rsidRPr="00B97F9B">
        <w:rPr>
          <w:rFonts w:eastAsia="Times New Roman" w:cs="Arial"/>
          <w:color w:val="000000"/>
          <w:lang w:eastAsia="bg-BG"/>
        </w:rPr>
        <w:t>и 0,83% при плацебо. Тази честота достига 2% в общата популация на проучването, включително дългосрочни клинични проучвания.</w:t>
      </w:r>
    </w:p>
    <w:p w14:paraId="1430FD1A" w14:textId="77777777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lang w:eastAsia="bg-BG"/>
        </w:rPr>
        <w:t>Лерканидипин не повлиява неблагоприятно нивата на кръвната захар или серумните липиди. Някои дихидропиридини могат рядко да доведат до прекордиална болка или ангина пекторис. Много рядко при пациенти с предшестваща ангина пекторис може да се увеличи честотата, продължителността или тежестта на стенокардиите пристъпи. Може да се наблюдават изолирани случаи на миокарден инфаркт.</w:t>
      </w:r>
    </w:p>
    <w:p w14:paraId="0806475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6A91CF" w14:textId="029778E9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16870FE" w14:textId="77777777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480E280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97F9B">
        <w:rPr>
          <w:rFonts w:eastAsia="Times New Roman" w:cs="Arial"/>
          <w:color w:val="000000"/>
          <w:lang w:eastAsia="bg-BG"/>
        </w:rPr>
        <w:t xml:space="preserve">Изпълнителна агенция по лекарствата </w:t>
      </w:r>
    </w:p>
    <w:p w14:paraId="0DBB50DE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97F9B">
        <w:rPr>
          <w:rFonts w:eastAsia="Times New Roman" w:cs="Arial"/>
          <w:color w:val="000000"/>
          <w:lang w:eastAsia="bg-BG"/>
        </w:rPr>
        <w:t xml:space="preserve">ул. „Дамян Груев” № 8 </w:t>
      </w:r>
    </w:p>
    <w:p w14:paraId="0E91527E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97F9B">
        <w:rPr>
          <w:rFonts w:eastAsia="Times New Roman" w:cs="Arial"/>
          <w:color w:val="000000"/>
          <w:lang w:eastAsia="bg-BG"/>
        </w:rPr>
        <w:t xml:space="preserve">1303 София </w:t>
      </w:r>
    </w:p>
    <w:p w14:paraId="0D006F8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97F9B">
        <w:rPr>
          <w:rFonts w:eastAsia="Times New Roman" w:cs="Arial"/>
          <w:color w:val="000000"/>
          <w:lang w:eastAsia="bg-BG"/>
        </w:rPr>
        <w:t xml:space="preserve">тел.:+35 928903417 </w:t>
      </w:r>
    </w:p>
    <w:p w14:paraId="0EC37BFF" w14:textId="78165D26" w:rsidR="00B97F9B" w:rsidRPr="00B97F9B" w:rsidRDefault="00B97F9B" w:rsidP="00B97F9B">
      <w:pPr>
        <w:spacing w:line="240" w:lineRule="auto"/>
        <w:rPr>
          <w:rFonts w:eastAsia="Times New Roman" w:cs="Arial"/>
        </w:rPr>
      </w:pPr>
      <w:r w:rsidRPr="00B97F9B">
        <w:rPr>
          <w:rFonts w:eastAsia="Times New Roman" w:cs="Arial"/>
          <w:color w:val="000000"/>
          <w:lang w:eastAsia="bg-BG"/>
        </w:rPr>
        <w:t xml:space="preserve">уебсайт: </w:t>
      </w:r>
      <w:r w:rsidRPr="00B97F9B">
        <w:rPr>
          <w:rFonts w:eastAsia="Times New Roman" w:cs="Arial"/>
        </w:rPr>
        <w:fldChar w:fldCharType="begin"/>
      </w:r>
      <w:r w:rsidRPr="00B97F9B">
        <w:rPr>
          <w:rFonts w:eastAsia="Times New Roman" w:cs="Arial"/>
        </w:rPr>
        <w:instrText xml:space="preserve"> HYPERLINK "http://www.bda.bg" </w:instrText>
      </w:r>
      <w:r w:rsidRPr="00B97F9B">
        <w:rPr>
          <w:rFonts w:eastAsia="Times New Roman" w:cs="Arial"/>
        </w:rPr>
      </w:r>
      <w:r w:rsidRPr="00B97F9B">
        <w:rPr>
          <w:rFonts w:eastAsia="Times New Roman" w:cs="Arial"/>
        </w:rPr>
        <w:fldChar w:fldCharType="separate"/>
      </w:r>
      <w:r w:rsidRPr="00B97F9B">
        <w:rPr>
          <w:rFonts w:eastAsia="Times New Roman" w:cs="Arial"/>
          <w:color w:val="000000"/>
          <w:lang w:val="en-US"/>
        </w:rPr>
        <w:t>www</w:t>
      </w:r>
      <w:r w:rsidRPr="00B97F9B">
        <w:rPr>
          <w:rFonts w:eastAsia="Times New Roman" w:cs="Arial"/>
          <w:color w:val="000000"/>
          <w:lang w:val="ru-RU"/>
        </w:rPr>
        <w:t>.</w:t>
      </w:r>
      <w:proofErr w:type="spellStart"/>
      <w:r w:rsidRPr="00B97F9B">
        <w:rPr>
          <w:rFonts w:eastAsia="Times New Roman" w:cs="Arial"/>
          <w:color w:val="000000"/>
          <w:lang w:val="en-US"/>
        </w:rPr>
        <w:t>bda</w:t>
      </w:r>
      <w:proofErr w:type="spellEnd"/>
      <w:r w:rsidRPr="00B97F9B">
        <w:rPr>
          <w:rFonts w:eastAsia="Times New Roman" w:cs="Arial"/>
          <w:color w:val="000000"/>
          <w:lang w:val="ru-RU"/>
        </w:rPr>
        <w:t>.</w:t>
      </w:r>
      <w:proofErr w:type="spellStart"/>
      <w:r w:rsidRPr="00B97F9B">
        <w:rPr>
          <w:rFonts w:eastAsia="Times New Roman" w:cs="Arial"/>
          <w:color w:val="000000"/>
          <w:lang w:val="en-US"/>
        </w:rPr>
        <w:t>bg</w:t>
      </w:r>
      <w:proofErr w:type="spellEnd"/>
      <w:r w:rsidRPr="00B97F9B">
        <w:rPr>
          <w:rFonts w:eastAsia="Times New Roman" w:cs="Arial"/>
        </w:rPr>
        <w:fldChar w:fldCharType="end"/>
      </w:r>
    </w:p>
    <w:p w14:paraId="2C33BBE1" w14:textId="77777777" w:rsidR="00B97F9B" w:rsidRPr="00B97F9B" w:rsidRDefault="00B97F9B" w:rsidP="00B97F9B"/>
    <w:p w14:paraId="5A87DBA3" w14:textId="0F562B83" w:rsidR="007122AD" w:rsidRDefault="002C50EE" w:rsidP="00936AD0">
      <w:pPr>
        <w:pStyle w:val="Heading2"/>
      </w:pPr>
      <w:r>
        <w:t>4.9. Предозиране</w:t>
      </w:r>
    </w:p>
    <w:p w14:paraId="77D00BAA" w14:textId="035C791D" w:rsidR="00B97F9B" w:rsidRDefault="00B97F9B" w:rsidP="00B97F9B"/>
    <w:p w14:paraId="7F318AA0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В постмаркетинговия опит с лерканидипин има съобщени случаи на предозиране в диапазон от 30- 40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до 800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включително съобщения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за опит за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самоубийство.</w:t>
      </w:r>
    </w:p>
    <w:p w14:paraId="41C658A8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AA007CC" w14:textId="5857F7B2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lastRenderedPageBreak/>
        <w:t>Симптоми</w:t>
      </w:r>
    </w:p>
    <w:p w14:paraId="5EEC7BC2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Както при другите дихидропиридини, предозирането с лерканидипин води до прекомерна периферна вазодилатация с изразена хипотония и рефлекторна тахикардия. Въпреки това, при много високи дози периферната селективност може да се загуби, причинявайки брадикардия и отрицателен инотропен ефект. Най-честите нежелани реакции, свързани със случаи на предозиране, са хипотония, замаяност, главоболие и палпитации.</w:t>
      </w:r>
    </w:p>
    <w:p w14:paraId="436DB40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154B2EB" w14:textId="44D53C0E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Лечение</w:t>
      </w:r>
    </w:p>
    <w:p w14:paraId="1960BB5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Клинично значимата хипотония изисква активна сърдечно-съдова подкрепа, включваща често проследяване на сърдечната и дихателната функция, повдигане на крайниците и проследяване на обема на циркулиращите течности и отделянето на урина.</w:t>
      </w:r>
    </w:p>
    <w:p w14:paraId="2F00980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Като се има предвид продължителния фармакологичен ефект на лерканидипин, от съществено значение е сърдечно-съдовият статус на пациента да бъде наблюдаван най-малко за 24 часа. Тъй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като продуктът се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свързва във висока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>степен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 с протеините, диализата вероятно няма да бъде ефективна. Пациентите, при които се очаква умерена до тежка интоксикация, трябва да се наблюдават при специализирани условия.</w:t>
      </w:r>
    </w:p>
    <w:p w14:paraId="0D9F06DC" w14:textId="77777777" w:rsidR="00B97F9B" w:rsidRPr="00B97F9B" w:rsidRDefault="00B97F9B" w:rsidP="00B97F9B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6339E404" w14:textId="7F98B0D3" w:rsidR="00875EEC" w:rsidRDefault="002C50EE" w:rsidP="005726E3">
      <w:pPr>
        <w:pStyle w:val="Heading2"/>
      </w:pPr>
      <w:r>
        <w:t>5.1. Фармакодинамични свойства</w:t>
      </w:r>
    </w:p>
    <w:p w14:paraId="1FC48CC2" w14:textId="5258BCED" w:rsidR="00B97F9B" w:rsidRDefault="00B97F9B" w:rsidP="00B97F9B"/>
    <w:p w14:paraId="572F1BF3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Фармакотерапевтична група: селективни блокери на калциевите канали главно със съдови ефекти: дихидролиридинови производни</w:t>
      </w:r>
    </w:p>
    <w:p w14:paraId="45502E17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АТС код:С08СА13</w:t>
      </w:r>
    </w:p>
    <w:p w14:paraId="1B705E7F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0050904" w14:textId="13E6E1C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Механизъм на действие</w:t>
      </w:r>
    </w:p>
    <w:p w14:paraId="4C379E1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Лерканидипин е калциев антагонист от групата на дихидропиридините и инхибира трапсмембранния инфлукс на калций в сърцето и в гладката мускулатура. Механизмът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 xml:space="preserve">на неговото </w:t>
      </w:r>
      <w:r w:rsidRPr="00B97F9B">
        <w:rPr>
          <w:rFonts w:eastAsia="Times New Roman" w:cs="Arial"/>
          <w:color w:val="000000"/>
          <w:szCs w:val="20"/>
          <w:lang w:eastAsia="bg-BG"/>
        </w:rPr>
        <w:t>антихипертензивно действие се дължи на директен релаксиращ ефект върху съдовата гладка мускулатура и по този начин понижава общото периферно съпротивление.</w:t>
      </w:r>
    </w:p>
    <w:p w14:paraId="4E047618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CB7D42F" w14:textId="40E5E163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Фармакодинамични ефекти</w:t>
      </w:r>
    </w:p>
    <w:p w14:paraId="0353D90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Независимо от краткото му фармакокинетично време на полуживот в плазмата, лерканидипин притежава продължително антихипертензивно действие поради високия мембранен разделителен коефициент и е лишен от отрицателен инотропен ефект поради високата съдова селективност.</w:t>
      </w:r>
    </w:p>
    <w:p w14:paraId="42B9C619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Тъй като Реновиа води до вазодилатация с плавно начало, рядко се наблюдават остра хипотония и рефлекторна тахикардия при пациенти с хипертоници.</w:t>
      </w:r>
    </w:p>
    <w:p w14:paraId="6BF17DC8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Подобно на другите асиметрични 1,4-дихидропиридини, антихипертензивното действие на лерканидипин се дължи главно на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eastAsia="bg-BG"/>
        </w:rPr>
        <w:t>-енантиомера.</w:t>
      </w:r>
    </w:p>
    <w:p w14:paraId="796F5B0E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A734430" w14:textId="1C335C79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Клинична ефикасност и безопасност</w:t>
      </w:r>
    </w:p>
    <w:p w14:paraId="3154B0C2" w14:textId="2FBC1B84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Клиничната ефикасност и безопасност на лерканидипин в доза от 10-20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веднъж дневно е оценена в двойно-сляпо, плацебо контролирано клинично проучване (при 1200 пациенти, приемащи лерканидипин и 603 пациенти, приемащи плацебо) и при активно-контролирано и неконтролирано дългосрочно клинично проучване на общо 3676 пациенти с хипертония. Повечето клинични проучвания са проведени при пациенти с лека до умерена есенциална хипертония (включително пациенти в старческа възраст и </w:t>
      </w: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>диабетици), получаващи лерканидипин самостоятелно или в комбинация с А</w:t>
      </w:r>
      <w:r w:rsidRPr="00B97F9B">
        <w:rPr>
          <w:rFonts w:eastAsia="Times New Roman" w:cs="Arial"/>
          <w:color w:val="000000"/>
          <w:szCs w:val="20"/>
          <w:lang w:val="en-US"/>
        </w:rPr>
        <w:t>CE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инхибитори диуретици или бета-блокери.</w:t>
      </w:r>
    </w:p>
    <w:p w14:paraId="5E786EC4" w14:textId="4D3E50E9" w:rsidR="00B97F9B" w:rsidRPr="00B97F9B" w:rsidRDefault="00B97F9B" w:rsidP="00B97F9B">
      <w:pPr>
        <w:rPr>
          <w:rFonts w:eastAsia="Times New Roman" w:cs="Arial"/>
          <w:color w:val="000000"/>
          <w:szCs w:val="20"/>
          <w:lang w:eastAsia="bg-BG"/>
        </w:rPr>
      </w:pPr>
    </w:p>
    <w:p w14:paraId="09E108C9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В допълнение към клиничните проучвания, проведени в подкрепа на терапевтичните показания, са проведени и допълнителни малки неконтролирани, но рандомизирани проучвания с пациенти с тежка хипертония (средно±</w:t>
      </w:r>
      <w:r w:rsidRPr="00B97F9B">
        <w:rPr>
          <w:rFonts w:eastAsia="Times New Roman" w:cs="Arial"/>
          <w:color w:val="000000"/>
          <w:szCs w:val="20"/>
          <w:lang w:val="en-US"/>
        </w:rPr>
        <w:t>SD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диастолно артериално налягане 114,5±3,7 </w:t>
      </w:r>
      <w:r w:rsidRPr="00B97F9B">
        <w:rPr>
          <w:rFonts w:eastAsia="Times New Roman" w:cs="Arial"/>
          <w:color w:val="000000"/>
          <w:szCs w:val="20"/>
          <w:lang w:val="en-US"/>
        </w:rPr>
        <w:t>mmHg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).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Тези проучвания показват, че кръвното налягане се нормализира в 40% от 25-те пациента при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еднократно дневно и в 56% от 25-те пациента при приложение на 10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Реновиа два пъти дневно. В двойно-сляпо, рандомизирано контролирано проучване спрямо плацебо при пациенти с изолирана систолна хипертония, Реновиа е ефективен за понижаване на систолното артериално налягане от начални стойности 172,6±5,6 </w:t>
      </w:r>
      <w:r w:rsidRPr="00B97F9B">
        <w:rPr>
          <w:rFonts w:eastAsia="Times New Roman" w:cs="Arial"/>
          <w:color w:val="000000"/>
          <w:szCs w:val="20"/>
          <w:lang w:val="en-US"/>
        </w:rPr>
        <w:t>mmHg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до 140,2±8,7 </w:t>
      </w:r>
      <w:r w:rsidRPr="00B97F9B">
        <w:rPr>
          <w:rFonts w:eastAsia="Times New Roman" w:cs="Arial"/>
          <w:color w:val="000000"/>
          <w:szCs w:val="20"/>
          <w:lang w:val="en-US"/>
        </w:rPr>
        <w:t>mmHg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</w:p>
    <w:p w14:paraId="08BC11AC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91ACFC7" w14:textId="3D5F368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Педиатрична популация</w:t>
      </w:r>
    </w:p>
    <w:p w14:paraId="6AB2D036" w14:textId="34A1C715" w:rsidR="00B97F9B" w:rsidRDefault="00B97F9B" w:rsidP="00B97F9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Не са проведени клинични проучвания при педиатрична популация.</w:t>
      </w:r>
    </w:p>
    <w:p w14:paraId="206056A3" w14:textId="77777777" w:rsidR="00B97F9B" w:rsidRPr="00B97F9B" w:rsidRDefault="00B97F9B" w:rsidP="00B97F9B"/>
    <w:p w14:paraId="346B622B" w14:textId="036B24E2" w:rsidR="00875EEC" w:rsidRDefault="002C50EE" w:rsidP="005726E3">
      <w:pPr>
        <w:pStyle w:val="Heading2"/>
      </w:pPr>
      <w:r>
        <w:t>5.2. Фармакокинетични свойства</w:t>
      </w:r>
    </w:p>
    <w:p w14:paraId="4072A3B4" w14:textId="08FF13AD" w:rsidR="00B97F9B" w:rsidRDefault="00B97F9B" w:rsidP="00B97F9B"/>
    <w:p w14:paraId="1ABB6D17" w14:textId="77777777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Абсорбция</w:t>
      </w:r>
    </w:p>
    <w:p w14:paraId="2354CE1E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Реновиа се резорбира напълно след перорално приложение на 10-20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достига максимални плазмени нива, съответно 3,30 </w:t>
      </w:r>
      <w:r w:rsidRPr="00B97F9B">
        <w:rPr>
          <w:rFonts w:eastAsia="Times New Roman" w:cs="Arial"/>
          <w:color w:val="000000"/>
          <w:szCs w:val="20"/>
          <w:lang w:val="en-US"/>
        </w:rPr>
        <w:t>ng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ml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±2,09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B97F9B">
        <w:rPr>
          <w:rFonts w:eastAsia="Times New Roman" w:cs="Arial"/>
          <w:color w:val="000000"/>
          <w:szCs w:val="20"/>
          <w:lang w:val="ru-RU"/>
        </w:rPr>
        <w:t>7,66</w:t>
      </w:r>
      <w:r w:rsidRPr="00B97F9B">
        <w:rPr>
          <w:rFonts w:eastAsia="Times New Roman" w:cs="Arial"/>
          <w:color w:val="000000"/>
          <w:szCs w:val="20"/>
          <w:lang w:val="en-US"/>
        </w:rPr>
        <w:t>ng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ml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±5,90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.,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1,5-3 часа след приложението. Двата енантиомера на лерканидипин имат подобен профил по отношение на плазмените нива: еднакво време за достигане на максимални плазмени концентрации; максималните плазмени концентрации и </w:t>
      </w:r>
      <w:r w:rsidRPr="00B97F9B">
        <w:rPr>
          <w:rFonts w:eastAsia="Times New Roman" w:cs="Arial"/>
          <w:color w:val="000000"/>
          <w:szCs w:val="20"/>
          <w:lang w:val="en-US"/>
        </w:rPr>
        <w:t>AUC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са средно 1,2 пъти по-високи за </w:t>
      </w:r>
      <w:r w:rsidRPr="00B97F9B">
        <w:rPr>
          <w:rFonts w:eastAsia="Times New Roman" w:cs="Arial"/>
          <w:color w:val="000000"/>
          <w:szCs w:val="20"/>
          <w:lang w:val="en-US"/>
        </w:rPr>
        <w:t>S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-енантиомера, времето на полуживот на двата енантиомера е принципно еднакво. Не се наблюдава </w:t>
      </w:r>
      <w:r w:rsidRPr="00B97F9B">
        <w:rPr>
          <w:rFonts w:eastAsia="Times New Roman" w:cs="Arial"/>
          <w:i/>
          <w:iCs/>
          <w:color w:val="000000"/>
          <w:szCs w:val="20"/>
          <w:lang w:val="en-US"/>
        </w:rPr>
        <w:t>in</w:t>
      </w:r>
      <w:r w:rsidRPr="00B97F9B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i/>
          <w:iCs/>
          <w:color w:val="000000"/>
          <w:szCs w:val="20"/>
          <w:lang w:val="en-US"/>
        </w:rPr>
        <w:t>vivo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интерконверсия на двата енантиомера.</w:t>
      </w:r>
    </w:p>
    <w:p w14:paraId="077428A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Поради високия </w:t>
      </w:r>
      <w:r w:rsidRPr="00B97F9B">
        <w:rPr>
          <w:rFonts w:eastAsia="Times New Roman" w:cs="Arial"/>
          <w:color w:val="000000"/>
          <w:szCs w:val="20"/>
          <w:lang w:val="en-US"/>
        </w:rPr>
        <w:t>first</w:t>
      </w:r>
      <w:r w:rsidRPr="00B97F9B">
        <w:rPr>
          <w:rFonts w:eastAsia="Times New Roman" w:cs="Arial"/>
          <w:color w:val="000000"/>
          <w:szCs w:val="20"/>
          <w:lang w:val="ru-RU"/>
        </w:rPr>
        <w:t>-</w:t>
      </w:r>
      <w:r w:rsidRPr="00B97F9B">
        <w:rPr>
          <w:rFonts w:eastAsia="Times New Roman" w:cs="Arial"/>
          <w:color w:val="000000"/>
          <w:szCs w:val="20"/>
          <w:lang w:val="en-US"/>
        </w:rPr>
        <w:t>pass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>метаболизъм, абсолютната бионаличност на Реновиа след перорално приложение при пациенти след хранене е около 10%, въпреки че намалява до 1/3 при здрави доброволци, приложен на гладно.</w:t>
      </w:r>
    </w:p>
    <w:p w14:paraId="0E4904D0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Бионаличността на лерканидипин при перорално приложение се увеличава 4 пъти, ако Реновиа се приеме до 2 часа след консумация на храна, богата на мазнини. Следователно Реновиа трябва да се приема преди хранене.</w:t>
      </w:r>
    </w:p>
    <w:p w14:paraId="14FD8FF7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24A4720" w14:textId="5B20D0F8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Разпределение</w:t>
      </w:r>
    </w:p>
    <w:p w14:paraId="16976CD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Разпределението от плазмата към тъканите и органите е бързо и пълно.</w:t>
      </w:r>
    </w:p>
    <w:p w14:paraId="4A385D1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Степента на свързване на лерканидипин с плазмените протеини надвишава 98%. Тъй като пациентите с тежка бъбречна и тежка чернодробна недостатъчност имат понижени нива на плазмените протеини, може да се повиши свободната фракция на лекарството.</w:t>
      </w:r>
    </w:p>
    <w:p w14:paraId="3CE23A52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F58DA8E" w14:textId="5E88B059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Биотрансформация</w:t>
      </w:r>
    </w:p>
    <w:p w14:paraId="3EC55C3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Реновиа се метаболизира в голяма степен от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4, </w:t>
      </w:r>
      <w:r w:rsidRPr="00B97F9B">
        <w:rPr>
          <w:rFonts w:eastAsia="Times New Roman" w:cs="Arial"/>
          <w:color w:val="000000"/>
          <w:szCs w:val="20"/>
          <w:lang w:eastAsia="bg-BG"/>
        </w:rPr>
        <w:t>като в урината и фецеса не се открива непромененото вещество. Превръща се предимно в неактивни метаболити и приблизително 50% от дозата се излъчва с урината.</w:t>
      </w:r>
    </w:p>
    <w:p w14:paraId="47F2A74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46E9F24" w14:textId="4DE43C85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Опити </w:t>
      </w:r>
      <w:r w:rsidRPr="00B97F9B">
        <w:rPr>
          <w:rFonts w:eastAsia="Times New Roman" w:cs="Arial"/>
          <w:i/>
          <w:iCs/>
          <w:color w:val="000000"/>
          <w:szCs w:val="20"/>
          <w:lang w:val="en-US"/>
        </w:rPr>
        <w:t>in</w:t>
      </w:r>
      <w:r w:rsidRPr="00B97F9B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i/>
          <w:iCs/>
          <w:color w:val="000000"/>
          <w:szCs w:val="20"/>
          <w:lang w:val="en-US"/>
        </w:rPr>
        <w:t>vitro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 човешки чернодробни микрозоми показват, че лерканидипин в известна степен инхибира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2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6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в концентрации съответно 160 пъти и 40 пъти по-високи от тези, достигнати при максимална плазмена концентрация след приложение на 20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>.</w:t>
      </w:r>
    </w:p>
    <w:p w14:paraId="14A7E267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2DBEBAB" w14:textId="4307933A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 xml:space="preserve">Освен това проучванията за взаимодействия при хора показват, че лерканидипин не променя плазмените нива на мидазолам, типичен субстрат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или на метопролол, типичен субстрат на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2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6.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Следователно в терапевтични дози не се очаква РЕНОВИА да инхибира биотрансформацията на лекарства, метаболизирани от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3</w:t>
      </w:r>
      <w:r w:rsidRPr="00B97F9B">
        <w:rPr>
          <w:rFonts w:eastAsia="Times New Roman" w:cs="Arial"/>
          <w:color w:val="000000"/>
          <w:szCs w:val="20"/>
          <w:lang w:val="en-US"/>
        </w:rPr>
        <w:t>A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B97F9B">
        <w:rPr>
          <w:rFonts w:eastAsia="Times New Roman" w:cs="Arial"/>
          <w:color w:val="000000"/>
          <w:szCs w:val="20"/>
          <w:lang w:val="en-US"/>
        </w:rPr>
        <w:t>CYP</w:t>
      </w:r>
      <w:r w:rsidRPr="00B97F9B">
        <w:rPr>
          <w:rFonts w:eastAsia="Times New Roman" w:cs="Arial"/>
          <w:color w:val="000000"/>
          <w:szCs w:val="20"/>
          <w:lang w:val="ru-RU"/>
        </w:rPr>
        <w:t>2</w:t>
      </w:r>
      <w:r w:rsidRPr="00B97F9B">
        <w:rPr>
          <w:rFonts w:eastAsia="Times New Roman" w:cs="Arial"/>
          <w:color w:val="000000"/>
          <w:szCs w:val="20"/>
          <w:lang w:val="en-US"/>
        </w:rPr>
        <w:t>D</w:t>
      </w:r>
      <w:r w:rsidRPr="00B97F9B">
        <w:rPr>
          <w:rFonts w:eastAsia="Times New Roman" w:cs="Arial"/>
          <w:color w:val="000000"/>
          <w:szCs w:val="20"/>
          <w:lang w:val="ru-RU"/>
        </w:rPr>
        <w:t>6.</w:t>
      </w:r>
    </w:p>
    <w:p w14:paraId="6A31E272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9ECAC75" w14:textId="07A54417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Елиминиране</w:t>
      </w:r>
    </w:p>
    <w:p w14:paraId="27A0B3D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Елиминирането се осъществява главно чрез биотрансформация.</w:t>
      </w:r>
    </w:p>
    <w:p w14:paraId="12F39E93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144D49E" w14:textId="5989B50D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Средното време на лолуживот възлиза на 8-10 часа, а терапевтичната активност продължава 24 часа поради високата степен на свързване с липидната мембрана. При многократно приложение не се наблюдава акумулация.</w:t>
      </w:r>
    </w:p>
    <w:p w14:paraId="3D71E81E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89D7ACB" w14:textId="271721A1" w:rsidR="00B97F9B" w:rsidRPr="00B97F9B" w:rsidRDefault="00B97F9B" w:rsidP="00B97F9B">
      <w:pPr>
        <w:pStyle w:val="Heading3"/>
        <w:rPr>
          <w:rFonts w:eastAsia="Times New Roman"/>
          <w:sz w:val="28"/>
          <w:u w:val="single"/>
        </w:rPr>
      </w:pPr>
      <w:r w:rsidRPr="00B97F9B">
        <w:rPr>
          <w:rFonts w:eastAsia="Times New Roman"/>
          <w:u w:val="single"/>
          <w:lang w:eastAsia="bg-BG"/>
        </w:rPr>
        <w:t>Линейност/нелинейност</w:t>
      </w:r>
    </w:p>
    <w:p w14:paraId="1C7C812F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 xml:space="preserve">Пероралното приложение на Реновиа води до плазмени нива на лерканидипин, които не са правопропорционални на дозата (нелинейна кинетика). След приложение на 10, 20 или 40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съотношението между максималните плазмени концентрации е 1:3:8, а съотношението между площта под кривата плазмена концентрация - време е 1:4:18, което предполага прогресивно насищане на </w:t>
      </w:r>
      <w:r w:rsidRPr="00B97F9B">
        <w:rPr>
          <w:rFonts w:eastAsia="Times New Roman" w:cs="Arial"/>
          <w:color w:val="000000"/>
          <w:szCs w:val="20"/>
          <w:lang w:val="en-US"/>
        </w:rPr>
        <w:t>first</w:t>
      </w:r>
      <w:r w:rsidRPr="00B97F9B">
        <w:rPr>
          <w:rFonts w:eastAsia="Times New Roman" w:cs="Arial"/>
          <w:color w:val="000000"/>
          <w:szCs w:val="20"/>
          <w:lang w:val="ru-RU"/>
        </w:rPr>
        <w:t>-</w:t>
      </w:r>
      <w:r w:rsidRPr="00B97F9B">
        <w:rPr>
          <w:rFonts w:eastAsia="Times New Roman" w:cs="Arial"/>
          <w:color w:val="000000"/>
          <w:szCs w:val="20"/>
          <w:lang w:val="en-US"/>
        </w:rPr>
        <w:t>pass</w:t>
      </w:r>
      <w:r w:rsidRPr="00B97F9B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B97F9B">
        <w:rPr>
          <w:rFonts w:eastAsia="Times New Roman" w:cs="Arial"/>
          <w:color w:val="000000"/>
          <w:szCs w:val="20"/>
          <w:lang w:eastAsia="bg-BG"/>
        </w:rPr>
        <w:t xml:space="preserve">метаболизма. Следователно наличността нараства с увеличаването </w:t>
      </w:r>
      <w:r w:rsidRPr="00B97F9B">
        <w:rPr>
          <w:rFonts w:eastAsia="Times New Roman" w:cs="Arial"/>
          <w:i/>
          <w:iCs/>
          <w:color w:val="000000"/>
          <w:szCs w:val="20"/>
          <w:lang w:eastAsia="bg-BG"/>
        </w:rPr>
        <w:t xml:space="preserve">на </w:t>
      </w:r>
      <w:r w:rsidRPr="00B97F9B">
        <w:rPr>
          <w:rFonts w:eastAsia="Times New Roman" w:cs="Arial"/>
          <w:color w:val="000000"/>
          <w:szCs w:val="20"/>
          <w:lang w:eastAsia="bg-BG"/>
        </w:rPr>
        <w:t>дозата.</w:t>
      </w:r>
    </w:p>
    <w:p w14:paraId="71BECA05" w14:textId="77777777" w:rsidR="00B97F9B" w:rsidRPr="00B97F9B" w:rsidRDefault="00B97F9B" w:rsidP="00B97F9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F74ADD4" w14:textId="55E29D71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u w:val="single"/>
          <w:lang w:eastAsia="bg-BG"/>
        </w:rPr>
        <w:t>Специални популации</w:t>
      </w:r>
    </w:p>
    <w:p w14:paraId="6A3DA25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При пациенти в старческа възраст, пациенти с леко до умерено нарушена бъбречна функция или с леко до умерено нарушена чернодробна функция, фармакокинетичното поведение на лерканидипин е било сходно с наблюдаваното при общата популация от пациенти. Пациенти с тежки бъбречни нарушения или пациенти, зависими от диализа, показват по-високи нива (приблизително 70%) на лекарството. При пациенти с умерено до тежко нарушена чернодробна функция има вероятност системната бионаличност на лерканидипин да се увеличи, тъй като по принцип лекарството се метаболизира в голяма степен в черния дроб.</w:t>
      </w:r>
    </w:p>
    <w:p w14:paraId="3CA27AD0" w14:textId="77777777" w:rsidR="00B97F9B" w:rsidRPr="00B97F9B" w:rsidRDefault="00B97F9B" w:rsidP="00B97F9B"/>
    <w:p w14:paraId="4F31844C" w14:textId="77836FA1" w:rsidR="00875EEC" w:rsidRDefault="002C50EE" w:rsidP="005726E3">
      <w:pPr>
        <w:pStyle w:val="Heading2"/>
      </w:pPr>
      <w:r>
        <w:t>5.3. Предклинични данни за безопасност</w:t>
      </w:r>
    </w:p>
    <w:p w14:paraId="085E79FD" w14:textId="2B7A9430" w:rsidR="00B97F9B" w:rsidRDefault="00B97F9B" w:rsidP="00B97F9B"/>
    <w:p w14:paraId="48A4A6A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генотоксичност, канцерогенен потенциал, репродуктивна токсичност и токсичност за развитието. Фармакологичните изследвания за безопасност при животни не показват повлияване на автономната нервна система, централната нервна система или стомашно-чревната дейност при антихипертензивни дози.</w:t>
      </w:r>
    </w:p>
    <w:p w14:paraId="6F99D531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Съответните ефекти, наблюдавани при продължителни проучвания при плъхове и кучета, са свързани пряко или косвено с известните ефекти на високи дози калциеви антагониста и се дължат предимно на прекомерно голяма фармакодинамична активност.</w:t>
      </w:r>
    </w:p>
    <w:p w14:paraId="7B949D0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Лерканидипин не е генотоксичен и не показва данни за канцерогенен риск.</w:t>
      </w:r>
    </w:p>
    <w:p w14:paraId="0F59FD6D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Фертилитетът и общото репродуктивно поведение при плъховете не се повлияват от лечението с лерканидипин.</w:t>
      </w:r>
    </w:p>
    <w:p w14:paraId="0A5C0243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Няма данни за какъвто и да е тератогенен ефект при плъхове и зайци; въпреки това при плъхове, лерканидипин във високи дози предизвиква пре- н постимплантационни загуби и забавяне на феталното развитие.</w:t>
      </w:r>
    </w:p>
    <w:p w14:paraId="06CF78A5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lastRenderedPageBreak/>
        <w:t xml:space="preserve">Когато лерканидипинов хидрохлорид се прилага във високи дози (12 </w:t>
      </w:r>
      <w:r w:rsidRPr="00B97F9B">
        <w:rPr>
          <w:rFonts w:eastAsia="Times New Roman" w:cs="Arial"/>
          <w:color w:val="000000"/>
          <w:szCs w:val="20"/>
          <w:lang w:val="en-US"/>
        </w:rPr>
        <w:t>mg</w:t>
      </w:r>
      <w:r w:rsidRPr="00B97F9B">
        <w:rPr>
          <w:rFonts w:eastAsia="Times New Roman" w:cs="Arial"/>
          <w:color w:val="000000"/>
          <w:szCs w:val="20"/>
          <w:lang w:val="ru-RU"/>
        </w:rPr>
        <w:t>/</w:t>
      </w:r>
      <w:r w:rsidRPr="00B97F9B">
        <w:rPr>
          <w:rFonts w:eastAsia="Times New Roman" w:cs="Arial"/>
          <w:color w:val="000000"/>
          <w:szCs w:val="20"/>
          <w:lang w:val="en-US"/>
        </w:rPr>
        <w:t>kg</w:t>
      </w:r>
      <w:r w:rsidRPr="00B97F9B">
        <w:rPr>
          <w:rFonts w:eastAsia="Times New Roman" w:cs="Arial"/>
          <w:color w:val="000000"/>
          <w:szCs w:val="20"/>
          <w:lang w:eastAsia="bg-BG"/>
        </w:rPr>
        <w:t>/ден) по време на раждане, води до дистокия.</w:t>
      </w:r>
    </w:p>
    <w:p w14:paraId="6053FD2C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Разпределението на лерканидипин и/или неговите метаболити в бременни животни и излъчването му в кърмата им не е изследвано.</w:t>
      </w:r>
    </w:p>
    <w:p w14:paraId="112479C6" w14:textId="77777777" w:rsidR="00B97F9B" w:rsidRPr="00B97F9B" w:rsidRDefault="00B97F9B" w:rsidP="00B97F9B">
      <w:pPr>
        <w:spacing w:line="240" w:lineRule="auto"/>
        <w:rPr>
          <w:rFonts w:eastAsia="Times New Roman" w:cs="Arial"/>
          <w:sz w:val="28"/>
          <w:szCs w:val="24"/>
        </w:rPr>
      </w:pPr>
      <w:r w:rsidRPr="00B97F9B">
        <w:rPr>
          <w:rFonts w:eastAsia="Times New Roman" w:cs="Arial"/>
          <w:color w:val="000000"/>
          <w:szCs w:val="20"/>
          <w:lang w:eastAsia="bg-BG"/>
        </w:rPr>
        <w:t>Метаболитите не са изследвани поотделно в токсикологични изследвания.</w:t>
      </w:r>
    </w:p>
    <w:p w14:paraId="1893AE89" w14:textId="77777777" w:rsidR="00B97F9B" w:rsidRPr="00B97F9B" w:rsidRDefault="00B97F9B" w:rsidP="00B97F9B"/>
    <w:p w14:paraId="1BA6531D" w14:textId="4A090729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57647CFF" w14:textId="451C18F4" w:rsidR="00B97F9B" w:rsidRDefault="00B97F9B" w:rsidP="00B97F9B"/>
    <w:p w14:paraId="27D44FD6" w14:textId="77777777" w:rsidR="00B97F9B" w:rsidRPr="00B97F9B" w:rsidRDefault="00B97F9B" w:rsidP="00B97F9B">
      <w:pPr>
        <w:rPr>
          <w:sz w:val="24"/>
          <w:szCs w:val="24"/>
          <w:lang w:val="en-US"/>
        </w:rPr>
      </w:pPr>
      <w:r w:rsidRPr="00B97F9B">
        <w:rPr>
          <w:lang w:val="en-US"/>
        </w:rPr>
        <w:t>BERL1N-CHEMIE AG (MENARINI GROUP)</w:t>
      </w:r>
    </w:p>
    <w:p w14:paraId="1707899B" w14:textId="77777777" w:rsidR="00B97F9B" w:rsidRPr="00B97F9B" w:rsidRDefault="00B97F9B" w:rsidP="00B97F9B">
      <w:pPr>
        <w:rPr>
          <w:sz w:val="24"/>
          <w:szCs w:val="24"/>
          <w:lang w:val="ru-RU"/>
        </w:rPr>
      </w:pPr>
      <w:proofErr w:type="spellStart"/>
      <w:r w:rsidRPr="00B97F9B">
        <w:rPr>
          <w:lang w:val="en-US"/>
        </w:rPr>
        <w:t>Glienicker</w:t>
      </w:r>
      <w:proofErr w:type="spellEnd"/>
      <w:r w:rsidRPr="00B97F9B">
        <w:rPr>
          <w:lang w:val="ru-RU"/>
        </w:rPr>
        <w:t xml:space="preserve"> </w:t>
      </w:r>
      <w:proofErr w:type="spellStart"/>
      <w:r w:rsidRPr="00B97F9B">
        <w:rPr>
          <w:lang w:val="en-US"/>
        </w:rPr>
        <w:t>Weg</w:t>
      </w:r>
      <w:proofErr w:type="spellEnd"/>
      <w:r w:rsidRPr="00B97F9B">
        <w:rPr>
          <w:lang w:val="ru-RU"/>
        </w:rPr>
        <w:t xml:space="preserve"> </w:t>
      </w:r>
      <w:r w:rsidRPr="00B97F9B">
        <w:rPr>
          <w:lang w:eastAsia="bg-BG"/>
        </w:rPr>
        <w:t>125</w:t>
      </w:r>
    </w:p>
    <w:p w14:paraId="1736B004" w14:textId="77777777" w:rsidR="00B97F9B" w:rsidRPr="00B97F9B" w:rsidRDefault="00B97F9B" w:rsidP="00B97F9B">
      <w:pPr>
        <w:rPr>
          <w:sz w:val="24"/>
          <w:szCs w:val="24"/>
          <w:lang w:val="ru-RU"/>
        </w:rPr>
      </w:pPr>
      <w:r w:rsidRPr="00B97F9B">
        <w:rPr>
          <w:lang w:eastAsia="bg-BG"/>
        </w:rPr>
        <w:t xml:space="preserve">12489 </w:t>
      </w:r>
      <w:r w:rsidRPr="00B97F9B">
        <w:rPr>
          <w:lang w:val="en-US"/>
        </w:rPr>
        <w:t>Berlin</w:t>
      </w:r>
      <w:r w:rsidRPr="00B97F9B">
        <w:rPr>
          <w:lang w:val="ru-RU"/>
        </w:rPr>
        <w:t xml:space="preserve">, </w:t>
      </w:r>
      <w:r w:rsidRPr="00B97F9B">
        <w:rPr>
          <w:lang w:eastAsia="bg-BG"/>
        </w:rPr>
        <w:t>Германия</w:t>
      </w:r>
    </w:p>
    <w:p w14:paraId="61F62C12" w14:textId="538F2A06" w:rsidR="00B97F9B" w:rsidRPr="00B97F9B" w:rsidRDefault="00B97F9B" w:rsidP="00B97F9B">
      <w:r w:rsidRPr="00B97F9B">
        <w:rPr>
          <w:lang w:eastAsia="bg-BG"/>
        </w:rPr>
        <w:t xml:space="preserve">По лиценз на </w:t>
      </w:r>
      <w:r w:rsidRPr="00B97F9B">
        <w:rPr>
          <w:lang w:val="en-US"/>
        </w:rPr>
        <w:t>RECORDATI</w:t>
      </w:r>
    </w:p>
    <w:p w14:paraId="508F3A54" w14:textId="364C0325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1D21698D" w14:textId="25DB0829" w:rsidR="00B97F9B" w:rsidRDefault="00B97F9B" w:rsidP="00B97F9B"/>
    <w:p w14:paraId="2E2E8D48" w14:textId="58C397E4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10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филмирани таблетки:20010727</w:t>
      </w:r>
    </w:p>
    <w:p w14:paraId="6C8AAA19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20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филмирани таблетки: 20050450</w:t>
      </w:r>
    </w:p>
    <w:p w14:paraId="5ED4E0BD" w14:textId="77777777" w:rsidR="00B97F9B" w:rsidRPr="00B97F9B" w:rsidRDefault="00B97F9B" w:rsidP="00B97F9B"/>
    <w:p w14:paraId="3BC5EC53" w14:textId="62A6F312" w:rsidR="00875EEC" w:rsidRDefault="002C50EE" w:rsidP="005726E3">
      <w:pPr>
        <w:pStyle w:val="Heading1"/>
      </w:pPr>
      <w:r>
        <w:t>9. ДАТА НА ПЪРВО РАЗРЕШАВАНЕ/ПОДНОВЯВАНЕ НА РАЗРЕШЕНИЕТО ЗА УПОТРЕБА</w:t>
      </w:r>
    </w:p>
    <w:p w14:paraId="39C7F34C" w14:textId="46CD8AD1" w:rsidR="00B97F9B" w:rsidRDefault="00B97F9B" w:rsidP="00B97F9B"/>
    <w:p w14:paraId="0C9DC08A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10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филмирани таблетки:</w:t>
      </w:r>
    </w:p>
    <w:p w14:paraId="1AF01925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Дата на първо разрешаване: 25,06.2001</w:t>
      </w:r>
    </w:p>
    <w:p w14:paraId="08015DF6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Дата на последно подновяване: 10.08.2011</w:t>
      </w:r>
    </w:p>
    <w:p w14:paraId="5A783F1A" w14:textId="77777777" w:rsidR="00B97F9B" w:rsidRDefault="00B97F9B" w:rsidP="00B97F9B">
      <w:pPr>
        <w:rPr>
          <w:lang w:eastAsia="bg-BG"/>
        </w:rPr>
      </w:pPr>
    </w:p>
    <w:p w14:paraId="377E5EB7" w14:textId="253E1A00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 xml:space="preserve">Реновиа 20 </w:t>
      </w:r>
      <w:r w:rsidRPr="00B97F9B">
        <w:rPr>
          <w:lang w:val="en-US"/>
        </w:rPr>
        <w:t>mg</w:t>
      </w:r>
      <w:r w:rsidRPr="00B97F9B">
        <w:rPr>
          <w:lang w:val="ru-RU"/>
        </w:rPr>
        <w:t xml:space="preserve"> </w:t>
      </w:r>
      <w:r w:rsidRPr="00B97F9B">
        <w:rPr>
          <w:lang w:eastAsia="bg-BG"/>
        </w:rPr>
        <w:t>филмирани таблетки:</w:t>
      </w:r>
    </w:p>
    <w:p w14:paraId="06045CBD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Дата на първо разрешаване: 29.09.2005</w:t>
      </w:r>
    </w:p>
    <w:p w14:paraId="7066725C" w14:textId="77777777" w:rsidR="00B97F9B" w:rsidRPr="00B97F9B" w:rsidRDefault="00B97F9B" w:rsidP="00B97F9B">
      <w:pPr>
        <w:rPr>
          <w:sz w:val="24"/>
          <w:szCs w:val="24"/>
        </w:rPr>
      </w:pPr>
      <w:r w:rsidRPr="00B97F9B">
        <w:rPr>
          <w:lang w:eastAsia="bg-BG"/>
        </w:rPr>
        <w:t>Дата на последно подновяване: 24.03.2011</w:t>
      </w:r>
    </w:p>
    <w:p w14:paraId="56535675" w14:textId="77777777" w:rsidR="00B97F9B" w:rsidRPr="00B97F9B" w:rsidRDefault="00B97F9B" w:rsidP="00B97F9B"/>
    <w:p w14:paraId="43FB38A2" w14:textId="52199EC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0A9EB580" w14:textId="64D12802" w:rsidR="00B97F9B" w:rsidRPr="00B97F9B" w:rsidRDefault="00B97F9B" w:rsidP="00B97F9B">
      <w:r>
        <w:t>04/2021</w:t>
      </w:r>
      <w:bookmarkStart w:id="1" w:name="_GoBack"/>
      <w:bookmarkEnd w:id="1"/>
    </w:p>
    <w:sectPr w:rsidR="00B97F9B" w:rsidRPr="00B9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06B159F"/>
    <w:multiLevelType w:val="hybridMultilevel"/>
    <w:tmpl w:val="75862D20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72159"/>
    <w:multiLevelType w:val="hybridMultilevel"/>
    <w:tmpl w:val="03C29404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73CFD"/>
    <w:multiLevelType w:val="hybridMultilevel"/>
    <w:tmpl w:val="05FC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8"/>
  </w:num>
  <w:num w:numId="7">
    <w:abstractNumId w:val="13"/>
  </w:num>
  <w:num w:numId="8">
    <w:abstractNumId w:val="17"/>
  </w:num>
  <w:num w:numId="9">
    <w:abstractNumId w:val="2"/>
  </w:num>
  <w:num w:numId="10">
    <w:abstractNumId w:val="4"/>
  </w:num>
  <w:num w:numId="11">
    <w:abstractNumId w:val="33"/>
  </w:num>
  <w:num w:numId="12">
    <w:abstractNumId w:val="16"/>
  </w:num>
  <w:num w:numId="13">
    <w:abstractNumId w:val="21"/>
  </w:num>
  <w:num w:numId="14">
    <w:abstractNumId w:val="14"/>
  </w:num>
  <w:num w:numId="15">
    <w:abstractNumId w:val="32"/>
  </w:num>
  <w:num w:numId="16">
    <w:abstractNumId w:val="12"/>
  </w:num>
  <w:num w:numId="17">
    <w:abstractNumId w:val="26"/>
  </w:num>
  <w:num w:numId="18">
    <w:abstractNumId w:val="9"/>
  </w:num>
  <w:num w:numId="19">
    <w:abstractNumId w:val="28"/>
  </w:num>
  <w:num w:numId="20">
    <w:abstractNumId w:val="25"/>
  </w:num>
  <w:num w:numId="21">
    <w:abstractNumId w:val="19"/>
  </w:num>
  <w:num w:numId="22">
    <w:abstractNumId w:val="27"/>
  </w:num>
  <w:num w:numId="23">
    <w:abstractNumId w:val="20"/>
  </w:num>
  <w:num w:numId="24">
    <w:abstractNumId w:val="10"/>
  </w:num>
  <w:num w:numId="25">
    <w:abstractNumId w:val="24"/>
  </w:num>
  <w:num w:numId="26">
    <w:abstractNumId w:val="23"/>
  </w:num>
  <w:num w:numId="27">
    <w:abstractNumId w:val="34"/>
  </w:num>
  <w:num w:numId="28">
    <w:abstractNumId w:val="6"/>
  </w:num>
  <w:num w:numId="29">
    <w:abstractNumId w:val="22"/>
  </w:num>
  <w:num w:numId="30">
    <w:abstractNumId w:val="38"/>
  </w:num>
  <w:num w:numId="31">
    <w:abstractNumId w:val="5"/>
  </w:num>
  <w:num w:numId="32">
    <w:abstractNumId w:val="36"/>
  </w:num>
  <w:num w:numId="33">
    <w:abstractNumId w:val="30"/>
  </w:num>
  <w:num w:numId="34">
    <w:abstractNumId w:val="35"/>
  </w:num>
  <w:num w:numId="35">
    <w:abstractNumId w:val="8"/>
  </w:num>
  <w:num w:numId="36">
    <w:abstractNumId w:val="11"/>
  </w:num>
  <w:num w:numId="37">
    <w:abstractNumId w:val="31"/>
  </w:num>
  <w:num w:numId="38">
    <w:abstractNumId w:val="3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97F9B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3864</Words>
  <Characters>22025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2022-11-01T01:36:00Z</dcterms:created>
  <dcterms:modified xsi:type="dcterms:W3CDTF">2022-11-01T01:36:00Z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