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D404D31" w14:textId="77777777" w:rsidR="0067077E" w:rsidRPr="0067077E" w:rsidRDefault="0067077E" w:rsidP="0067077E">
      <w:pPr>
        <w:spacing w:line="240" w:lineRule="auto"/>
        <w:rPr>
          <w:rFonts w:ascii="Times New Roman" w:eastAsia="Times New Roman" w:hAnsi="Times New Roman" w:cs="Times New Roman"/>
          <w:sz w:val="24"/>
          <w:szCs w:val="24"/>
          <w:lang w:eastAsia="bg-BG"/>
        </w:rPr>
      </w:pPr>
    </w:p>
    <w:p w14:paraId="76DE1A14" w14:textId="77777777" w:rsidR="0067077E" w:rsidRPr="0067077E" w:rsidRDefault="0067077E" w:rsidP="0067077E">
      <w:pPr>
        <w:spacing w:line="240" w:lineRule="auto"/>
        <w:rPr>
          <w:rFonts w:eastAsia="Times New Roman" w:cs="Arial"/>
          <w:lang w:eastAsia="bg-BG"/>
        </w:rPr>
      </w:pPr>
      <w:bookmarkStart w:id="1" w:name="bookmark0"/>
      <w:bookmarkEnd w:id="1"/>
      <w:r w:rsidRPr="0067077E">
        <w:rPr>
          <w:rFonts w:eastAsia="Times New Roman" w:cs="Arial"/>
          <w:color w:val="000000"/>
          <w:lang w:eastAsia="bg-BG"/>
        </w:rPr>
        <w:t xml:space="preserve">Репарил 20 </w:t>
      </w:r>
      <w:r w:rsidRPr="0067077E">
        <w:rPr>
          <w:rFonts w:eastAsia="Times New Roman" w:cs="Arial"/>
          <w:color w:val="000000"/>
          <w:lang w:val="en-US"/>
        </w:rPr>
        <w:t xml:space="preserve">mg </w:t>
      </w:r>
      <w:r w:rsidRPr="0067077E">
        <w:rPr>
          <w:rFonts w:eastAsia="Times New Roman" w:cs="Arial"/>
          <w:color w:val="000000"/>
          <w:lang w:eastAsia="bg-BG"/>
        </w:rPr>
        <w:t>стомашно-устойчиви таблетки</w:t>
      </w:r>
    </w:p>
    <w:p w14:paraId="69AC8148" w14:textId="419B63D5" w:rsidR="00EC41ED" w:rsidRPr="0067077E" w:rsidRDefault="0067077E" w:rsidP="0067077E">
      <w:pPr>
        <w:rPr>
          <w:rFonts w:cs="Arial"/>
        </w:rPr>
      </w:pPr>
      <w:proofErr w:type="spellStart"/>
      <w:r w:rsidRPr="0067077E">
        <w:rPr>
          <w:rFonts w:eastAsia="Times New Roman" w:cs="Arial"/>
          <w:color w:val="000000"/>
          <w:lang w:val="en-US"/>
        </w:rPr>
        <w:t>Reparil</w:t>
      </w:r>
      <w:proofErr w:type="spellEnd"/>
      <w:r w:rsidRPr="0067077E">
        <w:rPr>
          <w:rFonts w:eastAsia="Times New Roman" w:cs="Arial"/>
          <w:color w:val="000000"/>
          <w:lang w:val="en-US"/>
        </w:rPr>
        <w:t xml:space="preserve"> </w:t>
      </w:r>
      <w:r w:rsidRPr="0067077E">
        <w:rPr>
          <w:rFonts w:eastAsia="Times New Roman" w:cs="Arial"/>
          <w:color w:val="000000"/>
          <w:lang w:eastAsia="bg-BG"/>
        </w:rPr>
        <w:t xml:space="preserve">20 </w:t>
      </w:r>
      <w:r w:rsidRPr="0067077E">
        <w:rPr>
          <w:rFonts w:eastAsia="Times New Roman" w:cs="Arial"/>
          <w:color w:val="000000"/>
          <w:lang w:val="en-US"/>
        </w:rPr>
        <w:t>mg gastro-resistant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183B3FF"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 xml:space="preserve">Една стомашно-устойчива таблетка съдържа 20 </w:t>
      </w:r>
      <w:r w:rsidRPr="0067077E">
        <w:rPr>
          <w:rFonts w:eastAsia="Times New Roman" w:cs="Arial"/>
          <w:color w:val="000000"/>
          <w:lang w:val="en-US"/>
        </w:rPr>
        <w:t xml:space="preserve">mg </w:t>
      </w:r>
      <w:r w:rsidRPr="0067077E">
        <w:rPr>
          <w:rFonts w:eastAsia="Times New Roman" w:cs="Arial"/>
          <w:color w:val="000000"/>
          <w:lang w:eastAsia="bg-BG"/>
        </w:rPr>
        <w:t xml:space="preserve">Есцин </w:t>
      </w:r>
      <w:r w:rsidRPr="0067077E">
        <w:rPr>
          <w:rFonts w:eastAsia="Times New Roman" w:cs="Arial"/>
          <w:color w:val="000000"/>
          <w:lang w:val="en-US"/>
        </w:rPr>
        <w:t>(</w:t>
      </w:r>
      <w:proofErr w:type="spellStart"/>
      <w:r w:rsidRPr="0067077E">
        <w:rPr>
          <w:rFonts w:eastAsia="Times New Roman" w:cs="Arial"/>
          <w:color w:val="000000"/>
          <w:lang w:val="en-US"/>
        </w:rPr>
        <w:t>Aescin</w:t>
      </w:r>
      <w:proofErr w:type="spellEnd"/>
      <w:r w:rsidRPr="0067077E">
        <w:rPr>
          <w:rFonts w:eastAsia="Times New Roman" w:cs="Arial"/>
          <w:color w:val="000000"/>
          <w:lang w:val="en-US"/>
        </w:rPr>
        <w:t>).</w:t>
      </w:r>
    </w:p>
    <w:p w14:paraId="41D5A73B" w14:textId="77777777" w:rsidR="0067077E" w:rsidRPr="0067077E" w:rsidRDefault="0067077E" w:rsidP="0067077E">
      <w:pPr>
        <w:rPr>
          <w:rFonts w:eastAsia="Times New Roman" w:cs="Arial"/>
          <w:color w:val="000000"/>
          <w:lang w:eastAsia="bg-BG"/>
        </w:rPr>
      </w:pPr>
    </w:p>
    <w:p w14:paraId="54632B43" w14:textId="6B15E3EB" w:rsidR="00EC41ED" w:rsidRPr="0067077E" w:rsidRDefault="0067077E" w:rsidP="0067077E">
      <w:pPr>
        <w:rPr>
          <w:rFonts w:cs="Arial"/>
        </w:rPr>
      </w:pPr>
      <w:r w:rsidRPr="0067077E">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43244F0" w14:textId="23A60768" w:rsidR="00EC41ED" w:rsidRPr="0067077E" w:rsidRDefault="0067077E" w:rsidP="0091385D">
      <w:pPr>
        <w:rPr>
          <w:rFonts w:cs="Arial"/>
        </w:rPr>
      </w:pPr>
      <w:r w:rsidRPr="0067077E">
        <w:rPr>
          <w:rFonts w:cs="Arial"/>
        </w:rPr>
        <w:t>Стомашно-устойчиви таблетки.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67077E" w:rsidRDefault="0091385D" w:rsidP="0091385D">
      <w:pPr>
        <w:rPr>
          <w:lang w:val="en-US"/>
        </w:rPr>
      </w:pPr>
      <w:bookmarkStart w:id="2" w:name="_GoBack"/>
      <w:bookmarkEnd w:id="2"/>
    </w:p>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28AEF027" w:rsidR="0091385D" w:rsidRPr="0067077E" w:rsidRDefault="0067077E" w:rsidP="0091385D">
      <w:pPr>
        <w:rPr>
          <w:rFonts w:cs="Arial"/>
        </w:rPr>
      </w:pPr>
      <w:r w:rsidRPr="0067077E">
        <w:rPr>
          <w:rFonts w:cs="Arial"/>
        </w:rPr>
        <w:t>Локализирани отоци след травми.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2DBBA42F"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Възрастни и юноши над 14 години приемат като начална доза 2 таблетки 3 пъти дневно, като поддържаща доза или в по-леки случаи -1 таблетка 3 пъти дневно без да се дъвче, след хранене с малко течност.</w:t>
      </w:r>
    </w:p>
    <w:p w14:paraId="7FBF1BCE" w14:textId="129662F6" w:rsidR="00EC41ED" w:rsidRPr="0067077E" w:rsidRDefault="0067077E" w:rsidP="0067077E">
      <w:pPr>
        <w:rPr>
          <w:rFonts w:cs="Arial"/>
        </w:rPr>
      </w:pPr>
      <w:r w:rsidRPr="0067077E">
        <w:rPr>
          <w:rFonts w:eastAsia="Times New Roman" w:cs="Arial"/>
          <w:color w:val="000000"/>
          <w:lang w:eastAsia="bg-BG"/>
        </w:rPr>
        <w:t>Деца между 7 и 14 години приемат 1 таблетка 2 до 3 пъти дневно, без да се дъвче, след хранене с малко течност.</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5D0C8F26" w14:textId="77777777" w:rsidR="0067077E" w:rsidRDefault="0067077E" w:rsidP="0091385D">
      <w:r>
        <w:rPr>
          <w:i/>
          <w:iCs/>
        </w:rPr>
        <w:t>Репарил</w:t>
      </w:r>
      <w:r>
        <w:t xml:space="preserve"> стомашно-устойчиви таблетки не трябва да се употребяват </w:t>
      </w:r>
    </w:p>
    <w:p w14:paraId="28D483CD" w14:textId="77777777" w:rsidR="0067077E" w:rsidRDefault="0067077E" w:rsidP="0091385D">
      <w:pPr>
        <w:pStyle w:val="ListParagraph"/>
        <w:numPr>
          <w:ilvl w:val="0"/>
          <w:numId w:val="36"/>
        </w:numPr>
      </w:pPr>
      <w:r>
        <w:t xml:space="preserve">при доказана алергия към есцин или някоя от другите съставки, </w:t>
      </w:r>
    </w:p>
    <w:p w14:paraId="441F9B56" w14:textId="77777777" w:rsidR="0067077E" w:rsidRDefault="0067077E" w:rsidP="0091385D">
      <w:pPr>
        <w:pStyle w:val="ListParagraph"/>
        <w:numPr>
          <w:ilvl w:val="0"/>
          <w:numId w:val="36"/>
        </w:numPr>
      </w:pPr>
      <w:r>
        <w:t xml:space="preserve">при бъбречна недостатъчност, или заболя вания на бъбреците </w:t>
      </w:r>
    </w:p>
    <w:p w14:paraId="030B6A4D" w14:textId="1D5795EE" w:rsidR="00EC41ED" w:rsidRDefault="0067077E" w:rsidP="0091385D">
      <w:pPr>
        <w:pStyle w:val="ListParagraph"/>
        <w:numPr>
          <w:ilvl w:val="0"/>
          <w:numId w:val="36"/>
        </w:numPr>
      </w:pPr>
      <w:r>
        <w:t>при бременност и кърмене</w:t>
      </w:r>
    </w:p>
    <w:p w14:paraId="31B39DC6" w14:textId="77777777" w:rsidR="0091385D" w:rsidRPr="0091385D" w:rsidRDefault="0091385D" w:rsidP="0091385D"/>
    <w:p w14:paraId="212F509C" w14:textId="52B87D4F" w:rsidR="004F498A" w:rsidRDefault="002C50EE" w:rsidP="004A448E">
      <w:pPr>
        <w:pStyle w:val="Heading2"/>
      </w:pPr>
      <w:r>
        <w:lastRenderedPageBreak/>
        <w:t>4.4. Специални предупреждения и предпазни мерки при употреба</w:t>
      </w:r>
    </w:p>
    <w:p w14:paraId="0AAC2B60" w14:textId="1E0703C7" w:rsidR="0091385D" w:rsidRDefault="0091385D" w:rsidP="0091385D"/>
    <w:p w14:paraId="3FA670EB"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 xml:space="preserve">Пациенти с рядко срещани наследствени проблеми на непоносимост към галактоза и фруктоза, пълен лактазен дефицит, глюкозо-галактозна малабсорбция, непоносимост към фруктоза или недостиг на захараза-изомалтаза, не трябва да употребяват </w:t>
      </w:r>
      <w:r w:rsidRPr="0067077E">
        <w:rPr>
          <w:rFonts w:eastAsia="Times New Roman" w:cs="Arial"/>
          <w:i/>
          <w:iCs/>
          <w:color w:val="000000"/>
          <w:lang w:eastAsia="bg-BG"/>
        </w:rPr>
        <w:t>Репарил</w:t>
      </w:r>
      <w:r w:rsidRPr="0067077E">
        <w:rPr>
          <w:rFonts w:eastAsia="Times New Roman" w:cs="Arial"/>
          <w:color w:val="000000"/>
          <w:lang w:eastAsia="bg-BG"/>
        </w:rPr>
        <w:t xml:space="preserve"> стомашно-устойчиви таблетки.</w:t>
      </w:r>
    </w:p>
    <w:p w14:paraId="28477B9C" w14:textId="77777777" w:rsidR="0067077E" w:rsidRPr="0067077E" w:rsidRDefault="0067077E" w:rsidP="0067077E">
      <w:pPr>
        <w:spacing w:line="240" w:lineRule="auto"/>
        <w:rPr>
          <w:rFonts w:eastAsia="Times New Roman" w:cs="Arial"/>
          <w:i/>
          <w:iCs/>
          <w:color w:val="000000"/>
          <w:lang w:eastAsia="bg-BG"/>
        </w:rPr>
      </w:pPr>
    </w:p>
    <w:p w14:paraId="6F46B332" w14:textId="18E1C4CC" w:rsidR="0067077E" w:rsidRPr="0067077E" w:rsidRDefault="0067077E" w:rsidP="0067077E">
      <w:pPr>
        <w:spacing w:line="240" w:lineRule="auto"/>
        <w:rPr>
          <w:rFonts w:eastAsia="Times New Roman" w:cs="Arial"/>
          <w:lang w:eastAsia="bg-BG"/>
        </w:rPr>
      </w:pPr>
      <w:r w:rsidRPr="0067077E">
        <w:rPr>
          <w:rFonts w:eastAsia="Times New Roman" w:cs="Arial"/>
          <w:i/>
          <w:iCs/>
          <w:color w:val="000000"/>
          <w:lang w:eastAsia="bg-BG"/>
        </w:rPr>
        <w:t>Репарил</w:t>
      </w:r>
      <w:r w:rsidRPr="0067077E">
        <w:rPr>
          <w:rFonts w:eastAsia="Times New Roman" w:cs="Arial"/>
          <w:color w:val="000000"/>
          <w:lang w:eastAsia="bg-BG"/>
        </w:rPr>
        <w:t xml:space="preserve"> стомашно-устойчиви таблетки съдържа по малко от 1 </w:t>
      </w:r>
      <w:proofErr w:type="spellStart"/>
      <w:r w:rsidRPr="0067077E">
        <w:rPr>
          <w:rFonts w:eastAsia="Times New Roman" w:cs="Arial"/>
          <w:color w:val="000000"/>
          <w:lang w:val="en-US"/>
        </w:rPr>
        <w:t>mmol</w:t>
      </w:r>
      <w:proofErr w:type="spellEnd"/>
      <w:r w:rsidRPr="0067077E">
        <w:rPr>
          <w:rFonts w:eastAsia="Times New Roman" w:cs="Arial"/>
          <w:color w:val="000000"/>
          <w:lang w:val="en-US"/>
        </w:rPr>
        <w:t xml:space="preserve"> </w:t>
      </w:r>
      <w:r w:rsidRPr="0067077E">
        <w:rPr>
          <w:rFonts w:eastAsia="Times New Roman" w:cs="Arial"/>
          <w:color w:val="000000"/>
          <w:lang w:eastAsia="bg-BG"/>
        </w:rPr>
        <w:t xml:space="preserve">натрий (23 </w:t>
      </w:r>
      <w:r w:rsidRPr="0067077E">
        <w:rPr>
          <w:rFonts w:eastAsia="Times New Roman" w:cs="Arial"/>
          <w:color w:val="000000"/>
          <w:lang w:val="en-US"/>
        </w:rPr>
        <w:t xml:space="preserve">mg) </w:t>
      </w:r>
      <w:r w:rsidRPr="0067077E">
        <w:rPr>
          <w:rFonts w:eastAsia="Times New Roman" w:cs="Arial"/>
          <w:color w:val="000000"/>
          <w:lang w:eastAsia="bg-BG"/>
        </w:rPr>
        <w:t>за таблетка, т.е. практически не съдържа натрий.</w:t>
      </w:r>
    </w:p>
    <w:p w14:paraId="010DECB3" w14:textId="77777777" w:rsidR="0067077E" w:rsidRPr="0067077E" w:rsidRDefault="0067077E" w:rsidP="0067077E">
      <w:pPr>
        <w:rPr>
          <w:rFonts w:eastAsia="Times New Roman" w:cs="Arial"/>
          <w:i/>
          <w:iCs/>
          <w:color w:val="000000"/>
          <w:lang w:eastAsia="bg-BG"/>
        </w:rPr>
      </w:pPr>
    </w:p>
    <w:p w14:paraId="0E28BBDE" w14:textId="595DDDAC" w:rsidR="007A2185" w:rsidRPr="0067077E" w:rsidRDefault="0067077E" w:rsidP="0067077E">
      <w:pPr>
        <w:rPr>
          <w:rFonts w:cs="Arial"/>
        </w:rPr>
      </w:pPr>
      <w:r w:rsidRPr="0067077E">
        <w:rPr>
          <w:rFonts w:eastAsia="Times New Roman" w:cs="Arial"/>
          <w:i/>
          <w:iCs/>
          <w:color w:val="000000"/>
          <w:lang w:eastAsia="bg-BG"/>
        </w:rPr>
        <w:t>Репарил</w:t>
      </w:r>
      <w:r w:rsidRPr="0067077E">
        <w:rPr>
          <w:rFonts w:eastAsia="Times New Roman" w:cs="Arial"/>
          <w:color w:val="000000"/>
          <w:lang w:eastAsia="bg-BG"/>
        </w:rPr>
        <w:t xml:space="preserve"> стомашно-устойчиви таблетки е противопоказан при деца под 7 години.</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051365BC"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Действието на антикоагулантите може да се засили от есцина.</w:t>
      </w:r>
    </w:p>
    <w:p w14:paraId="5B2761C5" w14:textId="0CA0BB64" w:rsidR="0091385D" w:rsidRPr="0067077E" w:rsidRDefault="0067077E" w:rsidP="0067077E">
      <w:pPr>
        <w:rPr>
          <w:rFonts w:eastAsia="Times New Roman" w:cs="Arial"/>
          <w:color w:val="000000"/>
          <w:lang w:eastAsia="bg-BG"/>
        </w:rPr>
      </w:pPr>
      <w:r w:rsidRPr="0067077E">
        <w:rPr>
          <w:rFonts w:eastAsia="Times New Roman" w:cs="Arial"/>
          <w:color w:val="000000"/>
          <w:lang w:eastAsia="bg-BG"/>
        </w:rPr>
        <w:t>Едновременната употреба с антибиотици от аминогликозиден тип (напр. гентамицин)</w:t>
      </w:r>
      <w:r w:rsidRPr="0067077E">
        <w:rPr>
          <w:rFonts w:eastAsia="Times New Roman" w:cs="Arial"/>
          <w:color w:val="000000"/>
          <w:lang w:val="en-US"/>
        </w:rPr>
        <w:t xml:space="preserve"> </w:t>
      </w:r>
      <w:r w:rsidRPr="0067077E">
        <w:rPr>
          <w:rFonts w:eastAsia="Times New Roman" w:cs="Arial"/>
          <w:color w:val="000000"/>
          <w:lang w:eastAsia="bg-BG"/>
        </w:rPr>
        <w:t>трябва да се избягва, защото не може напълно да се изключи възможността тяхната нефротоксичност да се засили.</w:t>
      </w:r>
    </w:p>
    <w:p w14:paraId="0D419704" w14:textId="284B23F6" w:rsidR="0067077E" w:rsidRPr="0067077E" w:rsidRDefault="0067077E" w:rsidP="0067077E">
      <w:pPr>
        <w:rPr>
          <w:rFonts w:eastAsia="Times New Roman" w:cs="Arial"/>
          <w:color w:val="000000"/>
          <w:lang w:eastAsia="bg-BG"/>
        </w:rPr>
      </w:pPr>
    </w:p>
    <w:p w14:paraId="0764B7A7"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Свързването на есцина с плазмените протеини може да бъде инхибирано от антибиотици. Цефалотин и ампицилин, например, предизвикват повишаване на концентрацията на свободния серумен есцин.</w:t>
      </w:r>
    </w:p>
    <w:p w14:paraId="65AF4DFC" w14:textId="3DE62AA7" w:rsidR="0067077E" w:rsidRPr="0067077E" w:rsidRDefault="0067077E" w:rsidP="0067077E">
      <w:pPr>
        <w:rPr>
          <w:rFonts w:cs="Arial"/>
        </w:rPr>
      </w:pPr>
      <w:r w:rsidRPr="0067077E">
        <w:rPr>
          <w:rFonts w:eastAsia="Times New Roman" w:cs="Arial"/>
          <w:color w:val="000000"/>
          <w:lang w:eastAsia="bg-BG"/>
        </w:rPr>
        <w:t xml:space="preserve">Поради това споменатите субстнации не трябва да се предписват едновременно с </w:t>
      </w:r>
      <w:r w:rsidRPr="0067077E">
        <w:rPr>
          <w:rFonts w:eastAsia="Times New Roman" w:cs="Arial"/>
          <w:i/>
          <w:iCs/>
          <w:color w:val="000000"/>
          <w:lang w:eastAsia="bg-BG"/>
        </w:rPr>
        <w:t>Репарил</w:t>
      </w:r>
      <w:r w:rsidRPr="0067077E">
        <w:rPr>
          <w:rFonts w:eastAsia="Times New Roman" w:cs="Arial"/>
          <w:color w:val="000000"/>
          <w:lang w:eastAsia="bg-BG"/>
        </w:rPr>
        <w:t xml:space="preserve"> стомашно- устойчиви таблетки.</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Pr="0067077E" w:rsidRDefault="0091385D" w:rsidP="0091385D">
      <w:pPr>
        <w:rPr>
          <w:rFonts w:cs="Arial"/>
        </w:rPr>
      </w:pPr>
    </w:p>
    <w:p w14:paraId="102F0D07" w14:textId="1F9FE771" w:rsidR="007A2185" w:rsidRPr="0067077E" w:rsidRDefault="0067077E" w:rsidP="0091385D">
      <w:pPr>
        <w:rPr>
          <w:rFonts w:cs="Arial"/>
        </w:rPr>
      </w:pPr>
      <w:r w:rsidRPr="0067077E">
        <w:rPr>
          <w:rFonts w:cs="Arial"/>
          <w:i/>
          <w:iCs/>
        </w:rPr>
        <w:t>Репарил</w:t>
      </w:r>
      <w:r w:rsidRPr="0067077E">
        <w:rPr>
          <w:rFonts w:cs="Arial"/>
        </w:rPr>
        <w:t xml:space="preserve"> стомашно-устойчиви таблетки не трябва да се употребява по време на бременност, защото изследванията при животни са недостатъчни и няма достатъчно данни за употребата на есцин от бременни. Тъй като не се знае до каква степен активното вещество преминава в кърмата, кърменето е противопоказано по време на лечението.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4B796CC6" w:rsidR="007A2185" w:rsidRPr="0067077E" w:rsidRDefault="0067077E" w:rsidP="0091385D">
      <w:pPr>
        <w:rPr>
          <w:rFonts w:cs="Arial"/>
        </w:rPr>
      </w:pPr>
      <w:r w:rsidRPr="0067077E">
        <w:rPr>
          <w:rFonts w:cs="Arial"/>
        </w:rPr>
        <w:t>Няма ограничения.</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tbl>
      <w:tblPr>
        <w:tblStyle w:val="TableGrid"/>
        <w:tblW w:w="0" w:type="auto"/>
        <w:tblLook w:val="04A0" w:firstRow="1" w:lastRow="0" w:firstColumn="1" w:lastColumn="0" w:noHBand="0" w:noVBand="1"/>
      </w:tblPr>
      <w:tblGrid>
        <w:gridCol w:w="4675"/>
        <w:gridCol w:w="4675"/>
      </w:tblGrid>
      <w:tr w:rsidR="0067077E" w:rsidRPr="0067077E" w14:paraId="00F000BC" w14:textId="77777777" w:rsidTr="000C705D">
        <w:tc>
          <w:tcPr>
            <w:tcW w:w="9350" w:type="dxa"/>
            <w:gridSpan w:val="2"/>
          </w:tcPr>
          <w:p w14:paraId="6D661993" w14:textId="3FD3875E" w:rsidR="0067077E" w:rsidRPr="0067077E" w:rsidRDefault="0067077E" w:rsidP="0091385D">
            <w:pPr>
              <w:rPr>
                <w:rFonts w:cs="Arial"/>
              </w:rPr>
            </w:pPr>
            <w:r w:rsidRPr="0067077E">
              <w:rPr>
                <w:rFonts w:cs="Arial"/>
              </w:rPr>
              <w:t>И</w:t>
            </w:r>
            <w:r w:rsidRPr="0067077E">
              <w:rPr>
                <w:rFonts w:cs="Arial"/>
              </w:rPr>
              <w:t>зползват се следните термини за определяне честотата на тези реакции:</w:t>
            </w:r>
          </w:p>
        </w:tc>
      </w:tr>
      <w:tr w:rsidR="0067077E" w:rsidRPr="0067077E" w14:paraId="6C59CC97" w14:textId="77777777" w:rsidTr="0067077E">
        <w:tc>
          <w:tcPr>
            <w:tcW w:w="4675" w:type="dxa"/>
          </w:tcPr>
          <w:p w14:paraId="1258E82B" w14:textId="646E824D" w:rsidR="0067077E" w:rsidRPr="0067077E" w:rsidRDefault="0067077E" w:rsidP="0067077E">
            <w:pPr>
              <w:rPr>
                <w:rFonts w:cs="Arial"/>
              </w:rPr>
            </w:pPr>
            <w:r w:rsidRPr="0067077E">
              <w:rPr>
                <w:rFonts w:cs="Arial"/>
              </w:rPr>
              <w:t>Много чести</w:t>
            </w:r>
          </w:p>
        </w:tc>
        <w:tc>
          <w:tcPr>
            <w:tcW w:w="4675" w:type="dxa"/>
          </w:tcPr>
          <w:p w14:paraId="77CF721D" w14:textId="7E89BC01" w:rsidR="0067077E" w:rsidRPr="0067077E" w:rsidRDefault="0067077E" w:rsidP="0067077E">
            <w:pPr>
              <w:rPr>
                <w:rFonts w:cs="Arial"/>
              </w:rPr>
            </w:pPr>
            <w:r w:rsidRPr="0067077E">
              <w:rPr>
                <w:rFonts w:cs="Arial"/>
              </w:rPr>
              <w:t>≥1/10</w:t>
            </w:r>
          </w:p>
        </w:tc>
      </w:tr>
      <w:tr w:rsidR="0067077E" w:rsidRPr="0067077E" w14:paraId="08F862AA" w14:textId="77777777" w:rsidTr="0067077E">
        <w:tc>
          <w:tcPr>
            <w:tcW w:w="4675" w:type="dxa"/>
          </w:tcPr>
          <w:p w14:paraId="4C0A9D70" w14:textId="04FE721F" w:rsidR="0067077E" w:rsidRPr="0067077E" w:rsidRDefault="0067077E" w:rsidP="0067077E">
            <w:pPr>
              <w:rPr>
                <w:rFonts w:cs="Arial"/>
              </w:rPr>
            </w:pPr>
            <w:r w:rsidRPr="0067077E">
              <w:rPr>
                <w:rFonts w:cs="Arial"/>
              </w:rPr>
              <w:t>Чести</w:t>
            </w:r>
          </w:p>
        </w:tc>
        <w:tc>
          <w:tcPr>
            <w:tcW w:w="4675" w:type="dxa"/>
          </w:tcPr>
          <w:p w14:paraId="4E46B0C5" w14:textId="306CB733" w:rsidR="0067077E" w:rsidRPr="0067077E" w:rsidRDefault="0067077E" w:rsidP="0067077E">
            <w:pPr>
              <w:rPr>
                <w:rFonts w:cs="Arial"/>
              </w:rPr>
            </w:pPr>
            <w:r w:rsidRPr="0067077E">
              <w:rPr>
                <w:rFonts w:cs="Arial"/>
              </w:rPr>
              <w:t>≥1/100 -&lt; 1/10</w:t>
            </w:r>
          </w:p>
        </w:tc>
      </w:tr>
      <w:tr w:rsidR="0067077E" w:rsidRPr="0067077E" w14:paraId="23648CBF" w14:textId="77777777" w:rsidTr="0067077E">
        <w:tc>
          <w:tcPr>
            <w:tcW w:w="4675" w:type="dxa"/>
          </w:tcPr>
          <w:p w14:paraId="3BEDD938" w14:textId="55BCF23F" w:rsidR="0067077E" w:rsidRPr="0067077E" w:rsidRDefault="0067077E" w:rsidP="0067077E">
            <w:pPr>
              <w:rPr>
                <w:rFonts w:cs="Arial"/>
              </w:rPr>
            </w:pPr>
            <w:r w:rsidRPr="0067077E">
              <w:rPr>
                <w:rFonts w:cs="Arial"/>
              </w:rPr>
              <w:t>Нечести</w:t>
            </w:r>
          </w:p>
        </w:tc>
        <w:tc>
          <w:tcPr>
            <w:tcW w:w="4675" w:type="dxa"/>
          </w:tcPr>
          <w:p w14:paraId="2EB2FB6F" w14:textId="4CA6491B" w:rsidR="0067077E" w:rsidRPr="0067077E" w:rsidRDefault="0067077E" w:rsidP="0067077E">
            <w:pPr>
              <w:rPr>
                <w:rFonts w:cs="Arial"/>
              </w:rPr>
            </w:pPr>
            <w:r w:rsidRPr="0067077E">
              <w:rPr>
                <w:rFonts w:cs="Arial"/>
              </w:rPr>
              <w:t>≥1/1,000 -&lt;1/100</w:t>
            </w:r>
          </w:p>
        </w:tc>
      </w:tr>
      <w:tr w:rsidR="0067077E" w:rsidRPr="0067077E" w14:paraId="7D743118" w14:textId="77777777" w:rsidTr="0067077E">
        <w:tc>
          <w:tcPr>
            <w:tcW w:w="4675" w:type="dxa"/>
          </w:tcPr>
          <w:p w14:paraId="6378306F" w14:textId="224F7211" w:rsidR="0067077E" w:rsidRPr="0067077E" w:rsidRDefault="0067077E" w:rsidP="0067077E">
            <w:pPr>
              <w:rPr>
                <w:rFonts w:cs="Arial"/>
              </w:rPr>
            </w:pPr>
            <w:r w:rsidRPr="0067077E">
              <w:rPr>
                <w:rFonts w:cs="Arial"/>
              </w:rPr>
              <w:t>Редки</w:t>
            </w:r>
          </w:p>
        </w:tc>
        <w:tc>
          <w:tcPr>
            <w:tcW w:w="4675" w:type="dxa"/>
          </w:tcPr>
          <w:p w14:paraId="14E7033E" w14:textId="5CD7C72C" w:rsidR="0067077E" w:rsidRPr="0067077E" w:rsidRDefault="0067077E" w:rsidP="0067077E">
            <w:pPr>
              <w:rPr>
                <w:rFonts w:cs="Arial"/>
              </w:rPr>
            </w:pPr>
            <w:r w:rsidRPr="0067077E">
              <w:rPr>
                <w:rFonts w:cs="Arial"/>
              </w:rPr>
              <w:t>≥1/10,000-&lt;1/1,000</w:t>
            </w:r>
          </w:p>
        </w:tc>
      </w:tr>
      <w:tr w:rsidR="0067077E" w:rsidRPr="0067077E" w14:paraId="1DA60096" w14:textId="77777777" w:rsidTr="0067077E">
        <w:tc>
          <w:tcPr>
            <w:tcW w:w="4675" w:type="dxa"/>
          </w:tcPr>
          <w:p w14:paraId="6D8C622C" w14:textId="5D00CA62" w:rsidR="0067077E" w:rsidRPr="0067077E" w:rsidRDefault="0067077E" w:rsidP="0067077E">
            <w:pPr>
              <w:rPr>
                <w:rFonts w:cs="Arial"/>
              </w:rPr>
            </w:pPr>
            <w:r w:rsidRPr="0067077E">
              <w:rPr>
                <w:rFonts w:cs="Arial"/>
              </w:rPr>
              <w:t>Много редки</w:t>
            </w:r>
          </w:p>
        </w:tc>
        <w:tc>
          <w:tcPr>
            <w:tcW w:w="4675" w:type="dxa"/>
          </w:tcPr>
          <w:p w14:paraId="3D9F26F3" w14:textId="026104EC" w:rsidR="0067077E" w:rsidRPr="0067077E" w:rsidRDefault="0067077E" w:rsidP="0067077E">
            <w:pPr>
              <w:rPr>
                <w:rFonts w:cs="Arial"/>
              </w:rPr>
            </w:pPr>
            <w:r w:rsidRPr="0067077E">
              <w:rPr>
                <w:rFonts w:cs="Arial"/>
              </w:rPr>
              <w:t>&lt; от 1/10,000</w:t>
            </w:r>
          </w:p>
        </w:tc>
      </w:tr>
      <w:tr w:rsidR="0067077E" w:rsidRPr="0067077E" w14:paraId="7B8BB6BC" w14:textId="77777777" w:rsidTr="0067077E">
        <w:tc>
          <w:tcPr>
            <w:tcW w:w="4675" w:type="dxa"/>
          </w:tcPr>
          <w:p w14:paraId="047138D6" w14:textId="5F0673C0" w:rsidR="0067077E" w:rsidRPr="0067077E" w:rsidRDefault="0067077E" w:rsidP="0067077E">
            <w:pPr>
              <w:rPr>
                <w:rFonts w:cs="Arial"/>
              </w:rPr>
            </w:pPr>
            <w:r w:rsidRPr="0067077E">
              <w:rPr>
                <w:rFonts w:cs="Arial"/>
              </w:rPr>
              <w:lastRenderedPageBreak/>
              <w:t>Неизвестна</w:t>
            </w:r>
          </w:p>
        </w:tc>
        <w:tc>
          <w:tcPr>
            <w:tcW w:w="4675" w:type="dxa"/>
          </w:tcPr>
          <w:p w14:paraId="069E2204" w14:textId="1593786D" w:rsidR="0067077E" w:rsidRPr="0067077E" w:rsidRDefault="0067077E" w:rsidP="0067077E">
            <w:pPr>
              <w:rPr>
                <w:rFonts w:cs="Arial"/>
              </w:rPr>
            </w:pPr>
            <w:r w:rsidRPr="0067077E">
              <w:rPr>
                <w:rFonts w:cs="Arial"/>
              </w:rPr>
              <w:t>не може да бъде преценена от наличните данни</w:t>
            </w:r>
          </w:p>
        </w:tc>
      </w:tr>
    </w:tbl>
    <w:p w14:paraId="0254AACC" w14:textId="77777777" w:rsidR="007A2185" w:rsidRPr="0067077E" w:rsidRDefault="007A2185" w:rsidP="0091385D">
      <w:pPr>
        <w:rPr>
          <w:rFonts w:cs="Arial"/>
        </w:rPr>
      </w:pPr>
    </w:p>
    <w:p w14:paraId="303D02D9"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При Репарил стомашно-устойчиви таблетки е съобщено за следните нежелани реакции:</w:t>
      </w:r>
    </w:p>
    <w:p w14:paraId="2FA302CB" w14:textId="77777777" w:rsidR="0067077E" w:rsidRPr="0067077E" w:rsidRDefault="0067077E" w:rsidP="0067077E">
      <w:pPr>
        <w:spacing w:line="240" w:lineRule="auto"/>
        <w:rPr>
          <w:rFonts w:eastAsia="Times New Roman" w:cs="Arial"/>
          <w:lang w:eastAsia="bg-BG"/>
        </w:rPr>
      </w:pPr>
      <w:r w:rsidRPr="0067077E">
        <w:rPr>
          <w:rFonts w:eastAsia="Times New Roman" w:cs="Arial"/>
          <w:i/>
          <w:iCs/>
          <w:color w:val="000000"/>
          <w:lang w:eastAsia="bg-BG"/>
        </w:rPr>
        <w:t>Смущения в имунната система:</w:t>
      </w:r>
    </w:p>
    <w:p w14:paraId="1BAEF5EC"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Много редки: реакции на свръхчувствителност (напр. уртикария).</w:t>
      </w:r>
    </w:p>
    <w:p w14:paraId="221D1FD9" w14:textId="77777777" w:rsidR="0067077E" w:rsidRPr="0067077E" w:rsidRDefault="0067077E" w:rsidP="0067077E">
      <w:pPr>
        <w:spacing w:line="240" w:lineRule="auto"/>
        <w:rPr>
          <w:rFonts w:eastAsia="Times New Roman" w:cs="Arial"/>
          <w:lang w:eastAsia="bg-BG"/>
        </w:rPr>
      </w:pPr>
      <w:r w:rsidRPr="0067077E">
        <w:rPr>
          <w:rFonts w:eastAsia="Times New Roman" w:cs="Arial"/>
          <w:i/>
          <w:iCs/>
          <w:color w:val="000000"/>
          <w:lang w:eastAsia="bg-BG"/>
        </w:rPr>
        <w:t>Нарушения на стомашно-чревния тракт:</w:t>
      </w:r>
    </w:p>
    <w:p w14:paraId="525B9BC0"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С неизвестна честота: стомашно - чревни смущения..</w:t>
      </w:r>
    </w:p>
    <w:p w14:paraId="1F72FF60"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Ако се проявят реакции на свръхчувствителност приемането на Репарил трябва да се спре.</w:t>
      </w:r>
    </w:p>
    <w:p w14:paraId="77F666E5" w14:textId="77777777" w:rsidR="0067077E" w:rsidRPr="0067077E" w:rsidRDefault="0067077E" w:rsidP="0067077E">
      <w:pPr>
        <w:spacing w:line="240" w:lineRule="auto"/>
        <w:rPr>
          <w:rFonts w:eastAsia="Times New Roman" w:cs="Arial"/>
          <w:color w:val="000000"/>
          <w:u w:val="single"/>
          <w:lang w:eastAsia="bg-BG"/>
        </w:rPr>
      </w:pPr>
    </w:p>
    <w:p w14:paraId="19BBCB90" w14:textId="3B6A4C1A" w:rsidR="0067077E" w:rsidRPr="0067077E" w:rsidRDefault="0067077E" w:rsidP="0067077E">
      <w:pPr>
        <w:spacing w:line="240" w:lineRule="auto"/>
        <w:rPr>
          <w:rFonts w:eastAsia="Times New Roman" w:cs="Arial"/>
          <w:lang w:eastAsia="bg-BG"/>
        </w:rPr>
      </w:pPr>
      <w:r w:rsidRPr="0067077E">
        <w:rPr>
          <w:rFonts w:eastAsia="Times New Roman" w:cs="Arial"/>
          <w:color w:val="000000"/>
          <w:u w:val="single"/>
          <w:lang w:eastAsia="bg-BG"/>
        </w:rPr>
        <w:t>Съобщаване на подозирани нежелани реакции</w:t>
      </w:r>
    </w:p>
    <w:p w14:paraId="547D03F1"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34C03B52" w14:textId="77777777" w:rsidR="0067077E" w:rsidRPr="0067077E" w:rsidRDefault="0067077E" w:rsidP="0067077E">
      <w:pPr>
        <w:spacing w:line="240" w:lineRule="auto"/>
        <w:rPr>
          <w:rFonts w:eastAsia="Times New Roman" w:cs="Arial"/>
          <w:color w:val="000000"/>
          <w:lang w:eastAsia="bg-BG"/>
        </w:rPr>
      </w:pPr>
    </w:p>
    <w:p w14:paraId="5B0D09F8" w14:textId="42D65D25"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Изпълнителна агенция по лекарствата</w:t>
      </w:r>
    </w:p>
    <w:p w14:paraId="1E444BA2"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ул.,Дамян Груев” № 8</w:t>
      </w:r>
    </w:p>
    <w:p w14:paraId="3D1645D7"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1303 София</w:t>
      </w:r>
    </w:p>
    <w:p w14:paraId="1A822798"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Тел.: +359 2 8903417</w:t>
      </w:r>
    </w:p>
    <w:p w14:paraId="443BC107" w14:textId="0E35A792" w:rsidR="005B0F27" w:rsidRPr="0067077E" w:rsidRDefault="0067077E" w:rsidP="0067077E">
      <w:pPr>
        <w:rPr>
          <w:rFonts w:cs="Arial"/>
        </w:rPr>
      </w:pPr>
      <w:r w:rsidRPr="0067077E">
        <w:rPr>
          <w:rFonts w:eastAsia="Times New Roman" w:cs="Arial"/>
          <w:color w:val="000000"/>
          <w:lang w:eastAsia="bg-BG"/>
        </w:rPr>
        <w:t xml:space="preserve">уебсайт: </w:t>
      </w:r>
      <w:hyperlink r:id="rId5" w:history="1">
        <w:r w:rsidRPr="0067077E">
          <w:rPr>
            <w:rFonts w:eastAsia="Times New Roman" w:cs="Arial"/>
            <w:color w:val="000000"/>
            <w:u w:val="single"/>
            <w:lang w:val="en-US"/>
          </w:rPr>
          <w:t>www.bda.bg</w:t>
        </w:r>
      </w:hyperlink>
    </w:p>
    <w:p w14:paraId="72136627" w14:textId="77777777" w:rsidR="0067077E" w:rsidRPr="0091385D" w:rsidRDefault="0067077E"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2914C3D7" w:rsidR="007A2185" w:rsidRPr="0067077E" w:rsidRDefault="0067077E" w:rsidP="0091385D">
      <w:pPr>
        <w:rPr>
          <w:rFonts w:cs="Arial"/>
        </w:rPr>
      </w:pPr>
      <w:r w:rsidRPr="0067077E">
        <w:rPr>
          <w:rFonts w:cs="Arial"/>
        </w:rPr>
        <w:t>Не са съобщавани такива случаи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89FAD15" w14:textId="77777777"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Фармакотерапевтична група: други капиляро-стабилизиращи вещества.</w:t>
      </w:r>
    </w:p>
    <w:p w14:paraId="47FB5261" w14:textId="77777777" w:rsidR="0067077E" w:rsidRPr="0067077E" w:rsidRDefault="0067077E" w:rsidP="0067077E">
      <w:pPr>
        <w:spacing w:line="240" w:lineRule="auto"/>
        <w:rPr>
          <w:rFonts w:eastAsia="Times New Roman" w:cs="Arial"/>
          <w:color w:val="000000"/>
          <w:lang w:eastAsia="bg-BG"/>
        </w:rPr>
      </w:pPr>
    </w:p>
    <w:p w14:paraId="20BFE97B" w14:textId="7F49A992" w:rsidR="0067077E" w:rsidRPr="0067077E" w:rsidRDefault="0067077E" w:rsidP="0067077E">
      <w:pPr>
        <w:spacing w:line="240" w:lineRule="auto"/>
        <w:rPr>
          <w:rFonts w:eastAsia="Times New Roman" w:cs="Arial"/>
          <w:lang w:eastAsia="bg-BG"/>
        </w:rPr>
      </w:pPr>
      <w:r w:rsidRPr="0067077E">
        <w:rPr>
          <w:rFonts w:eastAsia="Times New Roman" w:cs="Arial"/>
          <w:color w:val="000000"/>
          <w:lang w:eastAsia="bg-BG"/>
        </w:rPr>
        <w:t>АТС код: С05СХ</w:t>
      </w:r>
    </w:p>
    <w:p w14:paraId="2F2A27E8" w14:textId="77777777" w:rsidR="0067077E" w:rsidRPr="0067077E" w:rsidRDefault="0067077E" w:rsidP="0067077E">
      <w:pPr>
        <w:rPr>
          <w:rFonts w:eastAsia="Times New Roman" w:cs="Arial"/>
          <w:color w:val="000000"/>
          <w:lang w:eastAsia="bg-BG"/>
        </w:rPr>
      </w:pPr>
    </w:p>
    <w:p w14:paraId="038F692B" w14:textId="5143C004" w:rsidR="007A2185" w:rsidRPr="0067077E" w:rsidRDefault="0067077E" w:rsidP="0067077E">
      <w:pPr>
        <w:rPr>
          <w:rFonts w:cs="Arial"/>
        </w:rPr>
      </w:pPr>
      <w:r w:rsidRPr="0067077E">
        <w:rPr>
          <w:rFonts w:eastAsia="Times New Roman" w:cs="Arial"/>
          <w:color w:val="000000"/>
          <w:lang w:eastAsia="bg-BG"/>
        </w:rPr>
        <w:t>Мястото на действие на есцина е васкуларната стена. При патологично увеличен пермеабилитет есцинът инхибира ексудацията чрез намаляване на излива на течност в тъканите и ускоряване спадането на отока. Начинът на действие се базира на промяна в пермеабилитета на засегнатите капилярни стени. Освен това есцинът повишава устойчивостта на капилярите, потиска възпалителните процеси и подобрява микроциркулацията.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45551830" w14:textId="60784F38" w:rsidR="007A2185" w:rsidRPr="007A2185" w:rsidRDefault="0067077E" w:rsidP="007A2185">
      <w:r>
        <w:lastRenderedPageBreak/>
        <w:t xml:space="preserve">След орално приложение на </w:t>
      </w:r>
      <w:r>
        <w:rPr>
          <w:vertAlign w:val="superscript"/>
        </w:rPr>
        <w:t>3</w:t>
      </w:r>
      <w:r>
        <w:t>Н есцин, средно 12% до 26% от предписаната доза се е абсорбирала от стомашно-чревния тракт при плъхове и мишки. Екскрецията става чрез жлъчката и урината. Степента на метаболизиране е по-голяма след орално приложение, отколкото при интравенозна апликация. Разпределянето на есцина в екскреторните органи като черен дроб и бъбреци е незначително в сравнение с нарастването на нивата в кръвта.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629CADF9" w:rsidR="007A2185" w:rsidRDefault="0067077E" w:rsidP="0091385D">
      <w:r>
        <w:t>Есцинът не е достатъчно изследван в опити с животни. В наличните студии, обаче, е показал средна до висока степен на токсичност. Особено значителни са били невротоксичните промени. Пълните изследвания за мутагенност не са дали доказателство за мутагенни ефекти. Изследвания за канцерогенност не са провеждани. Есцинът не е изследван достатъчно по отношение на репродуктивната токсичност. При мишки и зайци след орално приложение ембриотоксичните ефекти (намалено тегло на плода, забавена осцификация на скелета, при по-високи дози - смърт на зародиша) са настъпили по време на фазата на органогенеза. Ефекти върху виталността на млади животни в пренаталния период не са открити.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077CB32D" w14:textId="77777777" w:rsidR="0067077E" w:rsidRPr="0067077E" w:rsidRDefault="0067077E" w:rsidP="0067077E">
      <w:pPr>
        <w:spacing w:line="240" w:lineRule="auto"/>
        <w:rPr>
          <w:rFonts w:eastAsia="Times New Roman" w:cs="Arial"/>
          <w:sz w:val="24"/>
          <w:szCs w:val="24"/>
          <w:lang w:eastAsia="bg-BG"/>
        </w:rPr>
      </w:pPr>
      <w:r w:rsidRPr="0067077E">
        <w:rPr>
          <w:rFonts w:eastAsia="Times New Roman" w:cs="Arial"/>
          <w:color w:val="000000"/>
          <w:lang w:eastAsia="bg-BG"/>
        </w:rPr>
        <w:t>Майлан ЕООД</w:t>
      </w:r>
    </w:p>
    <w:p w14:paraId="55F27FA4" w14:textId="77777777" w:rsidR="0067077E" w:rsidRPr="0067077E" w:rsidRDefault="0067077E" w:rsidP="0067077E">
      <w:pPr>
        <w:spacing w:line="240" w:lineRule="auto"/>
        <w:rPr>
          <w:rFonts w:eastAsia="Times New Roman" w:cs="Arial"/>
          <w:sz w:val="24"/>
          <w:szCs w:val="24"/>
          <w:lang w:eastAsia="bg-BG"/>
        </w:rPr>
      </w:pPr>
      <w:r w:rsidRPr="0067077E">
        <w:rPr>
          <w:rFonts w:eastAsia="Times New Roman" w:cs="Arial"/>
          <w:color w:val="000000"/>
          <w:lang w:eastAsia="bg-BG"/>
        </w:rPr>
        <w:t>Офис сграда „Сердика офиси“</w:t>
      </w:r>
    </w:p>
    <w:p w14:paraId="53179C8E" w14:textId="77777777" w:rsidR="0067077E" w:rsidRPr="0067077E" w:rsidRDefault="0067077E" w:rsidP="0067077E">
      <w:pPr>
        <w:spacing w:line="240" w:lineRule="auto"/>
        <w:rPr>
          <w:rFonts w:eastAsia="Times New Roman" w:cs="Arial"/>
          <w:sz w:val="24"/>
          <w:szCs w:val="24"/>
          <w:lang w:eastAsia="bg-BG"/>
        </w:rPr>
      </w:pPr>
      <w:r w:rsidRPr="0067077E">
        <w:rPr>
          <w:rFonts w:eastAsia="Times New Roman" w:cs="Arial"/>
          <w:color w:val="000000"/>
          <w:lang w:eastAsia="bg-BG"/>
        </w:rPr>
        <w:t>бул. Ситняково № 48, ет. 7</w:t>
      </w:r>
    </w:p>
    <w:p w14:paraId="4BDDD597" w14:textId="77777777" w:rsidR="0067077E" w:rsidRPr="0067077E" w:rsidRDefault="0067077E" w:rsidP="0067077E">
      <w:pPr>
        <w:spacing w:line="240" w:lineRule="auto"/>
        <w:rPr>
          <w:rFonts w:eastAsia="Times New Roman" w:cs="Arial"/>
          <w:sz w:val="24"/>
          <w:szCs w:val="24"/>
          <w:lang w:eastAsia="bg-BG"/>
        </w:rPr>
      </w:pPr>
      <w:r w:rsidRPr="0067077E">
        <w:rPr>
          <w:rFonts w:eastAsia="Times New Roman" w:cs="Arial"/>
          <w:color w:val="000000"/>
          <w:lang w:eastAsia="bg-BG"/>
        </w:rPr>
        <w:t>1505 София</w:t>
      </w:r>
    </w:p>
    <w:p w14:paraId="4F02909F" w14:textId="1857F22D" w:rsidR="007A2185" w:rsidRPr="0067077E" w:rsidRDefault="0067077E" w:rsidP="0067077E">
      <w:pPr>
        <w:rPr>
          <w:rFonts w:cs="Arial"/>
        </w:rPr>
      </w:pPr>
      <w:r w:rsidRPr="0067077E">
        <w:rPr>
          <w:rFonts w:eastAsia="Times New Roman" w:cs="Arial"/>
          <w:color w:val="000000"/>
          <w:lang w:eastAsia="bg-BG"/>
        </w:rPr>
        <w:t>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0034BB8" w:rsidR="007A2185" w:rsidRPr="0067077E" w:rsidRDefault="0067077E" w:rsidP="0091385D">
      <w:pPr>
        <w:rPr>
          <w:rFonts w:cs="Arial"/>
        </w:rPr>
      </w:pPr>
      <w:proofErr w:type="spellStart"/>
      <w:r w:rsidRPr="0067077E">
        <w:rPr>
          <w:rFonts w:cs="Arial"/>
          <w:lang w:val="en-US"/>
        </w:rPr>
        <w:t>Pe</w:t>
      </w:r>
      <w:proofErr w:type="spellEnd"/>
      <w:r w:rsidRPr="0067077E">
        <w:rPr>
          <w:rFonts w:cs="Arial"/>
        </w:rPr>
        <w:t>г.</w:t>
      </w:r>
      <w:r w:rsidRPr="0067077E">
        <w:rPr>
          <w:rFonts w:cs="Arial"/>
          <w:lang w:val="en-US"/>
        </w:rPr>
        <w:t xml:space="preserve"> </w:t>
      </w:r>
      <w:r w:rsidRPr="0067077E">
        <w:rPr>
          <w:rFonts w:cs="Arial"/>
        </w:rPr>
        <w:t>№20070063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5FB253A4" w14:textId="77777777" w:rsidR="0067077E" w:rsidRPr="0067077E" w:rsidRDefault="0067077E" w:rsidP="0067077E">
      <w:pPr>
        <w:spacing w:line="240" w:lineRule="auto"/>
        <w:rPr>
          <w:rFonts w:eastAsia="Times New Roman" w:cs="Arial"/>
          <w:sz w:val="24"/>
          <w:szCs w:val="24"/>
          <w:lang w:eastAsia="bg-BG"/>
        </w:rPr>
      </w:pPr>
      <w:r w:rsidRPr="0067077E">
        <w:rPr>
          <w:rFonts w:eastAsia="Times New Roman" w:cs="Arial"/>
          <w:color w:val="000000"/>
          <w:lang w:eastAsia="bg-BG"/>
        </w:rPr>
        <w:t>Дата на първо разрешаване: 06.08.2007</w:t>
      </w:r>
    </w:p>
    <w:p w14:paraId="6C57D8B6" w14:textId="573FAA85" w:rsidR="007A2185" w:rsidRDefault="0067077E" w:rsidP="0067077E">
      <w:r w:rsidRPr="0067077E">
        <w:rPr>
          <w:rFonts w:eastAsia="Times New Roman" w:cs="Arial"/>
          <w:color w:val="000000"/>
          <w:lang w:eastAsia="bg-BG"/>
        </w:rPr>
        <w:t>Дата на последно подновяване: 20.11.2012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30F246ED" w:rsidR="007A2185" w:rsidRPr="0067077E" w:rsidRDefault="0067077E" w:rsidP="0091385D">
      <w:pPr>
        <w:rPr>
          <w:rFonts w:cs="Arial"/>
        </w:rPr>
      </w:pPr>
      <w:r w:rsidRPr="0067077E">
        <w:rPr>
          <w:rFonts w:cs="Arial"/>
        </w:rPr>
        <w:t>Март 2020г.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C7FF9"/>
    <w:multiLevelType w:val="hybridMultilevel"/>
    <w:tmpl w:val="A6C67F1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8"/>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077E"/>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2023-03-06T16:59:00Z</dcterms:created>
  <dcterms:modified xsi:type="dcterms:W3CDTF">2023-03-06T16:59:00Z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