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15BE3F58" w:rsidR="00DB32D3" w:rsidRDefault="00DD466D" w:rsidP="005726E3">
      <w:pPr>
        <w:pStyle w:val="Heading1"/>
      </w:pPr>
      <w:r>
        <w:t>1.ИМЕ НА ЛЕКАРСТВЕНИЯ ПРОДУКТ</w:t>
      </w:r>
    </w:p>
    <w:p w14:paraId="3E90D38F" w14:textId="5510DE74" w:rsidR="000D5DA1" w:rsidRDefault="000D5DA1" w:rsidP="000D5DA1"/>
    <w:p w14:paraId="5ED9FE1B" w14:textId="77777777" w:rsidR="000D5DA1" w:rsidRPr="000D5DA1" w:rsidRDefault="000D5DA1" w:rsidP="000D5DA1">
      <w:pPr>
        <w:rPr>
          <w:sz w:val="24"/>
          <w:szCs w:val="24"/>
        </w:rPr>
      </w:pPr>
      <w:r w:rsidRPr="000D5DA1">
        <w:rPr>
          <w:lang w:eastAsia="bg-BG"/>
        </w:rPr>
        <w:t xml:space="preserve">РЕПИДО 8 </w:t>
      </w:r>
      <w:r w:rsidRPr="000D5DA1">
        <w:rPr>
          <w:lang w:val="en-US"/>
        </w:rPr>
        <w:t>mg</w:t>
      </w:r>
      <w:r w:rsidRPr="000D5DA1">
        <w:t xml:space="preserve"> </w:t>
      </w:r>
      <w:r w:rsidRPr="000D5DA1">
        <w:rPr>
          <w:lang w:eastAsia="bg-BG"/>
        </w:rPr>
        <w:t>таблетки</w:t>
      </w:r>
    </w:p>
    <w:p w14:paraId="6BF629FF" w14:textId="77777777" w:rsidR="000D5DA1" w:rsidRPr="000D5DA1" w:rsidRDefault="000D5DA1" w:rsidP="000D5DA1">
      <w:pPr>
        <w:rPr>
          <w:sz w:val="24"/>
          <w:szCs w:val="24"/>
        </w:rPr>
      </w:pPr>
      <w:r w:rsidRPr="000D5DA1">
        <w:rPr>
          <w:lang w:val="en-US"/>
        </w:rPr>
        <w:t>REPIDO</w:t>
      </w:r>
      <w:r w:rsidRPr="000D5DA1">
        <w:t xml:space="preserve"> </w:t>
      </w:r>
      <w:r w:rsidRPr="000D5DA1">
        <w:rPr>
          <w:lang w:eastAsia="bg-BG"/>
        </w:rPr>
        <w:t xml:space="preserve">8 </w:t>
      </w:r>
      <w:r w:rsidRPr="000D5DA1">
        <w:rPr>
          <w:lang w:val="en-US"/>
        </w:rPr>
        <w:t>mg</w:t>
      </w:r>
      <w:r w:rsidRPr="000D5DA1">
        <w:t xml:space="preserve"> </w:t>
      </w:r>
      <w:r w:rsidRPr="000D5DA1">
        <w:rPr>
          <w:lang w:val="en-US"/>
        </w:rPr>
        <w:t>tablets</w:t>
      </w:r>
    </w:p>
    <w:p w14:paraId="15CB391B" w14:textId="77777777" w:rsidR="000D5DA1" w:rsidRDefault="000D5DA1" w:rsidP="000D5DA1">
      <w:pPr>
        <w:rPr>
          <w:lang w:eastAsia="bg-BG"/>
        </w:rPr>
      </w:pPr>
    </w:p>
    <w:p w14:paraId="5DB613D2" w14:textId="3D58E162" w:rsidR="000D5DA1" w:rsidRPr="000D5DA1" w:rsidRDefault="000D5DA1" w:rsidP="000D5DA1">
      <w:pPr>
        <w:rPr>
          <w:sz w:val="24"/>
          <w:szCs w:val="24"/>
        </w:rPr>
      </w:pPr>
      <w:r w:rsidRPr="000D5DA1">
        <w:rPr>
          <w:lang w:eastAsia="bg-BG"/>
        </w:rPr>
        <w:t xml:space="preserve">РЕПИДО 16 </w:t>
      </w:r>
      <w:r w:rsidRPr="000D5DA1">
        <w:rPr>
          <w:lang w:val="en-US"/>
        </w:rPr>
        <w:t xml:space="preserve">mg </w:t>
      </w:r>
      <w:r w:rsidRPr="000D5DA1">
        <w:rPr>
          <w:lang w:eastAsia="bg-BG"/>
        </w:rPr>
        <w:t>таблетки</w:t>
      </w:r>
    </w:p>
    <w:p w14:paraId="2D23469E" w14:textId="77777777" w:rsidR="000D5DA1" w:rsidRPr="000D5DA1" w:rsidRDefault="000D5DA1" w:rsidP="000D5DA1">
      <w:pPr>
        <w:rPr>
          <w:sz w:val="24"/>
          <w:szCs w:val="24"/>
        </w:rPr>
      </w:pPr>
      <w:r w:rsidRPr="000D5DA1">
        <w:rPr>
          <w:lang w:val="en-US"/>
        </w:rPr>
        <w:t>REPIDO</w:t>
      </w:r>
      <w:r w:rsidRPr="000D5DA1">
        <w:rPr>
          <w:lang w:val="ru-RU"/>
        </w:rPr>
        <w:t xml:space="preserve"> </w:t>
      </w:r>
      <w:r w:rsidRPr="000D5DA1">
        <w:rPr>
          <w:lang w:eastAsia="bg-BG"/>
        </w:rPr>
        <w:t xml:space="preserve">16 </w:t>
      </w:r>
      <w:r w:rsidRPr="000D5DA1">
        <w:rPr>
          <w:lang w:val="en-US"/>
        </w:rPr>
        <w:t>mg</w:t>
      </w:r>
      <w:r w:rsidRPr="000D5DA1">
        <w:rPr>
          <w:lang w:val="ru-RU"/>
        </w:rPr>
        <w:t xml:space="preserve"> </w:t>
      </w:r>
      <w:r w:rsidRPr="000D5DA1">
        <w:rPr>
          <w:lang w:val="en-US"/>
        </w:rPr>
        <w:t>tablets</w:t>
      </w:r>
    </w:p>
    <w:p w14:paraId="0332E940" w14:textId="77777777" w:rsidR="000D5DA1" w:rsidRPr="000D5DA1" w:rsidRDefault="000D5DA1" w:rsidP="000D5DA1"/>
    <w:p w14:paraId="48E6CABE" w14:textId="305A85BE" w:rsidR="00DB32D3" w:rsidRDefault="00DD466D" w:rsidP="005726E3">
      <w:pPr>
        <w:pStyle w:val="Heading1"/>
      </w:pPr>
      <w:r>
        <w:t>2. КАЧЕСТВЕН И КОЛИЧЕСТВЕН СЪСТАВ</w:t>
      </w:r>
    </w:p>
    <w:p w14:paraId="1BC9A810" w14:textId="22411FB8" w:rsidR="000D5DA1" w:rsidRDefault="000D5DA1" w:rsidP="000D5DA1"/>
    <w:p w14:paraId="4F168723" w14:textId="77777777" w:rsidR="000D5DA1" w:rsidRPr="000D5DA1" w:rsidRDefault="000D5DA1" w:rsidP="000D5DA1">
      <w:pPr>
        <w:spacing w:line="240" w:lineRule="auto"/>
        <w:rPr>
          <w:rFonts w:eastAsia="Times New Roman" w:cs="Arial"/>
        </w:rPr>
      </w:pPr>
      <w:r w:rsidRPr="000D5DA1">
        <w:rPr>
          <w:rFonts w:eastAsia="Times New Roman" w:cs="Arial"/>
          <w:b/>
          <w:bCs/>
          <w:color w:val="000000"/>
          <w:lang w:eastAsia="bg-BG"/>
        </w:rPr>
        <w:t xml:space="preserve">Всяка таблетка съдържа 8 </w:t>
      </w:r>
      <w:r w:rsidRPr="000D5DA1">
        <w:rPr>
          <w:rFonts w:eastAsia="Times New Roman" w:cs="Arial"/>
          <w:b/>
          <w:bCs/>
          <w:color w:val="000000"/>
          <w:lang w:val="en-US"/>
        </w:rPr>
        <w:t>mg</w:t>
      </w:r>
      <w:r w:rsidRPr="000D5DA1">
        <w:rPr>
          <w:rFonts w:eastAsia="Times New Roman" w:cs="Arial"/>
          <w:b/>
          <w:bCs/>
          <w:color w:val="000000"/>
        </w:rPr>
        <w:t xml:space="preserve"> </w:t>
      </w:r>
      <w:r w:rsidRPr="000D5DA1">
        <w:rPr>
          <w:rFonts w:eastAsia="Times New Roman" w:cs="Arial"/>
          <w:b/>
          <w:bCs/>
          <w:color w:val="000000"/>
          <w:lang w:eastAsia="bg-BG"/>
        </w:rPr>
        <w:t xml:space="preserve">кандесартан цилексетил </w:t>
      </w:r>
      <w:r w:rsidRPr="000D5DA1">
        <w:rPr>
          <w:rFonts w:eastAsia="Times New Roman" w:cs="Arial"/>
          <w:b/>
          <w:bCs/>
          <w:color w:val="000000"/>
        </w:rPr>
        <w:t>(</w:t>
      </w:r>
      <w:r w:rsidRPr="000D5DA1">
        <w:rPr>
          <w:rFonts w:eastAsia="Times New Roman" w:cs="Arial"/>
          <w:b/>
          <w:bCs/>
          <w:color w:val="000000"/>
          <w:lang w:val="en-US"/>
        </w:rPr>
        <w:t>candesartan</w:t>
      </w:r>
      <w:r w:rsidRPr="000D5DA1">
        <w:rPr>
          <w:rFonts w:eastAsia="Times New Roman" w:cs="Arial"/>
          <w:b/>
          <w:bCs/>
          <w:color w:val="000000"/>
        </w:rPr>
        <w:t xml:space="preserve"> </w:t>
      </w:r>
      <w:proofErr w:type="spellStart"/>
      <w:r w:rsidRPr="000D5DA1">
        <w:rPr>
          <w:rFonts w:eastAsia="Times New Roman" w:cs="Arial"/>
          <w:b/>
          <w:bCs/>
          <w:color w:val="000000"/>
          <w:lang w:val="en-US"/>
        </w:rPr>
        <w:t>cilcxetil</w:t>
      </w:r>
      <w:proofErr w:type="spellEnd"/>
      <w:r w:rsidRPr="000D5DA1">
        <w:rPr>
          <w:rFonts w:eastAsia="Times New Roman" w:cs="Arial"/>
          <w:b/>
          <w:bCs/>
          <w:color w:val="000000"/>
        </w:rPr>
        <w:t>).</w:t>
      </w:r>
    </w:p>
    <w:p w14:paraId="2E4B1FCF"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Всяка таблетка съдържа 16 </w:t>
      </w:r>
      <w:r w:rsidRPr="000D5DA1">
        <w:rPr>
          <w:rFonts w:eastAsia="Times New Roman" w:cs="Arial"/>
          <w:color w:val="000000"/>
          <w:lang w:val="en-US"/>
        </w:rPr>
        <w:t>mg</w:t>
      </w:r>
      <w:r w:rsidRPr="000D5DA1">
        <w:rPr>
          <w:rFonts w:eastAsia="Times New Roman" w:cs="Arial"/>
          <w:color w:val="000000"/>
        </w:rPr>
        <w:t xml:space="preserve"> </w:t>
      </w:r>
      <w:r w:rsidRPr="000D5DA1">
        <w:rPr>
          <w:rFonts w:eastAsia="Times New Roman" w:cs="Arial"/>
          <w:color w:val="000000"/>
          <w:lang w:eastAsia="bg-BG"/>
        </w:rPr>
        <w:t xml:space="preserve">кандесартан цилексетил </w:t>
      </w:r>
      <w:r w:rsidRPr="000D5DA1">
        <w:rPr>
          <w:rFonts w:eastAsia="Times New Roman" w:cs="Arial"/>
          <w:color w:val="000000"/>
        </w:rPr>
        <w:t>(</w:t>
      </w:r>
      <w:r w:rsidRPr="000D5DA1">
        <w:rPr>
          <w:rFonts w:eastAsia="Times New Roman" w:cs="Arial"/>
          <w:color w:val="000000"/>
          <w:lang w:val="en-US"/>
        </w:rPr>
        <w:t>candesartan</w:t>
      </w:r>
      <w:r w:rsidRPr="000D5DA1">
        <w:rPr>
          <w:rFonts w:eastAsia="Times New Roman" w:cs="Arial"/>
          <w:color w:val="000000"/>
        </w:rPr>
        <w:t xml:space="preserve"> </w:t>
      </w:r>
      <w:proofErr w:type="spellStart"/>
      <w:r w:rsidRPr="000D5DA1">
        <w:rPr>
          <w:rFonts w:eastAsia="Times New Roman" w:cs="Arial"/>
          <w:color w:val="000000"/>
          <w:lang w:val="en-US"/>
        </w:rPr>
        <w:t>cilexetil</w:t>
      </w:r>
      <w:proofErr w:type="spellEnd"/>
      <w:r w:rsidRPr="000D5DA1">
        <w:rPr>
          <w:rFonts w:eastAsia="Times New Roman" w:cs="Arial"/>
          <w:color w:val="000000"/>
        </w:rPr>
        <w:t>).</w:t>
      </w:r>
    </w:p>
    <w:p w14:paraId="7B98D5E2" w14:textId="77777777" w:rsidR="000D5DA1" w:rsidRPr="000D5DA1" w:rsidRDefault="000D5DA1" w:rsidP="000D5DA1">
      <w:pPr>
        <w:spacing w:line="240" w:lineRule="auto"/>
        <w:rPr>
          <w:rFonts w:eastAsia="Times New Roman" w:cs="Arial"/>
          <w:color w:val="000000"/>
          <w:lang w:eastAsia="bg-BG"/>
        </w:rPr>
      </w:pPr>
    </w:p>
    <w:p w14:paraId="131016BA" w14:textId="64506753" w:rsidR="000D5DA1" w:rsidRPr="000D5DA1" w:rsidRDefault="000D5DA1" w:rsidP="000D5DA1">
      <w:pPr>
        <w:spacing w:line="240" w:lineRule="auto"/>
        <w:rPr>
          <w:rFonts w:eastAsia="Times New Roman" w:cs="Arial"/>
        </w:rPr>
      </w:pPr>
      <w:r w:rsidRPr="000D5DA1">
        <w:rPr>
          <w:rFonts w:eastAsia="Times New Roman" w:cs="Arial"/>
          <w:color w:val="000000"/>
          <w:lang w:eastAsia="bg-BG"/>
        </w:rPr>
        <w:t>Помощни вещества с известно действие:</w:t>
      </w:r>
    </w:p>
    <w:p w14:paraId="6B449ED5"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Всяка таблетка Репидо 8 </w:t>
      </w:r>
      <w:r w:rsidRPr="000D5DA1">
        <w:rPr>
          <w:rFonts w:eastAsia="Times New Roman" w:cs="Arial"/>
          <w:color w:val="000000"/>
          <w:lang w:val="en-US"/>
        </w:rPr>
        <w:t>mg</w:t>
      </w:r>
      <w:r w:rsidRPr="000D5DA1">
        <w:rPr>
          <w:rFonts w:eastAsia="Times New Roman" w:cs="Arial"/>
          <w:color w:val="000000"/>
          <w:lang w:val="ru-RU"/>
        </w:rPr>
        <w:t xml:space="preserve"> </w:t>
      </w:r>
      <w:r w:rsidRPr="000D5DA1">
        <w:rPr>
          <w:rFonts w:eastAsia="Times New Roman" w:cs="Arial"/>
          <w:color w:val="000000"/>
          <w:lang w:eastAsia="bg-BG"/>
        </w:rPr>
        <w:t xml:space="preserve">съдържа 129,80 </w:t>
      </w:r>
      <w:r w:rsidRPr="000D5DA1">
        <w:rPr>
          <w:rFonts w:eastAsia="Times New Roman" w:cs="Arial"/>
          <w:color w:val="000000"/>
          <w:lang w:val="en-US"/>
        </w:rPr>
        <w:t>mg</w:t>
      </w:r>
      <w:r w:rsidRPr="000D5DA1">
        <w:rPr>
          <w:rFonts w:eastAsia="Times New Roman" w:cs="Arial"/>
          <w:color w:val="000000"/>
          <w:lang w:val="ru-RU"/>
        </w:rPr>
        <w:t xml:space="preserve"> </w:t>
      </w:r>
      <w:r w:rsidRPr="000D5DA1">
        <w:rPr>
          <w:rFonts w:eastAsia="Times New Roman" w:cs="Arial"/>
          <w:color w:val="000000"/>
          <w:lang w:eastAsia="bg-BG"/>
        </w:rPr>
        <w:t>лактоза монохидрат.</w:t>
      </w:r>
    </w:p>
    <w:p w14:paraId="376A8845" w14:textId="428E333C" w:rsidR="000D5DA1" w:rsidRPr="000D5DA1" w:rsidRDefault="000D5DA1" w:rsidP="000D5DA1">
      <w:pPr>
        <w:rPr>
          <w:rFonts w:cs="Arial"/>
        </w:rPr>
      </w:pPr>
      <w:r w:rsidRPr="000D5DA1">
        <w:rPr>
          <w:rFonts w:eastAsia="Times New Roman" w:cs="Arial"/>
          <w:color w:val="000000"/>
          <w:lang w:eastAsia="bg-BG"/>
        </w:rPr>
        <w:t xml:space="preserve">Всяка таблетка Репидо 16 </w:t>
      </w:r>
      <w:r w:rsidRPr="000D5DA1">
        <w:rPr>
          <w:rFonts w:eastAsia="Times New Roman" w:cs="Arial"/>
          <w:color w:val="000000"/>
          <w:lang w:val="en-US"/>
        </w:rPr>
        <w:t>mg</w:t>
      </w:r>
      <w:r w:rsidRPr="000D5DA1">
        <w:rPr>
          <w:rFonts w:eastAsia="Times New Roman" w:cs="Arial"/>
          <w:color w:val="000000"/>
          <w:lang w:val="ru-RU"/>
        </w:rPr>
        <w:t xml:space="preserve"> </w:t>
      </w:r>
      <w:r w:rsidRPr="000D5DA1">
        <w:rPr>
          <w:rFonts w:eastAsia="Times New Roman" w:cs="Arial"/>
          <w:color w:val="000000"/>
          <w:lang w:eastAsia="bg-BG"/>
        </w:rPr>
        <w:t xml:space="preserve">съдържа 121,80 </w:t>
      </w:r>
      <w:r w:rsidRPr="000D5DA1">
        <w:rPr>
          <w:rFonts w:eastAsia="Times New Roman" w:cs="Arial"/>
          <w:color w:val="000000"/>
          <w:lang w:val="en-US"/>
        </w:rPr>
        <w:t>mg</w:t>
      </w:r>
      <w:r w:rsidRPr="000D5DA1">
        <w:rPr>
          <w:rFonts w:eastAsia="Times New Roman" w:cs="Arial"/>
          <w:color w:val="000000"/>
          <w:lang w:val="ru-RU"/>
        </w:rPr>
        <w:t xml:space="preserve"> </w:t>
      </w:r>
      <w:r w:rsidRPr="000D5DA1">
        <w:rPr>
          <w:rFonts w:eastAsia="Times New Roman" w:cs="Arial"/>
          <w:color w:val="000000"/>
          <w:lang w:eastAsia="bg-BG"/>
        </w:rPr>
        <w:t>лактоза монохидрат.</w:t>
      </w:r>
    </w:p>
    <w:p w14:paraId="614984C4" w14:textId="1BF31849" w:rsidR="008A6AF2" w:rsidRDefault="00DD466D" w:rsidP="002C50EE">
      <w:pPr>
        <w:pStyle w:val="Heading1"/>
      </w:pPr>
      <w:r>
        <w:t>3. ЛЕКАРСТВЕНА ФОРМА</w:t>
      </w:r>
    </w:p>
    <w:p w14:paraId="57F7703A" w14:textId="4A993464" w:rsidR="000D5DA1" w:rsidRDefault="000D5DA1" w:rsidP="000D5DA1"/>
    <w:p w14:paraId="0748D510" w14:textId="77777777" w:rsidR="000D5DA1" w:rsidRPr="000D5DA1" w:rsidRDefault="000D5DA1" w:rsidP="000D5DA1">
      <w:pPr>
        <w:rPr>
          <w:sz w:val="24"/>
          <w:szCs w:val="24"/>
        </w:rPr>
      </w:pPr>
      <w:r w:rsidRPr="000D5DA1">
        <w:rPr>
          <w:lang w:eastAsia="bg-BG"/>
        </w:rPr>
        <w:t>Таблетка.</w:t>
      </w:r>
    </w:p>
    <w:p w14:paraId="637B411B" w14:textId="77777777" w:rsidR="000D5DA1" w:rsidRDefault="000D5DA1" w:rsidP="000D5DA1">
      <w:pPr>
        <w:rPr>
          <w:lang w:eastAsia="bg-BG"/>
        </w:rPr>
      </w:pPr>
    </w:p>
    <w:p w14:paraId="102286E1" w14:textId="0376111D" w:rsidR="000D5DA1" w:rsidRPr="000D5DA1" w:rsidRDefault="000D5DA1" w:rsidP="000D5DA1">
      <w:pPr>
        <w:rPr>
          <w:sz w:val="24"/>
          <w:szCs w:val="24"/>
        </w:rPr>
      </w:pPr>
      <w:r w:rsidRPr="000D5DA1">
        <w:rPr>
          <w:lang w:eastAsia="bg-BG"/>
        </w:rPr>
        <w:t xml:space="preserve">Репидо 8 </w:t>
      </w:r>
      <w:r w:rsidRPr="000D5DA1">
        <w:rPr>
          <w:lang w:val="en-US"/>
        </w:rPr>
        <w:t>mg</w:t>
      </w:r>
      <w:r w:rsidRPr="000D5DA1">
        <w:rPr>
          <w:lang w:val="ru-RU"/>
        </w:rPr>
        <w:t xml:space="preserve"> </w:t>
      </w:r>
      <w:r w:rsidRPr="000D5DA1">
        <w:rPr>
          <w:lang w:eastAsia="bg-BG"/>
        </w:rPr>
        <w:t>таблетки са бели, двойноизпъкнали таблетки с делителна черта и релефна маркировка С8, разположени на една и съща страна.</w:t>
      </w:r>
    </w:p>
    <w:p w14:paraId="0C0F4FB6" w14:textId="77777777" w:rsidR="000D5DA1" w:rsidRDefault="000D5DA1" w:rsidP="000D5DA1">
      <w:pPr>
        <w:rPr>
          <w:lang w:eastAsia="bg-BG"/>
        </w:rPr>
      </w:pPr>
    </w:p>
    <w:p w14:paraId="179D24D5" w14:textId="0A7D82CB" w:rsidR="000D5DA1" w:rsidRPr="000D5DA1" w:rsidRDefault="000D5DA1" w:rsidP="000D5DA1">
      <w:pPr>
        <w:rPr>
          <w:sz w:val="24"/>
          <w:szCs w:val="24"/>
        </w:rPr>
      </w:pPr>
      <w:r w:rsidRPr="000D5DA1">
        <w:rPr>
          <w:lang w:eastAsia="bg-BG"/>
        </w:rPr>
        <w:t xml:space="preserve">Репидо 16 </w:t>
      </w:r>
      <w:r w:rsidRPr="000D5DA1">
        <w:rPr>
          <w:lang w:val="en-US"/>
        </w:rPr>
        <w:t>mg</w:t>
      </w:r>
      <w:r w:rsidRPr="000D5DA1">
        <w:rPr>
          <w:lang w:val="ru-RU"/>
        </w:rPr>
        <w:t xml:space="preserve"> </w:t>
      </w:r>
      <w:r w:rsidRPr="000D5DA1">
        <w:rPr>
          <w:lang w:eastAsia="bg-BG"/>
        </w:rPr>
        <w:t>таблетки са бели, двойноизпъкнали таблетки с делителна черта и релефна маркировка С16, разположени на една и съща страна.</w:t>
      </w:r>
    </w:p>
    <w:p w14:paraId="1C592784" w14:textId="77777777" w:rsidR="000D5DA1" w:rsidRDefault="000D5DA1" w:rsidP="000D5DA1">
      <w:pPr>
        <w:rPr>
          <w:lang w:eastAsia="bg-BG"/>
        </w:rPr>
      </w:pPr>
    </w:p>
    <w:p w14:paraId="029AB09C" w14:textId="4271A1CE" w:rsidR="000D5DA1" w:rsidRPr="000D5DA1" w:rsidRDefault="000D5DA1" w:rsidP="000D5DA1">
      <w:pPr>
        <w:rPr>
          <w:sz w:val="24"/>
          <w:szCs w:val="24"/>
        </w:rPr>
      </w:pPr>
      <w:r w:rsidRPr="000D5DA1">
        <w:rPr>
          <w:lang w:eastAsia="bg-BG"/>
        </w:rPr>
        <w:t>Таблетката може да бъде разделена на две равни дози.</w:t>
      </w:r>
    </w:p>
    <w:p w14:paraId="727BB991" w14:textId="77777777" w:rsidR="000D5DA1" w:rsidRPr="000D5DA1" w:rsidRDefault="000D5DA1" w:rsidP="000D5DA1"/>
    <w:p w14:paraId="490FC2C4" w14:textId="6899DE43" w:rsidR="002C50EE" w:rsidRDefault="002C50EE" w:rsidP="002C50EE">
      <w:pPr>
        <w:pStyle w:val="Heading1"/>
      </w:pPr>
      <w:r>
        <w:t>4. КЛИНИЧНИ ДАННИ</w:t>
      </w:r>
    </w:p>
    <w:p w14:paraId="0771830A" w14:textId="234DB7F7" w:rsidR="00DB32D3" w:rsidRDefault="002C50EE" w:rsidP="005726E3">
      <w:pPr>
        <w:pStyle w:val="Heading2"/>
      </w:pPr>
      <w:r>
        <w:t>4.1. Терапевтични показания</w:t>
      </w:r>
    </w:p>
    <w:p w14:paraId="77973D5E" w14:textId="001A39A9" w:rsidR="000D5DA1" w:rsidRDefault="000D5DA1" w:rsidP="000D5DA1"/>
    <w:p w14:paraId="109815F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Репидо е показан за:</w:t>
      </w:r>
    </w:p>
    <w:p w14:paraId="2ECD3400" w14:textId="77777777" w:rsidR="000D5DA1" w:rsidRPr="000D5DA1" w:rsidRDefault="000D5DA1" w:rsidP="000D5DA1">
      <w:pPr>
        <w:pStyle w:val="ListParagraph"/>
        <w:numPr>
          <w:ilvl w:val="0"/>
          <w:numId w:val="37"/>
        </w:numPr>
        <w:spacing w:line="240" w:lineRule="auto"/>
        <w:rPr>
          <w:rFonts w:eastAsia="Times New Roman" w:cs="Arial"/>
          <w:color w:val="000000"/>
          <w:szCs w:val="20"/>
          <w:lang w:eastAsia="bg-BG"/>
        </w:rPr>
      </w:pPr>
      <w:r w:rsidRPr="000D5DA1">
        <w:rPr>
          <w:rFonts w:eastAsia="Times New Roman" w:cs="Arial"/>
          <w:color w:val="000000"/>
          <w:szCs w:val="20"/>
          <w:lang w:eastAsia="bg-BG"/>
        </w:rPr>
        <w:t>Лечение на есенциална хипертония при възрастни</w:t>
      </w:r>
    </w:p>
    <w:p w14:paraId="0922BB46" w14:textId="73055650" w:rsidR="000D5DA1" w:rsidRPr="000D5DA1" w:rsidRDefault="000D5DA1" w:rsidP="000D5DA1">
      <w:pPr>
        <w:pStyle w:val="ListParagraph"/>
        <w:numPr>
          <w:ilvl w:val="0"/>
          <w:numId w:val="37"/>
        </w:numPr>
        <w:spacing w:line="240" w:lineRule="auto"/>
        <w:rPr>
          <w:rFonts w:eastAsia="Times New Roman" w:cs="Arial"/>
          <w:color w:val="000000"/>
          <w:szCs w:val="20"/>
          <w:lang w:eastAsia="bg-BG"/>
        </w:rPr>
      </w:pPr>
      <w:r w:rsidRPr="000D5DA1">
        <w:rPr>
          <w:rFonts w:eastAsia="Times New Roman" w:cs="Arial"/>
          <w:color w:val="000000"/>
          <w:szCs w:val="20"/>
          <w:lang w:eastAsia="bg-BG"/>
        </w:rPr>
        <w:t>Лечение на възрастни пациенти със сърдечна недостатъчност и нарушена левокамерна систолна функция (левокамерна фракция на изтласкване ≤ 40%), когато АСЕ инхибитори не се понасят, или като допълваща терапията към АСЕ инхибитори при пациенти със симптоматична сърдечна недостатъчност, въпреки оптималната терапия, когато минералкортикоидни рецепторни антагонисти не се понасят (вж. точки 4.2,4.4, 4.5 и 5.1).</w:t>
      </w:r>
    </w:p>
    <w:p w14:paraId="7647A102" w14:textId="3C2AF40B" w:rsidR="00DB32D3" w:rsidRDefault="002C50EE" w:rsidP="005726E3">
      <w:pPr>
        <w:pStyle w:val="Heading2"/>
      </w:pPr>
      <w:r>
        <w:lastRenderedPageBreak/>
        <w:t>4.2. Дозировка и начин на приложение</w:t>
      </w:r>
    </w:p>
    <w:p w14:paraId="56E112D3" w14:textId="139C17C6" w:rsidR="000D5DA1" w:rsidRDefault="000D5DA1" w:rsidP="000D5DA1"/>
    <w:p w14:paraId="6FC1B83E" w14:textId="77777777" w:rsidR="000D5DA1" w:rsidRPr="000D5DA1" w:rsidRDefault="000D5DA1" w:rsidP="000D5DA1">
      <w:pPr>
        <w:pStyle w:val="Heading3"/>
        <w:rPr>
          <w:rFonts w:eastAsia="Times New Roman"/>
          <w:sz w:val="28"/>
          <w:u w:val="single"/>
        </w:rPr>
      </w:pPr>
      <w:r w:rsidRPr="000D5DA1">
        <w:rPr>
          <w:rFonts w:eastAsia="Times New Roman"/>
          <w:u w:val="single"/>
          <w:lang w:eastAsia="bg-BG"/>
        </w:rPr>
        <w:t>Дозировка при хипертония</w:t>
      </w:r>
    </w:p>
    <w:p w14:paraId="75C62665"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Препоръчителната начална доза и обичайната поддържаща доза на Репидо е 8</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w:t>
      </w:r>
    </w:p>
    <w:p w14:paraId="4E21FC4E" w14:textId="77777777" w:rsidR="000D5DA1" w:rsidRPr="000D5DA1" w:rsidRDefault="000D5DA1" w:rsidP="000D5DA1">
      <w:pPr>
        <w:rPr>
          <w:rFonts w:eastAsia="Times New Roman" w:cs="Arial"/>
          <w:sz w:val="28"/>
          <w:szCs w:val="24"/>
        </w:rPr>
      </w:pPr>
      <w:r w:rsidRPr="000D5DA1">
        <w:rPr>
          <w:rFonts w:eastAsia="Times New Roman" w:cs="Arial"/>
          <w:color w:val="000000"/>
          <w:szCs w:val="20"/>
          <w:lang w:eastAsia="bg-BG"/>
        </w:rPr>
        <w:t xml:space="preserve">Максимален антихипертензивен ефект се достига до 4 седмици след началото на лечението. При някои пациенти, при които кръвното налягане не е адекватно контролирано, дозата може да се увеличи до 16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или до максимално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 Лечението трябва да се коригира според повлияването на кръвното налягане.</w:t>
      </w:r>
    </w:p>
    <w:p w14:paraId="08D9229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Репидо може да се приема с други антихипертензивни средства. Добавянето на хидрохлоротиазид предизвиква адитивен антихипертензивен ефект при различните дози Репидо (вижте точка 4.3,4.4, 4.5 и 5.1).</w:t>
      </w:r>
    </w:p>
    <w:p w14:paraId="7A6361A5" w14:textId="77777777" w:rsidR="000D5DA1" w:rsidRPr="000D5DA1" w:rsidRDefault="000D5DA1" w:rsidP="000D5DA1">
      <w:pPr>
        <w:spacing w:line="240" w:lineRule="auto"/>
        <w:rPr>
          <w:rFonts w:eastAsia="Times New Roman" w:cs="Arial"/>
          <w:i/>
          <w:iCs/>
          <w:color w:val="000000"/>
          <w:szCs w:val="20"/>
          <w:lang w:eastAsia="bg-BG"/>
        </w:rPr>
      </w:pPr>
    </w:p>
    <w:p w14:paraId="0D11B88E" w14:textId="17BAF55B"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Пациенти в старческа възраст:</w:t>
      </w:r>
    </w:p>
    <w:p w14:paraId="7BE1D90D"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Не е необходимо начално коригиране на дозата при пациенти в старческа възраст.</w:t>
      </w:r>
    </w:p>
    <w:p w14:paraId="68CD43C1" w14:textId="77777777" w:rsidR="000D5DA1" w:rsidRPr="000D5DA1" w:rsidRDefault="000D5DA1" w:rsidP="000D5DA1">
      <w:pPr>
        <w:spacing w:line="240" w:lineRule="auto"/>
        <w:rPr>
          <w:rFonts w:eastAsia="Times New Roman" w:cs="Arial"/>
          <w:i/>
          <w:iCs/>
          <w:color w:val="000000"/>
          <w:szCs w:val="20"/>
          <w:lang w:eastAsia="bg-BG"/>
        </w:rPr>
      </w:pPr>
    </w:p>
    <w:p w14:paraId="2250D424" w14:textId="51A602FB"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Пациенти с намален вътресъдов обем</w:t>
      </w:r>
    </w:p>
    <w:p w14:paraId="11E72BD8"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Може да се обмисли приложение на начална доза от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при пациенти с риск от хипотония, като например пациенти, при които има вероятност обемът да е намален (вж. също 4.4).</w:t>
      </w:r>
    </w:p>
    <w:p w14:paraId="7E5EE13F" w14:textId="77777777" w:rsidR="000D5DA1" w:rsidRPr="000D5DA1" w:rsidRDefault="000D5DA1" w:rsidP="000D5DA1">
      <w:pPr>
        <w:spacing w:line="240" w:lineRule="auto"/>
        <w:rPr>
          <w:rFonts w:eastAsia="Times New Roman" w:cs="Arial"/>
          <w:i/>
          <w:iCs/>
          <w:color w:val="000000"/>
          <w:szCs w:val="20"/>
          <w:lang w:eastAsia="bg-BG"/>
        </w:rPr>
      </w:pPr>
    </w:p>
    <w:p w14:paraId="6C89AADF" w14:textId="25AD2486"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Пациенти с нарушена бъбречна функция</w:t>
      </w:r>
    </w:p>
    <w:p w14:paraId="786D300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Началната доза при пациенти с бъбречно увреждане, включително пациенти на хемодиализа, е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Дозата трябва да се титрира според повлияването. Опитът при пациенти с много тежко или бъбречно увреждане в терминален стадий (креатининов клирънс &lt;15 </w:t>
      </w:r>
      <w:r w:rsidRPr="000D5DA1">
        <w:rPr>
          <w:rFonts w:eastAsia="Times New Roman" w:cs="Arial"/>
          <w:color w:val="000000"/>
          <w:szCs w:val="20"/>
          <w:lang w:val="en-US"/>
        </w:rPr>
        <w:t>ml</w:t>
      </w:r>
      <w:r w:rsidRPr="000D5DA1">
        <w:rPr>
          <w:rFonts w:eastAsia="Times New Roman" w:cs="Arial"/>
          <w:color w:val="000000"/>
          <w:szCs w:val="20"/>
          <w:lang w:val="ru-RU"/>
        </w:rPr>
        <w:t>/</w:t>
      </w:r>
      <w:r w:rsidRPr="000D5DA1">
        <w:rPr>
          <w:rFonts w:eastAsia="Times New Roman" w:cs="Arial"/>
          <w:color w:val="000000"/>
          <w:szCs w:val="20"/>
          <w:lang w:val="en-US"/>
        </w:rPr>
        <w:t>min</w:t>
      </w:r>
      <w:r w:rsidRPr="000D5DA1">
        <w:rPr>
          <w:rFonts w:eastAsia="Times New Roman" w:cs="Arial"/>
          <w:color w:val="000000"/>
          <w:szCs w:val="20"/>
          <w:lang w:val="ru-RU"/>
        </w:rPr>
        <w:t xml:space="preserve">) </w:t>
      </w:r>
      <w:r w:rsidRPr="000D5DA1">
        <w:rPr>
          <w:rFonts w:eastAsia="Times New Roman" w:cs="Arial"/>
          <w:color w:val="000000"/>
          <w:szCs w:val="20"/>
          <w:lang w:eastAsia="bg-BG"/>
        </w:rPr>
        <w:t>е ограничен, (вж. точка 4.4.)</w:t>
      </w:r>
    </w:p>
    <w:p w14:paraId="6B6510FE" w14:textId="77777777" w:rsidR="000D5DA1" w:rsidRPr="000D5DA1" w:rsidRDefault="000D5DA1" w:rsidP="000D5DA1">
      <w:pPr>
        <w:spacing w:line="240" w:lineRule="auto"/>
        <w:rPr>
          <w:rFonts w:eastAsia="Times New Roman" w:cs="Arial"/>
          <w:i/>
          <w:iCs/>
          <w:color w:val="000000"/>
          <w:szCs w:val="20"/>
          <w:lang w:eastAsia="bg-BG"/>
        </w:rPr>
      </w:pPr>
    </w:p>
    <w:p w14:paraId="0FD9A3D1" w14:textId="18F43369"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Пациенти с нарушена чернодробна функция</w:t>
      </w:r>
    </w:p>
    <w:p w14:paraId="2B6E3FDA"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При пациенти с леко до умерено чернодробно увреждане се препоръчва първоначална доза от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 Дозата трябва да се коригира според повлияването. Репидо е противопоказан при пациенти с тежко чернодробно увреждане и/или холестаза (вижте точка 4.3 и 5.2).</w:t>
      </w:r>
    </w:p>
    <w:p w14:paraId="6EA02C60" w14:textId="77777777" w:rsidR="000D5DA1" w:rsidRPr="000D5DA1" w:rsidRDefault="000D5DA1" w:rsidP="000D5DA1">
      <w:pPr>
        <w:spacing w:line="240" w:lineRule="auto"/>
        <w:rPr>
          <w:rFonts w:eastAsia="Times New Roman" w:cs="Arial"/>
          <w:i/>
          <w:iCs/>
          <w:color w:val="000000"/>
          <w:szCs w:val="20"/>
          <w:lang w:eastAsia="bg-BG"/>
        </w:rPr>
      </w:pPr>
    </w:p>
    <w:p w14:paraId="3F944724" w14:textId="1F49D5EA"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Чернокожи пациенти</w:t>
      </w:r>
    </w:p>
    <w:p w14:paraId="367A0BB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Антихипертензивният ефект на кандесартан е по-слаб при чернокожи пациенти в сравнение с нечернокожи пациенти. Поради това, при чернокожи в сравнение с нечернокожи пациенти може по-често да е необходимо повишаване на дозата на Репидо и да се прилага комбинирана терапия с цел контролиране на кръвното налягане (вж. точка 5.1).</w:t>
      </w:r>
    </w:p>
    <w:p w14:paraId="72109552" w14:textId="77777777" w:rsidR="000D5DA1" w:rsidRPr="000D5DA1" w:rsidRDefault="000D5DA1" w:rsidP="000D5DA1">
      <w:pPr>
        <w:spacing w:line="240" w:lineRule="auto"/>
        <w:rPr>
          <w:rFonts w:eastAsia="Times New Roman" w:cs="Arial"/>
          <w:i/>
          <w:iCs/>
          <w:color w:val="000000"/>
          <w:szCs w:val="20"/>
          <w:lang w:eastAsia="bg-BG"/>
        </w:rPr>
      </w:pPr>
    </w:p>
    <w:p w14:paraId="03204AF1" w14:textId="11D34BD3"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Дозировка при сърдечна недостатъчност</w:t>
      </w:r>
    </w:p>
    <w:p w14:paraId="08E7C2C4"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Обичайната препоръчвана начална доза Репидо е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Повишаването на дозата до таргетната доза от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 (максимална доза) или до най-високата поносима доза се извършва чрез удвояване на дозата на интервали от най-малко две седмици (вижте точка 4.4). Оценката на пациентите със сърдечна недостатъчност трябва винаги да включва и оценка на бъбречната функция, включително проследяване на серумния креатинин и калий.</w:t>
      </w:r>
    </w:p>
    <w:p w14:paraId="3E278A0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Репидо може да се прилага едновременно с друго лечение за сърдечна недостатъчност, включително АСЕ инхибитори, бета-блокери, диуретици и дигиталис или комбинация от </w:t>
      </w:r>
      <w:r w:rsidRPr="000D5DA1">
        <w:rPr>
          <w:rFonts w:eastAsia="Times New Roman" w:cs="Arial"/>
          <w:color w:val="000000"/>
          <w:szCs w:val="20"/>
          <w:lang w:eastAsia="bg-BG"/>
        </w:rPr>
        <w:lastRenderedPageBreak/>
        <w:t>тези лекарствени продукти. Репидо може да се прилага с друго лечение за сърдечна недостатъчност, включително АСЕ инхибитори, бета блокери, диуретици и дигиталис или комбинация от тези лекарствени продукти. Репидо може да се прилага заедно с АСЕ инхибитор при пациенти със симптоматична сърдечна недостатъчност въпреки оптималната стандартна терапия за сърдечна недостатъчност, когато минералкортикоидни рецепторни антагонисти не се понасят.</w:t>
      </w:r>
    </w:p>
    <w:p w14:paraId="0DE83C68"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Комбинацията от АСЕ инхибитор, калий-съхраняващ диуретик и Репидо не се препоръчва и трябва да се обмисля само след внимателна оценка на възможните ползи и рискове (вж. точки 4.4,4.8 и 5.1).</w:t>
      </w:r>
    </w:p>
    <w:p w14:paraId="05650BE9" w14:textId="77777777" w:rsidR="000D5DA1" w:rsidRPr="000D5DA1" w:rsidRDefault="000D5DA1" w:rsidP="000D5DA1">
      <w:pPr>
        <w:spacing w:line="240" w:lineRule="auto"/>
        <w:rPr>
          <w:rFonts w:eastAsia="Times New Roman" w:cs="Arial"/>
          <w:i/>
          <w:iCs/>
          <w:color w:val="000000"/>
          <w:szCs w:val="20"/>
          <w:lang w:eastAsia="bg-BG"/>
        </w:rPr>
      </w:pPr>
    </w:p>
    <w:p w14:paraId="2162199B" w14:textId="069B0D97"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Специални групи пациенти</w:t>
      </w:r>
    </w:p>
    <w:p w14:paraId="6648C8B7" w14:textId="1934E9B1" w:rsidR="000D5DA1" w:rsidRP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Не е необходимо начално коригиране на дозата при пациенти в старческа възраст или пациенти с намален вътресъдов обем, бъбречно увреждане или леко до умерено чернодробно увреждане.</w:t>
      </w:r>
    </w:p>
    <w:p w14:paraId="1DF5F269" w14:textId="7F616814" w:rsidR="000D5DA1" w:rsidRPr="000D5DA1" w:rsidRDefault="000D5DA1" w:rsidP="000D5DA1">
      <w:pPr>
        <w:rPr>
          <w:rFonts w:eastAsia="Times New Roman" w:cs="Arial"/>
          <w:color w:val="000000"/>
          <w:szCs w:val="20"/>
          <w:lang w:eastAsia="bg-BG"/>
        </w:rPr>
      </w:pPr>
    </w:p>
    <w:p w14:paraId="042EAB1B" w14:textId="77777777"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Педиатрична популация</w:t>
      </w:r>
    </w:p>
    <w:p w14:paraId="0D66DC0A"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Не е установена безопасността и ефикасността на кандесартан при деца под 18 години при лечение на хипертония или сърдечна недостатъчност. Няма налични данни за това.</w:t>
      </w:r>
    </w:p>
    <w:p w14:paraId="4AF888BE" w14:textId="77777777" w:rsidR="000D5DA1" w:rsidRPr="000D5DA1" w:rsidRDefault="000D5DA1" w:rsidP="000D5DA1">
      <w:pPr>
        <w:spacing w:line="240" w:lineRule="auto"/>
        <w:rPr>
          <w:rFonts w:eastAsia="Times New Roman" w:cs="Arial"/>
          <w:i/>
          <w:iCs/>
          <w:color w:val="000000"/>
          <w:szCs w:val="20"/>
          <w:lang w:eastAsia="bg-BG"/>
        </w:rPr>
      </w:pPr>
    </w:p>
    <w:p w14:paraId="3E142C12" w14:textId="73778364" w:rsidR="000D5DA1" w:rsidRPr="000D5DA1" w:rsidRDefault="000D5DA1" w:rsidP="000D5DA1">
      <w:pPr>
        <w:pStyle w:val="Heading3"/>
        <w:rPr>
          <w:rFonts w:eastAsia="Times New Roman"/>
          <w:sz w:val="28"/>
          <w:u w:val="single"/>
        </w:rPr>
      </w:pPr>
      <w:r w:rsidRPr="000D5DA1">
        <w:rPr>
          <w:rFonts w:eastAsia="Times New Roman"/>
          <w:u w:val="single"/>
          <w:lang w:eastAsia="bg-BG"/>
        </w:rPr>
        <w:t>Начин на приложение</w:t>
      </w:r>
    </w:p>
    <w:p w14:paraId="26EB907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Перорално приложение.</w:t>
      </w:r>
    </w:p>
    <w:p w14:paraId="361234F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Репидо трябва да се приема веднъж дневно с или без храна.</w:t>
      </w:r>
    </w:p>
    <w:p w14:paraId="56E2C179" w14:textId="3BA2ACC7" w:rsidR="000D5DA1" w:rsidRP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Бионаличността на кандесартан не се повлиява от приемането на храна.</w:t>
      </w:r>
    </w:p>
    <w:p w14:paraId="6ACB1A45" w14:textId="77777777" w:rsidR="000D5DA1" w:rsidRPr="000D5DA1" w:rsidRDefault="000D5DA1" w:rsidP="000D5DA1"/>
    <w:p w14:paraId="74903285" w14:textId="6D627E9F" w:rsidR="00DB32D3" w:rsidRDefault="002C50EE" w:rsidP="005726E3">
      <w:pPr>
        <w:pStyle w:val="Heading2"/>
      </w:pPr>
      <w:r>
        <w:t>4.3. Противопоказания</w:t>
      </w:r>
    </w:p>
    <w:p w14:paraId="76A08714" w14:textId="076B0B12" w:rsidR="000D5DA1" w:rsidRDefault="000D5DA1" w:rsidP="000D5DA1"/>
    <w:p w14:paraId="79BCBA86" w14:textId="77777777" w:rsidR="000D5DA1" w:rsidRPr="000D5DA1" w:rsidRDefault="000D5DA1" w:rsidP="000D5DA1">
      <w:pPr>
        <w:pStyle w:val="ListParagraph"/>
        <w:numPr>
          <w:ilvl w:val="0"/>
          <w:numId w:val="39"/>
        </w:numPr>
        <w:spacing w:line="240" w:lineRule="auto"/>
        <w:rPr>
          <w:rFonts w:eastAsia="Times New Roman" w:cs="Arial"/>
          <w:color w:val="000000"/>
          <w:lang w:eastAsia="bg-BG"/>
        </w:rPr>
      </w:pPr>
      <w:r w:rsidRPr="000D5DA1">
        <w:rPr>
          <w:rFonts w:eastAsia="Times New Roman" w:cs="Arial"/>
          <w:color w:val="000000"/>
          <w:lang w:eastAsia="bg-BG"/>
        </w:rPr>
        <w:t>Свръхчувствителност към кандесартан цилексетил или към някое от помощните вещества, изброени в точка 6.1;</w:t>
      </w:r>
    </w:p>
    <w:p w14:paraId="4F2199B8" w14:textId="77777777" w:rsidR="000D5DA1" w:rsidRPr="000D5DA1" w:rsidRDefault="000D5DA1" w:rsidP="000D5DA1">
      <w:pPr>
        <w:pStyle w:val="ListParagraph"/>
        <w:numPr>
          <w:ilvl w:val="0"/>
          <w:numId w:val="39"/>
        </w:numPr>
        <w:spacing w:line="240" w:lineRule="auto"/>
        <w:rPr>
          <w:rFonts w:eastAsia="Times New Roman" w:cs="Arial"/>
          <w:color w:val="000000"/>
          <w:lang w:eastAsia="bg-BG"/>
        </w:rPr>
      </w:pPr>
      <w:r w:rsidRPr="000D5DA1">
        <w:rPr>
          <w:rFonts w:eastAsia="Times New Roman" w:cs="Arial"/>
          <w:color w:val="000000"/>
          <w:lang w:eastAsia="bg-BG"/>
        </w:rPr>
        <w:t>Втори и трети триместър на бременността (вж. точки 4.4 и 4.6);</w:t>
      </w:r>
    </w:p>
    <w:p w14:paraId="2D10C59F" w14:textId="77777777" w:rsidR="000D5DA1" w:rsidRPr="000D5DA1" w:rsidRDefault="000D5DA1" w:rsidP="000D5DA1">
      <w:pPr>
        <w:pStyle w:val="ListParagraph"/>
        <w:numPr>
          <w:ilvl w:val="0"/>
          <w:numId w:val="39"/>
        </w:numPr>
        <w:spacing w:line="240" w:lineRule="auto"/>
        <w:rPr>
          <w:rFonts w:eastAsia="Times New Roman" w:cs="Arial"/>
          <w:color w:val="000000"/>
          <w:lang w:eastAsia="bg-BG"/>
        </w:rPr>
      </w:pPr>
      <w:r w:rsidRPr="000D5DA1">
        <w:rPr>
          <w:rFonts w:eastAsia="Times New Roman" w:cs="Arial"/>
          <w:color w:val="000000"/>
          <w:lang w:eastAsia="bg-BG"/>
        </w:rPr>
        <w:t>Тежко чернодробно увреждане и/или холестаза;</w:t>
      </w:r>
    </w:p>
    <w:p w14:paraId="52496FEF" w14:textId="2D90F4EC" w:rsidR="000D5DA1" w:rsidRPr="000D5DA1" w:rsidRDefault="000D5DA1" w:rsidP="000D5DA1">
      <w:pPr>
        <w:pStyle w:val="ListParagraph"/>
        <w:numPr>
          <w:ilvl w:val="0"/>
          <w:numId w:val="39"/>
        </w:numPr>
        <w:spacing w:line="240" w:lineRule="auto"/>
        <w:rPr>
          <w:rFonts w:eastAsia="Times New Roman" w:cs="Arial"/>
          <w:color w:val="000000"/>
          <w:lang w:eastAsia="bg-BG"/>
        </w:rPr>
      </w:pPr>
      <w:r w:rsidRPr="000D5DA1">
        <w:rPr>
          <w:rFonts w:eastAsia="Times New Roman" w:cs="Arial"/>
          <w:color w:val="000000"/>
          <w:lang w:eastAsia="bg-BG"/>
        </w:rPr>
        <w:t xml:space="preserve">Едновременната употреба на кандесартан с алискирен-съдържащи продукти е противопоказана при пациенти със захарен диабет или бъбречно увреждане </w:t>
      </w:r>
      <w:r w:rsidRPr="000D5DA1">
        <w:rPr>
          <w:rFonts w:eastAsia="Times New Roman" w:cs="Arial"/>
          <w:color w:val="000000"/>
          <w:lang w:val="ru-RU"/>
        </w:rPr>
        <w:t>(</w:t>
      </w:r>
      <w:r w:rsidRPr="000D5DA1">
        <w:rPr>
          <w:rFonts w:eastAsia="Times New Roman" w:cs="Arial"/>
          <w:color w:val="000000"/>
          <w:lang w:val="en-US"/>
        </w:rPr>
        <w:t>GFR</w:t>
      </w:r>
      <w:r w:rsidRPr="000D5DA1">
        <w:rPr>
          <w:rFonts w:eastAsia="Times New Roman" w:cs="Arial"/>
          <w:color w:val="000000"/>
          <w:lang w:val="ru-RU"/>
        </w:rPr>
        <w:t xml:space="preserve"> </w:t>
      </w:r>
      <w:r w:rsidRPr="000D5DA1">
        <w:rPr>
          <w:rFonts w:eastAsia="Times New Roman" w:cs="Arial"/>
          <w:color w:val="000000"/>
          <w:lang w:eastAsia="bg-BG"/>
        </w:rPr>
        <w:t xml:space="preserve">&lt; 60 2 </w:t>
      </w:r>
      <w:r w:rsidRPr="000D5DA1">
        <w:rPr>
          <w:rFonts w:eastAsia="Times New Roman" w:cs="Arial"/>
          <w:color w:val="000000"/>
          <w:lang w:val="en-US"/>
        </w:rPr>
        <w:t>ml</w:t>
      </w:r>
      <w:r w:rsidRPr="000D5DA1">
        <w:rPr>
          <w:rFonts w:eastAsia="Times New Roman" w:cs="Arial"/>
          <w:color w:val="000000"/>
          <w:lang w:val="ru-RU"/>
        </w:rPr>
        <w:t>/</w:t>
      </w:r>
      <w:r w:rsidRPr="000D5DA1">
        <w:rPr>
          <w:rFonts w:eastAsia="Times New Roman" w:cs="Arial"/>
          <w:color w:val="000000"/>
          <w:lang w:val="en-US"/>
        </w:rPr>
        <w:t>min</w:t>
      </w:r>
      <w:r w:rsidRPr="000D5DA1">
        <w:rPr>
          <w:rFonts w:eastAsia="Times New Roman" w:cs="Arial"/>
          <w:color w:val="000000"/>
          <w:lang w:val="ru-RU"/>
        </w:rPr>
        <w:t xml:space="preserve">/1,73 </w:t>
      </w:r>
      <w:r w:rsidRPr="000D5DA1">
        <w:rPr>
          <w:rFonts w:eastAsia="Times New Roman" w:cs="Arial"/>
          <w:color w:val="000000"/>
          <w:lang w:val="en-US"/>
        </w:rPr>
        <w:t>m</w:t>
      </w:r>
      <w:r w:rsidRPr="000D5DA1">
        <w:rPr>
          <w:rFonts w:eastAsia="Times New Roman" w:cs="Arial"/>
          <w:color w:val="000000"/>
          <w:lang w:val="ru-RU"/>
        </w:rPr>
        <w:t xml:space="preserve"> </w:t>
      </w:r>
      <w:r w:rsidRPr="000D5DA1">
        <w:rPr>
          <w:rFonts w:eastAsia="Times New Roman" w:cs="Arial"/>
          <w:color w:val="000000"/>
          <w:lang w:eastAsia="bg-BG"/>
        </w:rPr>
        <w:t>) (вж. точки 4.5 и 5.1).</w:t>
      </w:r>
    </w:p>
    <w:p w14:paraId="30946E4F" w14:textId="77777777" w:rsidR="000D5DA1" w:rsidRPr="000D5DA1" w:rsidRDefault="000D5DA1" w:rsidP="000D5DA1"/>
    <w:p w14:paraId="76DC8E58" w14:textId="0CFA7AE6" w:rsidR="00DB32D3" w:rsidRDefault="002C50EE" w:rsidP="005726E3">
      <w:pPr>
        <w:pStyle w:val="Heading2"/>
      </w:pPr>
      <w:r>
        <w:t>4.4. Специални предупреждения и предпазни мерки при употреба</w:t>
      </w:r>
    </w:p>
    <w:p w14:paraId="00498A26" w14:textId="204576F3" w:rsidR="000D5DA1" w:rsidRDefault="000D5DA1" w:rsidP="000D5DA1"/>
    <w:p w14:paraId="78CB2D87" w14:textId="7777777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Бъбречно увреждане</w:t>
      </w:r>
    </w:p>
    <w:p w14:paraId="259E9DD7"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Както при други лекарства, които инхибират ренин-ангиотензин-алдостероновата система, може да се очакват промени в бъбречната функция при чувствителни пациенти, лекувани с Репидо. Когато Репидо се прилага при пациенти с хипертония, които имат бъбречно увреждане, се препоръчва периодично проследяване на стойностите на серумния калий и креатинина. Има ограничен опит при пациенти с много тежко бъбречно увреждане или бъбречно увреждане в терминален стадий (креатининов клирънс &lt;15 </w:t>
      </w:r>
      <w:r w:rsidRPr="000D5DA1">
        <w:rPr>
          <w:rFonts w:eastAsia="Times New Roman" w:cs="Arial"/>
          <w:color w:val="000000"/>
          <w:lang w:val="en-US"/>
        </w:rPr>
        <w:t>ml</w:t>
      </w:r>
      <w:r w:rsidRPr="000D5DA1">
        <w:rPr>
          <w:rFonts w:eastAsia="Times New Roman" w:cs="Arial"/>
          <w:color w:val="000000"/>
          <w:lang w:val="ru-RU"/>
        </w:rPr>
        <w:t>/</w:t>
      </w:r>
      <w:r w:rsidRPr="000D5DA1">
        <w:rPr>
          <w:rFonts w:eastAsia="Times New Roman" w:cs="Arial"/>
          <w:color w:val="000000"/>
          <w:lang w:val="en-US"/>
        </w:rPr>
        <w:t>min</w:t>
      </w:r>
      <w:r w:rsidRPr="000D5DA1">
        <w:rPr>
          <w:rFonts w:eastAsia="Times New Roman" w:cs="Arial"/>
          <w:color w:val="000000"/>
          <w:lang w:val="ru-RU"/>
        </w:rPr>
        <w:t xml:space="preserve">). </w:t>
      </w:r>
      <w:r w:rsidRPr="000D5DA1">
        <w:rPr>
          <w:rFonts w:eastAsia="Times New Roman" w:cs="Arial"/>
          <w:color w:val="000000"/>
          <w:lang w:eastAsia="bg-BG"/>
        </w:rPr>
        <w:t>При тези пациенти дозата на Репидо трябва внимателно да се титрира, като стриктно се следи кръвното налягане.</w:t>
      </w:r>
    </w:p>
    <w:p w14:paraId="5119F614"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Оценката на пациентите със сърдечна недостатъчност трябва да включва периодично изследване на бъбречната функция, особено при пациенти в старческа възраст -75 години или по-възрастни, и при пациенти с увредена бъбречна функция.</w:t>
      </w:r>
    </w:p>
    <w:p w14:paraId="6C024736"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lastRenderedPageBreak/>
        <w:t>По време на титриране на дозата на Репидо, се препоръчва проследяване на серумния креатинин и калия. Клиничните изпитвания при сърдечна недостатъчност не са включвали пациенти със серумен креатинин &gt; 265 μ</w:t>
      </w:r>
      <w:proofErr w:type="spellStart"/>
      <w:r w:rsidRPr="000D5DA1">
        <w:rPr>
          <w:rFonts w:eastAsia="Times New Roman" w:cs="Arial"/>
          <w:color w:val="000000"/>
          <w:lang w:val="en-US"/>
        </w:rPr>
        <w:t>mol</w:t>
      </w:r>
      <w:proofErr w:type="spellEnd"/>
      <w:r w:rsidRPr="000D5DA1">
        <w:rPr>
          <w:rFonts w:eastAsia="Times New Roman" w:cs="Arial"/>
          <w:color w:val="000000"/>
          <w:lang w:val="ru-RU"/>
        </w:rPr>
        <w:t>/</w:t>
      </w:r>
      <w:r w:rsidRPr="000D5DA1">
        <w:rPr>
          <w:rFonts w:eastAsia="Times New Roman" w:cs="Arial"/>
          <w:color w:val="000000"/>
          <w:lang w:val="en-US"/>
        </w:rPr>
        <w:t>l</w:t>
      </w:r>
      <w:r w:rsidRPr="000D5DA1">
        <w:rPr>
          <w:rFonts w:eastAsia="Times New Roman" w:cs="Arial"/>
          <w:color w:val="000000"/>
          <w:lang w:val="ru-RU"/>
        </w:rPr>
        <w:t xml:space="preserve"> </w:t>
      </w:r>
      <w:r w:rsidRPr="000D5DA1">
        <w:rPr>
          <w:rFonts w:eastAsia="Times New Roman" w:cs="Arial"/>
          <w:color w:val="000000"/>
          <w:lang w:eastAsia="bg-BG"/>
        </w:rPr>
        <w:t xml:space="preserve">(&gt;3 </w:t>
      </w:r>
      <w:r w:rsidRPr="000D5DA1">
        <w:rPr>
          <w:rFonts w:eastAsia="Times New Roman" w:cs="Arial"/>
          <w:color w:val="000000"/>
          <w:lang w:val="en-US"/>
        </w:rPr>
        <w:t>mg</w:t>
      </w:r>
      <w:r w:rsidRPr="000D5DA1">
        <w:rPr>
          <w:rFonts w:eastAsia="Times New Roman" w:cs="Arial"/>
          <w:color w:val="000000"/>
          <w:lang w:val="ru-RU"/>
        </w:rPr>
        <w:t>/</w:t>
      </w:r>
      <w:proofErr w:type="spellStart"/>
      <w:r w:rsidRPr="000D5DA1">
        <w:rPr>
          <w:rFonts w:eastAsia="Times New Roman" w:cs="Arial"/>
          <w:color w:val="000000"/>
          <w:lang w:val="en-US"/>
        </w:rPr>
        <w:t>dL</w:t>
      </w:r>
      <w:proofErr w:type="spellEnd"/>
      <w:r w:rsidRPr="000D5DA1">
        <w:rPr>
          <w:rFonts w:eastAsia="Times New Roman" w:cs="Arial"/>
          <w:color w:val="000000"/>
          <w:lang w:val="ru-RU"/>
        </w:rPr>
        <w:t>).</w:t>
      </w:r>
    </w:p>
    <w:p w14:paraId="59FCABFF" w14:textId="77777777" w:rsidR="000D5DA1" w:rsidRPr="000D5DA1" w:rsidRDefault="000D5DA1" w:rsidP="000D5DA1">
      <w:pPr>
        <w:spacing w:line="240" w:lineRule="auto"/>
        <w:rPr>
          <w:rFonts w:eastAsia="Times New Roman" w:cs="Arial"/>
          <w:i/>
          <w:iCs/>
          <w:color w:val="000000"/>
          <w:lang w:eastAsia="bg-BG"/>
        </w:rPr>
      </w:pPr>
    </w:p>
    <w:p w14:paraId="2E72DCAD" w14:textId="186AF318"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Двойно блокиране на ренин-ангиотензин-алдостероновата система (РААС)</w:t>
      </w:r>
    </w:p>
    <w:p w14:paraId="0788AEA5"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Има данни, че едновременната употреба на АСЕ инхибитори, ангиотензин </w:t>
      </w:r>
      <w:r w:rsidRPr="000D5DA1">
        <w:rPr>
          <w:rFonts w:eastAsia="Times New Roman" w:cs="Arial"/>
          <w:color w:val="000000"/>
          <w:lang w:val="en-US"/>
        </w:rPr>
        <w:t>II</w:t>
      </w:r>
      <w:r w:rsidRPr="000D5DA1">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0D5DA1">
        <w:rPr>
          <w:rFonts w:eastAsia="Times New Roman" w:cs="Arial"/>
          <w:color w:val="000000"/>
          <w:lang w:val="en-US"/>
        </w:rPr>
        <w:t>II</w:t>
      </w:r>
      <w:r w:rsidRPr="000D5DA1">
        <w:rPr>
          <w:rFonts w:eastAsia="Times New Roman" w:cs="Arial"/>
          <w:color w:val="000000"/>
          <w:lang w:eastAsia="bg-BG"/>
        </w:rPr>
        <w:t>-рецепторни блокери или алискирен (вж. точки 4.5 и 5.1).</w:t>
      </w:r>
    </w:p>
    <w:p w14:paraId="21A0A298"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2A8A72F8"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АСЕ инхибитори и ангиотензин </w:t>
      </w:r>
      <w:r w:rsidRPr="000D5DA1">
        <w:rPr>
          <w:rFonts w:eastAsia="Times New Roman" w:cs="Arial"/>
          <w:color w:val="000000"/>
          <w:lang w:val="en-US"/>
        </w:rPr>
        <w:t>II</w:t>
      </w:r>
      <w:r w:rsidRPr="000D5DA1">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5728F2F1" w14:textId="77777777" w:rsidR="000D5DA1" w:rsidRPr="000D5DA1" w:rsidRDefault="000D5DA1" w:rsidP="000D5DA1">
      <w:pPr>
        <w:spacing w:line="240" w:lineRule="auto"/>
        <w:rPr>
          <w:rFonts w:eastAsia="Times New Roman" w:cs="Arial"/>
          <w:i/>
          <w:iCs/>
          <w:color w:val="000000"/>
          <w:lang w:eastAsia="bg-BG"/>
        </w:rPr>
      </w:pPr>
    </w:p>
    <w:p w14:paraId="1C694E17" w14:textId="4D5F2C0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Комбинирана терапия с АСЕ-инхибитор при сърдечна недостатъчност</w:t>
      </w:r>
    </w:p>
    <w:p w14:paraId="0EE59276"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Рискът от нежелани лекарствени реакции, особено хипотония, хиперкалиемия и</w:t>
      </w:r>
      <w:r w:rsidRPr="000D5DA1">
        <w:rPr>
          <w:rFonts w:eastAsia="Times New Roman" w:cs="Arial"/>
          <w:color w:val="000000"/>
          <w:lang w:val="ru-RU"/>
        </w:rPr>
        <w:t xml:space="preserve"> </w:t>
      </w:r>
      <w:r w:rsidRPr="000D5DA1">
        <w:rPr>
          <w:rFonts w:eastAsia="Times New Roman" w:cs="Arial"/>
          <w:color w:val="000000"/>
          <w:lang w:eastAsia="bg-BG"/>
        </w:rPr>
        <w:t>намаляване на бъбречната функция (включително остра бъбречна недостатъчност), може да се повиши, когато</w:t>
      </w:r>
    </w:p>
    <w:p w14:paraId="23F10306" w14:textId="77F80FA7" w:rsidR="000D5DA1" w:rsidRPr="000D5DA1" w:rsidRDefault="000D5DA1" w:rsidP="000D5DA1">
      <w:pPr>
        <w:rPr>
          <w:rFonts w:eastAsia="Times New Roman" w:cs="Arial"/>
          <w:color w:val="000000"/>
          <w:lang w:eastAsia="bg-BG"/>
        </w:rPr>
      </w:pPr>
      <w:r w:rsidRPr="000D5DA1">
        <w:rPr>
          <w:rFonts w:eastAsia="Times New Roman" w:cs="Arial"/>
          <w:color w:val="000000"/>
          <w:lang w:eastAsia="bg-BG"/>
        </w:rPr>
        <w:t xml:space="preserve">кандесартан се прилага едновременно с АСЕ инхибитор. Тройната комбинация от </w:t>
      </w:r>
      <w:r w:rsidRPr="000D5DA1">
        <w:rPr>
          <w:rFonts w:eastAsia="Times New Roman" w:cs="Arial"/>
          <w:color w:val="000000"/>
          <w:lang w:val="en-US"/>
        </w:rPr>
        <w:t>ACE</w:t>
      </w:r>
      <w:r w:rsidRPr="000D5DA1">
        <w:rPr>
          <w:rFonts w:eastAsia="Times New Roman" w:cs="Arial"/>
          <w:color w:val="000000"/>
          <w:lang w:val="ru-RU"/>
        </w:rPr>
        <w:t xml:space="preserve"> </w:t>
      </w:r>
      <w:r w:rsidRPr="000D5DA1">
        <w:rPr>
          <w:rFonts w:eastAsia="Times New Roman" w:cs="Arial"/>
          <w:color w:val="000000"/>
          <w:lang w:eastAsia="bg-BG"/>
        </w:rPr>
        <w:t>инхибитор антагонист на минералкортикоидните рецептори и кандесартан също така не се препоръчва.</w:t>
      </w:r>
    </w:p>
    <w:p w14:paraId="027D7454" w14:textId="21E47B55" w:rsidR="000D5DA1" w:rsidRPr="000D5DA1" w:rsidRDefault="000D5DA1" w:rsidP="000D5DA1">
      <w:pPr>
        <w:rPr>
          <w:rFonts w:eastAsia="Times New Roman" w:cs="Arial"/>
          <w:color w:val="000000"/>
          <w:lang w:eastAsia="bg-BG"/>
        </w:rPr>
      </w:pPr>
    </w:p>
    <w:p w14:paraId="65080BD4"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Прилагането на те тези комбинации трябва да става под стриктен лекарски контрол </w:t>
      </w:r>
      <w:r w:rsidRPr="000D5DA1">
        <w:rPr>
          <w:rFonts w:eastAsia="Times New Roman" w:cs="Arial"/>
          <w:i/>
          <w:iCs/>
          <w:color w:val="000000"/>
          <w:lang w:eastAsia="bg-BG"/>
        </w:rPr>
        <w:t>и</w:t>
      </w:r>
      <w:r w:rsidRPr="000D5DA1">
        <w:rPr>
          <w:rFonts w:eastAsia="Times New Roman" w:cs="Arial"/>
          <w:color w:val="000000"/>
          <w:lang w:eastAsia="bg-BG"/>
        </w:rPr>
        <w:t xml:space="preserve"> редовно проследяване на бъбречната функция, нивата на електролитите и кръвното налягане.</w:t>
      </w:r>
    </w:p>
    <w:p w14:paraId="00BABD7B"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Не трябва да се прилагат АСЕ инхибитори и ангиотензин II рецепторни блокери едновременно при пациенти с диабетна нефропатия.</w:t>
      </w:r>
    </w:p>
    <w:p w14:paraId="0715F03B" w14:textId="77777777" w:rsidR="000D5DA1" w:rsidRPr="000D5DA1" w:rsidRDefault="000D5DA1" w:rsidP="000D5DA1">
      <w:pPr>
        <w:spacing w:line="240" w:lineRule="auto"/>
        <w:rPr>
          <w:rFonts w:eastAsia="Times New Roman" w:cs="Arial"/>
          <w:i/>
          <w:iCs/>
          <w:color w:val="000000"/>
          <w:lang w:eastAsia="bg-BG"/>
        </w:rPr>
      </w:pPr>
    </w:p>
    <w:p w14:paraId="1703B5A8" w14:textId="0B70F28E"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Хемодиализа</w:t>
      </w:r>
    </w:p>
    <w:p w14:paraId="045CBAB0"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По време на диализа кръвното налягане може да бъде особено чувствително към блокада на </w:t>
      </w:r>
      <w:r w:rsidRPr="000D5DA1">
        <w:rPr>
          <w:rFonts w:eastAsia="Times New Roman" w:cs="Arial"/>
          <w:color w:val="000000"/>
          <w:lang w:val="en-US"/>
        </w:rPr>
        <w:t>AT</w:t>
      </w:r>
      <w:r w:rsidRPr="000D5DA1">
        <w:rPr>
          <w:rFonts w:eastAsia="Times New Roman" w:cs="Arial"/>
          <w:color w:val="000000"/>
          <w:vertAlign w:val="subscript"/>
          <w:lang w:val="ru-RU"/>
        </w:rPr>
        <w:t>1</w:t>
      </w:r>
      <w:r w:rsidRPr="000D5DA1">
        <w:rPr>
          <w:rFonts w:eastAsia="Times New Roman" w:cs="Arial"/>
          <w:color w:val="000000"/>
          <w:lang w:val="ru-RU"/>
        </w:rPr>
        <w:t xml:space="preserve"> </w:t>
      </w:r>
      <w:r w:rsidRPr="000D5DA1">
        <w:rPr>
          <w:rFonts w:eastAsia="Times New Roman" w:cs="Arial"/>
          <w:color w:val="000000"/>
          <w:lang w:eastAsia="bg-BG"/>
        </w:rPr>
        <w:t>рецепторите, поради намален плазмен обем и активиране на ренин-ангиотензин алдостероновата система. Следователно, дозата на Репидо трябва да се титрира внимателно, като стриктно се проследява кръвното налягане на пациентите на хемодиализа.</w:t>
      </w:r>
    </w:p>
    <w:p w14:paraId="760DD824" w14:textId="77777777" w:rsidR="000D5DA1" w:rsidRPr="000D5DA1" w:rsidRDefault="000D5DA1" w:rsidP="000D5DA1">
      <w:pPr>
        <w:spacing w:line="240" w:lineRule="auto"/>
        <w:rPr>
          <w:rFonts w:eastAsia="Times New Roman" w:cs="Arial"/>
          <w:i/>
          <w:iCs/>
          <w:color w:val="000000"/>
          <w:lang w:eastAsia="bg-BG"/>
        </w:rPr>
      </w:pPr>
    </w:p>
    <w:p w14:paraId="7472A9F2" w14:textId="6FADB536"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Стеноза на бъбречната артерия</w:t>
      </w:r>
    </w:p>
    <w:p w14:paraId="6DEE8D5A"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Лекарствени продукти, които влияят на ренин-ангиотензин-алдостероновата система, включително ангиотензин II рецепторни блокери (АРБ), може да повишат кръвната урея и серумния креатинин при пациенти с двустранна стеноза на бъбречната артерия или стеноза на артерията към единствен бъбрек.</w:t>
      </w:r>
    </w:p>
    <w:p w14:paraId="3E00DA8F" w14:textId="77777777" w:rsidR="000D5DA1" w:rsidRPr="000D5DA1" w:rsidRDefault="000D5DA1" w:rsidP="000D5DA1">
      <w:pPr>
        <w:spacing w:line="240" w:lineRule="auto"/>
        <w:rPr>
          <w:rFonts w:eastAsia="Times New Roman" w:cs="Arial"/>
          <w:i/>
          <w:iCs/>
          <w:color w:val="000000"/>
          <w:lang w:eastAsia="bg-BG"/>
        </w:rPr>
      </w:pPr>
    </w:p>
    <w:p w14:paraId="73B1B598" w14:textId="0C29E34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Бъбречна трансплантация</w:t>
      </w:r>
    </w:p>
    <w:p w14:paraId="03908AD3"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Няма опит по отношение на приложението на кандесартан при пациенти с наскоро направена бъбречна трансплантация.</w:t>
      </w:r>
    </w:p>
    <w:p w14:paraId="0056481F" w14:textId="77777777" w:rsidR="000D5DA1" w:rsidRPr="000D5DA1" w:rsidRDefault="000D5DA1" w:rsidP="000D5DA1">
      <w:pPr>
        <w:spacing w:line="240" w:lineRule="auto"/>
        <w:rPr>
          <w:rFonts w:eastAsia="Times New Roman" w:cs="Arial"/>
          <w:i/>
          <w:iCs/>
          <w:color w:val="000000"/>
          <w:lang w:eastAsia="bg-BG"/>
        </w:rPr>
      </w:pPr>
    </w:p>
    <w:p w14:paraId="5B2A64D7" w14:textId="41CD698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Хипотония</w:t>
      </w:r>
    </w:p>
    <w:p w14:paraId="046B820C"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По време на лечението с Репидо при пациенти със сърдечна недостатъчност може да възникне хипотония. Това може да се случи също и при пациенти с хипертония, при които </w:t>
      </w:r>
      <w:r w:rsidRPr="000D5DA1">
        <w:rPr>
          <w:rFonts w:eastAsia="Times New Roman" w:cs="Arial"/>
          <w:color w:val="000000"/>
          <w:lang w:eastAsia="bg-BG"/>
        </w:rPr>
        <w:lastRenderedPageBreak/>
        <w:t>има намаление на вътресъдовия обем, като например пациенти, приемащи високи дози диуретици. При започване на лечението трябва да се внимава и трябва да се направи опит за коригиране на хиповолемията.</w:t>
      </w:r>
    </w:p>
    <w:p w14:paraId="3424708C" w14:textId="77777777" w:rsidR="000D5DA1" w:rsidRPr="000D5DA1" w:rsidRDefault="000D5DA1" w:rsidP="000D5DA1">
      <w:pPr>
        <w:spacing w:line="240" w:lineRule="auto"/>
        <w:rPr>
          <w:rFonts w:eastAsia="Times New Roman" w:cs="Arial"/>
          <w:i/>
          <w:iCs/>
          <w:color w:val="000000"/>
          <w:lang w:eastAsia="bg-BG"/>
        </w:rPr>
      </w:pPr>
    </w:p>
    <w:p w14:paraId="2B68B617" w14:textId="09198C35"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Анестезия и оперативно лечение</w:t>
      </w:r>
    </w:p>
    <w:p w14:paraId="6B1E5EE1"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По време на анестезия и оперативна намеса на пациенти, лекувани с антагонисти на ангиотензин, може да възникне хипотония поради блокада на ренин-ангиотензин системата.</w:t>
      </w:r>
    </w:p>
    <w:p w14:paraId="072AC55E"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Много рядко, хипотонията може да бъде тежка, така че да се наложи приложението на интравенозни течности и/или вазопресори.</w:t>
      </w:r>
    </w:p>
    <w:p w14:paraId="62CAE182" w14:textId="77777777" w:rsidR="000D5DA1" w:rsidRPr="000D5DA1" w:rsidRDefault="000D5DA1" w:rsidP="000D5DA1">
      <w:pPr>
        <w:spacing w:line="240" w:lineRule="auto"/>
        <w:rPr>
          <w:rFonts w:eastAsia="Times New Roman" w:cs="Arial"/>
          <w:i/>
          <w:iCs/>
          <w:color w:val="000000"/>
          <w:lang w:eastAsia="bg-BG"/>
        </w:rPr>
      </w:pPr>
    </w:p>
    <w:p w14:paraId="0EE262B8" w14:textId="74FE81EA"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 xml:space="preserve">Стеноза на аортната и митралната клапа (обструктивна хипертрофична кардиомиопатия) </w:t>
      </w:r>
      <w:r w:rsidRPr="000D5DA1">
        <w:rPr>
          <w:rFonts w:eastAsia="Times New Roman" w:cs="Arial"/>
          <w:color w:val="000000"/>
          <w:lang w:eastAsia="bg-BG"/>
        </w:rPr>
        <w:t>Както и при другите вазодилататори, необходимо е специално внимание при пациенти, страдащи от хемодинамично значима стеноза на аортната и митралната клапа или обструктивна хипертрофична кардиомиопатия.</w:t>
      </w:r>
    </w:p>
    <w:p w14:paraId="7DB3C6BD" w14:textId="77777777" w:rsidR="000D5DA1" w:rsidRPr="000D5DA1" w:rsidRDefault="000D5DA1" w:rsidP="000D5DA1">
      <w:pPr>
        <w:spacing w:line="240" w:lineRule="auto"/>
        <w:rPr>
          <w:rFonts w:eastAsia="Times New Roman" w:cs="Arial"/>
          <w:i/>
          <w:iCs/>
          <w:color w:val="000000"/>
          <w:lang w:eastAsia="bg-BG"/>
        </w:rPr>
      </w:pPr>
    </w:p>
    <w:p w14:paraId="1DF1EFD5" w14:textId="1C3A2540"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Първичен хипералдостеронизъм</w:t>
      </w:r>
    </w:p>
    <w:p w14:paraId="658A80B0"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Пациенти с първичен хипералдостеронизъм обикновено не се повлияват от лечение с антихипертензивни лекарствени продукти, действащи чрез инхибиране на ренин-ангиотензин- алдостероновата система. Поради това приложението на Репидо не се препоръчва.</w:t>
      </w:r>
    </w:p>
    <w:p w14:paraId="3DC011EA" w14:textId="77777777" w:rsidR="000D5DA1" w:rsidRPr="000D5DA1" w:rsidRDefault="000D5DA1" w:rsidP="000D5DA1">
      <w:pPr>
        <w:spacing w:line="240" w:lineRule="auto"/>
        <w:rPr>
          <w:rFonts w:eastAsia="Times New Roman" w:cs="Arial"/>
          <w:i/>
          <w:iCs/>
          <w:color w:val="000000"/>
          <w:lang w:eastAsia="bg-BG"/>
        </w:rPr>
      </w:pPr>
    </w:p>
    <w:p w14:paraId="0D77D6A1" w14:textId="74DC2D3A"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Хиперкалиемия</w:t>
      </w:r>
    </w:p>
    <w:p w14:paraId="4971872D"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Едновременното приложение на Репидо с калий-съхраняващи диуретици, калиеви добавки, заместители на солта, съдържащи калий, или други лекарствени продукти, които може да повишат стойностите на калия (напр. хепарин) може да доведе до повишаване на серумния калий при пациенти с хипертония. Серумните нива на калий трябва редовно да се проследяват при необходимост.</w:t>
      </w:r>
    </w:p>
    <w:p w14:paraId="555C23ED" w14:textId="0C7C23FD" w:rsidR="000D5DA1" w:rsidRPr="000D5DA1" w:rsidRDefault="000D5DA1" w:rsidP="000D5DA1">
      <w:pPr>
        <w:rPr>
          <w:rFonts w:eastAsia="Times New Roman" w:cs="Arial"/>
          <w:color w:val="000000"/>
          <w:lang w:eastAsia="bg-BG"/>
        </w:rPr>
      </w:pPr>
      <w:r w:rsidRPr="000D5DA1">
        <w:rPr>
          <w:rFonts w:eastAsia="Times New Roman" w:cs="Arial"/>
          <w:color w:val="000000"/>
          <w:lang w:eastAsia="bg-BG"/>
        </w:rPr>
        <w:t>При пациенти със сърдечна недостатъчност, лекувани с Репидо възникне хиперкалиемия Препоръчва се периодично проследяване на серумния калий. Не се препоръчва комбинацията на АСЕ инхибитор, калий-съхраняващ диуретик (например спиронолактон) и Репидо и трябва да се прилага само след внимателна оценка на потенциалните ползи и рискове.</w:t>
      </w:r>
    </w:p>
    <w:p w14:paraId="117D5C8E" w14:textId="11547D8B" w:rsidR="000D5DA1" w:rsidRPr="000D5DA1" w:rsidRDefault="000D5DA1" w:rsidP="000D5DA1">
      <w:pPr>
        <w:rPr>
          <w:rFonts w:eastAsia="Times New Roman" w:cs="Arial"/>
          <w:color w:val="000000"/>
          <w:lang w:eastAsia="bg-BG"/>
        </w:rPr>
      </w:pPr>
    </w:p>
    <w:p w14:paraId="70F71645" w14:textId="7777777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Общи предупреждения</w:t>
      </w:r>
    </w:p>
    <w:p w14:paraId="521E3BCB"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При пациенти, чийто съдов тонус и бъбречна функция зависят предимно от активността на ренин- ангиотензин-алдостероновата система (напр. пациенти с тежка конгестивна сърдечна недостатъчност или бъбречно заболяване, което е първопричинно, включително стеноза на бъбречната артерия), лечението с други лекарствени продукти, които влияят на тази система, се свързва с остра хипотония, азотемия, олигурия или рядко, с остра бъбречна недостатъчност. Вероятността от появата на подобни ефекти не може да се изключи при лечение с ангиотензин II антагонисти. Както при всяко друго антихипертензивно средство, прекомерното намаление на артериалното налягане при пациенти с исхемична кардиопатия или исхемично мозъчно-съдово заболяване може да доведе до миокарден инфаркт или инсулт.</w:t>
      </w:r>
    </w:p>
    <w:p w14:paraId="2B889C5F" w14:textId="77777777" w:rsidR="000D5DA1" w:rsidRPr="000D5DA1" w:rsidRDefault="000D5DA1" w:rsidP="000D5DA1">
      <w:pPr>
        <w:spacing w:line="240" w:lineRule="auto"/>
        <w:rPr>
          <w:rFonts w:eastAsia="Times New Roman" w:cs="Arial"/>
          <w:color w:val="000000"/>
          <w:lang w:eastAsia="bg-BG"/>
        </w:rPr>
      </w:pPr>
    </w:p>
    <w:p w14:paraId="6CE8B5C8" w14:textId="79C23C1A" w:rsidR="000D5DA1" w:rsidRPr="000D5DA1" w:rsidRDefault="000D5DA1" w:rsidP="000D5DA1">
      <w:pPr>
        <w:spacing w:line="240" w:lineRule="auto"/>
        <w:rPr>
          <w:rFonts w:eastAsia="Times New Roman" w:cs="Arial"/>
        </w:rPr>
      </w:pPr>
      <w:r w:rsidRPr="000D5DA1">
        <w:rPr>
          <w:rFonts w:eastAsia="Times New Roman" w:cs="Arial"/>
          <w:color w:val="000000"/>
          <w:lang w:eastAsia="bg-BG"/>
        </w:rPr>
        <w:t>Антихипертензивният ефект на кандесартан може да бъде засилен от приема на други лекарства, понижаващи кръвното налягане, независимо дали са предписани като антихипертензивни или заради други показания.</w:t>
      </w:r>
    </w:p>
    <w:p w14:paraId="620EFD21" w14:textId="77777777" w:rsidR="000D5DA1" w:rsidRPr="000D5DA1" w:rsidRDefault="000D5DA1" w:rsidP="000D5DA1">
      <w:pPr>
        <w:spacing w:line="240" w:lineRule="auto"/>
        <w:rPr>
          <w:rFonts w:eastAsia="Times New Roman" w:cs="Arial"/>
          <w:i/>
          <w:iCs/>
          <w:color w:val="000000"/>
          <w:lang w:eastAsia="bg-BG"/>
        </w:rPr>
      </w:pPr>
    </w:p>
    <w:p w14:paraId="3692AE19" w14:textId="32E3A3C8"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lastRenderedPageBreak/>
        <w:t>Бременност</w:t>
      </w:r>
    </w:p>
    <w:p w14:paraId="342DB30C"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Не трябва да се започва употребата на ангиотензин II рецепторни антагонисти по време на бременност. Освен ако продължаването на терапията с ангиотензин II рецепторни антагонисти не се смята за особено важна, при пациентките, които планират да забременеят трябва да се направи промяна в терапията, като се назначи алтернативно антихипертензивно лечение, което има установен профил на безопасност за употреба по време на бременност. При диагностициране на бременност, лечението с ангиотензин II рецепторни антагонисти трябва незабавно да се спре и, ако е уместно, трябва да се започне алтернативна терапия (вж. точки 4.3 и 4.6).</w:t>
      </w:r>
    </w:p>
    <w:p w14:paraId="6B0484A0" w14:textId="77777777" w:rsidR="000D5DA1" w:rsidRPr="000D5DA1" w:rsidRDefault="000D5DA1" w:rsidP="000D5DA1">
      <w:pPr>
        <w:spacing w:line="240" w:lineRule="auto"/>
        <w:rPr>
          <w:rFonts w:eastAsia="Times New Roman" w:cs="Arial"/>
          <w:color w:val="000000"/>
          <w:lang w:eastAsia="bg-BG"/>
        </w:rPr>
      </w:pPr>
    </w:p>
    <w:p w14:paraId="583AB584" w14:textId="7411D425" w:rsidR="000D5DA1" w:rsidRPr="000D5DA1" w:rsidRDefault="000D5DA1" w:rsidP="000D5DA1">
      <w:pPr>
        <w:spacing w:line="240" w:lineRule="auto"/>
        <w:rPr>
          <w:rFonts w:eastAsia="Times New Roman" w:cs="Arial"/>
        </w:rPr>
      </w:pPr>
      <w:r w:rsidRPr="000D5DA1">
        <w:rPr>
          <w:rFonts w:eastAsia="Times New Roman" w:cs="Arial"/>
          <w:color w:val="000000"/>
          <w:lang w:eastAsia="bg-BG"/>
        </w:rPr>
        <w:t>При пациентки след менархе вероятността за бременност трябва да се проверява редовно. Трябва да се дава подходяща информация и/или да се вземат предпазни мерки за предотвратяване на риска за експозиция по време на бременност (вижте точка 4.3 и 4.6).</w:t>
      </w:r>
    </w:p>
    <w:p w14:paraId="4D225892" w14:textId="77777777" w:rsidR="000D5DA1" w:rsidRPr="000D5DA1" w:rsidRDefault="000D5DA1" w:rsidP="000D5DA1">
      <w:pPr>
        <w:spacing w:line="240" w:lineRule="auto"/>
        <w:rPr>
          <w:rFonts w:eastAsia="Times New Roman" w:cs="Arial"/>
          <w:color w:val="000000"/>
          <w:lang w:eastAsia="bg-BG"/>
        </w:rPr>
      </w:pPr>
    </w:p>
    <w:p w14:paraId="5F5260D8" w14:textId="2760F1A0" w:rsidR="000D5DA1" w:rsidRPr="000D5DA1" w:rsidRDefault="000D5DA1" w:rsidP="000D5DA1">
      <w:pPr>
        <w:spacing w:line="240" w:lineRule="auto"/>
        <w:rPr>
          <w:rFonts w:eastAsia="Times New Roman" w:cs="Arial"/>
        </w:rPr>
      </w:pPr>
      <w:r w:rsidRPr="000D5DA1">
        <w:rPr>
          <w:rFonts w:eastAsia="Times New Roman" w:cs="Arial"/>
          <w:color w:val="000000"/>
          <w:lang w:eastAsia="bg-BG"/>
        </w:rPr>
        <w:t>Репидо съдържа лактоза и натрий.</w:t>
      </w:r>
    </w:p>
    <w:p w14:paraId="765A1AC7"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7160FBAF" w14:textId="77777777" w:rsidR="000D5DA1" w:rsidRPr="000D5DA1" w:rsidRDefault="000D5DA1" w:rsidP="000D5DA1"/>
    <w:p w14:paraId="03CE8130" w14:textId="77777777" w:rsidR="000D5DA1"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15EA07F6" w14:textId="3D96E020" w:rsidR="000D5DA1" w:rsidRDefault="000D5DA1" w:rsidP="000D5DA1"/>
    <w:p w14:paraId="3264073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Веществата, които са изследвани при клинични фармакокинетични проучвания включват хидрохлоротиазид, варфарин, дикоксин, перорални контрацептиви (например етинилестрадиол/левоногестрел), глибенкламид, нифедипин и еналаприл. Не са открити значими фармакокинетични взаимодействия с тези лекарствени продукти.</w:t>
      </w:r>
    </w:p>
    <w:p w14:paraId="4275DCF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Едновременното приложение на калий-съхраняващи диуретици, калиеви добавки, заместители на солта, съдържащи калий, или други лекарствени продукти, които повишават стойностите на калия (напр. хепарин), може да доведе до повишаване на серумния калий. Трябва стойностите на серумния калий да се проследяват, ако е необходимо (вж. точка 4.4).</w:t>
      </w:r>
    </w:p>
    <w:p w14:paraId="439B069D" w14:textId="77777777" w:rsidR="000D5DA1" w:rsidRPr="000D5DA1" w:rsidRDefault="000D5DA1" w:rsidP="000D5DA1">
      <w:pPr>
        <w:spacing w:line="240" w:lineRule="auto"/>
        <w:rPr>
          <w:rFonts w:eastAsia="Times New Roman" w:cs="Arial"/>
          <w:color w:val="000000"/>
          <w:szCs w:val="20"/>
          <w:lang w:eastAsia="bg-BG"/>
        </w:rPr>
      </w:pPr>
    </w:p>
    <w:p w14:paraId="3EAABF9B" w14:textId="3A8CB8D1"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Обратими повишения в концентрациите на серумния литий са докладвани по време на едновременното приложение на литий с АСЕ инхибитори. Подобен ефект може да настъпи и с агиотензин II рецепторни антагонисти. Не се препоръчва приложението на кандесартан с литий. Ако тази комбинация се счита за необходима, препоръчва се внимателно проследяване на нивата на серумния литий.</w:t>
      </w:r>
    </w:p>
    <w:p w14:paraId="41AD907C" w14:textId="77777777" w:rsidR="000D5DA1" w:rsidRPr="000D5DA1" w:rsidRDefault="000D5DA1" w:rsidP="000D5DA1">
      <w:pPr>
        <w:rPr>
          <w:rFonts w:eastAsia="Times New Roman" w:cs="Arial"/>
          <w:color w:val="000000"/>
          <w:szCs w:val="20"/>
          <w:lang w:eastAsia="bg-BG"/>
        </w:rPr>
      </w:pPr>
    </w:p>
    <w:p w14:paraId="5437D267" w14:textId="77777777" w:rsidR="000D5DA1" w:rsidRPr="000D5DA1" w:rsidRDefault="000D5DA1" w:rsidP="000D5DA1">
      <w:pPr>
        <w:rPr>
          <w:rFonts w:eastAsia="Times New Roman" w:cs="Arial"/>
          <w:sz w:val="28"/>
          <w:szCs w:val="24"/>
        </w:rPr>
      </w:pPr>
      <w:r w:rsidRPr="000D5DA1">
        <w:rPr>
          <w:rFonts w:eastAsia="Times New Roman" w:cs="Arial"/>
          <w:color w:val="000000"/>
          <w:szCs w:val="20"/>
          <w:lang w:eastAsia="bg-BG"/>
        </w:rPr>
        <w:t>Когато ангиотензин II антагонисти се прилагат едновременно с нестероидни противовъзпалителни средства (напр. селективни СОХ-2 инхибитори, ацетилсалицилова киселина &gt;3</w:t>
      </w:r>
      <w:r w:rsidRPr="000D5DA1">
        <w:rPr>
          <w:rFonts w:eastAsia="Times New Roman" w:cs="Arial"/>
          <w:color w:val="000000"/>
          <w:szCs w:val="20"/>
          <w:lang w:val="en-US"/>
        </w:rPr>
        <w:t>g</w:t>
      </w:r>
      <w:r w:rsidRPr="000D5DA1">
        <w:rPr>
          <w:rFonts w:eastAsia="Times New Roman" w:cs="Arial"/>
          <w:color w:val="000000"/>
          <w:szCs w:val="20"/>
          <w:lang w:val="ru-RU"/>
        </w:rPr>
        <w:t xml:space="preserve"> </w:t>
      </w:r>
      <w:r w:rsidRPr="000D5DA1">
        <w:rPr>
          <w:rFonts w:eastAsia="Times New Roman" w:cs="Arial"/>
          <w:color w:val="000000"/>
          <w:szCs w:val="20"/>
          <w:lang w:eastAsia="bg-BG"/>
        </w:rPr>
        <w:t>ден) и неселективни нестероидни противовъзпалителни средства), може да се получи отслабване на антихипертензивния ефект.</w:t>
      </w:r>
    </w:p>
    <w:p w14:paraId="7C8FADC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Какго при АСЕ инхибиторите, едновременната употреба на ангиотензин II антагонисти и нестероидни противовъзпалителни средства може да доведе до увеличен риск от влошаване на бъбречната функция, включително е възможна остра бъбречна недостатъчност и увеличаване на серумния калий, особено при пациенти с влошена от преди това бъбречна функция. Комбинацията трябва да се прилага внимателно, особено при пациенти в старческа възраст.</w:t>
      </w:r>
    </w:p>
    <w:p w14:paraId="2F0AAED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lastRenderedPageBreak/>
        <w:t>Пациентите трябва да се хидратират достатъчно и трябва да се обмисли проследяване на бъбречната функция след започването на едновременна терапия и периодично след това.</w:t>
      </w:r>
    </w:p>
    <w:p w14:paraId="7974E634" w14:textId="77777777" w:rsidR="000D5DA1" w:rsidRPr="000D5DA1" w:rsidRDefault="000D5DA1" w:rsidP="000D5DA1">
      <w:pPr>
        <w:rPr>
          <w:rFonts w:eastAsia="Times New Roman" w:cs="Arial"/>
          <w:color w:val="000000"/>
          <w:szCs w:val="20"/>
          <w:lang w:eastAsia="bg-BG"/>
        </w:rPr>
      </w:pPr>
    </w:p>
    <w:p w14:paraId="6020F55A" w14:textId="76F393AA" w:rsidR="000D5DA1" w:rsidRPr="000D5DA1" w:rsidRDefault="000D5DA1" w:rsidP="000D5DA1">
      <w:pPr>
        <w:rPr>
          <w:rFonts w:cs="Arial"/>
          <w:sz w:val="24"/>
        </w:rPr>
      </w:pPr>
      <w:r w:rsidRPr="000D5DA1">
        <w:rPr>
          <w:rFonts w:eastAsia="Times New Roman" w:cs="Arial"/>
          <w:color w:val="000000"/>
          <w:szCs w:val="20"/>
          <w:lang w:eastAsia="bg-BG"/>
        </w:rPr>
        <w:t xml:space="preserve">Данни от клинични проучвания показват, че двойното блокиране на ренин-- ангиотензин-алдостероновата система (РААС) чрез комбинираната употреба на АСЕ инхибитори,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w:t>
      </w:r>
      <w:r w:rsidRPr="000D5DA1">
        <w:rPr>
          <w:rFonts w:eastAsia="Times New Roman" w:cs="Arial"/>
          <w:color w:val="000000"/>
          <w:szCs w:val="20"/>
          <w:lang w:val="ru-RU"/>
        </w:rPr>
        <w:t xml:space="preserve"> </w:t>
      </w:r>
      <w:r w:rsidRPr="000D5DA1">
        <w:rPr>
          <w:rFonts w:eastAsia="Times New Roman" w:cs="Arial"/>
          <w:color w:val="000000"/>
          <w:szCs w:val="20"/>
          <w:lang w:eastAsia="bg-BG"/>
        </w:rPr>
        <w:t>4.4 и 5.1).</w:t>
      </w:r>
    </w:p>
    <w:p w14:paraId="62F27C9B" w14:textId="243EBD1F" w:rsidR="00DB32D3" w:rsidRPr="00DB32D3" w:rsidRDefault="002C50EE" w:rsidP="000D5DA1">
      <w:r>
        <w:t xml:space="preserve"> </w:t>
      </w:r>
    </w:p>
    <w:p w14:paraId="006BE4EC" w14:textId="4D1F085C" w:rsidR="00DB32D3" w:rsidRDefault="002C50EE" w:rsidP="005726E3">
      <w:pPr>
        <w:pStyle w:val="Heading2"/>
      </w:pPr>
      <w:r>
        <w:t>4.6. Фертилитет, бременност и кърмене</w:t>
      </w:r>
    </w:p>
    <w:p w14:paraId="3A908F75" w14:textId="56DC53C5" w:rsidR="000D5DA1" w:rsidRDefault="000D5DA1" w:rsidP="000D5DA1"/>
    <w:p w14:paraId="5D86855B" w14:textId="342D74E0" w:rsidR="000D5DA1" w:rsidRPr="000D5DA1" w:rsidRDefault="000D5DA1" w:rsidP="000D5DA1">
      <w:pPr>
        <w:pStyle w:val="Heading3"/>
        <w:rPr>
          <w:i/>
          <w:u w:val="single"/>
        </w:rPr>
      </w:pPr>
      <w:r w:rsidRPr="000D5DA1">
        <w:rPr>
          <w:i/>
          <w:u w:val="single"/>
        </w:rPr>
        <w:t>Бременност</w:t>
      </w:r>
    </w:p>
    <w:tbl>
      <w:tblPr>
        <w:tblStyle w:val="TableGrid"/>
        <w:tblW w:w="0" w:type="auto"/>
        <w:tblLook w:val="04A0" w:firstRow="1" w:lastRow="0" w:firstColumn="1" w:lastColumn="0" w:noHBand="0" w:noVBand="1"/>
      </w:tblPr>
      <w:tblGrid>
        <w:gridCol w:w="9350"/>
      </w:tblGrid>
      <w:tr w:rsidR="000D5DA1" w:rsidRPr="000D5DA1" w14:paraId="7A262C8E" w14:textId="77777777" w:rsidTr="000D5DA1">
        <w:tc>
          <w:tcPr>
            <w:tcW w:w="9576" w:type="dxa"/>
          </w:tcPr>
          <w:p w14:paraId="591AF497" w14:textId="6644C1B2" w:rsidR="000D5DA1" w:rsidRPr="000D5DA1" w:rsidRDefault="000D5DA1" w:rsidP="000D5DA1">
            <w:pPr>
              <w:rPr>
                <w:rFonts w:cs="Arial"/>
                <w:szCs w:val="20"/>
              </w:rPr>
            </w:pPr>
            <w:r w:rsidRPr="000D5DA1">
              <w:rPr>
                <w:rFonts w:cs="Arial"/>
                <w:szCs w:val="20"/>
              </w:rPr>
              <w:t>Употребата на ангиотензин II рецепторни антагонисти не се препоръчва през първия триместър на бременността (вж. точка 4.4).Употребата на ангиотензин II антагонисти е противопоказна през втория и третия триместър на бременността (вж. точки 4.3 и 4.4).</w:t>
            </w:r>
          </w:p>
        </w:tc>
      </w:tr>
    </w:tbl>
    <w:p w14:paraId="4EE98835" w14:textId="76C7A5E6" w:rsidR="000D5DA1" w:rsidRPr="000D5DA1" w:rsidRDefault="000D5DA1" w:rsidP="000D5DA1">
      <w:pPr>
        <w:rPr>
          <w:rFonts w:cs="Arial"/>
          <w:sz w:val="24"/>
        </w:rPr>
      </w:pPr>
    </w:p>
    <w:p w14:paraId="09623F16"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Епидемиологичните данни за риска от тератогенност след експозиция на АСЕ инхибитори през първия триместър на бременността не са убедителни; въпреки това, не може да се изключи леко увеличение на риска. Макар че няма контролирани епидемиологични данни за риска при ангиотензин II рецепторните инхибитори, за този клас лекарства може да съществува подобен риск. Освен ако продължаването на терапията с ангиотензин рецепторни блокери не се смята за особено важна, при пациентките, които планират да забременеят, трябва да се направи промяна в терапията, като се назначи алтернативно антихипертензивно лечение с установен профил на безопасност за употреба по време на бременност.</w:t>
      </w:r>
    </w:p>
    <w:p w14:paraId="191AE7D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Когато бременността е диагностицирана, лечението с ангиотензин II антагонисти трябва незабавно да се спре и, ако е уместно, трябва да се започне алтернативна терапия.</w:t>
      </w:r>
    </w:p>
    <w:p w14:paraId="383DDDF4"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Известно е, че експозицията на ангиотензин II антагонисти през втория и третия триместър на бременността предизвиква фетотоксичност при хората (намалена бъбречна функция, олигохидрамнион, забавяне на осификацията на черепа) и неонатална токсичност (бъбречна недостатъчност, хипотония, хиперкалиемия) (вж. също и 5.3).</w:t>
      </w:r>
    </w:p>
    <w:p w14:paraId="3878BD3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Ако експозицията на ангиотензин II антагонисти е започнала от втория триместър на бременността, се препоръчва ултразвуково изследване на бъбречната функция и черепа. Деца, чиито майки са приемали ангиотензин II антагонисти, трябва да бъдат наблюдавани внимателно за хипотония (вж. също точки 4.3 и 4.4).</w:t>
      </w:r>
    </w:p>
    <w:p w14:paraId="5DA2B115" w14:textId="77777777" w:rsidR="000D5DA1" w:rsidRPr="000D5DA1" w:rsidRDefault="000D5DA1" w:rsidP="000D5DA1">
      <w:pPr>
        <w:spacing w:line="240" w:lineRule="auto"/>
        <w:rPr>
          <w:rFonts w:eastAsia="Times New Roman" w:cs="Arial"/>
          <w:i/>
          <w:iCs/>
          <w:color w:val="000000"/>
          <w:szCs w:val="20"/>
          <w:lang w:eastAsia="bg-BG"/>
        </w:rPr>
      </w:pPr>
    </w:p>
    <w:p w14:paraId="0AFFF68C" w14:textId="1BE28F5D" w:rsidR="000D5DA1" w:rsidRPr="000D5DA1" w:rsidRDefault="000D5DA1" w:rsidP="000D5DA1">
      <w:pPr>
        <w:pStyle w:val="Heading3"/>
        <w:rPr>
          <w:rFonts w:eastAsia="Times New Roman"/>
          <w:i/>
          <w:sz w:val="28"/>
          <w:u w:val="single"/>
        </w:rPr>
      </w:pPr>
      <w:r w:rsidRPr="000D5DA1">
        <w:rPr>
          <w:rFonts w:eastAsia="Times New Roman"/>
          <w:i/>
          <w:u w:val="single"/>
          <w:lang w:eastAsia="bg-BG"/>
        </w:rPr>
        <w:t>Кърмене</w:t>
      </w:r>
    </w:p>
    <w:p w14:paraId="64345965" w14:textId="09110060" w:rsid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Тъй като няма информация за употребата на Репидо по време на кърмене, не се препоръчва приемането му в този период, а се предпочитат алтернативни лечения с по-добре установени профили на безопасност, особено при кърмене на новородено или преждевременно родено дете.</w:t>
      </w:r>
    </w:p>
    <w:p w14:paraId="6C482855" w14:textId="77777777" w:rsidR="000D5DA1" w:rsidRPr="000D5DA1" w:rsidRDefault="000D5DA1" w:rsidP="000D5DA1">
      <w:pPr>
        <w:rPr>
          <w:rFonts w:cs="Arial"/>
          <w:sz w:val="24"/>
        </w:rPr>
      </w:pPr>
    </w:p>
    <w:p w14:paraId="128BA3A8" w14:textId="49AFAB80" w:rsidR="00DB32D3" w:rsidRDefault="002C50EE" w:rsidP="005726E3">
      <w:pPr>
        <w:pStyle w:val="Heading2"/>
      </w:pPr>
      <w:r>
        <w:t>4.7. Ефекти върху способността за шофиране и работа с машини</w:t>
      </w:r>
    </w:p>
    <w:p w14:paraId="73531E7F" w14:textId="56C5D589" w:rsidR="000D5DA1" w:rsidRDefault="000D5DA1" w:rsidP="000D5DA1"/>
    <w:p w14:paraId="6417D172" w14:textId="1FD8B4F4" w:rsidR="000D5DA1" w:rsidRPr="000D5DA1" w:rsidRDefault="000D5DA1" w:rsidP="000D5DA1">
      <w:pPr>
        <w:rPr>
          <w:sz w:val="24"/>
          <w:szCs w:val="24"/>
        </w:rPr>
      </w:pPr>
      <w:r w:rsidRPr="000D5DA1">
        <w:rPr>
          <w:lang w:eastAsia="bg-BG"/>
        </w:rPr>
        <w:lastRenderedPageBreak/>
        <w:t>Няма проучвания за влиянието на кандесартан върху способността за шофиране и рабпта с машини. Трябва да се има предвид, че по време на лечението с Репидо може да възникнат</w:t>
      </w:r>
      <w:r>
        <w:rPr>
          <w:sz w:val="24"/>
          <w:szCs w:val="24"/>
        </w:rPr>
        <w:t xml:space="preserve"> </w:t>
      </w:r>
      <w:r w:rsidRPr="000D5DA1">
        <w:rPr>
          <w:lang w:eastAsia="bg-BG"/>
        </w:rPr>
        <w:t>замайване или умора.</w:t>
      </w:r>
    </w:p>
    <w:p w14:paraId="6F1ED522" w14:textId="77777777" w:rsidR="000D5DA1" w:rsidRPr="000D5DA1" w:rsidRDefault="000D5DA1" w:rsidP="000D5DA1"/>
    <w:p w14:paraId="44CE30A3" w14:textId="57A2BDD8" w:rsidR="007122AD" w:rsidRDefault="002C50EE" w:rsidP="00936AD0">
      <w:pPr>
        <w:pStyle w:val="Heading2"/>
      </w:pPr>
      <w:r>
        <w:t>4.8. Нежелани лекарствени реакции</w:t>
      </w:r>
    </w:p>
    <w:p w14:paraId="1959F312" w14:textId="2ACEA6B9" w:rsidR="000D5DA1" w:rsidRDefault="000D5DA1" w:rsidP="000D5DA1"/>
    <w:p w14:paraId="57905EB6" w14:textId="77777777" w:rsidR="000D5DA1" w:rsidRPr="000D5DA1" w:rsidRDefault="000D5DA1" w:rsidP="000D5DA1">
      <w:pPr>
        <w:spacing w:line="240" w:lineRule="auto"/>
        <w:rPr>
          <w:rFonts w:eastAsia="Times New Roman" w:cs="Arial"/>
          <w:sz w:val="28"/>
          <w:szCs w:val="24"/>
        </w:rPr>
      </w:pPr>
      <w:bookmarkStart w:id="1" w:name="bookmark0"/>
      <w:r w:rsidRPr="000D5DA1">
        <w:rPr>
          <w:rFonts w:eastAsia="Times New Roman" w:cs="Arial"/>
          <w:b/>
          <w:bCs/>
          <w:color w:val="000000"/>
          <w:szCs w:val="20"/>
          <w:lang w:eastAsia="bg-BG"/>
        </w:rPr>
        <w:t>Лечение на хипертония</w:t>
      </w:r>
      <w:bookmarkEnd w:id="1"/>
    </w:p>
    <w:p w14:paraId="588E490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контролирани клинични изпитвания нежеланите лекарствени реакции са били леки и преходни. Общата честота на нежеланите лекарствени реакции не показва връзка с дозата или възрастта. Броят на случаите на прекъсване на лечението поради нежелани лекарствени реакции е подобен при кандесартан цилексетил (3,1%) и плацебо (3,2%).</w:t>
      </w:r>
    </w:p>
    <w:p w14:paraId="352AB394" w14:textId="77777777" w:rsidR="000D5DA1" w:rsidRPr="000D5DA1" w:rsidRDefault="000D5DA1" w:rsidP="000D5DA1">
      <w:pPr>
        <w:spacing w:line="240" w:lineRule="auto"/>
        <w:rPr>
          <w:rFonts w:eastAsia="Times New Roman" w:cs="Arial"/>
          <w:color w:val="000000"/>
          <w:szCs w:val="20"/>
          <w:lang w:eastAsia="bg-BG"/>
        </w:rPr>
      </w:pPr>
    </w:p>
    <w:p w14:paraId="6594745F" w14:textId="2E595BFD"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обобщен анализ на данни от клинични изпитвания при пациенти с хипертония, при кандесартан цилексетил честотата на нежеланите лекарствени реакции е била най-малко с 1% по- висока от честотата, наблюдавана при плацебо. Поради това определяне, най-често докладваните нежелани лекарствени реакции са били замаяност/вертиго, главоболие и респираторни инфекции.</w:t>
      </w:r>
    </w:p>
    <w:p w14:paraId="7CDFB31B" w14:textId="77777777" w:rsidR="000D5DA1" w:rsidRPr="000D5DA1" w:rsidRDefault="000D5DA1" w:rsidP="000D5DA1">
      <w:pPr>
        <w:spacing w:line="240" w:lineRule="auto"/>
        <w:rPr>
          <w:rFonts w:eastAsia="Times New Roman" w:cs="Arial"/>
          <w:color w:val="000000"/>
          <w:szCs w:val="20"/>
          <w:lang w:eastAsia="bg-BG"/>
        </w:rPr>
      </w:pPr>
    </w:p>
    <w:p w14:paraId="0B4150C2" w14:textId="42381739"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Таблицата по-долу представя нежеланите реакции от клинични проучвания и постмаркетингов опит:</w:t>
      </w:r>
    </w:p>
    <w:p w14:paraId="63C3D9B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Честотата нежеланите реакции е:</w:t>
      </w:r>
    </w:p>
    <w:p w14:paraId="54DECEFD" w14:textId="2CE70500" w:rsidR="000D5DA1" w:rsidRP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Много чести (≥1/10); чести (≥1/100, до &lt;1/10); нечести (≥1/1000, до &lt;1/100); редки (≥1/10000, до &lt;1/1000); много редки (&lt;1/10000) и с неизвестна честота (от наличните данни не може да бъде направена оценка.</w:t>
      </w:r>
    </w:p>
    <w:p w14:paraId="35B7A3F2" w14:textId="509D24DC" w:rsidR="000D5DA1" w:rsidRDefault="000D5DA1" w:rsidP="000D5DA1"/>
    <w:tbl>
      <w:tblPr>
        <w:tblStyle w:val="TableGrid"/>
        <w:tblW w:w="0" w:type="auto"/>
        <w:tblLook w:val="04A0" w:firstRow="1" w:lastRow="0" w:firstColumn="1" w:lastColumn="0" w:noHBand="0" w:noVBand="1"/>
      </w:tblPr>
      <w:tblGrid>
        <w:gridCol w:w="3120"/>
        <w:gridCol w:w="3091"/>
        <w:gridCol w:w="3139"/>
      </w:tblGrid>
      <w:tr w:rsidR="000D5DA1" w14:paraId="20EB949E" w14:textId="77777777" w:rsidTr="000D5DA1">
        <w:tc>
          <w:tcPr>
            <w:tcW w:w="3192" w:type="dxa"/>
            <w:vAlign w:val="bottom"/>
          </w:tcPr>
          <w:p w14:paraId="51838889" w14:textId="63C1B040" w:rsidR="000D5DA1" w:rsidRPr="000D5DA1" w:rsidRDefault="000D5DA1" w:rsidP="000D5DA1">
            <w:r w:rsidRPr="000D5DA1">
              <w:rPr>
                <w:szCs w:val="20"/>
              </w:rPr>
              <w:t>Системно - органни класове</w:t>
            </w:r>
          </w:p>
        </w:tc>
        <w:tc>
          <w:tcPr>
            <w:tcW w:w="3192" w:type="dxa"/>
            <w:vAlign w:val="bottom"/>
          </w:tcPr>
          <w:p w14:paraId="3E19D466" w14:textId="189367AF" w:rsidR="000D5DA1" w:rsidRPr="000D5DA1" w:rsidRDefault="000D5DA1" w:rsidP="000D5DA1">
            <w:r w:rsidRPr="000D5DA1">
              <w:rPr>
                <w:szCs w:val="20"/>
              </w:rPr>
              <w:t>Честота</w:t>
            </w:r>
          </w:p>
        </w:tc>
        <w:tc>
          <w:tcPr>
            <w:tcW w:w="3192" w:type="dxa"/>
            <w:vAlign w:val="bottom"/>
          </w:tcPr>
          <w:p w14:paraId="7FF624B8" w14:textId="69FD75A5" w:rsidR="000D5DA1" w:rsidRPr="000D5DA1" w:rsidRDefault="000D5DA1" w:rsidP="000D5DA1">
            <w:r w:rsidRPr="000D5DA1">
              <w:rPr>
                <w:szCs w:val="20"/>
              </w:rPr>
              <w:t>Нежелана лекарствена реакция</w:t>
            </w:r>
          </w:p>
        </w:tc>
      </w:tr>
      <w:tr w:rsidR="000D5DA1" w14:paraId="7D2ADEEC" w14:textId="77777777" w:rsidTr="000D5DA1">
        <w:tc>
          <w:tcPr>
            <w:tcW w:w="3192" w:type="dxa"/>
            <w:vAlign w:val="bottom"/>
          </w:tcPr>
          <w:p w14:paraId="08B128ED" w14:textId="3B972950" w:rsidR="000D5DA1" w:rsidRPr="000D5DA1" w:rsidRDefault="000D5DA1" w:rsidP="000D5DA1">
            <w:r w:rsidRPr="000D5DA1">
              <w:rPr>
                <w:szCs w:val="20"/>
              </w:rPr>
              <w:t>Инфекции и инфестации</w:t>
            </w:r>
          </w:p>
        </w:tc>
        <w:tc>
          <w:tcPr>
            <w:tcW w:w="3192" w:type="dxa"/>
            <w:vAlign w:val="bottom"/>
          </w:tcPr>
          <w:p w14:paraId="0F7BB011" w14:textId="3118AAE5" w:rsidR="000D5DA1" w:rsidRPr="000D5DA1" w:rsidRDefault="000D5DA1" w:rsidP="000D5DA1">
            <w:r w:rsidRPr="000D5DA1">
              <w:rPr>
                <w:szCs w:val="20"/>
              </w:rPr>
              <w:t>Чести</w:t>
            </w:r>
          </w:p>
        </w:tc>
        <w:tc>
          <w:tcPr>
            <w:tcW w:w="3192" w:type="dxa"/>
            <w:vAlign w:val="bottom"/>
          </w:tcPr>
          <w:p w14:paraId="171E36D9" w14:textId="1A60DBF3" w:rsidR="000D5DA1" w:rsidRPr="000D5DA1" w:rsidRDefault="000D5DA1" w:rsidP="000D5DA1">
            <w:r w:rsidRPr="000D5DA1">
              <w:rPr>
                <w:szCs w:val="20"/>
              </w:rPr>
              <w:t>Респираторна инфекция</w:t>
            </w:r>
          </w:p>
        </w:tc>
      </w:tr>
      <w:tr w:rsidR="000D5DA1" w14:paraId="4E711764" w14:textId="77777777" w:rsidTr="000D5DA1">
        <w:tc>
          <w:tcPr>
            <w:tcW w:w="3192" w:type="dxa"/>
            <w:vAlign w:val="bottom"/>
          </w:tcPr>
          <w:p w14:paraId="70B6F77F" w14:textId="10E2BB11" w:rsidR="000D5DA1" w:rsidRPr="000D5DA1" w:rsidRDefault="000D5DA1" w:rsidP="000D5DA1">
            <w:r w:rsidRPr="000D5DA1">
              <w:rPr>
                <w:szCs w:val="20"/>
              </w:rPr>
              <w:t>Нарушения на кръвта и лимфната система</w:t>
            </w:r>
          </w:p>
        </w:tc>
        <w:tc>
          <w:tcPr>
            <w:tcW w:w="3192" w:type="dxa"/>
          </w:tcPr>
          <w:p w14:paraId="3641B567" w14:textId="652F4115" w:rsidR="000D5DA1" w:rsidRPr="000D5DA1" w:rsidRDefault="000D5DA1" w:rsidP="000D5DA1">
            <w:r w:rsidRPr="000D5DA1">
              <w:rPr>
                <w:szCs w:val="20"/>
              </w:rPr>
              <w:t>Много редки</w:t>
            </w:r>
          </w:p>
        </w:tc>
        <w:tc>
          <w:tcPr>
            <w:tcW w:w="3192" w:type="dxa"/>
            <w:vAlign w:val="bottom"/>
          </w:tcPr>
          <w:p w14:paraId="11D90A69" w14:textId="60E0AE86" w:rsidR="000D5DA1" w:rsidRPr="000D5DA1" w:rsidRDefault="000D5DA1" w:rsidP="000D5DA1">
            <w:r w:rsidRPr="000D5DA1">
              <w:rPr>
                <w:szCs w:val="20"/>
              </w:rPr>
              <w:t>Левкопения, неутропения и агранулоцитоза</w:t>
            </w:r>
          </w:p>
        </w:tc>
      </w:tr>
      <w:tr w:rsidR="000D5DA1" w14:paraId="127B71EC" w14:textId="77777777" w:rsidTr="000D5DA1">
        <w:tc>
          <w:tcPr>
            <w:tcW w:w="3192" w:type="dxa"/>
            <w:vAlign w:val="bottom"/>
          </w:tcPr>
          <w:p w14:paraId="639B2879" w14:textId="26943A1A" w:rsidR="000D5DA1" w:rsidRPr="000D5DA1" w:rsidRDefault="000D5DA1" w:rsidP="000D5DA1">
            <w:r w:rsidRPr="000D5DA1">
              <w:rPr>
                <w:szCs w:val="20"/>
              </w:rPr>
              <w:t>Нарушения на метаболизма и храненето</w:t>
            </w:r>
          </w:p>
        </w:tc>
        <w:tc>
          <w:tcPr>
            <w:tcW w:w="3192" w:type="dxa"/>
          </w:tcPr>
          <w:p w14:paraId="526C9F4B" w14:textId="1F85AEBF" w:rsidR="000D5DA1" w:rsidRPr="000D5DA1" w:rsidRDefault="000D5DA1" w:rsidP="000D5DA1">
            <w:r w:rsidRPr="000D5DA1">
              <w:rPr>
                <w:szCs w:val="20"/>
              </w:rPr>
              <w:t>Много редки</w:t>
            </w:r>
          </w:p>
        </w:tc>
        <w:tc>
          <w:tcPr>
            <w:tcW w:w="3192" w:type="dxa"/>
            <w:vAlign w:val="bottom"/>
          </w:tcPr>
          <w:p w14:paraId="2C27EB52" w14:textId="668D8ACF" w:rsidR="000D5DA1" w:rsidRPr="000D5DA1" w:rsidRDefault="000D5DA1" w:rsidP="000D5DA1">
            <w:r w:rsidRPr="000D5DA1">
              <w:rPr>
                <w:szCs w:val="20"/>
              </w:rPr>
              <w:t>Хиперкалиемия, хипонатриемия</w:t>
            </w:r>
          </w:p>
        </w:tc>
      </w:tr>
      <w:tr w:rsidR="000D5DA1" w14:paraId="5F3D1FDA" w14:textId="77777777" w:rsidTr="000D5DA1">
        <w:tc>
          <w:tcPr>
            <w:tcW w:w="3192" w:type="dxa"/>
            <w:vAlign w:val="bottom"/>
          </w:tcPr>
          <w:p w14:paraId="24CE2900" w14:textId="5F131498" w:rsidR="000D5DA1" w:rsidRPr="000D5DA1" w:rsidRDefault="000D5DA1" w:rsidP="000D5DA1">
            <w:r w:rsidRPr="000D5DA1">
              <w:rPr>
                <w:szCs w:val="20"/>
              </w:rPr>
              <w:t>Нарушения на нервната система</w:t>
            </w:r>
          </w:p>
        </w:tc>
        <w:tc>
          <w:tcPr>
            <w:tcW w:w="3192" w:type="dxa"/>
            <w:vAlign w:val="bottom"/>
          </w:tcPr>
          <w:p w14:paraId="1407BCAB" w14:textId="7A09EC8C" w:rsidR="000D5DA1" w:rsidRPr="000D5DA1" w:rsidRDefault="000D5DA1" w:rsidP="000D5DA1">
            <w:r w:rsidRPr="000D5DA1">
              <w:rPr>
                <w:szCs w:val="20"/>
              </w:rPr>
              <w:t>Чести</w:t>
            </w:r>
          </w:p>
        </w:tc>
        <w:tc>
          <w:tcPr>
            <w:tcW w:w="3192" w:type="dxa"/>
            <w:vAlign w:val="bottom"/>
          </w:tcPr>
          <w:p w14:paraId="07DDB388" w14:textId="69C4B530" w:rsidR="000D5DA1" w:rsidRPr="000D5DA1" w:rsidRDefault="000D5DA1" w:rsidP="000D5DA1">
            <w:r w:rsidRPr="000D5DA1">
              <w:rPr>
                <w:szCs w:val="20"/>
              </w:rPr>
              <w:t>Замаяност/вертиго, главоболие</w:t>
            </w:r>
          </w:p>
        </w:tc>
      </w:tr>
      <w:tr w:rsidR="000D5DA1" w14:paraId="73FC96C2" w14:textId="77777777" w:rsidTr="000D5DA1">
        <w:tc>
          <w:tcPr>
            <w:tcW w:w="3192" w:type="dxa"/>
            <w:vAlign w:val="bottom"/>
          </w:tcPr>
          <w:p w14:paraId="46FBD7EB" w14:textId="3A67D5DE" w:rsidR="000D5DA1" w:rsidRPr="000D5DA1" w:rsidRDefault="000D5DA1" w:rsidP="000D5DA1">
            <w:r w:rsidRPr="000D5DA1">
              <w:rPr>
                <w:szCs w:val="20"/>
              </w:rPr>
              <w:t>Респираторни, гръдни и медиастинални нарушения</w:t>
            </w:r>
          </w:p>
        </w:tc>
        <w:tc>
          <w:tcPr>
            <w:tcW w:w="3192" w:type="dxa"/>
          </w:tcPr>
          <w:p w14:paraId="46973786" w14:textId="3C8480E9" w:rsidR="000D5DA1" w:rsidRPr="000D5DA1" w:rsidRDefault="000D5DA1" w:rsidP="000D5DA1">
            <w:r w:rsidRPr="000D5DA1">
              <w:rPr>
                <w:szCs w:val="20"/>
              </w:rPr>
              <w:t>Много редки</w:t>
            </w:r>
          </w:p>
        </w:tc>
        <w:tc>
          <w:tcPr>
            <w:tcW w:w="3192" w:type="dxa"/>
          </w:tcPr>
          <w:p w14:paraId="3239F1C3" w14:textId="42524DA0" w:rsidR="000D5DA1" w:rsidRPr="000D5DA1" w:rsidRDefault="000D5DA1" w:rsidP="000D5DA1">
            <w:r w:rsidRPr="000D5DA1">
              <w:rPr>
                <w:szCs w:val="20"/>
              </w:rPr>
              <w:t>кашлица</w:t>
            </w:r>
          </w:p>
        </w:tc>
      </w:tr>
      <w:tr w:rsidR="000D5DA1" w14:paraId="6C13FABB" w14:textId="77777777" w:rsidTr="000D5DA1">
        <w:tc>
          <w:tcPr>
            <w:tcW w:w="3192" w:type="dxa"/>
            <w:vMerge w:val="restart"/>
          </w:tcPr>
          <w:p w14:paraId="3C309746" w14:textId="6A78CAF0" w:rsidR="000D5DA1" w:rsidRPr="000D5DA1" w:rsidRDefault="000D5DA1" w:rsidP="000D5DA1">
            <w:r w:rsidRPr="000D5DA1">
              <w:rPr>
                <w:szCs w:val="20"/>
              </w:rPr>
              <w:t>Стомашно-чревни нарушения</w:t>
            </w:r>
          </w:p>
        </w:tc>
        <w:tc>
          <w:tcPr>
            <w:tcW w:w="3192" w:type="dxa"/>
            <w:vAlign w:val="bottom"/>
          </w:tcPr>
          <w:p w14:paraId="2F282994" w14:textId="370E54E5" w:rsidR="000D5DA1" w:rsidRPr="000D5DA1" w:rsidRDefault="000D5DA1" w:rsidP="000D5DA1">
            <w:r w:rsidRPr="000D5DA1">
              <w:rPr>
                <w:szCs w:val="20"/>
              </w:rPr>
              <w:t>Много редки</w:t>
            </w:r>
          </w:p>
        </w:tc>
        <w:tc>
          <w:tcPr>
            <w:tcW w:w="3192" w:type="dxa"/>
            <w:vAlign w:val="bottom"/>
          </w:tcPr>
          <w:p w14:paraId="32CFE1BE" w14:textId="3BDBAAC3" w:rsidR="000D5DA1" w:rsidRPr="000D5DA1" w:rsidRDefault="000D5DA1" w:rsidP="000D5DA1">
            <w:r w:rsidRPr="000D5DA1">
              <w:rPr>
                <w:szCs w:val="20"/>
              </w:rPr>
              <w:t>Гадене</w:t>
            </w:r>
          </w:p>
        </w:tc>
      </w:tr>
      <w:tr w:rsidR="000D5DA1" w14:paraId="4409EF11" w14:textId="77777777" w:rsidTr="000D5DA1">
        <w:tc>
          <w:tcPr>
            <w:tcW w:w="3192" w:type="dxa"/>
            <w:vMerge/>
          </w:tcPr>
          <w:p w14:paraId="5586C76D" w14:textId="77777777" w:rsidR="000D5DA1" w:rsidRPr="000D5DA1" w:rsidRDefault="000D5DA1" w:rsidP="000D5DA1"/>
        </w:tc>
        <w:tc>
          <w:tcPr>
            <w:tcW w:w="3192" w:type="dxa"/>
            <w:vAlign w:val="bottom"/>
          </w:tcPr>
          <w:p w14:paraId="2E9D853A" w14:textId="7532BEF2" w:rsidR="000D5DA1" w:rsidRPr="000D5DA1" w:rsidRDefault="000D5DA1" w:rsidP="000D5DA1">
            <w:r w:rsidRPr="000D5DA1">
              <w:rPr>
                <w:szCs w:val="20"/>
              </w:rPr>
              <w:t>С неизвестна честота</w:t>
            </w:r>
          </w:p>
        </w:tc>
        <w:tc>
          <w:tcPr>
            <w:tcW w:w="3192" w:type="dxa"/>
          </w:tcPr>
          <w:p w14:paraId="6C0CD9BC" w14:textId="36D44E63" w:rsidR="000D5DA1" w:rsidRPr="000D5DA1" w:rsidRDefault="000D5DA1" w:rsidP="000D5DA1">
            <w:r w:rsidRPr="000D5DA1">
              <w:rPr>
                <w:szCs w:val="20"/>
              </w:rPr>
              <w:t>диария</w:t>
            </w:r>
          </w:p>
        </w:tc>
      </w:tr>
      <w:tr w:rsidR="000D5DA1" w14:paraId="47D763A1" w14:textId="77777777" w:rsidTr="000D5DA1">
        <w:tc>
          <w:tcPr>
            <w:tcW w:w="3192" w:type="dxa"/>
          </w:tcPr>
          <w:p w14:paraId="4C253D0F" w14:textId="09D00B34" w:rsidR="000D5DA1" w:rsidRPr="000D5DA1" w:rsidRDefault="000D5DA1" w:rsidP="000D5DA1">
            <w:r w:rsidRPr="000D5DA1">
              <w:rPr>
                <w:szCs w:val="20"/>
              </w:rPr>
              <w:t>Хепато-билиарни нарушения</w:t>
            </w:r>
          </w:p>
        </w:tc>
        <w:tc>
          <w:tcPr>
            <w:tcW w:w="3192" w:type="dxa"/>
          </w:tcPr>
          <w:p w14:paraId="4BA45924" w14:textId="0D4A7833" w:rsidR="000D5DA1" w:rsidRPr="000D5DA1" w:rsidRDefault="000D5DA1" w:rsidP="000D5DA1">
            <w:r w:rsidRPr="000D5DA1">
              <w:rPr>
                <w:szCs w:val="20"/>
              </w:rPr>
              <w:t>Много редки</w:t>
            </w:r>
          </w:p>
        </w:tc>
        <w:tc>
          <w:tcPr>
            <w:tcW w:w="3192" w:type="dxa"/>
            <w:vAlign w:val="bottom"/>
          </w:tcPr>
          <w:p w14:paraId="7AFC9B1B" w14:textId="7CF1F9BE" w:rsidR="000D5DA1" w:rsidRPr="000D5DA1" w:rsidRDefault="000D5DA1" w:rsidP="000D5DA1">
            <w:r w:rsidRPr="000D5DA1">
              <w:rPr>
                <w:szCs w:val="20"/>
              </w:rPr>
              <w:t>Повишени чернодробни ензими, нарушена чернодробна функция или хепатит</w:t>
            </w:r>
          </w:p>
        </w:tc>
      </w:tr>
      <w:tr w:rsidR="000D5DA1" w14:paraId="177D30FD" w14:textId="77777777" w:rsidTr="000D5DA1">
        <w:tc>
          <w:tcPr>
            <w:tcW w:w="3192" w:type="dxa"/>
            <w:vAlign w:val="bottom"/>
          </w:tcPr>
          <w:p w14:paraId="2D15E50A" w14:textId="6A06D738" w:rsidR="000D5DA1" w:rsidRPr="000D5DA1" w:rsidRDefault="000D5DA1" w:rsidP="000D5DA1">
            <w:r w:rsidRPr="000D5DA1">
              <w:rPr>
                <w:szCs w:val="20"/>
              </w:rPr>
              <w:t>Нарушения на кожата и подкожната тъкан</w:t>
            </w:r>
          </w:p>
        </w:tc>
        <w:tc>
          <w:tcPr>
            <w:tcW w:w="3192" w:type="dxa"/>
          </w:tcPr>
          <w:p w14:paraId="3C008A66" w14:textId="237B8072" w:rsidR="000D5DA1" w:rsidRPr="000D5DA1" w:rsidRDefault="000D5DA1" w:rsidP="000D5DA1">
            <w:r w:rsidRPr="000D5DA1">
              <w:rPr>
                <w:szCs w:val="20"/>
              </w:rPr>
              <w:t>Много редки</w:t>
            </w:r>
          </w:p>
        </w:tc>
        <w:tc>
          <w:tcPr>
            <w:tcW w:w="3192" w:type="dxa"/>
            <w:vAlign w:val="bottom"/>
          </w:tcPr>
          <w:p w14:paraId="7BCA35C1" w14:textId="53FB6DFA" w:rsidR="000D5DA1" w:rsidRPr="000D5DA1" w:rsidRDefault="000D5DA1" w:rsidP="000D5DA1">
            <w:r w:rsidRPr="000D5DA1">
              <w:rPr>
                <w:szCs w:val="20"/>
              </w:rPr>
              <w:t>Ангиоедем, обрив, уртикария, сърбеж</w:t>
            </w:r>
          </w:p>
        </w:tc>
      </w:tr>
      <w:tr w:rsidR="000D5DA1" w14:paraId="5A2B1DE8" w14:textId="77777777" w:rsidTr="000D5DA1">
        <w:tc>
          <w:tcPr>
            <w:tcW w:w="3192" w:type="dxa"/>
            <w:vAlign w:val="bottom"/>
          </w:tcPr>
          <w:p w14:paraId="38CD27C3" w14:textId="6FB7047B" w:rsidR="000D5DA1" w:rsidRPr="000D5DA1" w:rsidRDefault="000D5DA1" w:rsidP="000D5DA1">
            <w:r w:rsidRPr="000D5DA1">
              <w:rPr>
                <w:szCs w:val="20"/>
              </w:rPr>
              <w:t>Нарушения на мускулно- скелетната система и съединителната тъкан</w:t>
            </w:r>
          </w:p>
        </w:tc>
        <w:tc>
          <w:tcPr>
            <w:tcW w:w="3192" w:type="dxa"/>
          </w:tcPr>
          <w:p w14:paraId="317B331D" w14:textId="5B33DBC4" w:rsidR="000D5DA1" w:rsidRPr="000D5DA1" w:rsidRDefault="000D5DA1" w:rsidP="000D5DA1">
            <w:r w:rsidRPr="000D5DA1">
              <w:rPr>
                <w:szCs w:val="20"/>
              </w:rPr>
              <w:t>Много редки</w:t>
            </w:r>
          </w:p>
        </w:tc>
        <w:tc>
          <w:tcPr>
            <w:tcW w:w="3192" w:type="dxa"/>
          </w:tcPr>
          <w:p w14:paraId="5E64C01E" w14:textId="6F82DC6C" w:rsidR="000D5DA1" w:rsidRPr="000D5DA1" w:rsidRDefault="000D5DA1" w:rsidP="000D5DA1">
            <w:r w:rsidRPr="000D5DA1">
              <w:rPr>
                <w:szCs w:val="20"/>
              </w:rPr>
              <w:t>Болки в гърба, артралгия, миалгия</w:t>
            </w:r>
          </w:p>
        </w:tc>
      </w:tr>
      <w:tr w:rsidR="000D5DA1" w14:paraId="0BF19876" w14:textId="77777777" w:rsidTr="000D5DA1">
        <w:tc>
          <w:tcPr>
            <w:tcW w:w="3192" w:type="dxa"/>
          </w:tcPr>
          <w:p w14:paraId="43273369" w14:textId="0A4EFC7F" w:rsidR="000D5DA1" w:rsidRPr="000D5DA1" w:rsidRDefault="000D5DA1" w:rsidP="000D5DA1">
            <w:r w:rsidRPr="000D5DA1">
              <w:rPr>
                <w:szCs w:val="20"/>
              </w:rPr>
              <w:lastRenderedPageBreak/>
              <w:t>Нарушения на бъбреците и пикочните пътища</w:t>
            </w:r>
          </w:p>
        </w:tc>
        <w:tc>
          <w:tcPr>
            <w:tcW w:w="3192" w:type="dxa"/>
          </w:tcPr>
          <w:p w14:paraId="51EC0CB9" w14:textId="13393EED" w:rsidR="000D5DA1" w:rsidRPr="000D5DA1" w:rsidRDefault="000D5DA1" w:rsidP="000D5DA1">
            <w:r w:rsidRPr="000D5DA1">
              <w:rPr>
                <w:szCs w:val="20"/>
              </w:rPr>
              <w:t>Много редки</w:t>
            </w:r>
          </w:p>
        </w:tc>
        <w:tc>
          <w:tcPr>
            <w:tcW w:w="3192" w:type="dxa"/>
            <w:vAlign w:val="bottom"/>
          </w:tcPr>
          <w:p w14:paraId="67B0FD48" w14:textId="162FB2B6" w:rsidR="000D5DA1" w:rsidRPr="000D5DA1" w:rsidRDefault="000D5DA1" w:rsidP="000D5DA1">
            <w:r w:rsidRPr="000D5DA1">
              <w:rPr>
                <w:szCs w:val="20"/>
              </w:rPr>
              <w:t>Бъбречно увреждане, включително бъбречна недостатъчност при предразположени пациенти (вижте точка 4.4)</w:t>
            </w:r>
          </w:p>
        </w:tc>
      </w:tr>
    </w:tbl>
    <w:p w14:paraId="237459E0" w14:textId="77777777" w:rsidR="000D5DA1" w:rsidRDefault="000D5DA1" w:rsidP="000D5DA1">
      <w:pPr>
        <w:spacing w:line="240" w:lineRule="auto"/>
        <w:rPr>
          <w:rFonts w:ascii="Times New Roman" w:eastAsia="Times New Roman" w:hAnsi="Times New Roman" w:cs="Times New Roman"/>
          <w:b/>
          <w:bCs/>
          <w:color w:val="000000"/>
          <w:sz w:val="20"/>
          <w:szCs w:val="20"/>
          <w:lang w:eastAsia="bg-BG"/>
        </w:rPr>
      </w:pPr>
    </w:p>
    <w:p w14:paraId="5B6C1E1A" w14:textId="6B7931B2" w:rsidR="000D5DA1" w:rsidRPr="000D5DA1" w:rsidRDefault="000D5DA1" w:rsidP="000D5DA1">
      <w:pPr>
        <w:spacing w:line="240" w:lineRule="auto"/>
        <w:rPr>
          <w:rFonts w:eastAsia="Times New Roman" w:cs="Arial"/>
          <w:sz w:val="28"/>
          <w:szCs w:val="24"/>
        </w:rPr>
      </w:pPr>
      <w:r w:rsidRPr="000D5DA1">
        <w:rPr>
          <w:rFonts w:eastAsia="Times New Roman" w:cs="Arial"/>
          <w:b/>
          <w:bCs/>
          <w:color w:val="000000"/>
          <w:szCs w:val="20"/>
          <w:lang w:eastAsia="bg-BG"/>
        </w:rPr>
        <w:t>Лабораторни изследвания</w:t>
      </w:r>
    </w:p>
    <w:p w14:paraId="379BDC2C" w14:textId="41A8A28B" w:rsidR="000D5DA1" w:rsidRP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По принцип не е открито клинично значимо повлияване на рутинните лабораторни показатели от кандесартан цилексетил. Както при другите инхибитори на ренин-ангиотензин-алдостероновата система, наблюдавано е слабо понижение на хемоглобина.</w:t>
      </w:r>
    </w:p>
    <w:p w14:paraId="7D7082DD" w14:textId="6059465A" w:rsidR="000D5DA1" w:rsidRPr="000D5DA1" w:rsidRDefault="000D5DA1" w:rsidP="000D5DA1">
      <w:pPr>
        <w:rPr>
          <w:rFonts w:eastAsia="Times New Roman" w:cs="Arial"/>
          <w:color w:val="000000"/>
          <w:szCs w:val="20"/>
          <w:lang w:eastAsia="bg-BG"/>
        </w:rPr>
      </w:pPr>
    </w:p>
    <w:p w14:paraId="1235B6B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Обикновено не е необходимо рутинно проследяване на лабораторните показатели при пациенти, които приемат Репидо. Обаче, при пациенти с бъбречно увреждане се препоръчва периодично проследяване на стойностите на серумния калий и креатинина.</w:t>
      </w:r>
    </w:p>
    <w:p w14:paraId="6BFA1DE3" w14:textId="77777777" w:rsidR="000D5DA1" w:rsidRPr="000D5DA1" w:rsidRDefault="000D5DA1" w:rsidP="000D5DA1">
      <w:pPr>
        <w:spacing w:line="240" w:lineRule="auto"/>
        <w:rPr>
          <w:rFonts w:eastAsia="Times New Roman" w:cs="Arial"/>
          <w:b/>
          <w:bCs/>
          <w:color w:val="000000"/>
          <w:szCs w:val="20"/>
          <w:lang w:eastAsia="bg-BG"/>
        </w:rPr>
      </w:pPr>
    </w:p>
    <w:p w14:paraId="31AF983F" w14:textId="09B7D1D9" w:rsidR="000D5DA1" w:rsidRPr="000D5DA1" w:rsidRDefault="000D5DA1" w:rsidP="000D5DA1">
      <w:pPr>
        <w:spacing w:line="240" w:lineRule="auto"/>
        <w:rPr>
          <w:rFonts w:eastAsia="Times New Roman" w:cs="Arial"/>
          <w:b/>
          <w:bCs/>
          <w:color w:val="000000"/>
          <w:szCs w:val="20"/>
          <w:lang w:eastAsia="bg-BG"/>
        </w:rPr>
      </w:pPr>
      <w:r w:rsidRPr="000D5DA1">
        <w:rPr>
          <w:rFonts w:eastAsia="Times New Roman" w:cs="Arial"/>
          <w:b/>
          <w:bCs/>
          <w:color w:val="000000"/>
          <w:szCs w:val="20"/>
          <w:lang w:eastAsia="bg-BG"/>
        </w:rPr>
        <w:t>Лечение на сърдечна недостатъчност</w:t>
      </w:r>
    </w:p>
    <w:p w14:paraId="387075D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Профилът на нежеланите лекарствени реакции на кандесартан цилексетил при пациенти със сърдечна недостатъчност съответства на фармакологичните свойства на лекарството и на здравното състояние на пациентите. В клиничната програма </w:t>
      </w:r>
      <w:r w:rsidRPr="000D5DA1">
        <w:rPr>
          <w:rFonts w:eastAsia="Times New Roman" w:cs="Arial"/>
          <w:color w:val="000000"/>
          <w:szCs w:val="20"/>
          <w:lang w:val="en-US"/>
        </w:rPr>
        <w:t>CHARM</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сравняваща кандесартан цилексетил в дози до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w:t>
      </w:r>
      <w:r w:rsidRPr="000D5DA1">
        <w:rPr>
          <w:rFonts w:eastAsia="Times New Roman" w:cs="Arial"/>
          <w:color w:val="000000"/>
          <w:szCs w:val="20"/>
          <w:lang w:val="en-US"/>
        </w:rPr>
        <w:t>n</w:t>
      </w:r>
      <w:r w:rsidRPr="000D5DA1">
        <w:rPr>
          <w:rFonts w:eastAsia="Times New Roman" w:cs="Arial"/>
          <w:color w:val="000000"/>
          <w:szCs w:val="20"/>
          <w:lang w:eastAsia="bg-BG"/>
        </w:rPr>
        <w:t>= 3 803) с плацебо (</w:t>
      </w:r>
      <w:r w:rsidRPr="000D5DA1">
        <w:rPr>
          <w:rFonts w:eastAsia="Times New Roman" w:cs="Arial"/>
          <w:color w:val="000000"/>
          <w:szCs w:val="20"/>
          <w:lang w:val="en-US"/>
        </w:rPr>
        <w:t>n</w:t>
      </w:r>
      <w:r w:rsidRPr="000D5DA1">
        <w:rPr>
          <w:rFonts w:eastAsia="Times New Roman" w:cs="Arial"/>
          <w:color w:val="000000"/>
          <w:szCs w:val="20"/>
          <w:lang w:eastAsia="bg-BG"/>
        </w:rPr>
        <w:t xml:space="preserve"> = 3 796), 21,0% от пациентите в групата с кандесартан цилексетил и 16,1% от групата с плацебо са преустановили лечението поради нежелани лекарствени реакции. Често наблюдаваните нежелани реакции са били хиперкалиемия, хипотония и бъбречно увреждане. Тези събития са били най-чести при пациенти над 70 години, при дибетици, или при индивиди, които приемат други лекарствени продукти, повлияващи ренин- ангиотензин алдостероновата система, особено АСЕ инхибитори и/или спиронолактон.</w:t>
      </w:r>
    </w:p>
    <w:p w14:paraId="067D37CE" w14:textId="77777777" w:rsidR="000D5DA1" w:rsidRPr="000D5DA1" w:rsidRDefault="000D5DA1" w:rsidP="000D5DA1">
      <w:pPr>
        <w:rPr>
          <w:rFonts w:eastAsia="Times New Roman" w:cs="Arial"/>
          <w:color w:val="000000"/>
          <w:szCs w:val="20"/>
          <w:lang w:eastAsia="bg-BG"/>
        </w:rPr>
      </w:pPr>
    </w:p>
    <w:p w14:paraId="5BECE474" w14:textId="0232CE6A" w:rsid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Таблицата представя нежелани реакции от клинични проучвания и постмаркетингов опит.</w:t>
      </w:r>
    </w:p>
    <w:p w14:paraId="72257C17" w14:textId="2316786B" w:rsidR="000D5DA1" w:rsidRDefault="000D5DA1" w:rsidP="000D5DA1">
      <w:pPr>
        <w:rPr>
          <w:rFonts w:eastAsia="Times New Roman" w:cs="Arial"/>
          <w:color w:val="000000"/>
          <w:szCs w:val="20"/>
          <w:lang w:eastAsia="bg-BG"/>
        </w:rPr>
      </w:pPr>
    </w:p>
    <w:tbl>
      <w:tblPr>
        <w:tblStyle w:val="TableGrid"/>
        <w:tblW w:w="0" w:type="auto"/>
        <w:tblLook w:val="04A0" w:firstRow="1" w:lastRow="0" w:firstColumn="1" w:lastColumn="0" w:noHBand="0" w:noVBand="1"/>
      </w:tblPr>
      <w:tblGrid>
        <w:gridCol w:w="3128"/>
        <w:gridCol w:w="3099"/>
        <w:gridCol w:w="3123"/>
      </w:tblGrid>
      <w:tr w:rsidR="000D5DA1" w14:paraId="11ABC02A" w14:textId="77777777" w:rsidTr="000D5DA1">
        <w:tc>
          <w:tcPr>
            <w:tcW w:w="3192" w:type="dxa"/>
          </w:tcPr>
          <w:p w14:paraId="43994259" w14:textId="0E1AB8AF" w:rsidR="000D5DA1" w:rsidRPr="000D5DA1" w:rsidRDefault="000D5DA1" w:rsidP="000D5DA1">
            <w:pPr>
              <w:rPr>
                <w:rFonts w:eastAsia="Times New Roman" w:cs="Arial"/>
                <w:color w:val="000000"/>
                <w:szCs w:val="20"/>
                <w:lang w:eastAsia="bg-BG"/>
              </w:rPr>
            </w:pPr>
            <w:r w:rsidRPr="000D5DA1">
              <w:rPr>
                <w:b/>
                <w:bCs/>
                <w:szCs w:val="20"/>
              </w:rPr>
              <w:t>Системно-органни класове</w:t>
            </w:r>
          </w:p>
        </w:tc>
        <w:tc>
          <w:tcPr>
            <w:tcW w:w="3192" w:type="dxa"/>
          </w:tcPr>
          <w:p w14:paraId="699331E3" w14:textId="322BC893" w:rsidR="000D5DA1" w:rsidRPr="000D5DA1" w:rsidRDefault="000D5DA1" w:rsidP="000D5DA1">
            <w:pPr>
              <w:rPr>
                <w:rFonts w:eastAsia="Times New Roman" w:cs="Arial"/>
                <w:color w:val="000000"/>
                <w:szCs w:val="20"/>
                <w:lang w:eastAsia="bg-BG"/>
              </w:rPr>
            </w:pPr>
            <w:r w:rsidRPr="000D5DA1">
              <w:rPr>
                <w:b/>
                <w:bCs/>
                <w:szCs w:val="20"/>
              </w:rPr>
              <w:t>Честота</w:t>
            </w:r>
          </w:p>
        </w:tc>
        <w:tc>
          <w:tcPr>
            <w:tcW w:w="3192" w:type="dxa"/>
          </w:tcPr>
          <w:p w14:paraId="4EEDBE56" w14:textId="54BA6F51" w:rsidR="000D5DA1" w:rsidRPr="000D5DA1" w:rsidRDefault="000D5DA1" w:rsidP="000D5DA1">
            <w:pPr>
              <w:rPr>
                <w:rFonts w:eastAsia="Times New Roman" w:cs="Arial"/>
                <w:color w:val="000000"/>
                <w:szCs w:val="20"/>
                <w:lang w:eastAsia="bg-BG"/>
              </w:rPr>
            </w:pPr>
            <w:r w:rsidRPr="000D5DA1">
              <w:rPr>
                <w:b/>
                <w:bCs/>
                <w:szCs w:val="20"/>
              </w:rPr>
              <w:t>Нежелани лекарствени реакции</w:t>
            </w:r>
          </w:p>
        </w:tc>
      </w:tr>
      <w:tr w:rsidR="000D5DA1" w14:paraId="0BAB3674" w14:textId="77777777" w:rsidTr="000D5DA1">
        <w:tc>
          <w:tcPr>
            <w:tcW w:w="3192" w:type="dxa"/>
          </w:tcPr>
          <w:p w14:paraId="04F7B359" w14:textId="0F4D4DF2" w:rsidR="000D5DA1" w:rsidRPr="000D5DA1" w:rsidRDefault="000D5DA1" w:rsidP="000D5DA1">
            <w:pPr>
              <w:rPr>
                <w:rFonts w:eastAsia="Times New Roman" w:cs="Arial"/>
                <w:color w:val="000000"/>
                <w:szCs w:val="20"/>
                <w:lang w:eastAsia="bg-BG"/>
              </w:rPr>
            </w:pPr>
            <w:r w:rsidRPr="000D5DA1">
              <w:rPr>
                <w:szCs w:val="20"/>
              </w:rPr>
              <w:t>Нарушения на кръвта и лимфната система</w:t>
            </w:r>
          </w:p>
        </w:tc>
        <w:tc>
          <w:tcPr>
            <w:tcW w:w="3192" w:type="dxa"/>
          </w:tcPr>
          <w:p w14:paraId="2DA817A1" w14:textId="23B3F663"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249F3B1B" w14:textId="49FFF3A7" w:rsidR="000D5DA1" w:rsidRPr="000D5DA1" w:rsidRDefault="000D5DA1" w:rsidP="000D5DA1">
            <w:pPr>
              <w:rPr>
                <w:rFonts w:eastAsia="Times New Roman" w:cs="Arial"/>
                <w:color w:val="000000"/>
                <w:szCs w:val="20"/>
                <w:lang w:eastAsia="bg-BG"/>
              </w:rPr>
            </w:pPr>
            <w:r w:rsidRPr="000D5DA1">
              <w:rPr>
                <w:szCs w:val="20"/>
              </w:rPr>
              <w:t>Левкопения, неутропения и агранулоцитоза</w:t>
            </w:r>
          </w:p>
        </w:tc>
      </w:tr>
      <w:tr w:rsidR="000D5DA1" w14:paraId="1ED02A85" w14:textId="77777777" w:rsidTr="000D5DA1">
        <w:tc>
          <w:tcPr>
            <w:tcW w:w="3192" w:type="dxa"/>
            <w:vMerge w:val="restart"/>
          </w:tcPr>
          <w:p w14:paraId="4254CA18" w14:textId="7B3336A4" w:rsidR="000D5DA1" w:rsidRPr="000D5DA1" w:rsidRDefault="000D5DA1" w:rsidP="000D5DA1">
            <w:pPr>
              <w:rPr>
                <w:rFonts w:eastAsia="Times New Roman" w:cs="Arial"/>
                <w:color w:val="000000"/>
                <w:szCs w:val="20"/>
                <w:lang w:eastAsia="bg-BG"/>
              </w:rPr>
            </w:pPr>
            <w:r w:rsidRPr="000D5DA1">
              <w:rPr>
                <w:szCs w:val="20"/>
              </w:rPr>
              <w:t>Нарушения на метаболизма и храненето</w:t>
            </w:r>
          </w:p>
        </w:tc>
        <w:tc>
          <w:tcPr>
            <w:tcW w:w="3192" w:type="dxa"/>
          </w:tcPr>
          <w:p w14:paraId="49D9DF46" w14:textId="76C41DC6" w:rsidR="000D5DA1" w:rsidRPr="000D5DA1" w:rsidRDefault="000D5DA1" w:rsidP="000D5DA1">
            <w:pPr>
              <w:rPr>
                <w:rFonts w:eastAsia="Times New Roman" w:cs="Arial"/>
                <w:color w:val="000000"/>
                <w:szCs w:val="20"/>
                <w:lang w:eastAsia="bg-BG"/>
              </w:rPr>
            </w:pPr>
            <w:r w:rsidRPr="000D5DA1">
              <w:rPr>
                <w:szCs w:val="20"/>
              </w:rPr>
              <w:t>Чести</w:t>
            </w:r>
          </w:p>
        </w:tc>
        <w:tc>
          <w:tcPr>
            <w:tcW w:w="3192" w:type="dxa"/>
          </w:tcPr>
          <w:p w14:paraId="46575121" w14:textId="5CB719DB" w:rsidR="000D5DA1" w:rsidRPr="000D5DA1" w:rsidRDefault="000D5DA1" w:rsidP="000D5DA1">
            <w:pPr>
              <w:rPr>
                <w:rFonts w:eastAsia="Times New Roman" w:cs="Arial"/>
                <w:color w:val="000000"/>
                <w:szCs w:val="20"/>
                <w:lang w:eastAsia="bg-BG"/>
              </w:rPr>
            </w:pPr>
            <w:r w:rsidRPr="000D5DA1">
              <w:rPr>
                <w:szCs w:val="20"/>
              </w:rPr>
              <w:t>Хиперкалиемия</w:t>
            </w:r>
          </w:p>
        </w:tc>
      </w:tr>
      <w:tr w:rsidR="000D5DA1" w14:paraId="01AF504D" w14:textId="77777777" w:rsidTr="000D5DA1">
        <w:tc>
          <w:tcPr>
            <w:tcW w:w="3192" w:type="dxa"/>
            <w:vMerge/>
          </w:tcPr>
          <w:p w14:paraId="32FBE764" w14:textId="77777777" w:rsidR="000D5DA1" w:rsidRPr="000D5DA1" w:rsidRDefault="000D5DA1" w:rsidP="000D5DA1">
            <w:pPr>
              <w:rPr>
                <w:rFonts w:eastAsia="Times New Roman" w:cs="Arial"/>
                <w:color w:val="000000"/>
                <w:szCs w:val="20"/>
                <w:lang w:eastAsia="bg-BG"/>
              </w:rPr>
            </w:pPr>
          </w:p>
        </w:tc>
        <w:tc>
          <w:tcPr>
            <w:tcW w:w="3192" w:type="dxa"/>
          </w:tcPr>
          <w:p w14:paraId="04E8AE37" w14:textId="7767DA2B"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6D702103" w14:textId="6629AE3D" w:rsidR="000D5DA1" w:rsidRPr="000D5DA1" w:rsidRDefault="000D5DA1" w:rsidP="000D5DA1">
            <w:pPr>
              <w:rPr>
                <w:rFonts w:eastAsia="Times New Roman" w:cs="Arial"/>
                <w:color w:val="000000"/>
                <w:szCs w:val="20"/>
                <w:lang w:eastAsia="bg-BG"/>
              </w:rPr>
            </w:pPr>
            <w:r w:rsidRPr="000D5DA1">
              <w:rPr>
                <w:szCs w:val="20"/>
              </w:rPr>
              <w:t>Хипонатриемия</w:t>
            </w:r>
          </w:p>
        </w:tc>
      </w:tr>
      <w:tr w:rsidR="000D5DA1" w14:paraId="42C866AA" w14:textId="77777777" w:rsidTr="000D5DA1">
        <w:tc>
          <w:tcPr>
            <w:tcW w:w="3192" w:type="dxa"/>
          </w:tcPr>
          <w:p w14:paraId="3DA85624" w14:textId="680E357F" w:rsidR="000D5DA1" w:rsidRPr="000D5DA1" w:rsidRDefault="000D5DA1" w:rsidP="000D5DA1">
            <w:pPr>
              <w:rPr>
                <w:rFonts w:eastAsia="Times New Roman" w:cs="Arial"/>
                <w:color w:val="000000"/>
                <w:szCs w:val="20"/>
                <w:lang w:eastAsia="bg-BG"/>
              </w:rPr>
            </w:pPr>
            <w:r w:rsidRPr="000D5DA1">
              <w:rPr>
                <w:szCs w:val="20"/>
              </w:rPr>
              <w:t>Нарушения на нервната система</w:t>
            </w:r>
          </w:p>
        </w:tc>
        <w:tc>
          <w:tcPr>
            <w:tcW w:w="3192" w:type="dxa"/>
          </w:tcPr>
          <w:p w14:paraId="7DFD7772" w14:textId="04273317"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7FDC557C" w14:textId="6EDFA6AF" w:rsidR="000D5DA1" w:rsidRPr="000D5DA1" w:rsidRDefault="000D5DA1" w:rsidP="000D5DA1">
            <w:pPr>
              <w:rPr>
                <w:rFonts w:eastAsia="Times New Roman" w:cs="Arial"/>
                <w:color w:val="000000"/>
                <w:szCs w:val="20"/>
                <w:lang w:eastAsia="bg-BG"/>
              </w:rPr>
            </w:pPr>
            <w:r w:rsidRPr="000D5DA1">
              <w:rPr>
                <w:szCs w:val="20"/>
              </w:rPr>
              <w:t>Замаяност, главоболие</w:t>
            </w:r>
          </w:p>
        </w:tc>
      </w:tr>
      <w:tr w:rsidR="000D5DA1" w14:paraId="562DEC66" w14:textId="77777777" w:rsidTr="000D5DA1">
        <w:tc>
          <w:tcPr>
            <w:tcW w:w="3192" w:type="dxa"/>
          </w:tcPr>
          <w:p w14:paraId="1D1761E6" w14:textId="150A83A9" w:rsidR="000D5DA1" w:rsidRPr="000D5DA1" w:rsidRDefault="000D5DA1" w:rsidP="000D5DA1">
            <w:pPr>
              <w:rPr>
                <w:rFonts w:eastAsia="Times New Roman" w:cs="Arial"/>
                <w:color w:val="000000"/>
                <w:szCs w:val="20"/>
                <w:lang w:eastAsia="bg-BG"/>
              </w:rPr>
            </w:pPr>
            <w:r w:rsidRPr="000D5DA1">
              <w:rPr>
                <w:szCs w:val="20"/>
              </w:rPr>
              <w:t>Съдови нарушения</w:t>
            </w:r>
          </w:p>
        </w:tc>
        <w:tc>
          <w:tcPr>
            <w:tcW w:w="3192" w:type="dxa"/>
          </w:tcPr>
          <w:p w14:paraId="25137BBD" w14:textId="4F699614" w:rsidR="000D5DA1" w:rsidRPr="000D5DA1" w:rsidRDefault="000D5DA1" w:rsidP="000D5DA1">
            <w:pPr>
              <w:rPr>
                <w:rFonts w:eastAsia="Times New Roman" w:cs="Arial"/>
                <w:color w:val="000000"/>
                <w:szCs w:val="20"/>
                <w:lang w:eastAsia="bg-BG"/>
              </w:rPr>
            </w:pPr>
            <w:r w:rsidRPr="000D5DA1">
              <w:rPr>
                <w:szCs w:val="20"/>
              </w:rPr>
              <w:t>Чести</w:t>
            </w:r>
          </w:p>
        </w:tc>
        <w:tc>
          <w:tcPr>
            <w:tcW w:w="3192" w:type="dxa"/>
          </w:tcPr>
          <w:p w14:paraId="777ECA90" w14:textId="20AF5323" w:rsidR="000D5DA1" w:rsidRPr="000D5DA1" w:rsidRDefault="000D5DA1" w:rsidP="000D5DA1">
            <w:pPr>
              <w:rPr>
                <w:rFonts w:eastAsia="Times New Roman" w:cs="Arial"/>
                <w:color w:val="000000"/>
                <w:szCs w:val="20"/>
                <w:lang w:eastAsia="bg-BG"/>
              </w:rPr>
            </w:pPr>
            <w:r w:rsidRPr="000D5DA1">
              <w:rPr>
                <w:szCs w:val="20"/>
              </w:rPr>
              <w:t>Хипотония</w:t>
            </w:r>
          </w:p>
        </w:tc>
      </w:tr>
      <w:tr w:rsidR="000D5DA1" w14:paraId="6DB819A6" w14:textId="77777777" w:rsidTr="000D5DA1">
        <w:trPr>
          <w:trHeight w:val="64"/>
        </w:trPr>
        <w:tc>
          <w:tcPr>
            <w:tcW w:w="3192" w:type="dxa"/>
            <w:vMerge w:val="restart"/>
          </w:tcPr>
          <w:p w14:paraId="3AD2E916" w14:textId="01151F57" w:rsidR="000D5DA1" w:rsidRPr="000D5DA1" w:rsidRDefault="000D5DA1" w:rsidP="000D5DA1">
            <w:pPr>
              <w:rPr>
                <w:rFonts w:eastAsia="Times New Roman" w:cs="Arial"/>
                <w:color w:val="000000"/>
                <w:szCs w:val="20"/>
                <w:lang w:eastAsia="bg-BG"/>
              </w:rPr>
            </w:pPr>
            <w:r w:rsidRPr="000D5DA1">
              <w:rPr>
                <w:szCs w:val="20"/>
              </w:rPr>
              <w:t>Стомашно-чревни нарушения</w:t>
            </w:r>
          </w:p>
        </w:tc>
        <w:tc>
          <w:tcPr>
            <w:tcW w:w="3192" w:type="dxa"/>
          </w:tcPr>
          <w:p w14:paraId="4844B746" w14:textId="225FF3DF"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0F37E0CF" w14:textId="561B6C62" w:rsidR="000D5DA1" w:rsidRPr="000D5DA1" w:rsidRDefault="000D5DA1" w:rsidP="000D5DA1">
            <w:pPr>
              <w:rPr>
                <w:rFonts w:eastAsia="Times New Roman" w:cs="Arial"/>
                <w:color w:val="000000"/>
                <w:szCs w:val="20"/>
                <w:lang w:eastAsia="bg-BG"/>
              </w:rPr>
            </w:pPr>
            <w:r w:rsidRPr="000D5DA1">
              <w:rPr>
                <w:szCs w:val="20"/>
              </w:rPr>
              <w:t>Гадене</w:t>
            </w:r>
          </w:p>
        </w:tc>
      </w:tr>
      <w:tr w:rsidR="000D5DA1" w14:paraId="2E1F68A0" w14:textId="77777777" w:rsidTr="000D5DA1">
        <w:tc>
          <w:tcPr>
            <w:tcW w:w="3192" w:type="dxa"/>
            <w:vMerge/>
          </w:tcPr>
          <w:p w14:paraId="4ABCD4D7" w14:textId="77777777" w:rsidR="000D5DA1" w:rsidRPr="000D5DA1" w:rsidRDefault="000D5DA1" w:rsidP="000D5DA1">
            <w:pPr>
              <w:rPr>
                <w:rFonts w:eastAsia="Times New Roman" w:cs="Arial"/>
                <w:color w:val="000000"/>
                <w:szCs w:val="20"/>
                <w:lang w:eastAsia="bg-BG"/>
              </w:rPr>
            </w:pPr>
          </w:p>
        </w:tc>
        <w:tc>
          <w:tcPr>
            <w:tcW w:w="3192" w:type="dxa"/>
          </w:tcPr>
          <w:p w14:paraId="493E065C" w14:textId="7519BDAF" w:rsidR="000D5DA1" w:rsidRPr="000D5DA1" w:rsidRDefault="000D5DA1" w:rsidP="000D5DA1">
            <w:pPr>
              <w:rPr>
                <w:rFonts w:eastAsia="Times New Roman" w:cs="Arial"/>
                <w:color w:val="000000"/>
                <w:szCs w:val="20"/>
                <w:lang w:eastAsia="bg-BG"/>
              </w:rPr>
            </w:pPr>
            <w:r w:rsidRPr="000D5DA1">
              <w:rPr>
                <w:szCs w:val="20"/>
              </w:rPr>
              <w:t>С неизвестна честота</w:t>
            </w:r>
          </w:p>
        </w:tc>
        <w:tc>
          <w:tcPr>
            <w:tcW w:w="3192" w:type="dxa"/>
          </w:tcPr>
          <w:p w14:paraId="6B86D17C" w14:textId="778ECF11" w:rsidR="000D5DA1" w:rsidRPr="000D5DA1" w:rsidRDefault="000D5DA1" w:rsidP="000D5DA1">
            <w:pPr>
              <w:rPr>
                <w:rFonts w:eastAsia="Times New Roman" w:cs="Arial"/>
                <w:color w:val="000000"/>
                <w:szCs w:val="20"/>
                <w:lang w:eastAsia="bg-BG"/>
              </w:rPr>
            </w:pPr>
            <w:r w:rsidRPr="000D5DA1">
              <w:rPr>
                <w:szCs w:val="20"/>
              </w:rPr>
              <w:t>диария</w:t>
            </w:r>
          </w:p>
        </w:tc>
      </w:tr>
      <w:tr w:rsidR="000D5DA1" w14:paraId="05E1FD08" w14:textId="77777777" w:rsidTr="000D5DA1">
        <w:tc>
          <w:tcPr>
            <w:tcW w:w="3192" w:type="dxa"/>
          </w:tcPr>
          <w:p w14:paraId="05FD8F3B" w14:textId="68E3FAB6" w:rsidR="000D5DA1" w:rsidRPr="000D5DA1" w:rsidRDefault="000D5DA1" w:rsidP="000D5DA1">
            <w:pPr>
              <w:rPr>
                <w:rFonts w:eastAsia="Times New Roman" w:cs="Arial"/>
                <w:color w:val="000000"/>
                <w:szCs w:val="20"/>
                <w:lang w:eastAsia="bg-BG"/>
              </w:rPr>
            </w:pPr>
            <w:r w:rsidRPr="000D5DA1">
              <w:rPr>
                <w:szCs w:val="20"/>
              </w:rPr>
              <w:t>Хепатобилиарни нарушения</w:t>
            </w:r>
          </w:p>
        </w:tc>
        <w:tc>
          <w:tcPr>
            <w:tcW w:w="3192" w:type="dxa"/>
          </w:tcPr>
          <w:p w14:paraId="6B6C7A63" w14:textId="0D16024B"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3BA00B65" w14:textId="2062B97C" w:rsidR="000D5DA1" w:rsidRPr="000D5DA1" w:rsidRDefault="000D5DA1" w:rsidP="000D5DA1">
            <w:pPr>
              <w:rPr>
                <w:rFonts w:eastAsia="Times New Roman" w:cs="Arial"/>
                <w:color w:val="000000"/>
                <w:szCs w:val="20"/>
                <w:lang w:eastAsia="bg-BG"/>
              </w:rPr>
            </w:pPr>
            <w:r w:rsidRPr="000D5DA1">
              <w:rPr>
                <w:szCs w:val="20"/>
              </w:rPr>
              <w:t>Повишени чернодробни ензими, нарушена чернодробна функция или хепатит</w:t>
            </w:r>
          </w:p>
        </w:tc>
      </w:tr>
      <w:tr w:rsidR="000D5DA1" w14:paraId="5397341C" w14:textId="77777777" w:rsidTr="000D5DA1">
        <w:tc>
          <w:tcPr>
            <w:tcW w:w="3192" w:type="dxa"/>
          </w:tcPr>
          <w:p w14:paraId="49B4DF7E" w14:textId="06729368" w:rsidR="000D5DA1" w:rsidRPr="000D5DA1" w:rsidRDefault="000D5DA1" w:rsidP="000D5DA1">
            <w:pPr>
              <w:rPr>
                <w:rFonts w:eastAsia="Times New Roman" w:cs="Arial"/>
                <w:color w:val="000000"/>
                <w:szCs w:val="20"/>
                <w:lang w:eastAsia="bg-BG"/>
              </w:rPr>
            </w:pPr>
            <w:r w:rsidRPr="000D5DA1">
              <w:rPr>
                <w:szCs w:val="20"/>
              </w:rPr>
              <w:t>Нарушения на кожата и подкожната тъкан</w:t>
            </w:r>
          </w:p>
        </w:tc>
        <w:tc>
          <w:tcPr>
            <w:tcW w:w="3192" w:type="dxa"/>
          </w:tcPr>
          <w:p w14:paraId="3AEEB878" w14:textId="748DA996"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7327A94F" w14:textId="79AFD128" w:rsidR="000D5DA1" w:rsidRPr="000D5DA1" w:rsidRDefault="000D5DA1" w:rsidP="000D5DA1">
            <w:pPr>
              <w:rPr>
                <w:rFonts w:eastAsia="Times New Roman" w:cs="Arial"/>
                <w:color w:val="000000"/>
                <w:szCs w:val="20"/>
                <w:lang w:eastAsia="bg-BG"/>
              </w:rPr>
            </w:pPr>
            <w:r w:rsidRPr="000D5DA1">
              <w:rPr>
                <w:szCs w:val="20"/>
              </w:rPr>
              <w:t>Ангиоедем, обрив, уртикария, сърбеж</w:t>
            </w:r>
          </w:p>
        </w:tc>
      </w:tr>
      <w:tr w:rsidR="000D5DA1" w14:paraId="223AF91E" w14:textId="77777777" w:rsidTr="000D5DA1">
        <w:tc>
          <w:tcPr>
            <w:tcW w:w="3192" w:type="dxa"/>
          </w:tcPr>
          <w:p w14:paraId="6AB6EC1D" w14:textId="68F7DA7F" w:rsidR="000D5DA1" w:rsidRPr="000D5DA1" w:rsidRDefault="000D5DA1" w:rsidP="000D5DA1">
            <w:pPr>
              <w:rPr>
                <w:rFonts w:eastAsia="Times New Roman" w:cs="Arial"/>
                <w:color w:val="000000"/>
                <w:szCs w:val="20"/>
                <w:lang w:eastAsia="bg-BG"/>
              </w:rPr>
            </w:pPr>
            <w:r w:rsidRPr="000D5DA1">
              <w:rPr>
                <w:szCs w:val="20"/>
              </w:rPr>
              <w:lastRenderedPageBreak/>
              <w:t>Нарушения на мускулно- скелетната система и съединителната тъкан</w:t>
            </w:r>
          </w:p>
        </w:tc>
        <w:tc>
          <w:tcPr>
            <w:tcW w:w="3192" w:type="dxa"/>
          </w:tcPr>
          <w:p w14:paraId="068CFB7E" w14:textId="07863ACB"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6998B3EA" w14:textId="438A2C80" w:rsidR="000D5DA1" w:rsidRPr="000D5DA1" w:rsidRDefault="000D5DA1" w:rsidP="000D5DA1">
            <w:pPr>
              <w:rPr>
                <w:rFonts w:eastAsia="Times New Roman" w:cs="Arial"/>
                <w:color w:val="000000"/>
                <w:szCs w:val="20"/>
                <w:lang w:eastAsia="bg-BG"/>
              </w:rPr>
            </w:pPr>
            <w:r w:rsidRPr="000D5DA1">
              <w:rPr>
                <w:szCs w:val="20"/>
              </w:rPr>
              <w:t>Болка в гърба, артралгия, миалгия</w:t>
            </w:r>
          </w:p>
        </w:tc>
      </w:tr>
      <w:tr w:rsidR="000D5DA1" w14:paraId="4C53AAA6" w14:textId="77777777" w:rsidTr="000D5DA1">
        <w:tc>
          <w:tcPr>
            <w:tcW w:w="3192" w:type="dxa"/>
          </w:tcPr>
          <w:p w14:paraId="4B73B6F5" w14:textId="26DA1187" w:rsidR="000D5DA1" w:rsidRPr="000D5DA1" w:rsidRDefault="000D5DA1" w:rsidP="000D5DA1">
            <w:pPr>
              <w:rPr>
                <w:rFonts w:eastAsia="Times New Roman" w:cs="Arial"/>
                <w:color w:val="000000"/>
                <w:szCs w:val="20"/>
                <w:lang w:eastAsia="bg-BG"/>
              </w:rPr>
            </w:pPr>
            <w:r w:rsidRPr="000D5DA1">
              <w:rPr>
                <w:szCs w:val="20"/>
              </w:rPr>
              <w:t xml:space="preserve">Нарушения на бъбреците </w:t>
            </w:r>
            <w:r w:rsidRPr="000D5DA1">
              <w:rPr>
                <w:i/>
                <w:iCs/>
                <w:szCs w:val="20"/>
              </w:rPr>
              <w:t xml:space="preserve">и </w:t>
            </w:r>
            <w:r w:rsidRPr="000D5DA1">
              <w:rPr>
                <w:szCs w:val="20"/>
              </w:rPr>
              <w:t>пикочните пътища</w:t>
            </w:r>
          </w:p>
        </w:tc>
        <w:tc>
          <w:tcPr>
            <w:tcW w:w="3192" w:type="dxa"/>
          </w:tcPr>
          <w:p w14:paraId="313EC4A6" w14:textId="16DF3885" w:rsidR="000D5DA1" w:rsidRPr="000D5DA1" w:rsidRDefault="000D5DA1" w:rsidP="000D5DA1">
            <w:pPr>
              <w:rPr>
                <w:rFonts w:eastAsia="Times New Roman" w:cs="Arial"/>
                <w:color w:val="000000"/>
                <w:szCs w:val="20"/>
                <w:lang w:eastAsia="bg-BG"/>
              </w:rPr>
            </w:pPr>
            <w:r w:rsidRPr="000D5DA1">
              <w:rPr>
                <w:szCs w:val="20"/>
              </w:rPr>
              <w:t>Чести</w:t>
            </w:r>
          </w:p>
        </w:tc>
        <w:tc>
          <w:tcPr>
            <w:tcW w:w="3192" w:type="dxa"/>
          </w:tcPr>
          <w:p w14:paraId="500AE082" w14:textId="0C87FCF1" w:rsidR="000D5DA1" w:rsidRPr="000D5DA1" w:rsidRDefault="000D5DA1" w:rsidP="000D5DA1">
            <w:pPr>
              <w:rPr>
                <w:rFonts w:eastAsia="Times New Roman" w:cs="Arial"/>
                <w:color w:val="000000"/>
                <w:szCs w:val="20"/>
                <w:lang w:eastAsia="bg-BG"/>
              </w:rPr>
            </w:pPr>
            <w:r w:rsidRPr="000D5DA1">
              <w:rPr>
                <w:szCs w:val="20"/>
              </w:rPr>
              <w:t>Бъбречно увреждане, включително бъбречна недостатъчност при чувствителни пациенти (вижте т</w:t>
            </w:r>
            <w:r w:rsidRPr="000D5DA1">
              <w:rPr>
                <w:szCs w:val="20"/>
                <w:u w:val="single"/>
              </w:rPr>
              <w:t>очка 4.4)</w:t>
            </w:r>
          </w:p>
        </w:tc>
      </w:tr>
    </w:tbl>
    <w:p w14:paraId="3016673B" w14:textId="7A2143D2" w:rsidR="000D5DA1" w:rsidRPr="000D5DA1" w:rsidRDefault="000D5DA1" w:rsidP="000D5DA1">
      <w:pPr>
        <w:rPr>
          <w:rFonts w:eastAsia="Times New Roman" w:cs="Arial"/>
          <w:color w:val="000000"/>
          <w:szCs w:val="20"/>
          <w:lang w:eastAsia="bg-BG"/>
        </w:rPr>
      </w:pPr>
    </w:p>
    <w:p w14:paraId="7D4CC3D2" w14:textId="77777777" w:rsidR="000D5DA1" w:rsidRPr="000D5DA1" w:rsidRDefault="000D5DA1" w:rsidP="000D5DA1">
      <w:pPr>
        <w:spacing w:line="240" w:lineRule="auto"/>
        <w:rPr>
          <w:rFonts w:eastAsia="Times New Roman" w:cs="Arial"/>
        </w:rPr>
      </w:pPr>
      <w:r w:rsidRPr="000D5DA1">
        <w:rPr>
          <w:rFonts w:eastAsia="Times New Roman" w:cs="Arial"/>
          <w:b/>
          <w:bCs/>
          <w:color w:val="000000"/>
          <w:lang w:eastAsia="bg-BG"/>
        </w:rPr>
        <w:t>Лабораторни изследвания:</w:t>
      </w:r>
    </w:p>
    <w:p w14:paraId="0501398B"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При сърдечна недостатъчност чести реакции са хиперкалиемия и бъбречно увреждане при пациенти, лекувани с кандесартан цилексетил.</w:t>
      </w:r>
    </w:p>
    <w:p w14:paraId="1B092C7D"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Препоръчва се периодично проследяване на серумния креатинин и калий (вижте точка 4.4).</w:t>
      </w:r>
    </w:p>
    <w:p w14:paraId="2CA407DB" w14:textId="77777777" w:rsidR="000D5DA1" w:rsidRPr="000D5DA1" w:rsidRDefault="000D5DA1" w:rsidP="000D5DA1">
      <w:pPr>
        <w:rPr>
          <w:rFonts w:eastAsia="Times New Roman" w:cs="Arial"/>
          <w:color w:val="000000"/>
          <w:u w:val="single"/>
          <w:lang w:eastAsia="bg-BG"/>
        </w:rPr>
      </w:pPr>
    </w:p>
    <w:p w14:paraId="7D04EBAA" w14:textId="2BCE2FCE" w:rsidR="000D5DA1" w:rsidRPr="000D5DA1" w:rsidRDefault="000D5DA1" w:rsidP="000D5DA1">
      <w:pPr>
        <w:rPr>
          <w:rFonts w:eastAsia="Times New Roman" w:cs="Arial"/>
          <w:color w:val="000000"/>
          <w:u w:val="single"/>
          <w:lang w:eastAsia="bg-BG"/>
        </w:rPr>
      </w:pPr>
      <w:r w:rsidRPr="000D5DA1">
        <w:rPr>
          <w:rFonts w:eastAsia="Times New Roman" w:cs="Arial"/>
          <w:color w:val="000000"/>
          <w:u w:val="single"/>
          <w:lang w:eastAsia="bg-BG"/>
        </w:rPr>
        <w:t>Съобщаване на подозирани нежелани реакции</w:t>
      </w:r>
    </w:p>
    <w:p w14:paraId="41EC0EEB"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4394BEC8" w14:textId="77777777" w:rsidR="000D5DA1" w:rsidRPr="000D5DA1" w:rsidRDefault="000D5DA1" w:rsidP="000D5DA1">
      <w:pPr>
        <w:spacing w:line="240" w:lineRule="auto"/>
        <w:rPr>
          <w:rFonts w:eastAsia="Times New Roman" w:cs="Arial"/>
          <w:color w:val="000000"/>
          <w:lang w:eastAsia="bg-BG"/>
        </w:rPr>
      </w:pPr>
    </w:p>
    <w:p w14:paraId="1D9EDBCF" w14:textId="77777777" w:rsidR="000D5DA1" w:rsidRPr="000D5DA1" w:rsidRDefault="000D5DA1" w:rsidP="000D5DA1">
      <w:pPr>
        <w:spacing w:line="240" w:lineRule="auto"/>
        <w:rPr>
          <w:rFonts w:eastAsia="Times New Roman" w:cs="Arial"/>
          <w:color w:val="000000"/>
          <w:lang w:eastAsia="bg-BG"/>
        </w:rPr>
      </w:pPr>
      <w:r w:rsidRPr="000D5DA1">
        <w:rPr>
          <w:rFonts w:eastAsia="Times New Roman" w:cs="Arial"/>
          <w:color w:val="000000"/>
          <w:lang w:eastAsia="bg-BG"/>
        </w:rPr>
        <w:t xml:space="preserve">Изпълнителна агенция по лекарствата </w:t>
      </w:r>
    </w:p>
    <w:p w14:paraId="67D271B9" w14:textId="77777777" w:rsidR="000D5DA1" w:rsidRPr="000D5DA1" w:rsidRDefault="000D5DA1" w:rsidP="000D5DA1">
      <w:pPr>
        <w:spacing w:line="240" w:lineRule="auto"/>
        <w:rPr>
          <w:rFonts w:eastAsia="Times New Roman" w:cs="Arial"/>
          <w:color w:val="000000"/>
          <w:lang w:eastAsia="bg-BG"/>
        </w:rPr>
      </w:pPr>
      <w:r w:rsidRPr="000D5DA1">
        <w:rPr>
          <w:rFonts w:eastAsia="Times New Roman" w:cs="Arial"/>
          <w:color w:val="000000"/>
          <w:lang w:eastAsia="bg-BG"/>
        </w:rPr>
        <w:t xml:space="preserve">ул. „Дамян Груев” № 8 </w:t>
      </w:r>
    </w:p>
    <w:p w14:paraId="30932F08" w14:textId="77777777" w:rsidR="000D5DA1" w:rsidRPr="000D5DA1" w:rsidRDefault="000D5DA1" w:rsidP="000D5DA1">
      <w:pPr>
        <w:spacing w:line="240" w:lineRule="auto"/>
        <w:rPr>
          <w:rFonts w:eastAsia="Times New Roman" w:cs="Arial"/>
          <w:color w:val="000000"/>
          <w:lang w:eastAsia="bg-BG"/>
        </w:rPr>
      </w:pPr>
      <w:r w:rsidRPr="000D5DA1">
        <w:rPr>
          <w:rFonts w:eastAsia="Times New Roman" w:cs="Arial"/>
          <w:color w:val="000000"/>
          <w:lang w:eastAsia="bg-BG"/>
        </w:rPr>
        <w:t xml:space="preserve">1303 София </w:t>
      </w:r>
    </w:p>
    <w:p w14:paraId="6097135B" w14:textId="77777777" w:rsidR="000D5DA1" w:rsidRPr="000D5DA1" w:rsidRDefault="000D5DA1" w:rsidP="000D5DA1">
      <w:pPr>
        <w:spacing w:line="240" w:lineRule="auto"/>
        <w:rPr>
          <w:rFonts w:eastAsia="Times New Roman" w:cs="Arial"/>
          <w:color w:val="000000"/>
          <w:lang w:eastAsia="bg-BG"/>
        </w:rPr>
      </w:pPr>
      <w:r w:rsidRPr="000D5DA1">
        <w:rPr>
          <w:rFonts w:eastAsia="Times New Roman" w:cs="Arial"/>
          <w:color w:val="000000"/>
          <w:lang w:eastAsia="bg-BG"/>
        </w:rPr>
        <w:t xml:space="preserve">Тел.: +359 2 8903417 </w:t>
      </w:r>
    </w:p>
    <w:p w14:paraId="78310310" w14:textId="19800D9E"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уебсайт: </w:t>
      </w:r>
      <w:r w:rsidRPr="000D5DA1">
        <w:rPr>
          <w:rFonts w:eastAsia="Times New Roman" w:cs="Arial"/>
          <w:color w:val="000000"/>
          <w:u w:val="single"/>
          <w:lang w:val="ru-RU"/>
        </w:rPr>
        <w:t>.</w:t>
      </w:r>
      <w:hyperlink r:id="rId5" w:history="1">
        <w:r w:rsidRPr="000D5DA1">
          <w:rPr>
            <w:rFonts w:eastAsia="Times New Roman" w:cs="Arial"/>
            <w:color w:val="000000"/>
            <w:u w:val="single"/>
            <w:lang w:val="en-US"/>
          </w:rPr>
          <w:t>www</w:t>
        </w:r>
        <w:r w:rsidRPr="000D5DA1">
          <w:rPr>
            <w:rFonts w:eastAsia="Times New Roman" w:cs="Arial"/>
            <w:color w:val="000000"/>
            <w:u w:val="single"/>
            <w:lang w:val="ru-RU"/>
          </w:rPr>
          <w:t>.</w:t>
        </w:r>
        <w:proofErr w:type="spellStart"/>
        <w:r w:rsidRPr="000D5DA1">
          <w:rPr>
            <w:rFonts w:eastAsia="Times New Roman" w:cs="Arial"/>
            <w:color w:val="000000"/>
            <w:u w:val="single"/>
            <w:lang w:val="en-US"/>
          </w:rPr>
          <w:t>bda</w:t>
        </w:r>
        <w:proofErr w:type="spellEnd"/>
        <w:r w:rsidRPr="000D5DA1">
          <w:rPr>
            <w:rFonts w:eastAsia="Times New Roman" w:cs="Arial"/>
            <w:color w:val="000000"/>
            <w:u w:val="single"/>
            <w:lang w:val="ru-RU"/>
          </w:rPr>
          <w:t>.</w:t>
        </w:r>
        <w:proofErr w:type="spellStart"/>
        <w:r w:rsidRPr="000D5DA1">
          <w:rPr>
            <w:rFonts w:eastAsia="Times New Roman" w:cs="Arial"/>
            <w:color w:val="000000"/>
            <w:u w:val="single"/>
            <w:lang w:val="en-US"/>
          </w:rPr>
          <w:t>bg</w:t>
        </w:r>
        <w:proofErr w:type="spellEnd"/>
      </w:hyperlink>
    </w:p>
    <w:p w14:paraId="200CC41C" w14:textId="77777777" w:rsidR="000D5DA1" w:rsidRPr="000D5DA1" w:rsidRDefault="000D5DA1" w:rsidP="000D5DA1"/>
    <w:p w14:paraId="5A87DBA3" w14:textId="26906291" w:rsidR="007122AD" w:rsidRDefault="002C50EE" w:rsidP="00936AD0">
      <w:pPr>
        <w:pStyle w:val="Heading2"/>
      </w:pPr>
      <w:r>
        <w:t>4.9. Предозиране</w:t>
      </w:r>
    </w:p>
    <w:p w14:paraId="0C22198A" w14:textId="133A73D7" w:rsidR="000D5DA1" w:rsidRDefault="000D5DA1" w:rsidP="000D5DA1"/>
    <w:p w14:paraId="5B5F7774" w14:textId="77777777" w:rsidR="000D5DA1" w:rsidRPr="000D5DA1" w:rsidRDefault="000D5DA1" w:rsidP="000D5DA1">
      <w:pPr>
        <w:pStyle w:val="Heading3"/>
        <w:rPr>
          <w:rFonts w:eastAsia="Times New Roman"/>
          <w:sz w:val="28"/>
          <w:u w:val="single"/>
        </w:rPr>
      </w:pPr>
      <w:r w:rsidRPr="000D5DA1">
        <w:rPr>
          <w:rFonts w:eastAsia="Times New Roman"/>
          <w:u w:val="single"/>
          <w:lang w:eastAsia="bg-BG"/>
        </w:rPr>
        <w:t>Симптоми</w:t>
      </w:r>
    </w:p>
    <w:p w14:paraId="787687E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Въз основа на фармакологични съображения, се счита, че най-вероятно основната проява на предозиране ще бъде симптоматична хипотония и замайване. При отделните съобщения за предозиране (с до 672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кандесартан цилексетил) пациентите са се възстановили без проблеми.</w:t>
      </w:r>
    </w:p>
    <w:p w14:paraId="61CB6FE1" w14:textId="77777777" w:rsidR="000D5DA1" w:rsidRPr="000D5DA1" w:rsidRDefault="000D5DA1" w:rsidP="000D5DA1">
      <w:pPr>
        <w:spacing w:line="240" w:lineRule="auto"/>
        <w:rPr>
          <w:rFonts w:eastAsia="Times New Roman" w:cs="Arial"/>
          <w:i/>
          <w:iCs/>
          <w:color w:val="000000"/>
          <w:szCs w:val="20"/>
          <w:lang w:eastAsia="bg-BG"/>
        </w:rPr>
      </w:pPr>
    </w:p>
    <w:p w14:paraId="7648EFA0" w14:textId="7BB17466" w:rsidR="000D5DA1" w:rsidRPr="000D5DA1" w:rsidRDefault="000D5DA1" w:rsidP="000D5DA1">
      <w:pPr>
        <w:pStyle w:val="Heading3"/>
        <w:rPr>
          <w:rFonts w:eastAsia="Times New Roman"/>
          <w:sz w:val="28"/>
          <w:u w:val="single"/>
        </w:rPr>
      </w:pPr>
      <w:r w:rsidRPr="000D5DA1">
        <w:rPr>
          <w:rFonts w:eastAsia="Times New Roman"/>
          <w:u w:val="single"/>
          <w:lang w:eastAsia="bg-BG"/>
        </w:rPr>
        <w:t>Лечение</w:t>
      </w:r>
    </w:p>
    <w:p w14:paraId="671DC23C"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Ако се появи симптоматична хипотония, трябва да се започне симптоматично лечение и да се проследяват жизнените показатели. Пациентът трябва да се постави в легнало положение с повдигнати крака. Ако това не е достатъчно, трябва да се увеличи плазменият обем чрез инфузия, например на изотоничен физиологичен разтвор. Може да се приложат симпатомиметични лекарствени продукти, ако гореспоменатите мерки не са достатъчни. Кандесартан цилексетил не се отстранява чрез хемодиализа.</w:t>
      </w:r>
    </w:p>
    <w:p w14:paraId="447AB521" w14:textId="77777777" w:rsidR="000D5DA1" w:rsidRPr="000D5DA1" w:rsidRDefault="000D5DA1" w:rsidP="000D5DA1"/>
    <w:p w14:paraId="02081B24" w14:textId="36FE76F4" w:rsidR="00395555" w:rsidRPr="00395555" w:rsidRDefault="002C50EE" w:rsidP="008A6AF2">
      <w:pPr>
        <w:pStyle w:val="Heading1"/>
      </w:pPr>
      <w:r>
        <w:t>5. ФАРМАКОЛОГИЧНИ СВОЙСТВА</w:t>
      </w:r>
    </w:p>
    <w:p w14:paraId="6339E404" w14:textId="21E3B8C5" w:rsidR="00875EEC" w:rsidRDefault="002C50EE" w:rsidP="005726E3">
      <w:pPr>
        <w:pStyle w:val="Heading2"/>
      </w:pPr>
      <w:r>
        <w:t>5.1. Фармакодинамични свойства</w:t>
      </w:r>
    </w:p>
    <w:p w14:paraId="383421E7" w14:textId="43056792" w:rsidR="000D5DA1" w:rsidRDefault="000D5DA1" w:rsidP="000D5DA1"/>
    <w:p w14:paraId="23740AFB"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Фармакотерапевтична група:</w:t>
      </w:r>
    </w:p>
    <w:p w14:paraId="35D5FD26" w14:textId="4312A4DF"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lastRenderedPageBreak/>
        <w:t>Антагонисти на ангиотензин II, самостоятелно АТС код С09СА06</w:t>
      </w:r>
    </w:p>
    <w:p w14:paraId="23F5BBE9" w14:textId="77777777" w:rsidR="000D5DA1" w:rsidRPr="000D5DA1" w:rsidRDefault="000D5DA1" w:rsidP="000D5DA1">
      <w:pPr>
        <w:spacing w:line="240" w:lineRule="auto"/>
        <w:rPr>
          <w:rFonts w:eastAsia="Times New Roman" w:cs="Arial"/>
          <w:color w:val="000000"/>
          <w:szCs w:val="20"/>
          <w:lang w:eastAsia="bg-BG"/>
        </w:rPr>
      </w:pPr>
    </w:p>
    <w:p w14:paraId="6D5D7CF5" w14:textId="3D4BE750"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Ангиотензин II е главният вазоактивеи хормон от ренин-ангиотензин-алдостероновата система и играе важна роля в патофизиологията на хипертонията, сърдечната недостатъчност и други сърдечно-съдови нарушения. Той играе важна роля и в патогенезата на органната хипертрофия и увреждане. Основните физиологични ефекти на ангиотензин II, като вазоконстрикция, стимулиране на алдостерона, регулиране на солевата и водната хомеостаза и стимулиране на клетъчния растеж се медиират чрез рецептор от тип 1 </w:t>
      </w:r>
      <w:r w:rsidRPr="000D5DA1">
        <w:rPr>
          <w:rFonts w:eastAsia="Times New Roman" w:cs="Arial"/>
          <w:color w:val="000000"/>
          <w:szCs w:val="20"/>
          <w:lang w:val="ru-RU"/>
        </w:rPr>
        <w:t>(</w:t>
      </w:r>
      <w:r w:rsidRPr="000D5DA1">
        <w:rPr>
          <w:rFonts w:eastAsia="Times New Roman" w:cs="Arial"/>
          <w:color w:val="000000"/>
          <w:szCs w:val="20"/>
          <w:lang w:val="en-US"/>
        </w:rPr>
        <w:t>AT</w:t>
      </w:r>
      <w:r w:rsidRPr="000D5DA1">
        <w:rPr>
          <w:rFonts w:eastAsia="Times New Roman" w:cs="Arial"/>
          <w:color w:val="000000"/>
          <w:szCs w:val="20"/>
          <w:lang w:val="ru-RU"/>
        </w:rPr>
        <w:t>1).</w:t>
      </w:r>
    </w:p>
    <w:p w14:paraId="368FC14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Кандесартан цилексетил е прекурсор, подходящ за перорално приложение. Чрез естерна хидролиза по време на абсорбцията от стомашно-чревния тракт той бързо се превръща в активното вещество кандесартан.</w:t>
      </w:r>
    </w:p>
    <w:p w14:paraId="41631EE9" w14:textId="23183FC5" w:rsidR="000D5DA1" w:rsidRPr="000D5DA1" w:rsidRDefault="000D5DA1" w:rsidP="000D5DA1">
      <w:pPr>
        <w:spacing w:line="240" w:lineRule="auto"/>
        <w:rPr>
          <w:rFonts w:eastAsia="Times New Roman" w:cs="Arial"/>
          <w:color w:val="000000"/>
          <w:szCs w:val="20"/>
          <w:lang w:eastAsia="bg-BG"/>
        </w:rPr>
      </w:pPr>
      <w:r w:rsidRPr="000D5DA1">
        <w:rPr>
          <w:rFonts w:eastAsia="Times New Roman" w:cs="Arial"/>
          <w:color w:val="000000"/>
          <w:szCs w:val="20"/>
          <w:lang w:eastAsia="bg-BG"/>
        </w:rPr>
        <w:t xml:space="preserve">Кандесартан е антагонист на ангиотензин II рецепторите, селективен за </w:t>
      </w:r>
      <w:r w:rsidRPr="000D5DA1">
        <w:rPr>
          <w:rFonts w:eastAsia="Times New Roman" w:cs="Arial"/>
          <w:color w:val="000000"/>
          <w:szCs w:val="20"/>
          <w:lang w:val="en-US"/>
        </w:rPr>
        <w:t>AT</w:t>
      </w:r>
      <w:r w:rsidRPr="000D5DA1">
        <w:rPr>
          <w:rFonts w:eastAsia="Times New Roman" w:cs="Arial"/>
          <w:color w:val="000000"/>
          <w:szCs w:val="20"/>
          <w:lang w:val="ru-RU"/>
        </w:rPr>
        <w:t xml:space="preserve">1 </w:t>
      </w:r>
      <w:r w:rsidRPr="000D5DA1">
        <w:rPr>
          <w:rFonts w:eastAsia="Times New Roman" w:cs="Arial"/>
          <w:color w:val="000000"/>
          <w:szCs w:val="20"/>
          <w:lang w:eastAsia="bg-BG"/>
        </w:rPr>
        <w:t xml:space="preserve">рецепторите, който се свързва здраво с рецептора и се дисоциира бавно. Той няма агонистично действие. Кандесартан не инхибира АСЕ (ангиотензин-конвертиращия ензим), който превръща ангиотензин I в ангиотензин II и разгражда брадикинина. Няма ефект върху АСЕ и не потенцира брадикинина или субстанция Р. При контролирани клинични изпитвания, сравняващи кандесартан цилексетил с АСЕ инхибитори, честотата на кашлица е била по-ниска при пациентите, приемащи кандесартан цилексетил. Кандесартан не се свързва и не блокира други хормонални рецептори или йонни канали, за които се знае, че имат важно значение за регулирането на сърдечносъдовата дейност. Антагонизмът на ангиотензин II </w:t>
      </w:r>
      <w:r w:rsidRPr="000D5DA1">
        <w:rPr>
          <w:rFonts w:eastAsia="Times New Roman" w:cs="Arial"/>
          <w:color w:val="000000"/>
          <w:szCs w:val="20"/>
          <w:lang w:val="ru-RU"/>
        </w:rPr>
        <w:t>(</w:t>
      </w:r>
      <w:r w:rsidRPr="000D5DA1">
        <w:rPr>
          <w:rFonts w:eastAsia="Times New Roman" w:cs="Arial"/>
          <w:color w:val="000000"/>
          <w:szCs w:val="20"/>
          <w:lang w:val="en-US"/>
        </w:rPr>
        <w:t>AT</w:t>
      </w:r>
      <w:r w:rsidRPr="000D5DA1">
        <w:rPr>
          <w:rFonts w:eastAsia="Times New Roman" w:cs="Arial"/>
          <w:color w:val="000000"/>
          <w:szCs w:val="20"/>
          <w:lang w:val="ru-RU"/>
        </w:rPr>
        <w:t xml:space="preserve">1) </w:t>
      </w:r>
      <w:r w:rsidRPr="000D5DA1">
        <w:rPr>
          <w:rFonts w:eastAsia="Times New Roman" w:cs="Arial"/>
          <w:color w:val="000000"/>
          <w:szCs w:val="20"/>
          <w:lang w:eastAsia="bg-BG"/>
        </w:rPr>
        <w:t>рецепторите води до свързано с дозата повишение на стойностите на плазмения ренин, стойностите на ангиотензин I и ангиотензин II и до понижение на</w:t>
      </w:r>
      <w:r w:rsidRPr="000D5DA1">
        <w:rPr>
          <w:rFonts w:eastAsia="Times New Roman" w:cs="Arial"/>
          <w:sz w:val="28"/>
          <w:szCs w:val="24"/>
        </w:rPr>
        <w:t xml:space="preserve"> </w:t>
      </w:r>
      <w:r w:rsidRPr="000D5DA1">
        <w:rPr>
          <w:rFonts w:eastAsia="Times New Roman" w:cs="Arial"/>
          <w:color w:val="000000"/>
          <w:szCs w:val="20"/>
          <w:lang w:eastAsia="bg-BG"/>
        </w:rPr>
        <w:t>плазмените концентрации на алдостерон.</w:t>
      </w:r>
    </w:p>
    <w:p w14:paraId="74533358" w14:textId="36E59B73" w:rsidR="000D5DA1" w:rsidRPr="000D5DA1" w:rsidRDefault="000D5DA1" w:rsidP="000D5DA1">
      <w:pPr>
        <w:spacing w:line="240" w:lineRule="auto"/>
        <w:rPr>
          <w:rFonts w:eastAsia="Times New Roman" w:cs="Arial"/>
          <w:color w:val="000000"/>
          <w:szCs w:val="20"/>
          <w:lang w:eastAsia="bg-BG"/>
        </w:rPr>
      </w:pPr>
    </w:p>
    <w:p w14:paraId="5CF3729C" w14:textId="77777777" w:rsidR="000D5DA1" w:rsidRPr="000D5DA1" w:rsidRDefault="000D5DA1" w:rsidP="000D5DA1">
      <w:pPr>
        <w:spacing w:line="240" w:lineRule="auto"/>
        <w:rPr>
          <w:rFonts w:eastAsia="Times New Roman" w:cs="Arial"/>
          <w:sz w:val="28"/>
          <w:szCs w:val="24"/>
        </w:rPr>
      </w:pPr>
      <w:r w:rsidRPr="000D5DA1">
        <w:rPr>
          <w:rFonts w:eastAsia="Times New Roman" w:cs="Arial"/>
          <w:b/>
          <w:bCs/>
          <w:color w:val="000000"/>
          <w:szCs w:val="20"/>
          <w:lang w:eastAsia="bg-BG"/>
        </w:rPr>
        <w:t>Хипертония</w:t>
      </w:r>
    </w:p>
    <w:p w14:paraId="0280C21D"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хипертония кандесартан причинява дозозависимо, продължително намаление на артериалното налягане. Антихипертензивното действие се дължи на намаленото системно периферно съпротивление, без рефлекторно увеличаване на сърдечната честота.</w:t>
      </w:r>
    </w:p>
    <w:p w14:paraId="20A38B2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Няма признаци за сериозна или прекомерна хипотензия след първата доза или </w:t>
      </w:r>
      <w:r w:rsidRPr="000D5DA1">
        <w:rPr>
          <w:rFonts w:eastAsia="Times New Roman" w:cs="Arial"/>
          <w:color w:val="000000"/>
          <w:szCs w:val="20"/>
          <w:lang w:val="en-US"/>
        </w:rPr>
        <w:t>rebound</w:t>
      </w:r>
      <w:r w:rsidRPr="000D5DA1">
        <w:rPr>
          <w:rFonts w:eastAsia="Times New Roman" w:cs="Arial"/>
          <w:color w:val="000000"/>
          <w:szCs w:val="20"/>
          <w:lang w:val="ru-RU"/>
        </w:rPr>
        <w:t xml:space="preserve"> </w:t>
      </w:r>
      <w:r w:rsidRPr="000D5DA1">
        <w:rPr>
          <w:rFonts w:eastAsia="Times New Roman" w:cs="Arial"/>
          <w:color w:val="000000"/>
          <w:szCs w:val="20"/>
          <w:lang w:eastAsia="bg-BG"/>
        </w:rPr>
        <w:t>ефект след преустановяване на лечението.</w:t>
      </w:r>
    </w:p>
    <w:p w14:paraId="0CEED3A7" w14:textId="77777777" w:rsidR="000D5DA1" w:rsidRPr="000D5DA1" w:rsidRDefault="000D5DA1" w:rsidP="000D5DA1">
      <w:pPr>
        <w:spacing w:line="240" w:lineRule="auto"/>
        <w:rPr>
          <w:rFonts w:eastAsia="Times New Roman" w:cs="Arial"/>
          <w:color w:val="000000"/>
          <w:szCs w:val="20"/>
          <w:lang w:eastAsia="bg-BG"/>
        </w:rPr>
      </w:pPr>
    </w:p>
    <w:p w14:paraId="3D1F49D7" w14:textId="0810F0B4"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След прилагане на еднократна доза на кандесартан цилексетил, началото на антихипертензивния ефект обикновено настъпва в рамките на 2 часа. При продължително лечение, максимално намаляване на кръвното налягане при каквато и да е доза обикновено се постига в рамките на четири седмици и се поддържа по време на продължително лечение. Според мета-анализ, средният допълнителен ефект от увеличаване на дозата от 16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на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е малък. Като се има предвид вариабилността между отделните индивиди, при някои пациенти може да се очаква ефект над средния. Приложението на кандесартан цилексетил веднъж дневно осигурява ефективно и плавно намаляване на кръвното налягане в продължение на 24 часа, с малка разлика между максималния и минималния ефект през интервала на дозиране. Антихипертензивният ефект и поносимостта на кандесартан и лозартан са сравнени при две рандомизирани, двойно-слепи изпитвания при общо 1 268 пациенти с лека до умерена хипертония. Минималното намаляване на кръвното налягане (систолично/диастолично) е 13,1/10,5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при кандесартан цилексетил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и 10,0 /8,7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при лозартан калий 100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(разлика в намаляването на кръвното налягане 3,1/1,8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р&lt;0,0001/р&lt;0,0001). Най-честите нежелани лекарствени реакции са респираторна инфекция (кандесартан 6,6%, лозартан </w:t>
      </w:r>
      <w:r w:rsidRPr="000D5DA1">
        <w:rPr>
          <w:rFonts w:eastAsia="Times New Roman" w:cs="Arial"/>
          <w:color w:val="000000"/>
          <w:szCs w:val="20"/>
          <w:lang w:eastAsia="bg-BG"/>
        </w:rPr>
        <w:lastRenderedPageBreak/>
        <w:t>8,9%), главоболие (кандесартан 5,8%, лозартан 5,6%) и замайване (кандесартан 4,4%, лозартан 1,9%).</w:t>
      </w:r>
    </w:p>
    <w:p w14:paraId="74609DA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Когато кандесартан цилексетил се прилага заедно с хидрохлоротиазид, намаляването на артериалното налягане е адитивно. Едновременното приложение на кандесартан цилексетил с амлодипин или фелодипин води до повишеване на антихипертензивния ефект.</w:t>
      </w:r>
    </w:p>
    <w:p w14:paraId="398E47F3"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Лекарствените продукти, които блокират ренин-ангиотензин-алдостероновата система, имат по- слабо изразен антихипертензивен ефект при чернокожи пациенти (тази популация обикновено е с ниско ниво на ренин) в сравнение с нечернокожи пациенти. Това се отнася също и за кандесартан цилексетил. При открито клинично изпитване, при което са участвали 5 156 пациенти с диастолична хипертония, намаляването на кръвното налягане по време на лечение с кандесартан цилексетил е значимо по-малко при чернокожи в сравнение с нечернокожи пациенти (14,4/10,3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спрямо 19,0/12,7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рО,0001/р&lt;0,0001).</w:t>
      </w:r>
    </w:p>
    <w:p w14:paraId="7A3CFCA0" w14:textId="77777777" w:rsidR="000D5DA1" w:rsidRPr="000D5DA1" w:rsidRDefault="000D5DA1" w:rsidP="000D5DA1">
      <w:pPr>
        <w:spacing w:line="240" w:lineRule="auto"/>
        <w:rPr>
          <w:rFonts w:eastAsia="Times New Roman" w:cs="Arial"/>
          <w:color w:val="000000"/>
          <w:szCs w:val="20"/>
          <w:lang w:eastAsia="bg-BG"/>
        </w:rPr>
      </w:pPr>
    </w:p>
    <w:p w14:paraId="226AF50B" w14:textId="413A723A"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Кандесартан увеличава бъбречния кръвоток и или не влияе, или увеличава скоростта на гломерулна филтрация, като бъбречното съдово съпротивление и филтрационната фракция се намаляват. При 3-месечно клинично изпитване, в което са участвали пациенти с хипертония и захарен диабет тип 2 и микроалбуминурия, антихипертензивното лечение с кандесартан цилексетил е намалило екскрецията на албумин с урината (съотношение албумин/креатинин средно 30%, 95% доверителен интервал 15-42%).</w:t>
      </w:r>
    </w:p>
    <w:p w14:paraId="7C477093"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Понастоящем няма данни за влиянието на кандесартан цилексетил върху прогресирането на диабетната нефропатия.</w:t>
      </w:r>
    </w:p>
    <w:p w14:paraId="75AC77A0" w14:textId="77777777" w:rsidR="000D5DA1" w:rsidRPr="000D5DA1" w:rsidRDefault="000D5DA1" w:rsidP="000D5DA1">
      <w:pPr>
        <w:spacing w:line="240" w:lineRule="auto"/>
        <w:rPr>
          <w:rFonts w:eastAsia="Times New Roman" w:cs="Arial"/>
          <w:color w:val="000000"/>
          <w:szCs w:val="20"/>
          <w:lang w:eastAsia="bg-BG"/>
        </w:rPr>
      </w:pPr>
    </w:p>
    <w:p w14:paraId="39F959BA" w14:textId="77777777" w:rsidR="000D5DA1" w:rsidRPr="000D5DA1" w:rsidRDefault="000D5DA1" w:rsidP="000D5DA1">
      <w:pPr>
        <w:rPr>
          <w:rFonts w:eastAsia="Times New Roman" w:cs="Arial"/>
          <w:sz w:val="28"/>
          <w:szCs w:val="24"/>
        </w:rPr>
      </w:pPr>
      <w:r w:rsidRPr="000D5DA1">
        <w:rPr>
          <w:rFonts w:eastAsia="Times New Roman" w:cs="Arial"/>
          <w:color w:val="000000"/>
          <w:szCs w:val="20"/>
          <w:lang w:eastAsia="bg-BG"/>
        </w:rPr>
        <w:t xml:space="preserve">Ефектите на кандесартан цилексетил 8-16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(средна доза 12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 върху сърдечно</w:t>
      </w:r>
      <w:r w:rsidRPr="000D5DA1">
        <w:rPr>
          <w:rFonts w:eastAsia="Times New Roman" w:cs="Arial"/>
          <w:color w:val="000000"/>
          <w:szCs w:val="20"/>
          <w:lang w:eastAsia="bg-BG"/>
        </w:rPr>
        <w:softHyphen/>
        <w:t xml:space="preserve">съдовата заболеваемост и смъртност са оценени при рандомизирано клинично изпитване, в което са участвали 4 937 пациенти в старческа възраст (на възраст 70-89 години; 21% на възраст 80 или повече години) с лека до умерена хипертония, проследявани средно 3,7 години </w:t>
      </w:r>
      <w:r w:rsidRPr="000D5DA1">
        <w:rPr>
          <w:rFonts w:eastAsia="Times New Roman" w:cs="Arial"/>
          <w:color w:val="000000"/>
          <w:szCs w:val="20"/>
          <w:lang w:val="ru-RU"/>
        </w:rPr>
        <w:t>(</w:t>
      </w:r>
      <w:r w:rsidRPr="000D5DA1">
        <w:rPr>
          <w:rFonts w:eastAsia="Times New Roman" w:cs="Arial"/>
          <w:color w:val="000000"/>
          <w:szCs w:val="20"/>
          <w:lang w:val="en-US"/>
        </w:rPr>
        <w:t>Study</w:t>
      </w:r>
      <w:r w:rsidRPr="000D5DA1">
        <w:rPr>
          <w:rFonts w:eastAsia="Times New Roman" w:cs="Arial"/>
          <w:color w:val="000000"/>
          <w:szCs w:val="20"/>
          <w:lang w:eastAsia="bg-BG"/>
        </w:rPr>
        <w:t xml:space="preserve"> </w:t>
      </w:r>
      <w:r w:rsidRPr="000D5DA1">
        <w:rPr>
          <w:rFonts w:eastAsia="Times New Roman" w:cs="Arial"/>
          <w:color w:val="000000"/>
          <w:szCs w:val="20"/>
          <w:lang w:val="en-US"/>
        </w:rPr>
        <w:t>on</w:t>
      </w:r>
      <w:r w:rsidRPr="000D5DA1">
        <w:rPr>
          <w:rFonts w:eastAsia="Times New Roman" w:cs="Arial"/>
          <w:color w:val="000000"/>
          <w:szCs w:val="20"/>
          <w:lang w:val="ru-RU"/>
        </w:rPr>
        <w:t xml:space="preserve"> </w:t>
      </w:r>
      <w:proofErr w:type="spellStart"/>
      <w:r w:rsidRPr="000D5DA1">
        <w:rPr>
          <w:rFonts w:eastAsia="Times New Roman" w:cs="Arial"/>
          <w:color w:val="000000"/>
          <w:szCs w:val="20"/>
          <w:lang w:val="en-US"/>
        </w:rPr>
        <w:t>COgnition</w:t>
      </w:r>
      <w:proofErr w:type="spellEnd"/>
      <w:r w:rsidRPr="000D5DA1">
        <w:rPr>
          <w:rFonts w:eastAsia="Times New Roman" w:cs="Arial"/>
          <w:color w:val="000000"/>
          <w:szCs w:val="20"/>
          <w:lang w:val="ru-RU"/>
        </w:rPr>
        <w:t xml:space="preserve"> </w:t>
      </w:r>
      <w:r w:rsidRPr="000D5DA1">
        <w:rPr>
          <w:rFonts w:eastAsia="Times New Roman" w:cs="Arial"/>
          <w:color w:val="000000"/>
          <w:szCs w:val="20"/>
          <w:lang w:val="en-US"/>
        </w:rPr>
        <w:t>and</w:t>
      </w:r>
      <w:r w:rsidRPr="000D5DA1">
        <w:rPr>
          <w:rFonts w:eastAsia="Times New Roman" w:cs="Arial"/>
          <w:color w:val="000000"/>
          <w:szCs w:val="20"/>
          <w:lang w:val="ru-RU"/>
        </w:rPr>
        <w:t xml:space="preserve"> </w:t>
      </w:r>
      <w:r w:rsidRPr="000D5DA1">
        <w:rPr>
          <w:rFonts w:eastAsia="Times New Roman" w:cs="Arial"/>
          <w:color w:val="000000"/>
          <w:szCs w:val="20"/>
          <w:lang w:val="en-US"/>
        </w:rPr>
        <w:t>Prognosis</w:t>
      </w:r>
      <w:r w:rsidRPr="000D5DA1">
        <w:rPr>
          <w:rFonts w:eastAsia="Times New Roman" w:cs="Arial"/>
          <w:color w:val="000000"/>
          <w:szCs w:val="20"/>
          <w:lang w:val="ru-RU"/>
        </w:rPr>
        <w:t xml:space="preserve"> </w:t>
      </w:r>
      <w:r w:rsidRPr="000D5DA1">
        <w:rPr>
          <w:rFonts w:eastAsia="Times New Roman" w:cs="Arial"/>
          <w:color w:val="000000"/>
          <w:szCs w:val="20"/>
          <w:lang w:val="en-US"/>
        </w:rPr>
        <w:t>in</w:t>
      </w:r>
      <w:r w:rsidRPr="000D5DA1">
        <w:rPr>
          <w:rFonts w:eastAsia="Times New Roman" w:cs="Arial"/>
          <w:color w:val="000000"/>
          <w:szCs w:val="20"/>
          <w:lang w:val="ru-RU"/>
        </w:rPr>
        <w:t xml:space="preserve"> </w:t>
      </w:r>
      <w:r w:rsidRPr="000D5DA1">
        <w:rPr>
          <w:rFonts w:eastAsia="Times New Roman" w:cs="Arial"/>
          <w:color w:val="000000"/>
          <w:szCs w:val="20"/>
          <w:lang w:val="en-US"/>
        </w:rPr>
        <w:t>the</w:t>
      </w:r>
      <w:r w:rsidRPr="000D5DA1">
        <w:rPr>
          <w:rFonts w:eastAsia="Times New Roman" w:cs="Arial"/>
          <w:color w:val="000000"/>
          <w:szCs w:val="20"/>
          <w:lang w:val="ru-RU"/>
        </w:rPr>
        <w:t xml:space="preserve"> </w:t>
      </w:r>
      <w:r w:rsidRPr="000D5DA1">
        <w:rPr>
          <w:rFonts w:eastAsia="Times New Roman" w:cs="Arial"/>
          <w:color w:val="000000"/>
          <w:szCs w:val="20"/>
          <w:lang w:val="en-US"/>
        </w:rPr>
        <w:t>Elderly</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Пациентите са приемали кандесартан цилексетил или плацебо с добавяне на друго антихипертензивно лечение според нуждите. Кръвното налягане е намалено от 166/90 на 145/80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 групата с кандесартан цилексетил и от 167/90 на </w:t>
      </w:r>
      <w:r w:rsidRPr="000D5DA1">
        <w:rPr>
          <w:rFonts w:eastAsia="Times New Roman" w:cs="Arial"/>
          <w:color w:val="000000"/>
          <w:szCs w:val="20"/>
          <w:lang w:val="ru-RU"/>
        </w:rPr>
        <w:t>149/82/</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 контролната група. Няма статистически значима разлика в първичната крайна точка големите сърдечносъдови инциденти (сърдечно-съдова смъртност, нелегален инсулт и нелегален инфаркт на миокарда). Наблюдавани са 26,7 събития на 1000 пациенто-години в групата с кандесартан цилексетил спрямо 30,0 събития на 1000 пациенто-години в контролната група (относителен риск 0,89,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0,75 до 1,06, р=0.19).</w:t>
      </w:r>
    </w:p>
    <w:p w14:paraId="58847630" w14:textId="77777777" w:rsidR="000D5DA1" w:rsidRPr="000D5DA1" w:rsidRDefault="000D5DA1" w:rsidP="000D5DA1">
      <w:pPr>
        <w:spacing w:line="240" w:lineRule="auto"/>
        <w:rPr>
          <w:rFonts w:eastAsia="Times New Roman" w:cs="Arial"/>
          <w:b/>
          <w:bCs/>
          <w:color w:val="000000"/>
          <w:szCs w:val="20"/>
          <w:lang w:eastAsia="bg-BG"/>
        </w:rPr>
      </w:pPr>
    </w:p>
    <w:p w14:paraId="2DF415D4" w14:textId="35F6CF88" w:rsidR="000D5DA1" w:rsidRPr="000D5DA1" w:rsidRDefault="000D5DA1" w:rsidP="000D5DA1">
      <w:pPr>
        <w:spacing w:line="240" w:lineRule="auto"/>
        <w:rPr>
          <w:rFonts w:eastAsia="Times New Roman" w:cs="Arial"/>
          <w:sz w:val="28"/>
          <w:szCs w:val="24"/>
        </w:rPr>
      </w:pPr>
      <w:r w:rsidRPr="000D5DA1">
        <w:rPr>
          <w:rFonts w:eastAsia="Times New Roman" w:cs="Arial"/>
          <w:b/>
          <w:bCs/>
          <w:color w:val="000000"/>
          <w:szCs w:val="20"/>
          <w:lang w:eastAsia="bg-BG"/>
        </w:rPr>
        <w:t>Сърдечна недостатъчност</w:t>
      </w:r>
    </w:p>
    <w:p w14:paraId="07F63704"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Лечението с кандесартан цилексетил намалява смъртността, намалява случаите на хоспитализация поради сърдечна недостатъчност и подобрява симптомите при пациенти с левокамерна систолна дисфункция, както показват резултатите от програмата </w:t>
      </w:r>
      <w:r w:rsidRPr="000D5DA1">
        <w:rPr>
          <w:rFonts w:eastAsia="Times New Roman" w:cs="Arial"/>
          <w:color w:val="000000"/>
          <w:szCs w:val="20"/>
          <w:lang w:val="en-US"/>
        </w:rPr>
        <w:t>CHARM</w:t>
      </w:r>
      <w:r w:rsidRPr="000D5DA1">
        <w:rPr>
          <w:rFonts w:eastAsia="Times New Roman" w:cs="Arial"/>
          <w:color w:val="000000"/>
          <w:szCs w:val="20"/>
        </w:rPr>
        <w:t xml:space="preserve"> (</w:t>
      </w:r>
      <w:r w:rsidRPr="000D5DA1">
        <w:rPr>
          <w:rFonts w:eastAsia="Times New Roman" w:cs="Arial"/>
          <w:color w:val="000000"/>
          <w:szCs w:val="20"/>
          <w:lang w:val="en-US"/>
        </w:rPr>
        <w:t>Candesartan</w:t>
      </w:r>
      <w:r w:rsidRPr="000D5DA1">
        <w:rPr>
          <w:rFonts w:eastAsia="Times New Roman" w:cs="Arial"/>
          <w:color w:val="000000"/>
          <w:szCs w:val="20"/>
        </w:rPr>
        <w:t xml:space="preserve"> </w:t>
      </w:r>
      <w:proofErr w:type="spellStart"/>
      <w:r w:rsidRPr="000D5DA1">
        <w:rPr>
          <w:rFonts w:eastAsia="Times New Roman" w:cs="Arial"/>
          <w:color w:val="000000"/>
          <w:szCs w:val="20"/>
          <w:lang w:val="en-US"/>
        </w:rPr>
        <w:t>cilexetil</w:t>
      </w:r>
      <w:proofErr w:type="spellEnd"/>
      <w:r w:rsidRPr="000D5DA1">
        <w:rPr>
          <w:rFonts w:eastAsia="Times New Roman" w:cs="Arial"/>
          <w:color w:val="000000"/>
          <w:szCs w:val="20"/>
        </w:rPr>
        <w:t xml:space="preserve"> </w:t>
      </w:r>
      <w:r w:rsidRPr="000D5DA1">
        <w:rPr>
          <w:rFonts w:eastAsia="Times New Roman" w:cs="Arial"/>
          <w:color w:val="000000"/>
          <w:szCs w:val="20"/>
          <w:lang w:val="en-US"/>
        </w:rPr>
        <w:t>in</w:t>
      </w:r>
      <w:r w:rsidRPr="000D5DA1">
        <w:rPr>
          <w:rFonts w:eastAsia="Times New Roman" w:cs="Arial"/>
          <w:color w:val="000000"/>
          <w:szCs w:val="20"/>
        </w:rPr>
        <w:t xml:space="preserve"> </w:t>
      </w:r>
      <w:r w:rsidRPr="000D5DA1">
        <w:rPr>
          <w:rFonts w:eastAsia="Times New Roman" w:cs="Arial"/>
          <w:color w:val="000000"/>
          <w:szCs w:val="20"/>
          <w:lang w:val="en-US"/>
        </w:rPr>
        <w:t>Heart</w:t>
      </w:r>
      <w:r w:rsidRPr="000D5DA1">
        <w:rPr>
          <w:rFonts w:eastAsia="Times New Roman" w:cs="Arial"/>
          <w:color w:val="000000"/>
          <w:szCs w:val="20"/>
        </w:rPr>
        <w:t xml:space="preserve"> </w:t>
      </w:r>
      <w:r w:rsidRPr="000D5DA1">
        <w:rPr>
          <w:rFonts w:eastAsia="Times New Roman" w:cs="Arial"/>
          <w:color w:val="000000"/>
          <w:szCs w:val="20"/>
          <w:lang w:val="en-US"/>
        </w:rPr>
        <w:t>failure</w:t>
      </w:r>
      <w:r w:rsidRPr="000D5DA1">
        <w:rPr>
          <w:rFonts w:eastAsia="Times New Roman" w:cs="Arial"/>
          <w:color w:val="000000"/>
          <w:szCs w:val="20"/>
        </w:rPr>
        <w:t xml:space="preserve"> - </w:t>
      </w:r>
      <w:r w:rsidRPr="000D5DA1">
        <w:rPr>
          <w:rFonts w:eastAsia="Times New Roman" w:cs="Arial"/>
          <w:color w:val="000000"/>
          <w:szCs w:val="20"/>
          <w:lang w:val="en-US"/>
        </w:rPr>
        <w:t>Assessment</w:t>
      </w:r>
      <w:r w:rsidRPr="000D5DA1">
        <w:rPr>
          <w:rFonts w:eastAsia="Times New Roman" w:cs="Arial"/>
          <w:color w:val="000000"/>
          <w:szCs w:val="20"/>
        </w:rPr>
        <w:t xml:space="preserve"> </w:t>
      </w:r>
      <w:r w:rsidRPr="000D5DA1">
        <w:rPr>
          <w:rFonts w:eastAsia="Times New Roman" w:cs="Arial"/>
          <w:color w:val="000000"/>
          <w:szCs w:val="20"/>
          <w:lang w:val="en-US"/>
        </w:rPr>
        <w:t>of</w:t>
      </w:r>
      <w:r w:rsidRPr="000D5DA1">
        <w:rPr>
          <w:rFonts w:eastAsia="Times New Roman" w:cs="Arial"/>
          <w:color w:val="000000"/>
          <w:szCs w:val="20"/>
        </w:rPr>
        <w:t xml:space="preserve"> </w:t>
      </w:r>
      <w:r w:rsidRPr="000D5DA1">
        <w:rPr>
          <w:rFonts w:eastAsia="Times New Roman" w:cs="Arial"/>
          <w:color w:val="000000"/>
          <w:szCs w:val="20"/>
          <w:lang w:val="en-US"/>
        </w:rPr>
        <w:t>Reduction</w:t>
      </w:r>
      <w:r w:rsidRPr="000D5DA1">
        <w:rPr>
          <w:rFonts w:eastAsia="Times New Roman" w:cs="Arial"/>
          <w:color w:val="000000"/>
          <w:szCs w:val="20"/>
        </w:rPr>
        <w:t xml:space="preserve"> </w:t>
      </w:r>
      <w:r w:rsidRPr="000D5DA1">
        <w:rPr>
          <w:rFonts w:eastAsia="Times New Roman" w:cs="Arial"/>
          <w:color w:val="000000"/>
          <w:szCs w:val="20"/>
          <w:lang w:val="en-US"/>
        </w:rPr>
        <w:t>in</w:t>
      </w:r>
      <w:r w:rsidRPr="000D5DA1">
        <w:rPr>
          <w:rFonts w:eastAsia="Times New Roman" w:cs="Arial"/>
          <w:color w:val="000000"/>
          <w:szCs w:val="20"/>
        </w:rPr>
        <w:t xml:space="preserve"> </w:t>
      </w:r>
      <w:r w:rsidRPr="000D5DA1">
        <w:rPr>
          <w:rFonts w:eastAsia="Times New Roman" w:cs="Arial"/>
          <w:color w:val="000000"/>
          <w:szCs w:val="20"/>
          <w:lang w:val="en-US"/>
        </w:rPr>
        <w:t>Mortality</w:t>
      </w:r>
      <w:r w:rsidRPr="000D5DA1">
        <w:rPr>
          <w:rFonts w:eastAsia="Times New Roman" w:cs="Arial"/>
          <w:color w:val="000000"/>
          <w:szCs w:val="20"/>
        </w:rPr>
        <w:t xml:space="preserve"> </w:t>
      </w:r>
      <w:r w:rsidRPr="000D5DA1">
        <w:rPr>
          <w:rFonts w:eastAsia="Times New Roman" w:cs="Arial"/>
          <w:color w:val="000000"/>
          <w:szCs w:val="20"/>
          <w:lang w:val="en-US"/>
        </w:rPr>
        <w:t>and</w:t>
      </w:r>
      <w:r w:rsidRPr="000D5DA1">
        <w:rPr>
          <w:rFonts w:eastAsia="Times New Roman" w:cs="Arial"/>
          <w:color w:val="000000"/>
          <w:szCs w:val="20"/>
        </w:rPr>
        <w:t xml:space="preserve"> </w:t>
      </w:r>
      <w:r w:rsidRPr="000D5DA1">
        <w:rPr>
          <w:rFonts w:eastAsia="Times New Roman" w:cs="Arial"/>
          <w:color w:val="000000"/>
          <w:szCs w:val="20"/>
          <w:lang w:val="en-US"/>
        </w:rPr>
        <w:t>morbidity</w:t>
      </w:r>
      <w:r w:rsidRPr="000D5DA1">
        <w:rPr>
          <w:rFonts w:eastAsia="Times New Roman" w:cs="Arial"/>
          <w:color w:val="000000"/>
          <w:szCs w:val="20"/>
        </w:rPr>
        <w:t xml:space="preserve">) </w:t>
      </w:r>
      <w:r w:rsidRPr="000D5DA1">
        <w:rPr>
          <w:rFonts w:eastAsia="Times New Roman" w:cs="Arial"/>
          <w:color w:val="000000"/>
          <w:szCs w:val="20"/>
          <w:lang w:eastAsia="bg-BG"/>
        </w:rPr>
        <w:t>(Кандесартан цилексетил при сърдечна недостатъчност - оценка на намаляването на смъртността и заболеваемостта).</w:t>
      </w:r>
    </w:p>
    <w:p w14:paraId="0BA9557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Тази програма за мултинационални, плацебо-контролирани, двойно-слепи клинични изпитвания при пациенти с хронична сърдечна недостатъчност (ХСН) с II до IV функционален клас по </w:t>
      </w:r>
      <w:r w:rsidRPr="000D5DA1">
        <w:rPr>
          <w:rFonts w:eastAsia="Times New Roman" w:cs="Arial"/>
          <w:color w:val="000000"/>
          <w:szCs w:val="20"/>
          <w:lang w:val="en-US"/>
        </w:rPr>
        <w:t>NYHA</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се състои от три отделни изпитвания: </w:t>
      </w:r>
      <w:r w:rsidRPr="000D5DA1">
        <w:rPr>
          <w:rFonts w:eastAsia="Times New Roman" w:cs="Arial"/>
          <w:color w:val="000000"/>
          <w:szCs w:val="20"/>
          <w:lang w:val="en-US"/>
        </w:rPr>
        <w:t>CHARM</w:t>
      </w:r>
      <w:r w:rsidRPr="000D5DA1">
        <w:rPr>
          <w:rFonts w:eastAsia="Times New Roman" w:cs="Arial"/>
          <w:color w:val="000000"/>
          <w:szCs w:val="20"/>
          <w:lang w:val="ru-RU"/>
        </w:rPr>
        <w:t>-</w:t>
      </w:r>
      <w:proofErr w:type="spellStart"/>
      <w:r w:rsidRPr="000D5DA1">
        <w:rPr>
          <w:rFonts w:eastAsia="Times New Roman" w:cs="Arial"/>
          <w:color w:val="000000"/>
          <w:szCs w:val="20"/>
          <w:lang w:val="en-US"/>
        </w:rPr>
        <w:t>Altemative</w:t>
      </w:r>
      <w:proofErr w:type="spellEnd"/>
      <w:r w:rsidRPr="000D5DA1">
        <w:rPr>
          <w:rFonts w:eastAsia="Times New Roman" w:cs="Arial"/>
          <w:color w:val="000000"/>
          <w:szCs w:val="20"/>
          <w:lang w:val="ru-RU"/>
        </w:rPr>
        <w:t xml:space="preserve"> </w:t>
      </w:r>
      <w:r w:rsidRPr="000D5DA1">
        <w:rPr>
          <w:rFonts w:eastAsia="Times New Roman" w:cs="Arial"/>
          <w:color w:val="000000"/>
          <w:szCs w:val="20"/>
          <w:lang w:eastAsia="bg-BG"/>
        </w:rPr>
        <w:t>(</w:t>
      </w:r>
      <w:r w:rsidRPr="000D5DA1">
        <w:rPr>
          <w:rFonts w:eastAsia="Times New Roman" w:cs="Arial"/>
          <w:color w:val="000000"/>
          <w:szCs w:val="20"/>
          <w:lang w:val="en-US"/>
        </w:rPr>
        <w:t>n</w:t>
      </w:r>
      <w:r w:rsidRPr="000D5DA1">
        <w:rPr>
          <w:rFonts w:eastAsia="Times New Roman" w:cs="Arial"/>
          <w:color w:val="000000"/>
          <w:szCs w:val="20"/>
          <w:lang w:eastAsia="bg-BG"/>
        </w:rPr>
        <w:t xml:space="preserve"> = 2 028) при пациенти с левокамерна фракция на изтласкване (ЛКФИ) 40%, нелекувани с </w:t>
      </w:r>
      <w:r w:rsidRPr="000D5DA1">
        <w:rPr>
          <w:rFonts w:eastAsia="Times New Roman" w:cs="Arial"/>
          <w:color w:val="000000"/>
          <w:szCs w:val="20"/>
          <w:lang w:eastAsia="bg-BG"/>
        </w:rPr>
        <w:lastRenderedPageBreak/>
        <w:t xml:space="preserve">АСЕ инхибитор поради непоносимост (предимно дължаща се на кашлица, 72%),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Added</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(п = 2548) при пациенти с ЛКФИ 40%, лекувани с АСЕ инхибитор, и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Preserved</w:t>
      </w:r>
      <w:r w:rsidRPr="000D5DA1">
        <w:rPr>
          <w:rFonts w:eastAsia="Times New Roman" w:cs="Arial"/>
          <w:color w:val="000000"/>
          <w:szCs w:val="20"/>
          <w:lang w:val="ru-RU"/>
        </w:rPr>
        <w:t xml:space="preserve"> </w:t>
      </w:r>
      <w:r w:rsidRPr="000D5DA1">
        <w:rPr>
          <w:rFonts w:eastAsia="Times New Roman" w:cs="Arial"/>
          <w:color w:val="000000"/>
          <w:szCs w:val="20"/>
          <w:lang w:eastAsia="bg-BG"/>
        </w:rPr>
        <w:t>(</w:t>
      </w:r>
      <w:r w:rsidRPr="000D5DA1">
        <w:rPr>
          <w:rFonts w:eastAsia="Times New Roman" w:cs="Arial"/>
          <w:color w:val="000000"/>
          <w:szCs w:val="20"/>
          <w:lang w:val="en-US"/>
        </w:rPr>
        <w:t>n</w:t>
      </w:r>
      <w:r w:rsidRPr="000D5DA1">
        <w:rPr>
          <w:rFonts w:eastAsia="Times New Roman" w:cs="Arial"/>
          <w:color w:val="000000"/>
          <w:szCs w:val="20"/>
          <w:lang w:eastAsia="bg-BG"/>
        </w:rPr>
        <w:t>= 3023) при пациенти с ЛКФИ &gt;40%.</w:t>
      </w:r>
    </w:p>
    <w:p w14:paraId="7A418FB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Пациентите с оптимална терапия на ХСН при изходното ниво са рандомизирани (разпределени на случаен принцип) в група с плацебо или кандесартан цилексетил (с постепенно повишение на дозата от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или 8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до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или до най-високата поносима доза, средна доза от 24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и са проследявани в продължение на средно 37,7 месеца. След 6- месечно лечение 63% от пациентите, все още приемащи кандесартан цилексетил (89%), са достигнали целевата доза от 32 </w:t>
      </w:r>
      <w:r w:rsidRPr="000D5DA1">
        <w:rPr>
          <w:rFonts w:eastAsia="Times New Roman" w:cs="Arial"/>
          <w:color w:val="000000"/>
          <w:szCs w:val="20"/>
          <w:lang w:val="en-US"/>
        </w:rPr>
        <w:t>mg</w:t>
      </w:r>
      <w:r w:rsidRPr="000D5DA1">
        <w:rPr>
          <w:rFonts w:eastAsia="Times New Roman" w:cs="Arial"/>
          <w:color w:val="000000"/>
          <w:szCs w:val="20"/>
          <w:lang w:val="ru-RU"/>
        </w:rPr>
        <w:t>.</w:t>
      </w:r>
    </w:p>
    <w:p w14:paraId="40339AF4"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При </w:t>
      </w:r>
      <w:r w:rsidRPr="000D5DA1">
        <w:rPr>
          <w:rFonts w:eastAsia="Times New Roman" w:cs="Arial"/>
          <w:color w:val="000000"/>
          <w:szCs w:val="20"/>
          <w:lang w:val="en-US"/>
        </w:rPr>
        <w:t>CHARM</w:t>
      </w:r>
      <w:r w:rsidRPr="000D5DA1">
        <w:rPr>
          <w:rFonts w:eastAsia="Times New Roman" w:cs="Arial"/>
          <w:color w:val="000000"/>
          <w:szCs w:val="20"/>
          <w:lang w:val="ru-RU"/>
        </w:rPr>
        <w:t>-</w:t>
      </w:r>
      <w:proofErr w:type="spellStart"/>
      <w:r w:rsidRPr="000D5DA1">
        <w:rPr>
          <w:rFonts w:eastAsia="Times New Roman" w:cs="Arial"/>
          <w:color w:val="000000"/>
          <w:szCs w:val="20"/>
          <w:lang w:val="en-US"/>
        </w:rPr>
        <w:t>Altemative</w:t>
      </w:r>
      <w:proofErr w:type="spellEnd"/>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съставната крайна точка от сърдечно-съдова смъртност или първа хоспитализация поради ХСН е значимо намалена при кандесартан цилексетил в сравнение с плацебо (рисков коефициент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0,77(95%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0,67-0,89, р&lt;0,001). Това съответства на намаление на относителния риск с 23%. Пациенти на кандесартан са били 33%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30.1 до 36,0) и пациенти на плацебо 40% (95%С1:37,0 до 43,1), които са били на тази крайна точка, абсолютна разлика 7%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11.2 до 2,8).Четиринадесет пациенти е трябвало да бъдат лекувани в продължение на цялото изпитване, за да се предотврати смъртта на пациент от сърдечносъдово събитие или хоспитализирането му за лечение на сърдечна недостатъчност. Съставната крайна точка от смъртност по всякакви причини или първа хоспитализация поради ХСН е също значимо намалена при кандесартан цилексетил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0,80,95%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0,70-0,92, р=0,001). Пациенти на кандесартан са били 36,6%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10,3 </w:t>
      </w:r>
      <w:r w:rsidRPr="000D5DA1">
        <w:rPr>
          <w:rFonts w:eastAsia="Times New Roman" w:cs="Arial"/>
          <w:color w:val="000000"/>
          <w:szCs w:val="20"/>
          <w:lang w:val="en-US"/>
        </w:rPr>
        <w:t>do</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1,8).И двете компоненти на тези съставни крайни точки — смъртността и заболеваемостта (хоспитализация поради ХСН) са допринесли за благоприятните ефекти на кандесартан цилексетил. Лечението с кандесартан цилексетил е довело до подобряване на функционалния клас по </w:t>
      </w:r>
      <w:r w:rsidRPr="000D5DA1">
        <w:rPr>
          <w:rFonts w:eastAsia="Times New Roman" w:cs="Arial"/>
          <w:color w:val="000000"/>
          <w:szCs w:val="20"/>
          <w:lang w:val="en-US"/>
        </w:rPr>
        <w:t>NYHA</w:t>
      </w:r>
      <w:r w:rsidRPr="000D5DA1">
        <w:rPr>
          <w:rFonts w:eastAsia="Times New Roman" w:cs="Arial"/>
          <w:color w:val="000000"/>
          <w:szCs w:val="20"/>
          <w:lang w:val="ru-RU"/>
        </w:rPr>
        <w:t xml:space="preserve"> </w:t>
      </w:r>
      <w:r w:rsidRPr="000D5DA1">
        <w:rPr>
          <w:rFonts w:eastAsia="Times New Roman" w:cs="Arial"/>
          <w:color w:val="000000"/>
          <w:szCs w:val="20"/>
          <w:lang w:eastAsia="bg-BG"/>
        </w:rPr>
        <w:t>(р=0,008).</w:t>
      </w:r>
    </w:p>
    <w:p w14:paraId="2A1DAB86" w14:textId="77777777" w:rsidR="000D5DA1" w:rsidRPr="000D5DA1" w:rsidRDefault="000D5DA1" w:rsidP="000D5DA1">
      <w:pPr>
        <w:spacing w:line="240" w:lineRule="auto"/>
        <w:rPr>
          <w:rFonts w:eastAsia="Times New Roman" w:cs="Arial"/>
          <w:color w:val="000000"/>
          <w:szCs w:val="20"/>
          <w:lang w:eastAsia="bg-BG"/>
        </w:rPr>
      </w:pPr>
    </w:p>
    <w:p w14:paraId="21895495" w14:textId="285B5B51" w:rsidR="000D5DA1" w:rsidRPr="000D5DA1" w:rsidRDefault="000D5DA1" w:rsidP="000D5DA1">
      <w:pPr>
        <w:spacing w:line="240" w:lineRule="auto"/>
        <w:rPr>
          <w:rFonts w:eastAsia="Times New Roman" w:cs="Arial"/>
          <w:color w:val="000000"/>
          <w:szCs w:val="20"/>
          <w:lang w:eastAsia="bg-BG"/>
        </w:rPr>
      </w:pPr>
      <w:r w:rsidRPr="000D5DA1">
        <w:rPr>
          <w:rFonts w:eastAsia="Times New Roman" w:cs="Arial"/>
          <w:color w:val="000000"/>
          <w:szCs w:val="20"/>
          <w:lang w:eastAsia="bg-BG"/>
        </w:rPr>
        <w:t xml:space="preserve">В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Added</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съставната крайна точка от сърдечно-съдова смъртност или първа хоспитализация поради ХСН е значимо намалена при кандесартан цилексетил в сравнение с плацебо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0,85,95%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0,75-0,96, р=0,011). Това съответства на намаляване на относителния риск с 15%. Пациентите на кандесартан са били 37,9% (95% С</w:t>
      </w:r>
      <w:r w:rsidRPr="000D5DA1">
        <w:rPr>
          <w:rFonts w:eastAsia="Times New Roman" w:cs="Arial"/>
          <w:color w:val="000000"/>
          <w:szCs w:val="20"/>
          <w:lang w:val="en-US"/>
        </w:rPr>
        <w:t>I</w:t>
      </w:r>
      <w:r w:rsidRPr="000D5DA1">
        <w:rPr>
          <w:rFonts w:eastAsia="Times New Roman" w:cs="Arial"/>
          <w:color w:val="000000"/>
          <w:szCs w:val="20"/>
          <w:lang w:eastAsia="bg-BG"/>
        </w:rPr>
        <w:t>:35,2 до 40,6) и пациенти на плацебо 42,3% (95% С</w:t>
      </w:r>
      <w:r w:rsidRPr="000D5DA1">
        <w:rPr>
          <w:rFonts w:eastAsia="Times New Roman" w:cs="Arial"/>
          <w:color w:val="000000"/>
          <w:szCs w:val="20"/>
          <w:lang w:val="en-US"/>
        </w:rPr>
        <w:t>I</w:t>
      </w:r>
      <w:r w:rsidRPr="000D5DA1">
        <w:rPr>
          <w:rFonts w:eastAsia="Times New Roman" w:cs="Arial"/>
          <w:color w:val="000000"/>
          <w:szCs w:val="20"/>
          <w:lang w:eastAsia="bg-BG"/>
        </w:rPr>
        <w:t xml:space="preserve">:39,6 до 45,1) изпитали крайна точка, абсолютна разлика 4,4% (95%С1: 8,2 до 0,6). Двадесет и трима пациенти е трябвало да бъдат лекувани в продължение на цялото изпитване, за да се предотврати смъртта на пациент от сърдечно-съдово събитие или хоспитализирането му за лечение на сърдечна недостатъчност. Съставната крайна точка от смъртност поради всякаква причина или първа хоспитализация поради ХСН е също значимо намалена при кандесартан цилексетил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0,87, 95%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0,78-0,98, р = 0,021). И двете компоненти на тези съставни крайни точки — смъртността и заболеваемостта (хоспитализация поради ХСН) са допринесли за благоприятните ефекти на кандесартан цилексетил . Лечението с кандесартан цилексетил с довело до подобряване на функционалния клас по </w:t>
      </w:r>
      <w:r w:rsidRPr="000D5DA1">
        <w:rPr>
          <w:rFonts w:eastAsia="Times New Roman" w:cs="Arial"/>
          <w:color w:val="000000"/>
          <w:szCs w:val="20"/>
          <w:lang w:val="en-US"/>
        </w:rPr>
        <w:t>NYHA</w:t>
      </w:r>
      <w:r w:rsidRPr="000D5DA1">
        <w:rPr>
          <w:rFonts w:eastAsia="Times New Roman" w:cs="Arial"/>
          <w:color w:val="000000"/>
          <w:szCs w:val="20"/>
          <w:lang w:val="ru-RU"/>
        </w:rPr>
        <w:t xml:space="preserve"> </w:t>
      </w:r>
      <w:r w:rsidRPr="000D5DA1">
        <w:rPr>
          <w:rFonts w:eastAsia="Times New Roman" w:cs="Arial"/>
          <w:color w:val="000000"/>
          <w:szCs w:val="20"/>
          <w:lang w:eastAsia="bg-BG"/>
        </w:rPr>
        <w:t>(р =0,020).</w:t>
      </w:r>
    </w:p>
    <w:p w14:paraId="53CAE8AC" w14:textId="2A4CFBCE" w:rsidR="000D5DA1" w:rsidRPr="000D5DA1" w:rsidRDefault="000D5DA1" w:rsidP="000D5DA1">
      <w:pPr>
        <w:spacing w:line="240" w:lineRule="auto"/>
        <w:rPr>
          <w:rFonts w:eastAsia="Times New Roman" w:cs="Arial"/>
          <w:color w:val="000000"/>
          <w:szCs w:val="20"/>
          <w:lang w:eastAsia="bg-BG"/>
        </w:rPr>
      </w:pPr>
    </w:p>
    <w:p w14:paraId="252DB71C"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val="en-US"/>
        </w:rPr>
        <w:t>B</w:t>
      </w:r>
      <w:r w:rsidRPr="000D5DA1">
        <w:rPr>
          <w:rFonts w:eastAsia="Times New Roman" w:cs="Arial"/>
          <w:color w:val="000000"/>
          <w:szCs w:val="20"/>
          <w:lang w:val="ru-RU"/>
        </w:rPr>
        <w:t xml:space="preserve">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Preserved</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не е постигнато статистически значимо намаляване на съставната крайна точка от сърдечно-съдова смъртност или първа хоспитализация поради ХСН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0</w:t>
      </w:r>
      <w:proofErr w:type="gramStart"/>
      <w:r w:rsidRPr="000D5DA1">
        <w:rPr>
          <w:rFonts w:eastAsia="Times New Roman" w:cs="Arial"/>
          <w:color w:val="000000"/>
          <w:szCs w:val="20"/>
          <w:lang w:eastAsia="bg-BG"/>
        </w:rPr>
        <w:t>,89</w:t>
      </w:r>
      <w:proofErr w:type="gramEnd"/>
      <w:r w:rsidRPr="000D5DA1">
        <w:rPr>
          <w:rFonts w:eastAsia="Times New Roman" w:cs="Arial"/>
          <w:color w:val="000000"/>
          <w:szCs w:val="20"/>
          <w:lang w:eastAsia="bg-BG"/>
        </w:rPr>
        <w:t xml:space="preserve">,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0,77-1,03, р=0,118).</w:t>
      </w:r>
    </w:p>
    <w:p w14:paraId="6A30B5E7" w14:textId="77777777" w:rsidR="000D5DA1" w:rsidRPr="000D5DA1" w:rsidRDefault="000D5DA1" w:rsidP="000D5DA1">
      <w:pPr>
        <w:spacing w:line="240" w:lineRule="auto"/>
        <w:rPr>
          <w:rFonts w:eastAsia="Times New Roman" w:cs="Arial"/>
          <w:color w:val="000000"/>
          <w:szCs w:val="20"/>
          <w:lang w:eastAsia="bg-BG"/>
        </w:rPr>
      </w:pPr>
    </w:p>
    <w:p w14:paraId="65D677E0" w14:textId="7A74B42A"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Смъртността поради всякакви причини не е статистически значима при изследванията отделно при всяко от трите изпитвания </w:t>
      </w:r>
      <w:r w:rsidRPr="000D5DA1">
        <w:rPr>
          <w:rFonts w:eastAsia="Times New Roman" w:cs="Arial"/>
          <w:color w:val="000000"/>
          <w:szCs w:val="20"/>
          <w:lang w:val="en-US"/>
        </w:rPr>
        <w:t>CHARM</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Обаче, смъртността поради всякакви причини е изследвана и при обобщените данни от популациите, </w:t>
      </w:r>
      <w:r w:rsidRPr="000D5DA1">
        <w:rPr>
          <w:rFonts w:eastAsia="Times New Roman" w:cs="Arial"/>
          <w:color w:val="000000"/>
          <w:szCs w:val="20"/>
          <w:lang w:val="en-US"/>
        </w:rPr>
        <w:t>CHARM</w:t>
      </w:r>
      <w:r w:rsidRPr="000D5DA1">
        <w:rPr>
          <w:rFonts w:eastAsia="Times New Roman" w:cs="Arial"/>
          <w:color w:val="000000"/>
          <w:szCs w:val="20"/>
          <w:lang w:val="ru-RU"/>
        </w:rPr>
        <w:t>-</w:t>
      </w:r>
      <w:proofErr w:type="spellStart"/>
      <w:r w:rsidRPr="000D5DA1">
        <w:rPr>
          <w:rFonts w:eastAsia="Times New Roman" w:cs="Arial"/>
          <w:color w:val="000000"/>
          <w:szCs w:val="20"/>
          <w:lang w:val="en-US"/>
        </w:rPr>
        <w:t>Altemative</w:t>
      </w:r>
      <w:proofErr w:type="spellEnd"/>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и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Added</w:t>
      </w:r>
      <w:r w:rsidRPr="000D5DA1">
        <w:rPr>
          <w:rFonts w:eastAsia="Times New Roman" w:cs="Arial"/>
          <w:color w:val="000000"/>
          <w:szCs w:val="20"/>
          <w:lang w:val="ru-RU"/>
        </w:rPr>
        <w:t xml:space="preserve"> (</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0,88,95%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0,79-0,98, р=0,018) и при трите изпитвания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0.91, 95%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0.83-1.00, р=О.О55).</w:t>
      </w:r>
    </w:p>
    <w:p w14:paraId="6A4CE0FD" w14:textId="77777777" w:rsidR="000D5DA1" w:rsidRPr="000D5DA1" w:rsidRDefault="000D5DA1" w:rsidP="000D5DA1">
      <w:pPr>
        <w:spacing w:line="240" w:lineRule="auto"/>
        <w:rPr>
          <w:rFonts w:eastAsia="Times New Roman" w:cs="Arial"/>
          <w:color w:val="000000"/>
          <w:szCs w:val="20"/>
          <w:lang w:eastAsia="bg-BG"/>
        </w:rPr>
      </w:pPr>
    </w:p>
    <w:p w14:paraId="6FC1A9E2" w14:textId="69BF487D"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lastRenderedPageBreak/>
        <w:t>Благоприятните ефекти на кандесартан цилексетил върху сърдечно-съдовата смъртност и хоспитализацията поради ХСН са сходни, независимо от възрастта, пола и съпътстващото медикаментозно лечение. Кандесартан цилексетил е ефективен и при пациенти, приемащи едновременно бета-блокери и АСЕ инхибитори, и има полза, независимо дали пациентите са приемали АСЕ инхибитори в целевата доза, препоръчвана о т указанията за лечение.</w:t>
      </w:r>
    </w:p>
    <w:p w14:paraId="5FC0B1F8" w14:textId="77777777" w:rsidR="000D5DA1" w:rsidRPr="000D5DA1" w:rsidRDefault="000D5DA1" w:rsidP="000D5DA1">
      <w:pPr>
        <w:spacing w:line="240" w:lineRule="auto"/>
        <w:rPr>
          <w:rFonts w:eastAsia="Times New Roman" w:cs="Arial"/>
          <w:color w:val="000000"/>
          <w:szCs w:val="20"/>
          <w:lang w:eastAsia="bg-BG"/>
        </w:rPr>
      </w:pPr>
    </w:p>
    <w:p w14:paraId="739F3750" w14:textId="2260343C"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пациентите с ХСН и потисната систолна функция на лявата камера (левокамерна фракция на изтласкване, ЛКФИ 40%), кандесартан цилексетил намалява системното съдово съпротивление и налягането в крайните белодробни капиляри, повишава активността на плазмения ренин и концентрацията на ангиотензин II и намалява стойностите на алдостерона.</w:t>
      </w:r>
    </w:p>
    <w:p w14:paraId="6AD0DAF5" w14:textId="77777777" w:rsidR="000D5DA1" w:rsidRPr="000D5DA1" w:rsidRDefault="000D5DA1" w:rsidP="000D5DA1">
      <w:pPr>
        <w:spacing w:line="240" w:lineRule="auto"/>
        <w:rPr>
          <w:rFonts w:eastAsia="Times New Roman" w:cs="Arial"/>
          <w:b/>
          <w:bCs/>
          <w:color w:val="000000"/>
          <w:szCs w:val="20"/>
          <w:lang w:eastAsia="bg-BG"/>
        </w:rPr>
      </w:pPr>
    </w:p>
    <w:p w14:paraId="3E19EDC6" w14:textId="7E785E91" w:rsidR="000D5DA1" w:rsidRPr="000D5DA1" w:rsidRDefault="000D5DA1" w:rsidP="000D5DA1">
      <w:pPr>
        <w:spacing w:line="240" w:lineRule="auto"/>
        <w:rPr>
          <w:rFonts w:eastAsia="Times New Roman" w:cs="Arial"/>
          <w:sz w:val="28"/>
          <w:szCs w:val="24"/>
        </w:rPr>
      </w:pPr>
      <w:r w:rsidRPr="000D5DA1">
        <w:rPr>
          <w:rFonts w:eastAsia="Times New Roman" w:cs="Arial"/>
          <w:b/>
          <w:bCs/>
          <w:color w:val="000000"/>
          <w:szCs w:val="20"/>
          <w:lang w:eastAsia="bg-BG"/>
        </w:rPr>
        <w:t>Двойна блокада на системата реннн-ангиотснзин-алдостерон (РААС)</w:t>
      </w:r>
    </w:p>
    <w:p w14:paraId="03C3AC8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Две големи рандомизирани контролирани проучвания - </w:t>
      </w:r>
      <w:r w:rsidRPr="000D5DA1">
        <w:rPr>
          <w:rFonts w:eastAsia="Times New Roman" w:cs="Arial"/>
          <w:color w:val="000000"/>
          <w:szCs w:val="20"/>
          <w:lang w:val="en-US"/>
        </w:rPr>
        <w:t>ONTARGET</w:t>
      </w:r>
      <w:r w:rsidRPr="000D5DA1">
        <w:rPr>
          <w:rFonts w:eastAsia="Times New Roman" w:cs="Arial"/>
          <w:color w:val="000000"/>
          <w:szCs w:val="20"/>
        </w:rPr>
        <w:t xml:space="preserve"> (</w:t>
      </w:r>
      <w:proofErr w:type="spellStart"/>
      <w:r w:rsidRPr="000D5DA1">
        <w:rPr>
          <w:rFonts w:eastAsia="Times New Roman" w:cs="Arial"/>
          <w:color w:val="000000"/>
          <w:szCs w:val="20"/>
          <w:lang w:val="en-US"/>
        </w:rPr>
        <w:t>ONgoing</w:t>
      </w:r>
      <w:proofErr w:type="spellEnd"/>
      <w:r w:rsidRPr="000D5DA1">
        <w:rPr>
          <w:rFonts w:eastAsia="Times New Roman" w:cs="Arial"/>
          <w:color w:val="000000"/>
          <w:szCs w:val="20"/>
        </w:rPr>
        <w:t xml:space="preserve"> </w:t>
      </w:r>
      <w:proofErr w:type="spellStart"/>
      <w:r w:rsidRPr="000D5DA1">
        <w:rPr>
          <w:rFonts w:eastAsia="Times New Roman" w:cs="Arial"/>
          <w:color w:val="000000"/>
          <w:szCs w:val="20"/>
          <w:lang w:val="en-US"/>
        </w:rPr>
        <w:t>Telmisartan</w:t>
      </w:r>
      <w:proofErr w:type="spellEnd"/>
      <w:r w:rsidRPr="000D5DA1">
        <w:rPr>
          <w:rFonts w:eastAsia="Times New Roman" w:cs="Arial"/>
          <w:color w:val="000000"/>
          <w:szCs w:val="20"/>
        </w:rPr>
        <w:t xml:space="preserve"> </w:t>
      </w:r>
      <w:r w:rsidRPr="000D5DA1">
        <w:rPr>
          <w:rFonts w:eastAsia="Times New Roman" w:cs="Arial"/>
          <w:color w:val="000000"/>
          <w:szCs w:val="20"/>
          <w:lang w:val="en-US"/>
        </w:rPr>
        <w:t>Alone</w:t>
      </w:r>
      <w:r w:rsidRPr="000D5DA1">
        <w:rPr>
          <w:rFonts w:eastAsia="Times New Roman" w:cs="Arial"/>
          <w:color w:val="000000"/>
          <w:szCs w:val="20"/>
        </w:rPr>
        <w:t xml:space="preserve"> </w:t>
      </w:r>
      <w:r w:rsidRPr="000D5DA1">
        <w:rPr>
          <w:rFonts w:eastAsia="Times New Roman" w:cs="Arial"/>
          <w:color w:val="000000"/>
          <w:szCs w:val="20"/>
          <w:lang w:val="en-US"/>
        </w:rPr>
        <w:t>and</w:t>
      </w:r>
      <w:r w:rsidRPr="000D5DA1">
        <w:rPr>
          <w:rFonts w:eastAsia="Times New Roman" w:cs="Arial"/>
          <w:color w:val="000000"/>
          <w:szCs w:val="20"/>
        </w:rPr>
        <w:t xml:space="preserve"> </w:t>
      </w:r>
      <w:r w:rsidRPr="000D5DA1">
        <w:rPr>
          <w:rFonts w:eastAsia="Times New Roman" w:cs="Arial"/>
          <w:color w:val="000000"/>
          <w:szCs w:val="20"/>
          <w:lang w:val="en-US"/>
        </w:rPr>
        <w:t>in</w:t>
      </w:r>
      <w:r w:rsidRPr="000D5DA1">
        <w:rPr>
          <w:rFonts w:eastAsia="Times New Roman" w:cs="Arial"/>
          <w:color w:val="000000"/>
          <w:szCs w:val="20"/>
        </w:rPr>
        <w:t xml:space="preserve"> </w:t>
      </w:r>
      <w:r w:rsidRPr="000D5DA1">
        <w:rPr>
          <w:rFonts w:eastAsia="Times New Roman" w:cs="Arial"/>
          <w:color w:val="000000"/>
          <w:szCs w:val="20"/>
          <w:lang w:val="en-US"/>
        </w:rPr>
        <w:t>combination</w:t>
      </w:r>
      <w:r w:rsidRPr="000D5DA1">
        <w:rPr>
          <w:rFonts w:eastAsia="Times New Roman" w:cs="Arial"/>
          <w:color w:val="000000"/>
          <w:szCs w:val="20"/>
        </w:rPr>
        <w:t xml:space="preserve"> </w:t>
      </w:r>
      <w:r w:rsidRPr="000D5DA1">
        <w:rPr>
          <w:rFonts w:eastAsia="Times New Roman" w:cs="Arial"/>
          <w:color w:val="000000"/>
          <w:szCs w:val="20"/>
          <w:lang w:val="en-US"/>
        </w:rPr>
        <w:t>with</w:t>
      </w:r>
      <w:r w:rsidRPr="000D5DA1">
        <w:rPr>
          <w:rFonts w:eastAsia="Times New Roman" w:cs="Arial"/>
          <w:color w:val="000000"/>
          <w:szCs w:val="20"/>
        </w:rPr>
        <w:t xml:space="preserve"> </w:t>
      </w:r>
      <w:r w:rsidRPr="000D5DA1">
        <w:rPr>
          <w:rFonts w:eastAsia="Times New Roman" w:cs="Arial"/>
          <w:color w:val="000000"/>
          <w:szCs w:val="20"/>
          <w:lang w:val="en-US"/>
        </w:rPr>
        <w:t>Ramipril</w:t>
      </w:r>
      <w:r w:rsidRPr="000D5DA1">
        <w:rPr>
          <w:rFonts w:eastAsia="Times New Roman" w:cs="Arial"/>
          <w:color w:val="000000"/>
          <w:szCs w:val="20"/>
        </w:rPr>
        <w:t xml:space="preserve"> </w:t>
      </w:r>
      <w:r w:rsidRPr="000D5DA1">
        <w:rPr>
          <w:rFonts w:eastAsia="Times New Roman" w:cs="Arial"/>
          <w:color w:val="000000"/>
          <w:szCs w:val="20"/>
          <w:lang w:val="en-US"/>
        </w:rPr>
        <w:t>Global</w:t>
      </w:r>
      <w:r w:rsidRPr="000D5DA1">
        <w:rPr>
          <w:rFonts w:eastAsia="Times New Roman" w:cs="Arial"/>
          <w:color w:val="000000"/>
          <w:szCs w:val="20"/>
        </w:rPr>
        <w:t xml:space="preserve"> </w:t>
      </w:r>
      <w:r w:rsidRPr="000D5DA1">
        <w:rPr>
          <w:rFonts w:eastAsia="Times New Roman" w:cs="Arial"/>
          <w:color w:val="000000"/>
          <w:szCs w:val="20"/>
          <w:lang w:val="en-US"/>
        </w:rPr>
        <w:t>Endpoint</w:t>
      </w:r>
      <w:r w:rsidRPr="000D5DA1">
        <w:rPr>
          <w:rFonts w:eastAsia="Times New Roman" w:cs="Arial"/>
          <w:color w:val="000000"/>
          <w:szCs w:val="20"/>
        </w:rPr>
        <w:t xml:space="preserve"> </w:t>
      </w:r>
      <w:r w:rsidRPr="000D5DA1">
        <w:rPr>
          <w:rFonts w:eastAsia="Times New Roman" w:cs="Arial"/>
          <w:color w:val="000000"/>
          <w:szCs w:val="20"/>
          <w:lang w:val="en-US"/>
        </w:rPr>
        <w:t>Trial</w:t>
      </w:r>
      <w:r w:rsidRPr="000D5DA1">
        <w:rPr>
          <w:rFonts w:eastAsia="Times New Roman" w:cs="Arial"/>
          <w:color w:val="000000"/>
          <w:szCs w:val="20"/>
        </w:rPr>
        <w:t xml:space="preserve"> - </w:t>
      </w:r>
      <w:r w:rsidRPr="000D5DA1">
        <w:rPr>
          <w:rFonts w:eastAsia="Times New Roman" w:cs="Arial"/>
          <w:color w:val="000000"/>
          <w:szCs w:val="20"/>
          <w:lang w:eastAsia="bg-BG"/>
        </w:rPr>
        <w:t xml:space="preserve">текущо глобално изпитване за крайни точки на телмисартан, самостоятелно и в комбинация с рамиприл) и </w:t>
      </w:r>
      <w:r w:rsidRPr="000D5DA1">
        <w:rPr>
          <w:rFonts w:eastAsia="Times New Roman" w:cs="Arial"/>
          <w:color w:val="000000"/>
          <w:szCs w:val="20"/>
          <w:lang w:val="en-US"/>
        </w:rPr>
        <w:t>VA</w:t>
      </w:r>
      <w:r w:rsidRPr="000D5DA1">
        <w:rPr>
          <w:rFonts w:eastAsia="Times New Roman" w:cs="Arial"/>
          <w:color w:val="000000"/>
          <w:szCs w:val="20"/>
        </w:rPr>
        <w:t xml:space="preserve"> </w:t>
      </w:r>
      <w:r w:rsidRPr="000D5DA1">
        <w:rPr>
          <w:rFonts w:eastAsia="Times New Roman" w:cs="Arial"/>
          <w:color w:val="000000"/>
          <w:szCs w:val="20"/>
          <w:lang w:val="en-US"/>
        </w:rPr>
        <w:t>NEPHRON</w:t>
      </w:r>
      <w:r w:rsidRPr="000D5DA1">
        <w:rPr>
          <w:rFonts w:eastAsia="Times New Roman" w:cs="Arial"/>
          <w:color w:val="000000"/>
          <w:szCs w:val="20"/>
        </w:rPr>
        <w:t>-</w:t>
      </w:r>
      <w:r w:rsidRPr="000D5DA1">
        <w:rPr>
          <w:rFonts w:eastAsia="Times New Roman" w:cs="Arial"/>
          <w:color w:val="000000"/>
          <w:szCs w:val="20"/>
          <w:lang w:val="en-US"/>
        </w:rPr>
        <w:t>D</w:t>
      </w:r>
      <w:r w:rsidRPr="000D5DA1">
        <w:rPr>
          <w:rFonts w:eastAsia="Times New Roman" w:cs="Arial"/>
          <w:color w:val="000000"/>
          <w:szCs w:val="20"/>
        </w:rPr>
        <w:t xml:space="preserve"> </w:t>
      </w:r>
      <w:r w:rsidRPr="000D5DA1">
        <w:rPr>
          <w:rFonts w:eastAsia="Times New Roman" w:cs="Arial"/>
          <w:color w:val="000000"/>
          <w:szCs w:val="2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-рецепторен блокер.</w:t>
      </w:r>
    </w:p>
    <w:p w14:paraId="04BFA57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val="en-US"/>
        </w:rPr>
        <w:t>ONTARGET</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0D5DA1">
        <w:rPr>
          <w:rFonts w:eastAsia="Times New Roman" w:cs="Arial"/>
          <w:color w:val="000000"/>
          <w:szCs w:val="20"/>
          <w:lang w:val="en-US"/>
        </w:rPr>
        <w:t>VA</w:t>
      </w:r>
      <w:r w:rsidRPr="000D5DA1">
        <w:rPr>
          <w:rFonts w:eastAsia="Times New Roman" w:cs="Arial"/>
          <w:color w:val="000000"/>
          <w:szCs w:val="20"/>
          <w:lang w:val="ru-RU"/>
        </w:rPr>
        <w:t xml:space="preserve"> </w:t>
      </w:r>
      <w:r w:rsidRPr="000D5DA1">
        <w:rPr>
          <w:rFonts w:eastAsia="Times New Roman" w:cs="Arial"/>
          <w:color w:val="000000"/>
          <w:szCs w:val="20"/>
          <w:lang w:val="en-US"/>
        </w:rPr>
        <w:t>NEPHRON</w:t>
      </w:r>
      <w:r w:rsidRPr="000D5DA1">
        <w:rPr>
          <w:rFonts w:eastAsia="Times New Roman" w:cs="Arial"/>
          <w:color w:val="000000"/>
          <w:szCs w:val="20"/>
          <w:lang w:val="ru-RU"/>
        </w:rPr>
        <w:t>-</w:t>
      </w:r>
      <w:r w:rsidRPr="000D5DA1">
        <w:rPr>
          <w:rFonts w:eastAsia="Times New Roman" w:cs="Arial"/>
          <w:color w:val="000000"/>
          <w:szCs w:val="20"/>
          <w:lang w:val="en-US"/>
        </w:rPr>
        <w:t>D</w:t>
      </w:r>
      <w:r w:rsidRPr="000D5DA1">
        <w:rPr>
          <w:rFonts w:eastAsia="Times New Roman" w:cs="Arial"/>
          <w:color w:val="000000"/>
          <w:szCs w:val="20"/>
          <w:lang w:val="ru-RU"/>
        </w:rPr>
        <w:t xml:space="preserve"> </w:t>
      </w:r>
      <w:r w:rsidRPr="000D5DA1">
        <w:rPr>
          <w:rFonts w:eastAsia="Times New Roman" w:cs="Arial"/>
          <w:color w:val="000000"/>
          <w:szCs w:val="20"/>
          <w:lang w:eastAsia="bg-BG"/>
        </w:rPr>
        <w:t>е проучване при пациенти със захарен диабет тип 2 и диабетна нефропатия.</w:t>
      </w:r>
    </w:p>
    <w:p w14:paraId="473AC26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Тези проучвания не показват значим благоприятен ефект върху бъбречните и/или сърдечно</w:t>
      </w:r>
      <w:r w:rsidRPr="000D5DA1">
        <w:rPr>
          <w:rFonts w:eastAsia="Times New Roman" w:cs="Arial"/>
          <w:color w:val="000000"/>
          <w:szCs w:val="20"/>
          <w:lang w:eastAsia="bg-BG"/>
        </w:rPr>
        <w:softHyphen/>
        <w:t>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Като се имат предвид сходните им фармакодинамични свойства, тези резултати са приложими и за други АСЕ инхибитори 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-рецепторни блокери.</w:t>
      </w:r>
    </w:p>
    <w:p w14:paraId="3441E2C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АСЕ инхибитори 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-рецепторни блокери следователно не трябва да се използват едновременно при пациенти с диабетна нефропатия.</w:t>
      </w:r>
    </w:p>
    <w:p w14:paraId="0EFF8D40" w14:textId="77777777" w:rsidR="000D5DA1" w:rsidRPr="000D5DA1" w:rsidRDefault="000D5DA1" w:rsidP="000D5DA1">
      <w:pPr>
        <w:spacing w:line="240" w:lineRule="auto"/>
        <w:rPr>
          <w:rFonts w:eastAsia="Times New Roman" w:cs="Arial"/>
          <w:color w:val="000000"/>
          <w:szCs w:val="20"/>
          <w:lang w:val="en-US"/>
        </w:rPr>
      </w:pPr>
    </w:p>
    <w:p w14:paraId="5EA4FC6C" w14:textId="696CD3A0"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val="en-US"/>
        </w:rPr>
        <w:t>ALTITUDE</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6664E833" w14:textId="77777777" w:rsidR="000D5DA1" w:rsidRPr="000D5DA1" w:rsidRDefault="000D5DA1" w:rsidP="000D5DA1">
      <w:pPr>
        <w:spacing w:line="240" w:lineRule="auto"/>
        <w:rPr>
          <w:rFonts w:ascii="Times New Roman" w:eastAsia="Times New Roman" w:hAnsi="Times New Roman" w:cs="Times New Roman"/>
          <w:sz w:val="24"/>
          <w:szCs w:val="24"/>
        </w:rPr>
      </w:pPr>
    </w:p>
    <w:p w14:paraId="346B622B" w14:textId="18CE5EBD" w:rsidR="00875EEC" w:rsidRDefault="002C50EE" w:rsidP="005726E3">
      <w:pPr>
        <w:pStyle w:val="Heading2"/>
      </w:pPr>
      <w:r>
        <w:t>5.2. Фармакокинетични свойства</w:t>
      </w:r>
    </w:p>
    <w:p w14:paraId="40153055" w14:textId="07EC0526" w:rsidR="000D5DA1" w:rsidRDefault="000D5DA1" w:rsidP="000D5DA1"/>
    <w:p w14:paraId="1BA3B25D" w14:textId="77777777" w:rsidR="000D5DA1" w:rsidRPr="000D5DA1" w:rsidRDefault="000D5DA1" w:rsidP="000D5DA1">
      <w:pPr>
        <w:pStyle w:val="Heading3"/>
        <w:rPr>
          <w:rFonts w:eastAsia="Times New Roman"/>
          <w:i/>
          <w:sz w:val="28"/>
        </w:rPr>
      </w:pPr>
      <w:r w:rsidRPr="000D5DA1">
        <w:rPr>
          <w:rFonts w:eastAsia="Times New Roman"/>
          <w:i/>
          <w:lang w:eastAsia="bg-BG"/>
        </w:rPr>
        <w:t>Абсорбция и разпределение</w:t>
      </w:r>
    </w:p>
    <w:p w14:paraId="19562D06"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След перорално приложение, кандесартан цилексетил се превръща в активното вещество кандесартан. Абсолютната бионаличност на кандесартан е приблизително 40% след приложение на разтвор за перорално приложение на кандесартан цилексетил. </w:t>
      </w:r>
      <w:r w:rsidRPr="000D5DA1">
        <w:rPr>
          <w:rFonts w:eastAsia="Times New Roman" w:cs="Arial"/>
          <w:color w:val="000000"/>
          <w:szCs w:val="20"/>
          <w:lang w:eastAsia="bg-BG"/>
        </w:rPr>
        <w:lastRenderedPageBreak/>
        <w:t>Относителната бионаличност на таблетната форма в сравнение със същия разтвор за перорално приложение е приблизително 34% с много малка вариабилност. Следователно,</w:t>
      </w:r>
      <w:r w:rsidRPr="000D5DA1">
        <w:rPr>
          <w:rFonts w:ascii="Times New Roman" w:eastAsia="Times New Roman" w:hAnsi="Times New Roman" w:cs="Times New Roman"/>
          <w:color w:val="000000"/>
          <w:szCs w:val="20"/>
          <w:lang w:eastAsia="bg-BG"/>
        </w:rPr>
        <w:t xml:space="preserve"> </w:t>
      </w:r>
      <w:r w:rsidRPr="000D5DA1">
        <w:rPr>
          <w:rFonts w:eastAsia="Times New Roman" w:cs="Arial"/>
          <w:color w:val="000000"/>
          <w:szCs w:val="20"/>
          <w:lang w:eastAsia="bg-BG"/>
        </w:rPr>
        <w:t>изчислената абсолютна бионаличност на таблетката е 14%. Средната максимална серумна концентрация (С</w:t>
      </w:r>
      <w:r w:rsidRPr="000D5DA1">
        <w:rPr>
          <w:rFonts w:eastAsia="Times New Roman" w:cs="Arial"/>
          <w:color w:val="000000"/>
          <w:szCs w:val="20"/>
          <w:lang w:val="en-US"/>
        </w:rPr>
        <w:t>max</w:t>
      </w:r>
      <w:r w:rsidRPr="000D5DA1">
        <w:rPr>
          <w:rFonts w:eastAsia="Times New Roman" w:cs="Arial"/>
          <w:color w:val="000000"/>
          <w:szCs w:val="20"/>
          <w:lang w:eastAsia="bg-BG"/>
        </w:rPr>
        <w:t xml:space="preserve">) се достига 3-4 часа след приема на таблетката. Серумните концентрации на кандесартан нарастват линейно с увеличаване на дозите в терапевтичните дозови граници. Не са наблюдавани междуполови различия във фармакокинетиката на кандесартан. Площта под кривата серумна концентрация/ време </w:t>
      </w:r>
      <w:r w:rsidRPr="000D5DA1">
        <w:rPr>
          <w:rFonts w:eastAsia="Times New Roman" w:cs="Arial"/>
          <w:color w:val="000000"/>
          <w:szCs w:val="20"/>
          <w:lang w:val="ru-RU"/>
        </w:rPr>
        <w:t>(</w:t>
      </w:r>
      <w:r w:rsidRPr="000D5DA1">
        <w:rPr>
          <w:rFonts w:eastAsia="Times New Roman" w:cs="Arial"/>
          <w:color w:val="000000"/>
          <w:szCs w:val="20"/>
          <w:lang w:val="en-US"/>
        </w:rPr>
        <w:t>AUC</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на кандесартан не се влияе значимо от храна. Кандесартан се свързва с плазмените протеини във висока степен (над 99%). Привидният обем на разпределение на кандесартан е 0,1 </w:t>
      </w:r>
      <w:r w:rsidRPr="000D5DA1">
        <w:rPr>
          <w:rFonts w:eastAsia="Times New Roman" w:cs="Arial"/>
          <w:color w:val="000000"/>
          <w:szCs w:val="20"/>
          <w:lang w:val="en-US"/>
        </w:rPr>
        <w:t>L</w:t>
      </w:r>
      <w:r w:rsidRPr="000D5DA1">
        <w:rPr>
          <w:rFonts w:eastAsia="Times New Roman" w:cs="Arial"/>
          <w:color w:val="000000"/>
          <w:szCs w:val="20"/>
          <w:lang w:val="ru-RU"/>
        </w:rPr>
        <w:t>/</w:t>
      </w:r>
      <w:r w:rsidRPr="000D5DA1">
        <w:rPr>
          <w:rFonts w:eastAsia="Times New Roman" w:cs="Arial"/>
          <w:color w:val="000000"/>
          <w:szCs w:val="20"/>
          <w:lang w:val="en-US"/>
        </w:rPr>
        <w:t>kg</w:t>
      </w:r>
      <w:r w:rsidRPr="000D5DA1">
        <w:rPr>
          <w:rFonts w:eastAsia="Times New Roman" w:cs="Arial"/>
          <w:color w:val="000000"/>
          <w:szCs w:val="20"/>
          <w:lang w:val="ru-RU"/>
        </w:rPr>
        <w:t xml:space="preserve">. </w:t>
      </w:r>
      <w:r w:rsidRPr="000D5DA1">
        <w:rPr>
          <w:rFonts w:eastAsia="Times New Roman" w:cs="Arial"/>
          <w:color w:val="000000"/>
          <w:szCs w:val="20"/>
          <w:lang w:eastAsia="bg-BG"/>
        </w:rPr>
        <w:t>Бионаличността на кандесартан не се влияе от храна.</w:t>
      </w:r>
    </w:p>
    <w:p w14:paraId="06DF5DFF" w14:textId="77777777" w:rsidR="000D5DA1" w:rsidRPr="000D5DA1" w:rsidRDefault="000D5DA1" w:rsidP="000D5DA1">
      <w:pPr>
        <w:spacing w:line="240" w:lineRule="auto"/>
        <w:rPr>
          <w:rFonts w:eastAsia="Times New Roman" w:cs="Arial"/>
          <w:i/>
          <w:iCs/>
          <w:color w:val="000000"/>
          <w:szCs w:val="20"/>
          <w:lang w:eastAsia="bg-BG"/>
        </w:rPr>
      </w:pPr>
    </w:p>
    <w:p w14:paraId="1A0A0611" w14:textId="0F27D9E8" w:rsidR="000D5DA1" w:rsidRPr="000D5DA1" w:rsidRDefault="000D5DA1" w:rsidP="000D5DA1">
      <w:pPr>
        <w:pStyle w:val="Heading3"/>
        <w:rPr>
          <w:rFonts w:eastAsia="Times New Roman"/>
          <w:i/>
          <w:sz w:val="28"/>
        </w:rPr>
      </w:pPr>
      <w:r w:rsidRPr="000D5DA1">
        <w:rPr>
          <w:rFonts w:eastAsia="Times New Roman"/>
          <w:i/>
          <w:lang w:eastAsia="bg-BG"/>
        </w:rPr>
        <w:t>Метаболизъм и елиминиране</w:t>
      </w:r>
    </w:p>
    <w:p w14:paraId="0D976736"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Кандесартан се елиминира предимно в непроменена форма с урината и жлъчката и само в малка степен се елиминира чрез чернодробен метаболизъм </w:t>
      </w:r>
      <w:r w:rsidRPr="000D5DA1">
        <w:rPr>
          <w:rFonts w:eastAsia="Times New Roman" w:cs="Arial"/>
          <w:color w:val="000000"/>
          <w:szCs w:val="20"/>
          <w:lang w:val="ru-RU"/>
        </w:rPr>
        <w:t>(</w:t>
      </w:r>
      <w:r w:rsidRPr="000D5DA1">
        <w:rPr>
          <w:rFonts w:eastAsia="Times New Roman" w:cs="Arial"/>
          <w:color w:val="000000"/>
          <w:szCs w:val="20"/>
          <w:lang w:val="en-US"/>
        </w:rPr>
        <w:t>CYP</w:t>
      </w:r>
      <w:r w:rsidRPr="000D5DA1">
        <w:rPr>
          <w:rFonts w:eastAsia="Times New Roman" w:cs="Arial"/>
          <w:color w:val="000000"/>
          <w:szCs w:val="20"/>
          <w:lang w:val="ru-RU"/>
        </w:rPr>
        <w:t>2</w:t>
      </w:r>
      <w:r w:rsidRPr="000D5DA1">
        <w:rPr>
          <w:rFonts w:eastAsia="Times New Roman" w:cs="Arial"/>
          <w:color w:val="000000"/>
          <w:szCs w:val="20"/>
          <w:lang w:val="en-US"/>
        </w:rPr>
        <w:t>C</w:t>
      </w:r>
      <w:r w:rsidRPr="000D5DA1">
        <w:rPr>
          <w:rFonts w:eastAsia="Times New Roman" w:cs="Arial"/>
          <w:color w:val="000000"/>
          <w:szCs w:val="20"/>
          <w:lang w:val="ru-RU"/>
        </w:rPr>
        <w:t xml:space="preserve">9). </w:t>
      </w:r>
      <w:r w:rsidRPr="000D5DA1">
        <w:rPr>
          <w:rFonts w:eastAsia="Times New Roman" w:cs="Arial"/>
          <w:color w:val="000000"/>
          <w:szCs w:val="20"/>
          <w:lang w:eastAsia="bg-BG"/>
        </w:rPr>
        <w:t xml:space="preserve">Наличните проучвания за взаимодействия не показват ефект върху </w:t>
      </w:r>
      <w:r w:rsidRPr="000D5DA1">
        <w:rPr>
          <w:rFonts w:eastAsia="Times New Roman" w:cs="Arial"/>
          <w:color w:val="000000"/>
          <w:szCs w:val="20"/>
          <w:lang w:val="en-US"/>
        </w:rPr>
        <w:t>CYP</w:t>
      </w:r>
      <w:r w:rsidRPr="000D5DA1">
        <w:rPr>
          <w:rFonts w:eastAsia="Times New Roman" w:cs="Arial"/>
          <w:color w:val="000000"/>
          <w:szCs w:val="20"/>
          <w:lang w:val="ru-RU"/>
        </w:rPr>
        <w:t>2</w:t>
      </w:r>
      <w:r w:rsidRPr="000D5DA1">
        <w:rPr>
          <w:rFonts w:eastAsia="Times New Roman" w:cs="Arial"/>
          <w:color w:val="000000"/>
          <w:szCs w:val="20"/>
          <w:lang w:val="en-US"/>
        </w:rPr>
        <w:t>C</w:t>
      </w:r>
      <w:r w:rsidRPr="000D5DA1">
        <w:rPr>
          <w:rFonts w:eastAsia="Times New Roman" w:cs="Arial"/>
          <w:color w:val="000000"/>
          <w:szCs w:val="20"/>
          <w:lang w:val="ru-RU"/>
        </w:rPr>
        <w:t xml:space="preserve">9 </w:t>
      </w:r>
      <w:r w:rsidRPr="000D5DA1">
        <w:rPr>
          <w:rFonts w:eastAsia="Times New Roman" w:cs="Arial"/>
          <w:color w:val="000000"/>
          <w:szCs w:val="20"/>
          <w:lang w:eastAsia="bg-BG"/>
        </w:rPr>
        <w:t xml:space="preserve">и </w:t>
      </w:r>
      <w:r w:rsidRPr="000D5DA1">
        <w:rPr>
          <w:rFonts w:eastAsia="Times New Roman" w:cs="Arial"/>
          <w:color w:val="000000"/>
          <w:szCs w:val="20"/>
          <w:lang w:val="en-US"/>
        </w:rPr>
        <w:t>CYP</w:t>
      </w:r>
      <w:r w:rsidRPr="000D5DA1">
        <w:rPr>
          <w:rFonts w:eastAsia="Times New Roman" w:cs="Arial"/>
          <w:color w:val="000000"/>
          <w:szCs w:val="20"/>
          <w:lang w:val="ru-RU"/>
        </w:rPr>
        <w:t>3</w:t>
      </w:r>
      <w:r w:rsidRPr="000D5DA1">
        <w:rPr>
          <w:rFonts w:eastAsia="Times New Roman" w:cs="Arial"/>
          <w:color w:val="000000"/>
          <w:szCs w:val="20"/>
          <w:lang w:val="en-US"/>
        </w:rPr>
        <w:t>A</w:t>
      </w:r>
      <w:r w:rsidRPr="000D5DA1">
        <w:rPr>
          <w:rFonts w:eastAsia="Times New Roman" w:cs="Arial"/>
          <w:color w:val="000000"/>
          <w:szCs w:val="20"/>
          <w:lang w:val="ru-RU"/>
        </w:rPr>
        <w:t xml:space="preserve">4. </w:t>
      </w:r>
      <w:r w:rsidRPr="000D5DA1">
        <w:rPr>
          <w:rFonts w:eastAsia="Times New Roman" w:cs="Arial"/>
          <w:color w:val="000000"/>
          <w:szCs w:val="20"/>
          <w:lang w:eastAsia="bg-BG"/>
        </w:rPr>
        <w:t xml:space="preserve">Въз основа на данни получени от проучвания ин витро, не се очаква да възникнат взаимодействия ин виво с лекарства, чийто метаболизъм е свързан с цитохром Р450 изоензимите </w:t>
      </w:r>
      <w:r w:rsidRPr="000D5DA1">
        <w:rPr>
          <w:rFonts w:eastAsia="Times New Roman" w:cs="Arial"/>
          <w:color w:val="000000"/>
          <w:szCs w:val="20"/>
          <w:lang w:val="en-US"/>
        </w:rPr>
        <w:t>CYP</w:t>
      </w:r>
      <w:r w:rsidRPr="000D5DA1">
        <w:rPr>
          <w:rFonts w:eastAsia="Times New Roman" w:cs="Arial"/>
          <w:color w:val="000000"/>
          <w:szCs w:val="20"/>
          <w:lang w:val="ru-RU"/>
        </w:rPr>
        <w:t>1</w:t>
      </w:r>
      <w:r w:rsidRPr="000D5DA1">
        <w:rPr>
          <w:rFonts w:eastAsia="Times New Roman" w:cs="Arial"/>
          <w:color w:val="000000"/>
          <w:szCs w:val="20"/>
          <w:lang w:val="en-US"/>
        </w:rPr>
        <w:t>A</w:t>
      </w:r>
      <w:r w:rsidRPr="000D5DA1">
        <w:rPr>
          <w:rFonts w:eastAsia="Times New Roman" w:cs="Arial"/>
          <w:color w:val="000000"/>
          <w:szCs w:val="20"/>
          <w:lang w:val="ru-RU"/>
        </w:rPr>
        <w:t xml:space="preserve">2, </w:t>
      </w:r>
      <w:r w:rsidRPr="000D5DA1">
        <w:rPr>
          <w:rFonts w:eastAsia="Times New Roman" w:cs="Arial"/>
          <w:color w:val="000000"/>
          <w:szCs w:val="20"/>
          <w:lang w:val="en-US"/>
        </w:rPr>
        <w:t>CYP</w:t>
      </w:r>
      <w:r w:rsidRPr="000D5DA1">
        <w:rPr>
          <w:rFonts w:eastAsia="Times New Roman" w:cs="Arial"/>
          <w:color w:val="000000"/>
          <w:szCs w:val="20"/>
          <w:lang w:val="ru-RU"/>
        </w:rPr>
        <w:t>1</w:t>
      </w:r>
      <w:r w:rsidRPr="000D5DA1">
        <w:rPr>
          <w:rFonts w:eastAsia="Times New Roman" w:cs="Arial"/>
          <w:color w:val="000000"/>
          <w:szCs w:val="20"/>
          <w:lang w:val="en-US"/>
        </w:rPr>
        <w:t>A</w:t>
      </w:r>
      <w:r w:rsidRPr="000D5DA1">
        <w:rPr>
          <w:rFonts w:eastAsia="Times New Roman" w:cs="Arial"/>
          <w:color w:val="000000"/>
          <w:szCs w:val="20"/>
          <w:lang w:val="ru-RU"/>
        </w:rPr>
        <w:t xml:space="preserve">6, </w:t>
      </w:r>
      <w:r w:rsidRPr="000D5DA1">
        <w:rPr>
          <w:rFonts w:eastAsia="Times New Roman" w:cs="Arial"/>
          <w:color w:val="000000"/>
          <w:szCs w:val="20"/>
          <w:lang w:val="en-US"/>
        </w:rPr>
        <w:t>CYP</w:t>
      </w:r>
      <w:r w:rsidRPr="000D5DA1">
        <w:rPr>
          <w:rFonts w:eastAsia="Times New Roman" w:cs="Arial"/>
          <w:color w:val="000000"/>
          <w:szCs w:val="20"/>
          <w:lang w:val="ru-RU"/>
        </w:rPr>
        <w:t>1</w:t>
      </w:r>
      <w:r w:rsidRPr="000D5DA1">
        <w:rPr>
          <w:rFonts w:eastAsia="Times New Roman" w:cs="Arial"/>
          <w:color w:val="000000"/>
          <w:szCs w:val="20"/>
          <w:lang w:val="en-US"/>
        </w:rPr>
        <w:t>A</w:t>
      </w:r>
      <w:r w:rsidRPr="000D5DA1">
        <w:rPr>
          <w:rFonts w:eastAsia="Times New Roman" w:cs="Arial"/>
          <w:color w:val="000000"/>
          <w:szCs w:val="20"/>
          <w:lang w:val="ru-RU"/>
        </w:rPr>
        <w:t xml:space="preserve">9, </w:t>
      </w:r>
      <w:r w:rsidRPr="000D5DA1">
        <w:rPr>
          <w:rFonts w:eastAsia="Times New Roman" w:cs="Arial"/>
          <w:color w:val="000000"/>
          <w:szCs w:val="20"/>
          <w:lang w:val="en-US"/>
        </w:rPr>
        <w:t>CYP</w:t>
      </w:r>
      <w:r w:rsidRPr="000D5DA1">
        <w:rPr>
          <w:rFonts w:eastAsia="Times New Roman" w:cs="Arial"/>
          <w:color w:val="000000"/>
          <w:szCs w:val="20"/>
          <w:lang w:val="ru-RU"/>
        </w:rPr>
        <w:t>1</w:t>
      </w:r>
      <w:r w:rsidRPr="000D5DA1">
        <w:rPr>
          <w:rFonts w:eastAsia="Times New Roman" w:cs="Arial"/>
          <w:color w:val="000000"/>
          <w:szCs w:val="20"/>
          <w:lang w:val="en-US"/>
        </w:rPr>
        <w:t>A</w:t>
      </w:r>
      <w:r w:rsidRPr="000D5DA1">
        <w:rPr>
          <w:rFonts w:eastAsia="Times New Roman" w:cs="Arial"/>
          <w:color w:val="000000"/>
          <w:szCs w:val="20"/>
          <w:lang w:val="ru-RU"/>
        </w:rPr>
        <w:t xml:space="preserve">19, </w:t>
      </w:r>
      <w:r w:rsidRPr="000D5DA1">
        <w:rPr>
          <w:rFonts w:eastAsia="Times New Roman" w:cs="Arial"/>
          <w:color w:val="000000"/>
          <w:szCs w:val="20"/>
          <w:lang w:val="en-US"/>
        </w:rPr>
        <w:t>CYP</w:t>
      </w:r>
      <w:r w:rsidRPr="000D5DA1">
        <w:rPr>
          <w:rFonts w:eastAsia="Times New Roman" w:cs="Arial"/>
          <w:color w:val="000000"/>
          <w:szCs w:val="20"/>
          <w:lang w:val="ru-RU"/>
        </w:rPr>
        <w:t>2</w:t>
      </w:r>
      <w:r w:rsidRPr="000D5DA1">
        <w:rPr>
          <w:rFonts w:eastAsia="Times New Roman" w:cs="Arial"/>
          <w:color w:val="000000"/>
          <w:szCs w:val="20"/>
          <w:lang w:val="en-US"/>
        </w:rPr>
        <w:t>D</w:t>
      </w:r>
      <w:r w:rsidRPr="000D5DA1">
        <w:rPr>
          <w:rFonts w:eastAsia="Times New Roman" w:cs="Arial"/>
          <w:color w:val="000000"/>
          <w:szCs w:val="20"/>
          <w:lang w:val="ru-RU"/>
        </w:rPr>
        <w:t xml:space="preserve">6, </w:t>
      </w:r>
      <w:r w:rsidRPr="000D5DA1">
        <w:rPr>
          <w:rFonts w:eastAsia="Times New Roman" w:cs="Arial"/>
          <w:color w:val="000000"/>
          <w:szCs w:val="20"/>
          <w:lang w:val="en-US"/>
        </w:rPr>
        <w:t>CYP</w:t>
      </w:r>
      <w:r w:rsidRPr="000D5DA1">
        <w:rPr>
          <w:rFonts w:eastAsia="Times New Roman" w:cs="Arial"/>
          <w:color w:val="000000"/>
          <w:szCs w:val="20"/>
          <w:lang w:val="ru-RU"/>
        </w:rPr>
        <w:t>2</w:t>
      </w:r>
      <w:r w:rsidRPr="000D5DA1">
        <w:rPr>
          <w:rFonts w:eastAsia="Times New Roman" w:cs="Arial"/>
          <w:color w:val="000000"/>
          <w:szCs w:val="20"/>
          <w:lang w:val="en-US"/>
        </w:rPr>
        <w:t>E</w:t>
      </w:r>
      <w:r w:rsidRPr="000D5DA1">
        <w:rPr>
          <w:rFonts w:eastAsia="Times New Roman" w:cs="Arial"/>
          <w:color w:val="000000"/>
          <w:szCs w:val="20"/>
          <w:lang w:val="ru-RU"/>
        </w:rPr>
        <w:t xml:space="preserve">1 </w:t>
      </w:r>
      <w:r w:rsidRPr="000D5DA1">
        <w:rPr>
          <w:rFonts w:eastAsia="Times New Roman" w:cs="Arial"/>
          <w:color w:val="000000"/>
          <w:szCs w:val="20"/>
          <w:lang w:eastAsia="bg-BG"/>
        </w:rPr>
        <w:t xml:space="preserve">или </w:t>
      </w:r>
      <w:r w:rsidRPr="000D5DA1">
        <w:rPr>
          <w:rFonts w:eastAsia="Times New Roman" w:cs="Arial"/>
          <w:color w:val="000000"/>
          <w:szCs w:val="20"/>
          <w:lang w:val="en-US"/>
        </w:rPr>
        <w:t>CYP</w:t>
      </w:r>
      <w:r w:rsidRPr="000D5DA1">
        <w:rPr>
          <w:rFonts w:eastAsia="Times New Roman" w:cs="Arial"/>
          <w:color w:val="000000"/>
          <w:szCs w:val="20"/>
          <w:lang w:val="ru-RU"/>
        </w:rPr>
        <w:t>3</w:t>
      </w:r>
      <w:r w:rsidRPr="000D5DA1">
        <w:rPr>
          <w:rFonts w:eastAsia="Times New Roman" w:cs="Arial"/>
          <w:color w:val="000000"/>
          <w:szCs w:val="20"/>
          <w:lang w:val="en-US"/>
        </w:rPr>
        <w:t>A</w:t>
      </w:r>
      <w:r w:rsidRPr="000D5DA1">
        <w:rPr>
          <w:rFonts w:eastAsia="Times New Roman" w:cs="Arial"/>
          <w:color w:val="000000"/>
          <w:szCs w:val="20"/>
          <w:lang w:val="ru-RU"/>
        </w:rPr>
        <w:t xml:space="preserve">4. </w:t>
      </w:r>
      <w:r w:rsidRPr="000D5DA1">
        <w:rPr>
          <w:rFonts w:eastAsia="Times New Roman" w:cs="Arial"/>
          <w:color w:val="000000"/>
          <w:szCs w:val="20"/>
          <w:lang w:eastAsia="bg-BG"/>
        </w:rPr>
        <w:t>Терминалният елиминационен полуживот на кандесартан е приблизително 9 часа. Няма кумулиране след многократно приложение.</w:t>
      </w:r>
    </w:p>
    <w:p w14:paraId="324585F3" w14:textId="77777777" w:rsidR="000D5DA1" w:rsidRPr="000D5DA1" w:rsidRDefault="000D5DA1" w:rsidP="000D5DA1">
      <w:pPr>
        <w:spacing w:line="240" w:lineRule="auto"/>
        <w:rPr>
          <w:rFonts w:eastAsia="Times New Roman" w:cs="Arial"/>
          <w:color w:val="000000"/>
          <w:szCs w:val="20"/>
          <w:lang w:eastAsia="bg-BG"/>
        </w:rPr>
      </w:pPr>
    </w:p>
    <w:p w14:paraId="045F3C77" w14:textId="3EF75A0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Общият плазмен клирънс на кандесартан е около 0,37 </w:t>
      </w:r>
      <w:r w:rsidRPr="000D5DA1">
        <w:rPr>
          <w:rFonts w:eastAsia="Times New Roman" w:cs="Arial"/>
          <w:color w:val="000000"/>
          <w:szCs w:val="20"/>
          <w:lang w:val="en-US"/>
        </w:rPr>
        <w:t>ml</w:t>
      </w:r>
      <w:r w:rsidRPr="000D5DA1">
        <w:rPr>
          <w:rFonts w:eastAsia="Times New Roman" w:cs="Arial"/>
          <w:color w:val="000000"/>
          <w:szCs w:val="20"/>
        </w:rPr>
        <w:t>/</w:t>
      </w:r>
      <w:r w:rsidRPr="000D5DA1">
        <w:rPr>
          <w:rFonts w:eastAsia="Times New Roman" w:cs="Arial"/>
          <w:color w:val="000000"/>
          <w:szCs w:val="20"/>
          <w:lang w:val="en-US"/>
        </w:rPr>
        <w:t>min</w:t>
      </w:r>
      <w:r w:rsidRPr="000D5DA1">
        <w:rPr>
          <w:rFonts w:eastAsia="Times New Roman" w:cs="Arial"/>
          <w:color w:val="000000"/>
          <w:szCs w:val="20"/>
        </w:rPr>
        <w:t>/</w:t>
      </w:r>
      <w:r w:rsidRPr="000D5DA1">
        <w:rPr>
          <w:rFonts w:eastAsia="Times New Roman" w:cs="Arial"/>
          <w:color w:val="000000"/>
          <w:szCs w:val="20"/>
          <w:lang w:val="en-US"/>
        </w:rPr>
        <w:t>kg</w:t>
      </w:r>
      <w:r w:rsidRPr="000D5DA1">
        <w:rPr>
          <w:rFonts w:eastAsia="Times New Roman" w:cs="Arial"/>
          <w:color w:val="000000"/>
          <w:szCs w:val="20"/>
        </w:rPr>
        <w:t xml:space="preserve">, </w:t>
      </w:r>
      <w:r w:rsidRPr="000D5DA1">
        <w:rPr>
          <w:rFonts w:eastAsia="Times New Roman" w:cs="Arial"/>
          <w:color w:val="000000"/>
          <w:szCs w:val="20"/>
          <w:lang w:eastAsia="bg-BG"/>
        </w:rPr>
        <w:t xml:space="preserve">като бъбречният клирънс е около 0,19 </w:t>
      </w:r>
      <w:r w:rsidRPr="000D5DA1">
        <w:rPr>
          <w:rFonts w:eastAsia="Times New Roman" w:cs="Arial"/>
          <w:color w:val="000000"/>
          <w:szCs w:val="20"/>
          <w:lang w:val="en-US"/>
        </w:rPr>
        <w:t>ml</w:t>
      </w:r>
      <w:r w:rsidRPr="000D5DA1">
        <w:rPr>
          <w:rFonts w:eastAsia="Times New Roman" w:cs="Arial"/>
          <w:color w:val="000000"/>
          <w:szCs w:val="20"/>
        </w:rPr>
        <w:t>/</w:t>
      </w:r>
      <w:r w:rsidRPr="000D5DA1">
        <w:rPr>
          <w:rFonts w:eastAsia="Times New Roman" w:cs="Arial"/>
          <w:color w:val="000000"/>
          <w:szCs w:val="20"/>
          <w:lang w:val="en-US"/>
        </w:rPr>
        <w:t>min</w:t>
      </w:r>
      <w:r w:rsidRPr="000D5DA1">
        <w:rPr>
          <w:rFonts w:eastAsia="Times New Roman" w:cs="Arial"/>
          <w:color w:val="000000"/>
          <w:szCs w:val="20"/>
        </w:rPr>
        <w:t>/</w:t>
      </w:r>
      <w:r w:rsidRPr="000D5DA1">
        <w:rPr>
          <w:rFonts w:eastAsia="Times New Roman" w:cs="Arial"/>
          <w:color w:val="000000"/>
          <w:szCs w:val="20"/>
          <w:lang w:val="en-US"/>
        </w:rPr>
        <w:t>kg</w:t>
      </w:r>
      <w:r w:rsidRPr="000D5DA1">
        <w:rPr>
          <w:rFonts w:eastAsia="Times New Roman" w:cs="Arial"/>
          <w:color w:val="000000"/>
          <w:szCs w:val="20"/>
        </w:rPr>
        <w:t xml:space="preserve">. </w:t>
      </w:r>
      <w:r w:rsidRPr="000D5DA1">
        <w:rPr>
          <w:rFonts w:eastAsia="Times New Roman" w:cs="Arial"/>
          <w:color w:val="000000"/>
          <w:szCs w:val="20"/>
          <w:lang w:eastAsia="bg-BG"/>
        </w:rPr>
        <w:t>Елиминирането на кандесартан през бъбреците се осъществява и чрез гломерулна филтрация и чрез активна тубулна секреция. След перорално приложение на 14С-белязан кандесартан цилексетил, приблизително 26% от дозата се екскретира в урината като кандесартан и 7% като неактивен метаболит, а приблизително 56% от дозата се открива във фекалиите като кандесартан и 10% като неактивен метаболит.</w:t>
      </w:r>
    </w:p>
    <w:p w14:paraId="38D42E0C" w14:textId="77777777" w:rsidR="000D5DA1" w:rsidRPr="000D5DA1" w:rsidRDefault="000D5DA1" w:rsidP="000D5DA1">
      <w:pPr>
        <w:spacing w:line="240" w:lineRule="auto"/>
        <w:rPr>
          <w:rFonts w:eastAsia="Times New Roman" w:cs="Arial"/>
          <w:i/>
          <w:iCs/>
          <w:color w:val="000000"/>
          <w:szCs w:val="20"/>
          <w:lang w:eastAsia="bg-BG"/>
        </w:rPr>
      </w:pPr>
    </w:p>
    <w:p w14:paraId="549F5D66" w14:textId="4225A267" w:rsidR="000D5DA1" w:rsidRPr="000D5DA1" w:rsidRDefault="000D5DA1" w:rsidP="000D5DA1">
      <w:pPr>
        <w:pStyle w:val="Heading3"/>
        <w:rPr>
          <w:rFonts w:eastAsia="Times New Roman"/>
          <w:i/>
          <w:sz w:val="28"/>
        </w:rPr>
      </w:pPr>
      <w:r w:rsidRPr="000D5DA1">
        <w:rPr>
          <w:rFonts w:eastAsia="Times New Roman"/>
          <w:i/>
          <w:lang w:eastAsia="bg-BG"/>
        </w:rPr>
        <w:t>Фармакокинетика при специални популации</w:t>
      </w:r>
    </w:p>
    <w:p w14:paraId="00CEE66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лица в старческа възраст (над 65 години) С</w:t>
      </w:r>
      <w:r w:rsidRPr="000D5DA1">
        <w:rPr>
          <w:rFonts w:eastAsia="Times New Roman" w:cs="Arial"/>
          <w:color w:val="000000"/>
          <w:szCs w:val="20"/>
          <w:lang w:val="en-US"/>
        </w:rPr>
        <w:t>max</w:t>
      </w:r>
      <w:r w:rsidRPr="000D5DA1">
        <w:rPr>
          <w:rFonts w:eastAsia="Times New Roman" w:cs="Arial"/>
          <w:color w:val="000000"/>
          <w:szCs w:val="20"/>
          <w:lang w:eastAsia="bg-BG"/>
        </w:rPr>
        <w:t xml:space="preserve"> и </w:t>
      </w:r>
      <w:r w:rsidRPr="000D5DA1">
        <w:rPr>
          <w:rFonts w:eastAsia="Times New Roman" w:cs="Arial"/>
          <w:color w:val="000000"/>
          <w:szCs w:val="20"/>
          <w:lang w:val="en-US"/>
        </w:rPr>
        <w:t>A</w:t>
      </w:r>
      <w:r w:rsidRPr="000D5DA1">
        <w:rPr>
          <w:rFonts w:eastAsia="Times New Roman" w:cs="Arial"/>
          <w:color w:val="000000"/>
          <w:szCs w:val="20"/>
          <w:lang w:val="ru-RU"/>
        </w:rPr>
        <w:t xml:space="preserve"> </w:t>
      </w:r>
      <w:r w:rsidRPr="000D5DA1">
        <w:rPr>
          <w:rFonts w:eastAsia="Times New Roman" w:cs="Arial"/>
          <w:color w:val="000000"/>
          <w:szCs w:val="20"/>
          <w:lang w:val="en-US"/>
        </w:rPr>
        <w:t>U</w:t>
      </w:r>
      <w:r w:rsidRPr="000D5DA1">
        <w:rPr>
          <w:rFonts w:eastAsia="Times New Roman" w:cs="Arial"/>
          <w:color w:val="000000"/>
          <w:szCs w:val="20"/>
          <w:lang w:val="ru-RU"/>
        </w:rPr>
        <w:t xml:space="preserve"> </w:t>
      </w:r>
      <w:r w:rsidRPr="000D5DA1">
        <w:rPr>
          <w:rFonts w:eastAsia="Times New Roman" w:cs="Arial"/>
          <w:color w:val="000000"/>
          <w:szCs w:val="20"/>
          <w:lang w:eastAsia="bg-BG"/>
        </w:rPr>
        <w:t>С на кандесартан се увеличават приблизително с 50% и 80% съответно в сравнение с млади индивиди. Повлияването на кръвното налягане и честотата на нежеланите лекарствени реакции, обаче, са подобни след определена доза кандесартан при млади пациенти и пациенти в старческа възраст (вж. точка 4.2 Дозировка и начин на приложение).</w:t>
      </w:r>
    </w:p>
    <w:p w14:paraId="1C6AAB4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При пациенти с леко до умерено бъбречно увреждане Стах и </w:t>
      </w:r>
      <w:r w:rsidRPr="000D5DA1">
        <w:rPr>
          <w:rFonts w:eastAsia="Times New Roman" w:cs="Arial"/>
          <w:color w:val="000000"/>
          <w:szCs w:val="20"/>
          <w:lang w:val="en-US"/>
        </w:rPr>
        <w:t>AUC</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на кандесартан се повишават при многократно приложение съответно с приблизително 50% и 70%, </w:t>
      </w:r>
      <w:r w:rsidRPr="000D5DA1">
        <w:rPr>
          <w:rFonts w:eastAsia="Times New Roman" w:cs="Arial"/>
          <w:i/>
          <w:iCs/>
          <w:color w:val="000000"/>
          <w:szCs w:val="20"/>
          <w:lang w:eastAsia="bg-BG"/>
        </w:rPr>
        <w:t>но</w:t>
      </w:r>
      <w:r w:rsidRPr="000D5DA1">
        <w:rPr>
          <w:rFonts w:eastAsia="Times New Roman" w:cs="Arial"/>
          <w:color w:val="000000"/>
          <w:szCs w:val="20"/>
          <w:lang w:eastAsia="bg-BG"/>
        </w:rPr>
        <w:t xml:space="preserve"> времето на полуживот </w:t>
      </w:r>
      <w:r w:rsidRPr="000D5DA1">
        <w:rPr>
          <w:rFonts w:eastAsia="Times New Roman" w:cs="Arial"/>
          <w:color w:val="000000"/>
          <w:szCs w:val="20"/>
          <w:lang w:val="en-US"/>
        </w:rPr>
        <w:t>t</w:t>
      </w:r>
      <w:r w:rsidRPr="000D5DA1">
        <w:rPr>
          <w:rFonts w:eastAsia="Times New Roman" w:cs="Arial"/>
          <w:color w:val="000000"/>
          <w:szCs w:val="20"/>
          <w:vertAlign w:val="subscript"/>
          <w:lang w:val="ru-RU"/>
        </w:rPr>
        <w:t>1/2</w:t>
      </w:r>
      <w:r w:rsidRPr="000D5DA1">
        <w:rPr>
          <w:rFonts w:eastAsia="Times New Roman" w:cs="Arial"/>
          <w:color w:val="000000"/>
          <w:szCs w:val="20"/>
          <w:lang w:val="ru-RU"/>
        </w:rPr>
        <w:t xml:space="preserve"> </w:t>
      </w:r>
      <w:r w:rsidRPr="000D5DA1">
        <w:rPr>
          <w:rFonts w:eastAsia="Times New Roman" w:cs="Arial"/>
          <w:color w:val="000000"/>
          <w:szCs w:val="20"/>
          <w:lang w:eastAsia="bg-BG"/>
        </w:rPr>
        <w:t>не се променя в сравнение с пациентите с нормална бъбречна функция. Съответстващите промени при пациенти с тежко бъбречно увреждане са приблизително 50% и 110%, съответно. Терминалното на кандесартан приблизително се удвоява при пациенти с тежко бъбречно увреждане.</w:t>
      </w:r>
    </w:p>
    <w:p w14:paraId="433AA2A8"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val="en-US"/>
        </w:rPr>
        <w:t>AUC</w:t>
      </w:r>
      <w:r w:rsidRPr="000D5DA1">
        <w:rPr>
          <w:rFonts w:eastAsia="Times New Roman" w:cs="Arial"/>
          <w:color w:val="000000"/>
          <w:szCs w:val="20"/>
          <w:lang w:val="ru-RU"/>
        </w:rPr>
        <w:t xml:space="preserve"> </w:t>
      </w:r>
      <w:r w:rsidRPr="000D5DA1">
        <w:rPr>
          <w:rFonts w:eastAsia="Times New Roman" w:cs="Arial"/>
          <w:color w:val="000000"/>
          <w:szCs w:val="20"/>
          <w:lang w:eastAsia="bg-BG"/>
        </w:rPr>
        <w:t>на кандесартан при пациенти на хемодиализа е подобна на тази при пациенти с тежко бъбречно увреждане.</w:t>
      </w:r>
    </w:p>
    <w:p w14:paraId="3B7EEBC6"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При две проучвания, включващи пациенти с леко до умерено чернодробно увреждане е наблюдавано 2% увеличение на </w:t>
      </w:r>
      <w:r w:rsidRPr="000D5DA1">
        <w:rPr>
          <w:rFonts w:eastAsia="Times New Roman" w:cs="Arial"/>
          <w:color w:val="000000"/>
          <w:szCs w:val="20"/>
          <w:lang w:val="en-US"/>
        </w:rPr>
        <w:t>AUC</w:t>
      </w:r>
      <w:r w:rsidRPr="000D5DA1">
        <w:rPr>
          <w:rFonts w:eastAsia="Times New Roman" w:cs="Arial"/>
          <w:color w:val="000000"/>
          <w:szCs w:val="20"/>
          <w:lang w:val="ru-RU"/>
        </w:rPr>
        <w:t xml:space="preserve"> </w:t>
      </w:r>
      <w:r w:rsidRPr="000D5DA1">
        <w:rPr>
          <w:rFonts w:eastAsia="Times New Roman" w:cs="Arial"/>
          <w:color w:val="000000"/>
          <w:szCs w:val="20"/>
          <w:lang w:eastAsia="bg-BG"/>
        </w:rPr>
        <w:t>на кандесартан при едното и 80 % при другото проучване (вж. точка 4.2). Няма опит при пациенти с тежко чернодробно увреждане.</w:t>
      </w:r>
    </w:p>
    <w:p w14:paraId="048E353C" w14:textId="77777777" w:rsidR="000D5DA1" w:rsidRPr="000D5DA1" w:rsidRDefault="000D5DA1" w:rsidP="000D5DA1"/>
    <w:p w14:paraId="4F31844C" w14:textId="3F136F94" w:rsidR="00875EEC" w:rsidRDefault="002C50EE" w:rsidP="005726E3">
      <w:pPr>
        <w:pStyle w:val="Heading2"/>
      </w:pPr>
      <w:r>
        <w:t>5.3. Предклинични данни за безопасност</w:t>
      </w:r>
    </w:p>
    <w:p w14:paraId="67AC4985" w14:textId="578D5B77" w:rsidR="000D5DA1" w:rsidRDefault="000D5DA1" w:rsidP="000D5DA1"/>
    <w:p w14:paraId="06C43BF2" w14:textId="77777777" w:rsidR="000D5DA1" w:rsidRPr="000D5DA1" w:rsidRDefault="000D5DA1" w:rsidP="000D5DA1">
      <w:pPr>
        <w:rPr>
          <w:rFonts w:eastAsia="Times New Roman" w:cs="Arial"/>
          <w:sz w:val="28"/>
          <w:szCs w:val="24"/>
        </w:rPr>
      </w:pPr>
      <w:r w:rsidRPr="000D5DA1">
        <w:rPr>
          <w:rFonts w:cs="Arial"/>
          <w:szCs w:val="20"/>
        </w:rPr>
        <w:lastRenderedPageBreak/>
        <w:t xml:space="preserve">Няма данни за абнормна системна токсичност или токсичност на таргетните органи при клинично приложими дози. При предклиничнн изпитвания за безопасност кандесартан е оказал въздействие върху бъбреците и параметрите на червените кръвни клетки след приложение във високи дози при мишки, плъхове, кучета и маймуни. Кандесартан предизвиква намаление на параметрите на червените кръвни клетки (еритроцити, хемоглобин, хематокрит). Въздействието върху бъбреците </w:t>
      </w:r>
      <w:r w:rsidRPr="000D5DA1">
        <w:rPr>
          <w:rFonts w:eastAsia="Times New Roman" w:cs="Arial"/>
          <w:color w:val="000000"/>
          <w:szCs w:val="20"/>
          <w:lang w:eastAsia="bg-BG"/>
        </w:rPr>
        <w:t>(като интерстициален нефрит, тубулна дистензия, базофилни тубули; повишена плазмена концентрация на урея и креатинин) са предизвикани от кандесартан, което може да е резултат о т хипотензивния ефект, водещ до промени на бъбречната перфузия. Освен това, кандесартан индуцира хиперплазия/хипертрофия на юкстагломерулните клетки. Счита се, че тези промени са причинени от фармакологичното действие на кандесартан. При терапевтични дози кандесартан при хора хиперплазията/хипертрофията на бъбречните юкстагломерулни клетки изглежда няма някакво значение.</w:t>
      </w:r>
    </w:p>
    <w:p w14:paraId="313C62CB"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Наблюдавана е фетотоксичност при късна бременност (вж. точка 4.6). Данни о т проучванията на мутагенността </w:t>
      </w:r>
      <w:r w:rsidRPr="000D5DA1">
        <w:rPr>
          <w:rFonts w:eastAsia="Times New Roman" w:cs="Arial"/>
          <w:i/>
          <w:iCs/>
          <w:color w:val="000000"/>
          <w:szCs w:val="20"/>
          <w:lang w:val="en-US"/>
        </w:rPr>
        <w:t>in</w:t>
      </w:r>
      <w:r w:rsidRPr="000D5DA1">
        <w:rPr>
          <w:rFonts w:eastAsia="Times New Roman" w:cs="Arial"/>
          <w:i/>
          <w:iCs/>
          <w:color w:val="000000"/>
          <w:szCs w:val="20"/>
          <w:lang w:val="ru-RU"/>
        </w:rPr>
        <w:t xml:space="preserve"> </w:t>
      </w:r>
      <w:r w:rsidRPr="000D5DA1">
        <w:rPr>
          <w:rFonts w:eastAsia="Times New Roman" w:cs="Arial"/>
          <w:i/>
          <w:iCs/>
          <w:color w:val="000000"/>
          <w:szCs w:val="20"/>
          <w:lang w:val="en-US"/>
        </w:rPr>
        <w:t>vitro</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и </w:t>
      </w:r>
      <w:r w:rsidRPr="000D5DA1">
        <w:rPr>
          <w:rFonts w:eastAsia="Times New Roman" w:cs="Arial"/>
          <w:i/>
          <w:iCs/>
          <w:color w:val="000000"/>
          <w:szCs w:val="20"/>
          <w:lang w:val="en-US"/>
        </w:rPr>
        <w:t>in</w:t>
      </w:r>
      <w:r w:rsidRPr="000D5DA1">
        <w:rPr>
          <w:rFonts w:eastAsia="Times New Roman" w:cs="Arial"/>
          <w:i/>
          <w:iCs/>
          <w:color w:val="000000"/>
          <w:szCs w:val="20"/>
          <w:lang w:val="ru-RU"/>
        </w:rPr>
        <w:t xml:space="preserve"> </w:t>
      </w:r>
      <w:r w:rsidRPr="000D5DA1">
        <w:rPr>
          <w:rFonts w:eastAsia="Times New Roman" w:cs="Arial"/>
          <w:i/>
          <w:iCs/>
          <w:color w:val="000000"/>
          <w:szCs w:val="20"/>
          <w:lang w:val="en-US"/>
        </w:rPr>
        <w:t>vivo</w:t>
      </w:r>
      <w:r w:rsidRPr="000D5DA1">
        <w:rPr>
          <w:rFonts w:eastAsia="Times New Roman" w:cs="Arial"/>
          <w:color w:val="000000"/>
          <w:szCs w:val="20"/>
          <w:lang w:val="ru-RU"/>
        </w:rPr>
        <w:t xml:space="preserve"> </w:t>
      </w:r>
      <w:r w:rsidRPr="000D5DA1">
        <w:rPr>
          <w:rFonts w:eastAsia="Times New Roman" w:cs="Arial"/>
          <w:color w:val="000000"/>
          <w:szCs w:val="20"/>
          <w:lang w:eastAsia="bg-BG"/>
        </w:rPr>
        <w:t>показват, че кандесартан няма мутагенна или кластогенна активност в условията на клинична употреба. Няма данни за канцерогенност.</w:t>
      </w:r>
    </w:p>
    <w:p w14:paraId="64FAD080" w14:textId="23ECBE95" w:rsidR="000D5DA1" w:rsidRPr="000D5DA1" w:rsidRDefault="000D5DA1" w:rsidP="000D5DA1"/>
    <w:p w14:paraId="1BA6531D" w14:textId="248A0DF7" w:rsidR="00B6672E" w:rsidRDefault="002C50EE" w:rsidP="00936AD0">
      <w:pPr>
        <w:pStyle w:val="Heading1"/>
      </w:pPr>
      <w:r>
        <w:t>7. ПРИТЕЖАТЕЛ НА РАЗРЕШЕНИЕТО ЗА УПОТРЕБА</w:t>
      </w:r>
    </w:p>
    <w:p w14:paraId="5F4690CC" w14:textId="312DDAAC" w:rsidR="000D5DA1" w:rsidRDefault="000D5DA1" w:rsidP="000D5DA1"/>
    <w:p w14:paraId="633AA03A" w14:textId="77777777" w:rsidR="000D5DA1" w:rsidRPr="000D5DA1" w:rsidRDefault="000D5DA1" w:rsidP="000D5DA1">
      <w:pPr>
        <w:rPr>
          <w:sz w:val="24"/>
          <w:szCs w:val="24"/>
          <w:lang w:val="en-US"/>
        </w:rPr>
      </w:pPr>
      <w:proofErr w:type="spellStart"/>
      <w:r w:rsidRPr="000D5DA1">
        <w:rPr>
          <w:lang w:val="en-US"/>
        </w:rPr>
        <w:t>Stada</w:t>
      </w:r>
      <w:proofErr w:type="spellEnd"/>
      <w:r w:rsidRPr="000D5DA1">
        <w:rPr>
          <w:lang w:val="en-US"/>
        </w:rPr>
        <w:t xml:space="preserve"> </w:t>
      </w:r>
      <w:proofErr w:type="spellStart"/>
      <w:r w:rsidRPr="000D5DA1">
        <w:rPr>
          <w:lang w:val="en-US"/>
        </w:rPr>
        <w:t>Arzneimittel</w:t>
      </w:r>
      <w:proofErr w:type="spellEnd"/>
      <w:r w:rsidRPr="000D5DA1">
        <w:rPr>
          <w:lang w:val="en-US"/>
        </w:rPr>
        <w:t xml:space="preserve"> AG</w:t>
      </w:r>
    </w:p>
    <w:p w14:paraId="5B21CECC" w14:textId="77777777" w:rsidR="000D5DA1" w:rsidRPr="000D5DA1" w:rsidRDefault="000D5DA1" w:rsidP="000D5DA1">
      <w:pPr>
        <w:rPr>
          <w:sz w:val="24"/>
          <w:szCs w:val="24"/>
          <w:lang w:val="en-US"/>
        </w:rPr>
      </w:pPr>
      <w:proofErr w:type="spellStart"/>
      <w:r w:rsidRPr="000D5DA1">
        <w:rPr>
          <w:lang w:val="en-US"/>
        </w:rPr>
        <w:t>Stadastrasse</w:t>
      </w:r>
      <w:proofErr w:type="spellEnd"/>
      <w:r w:rsidRPr="000D5DA1">
        <w:rPr>
          <w:lang w:val="en-US"/>
        </w:rPr>
        <w:t xml:space="preserve"> 2-18, 61118 Bad </w:t>
      </w:r>
      <w:proofErr w:type="spellStart"/>
      <w:r w:rsidRPr="000D5DA1">
        <w:rPr>
          <w:lang w:val="en-US"/>
        </w:rPr>
        <w:t>Vilbel</w:t>
      </w:r>
      <w:proofErr w:type="spellEnd"/>
    </w:p>
    <w:p w14:paraId="472AB5ED" w14:textId="3B07605F" w:rsidR="000D5DA1" w:rsidRPr="000D5DA1" w:rsidRDefault="000D5DA1" w:rsidP="000D5DA1">
      <w:r w:rsidRPr="000D5DA1">
        <w:rPr>
          <w:lang w:eastAsia="bg-BG"/>
        </w:rPr>
        <w:t>Германия</w:t>
      </w:r>
    </w:p>
    <w:p w14:paraId="508F3A54" w14:textId="2508E472" w:rsidR="00B6672E" w:rsidRDefault="00936AD0" w:rsidP="00936AD0">
      <w:pPr>
        <w:pStyle w:val="Heading1"/>
      </w:pPr>
      <w:r>
        <w:t>8.</w:t>
      </w:r>
      <w:r w:rsidR="002C50EE">
        <w:t>НОМЕР НА РАЗРЕШЕНИЕТО ЗА УПОТРЕБА</w:t>
      </w:r>
    </w:p>
    <w:p w14:paraId="6130AB46" w14:textId="23278FAC" w:rsidR="000D5DA1" w:rsidRDefault="000D5DA1" w:rsidP="000D5DA1"/>
    <w:p w14:paraId="7AE95C9D" w14:textId="77777777" w:rsidR="000D5DA1" w:rsidRPr="000D5DA1" w:rsidRDefault="000D5DA1" w:rsidP="000D5DA1">
      <w:pPr>
        <w:rPr>
          <w:sz w:val="24"/>
          <w:szCs w:val="24"/>
        </w:rPr>
      </w:pPr>
      <w:r w:rsidRPr="000D5DA1">
        <w:rPr>
          <w:lang w:eastAsia="bg-BG"/>
        </w:rPr>
        <w:t xml:space="preserve">Репидо 8 </w:t>
      </w:r>
      <w:r w:rsidRPr="000D5DA1">
        <w:rPr>
          <w:lang w:val="en-US"/>
        </w:rPr>
        <w:t>mg</w:t>
      </w:r>
      <w:r w:rsidRPr="000D5DA1">
        <w:rPr>
          <w:lang w:val="ru-RU"/>
        </w:rPr>
        <w:t xml:space="preserve">: </w:t>
      </w:r>
      <w:r w:rsidRPr="000D5DA1">
        <w:rPr>
          <w:lang w:eastAsia="bg-BG"/>
        </w:rPr>
        <w:t>Регистрационен №: 20110676</w:t>
      </w:r>
    </w:p>
    <w:p w14:paraId="6592F735" w14:textId="77777777" w:rsidR="000D5DA1" w:rsidRPr="000D5DA1" w:rsidRDefault="000D5DA1" w:rsidP="000D5DA1">
      <w:pPr>
        <w:rPr>
          <w:sz w:val="24"/>
          <w:szCs w:val="24"/>
        </w:rPr>
      </w:pPr>
      <w:r w:rsidRPr="000D5DA1">
        <w:rPr>
          <w:lang w:eastAsia="bg-BG"/>
        </w:rPr>
        <w:t xml:space="preserve">Репидо 16 </w:t>
      </w:r>
      <w:r w:rsidRPr="000D5DA1">
        <w:rPr>
          <w:lang w:val="en-US"/>
        </w:rPr>
        <w:t>mg</w:t>
      </w:r>
      <w:r w:rsidRPr="000D5DA1">
        <w:rPr>
          <w:lang w:val="ru-RU"/>
        </w:rPr>
        <w:t xml:space="preserve">: </w:t>
      </w:r>
      <w:r w:rsidRPr="000D5DA1">
        <w:rPr>
          <w:lang w:eastAsia="bg-BG"/>
        </w:rPr>
        <w:t>Регистрационен №: 20110677</w:t>
      </w:r>
    </w:p>
    <w:p w14:paraId="3FBF7AE6" w14:textId="77777777" w:rsidR="000D5DA1" w:rsidRPr="000D5DA1" w:rsidRDefault="000D5DA1" w:rsidP="000D5DA1"/>
    <w:p w14:paraId="3BC5EC53" w14:textId="522295FA" w:rsidR="00875EEC" w:rsidRDefault="002C50EE" w:rsidP="005726E3">
      <w:pPr>
        <w:pStyle w:val="Heading1"/>
      </w:pPr>
      <w:r>
        <w:t>9. ДАТА НА ПЪРВО РАЗРЕШАВАНЕ/ПОДНОВЯВАНЕ НА РАЗРЕШЕНИЕТО ЗА УПОТРЕБА</w:t>
      </w:r>
    </w:p>
    <w:p w14:paraId="13E07CFA" w14:textId="26273E8A" w:rsidR="000D5DA1" w:rsidRDefault="000D5DA1" w:rsidP="000D5DA1"/>
    <w:p w14:paraId="2A086B9B" w14:textId="77777777" w:rsidR="000D5DA1" w:rsidRPr="000D5DA1" w:rsidRDefault="000D5DA1" w:rsidP="000D5DA1">
      <w:pPr>
        <w:rPr>
          <w:sz w:val="24"/>
          <w:szCs w:val="24"/>
        </w:rPr>
      </w:pPr>
      <w:r w:rsidRPr="000D5DA1">
        <w:rPr>
          <w:lang w:eastAsia="bg-BG"/>
        </w:rPr>
        <w:t>Дата на първо разрешаване: 10.11.2011</w:t>
      </w:r>
    </w:p>
    <w:p w14:paraId="2014E91C" w14:textId="77777777" w:rsidR="000D5DA1" w:rsidRPr="000D5DA1" w:rsidRDefault="000D5DA1" w:rsidP="000D5DA1">
      <w:pPr>
        <w:rPr>
          <w:sz w:val="24"/>
          <w:szCs w:val="24"/>
        </w:rPr>
      </w:pPr>
      <w:r w:rsidRPr="000D5DA1">
        <w:rPr>
          <w:lang w:eastAsia="bg-BG"/>
        </w:rPr>
        <w:t>Дата на последно подновяване: 22.12.2016</w:t>
      </w:r>
    </w:p>
    <w:p w14:paraId="4A97050E" w14:textId="77777777" w:rsidR="000D5DA1" w:rsidRPr="000D5DA1" w:rsidRDefault="000D5DA1" w:rsidP="000D5DA1"/>
    <w:p w14:paraId="43FB38A2" w14:textId="5D3F9BCE" w:rsidR="007C605B" w:rsidRDefault="002C50EE" w:rsidP="005726E3">
      <w:pPr>
        <w:pStyle w:val="Heading1"/>
      </w:pPr>
      <w:r>
        <w:t>10. ДАТА НА АКТУАЛИЗИРАНЕ НА ТЕКСТА</w:t>
      </w:r>
      <w:bookmarkEnd w:id="0"/>
    </w:p>
    <w:p w14:paraId="6C49165C" w14:textId="4AEBB02C" w:rsidR="000D5DA1" w:rsidRDefault="000D5DA1" w:rsidP="000D5DA1"/>
    <w:p w14:paraId="4ED25F6D" w14:textId="6DAAB768" w:rsidR="000D5DA1" w:rsidRPr="000D5DA1" w:rsidRDefault="00A25DDB" w:rsidP="00A25DDB">
      <w:r>
        <w:t>02/2021</w:t>
      </w:r>
      <w:bookmarkStart w:id="2" w:name="_GoBack"/>
      <w:bookmarkEnd w:id="2"/>
    </w:p>
    <w:sectPr w:rsidR="000D5DA1" w:rsidRPr="000D5D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AC66CD"/>
    <w:multiLevelType w:val="hybridMultilevel"/>
    <w:tmpl w:val="4E1E35FE"/>
    <w:lvl w:ilvl="0" w:tplc="5BAAFF5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575826"/>
    <w:multiLevelType w:val="hybridMultilevel"/>
    <w:tmpl w:val="D4BE0EF2"/>
    <w:lvl w:ilvl="0" w:tplc="5BAAFF5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8E4523"/>
    <w:multiLevelType w:val="hybridMultilevel"/>
    <w:tmpl w:val="1A385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2"/>
  </w:num>
  <w:num w:numId="12">
    <w:abstractNumId w:val="15"/>
  </w:num>
  <w:num w:numId="13">
    <w:abstractNumId w:val="21"/>
  </w:num>
  <w:num w:numId="14">
    <w:abstractNumId w:val="13"/>
  </w:num>
  <w:num w:numId="15">
    <w:abstractNumId w:val="31"/>
  </w:num>
  <w:num w:numId="16">
    <w:abstractNumId w:val="11"/>
  </w:num>
  <w:num w:numId="17">
    <w:abstractNumId w:val="26"/>
  </w:num>
  <w:num w:numId="18">
    <w:abstractNumId w:val="8"/>
  </w:num>
  <w:num w:numId="19">
    <w:abstractNumId w:val="28"/>
  </w:num>
  <w:num w:numId="20">
    <w:abstractNumId w:val="25"/>
  </w:num>
  <w:num w:numId="21">
    <w:abstractNumId w:val="18"/>
  </w:num>
  <w:num w:numId="22">
    <w:abstractNumId w:val="27"/>
  </w:num>
  <w:num w:numId="23">
    <w:abstractNumId w:val="19"/>
  </w:num>
  <w:num w:numId="24">
    <w:abstractNumId w:val="9"/>
  </w:num>
  <w:num w:numId="25">
    <w:abstractNumId w:val="24"/>
  </w:num>
  <w:num w:numId="26">
    <w:abstractNumId w:val="23"/>
  </w:num>
  <w:num w:numId="27">
    <w:abstractNumId w:val="34"/>
  </w:num>
  <w:num w:numId="28">
    <w:abstractNumId w:val="6"/>
  </w:num>
  <w:num w:numId="29">
    <w:abstractNumId w:val="22"/>
  </w:num>
  <w:num w:numId="30">
    <w:abstractNumId w:val="38"/>
  </w:num>
  <w:num w:numId="31">
    <w:abstractNumId w:val="5"/>
  </w:num>
  <w:num w:numId="32">
    <w:abstractNumId w:val="37"/>
  </w:num>
  <w:num w:numId="33">
    <w:abstractNumId w:val="30"/>
  </w:num>
  <w:num w:numId="34">
    <w:abstractNumId w:val="35"/>
  </w:num>
  <w:num w:numId="35">
    <w:abstractNumId w:val="7"/>
  </w:num>
  <w:num w:numId="36">
    <w:abstractNumId w:val="10"/>
  </w:num>
  <w:num w:numId="37">
    <w:abstractNumId w:val="20"/>
  </w:num>
  <w:num w:numId="38">
    <w:abstractNumId w:val="33"/>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D5DA1"/>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25DDB"/>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6310</Words>
  <Characters>35968</Characters>
  <Application>Microsoft Office Word</Application>
  <DocSecurity>0</DocSecurity>
  <Lines>299</Lines>
  <Paragraphs>84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2022-11-01T01:13:00Z</dcterms:created>
  <dcterms:modified xsi:type="dcterms:W3CDTF">2022-11-01T01:13:00Z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