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4F735328" w14:textId="5777FFBC" w:rsidR="00DF4C8E" w:rsidRDefault="00DD466D" w:rsidP="00F44498">
      <w:pPr>
        <w:pStyle w:val="Heading1"/>
      </w:pPr>
      <w:r>
        <w:t>1.ИМЕ НА ЛЕКАРСТВЕНИЯ ПРОДУКТ</w:t>
      </w:r>
    </w:p>
    <w:p w14:paraId="319ABCEB" w14:textId="184E533F" w:rsidR="0056241C" w:rsidRDefault="0056241C" w:rsidP="0056241C"/>
    <w:p w14:paraId="3EB4DFAD" w14:textId="6490A1C3" w:rsidR="0056241C" w:rsidRPr="0056241C" w:rsidRDefault="0056241C" w:rsidP="0056241C">
      <w:pPr>
        <w:rPr>
          <w:sz w:val="24"/>
          <w:szCs w:val="24"/>
          <w:lang w:val="ru-RU"/>
        </w:rPr>
      </w:pPr>
      <w:r w:rsidRPr="0056241C">
        <w:rPr>
          <w:lang w:eastAsia="bg-BG"/>
        </w:rPr>
        <w:t>РЕПИДО ПЛЮС 8</w:t>
      </w:r>
      <w:r w:rsidRPr="0056241C">
        <w:rPr>
          <w:lang w:val="ru-RU"/>
        </w:rPr>
        <w:t xml:space="preserve"> </w:t>
      </w:r>
      <w:r w:rsidRPr="0056241C">
        <w:rPr>
          <w:lang w:val="en-US"/>
        </w:rPr>
        <w:t>mg</w:t>
      </w:r>
      <w:r w:rsidRPr="0056241C">
        <w:rPr>
          <w:lang w:val="ru-RU"/>
        </w:rPr>
        <w:t>/1</w:t>
      </w:r>
      <w:r w:rsidRPr="0056241C">
        <w:rPr>
          <w:lang w:eastAsia="bg-BG"/>
        </w:rPr>
        <w:t xml:space="preserve">2,5 </w:t>
      </w:r>
      <w:r w:rsidRPr="0056241C">
        <w:rPr>
          <w:lang w:val="en-US"/>
        </w:rPr>
        <w:t>mg</w:t>
      </w:r>
      <w:r w:rsidRPr="0056241C">
        <w:rPr>
          <w:lang w:val="ru-RU"/>
        </w:rPr>
        <w:t xml:space="preserve"> </w:t>
      </w:r>
      <w:r w:rsidRPr="0056241C">
        <w:rPr>
          <w:lang w:eastAsia="bg-BG"/>
        </w:rPr>
        <w:t>таблетки</w:t>
      </w:r>
    </w:p>
    <w:p w14:paraId="3BF5C7E4" w14:textId="17A2E88D" w:rsidR="0056241C" w:rsidRPr="0056241C" w:rsidRDefault="0056241C" w:rsidP="0056241C">
      <w:pPr>
        <w:rPr>
          <w:sz w:val="24"/>
          <w:szCs w:val="24"/>
          <w:lang w:val="ru-RU"/>
        </w:rPr>
      </w:pPr>
      <w:r w:rsidRPr="0056241C">
        <w:rPr>
          <w:lang w:eastAsia="bg-BG"/>
        </w:rPr>
        <w:t xml:space="preserve">РЕПИДО ПЛЮС 16 </w:t>
      </w:r>
      <w:r w:rsidRPr="0056241C">
        <w:rPr>
          <w:lang w:val="en-US"/>
        </w:rPr>
        <w:t>mg</w:t>
      </w:r>
      <w:r w:rsidRPr="0056241C">
        <w:rPr>
          <w:lang w:val="ru-RU"/>
        </w:rPr>
        <w:t xml:space="preserve">/ </w:t>
      </w:r>
      <w:r w:rsidRPr="0056241C">
        <w:rPr>
          <w:lang w:eastAsia="bg-BG"/>
        </w:rPr>
        <w:t xml:space="preserve">2,5 </w:t>
      </w:r>
      <w:r w:rsidRPr="0056241C">
        <w:rPr>
          <w:lang w:val="en-US"/>
        </w:rPr>
        <w:t>mg</w:t>
      </w:r>
      <w:r w:rsidRPr="0056241C">
        <w:rPr>
          <w:lang w:val="ru-RU"/>
        </w:rPr>
        <w:t xml:space="preserve"> </w:t>
      </w:r>
      <w:r w:rsidRPr="0056241C">
        <w:rPr>
          <w:lang w:eastAsia="bg-BG"/>
        </w:rPr>
        <w:t>таблетки</w:t>
      </w:r>
    </w:p>
    <w:p w14:paraId="5F0239B6" w14:textId="77777777" w:rsidR="0056241C" w:rsidRPr="0056241C" w:rsidRDefault="0056241C" w:rsidP="0056241C">
      <w:pPr>
        <w:rPr>
          <w:sz w:val="24"/>
          <w:szCs w:val="24"/>
          <w:lang w:val="ru-RU"/>
        </w:rPr>
      </w:pPr>
      <w:r w:rsidRPr="0056241C">
        <w:rPr>
          <w:lang w:eastAsia="bg-BG"/>
        </w:rPr>
        <w:t xml:space="preserve">РЕПИДО ПЛЮС 32 </w:t>
      </w:r>
      <w:r w:rsidRPr="0056241C">
        <w:rPr>
          <w:lang w:val="en-US"/>
        </w:rPr>
        <w:t>mg</w:t>
      </w:r>
      <w:r w:rsidRPr="0056241C">
        <w:rPr>
          <w:lang w:val="ru-RU"/>
        </w:rPr>
        <w:t>/1</w:t>
      </w:r>
      <w:r w:rsidRPr="0056241C">
        <w:rPr>
          <w:lang w:eastAsia="bg-BG"/>
        </w:rPr>
        <w:t>2,5</w:t>
      </w:r>
      <w:r w:rsidRPr="0056241C">
        <w:rPr>
          <w:lang w:val="ru-RU"/>
        </w:rPr>
        <w:t xml:space="preserve"> </w:t>
      </w:r>
      <w:r w:rsidRPr="0056241C">
        <w:rPr>
          <w:lang w:val="en-US"/>
        </w:rPr>
        <w:t>mg</w:t>
      </w:r>
      <w:r w:rsidRPr="0056241C">
        <w:rPr>
          <w:lang w:val="ru-RU"/>
        </w:rPr>
        <w:t xml:space="preserve"> </w:t>
      </w:r>
      <w:r w:rsidRPr="0056241C">
        <w:rPr>
          <w:lang w:eastAsia="bg-BG"/>
        </w:rPr>
        <w:t>таблетки</w:t>
      </w:r>
    </w:p>
    <w:p w14:paraId="3930B6BA" w14:textId="77777777" w:rsidR="0056241C" w:rsidRPr="0056241C" w:rsidRDefault="0056241C" w:rsidP="0056241C">
      <w:pPr>
        <w:rPr>
          <w:lang w:val="ru-RU"/>
        </w:rPr>
      </w:pPr>
    </w:p>
    <w:p w14:paraId="736CEAAF" w14:textId="5FC03679" w:rsidR="0056241C" w:rsidRPr="0056241C" w:rsidRDefault="0056241C" w:rsidP="0056241C">
      <w:pPr>
        <w:rPr>
          <w:sz w:val="24"/>
          <w:szCs w:val="24"/>
          <w:lang w:val="en-US"/>
        </w:rPr>
      </w:pPr>
      <w:r w:rsidRPr="0056241C">
        <w:rPr>
          <w:lang w:val="en-US"/>
        </w:rPr>
        <w:t xml:space="preserve">REPIDO PLUS </w:t>
      </w:r>
      <w:r w:rsidRPr="0056241C">
        <w:rPr>
          <w:lang w:eastAsia="bg-BG"/>
        </w:rPr>
        <w:t xml:space="preserve">8 </w:t>
      </w:r>
      <w:r w:rsidRPr="0056241C">
        <w:rPr>
          <w:lang w:val="en-US"/>
        </w:rPr>
        <w:t xml:space="preserve">mg </w:t>
      </w:r>
      <w:r>
        <w:rPr>
          <w:lang w:eastAsia="bg-BG"/>
        </w:rPr>
        <w:t>/</w:t>
      </w:r>
      <w:r>
        <w:rPr>
          <w:lang w:val="en-US" w:eastAsia="bg-BG"/>
        </w:rPr>
        <w:t xml:space="preserve"> </w:t>
      </w:r>
      <w:r>
        <w:rPr>
          <w:lang w:eastAsia="bg-BG"/>
        </w:rPr>
        <w:t>12</w:t>
      </w:r>
      <w:proofErr w:type="gramStart"/>
      <w:r>
        <w:rPr>
          <w:lang w:eastAsia="bg-BG"/>
        </w:rPr>
        <w:t>,</w:t>
      </w:r>
      <w:r w:rsidRPr="0056241C">
        <w:rPr>
          <w:lang w:eastAsia="bg-BG"/>
        </w:rPr>
        <w:t>5</w:t>
      </w:r>
      <w:proofErr w:type="gramEnd"/>
      <w:r w:rsidRPr="0056241C">
        <w:rPr>
          <w:lang w:eastAsia="bg-BG"/>
        </w:rPr>
        <w:t xml:space="preserve"> </w:t>
      </w:r>
      <w:r w:rsidRPr="0056241C">
        <w:rPr>
          <w:lang w:val="en-US"/>
        </w:rPr>
        <w:t>mg tablets</w:t>
      </w:r>
    </w:p>
    <w:p w14:paraId="3474272C" w14:textId="456E68EC" w:rsidR="0056241C" w:rsidRPr="0056241C" w:rsidRDefault="0056241C" w:rsidP="0056241C">
      <w:pPr>
        <w:rPr>
          <w:sz w:val="24"/>
          <w:szCs w:val="24"/>
          <w:lang w:val="en-US"/>
        </w:rPr>
      </w:pPr>
      <w:r w:rsidRPr="0056241C">
        <w:rPr>
          <w:lang w:val="en-US"/>
        </w:rPr>
        <w:t xml:space="preserve">REPIDO PLUS 16 mg </w:t>
      </w:r>
      <w:r>
        <w:rPr>
          <w:lang w:eastAsia="bg-BG"/>
        </w:rPr>
        <w:t>/</w:t>
      </w:r>
      <w:r>
        <w:rPr>
          <w:lang w:val="en-US" w:eastAsia="bg-BG"/>
        </w:rPr>
        <w:t xml:space="preserve"> </w:t>
      </w:r>
      <w:r>
        <w:rPr>
          <w:lang w:eastAsia="bg-BG"/>
        </w:rPr>
        <w:t>12</w:t>
      </w:r>
      <w:proofErr w:type="gramStart"/>
      <w:r>
        <w:rPr>
          <w:lang w:eastAsia="bg-BG"/>
        </w:rPr>
        <w:t>,</w:t>
      </w:r>
      <w:r w:rsidRPr="0056241C">
        <w:rPr>
          <w:lang w:eastAsia="bg-BG"/>
        </w:rPr>
        <w:t>5</w:t>
      </w:r>
      <w:proofErr w:type="gramEnd"/>
      <w:r w:rsidRPr="0056241C">
        <w:rPr>
          <w:lang w:eastAsia="bg-BG"/>
        </w:rPr>
        <w:t xml:space="preserve"> </w:t>
      </w:r>
      <w:r w:rsidRPr="0056241C">
        <w:rPr>
          <w:lang w:val="en-US"/>
        </w:rPr>
        <w:t>mg tablets</w:t>
      </w:r>
    </w:p>
    <w:p w14:paraId="670F9687" w14:textId="37BC08B7" w:rsidR="0056241C" w:rsidRPr="00CF0CFB" w:rsidRDefault="0056241C" w:rsidP="0056241C">
      <w:pPr>
        <w:rPr>
          <w:sz w:val="24"/>
          <w:szCs w:val="24"/>
          <w:lang w:val="ru-RU"/>
        </w:rPr>
      </w:pPr>
      <w:r w:rsidRPr="0056241C">
        <w:rPr>
          <w:lang w:val="en-US"/>
        </w:rPr>
        <w:t>REPIDO</w:t>
      </w:r>
      <w:r w:rsidRPr="00CF0CFB">
        <w:rPr>
          <w:lang w:val="ru-RU"/>
        </w:rPr>
        <w:t xml:space="preserve"> </w:t>
      </w:r>
      <w:r w:rsidRPr="0056241C">
        <w:rPr>
          <w:lang w:val="en-US"/>
        </w:rPr>
        <w:t>PLUS</w:t>
      </w:r>
      <w:r w:rsidRPr="00CF0CFB">
        <w:rPr>
          <w:lang w:val="ru-RU"/>
        </w:rPr>
        <w:t xml:space="preserve"> 32 </w:t>
      </w:r>
      <w:r w:rsidRPr="0056241C">
        <w:rPr>
          <w:lang w:val="en-US"/>
        </w:rPr>
        <w:t>mg</w:t>
      </w:r>
      <w:r w:rsidRPr="00CF0CFB">
        <w:rPr>
          <w:lang w:val="ru-RU"/>
        </w:rPr>
        <w:t xml:space="preserve"> </w:t>
      </w:r>
      <w:r w:rsidRPr="0056241C">
        <w:rPr>
          <w:lang w:eastAsia="bg-BG"/>
        </w:rPr>
        <w:t>/</w:t>
      </w:r>
      <w:r w:rsidRPr="00CF0CFB">
        <w:rPr>
          <w:lang w:val="ru-RU" w:eastAsia="bg-BG"/>
        </w:rPr>
        <w:t xml:space="preserve"> </w:t>
      </w:r>
      <w:r w:rsidRPr="0056241C">
        <w:rPr>
          <w:lang w:eastAsia="bg-BG"/>
        </w:rPr>
        <w:t>1</w:t>
      </w:r>
      <w:r w:rsidRPr="00CF0CFB">
        <w:rPr>
          <w:lang w:val="ru-RU"/>
        </w:rPr>
        <w:t>2</w:t>
      </w:r>
      <w:proofErr w:type="gramStart"/>
      <w:r w:rsidRPr="00CF0CFB">
        <w:rPr>
          <w:lang w:val="ru-RU"/>
        </w:rPr>
        <w:t>,5</w:t>
      </w:r>
      <w:proofErr w:type="gramEnd"/>
      <w:r w:rsidRPr="00CF0CFB">
        <w:rPr>
          <w:lang w:val="ru-RU"/>
        </w:rPr>
        <w:t xml:space="preserve"> </w:t>
      </w:r>
      <w:r w:rsidRPr="0056241C">
        <w:rPr>
          <w:lang w:val="en-US"/>
        </w:rPr>
        <w:t>mg</w:t>
      </w:r>
      <w:r w:rsidRPr="00CF0CFB">
        <w:rPr>
          <w:lang w:val="ru-RU"/>
        </w:rPr>
        <w:t xml:space="preserve"> </w:t>
      </w:r>
      <w:r w:rsidRPr="0056241C">
        <w:rPr>
          <w:lang w:val="en-US"/>
        </w:rPr>
        <w:t>tablets</w:t>
      </w:r>
    </w:p>
    <w:p w14:paraId="0FDC637E" w14:textId="77777777" w:rsidR="0056241C" w:rsidRPr="0056241C" w:rsidRDefault="0056241C" w:rsidP="0056241C"/>
    <w:p w14:paraId="2BF7ACB1" w14:textId="43A72C4C" w:rsidR="00DF4C8E" w:rsidRDefault="00DD466D" w:rsidP="00F44498">
      <w:pPr>
        <w:pStyle w:val="Heading1"/>
      </w:pPr>
      <w:r>
        <w:t>2. КАЧЕСТВЕН И КОЛИЧЕСТВЕН СЪСТАВ</w:t>
      </w:r>
    </w:p>
    <w:p w14:paraId="0FC3266D" w14:textId="175EFFAD" w:rsidR="0056241C" w:rsidRPr="00CF0CFB" w:rsidRDefault="0056241C" w:rsidP="0056241C">
      <w:pPr>
        <w:rPr>
          <w:lang w:val="ru-RU"/>
        </w:rPr>
      </w:pPr>
    </w:p>
    <w:p w14:paraId="47FD4AF1" w14:textId="77777777" w:rsidR="0056241C" w:rsidRPr="0056241C" w:rsidRDefault="0056241C" w:rsidP="0056241C">
      <w:pPr>
        <w:rPr>
          <w:sz w:val="24"/>
          <w:szCs w:val="24"/>
        </w:rPr>
      </w:pPr>
      <w:r w:rsidRPr="0056241C">
        <w:rPr>
          <w:lang w:eastAsia="bg-BG"/>
        </w:rPr>
        <w:t>РЕПИДО ПЛЮС 8</w:t>
      </w:r>
      <w:r w:rsidRPr="0056241C">
        <w:rPr>
          <w:lang w:val="ru-RU"/>
        </w:rPr>
        <w:t xml:space="preserve"> </w:t>
      </w:r>
      <w:r w:rsidRPr="0056241C">
        <w:rPr>
          <w:lang w:val="en-US"/>
        </w:rPr>
        <w:t>mg</w:t>
      </w:r>
      <w:r w:rsidRPr="0056241C">
        <w:rPr>
          <w:lang w:val="ru-RU"/>
        </w:rPr>
        <w:t>/</w:t>
      </w:r>
      <w:r w:rsidRPr="0056241C">
        <w:rPr>
          <w:lang w:val="en-US"/>
        </w:rPr>
        <w:t>l</w:t>
      </w:r>
      <w:r w:rsidRPr="0056241C">
        <w:rPr>
          <w:lang w:val="ru-RU"/>
        </w:rPr>
        <w:t xml:space="preserve"> </w:t>
      </w:r>
      <w:r w:rsidRPr="0056241C">
        <w:rPr>
          <w:lang w:eastAsia="bg-BG"/>
        </w:rPr>
        <w:t xml:space="preserve">2,5 </w:t>
      </w:r>
      <w:r w:rsidRPr="0056241C">
        <w:rPr>
          <w:lang w:val="en-US"/>
        </w:rPr>
        <w:t>mg</w:t>
      </w:r>
      <w:r w:rsidRPr="0056241C">
        <w:rPr>
          <w:lang w:val="ru-RU"/>
        </w:rPr>
        <w:t xml:space="preserve"> </w:t>
      </w:r>
      <w:r w:rsidRPr="0056241C">
        <w:rPr>
          <w:lang w:eastAsia="bg-BG"/>
        </w:rPr>
        <w:t>таблетки</w:t>
      </w:r>
    </w:p>
    <w:p w14:paraId="5B30C8C1" w14:textId="77777777" w:rsidR="0056241C" w:rsidRPr="0056241C" w:rsidRDefault="0056241C" w:rsidP="0056241C">
      <w:pPr>
        <w:rPr>
          <w:sz w:val="24"/>
          <w:szCs w:val="24"/>
        </w:rPr>
      </w:pPr>
      <w:r w:rsidRPr="0056241C">
        <w:rPr>
          <w:lang w:eastAsia="bg-BG"/>
        </w:rPr>
        <w:t xml:space="preserve">Всяка таблетка съдържа 8 </w:t>
      </w:r>
      <w:r w:rsidRPr="0056241C">
        <w:rPr>
          <w:lang w:val="en-US"/>
        </w:rPr>
        <w:t>mg</w:t>
      </w:r>
      <w:r w:rsidRPr="0056241C">
        <w:rPr>
          <w:lang w:val="ru-RU"/>
        </w:rPr>
        <w:t xml:space="preserve"> </w:t>
      </w:r>
      <w:r w:rsidRPr="0056241C">
        <w:rPr>
          <w:lang w:eastAsia="bg-BG"/>
        </w:rPr>
        <w:t xml:space="preserve">кандесартан цилексетил и 12,5 </w:t>
      </w:r>
      <w:r w:rsidRPr="0056241C">
        <w:rPr>
          <w:lang w:val="en-US"/>
        </w:rPr>
        <w:t>mg</w:t>
      </w:r>
      <w:r w:rsidRPr="0056241C">
        <w:rPr>
          <w:lang w:val="ru-RU"/>
        </w:rPr>
        <w:t xml:space="preserve"> </w:t>
      </w:r>
      <w:r w:rsidRPr="0056241C">
        <w:rPr>
          <w:lang w:eastAsia="bg-BG"/>
        </w:rPr>
        <w:t>хидрохлоротиазид.</w:t>
      </w:r>
    </w:p>
    <w:p w14:paraId="56CAD81A" w14:textId="77777777" w:rsidR="0056241C" w:rsidRDefault="0056241C" w:rsidP="0056241C">
      <w:pPr>
        <w:rPr>
          <w:lang w:eastAsia="bg-BG"/>
        </w:rPr>
      </w:pPr>
    </w:p>
    <w:p w14:paraId="79927FB5" w14:textId="0D10C10D" w:rsidR="0056241C" w:rsidRPr="0056241C" w:rsidRDefault="0056241C" w:rsidP="0056241C">
      <w:pPr>
        <w:rPr>
          <w:sz w:val="24"/>
          <w:szCs w:val="24"/>
        </w:rPr>
      </w:pPr>
      <w:r w:rsidRPr="0056241C">
        <w:rPr>
          <w:lang w:eastAsia="bg-BG"/>
        </w:rPr>
        <w:t xml:space="preserve">РЕПИДО ПЛЮС 16 </w:t>
      </w:r>
      <w:r w:rsidRPr="0056241C">
        <w:rPr>
          <w:lang w:val="en-US"/>
        </w:rPr>
        <w:t>mg</w:t>
      </w:r>
      <w:r w:rsidRPr="0056241C">
        <w:rPr>
          <w:lang w:val="ru-RU"/>
        </w:rPr>
        <w:t>/</w:t>
      </w:r>
      <w:r w:rsidRPr="0056241C">
        <w:rPr>
          <w:lang w:val="en-US"/>
        </w:rPr>
        <w:t>l</w:t>
      </w:r>
      <w:r w:rsidRPr="0056241C">
        <w:rPr>
          <w:lang w:val="ru-RU"/>
        </w:rPr>
        <w:t xml:space="preserve"> </w:t>
      </w:r>
      <w:r w:rsidRPr="0056241C">
        <w:rPr>
          <w:lang w:eastAsia="bg-BG"/>
        </w:rPr>
        <w:t xml:space="preserve">2,5 </w:t>
      </w:r>
      <w:r w:rsidRPr="0056241C">
        <w:rPr>
          <w:lang w:val="en-US"/>
        </w:rPr>
        <w:t>mg</w:t>
      </w:r>
      <w:r w:rsidRPr="0056241C">
        <w:rPr>
          <w:lang w:val="ru-RU"/>
        </w:rPr>
        <w:t xml:space="preserve"> </w:t>
      </w:r>
      <w:r w:rsidRPr="0056241C">
        <w:rPr>
          <w:lang w:eastAsia="bg-BG"/>
        </w:rPr>
        <w:t>таблетки</w:t>
      </w:r>
    </w:p>
    <w:p w14:paraId="043A3CAB" w14:textId="77777777" w:rsidR="0056241C" w:rsidRPr="0056241C" w:rsidRDefault="0056241C" w:rsidP="0056241C">
      <w:pPr>
        <w:rPr>
          <w:sz w:val="24"/>
          <w:szCs w:val="24"/>
        </w:rPr>
      </w:pPr>
      <w:r w:rsidRPr="0056241C">
        <w:rPr>
          <w:lang w:eastAsia="bg-BG"/>
        </w:rPr>
        <w:t xml:space="preserve">Всяка таблетка съдържа 16 </w:t>
      </w:r>
      <w:r w:rsidRPr="0056241C">
        <w:rPr>
          <w:lang w:val="en-US"/>
        </w:rPr>
        <w:t>mg</w:t>
      </w:r>
      <w:r w:rsidRPr="0056241C">
        <w:rPr>
          <w:lang w:val="ru-RU"/>
        </w:rPr>
        <w:t xml:space="preserve"> </w:t>
      </w:r>
      <w:r w:rsidRPr="0056241C">
        <w:rPr>
          <w:lang w:eastAsia="bg-BG"/>
        </w:rPr>
        <w:t xml:space="preserve">кандесартан цилексетил и 12,5 </w:t>
      </w:r>
      <w:r w:rsidRPr="0056241C">
        <w:rPr>
          <w:lang w:val="en-US"/>
        </w:rPr>
        <w:t>mg</w:t>
      </w:r>
      <w:r w:rsidRPr="0056241C">
        <w:rPr>
          <w:lang w:val="ru-RU"/>
        </w:rPr>
        <w:t xml:space="preserve"> </w:t>
      </w:r>
      <w:r w:rsidRPr="0056241C">
        <w:rPr>
          <w:lang w:eastAsia="bg-BG"/>
        </w:rPr>
        <w:t>хидрохлоротиазид.</w:t>
      </w:r>
    </w:p>
    <w:p w14:paraId="2C7B30ED" w14:textId="77777777" w:rsidR="0056241C" w:rsidRDefault="0056241C" w:rsidP="0056241C">
      <w:pPr>
        <w:rPr>
          <w:lang w:eastAsia="bg-BG"/>
        </w:rPr>
      </w:pPr>
    </w:p>
    <w:p w14:paraId="49360D9D" w14:textId="74CB0B3E" w:rsidR="0056241C" w:rsidRPr="0056241C" w:rsidRDefault="0056241C" w:rsidP="0056241C">
      <w:pPr>
        <w:rPr>
          <w:sz w:val="24"/>
          <w:szCs w:val="24"/>
        </w:rPr>
      </w:pPr>
      <w:r w:rsidRPr="0056241C">
        <w:rPr>
          <w:lang w:eastAsia="bg-BG"/>
        </w:rPr>
        <w:t xml:space="preserve">РЕПИДО ПЛЮС 32 </w:t>
      </w:r>
      <w:r w:rsidRPr="0056241C">
        <w:rPr>
          <w:lang w:val="en-US"/>
        </w:rPr>
        <w:t>mg</w:t>
      </w:r>
      <w:r w:rsidRPr="00CF0CFB">
        <w:t>/12,5</w:t>
      </w:r>
      <w:r w:rsidRPr="0056241C">
        <w:rPr>
          <w:lang w:eastAsia="bg-BG"/>
        </w:rPr>
        <w:t xml:space="preserve"> </w:t>
      </w:r>
      <w:r w:rsidRPr="0056241C">
        <w:rPr>
          <w:lang w:val="en-US"/>
        </w:rPr>
        <w:t>mg</w:t>
      </w:r>
      <w:r w:rsidRPr="00CF0CFB">
        <w:t xml:space="preserve"> </w:t>
      </w:r>
      <w:r w:rsidRPr="0056241C">
        <w:rPr>
          <w:lang w:eastAsia="bg-BG"/>
        </w:rPr>
        <w:t>таблетки</w:t>
      </w:r>
    </w:p>
    <w:p w14:paraId="78B8738A" w14:textId="39B5214B" w:rsidR="0056241C" w:rsidRPr="00CF0CFB" w:rsidRDefault="0056241C" w:rsidP="0056241C">
      <w:r w:rsidRPr="0056241C">
        <w:rPr>
          <w:lang w:eastAsia="bg-BG"/>
        </w:rPr>
        <w:t xml:space="preserve">Всяка таблетка съдържа 32 </w:t>
      </w:r>
      <w:r w:rsidRPr="0056241C">
        <w:rPr>
          <w:lang w:val="en-US"/>
        </w:rPr>
        <w:t>mg</w:t>
      </w:r>
      <w:r w:rsidRPr="00CF0CFB">
        <w:t xml:space="preserve"> </w:t>
      </w:r>
      <w:r w:rsidRPr="0056241C">
        <w:rPr>
          <w:lang w:eastAsia="bg-BG"/>
        </w:rPr>
        <w:t xml:space="preserve">кандесартан цилексетил и 12,5 </w:t>
      </w:r>
      <w:r w:rsidRPr="0056241C">
        <w:rPr>
          <w:lang w:val="en-US"/>
        </w:rPr>
        <w:t>mg</w:t>
      </w:r>
      <w:r w:rsidRPr="00CF0CFB">
        <w:t xml:space="preserve"> </w:t>
      </w:r>
      <w:r w:rsidRPr="0056241C">
        <w:rPr>
          <w:lang w:eastAsia="bg-BG"/>
        </w:rPr>
        <w:t>хидрохлоротиазид.</w:t>
      </w:r>
    </w:p>
    <w:p w14:paraId="2B4590F7" w14:textId="77777777" w:rsidR="0056241C" w:rsidRPr="0056241C" w:rsidRDefault="0056241C" w:rsidP="0056241C"/>
    <w:p w14:paraId="614984C4" w14:textId="3ED1491E" w:rsidR="008A6AF2" w:rsidRDefault="00DD466D" w:rsidP="002C50EE">
      <w:pPr>
        <w:pStyle w:val="Heading1"/>
      </w:pPr>
      <w:r>
        <w:t>3. ЛЕКАРСТВЕНА ФОРМА</w:t>
      </w:r>
    </w:p>
    <w:p w14:paraId="7DEEDE69" w14:textId="4FD74C2B" w:rsidR="0056241C" w:rsidRDefault="0056241C" w:rsidP="0056241C"/>
    <w:p w14:paraId="13554894" w14:textId="77777777" w:rsidR="0056241C" w:rsidRPr="0056241C" w:rsidRDefault="0056241C" w:rsidP="0056241C">
      <w:pPr>
        <w:spacing w:line="240" w:lineRule="auto"/>
        <w:rPr>
          <w:rFonts w:eastAsia="Times New Roman" w:cs="Arial"/>
        </w:rPr>
      </w:pPr>
      <w:r w:rsidRPr="0056241C">
        <w:rPr>
          <w:rFonts w:eastAsia="Times New Roman" w:cs="Arial"/>
          <w:bCs/>
          <w:color w:val="000000"/>
          <w:lang w:eastAsia="bg-BG"/>
        </w:rPr>
        <w:t>Таблетки.</w:t>
      </w:r>
    </w:p>
    <w:p w14:paraId="49CE183A" w14:textId="77777777" w:rsidR="0056241C" w:rsidRPr="0056241C" w:rsidRDefault="0056241C" w:rsidP="0056241C">
      <w:pPr>
        <w:spacing w:line="240" w:lineRule="auto"/>
        <w:rPr>
          <w:rFonts w:eastAsia="Times New Roman" w:cs="Arial"/>
          <w:u w:val="single"/>
        </w:rPr>
      </w:pPr>
      <w:r w:rsidRPr="0056241C">
        <w:rPr>
          <w:rFonts w:eastAsia="Times New Roman" w:cs="Arial"/>
          <w:bCs/>
          <w:color w:val="000000"/>
          <w:u w:val="single"/>
          <w:lang w:eastAsia="bg-BG"/>
        </w:rPr>
        <w:t xml:space="preserve">Репипо плюс 8 </w:t>
      </w:r>
      <w:r w:rsidRPr="0056241C">
        <w:rPr>
          <w:rFonts w:eastAsia="Times New Roman" w:cs="Arial"/>
          <w:bCs/>
          <w:color w:val="000000"/>
          <w:u w:val="single"/>
          <w:lang w:val="en-US"/>
        </w:rPr>
        <w:t>mg</w:t>
      </w:r>
      <w:r w:rsidRPr="0056241C">
        <w:rPr>
          <w:rFonts w:eastAsia="Times New Roman" w:cs="Arial"/>
          <w:bCs/>
          <w:color w:val="000000"/>
          <w:u w:val="single"/>
          <w:lang w:val="ru-RU"/>
        </w:rPr>
        <w:t xml:space="preserve">/12,5 </w:t>
      </w:r>
      <w:r w:rsidRPr="0056241C">
        <w:rPr>
          <w:rFonts w:eastAsia="Times New Roman" w:cs="Arial"/>
          <w:bCs/>
          <w:color w:val="000000"/>
          <w:u w:val="single"/>
          <w:lang w:val="en-US"/>
        </w:rPr>
        <w:t>me</w:t>
      </w:r>
      <w:r w:rsidRPr="0056241C">
        <w:rPr>
          <w:rFonts w:eastAsia="Times New Roman" w:cs="Arial"/>
          <w:bCs/>
          <w:color w:val="000000"/>
          <w:u w:val="single"/>
          <w:lang w:val="ru-RU"/>
        </w:rPr>
        <w:t>:</w:t>
      </w:r>
    </w:p>
    <w:p w14:paraId="02844756" w14:textId="77777777" w:rsidR="0056241C" w:rsidRPr="0056241C" w:rsidRDefault="0056241C" w:rsidP="0056241C">
      <w:pPr>
        <w:spacing w:line="240" w:lineRule="auto"/>
        <w:rPr>
          <w:rFonts w:eastAsia="Times New Roman" w:cs="Arial"/>
        </w:rPr>
      </w:pPr>
      <w:r w:rsidRPr="0056241C">
        <w:rPr>
          <w:rFonts w:eastAsia="Times New Roman" w:cs="Arial"/>
          <w:bCs/>
          <w:color w:val="000000"/>
          <w:lang w:eastAsia="bg-BG"/>
        </w:rPr>
        <w:t xml:space="preserve">Бели или почти бели, овални, двойноизпъкнали (~9.5 х 4.5 </w:t>
      </w:r>
      <w:r w:rsidRPr="0056241C">
        <w:rPr>
          <w:rFonts w:eastAsia="Times New Roman" w:cs="Arial"/>
          <w:bCs/>
          <w:color w:val="000000"/>
          <w:lang w:val="en-US"/>
        </w:rPr>
        <w:t>mm</w:t>
      </w:r>
      <w:r w:rsidRPr="0056241C">
        <w:rPr>
          <w:rFonts w:eastAsia="Times New Roman" w:cs="Arial"/>
          <w:bCs/>
          <w:color w:val="000000"/>
          <w:lang w:val="ru-RU"/>
        </w:rPr>
        <w:t xml:space="preserve">), </w:t>
      </w:r>
      <w:r w:rsidRPr="0056241C">
        <w:rPr>
          <w:rFonts w:eastAsia="Times New Roman" w:cs="Arial"/>
          <w:bCs/>
          <w:color w:val="000000"/>
          <w:lang w:eastAsia="bg-BG"/>
        </w:rPr>
        <w:t>необвити таблетки с делителна черта от едната страна.</w:t>
      </w:r>
    </w:p>
    <w:p w14:paraId="27B14EB0" w14:textId="77777777" w:rsidR="0056241C" w:rsidRPr="0056241C" w:rsidRDefault="0056241C" w:rsidP="0056241C">
      <w:pPr>
        <w:spacing w:line="240" w:lineRule="auto"/>
        <w:rPr>
          <w:rFonts w:eastAsia="Times New Roman" w:cs="Arial"/>
        </w:rPr>
      </w:pPr>
      <w:r w:rsidRPr="0056241C">
        <w:rPr>
          <w:rFonts w:eastAsia="Times New Roman" w:cs="Arial"/>
          <w:bCs/>
          <w:color w:val="000000"/>
          <w:lang w:eastAsia="bg-BG"/>
        </w:rPr>
        <w:t>Делителната черта е само за улесняване на счупването с цел по-лесно поглъщане, а не за разделяне на равни дози.</w:t>
      </w:r>
    </w:p>
    <w:p w14:paraId="465FCA28" w14:textId="77777777" w:rsidR="0056241C" w:rsidRDefault="0056241C" w:rsidP="0056241C">
      <w:pPr>
        <w:spacing w:line="240" w:lineRule="auto"/>
        <w:rPr>
          <w:rFonts w:eastAsia="Times New Roman" w:cs="Arial"/>
          <w:bCs/>
          <w:color w:val="000000"/>
          <w:lang w:eastAsia="bg-BG"/>
        </w:rPr>
      </w:pPr>
    </w:p>
    <w:p w14:paraId="5824825E" w14:textId="3DBAE7EA" w:rsidR="0056241C" w:rsidRPr="0056241C" w:rsidRDefault="0056241C" w:rsidP="0056241C">
      <w:pPr>
        <w:spacing w:line="240" w:lineRule="auto"/>
        <w:rPr>
          <w:rFonts w:eastAsia="Times New Roman" w:cs="Arial"/>
          <w:u w:val="single"/>
        </w:rPr>
      </w:pPr>
      <w:r w:rsidRPr="0056241C">
        <w:rPr>
          <w:rFonts w:eastAsia="Times New Roman" w:cs="Arial"/>
          <w:bCs/>
          <w:color w:val="000000"/>
          <w:u w:val="single"/>
          <w:lang w:eastAsia="bg-BG"/>
        </w:rPr>
        <w:t xml:space="preserve">Редило плюс 16 </w:t>
      </w:r>
      <w:r w:rsidRPr="0056241C">
        <w:rPr>
          <w:rFonts w:eastAsia="Times New Roman" w:cs="Arial"/>
          <w:bCs/>
          <w:color w:val="000000"/>
          <w:u w:val="single"/>
          <w:lang w:val="en-US"/>
        </w:rPr>
        <w:t>mg</w:t>
      </w:r>
      <w:r w:rsidRPr="0056241C">
        <w:rPr>
          <w:rFonts w:eastAsia="Times New Roman" w:cs="Arial"/>
          <w:bCs/>
          <w:color w:val="000000"/>
          <w:u w:val="single"/>
          <w:lang w:val="ru-RU"/>
        </w:rPr>
        <w:t>/</w:t>
      </w:r>
      <w:r w:rsidRPr="0056241C">
        <w:rPr>
          <w:rFonts w:eastAsia="Times New Roman" w:cs="Arial"/>
          <w:bCs/>
          <w:color w:val="000000"/>
          <w:u w:val="single"/>
          <w:lang w:eastAsia="bg-BG"/>
        </w:rPr>
        <w:t xml:space="preserve">12.5 </w:t>
      </w:r>
      <w:r w:rsidRPr="0056241C">
        <w:rPr>
          <w:rFonts w:eastAsia="Times New Roman" w:cs="Arial"/>
          <w:bCs/>
          <w:color w:val="000000"/>
          <w:u w:val="single"/>
          <w:lang w:val="en-US"/>
        </w:rPr>
        <w:t>mg</w:t>
      </w:r>
      <w:r w:rsidRPr="0056241C">
        <w:rPr>
          <w:rFonts w:eastAsia="Times New Roman" w:cs="Arial"/>
          <w:bCs/>
          <w:color w:val="000000"/>
          <w:u w:val="single"/>
          <w:lang w:val="ru-RU"/>
        </w:rPr>
        <w:t>:</w:t>
      </w:r>
    </w:p>
    <w:p w14:paraId="0BAA251F" w14:textId="77777777" w:rsidR="0056241C" w:rsidRPr="0056241C" w:rsidRDefault="0056241C" w:rsidP="0056241C">
      <w:pPr>
        <w:spacing w:line="240" w:lineRule="auto"/>
        <w:rPr>
          <w:rFonts w:eastAsia="Times New Roman" w:cs="Arial"/>
        </w:rPr>
      </w:pPr>
      <w:r w:rsidRPr="0056241C">
        <w:rPr>
          <w:rFonts w:eastAsia="Times New Roman" w:cs="Arial"/>
          <w:bCs/>
          <w:color w:val="000000"/>
          <w:lang w:eastAsia="bg-BG"/>
        </w:rPr>
        <w:t xml:space="preserve">Овални, двойноизпъкнали (~9.5 х 4.5 </w:t>
      </w:r>
      <w:r w:rsidRPr="0056241C">
        <w:rPr>
          <w:rFonts w:eastAsia="Times New Roman" w:cs="Arial"/>
          <w:bCs/>
          <w:color w:val="000000"/>
          <w:lang w:val="en-US"/>
        </w:rPr>
        <w:t>mm</w:t>
      </w:r>
      <w:r w:rsidRPr="0056241C">
        <w:rPr>
          <w:rFonts w:eastAsia="Times New Roman" w:cs="Arial"/>
          <w:bCs/>
          <w:color w:val="000000"/>
          <w:lang w:val="ru-RU"/>
        </w:rPr>
        <w:t xml:space="preserve">), </w:t>
      </w:r>
      <w:r w:rsidRPr="0056241C">
        <w:rPr>
          <w:rFonts w:eastAsia="Times New Roman" w:cs="Arial"/>
          <w:bCs/>
          <w:color w:val="000000"/>
          <w:lang w:eastAsia="bg-BG"/>
        </w:rPr>
        <w:t>необвити таблетки с прасковен цвят, с делителна черта от едната страна.</w:t>
      </w:r>
    </w:p>
    <w:p w14:paraId="195EC8FE" w14:textId="77777777" w:rsidR="0056241C" w:rsidRPr="0056241C" w:rsidRDefault="0056241C" w:rsidP="0056241C">
      <w:pPr>
        <w:spacing w:line="240" w:lineRule="auto"/>
        <w:rPr>
          <w:rFonts w:eastAsia="Times New Roman" w:cs="Arial"/>
        </w:rPr>
      </w:pPr>
      <w:r w:rsidRPr="0056241C">
        <w:rPr>
          <w:rFonts w:eastAsia="Times New Roman" w:cs="Arial"/>
          <w:bCs/>
          <w:color w:val="000000"/>
          <w:lang w:eastAsia="bg-BG"/>
        </w:rPr>
        <w:t>Делителната черта е само за улесняване на счупването с цел по-лесно поглъщане, а не за разделяне на равни дози.</w:t>
      </w:r>
    </w:p>
    <w:p w14:paraId="6EF3224F" w14:textId="77777777" w:rsidR="0056241C" w:rsidRDefault="0056241C" w:rsidP="0056241C">
      <w:pPr>
        <w:spacing w:line="240" w:lineRule="auto"/>
        <w:rPr>
          <w:rFonts w:eastAsia="Times New Roman" w:cs="Arial"/>
          <w:bCs/>
          <w:color w:val="000000"/>
          <w:lang w:eastAsia="bg-BG"/>
        </w:rPr>
      </w:pPr>
    </w:p>
    <w:p w14:paraId="6E072DD7" w14:textId="0B04A01A" w:rsidR="0056241C" w:rsidRPr="0056241C" w:rsidRDefault="0056241C" w:rsidP="0056241C">
      <w:pPr>
        <w:rPr>
          <w:rFonts w:eastAsia="Times New Roman" w:cs="Arial"/>
          <w:color w:val="000000"/>
          <w:u w:val="single"/>
          <w:lang w:val="ru-RU" w:eastAsia="bg-BG"/>
        </w:rPr>
      </w:pPr>
      <w:r w:rsidRPr="0056241C">
        <w:rPr>
          <w:u w:val="single"/>
        </w:rPr>
        <w:t xml:space="preserve">Редило плюс 16 </w:t>
      </w:r>
      <w:r w:rsidRPr="0056241C">
        <w:rPr>
          <w:u w:val="single"/>
          <w:lang w:val="en-US"/>
        </w:rPr>
        <w:t>mg</w:t>
      </w:r>
      <w:r w:rsidRPr="0056241C">
        <w:rPr>
          <w:u w:val="single"/>
          <w:lang w:val="ru-RU"/>
        </w:rPr>
        <w:t>/</w:t>
      </w:r>
      <w:r w:rsidRPr="0056241C">
        <w:rPr>
          <w:u w:val="single"/>
        </w:rPr>
        <w:t xml:space="preserve">12.5 </w:t>
      </w:r>
      <w:r w:rsidRPr="0056241C">
        <w:rPr>
          <w:u w:val="single"/>
          <w:lang w:val="en-US"/>
        </w:rPr>
        <w:t>mg</w:t>
      </w:r>
      <w:r w:rsidRPr="0056241C">
        <w:rPr>
          <w:u w:val="single"/>
          <w:lang w:val="ru-RU"/>
        </w:rPr>
        <w:t>:</w:t>
      </w:r>
    </w:p>
    <w:p w14:paraId="64516AA0" w14:textId="00781136" w:rsidR="0056241C" w:rsidRPr="0056241C" w:rsidRDefault="0056241C" w:rsidP="0056241C">
      <w:pPr>
        <w:spacing w:line="240" w:lineRule="auto"/>
        <w:rPr>
          <w:rFonts w:eastAsia="Times New Roman" w:cs="Arial"/>
        </w:rPr>
      </w:pPr>
      <w:r w:rsidRPr="0056241C">
        <w:rPr>
          <w:rFonts w:eastAsia="Times New Roman" w:cs="Arial"/>
          <w:bCs/>
          <w:color w:val="000000"/>
          <w:lang w:eastAsia="bg-BG"/>
        </w:rPr>
        <w:t xml:space="preserve">Жълти, овални двойноизпъкнали (~12 х 6 </w:t>
      </w:r>
      <w:r w:rsidRPr="0056241C">
        <w:rPr>
          <w:rFonts w:eastAsia="Times New Roman" w:cs="Arial"/>
          <w:bCs/>
          <w:color w:val="000000"/>
          <w:lang w:val="en-US"/>
        </w:rPr>
        <w:t>mm</w:t>
      </w:r>
      <w:r w:rsidRPr="0056241C">
        <w:rPr>
          <w:rFonts w:eastAsia="Times New Roman" w:cs="Arial"/>
          <w:bCs/>
          <w:color w:val="000000"/>
          <w:lang w:val="ru-RU"/>
        </w:rPr>
        <w:t xml:space="preserve">), </w:t>
      </w:r>
      <w:r w:rsidRPr="0056241C">
        <w:rPr>
          <w:rFonts w:eastAsia="Times New Roman" w:cs="Arial"/>
          <w:bCs/>
          <w:color w:val="000000"/>
          <w:lang w:eastAsia="bg-BG"/>
        </w:rPr>
        <w:t>необвити таблетки с делителна черта от едната страна.</w:t>
      </w:r>
    </w:p>
    <w:p w14:paraId="2274585D" w14:textId="77777777" w:rsidR="0056241C" w:rsidRPr="0056241C" w:rsidRDefault="0056241C" w:rsidP="0056241C">
      <w:pPr>
        <w:spacing w:line="240" w:lineRule="auto"/>
        <w:rPr>
          <w:rFonts w:ascii="Times New Roman" w:eastAsia="Times New Roman" w:hAnsi="Times New Roman" w:cs="Times New Roman"/>
          <w:sz w:val="24"/>
          <w:szCs w:val="24"/>
        </w:rPr>
      </w:pPr>
      <w:r w:rsidRPr="0056241C">
        <w:rPr>
          <w:rFonts w:eastAsia="Times New Roman" w:cs="Arial"/>
          <w:bCs/>
          <w:color w:val="000000"/>
          <w:lang w:eastAsia="bg-BG"/>
        </w:rPr>
        <w:t>Делителната черта е само за улесняване на счупването с цел по-лесно поглъщане, а не за разделяне на равни дози.</w:t>
      </w:r>
    </w:p>
    <w:p w14:paraId="1191E85D" w14:textId="77777777" w:rsidR="0056241C" w:rsidRPr="0056241C" w:rsidRDefault="0056241C" w:rsidP="0056241C"/>
    <w:p w14:paraId="490FC2C4" w14:textId="32682B15" w:rsidR="002C50EE" w:rsidRDefault="002C50EE" w:rsidP="002C50EE">
      <w:pPr>
        <w:pStyle w:val="Heading1"/>
      </w:pPr>
      <w:r>
        <w:lastRenderedPageBreak/>
        <w:t>4. КЛИНИЧНИ ДАННИ</w:t>
      </w:r>
    </w:p>
    <w:p w14:paraId="754A29C8" w14:textId="34304510" w:rsidR="00C0049F" w:rsidRDefault="002C50EE" w:rsidP="009F1313">
      <w:pPr>
        <w:pStyle w:val="Heading2"/>
      </w:pPr>
      <w:r>
        <w:t>4.1. Терапевтични показания</w:t>
      </w:r>
    </w:p>
    <w:p w14:paraId="3B129A43" w14:textId="4B7EB3FA" w:rsidR="00DF4C8E" w:rsidRDefault="00DF4C8E" w:rsidP="00DF4C8E">
      <w:pPr>
        <w:rPr>
          <w:rFonts w:cs="Arial"/>
          <w:sz w:val="24"/>
        </w:rPr>
      </w:pPr>
    </w:p>
    <w:p w14:paraId="03ADF332" w14:textId="77777777" w:rsidR="0056241C" w:rsidRPr="0056241C" w:rsidRDefault="0056241C" w:rsidP="0056241C">
      <w:pPr>
        <w:rPr>
          <w:sz w:val="24"/>
          <w:szCs w:val="24"/>
        </w:rPr>
      </w:pPr>
      <w:r w:rsidRPr="0056241C">
        <w:rPr>
          <w:lang w:eastAsia="bg-BG"/>
        </w:rPr>
        <w:t>Репидо плюс е показан за:</w:t>
      </w:r>
    </w:p>
    <w:p w14:paraId="43577A97" w14:textId="77777777" w:rsidR="0056241C" w:rsidRPr="0056241C" w:rsidRDefault="0056241C" w:rsidP="0056241C">
      <w:pPr>
        <w:rPr>
          <w:sz w:val="24"/>
          <w:szCs w:val="24"/>
        </w:rPr>
      </w:pPr>
      <w:r w:rsidRPr="0056241C">
        <w:rPr>
          <w:lang w:eastAsia="bg-BG"/>
        </w:rPr>
        <w:t>Лечение на есенциална хипертония при възрастни пациенти, при които не се постига оптимален контрол на кръвното налягане чрез монотерапия с кандесартан цилексетил или хидрохлоротиазид (вж. точки 4.3, 4.4, 4.5 и 5.1).</w:t>
      </w:r>
    </w:p>
    <w:p w14:paraId="56CB4FF1" w14:textId="77777777" w:rsidR="0056241C" w:rsidRPr="00DF4C8E" w:rsidRDefault="0056241C" w:rsidP="00DF4C8E">
      <w:pPr>
        <w:rPr>
          <w:rFonts w:cs="Arial"/>
          <w:sz w:val="24"/>
        </w:rPr>
      </w:pPr>
    </w:p>
    <w:p w14:paraId="778B4979" w14:textId="0E06B9E4" w:rsidR="00DF4C8E" w:rsidRDefault="002C50EE" w:rsidP="00F44498">
      <w:pPr>
        <w:pStyle w:val="Heading2"/>
      </w:pPr>
      <w:r>
        <w:t>4.2. Дозировка и начин на приложение</w:t>
      </w:r>
    </w:p>
    <w:p w14:paraId="33161ACC" w14:textId="720EDC13" w:rsidR="0056241C" w:rsidRDefault="0056241C" w:rsidP="0056241C"/>
    <w:p w14:paraId="591DA1B3" w14:textId="77777777" w:rsidR="0056241C" w:rsidRPr="00CF0CFB" w:rsidRDefault="0056241C" w:rsidP="00CF0CFB">
      <w:pPr>
        <w:pStyle w:val="Heading3"/>
        <w:rPr>
          <w:rFonts w:eastAsia="Times New Roman"/>
          <w:u w:val="single"/>
        </w:rPr>
      </w:pPr>
      <w:r w:rsidRPr="00CF0CFB">
        <w:rPr>
          <w:rFonts w:eastAsia="Times New Roman"/>
          <w:u w:val="single"/>
          <w:lang w:eastAsia="bg-BG"/>
        </w:rPr>
        <w:t>Дозировка</w:t>
      </w:r>
      <w:bookmarkStart w:id="1" w:name="bookmark0"/>
      <w:bookmarkEnd w:id="1"/>
    </w:p>
    <w:p w14:paraId="173EBA31" w14:textId="77777777" w:rsidR="0056241C" w:rsidRDefault="0056241C" w:rsidP="0056241C">
      <w:pPr>
        <w:spacing w:line="240" w:lineRule="auto"/>
        <w:rPr>
          <w:rFonts w:eastAsia="Times New Roman" w:cs="Arial"/>
          <w:color w:val="000000"/>
          <w:lang w:eastAsia="bg-BG"/>
        </w:rPr>
      </w:pPr>
    </w:p>
    <w:p w14:paraId="60D13DB8" w14:textId="0E4C1142" w:rsidR="0056241C" w:rsidRPr="0056241C" w:rsidRDefault="0056241C" w:rsidP="0056241C">
      <w:pPr>
        <w:spacing w:line="240" w:lineRule="auto"/>
        <w:rPr>
          <w:rFonts w:eastAsia="Times New Roman" w:cs="Arial"/>
        </w:rPr>
      </w:pPr>
      <w:r w:rsidRPr="0056241C">
        <w:rPr>
          <w:rFonts w:eastAsia="Times New Roman" w:cs="Arial"/>
          <w:color w:val="000000"/>
          <w:lang w:eastAsia="bg-BG"/>
        </w:rPr>
        <w:t>Препоръчителната доза Репидо плюс е една таблетка дневно.</w:t>
      </w:r>
    </w:p>
    <w:p w14:paraId="5639B90C" w14:textId="77777777" w:rsidR="0056241C" w:rsidRPr="0056241C" w:rsidRDefault="0056241C" w:rsidP="0056241C">
      <w:pPr>
        <w:spacing w:line="240" w:lineRule="auto"/>
        <w:rPr>
          <w:rFonts w:eastAsia="Times New Roman" w:cs="Arial"/>
        </w:rPr>
      </w:pPr>
      <w:r w:rsidRPr="0056241C">
        <w:rPr>
          <w:rFonts w:eastAsia="Times New Roman" w:cs="Arial"/>
          <w:color w:val="000000"/>
          <w:lang w:eastAsia="bg-BG"/>
        </w:rPr>
        <w:t>Препоръчва се титриране на дозата на отделните компоненти (кандесартан цилексетил и хидрохлоротиазид). Когато това е уместно от клинична гледна точка, може да се има предвид директно преминаване от монотерапия към лечение с Репидо плюс. При преминаване от монотерапия с хидрохлоротиазид, се препоръчва титриране на дозата на кандесартан цилексетил. Репидо плюс може да се прилага при пациенти, при които не се постига оптимален контрол на артериалното налягане чрез монотерапия с кандесартан цилексетил или хидрохлоротиазид или с Репидо плюс в по-ниска доза (вж. точки 4.3,4.4,4.5 и 5.1)</w:t>
      </w:r>
    </w:p>
    <w:p w14:paraId="4003C4EE" w14:textId="77777777" w:rsidR="0056241C" w:rsidRDefault="0056241C" w:rsidP="0056241C">
      <w:pPr>
        <w:spacing w:line="240" w:lineRule="auto"/>
        <w:rPr>
          <w:rFonts w:eastAsia="Times New Roman" w:cs="Arial"/>
          <w:color w:val="000000"/>
          <w:lang w:eastAsia="bg-BG"/>
        </w:rPr>
      </w:pPr>
    </w:p>
    <w:p w14:paraId="7F7CEF33" w14:textId="5C799987" w:rsidR="0056241C" w:rsidRPr="0056241C" w:rsidRDefault="0056241C" w:rsidP="0056241C">
      <w:pPr>
        <w:spacing w:line="240" w:lineRule="auto"/>
        <w:rPr>
          <w:rFonts w:eastAsia="Times New Roman" w:cs="Arial"/>
        </w:rPr>
      </w:pPr>
      <w:r w:rsidRPr="0056241C">
        <w:rPr>
          <w:rFonts w:eastAsia="Times New Roman" w:cs="Arial"/>
          <w:color w:val="000000"/>
          <w:lang w:eastAsia="bg-BG"/>
        </w:rPr>
        <w:t>По-голямата част от антихипертензивния ефект обикновено се постига в рамките на 4 седмици след започване на лечението.</w:t>
      </w:r>
    </w:p>
    <w:p w14:paraId="780A1BD8" w14:textId="77777777" w:rsidR="0056241C" w:rsidRDefault="0056241C" w:rsidP="0056241C">
      <w:pPr>
        <w:spacing w:line="240" w:lineRule="auto"/>
        <w:rPr>
          <w:rFonts w:eastAsia="Times New Roman" w:cs="Arial"/>
          <w:color w:val="000000"/>
          <w:u w:val="single"/>
          <w:lang w:eastAsia="bg-BG"/>
        </w:rPr>
      </w:pPr>
    </w:p>
    <w:p w14:paraId="76F182AB" w14:textId="6BA6C616" w:rsidR="0056241C" w:rsidRPr="0056241C" w:rsidRDefault="0056241C" w:rsidP="0056241C">
      <w:pPr>
        <w:spacing w:line="240" w:lineRule="auto"/>
        <w:rPr>
          <w:rFonts w:eastAsia="Times New Roman" w:cs="Arial"/>
          <w:u w:val="single"/>
        </w:rPr>
      </w:pPr>
      <w:r w:rsidRPr="0056241C">
        <w:rPr>
          <w:rFonts w:eastAsia="Times New Roman" w:cs="Arial"/>
          <w:color w:val="000000"/>
          <w:u w:val="single"/>
          <w:lang w:eastAsia="bg-BG"/>
        </w:rPr>
        <w:t>Специални популатги</w:t>
      </w:r>
    </w:p>
    <w:p w14:paraId="2A2EBFCD" w14:textId="77777777" w:rsidR="0056241C" w:rsidRPr="0056241C" w:rsidRDefault="0056241C" w:rsidP="0056241C">
      <w:pPr>
        <w:spacing w:line="240" w:lineRule="auto"/>
        <w:rPr>
          <w:rFonts w:eastAsia="Times New Roman" w:cs="Arial"/>
        </w:rPr>
      </w:pPr>
      <w:r w:rsidRPr="0056241C">
        <w:rPr>
          <w:rFonts w:eastAsia="Times New Roman" w:cs="Arial"/>
          <w:i/>
          <w:iCs/>
          <w:color w:val="000000"/>
          <w:lang w:eastAsia="bg-BG"/>
        </w:rPr>
        <w:t>Пациенти в старческа възраст</w:t>
      </w:r>
    </w:p>
    <w:p w14:paraId="5E80E1AE" w14:textId="77777777" w:rsidR="0056241C" w:rsidRPr="0056241C" w:rsidRDefault="0056241C" w:rsidP="0056241C">
      <w:pPr>
        <w:spacing w:line="240" w:lineRule="auto"/>
        <w:rPr>
          <w:rFonts w:eastAsia="Times New Roman" w:cs="Arial"/>
        </w:rPr>
      </w:pPr>
      <w:r w:rsidRPr="0056241C">
        <w:rPr>
          <w:rFonts w:eastAsia="Times New Roman" w:cs="Arial"/>
          <w:color w:val="000000"/>
          <w:lang w:eastAsia="bg-BG"/>
        </w:rPr>
        <w:t>При пациенти в старческа не се налага корекция на дозата.</w:t>
      </w:r>
    </w:p>
    <w:p w14:paraId="12C1623C" w14:textId="77777777" w:rsidR="0056241C" w:rsidRDefault="0056241C" w:rsidP="0056241C">
      <w:pPr>
        <w:spacing w:line="240" w:lineRule="auto"/>
        <w:rPr>
          <w:rFonts w:eastAsia="Times New Roman" w:cs="Arial"/>
          <w:i/>
          <w:iCs/>
          <w:color w:val="000000"/>
          <w:lang w:eastAsia="bg-BG"/>
        </w:rPr>
      </w:pPr>
    </w:p>
    <w:p w14:paraId="115EB19F" w14:textId="36DB365D" w:rsidR="0056241C" w:rsidRPr="0056241C" w:rsidRDefault="0056241C" w:rsidP="0056241C">
      <w:pPr>
        <w:spacing w:line="240" w:lineRule="auto"/>
        <w:rPr>
          <w:rFonts w:eastAsia="Times New Roman" w:cs="Arial"/>
        </w:rPr>
      </w:pPr>
      <w:r w:rsidRPr="0056241C">
        <w:rPr>
          <w:rFonts w:eastAsia="Times New Roman" w:cs="Arial"/>
          <w:i/>
          <w:iCs/>
          <w:color w:val="000000"/>
          <w:lang w:eastAsia="bg-BG"/>
        </w:rPr>
        <w:t>Пациенти с вътресъдово обемно изчерпване</w:t>
      </w:r>
    </w:p>
    <w:p w14:paraId="78D0D954" w14:textId="77777777" w:rsidR="0056241C" w:rsidRPr="0056241C" w:rsidRDefault="0056241C" w:rsidP="0056241C">
      <w:pPr>
        <w:spacing w:line="240" w:lineRule="auto"/>
        <w:rPr>
          <w:rFonts w:eastAsia="Times New Roman" w:cs="Arial"/>
        </w:rPr>
      </w:pPr>
      <w:r w:rsidRPr="0056241C">
        <w:rPr>
          <w:rFonts w:eastAsia="Times New Roman" w:cs="Arial"/>
          <w:color w:val="000000"/>
          <w:lang w:eastAsia="bg-BG"/>
        </w:rPr>
        <w:t xml:space="preserve">При пациентите с риск за развитие на хипотония, каквито са тези с възможно обемно изчерпване, се препоръчва титриране на дозата на кандесартан цилексетил (при тях може да се има предвид начална доза на кандесартан цилексетил от 4 </w:t>
      </w:r>
      <w:r w:rsidRPr="0056241C">
        <w:rPr>
          <w:rFonts w:eastAsia="Times New Roman" w:cs="Arial"/>
          <w:color w:val="000000"/>
          <w:lang w:val="en-US"/>
        </w:rPr>
        <w:t>mg</w:t>
      </w:r>
      <w:r w:rsidRPr="0056241C">
        <w:rPr>
          <w:rFonts w:eastAsia="Times New Roman" w:cs="Arial"/>
          <w:color w:val="000000"/>
          <w:lang w:val="ru-RU"/>
        </w:rPr>
        <w:t>).</w:t>
      </w:r>
    </w:p>
    <w:p w14:paraId="45C2415F" w14:textId="77777777" w:rsidR="0056241C" w:rsidRDefault="0056241C" w:rsidP="0056241C">
      <w:pPr>
        <w:spacing w:line="240" w:lineRule="auto"/>
        <w:rPr>
          <w:rFonts w:eastAsia="Times New Roman" w:cs="Arial"/>
          <w:i/>
          <w:iCs/>
          <w:color w:val="000000"/>
          <w:lang w:eastAsia="bg-BG"/>
        </w:rPr>
      </w:pPr>
    </w:p>
    <w:p w14:paraId="7F2E7109" w14:textId="1FE2401C" w:rsidR="0056241C" w:rsidRPr="0056241C" w:rsidRDefault="0056241C" w:rsidP="0056241C">
      <w:pPr>
        <w:spacing w:line="240" w:lineRule="auto"/>
        <w:rPr>
          <w:rFonts w:eastAsia="Times New Roman" w:cs="Arial"/>
        </w:rPr>
      </w:pPr>
      <w:r w:rsidRPr="0056241C">
        <w:rPr>
          <w:rFonts w:eastAsia="Times New Roman" w:cs="Arial"/>
          <w:i/>
          <w:iCs/>
          <w:color w:val="000000"/>
          <w:lang w:eastAsia="bg-BG"/>
        </w:rPr>
        <w:t>Пациенти с бъбречно увреждане</w:t>
      </w:r>
    </w:p>
    <w:p w14:paraId="33B35A7C" w14:textId="77777777" w:rsidR="0056241C" w:rsidRPr="0056241C" w:rsidRDefault="0056241C" w:rsidP="0056241C">
      <w:pPr>
        <w:spacing w:line="240" w:lineRule="auto"/>
        <w:rPr>
          <w:rFonts w:eastAsia="Times New Roman" w:cs="Arial"/>
        </w:rPr>
      </w:pPr>
      <w:r w:rsidRPr="0056241C">
        <w:rPr>
          <w:rFonts w:eastAsia="Times New Roman" w:cs="Arial"/>
          <w:color w:val="000000"/>
          <w:lang w:eastAsia="bg-BG"/>
        </w:rPr>
        <w:t xml:space="preserve">В тази популация се предпочитат бримкови пред тиазидни диуретици. При пациенти с леко до умерено бъбречно увреждане се препоръчва титриране на дозата на кандесартан цилексетил (креатининов клирънс ≥ 30 </w:t>
      </w:r>
      <w:r w:rsidRPr="0056241C">
        <w:rPr>
          <w:rFonts w:eastAsia="Times New Roman" w:cs="Arial"/>
          <w:color w:val="000000"/>
          <w:lang w:val="en-US"/>
        </w:rPr>
        <w:t>ml</w:t>
      </w:r>
      <w:r w:rsidRPr="0056241C">
        <w:rPr>
          <w:rFonts w:eastAsia="Times New Roman" w:cs="Arial"/>
          <w:color w:val="000000"/>
          <w:lang w:val="ru-RU"/>
        </w:rPr>
        <w:t>/</w:t>
      </w:r>
      <w:r w:rsidRPr="0056241C">
        <w:rPr>
          <w:rFonts w:eastAsia="Times New Roman" w:cs="Arial"/>
          <w:color w:val="000000"/>
          <w:lang w:val="en-US"/>
        </w:rPr>
        <w:t>min</w:t>
      </w:r>
      <w:r w:rsidRPr="0056241C">
        <w:rPr>
          <w:rFonts w:eastAsia="Times New Roman" w:cs="Arial"/>
          <w:color w:val="000000"/>
          <w:lang w:val="ru-RU"/>
        </w:rPr>
        <w:t>/1</w:t>
      </w:r>
      <w:r w:rsidRPr="0056241C">
        <w:rPr>
          <w:rFonts w:eastAsia="Times New Roman" w:cs="Arial"/>
          <w:color w:val="000000"/>
          <w:lang w:eastAsia="bg-BG"/>
        </w:rPr>
        <w:t xml:space="preserve">,73 </w:t>
      </w:r>
      <w:r w:rsidRPr="0056241C">
        <w:rPr>
          <w:rFonts w:eastAsia="Times New Roman" w:cs="Arial"/>
          <w:color w:val="000000"/>
          <w:lang w:val="en-US"/>
        </w:rPr>
        <w:t>m</w:t>
      </w:r>
      <w:r w:rsidRPr="0056241C">
        <w:rPr>
          <w:rFonts w:eastAsia="Times New Roman" w:cs="Arial"/>
          <w:color w:val="000000"/>
          <w:vertAlign w:val="superscript"/>
          <w:lang w:val="ru-RU"/>
        </w:rPr>
        <w:t>2</w:t>
      </w:r>
      <w:r w:rsidRPr="0056241C">
        <w:rPr>
          <w:rFonts w:eastAsia="Times New Roman" w:cs="Arial"/>
          <w:color w:val="000000"/>
          <w:lang w:val="ru-RU"/>
        </w:rPr>
        <w:t xml:space="preserve"> </w:t>
      </w:r>
      <w:r w:rsidRPr="0056241C">
        <w:rPr>
          <w:rFonts w:eastAsia="Times New Roman" w:cs="Arial"/>
          <w:color w:val="000000"/>
          <w:lang w:eastAsia="bg-BG"/>
        </w:rPr>
        <w:t xml:space="preserve">телесна повърхност) преди да се започне лечение с Репидо Плюс (при тези пациенти препоръчителната начална доза на кандесартан цилексетил е 4 </w:t>
      </w:r>
      <w:r w:rsidRPr="0056241C">
        <w:rPr>
          <w:rFonts w:eastAsia="Times New Roman" w:cs="Arial"/>
          <w:color w:val="000000"/>
          <w:lang w:val="en-US"/>
        </w:rPr>
        <w:t>mg</w:t>
      </w:r>
      <w:r w:rsidRPr="0056241C">
        <w:rPr>
          <w:rFonts w:eastAsia="Times New Roman" w:cs="Arial"/>
          <w:color w:val="000000"/>
          <w:lang w:val="ru-RU"/>
        </w:rPr>
        <w:t>).</w:t>
      </w:r>
    </w:p>
    <w:p w14:paraId="02A31666" w14:textId="77777777" w:rsidR="0056241C" w:rsidRPr="0056241C" w:rsidRDefault="0056241C" w:rsidP="0056241C">
      <w:pPr>
        <w:spacing w:line="240" w:lineRule="auto"/>
        <w:rPr>
          <w:rFonts w:eastAsia="Times New Roman" w:cs="Arial"/>
        </w:rPr>
      </w:pPr>
      <w:r w:rsidRPr="0056241C">
        <w:rPr>
          <w:rFonts w:eastAsia="Times New Roman" w:cs="Arial"/>
          <w:color w:val="000000"/>
          <w:lang w:eastAsia="bg-BG"/>
        </w:rPr>
        <w:t xml:space="preserve">Репидо Плюс е противопоказан при пациенти с тежко бъбречно увреждане (креатининов клирьнс &lt; 30 </w:t>
      </w:r>
      <w:r w:rsidRPr="0056241C">
        <w:rPr>
          <w:rFonts w:eastAsia="Times New Roman" w:cs="Arial"/>
          <w:color w:val="000000"/>
          <w:lang w:val="en-US"/>
        </w:rPr>
        <w:t>ml</w:t>
      </w:r>
      <w:r w:rsidRPr="0056241C">
        <w:rPr>
          <w:rFonts w:eastAsia="Times New Roman" w:cs="Arial"/>
          <w:color w:val="000000"/>
          <w:lang w:val="ru-RU"/>
        </w:rPr>
        <w:t>/</w:t>
      </w:r>
      <w:r w:rsidRPr="0056241C">
        <w:rPr>
          <w:rFonts w:eastAsia="Times New Roman" w:cs="Arial"/>
          <w:color w:val="000000"/>
          <w:lang w:val="en-US"/>
        </w:rPr>
        <w:t>min</w:t>
      </w:r>
      <w:r w:rsidRPr="0056241C">
        <w:rPr>
          <w:rFonts w:eastAsia="Times New Roman" w:cs="Arial"/>
          <w:color w:val="000000"/>
          <w:lang w:val="ru-RU"/>
        </w:rPr>
        <w:t>/1</w:t>
      </w:r>
      <w:r w:rsidRPr="0056241C">
        <w:rPr>
          <w:rFonts w:eastAsia="Times New Roman" w:cs="Arial"/>
          <w:color w:val="000000"/>
          <w:lang w:eastAsia="bg-BG"/>
        </w:rPr>
        <w:t xml:space="preserve">,73 </w:t>
      </w:r>
      <w:r w:rsidRPr="0056241C">
        <w:rPr>
          <w:rFonts w:eastAsia="Times New Roman" w:cs="Arial"/>
          <w:color w:val="000000"/>
          <w:lang w:val="en-US"/>
        </w:rPr>
        <w:t>m</w:t>
      </w:r>
      <w:r w:rsidRPr="0056241C">
        <w:rPr>
          <w:rFonts w:eastAsia="Times New Roman" w:cs="Arial"/>
          <w:color w:val="000000"/>
          <w:vertAlign w:val="superscript"/>
          <w:lang w:val="ru-RU"/>
        </w:rPr>
        <w:t>2</w:t>
      </w:r>
      <w:r w:rsidRPr="0056241C">
        <w:rPr>
          <w:rFonts w:eastAsia="Times New Roman" w:cs="Arial"/>
          <w:color w:val="000000"/>
          <w:lang w:val="ru-RU"/>
        </w:rPr>
        <w:t xml:space="preserve"> </w:t>
      </w:r>
      <w:r w:rsidRPr="0056241C">
        <w:rPr>
          <w:rFonts w:eastAsia="Times New Roman" w:cs="Arial"/>
          <w:color w:val="000000"/>
          <w:lang w:eastAsia="bg-BG"/>
        </w:rPr>
        <w:t>телесна повърхност) (вж. точка 4.3).</w:t>
      </w:r>
    </w:p>
    <w:p w14:paraId="27AEB5C2" w14:textId="77777777" w:rsidR="0056241C" w:rsidRDefault="0056241C" w:rsidP="0056241C">
      <w:pPr>
        <w:spacing w:line="240" w:lineRule="auto"/>
        <w:rPr>
          <w:rFonts w:eastAsia="Times New Roman" w:cs="Arial"/>
          <w:i/>
          <w:iCs/>
          <w:color w:val="000000"/>
          <w:lang w:eastAsia="bg-BG"/>
        </w:rPr>
      </w:pPr>
    </w:p>
    <w:p w14:paraId="459F083E" w14:textId="4852B320" w:rsidR="0056241C" w:rsidRPr="0056241C" w:rsidRDefault="0056241C" w:rsidP="0056241C">
      <w:pPr>
        <w:spacing w:line="240" w:lineRule="auto"/>
        <w:rPr>
          <w:rFonts w:eastAsia="Times New Roman" w:cs="Arial"/>
        </w:rPr>
      </w:pPr>
      <w:r w:rsidRPr="0056241C">
        <w:rPr>
          <w:rFonts w:eastAsia="Times New Roman" w:cs="Arial"/>
          <w:i/>
          <w:iCs/>
          <w:color w:val="000000"/>
          <w:lang w:eastAsia="bg-BG"/>
        </w:rPr>
        <w:t>Пациенти с чернодробно увреждане</w:t>
      </w:r>
    </w:p>
    <w:p w14:paraId="010C0D6B" w14:textId="77777777" w:rsidR="0056241C" w:rsidRPr="0056241C" w:rsidRDefault="0056241C" w:rsidP="0056241C">
      <w:pPr>
        <w:spacing w:line="240" w:lineRule="auto"/>
        <w:rPr>
          <w:rFonts w:eastAsia="Times New Roman" w:cs="Arial"/>
        </w:rPr>
      </w:pPr>
      <w:r w:rsidRPr="0056241C">
        <w:rPr>
          <w:rFonts w:eastAsia="Times New Roman" w:cs="Arial"/>
          <w:color w:val="000000"/>
          <w:lang w:eastAsia="bg-BG"/>
        </w:rPr>
        <w:t xml:space="preserve">При пациенти с леко до умерено чернодробно увреждане, преди започване на лечение с Репидо Плюс, се препоръчва титриране на дозата на кандесартан цилексетил (при тези пациенти препоръчителна начална доза на кандесартан цилексетил е 4 </w:t>
      </w:r>
      <w:r w:rsidRPr="0056241C">
        <w:rPr>
          <w:rFonts w:eastAsia="Times New Roman" w:cs="Arial"/>
          <w:color w:val="000000"/>
          <w:lang w:val="en-US"/>
        </w:rPr>
        <w:t>mg</w:t>
      </w:r>
      <w:r w:rsidRPr="0056241C">
        <w:rPr>
          <w:rFonts w:eastAsia="Times New Roman" w:cs="Arial"/>
          <w:color w:val="000000"/>
          <w:lang w:val="ru-RU"/>
        </w:rPr>
        <w:t xml:space="preserve">). </w:t>
      </w:r>
      <w:r w:rsidRPr="0056241C">
        <w:rPr>
          <w:rFonts w:eastAsia="Times New Roman" w:cs="Arial"/>
          <w:color w:val="000000"/>
          <w:lang w:eastAsia="bg-BG"/>
        </w:rPr>
        <w:t xml:space="preserve">Репидо </w:t>
      </w:r>
      <w:r w:rsidRPr="0056241C">
        <w:rPr>
          <w:rFonts w:eastAsia="Times New Roman" w:cs="Arial"/>
          <w:color w:val="000000"/>
          <w:lang w:eastAsia="bg-BG"/>
        </w:rPr>
        <w:lastRenderedPageBreak/>
        <w:t>Плюс е противопоказан при пациенти с тежка чернодробна недостатъчност и/или холестаза (вж. точка 4.3).</w:t>
      </w:r>
    </w:p>
    <w:p w14:paraId="5D321BC0" w14:textId="77777777" w:rsidR="0056241C" w:rsidRDefault="0056241C" w:rsidP="0056241C">
      <w:pPr>
        <w:spacing w:line="240" w:lineRule="auto"/>
        <w:rPr>
          <w:rFonts w:eastAsia="Times New Roman" w:cs="Arial"/>
          <w:i/>
          <w:iCs/>
          <w:color w:val="000000"/>
          <w:lang w:eastAsia="bg-BG"/>
        </w:rPr>
      </w:pPr>
    </w:p>
    <w:p w14:paraId="466B72A6" w14:textId="747F92DD" w:rsidR="0056241C" w:rsidRPr="0056241C" w:rsidRDefault="0056241C" w:rsidP="0056241C">
      <w:pPr>
        <w:spacing w:line="240" w:lineRule="auto"/>
        <w:rPr>
          <w:rFonts w:eastAsia="Times New Roman" w:cs="Arial"/>
        </w:rPr>
      </w:pPr>
      <w:r w:rsidRPr="0056241C">
        <w:rPr>
          <w:rFonts w:eastAsia="Times New Roman" w:cs="Arial"/>
          <w:i/>
          <w:iCs/>
          <w:color w:val="000000"/>
          <w:lang w:eastAsia="bg-BG"/>
        </w:rPr>
        <w:t>Педиатрична популация</w:t>
      </w:r>
    </w:p>
    <w:p w14:paraId="231A2DAA" w14:textId="77777777" w:rsidR="0056241C" w:rsidRPr="0056241C" w:rsidRDefault="0056241C" w:rsidP="0056241C">
      <w:pPr>
        <w:spacing w:line="240" w:lineRule="auto"/>
        <w:rPr>
          <w:rFonts w:eastAsia="Times New Roman" w:cs="Arial"/>
        </w:rPr>
      </w:pPr>
      <w:r w:rsidRPr="0056241C">
        <w:rPr>
          <w:rFonts w:eastAsia="Times New Roman" w:cs="Arial"/>
          <w:color w:val="000000"/>
          <w:lang w:eastAsia="bg-BG"/>
        </w:rPr>
        <w:t>Безопасността и ефикасността на Репидо Плюс при деца на възраст от раждане до 18 години още не са установени. Липсват данни.</w:t>
      </w:r>
    </w:p>
    <w:p w14:paraId="3F1DA82F" w14:textId="665F6B24" w:rsidR="0056241C" w:rsidRDefault="0056241C" w:rsidP="0056241C"/>
    <w:p w14:paraId="368BA69A" w14:textId="77777777" w:rsidR="0056241C" w:rsidRPr="00CF0CFB" w:rsidRDefault="0056241C" w:rsidP="00CF0CFB">
      <w:pPr>
        <w:pStyle w:val="Heading3"/>
        <w:rPr>
          <w:u w:val="single"/>
        </w:rPr>
      </w:pPr>
      <w:r w:rsidRPr="00CF0CFB">
        <w:rPr>
          <w:u w:val="single"/>
          <w:lang w:eastAsia="bg-BG"/>
        </w:rPr>
        <w:t>Начин на приложение</w:t>
      </w:r>
    </w:p>
    <w:p w14:paraId="2683315F" w14:textId="77777777" w:rsidR="0056241C" w:rsidRPr="0056241C" w:rsidRDefault="0056241C" w:rsidP="0056241C">
      <w:pPr>
        <w:rPr>
          <w:sz w:val="24"/>
          <w:szCs w:val="24"/>
        </w:rPr>
      </w:pPr>
      <w:r w:rsidRPr="0056241C">
        <w:rPr>
          <w:lang w:eastAsia="bg-BG"/>
        </w:rPr>
        <w:t>Перорално приложение</w:t>
      </w:r>
    </w:p>
    <w:p w14:paraId="1209D1AC" w14:textId="77777777" w:rsidR="0056241C" w:rsidRPr="0056241C" w:rsidRDefault="0056241C" w:rsidP="0056241C">
      <w:pPr>
        <w:rPr>
          <w:sz w:val="24"/>
          <w:szCs w:val="24"/>
        </w:rPr>
      </w:pPr>
      <w:r w:rsidRPr="0056241C">
        <w:rPr>
          <w:lang w:eastAsia="bg-BG"/>
        </w:rPr>
        <w:t>Репидо Плюс може да се приема какго на гладно, така и след хранене. Бионаличността на кяндесартан цилексетил не се повлиява от храната.</w:t>
      </w:r>
    </w:p>
    <w:p w14:paraId="759E2E79" w14:textId="05ADE258" w:rsidR="0056241C" w:rsidRDefault="0056241C" w:rsidP="0056241C">
      <w:pPr>
        <w:rPr>
          <w:lang w:eastAsia="bg-BG"/>
        </w:rPr>
      </w:pPr>
      <w:r w:rsidRPr="0056241C">
        <w:rPr>
          <w:lang w:eastAsia="bg-BG"/>
        </w:rPr>
        <w:t>Няма клинично значимо взаимодействие между хндрохлоротиазид и храната.</w:t>
      </w:r>
    </w:p>
    <w:p w14:paraId="7AD10C80" w14:textId="77777777" w:rsidR="0056241C" w:rsidRPr="0056241C" w:rsidRDefault="0056241C" w:rsidP="0056241C"/>
    <w:p w14:paraId="6A85390E" w14:textId="2F773E72" w:rsidR="00DF4C8E" w:rsidRDefault="002C50EE" w:rsidP="00F44498">
      <w:pPr>
        <w:pStyle w:val="Heading2"/>
      </w:pPr>
      <w:r>
        <w:t>4.3. Противопоказания</w:t>
      </w:r>
    </w:p>
    <w:p w14:paraId="0CA37807" w14:textId="76406B7F" w:rsidR="00CF0CFB" w:rsidRDefault="00CF0CFB" w:rsidP="00CF0CFB"/>
    <w:p w14:paraId="513A50F4" w14:textId="1050F9F8" w:rsidR="00CF0CFB" w:rsidRPr="00CF0CFB" w:rsidRDefault="00CF0CFB" w:rsidP="00CF0CFB">
      <w:pPr>
        <w:rPr>
          <w:lang w:eastAsia="bg-BG"/>
        </w:rPr>
      </w:pPr>
      <w:r w:rsidRPr="00CF0CFB">
        <w:rPr>
          <w:lang w:eastAsia="bg-BG"/>
        </w:rPr>
        <w:t>Свръхчувствителност към активните вещества или към някое от помощните вещества, или към активни вещества, производни на сулфонамиднте. Хидрохлоротиазид е активно вещество, производно на сулфонамидите.</w:t>
      </w:r>
    </w:p>
    <w:p w14:paraId="45408A24" w14:textId="77777777" w:rsidR="00CF0CFB" w:rsidRPr="00CF0CFB" w:rsidRDefault="00CF0CFB" w:rsidP="00CF0CFB">
      <w:pPr>
        <w:rPr>
          <w:sz w:val="24"/>
          <w:szCs w:val="24"/>
        </w:rPr>
      </w:pPr>
      <w:r w:rsidRPr="00CF0CFB">
        <w:rPr>
          <w:lang w:eastAsia="bg-BG"/>
        </w:rPr>
        <w:t>Втори и трети триместър на бременността (вижте точка 4.4 и 4.6).</w:t>
      </w:r>
    </w:p>
    <w:p w14:paraId="58005753" w14:textId="77777777" w:rsidR="00CF0CFB" w:rsidRPr="00CF0CFB" w:rsidRDefault="00CF0CFB" w:rsidP="00CF0CFB">
      <w:pPr>
        <w:rPr>
          <w:sz w:val="24"/>
          <w:szCs w:val="24"/>
        </w:rPr>
      </w:pPr>
      <w:r w:rsidRPr="00CF0CFB">
        <w:rPr>
          <w:lang w:eastAsia="bg-BG"/>
        </w:rPr>
        <w:t xml:space="preserve">Тежко бъбречно увреждане (креатининов клирънс &lt; 30 </w:t>
      </w:r>
      <w:r w:rsidRPr="00CF0CFB">
        <w:rPr>
          <w:lang w:val="en-US"/>
        </w:rPr>
        <w:t>ml</w:t>
      </w:r>
      <w:r w:rsidRPr="00CF0CFB">
        <w:rPr>
          <w:lang w:val="ru-RU"/>
        </w:rPr>
        <w:t>/</w:t>
      </w:r>
      <w:r w:rsidRPr="00CF0CFB">
        <w:rPr>
          <w:lang w:val="en-US"/>
        </w:rPr>
        <w:t>min</w:t>
      </w:r>
      <w:r w:rsidRPr="00CF0CFB">
        <w:rPr>
          <w:lang w:val="ru-RU"/>
        </w:rPr>
        <w:t>/1</w:t>
      </w:r>
      <w:r w:rsidRPr="00CF0CFB">
        <w:rPr>
          <w:lang w:eastAsia="bg-BG"/>
        </w:rPr>
        <w:t xml:space="preserve">,73 </w:t>
      </w:r>
      <w:r w:rsidRPr="00CF0CFB">
        <w:rPr>
          <w:lang w:val="en-US"/>
        </w:rPr>
        <w:t>m</w:t>
      </w:r>
      <w:r w:rsidRPr="00CF0CFB">
        <w:rPr>
          <w:vertAlign w:val="superscript"/>
          <w:lang w:val="ru-RU"/>
        </w:rPr>
        <w:t>2</w:t>
      </w:r>
      <w:r w:rsidRPr="00CF0CFB">
        <w:rPr>
          <w:lang w:val="ru-RU"/>
        </w:rPr>
        <w:t xml:space="preserve"> </w:t>
      </w:r>
      <w:r w:rsidRPr="00CF0CFB">
        <w:rPr>
          <w:lang w:eastAsia="bg-BG"/>
        </w:rPr>
        <w:t>телесна повърхност).</w:t>
      </w:r>
    </w:p>
    <w:p w14:paraId="2022F999" w14:textId="77777777" w:rsidR="00CF0CFB" w:rsidRPr="00CF0CFB" w:rsidRDefault="00CF0CFB" w:rsidP="00CF0CFB">
      <w:pPr>
        <w:rPr>
          <w:sz w:val="24"/>
          <w:szCs w:val="24"/>
        </w:rPr>
      </w:pPr>
      <w:r w:rsidRPr="00CF0CFB">
        <w:rPr>
          <w:lang w:eastAsia="bg-BG"/>
        </w:rPr>
        <w:t>Тежко чернодробно увреждане и/или холестаза.</w:t>
      </w:r>
    </w:p>
    <w:p w14:paraId="78CE3261" w14:textId="77777777" w:rsidR="00CF0CFB" w:rsidRPr="00CF0CFB" w:rsidRDefault="00CF0CFB" w:rsidP="00CF0CFB">
      <w:pPr>
        <w:rPr>
          <w:sz w:val="24"/>
          <w:szCs w:val="24"/>
        </w:rPr>
      </w:pPr>
      <w:r w:rsidRPr="00CF0CFB">
        <w:rPr>
          <w:lang w:eastAsia="bg-BG"/>
        </w:rPr>
        <w:t>Рефрактерна хипокалиемия и хиперкалциемия.</w:t>
      </w:r>
    </w:p>
    <w:p w14:paraId="196F9E3D" w14:textId="77777777" w:rsidR="00CF0CFB" w:rsidRPr="00CF0CFB" w:rsidRDefault="00CF0CFB" w:rsidP="00CF0CFB">
      <w:pPr>
        <w:rPr>
          <w:sz w:val="24"/>
          <w:szCs w:val="24"/>
        </w:rPr>
      </w:pPr>
      <w:r w:rsidRPr="00CF0CFB">
        <w:rPr>
          <w:lang w:eastAsia="bg-BG"/>
        </w:rPr>
        <w:t>Подагра.</w:t>
      </w:r>
    </w:p>
    <w:p w14:paraId="6A164C52" w14:textId="77777777" w:rsidR="00CF0CFB" w:rsidRPr="00CF0CFB" w:rsidRDefault="00CF0CFB" w:rsidP="00CF0CFB">
      <w:pPr>
        <w:rPr>
          <w:sz w:val="24"/>
          <w:szCs w:val="24"/>
        </w:rPr>
      </w:pPr>
      <w:r w:rsidRPr="00CF0CFB">
        <w:rPr>
          <w:lang w:eastAsia="bg-BG"/>
        </w:rPr>
        <w:t xml:space="preserve">Едновременната употреба на Репидо плюс с алискирен-съдържащи продукти е противопоказана при пациенти със захарен диабет или бъбречно увреждане </w:t>
      </w:r>
      <w:r w:rsidRPr="00CF0CFB">
        <w:rPr>
          <w:lang w:val="ru-RU"/>
        </w:rPr>
        <w:t>(</w:t>
      </w:r>
      <w:r w:rsidRPr="00CF0CFB">
        <w:rPr>
          <w:lang w:val="en-US"/>
        </w:rPr>
        <w:t>GFR</w:t>
      </w:r>
      <w:r w:rsidRPr="00CF0CFB">
        <w:rPr>
          <w:lang w:val="ru-RU"/>
        </w:rPr>
        <w:t xml:space="preserve"> </w:t>
      </w:r>
      <w:r w:rsidRPr="00CF0CFB">
        <w:rPr>
          <w:lang w:eastAsia="bg-BG"/>
        </w:rPr>
        <w:t xml:space="preserve">&lt; 60 </w:t>
      </w:r>
      <w:r w:rsidRPr="00CF0CFB">
        <w:rPr>
          <w:lang w:val="en-US"/>
        </w:rPr>
        <w:t>ml</w:t>
      </w:r>
      <w:r w:rsidRPr="00CF0CFB">
        <w:rPr>
          <w:lang w:val="ru-RU"/>
        </w:rPr>
        <w:t>/</w:t>
      </w:r>
      <w:r w:rsidRPr="00CF0CFB">
        <w:rPr>
          <w:lang w:val="en-US"/>
        </w:rPr>
        <w:t>min</w:t>
      </w:r>
      <w:r w:rsidRPr="00CF0CFB">
        <w:rPr>
          <w:lang w:val="ru-RU"/>
        </w:rPr>
        <w:t>/1</w:t>
      </w:r>
      <w:r w:rsidRPr="00CF0CFB">
        <w:rPr>
          <w:lang w:eastAsia="bg-BG"/>
        </w:rPr>
        <w:t>,73 m2) (вж. точки 4.5 и 5.1).</w:t>
      </w:r>
    </w:p>
    <w:p w14:paraId="043A4339" w14:textId="4A31829A" w:rsidR="00CF0CFB" w:rsidRPr="00CF0CFB" w:rsidRDefault="00CF0CFB" w:rsidP="00CF0CFB"/>
    <w:p w14:paraId="115C9528" w14:textId="0D925C77" w:rsidR="00DF4C8E" w:rsidRDefault="002C50EE" w:rsidP="00F44498">
      <w:pPr>
        <w:pStyle w:val="Heading2"/>
      </w:pPr>
      <w:r>
        <w:t>4.4. Специални предупреждения и предпазни мерки при употреба</w:t>
      </w:r>
    </w:p>
    <w:p w14:paraId="42F1EBA4" w14:textId="686C1DD1" w:rsidR="00CF0CFB" w:rsidRDefault="00CF0CFB" w:rsidP="00CF0CFB"/>
    <w:p w14:paraId="5F469F90" w14:textId="77777777" w:rsidR="00CF0CFB" w:rsidRPr="00CF0CFB" w:rsidRDefault="00CF0CFB" w:rsidP="00CF0CFB">
      <w:pPr>
        <w:spacing w:line="240" w:lineRule="auto"/>
        <w:rPr>
          <w:rFonts w:eastAsia="Times New Roman" w:cs="Arial"/>
        </w:rPr>
      </w:pPr>
      <w:r w:rsidRPr="00CF0CFB">
        <w:rPr>
          <w:rFonts w:eastAsia="Times New Roman" w:cs="Arial"/>
          <w:i/>
          <w:iCs/>
          <w:color w:val="000000"/>
          <w:lang w:eastAsia="bg-BG"/>
        </w:rPr>
        <w:t>Двойно блокиране на ренин-ангиотензин-алдостероновата система (РААС)</w:t>
      </w:r>
    </w:p>
    <w:p w14:paraId="33642EC2" w14:textId="77777777" w:rsidR="00CF0CFB" w:rsidRPr="00CF0CFB" w:rsidRDefault="00CF0CFB" w:rsidP="00CF0CFB">
      <w:pPr>
        <w:spacing w:line="240" w:lineRule="auto"/>
        <w:rPr>
          <w:rFonts w:eastAsia="Times New Roman" w:cs="Arial"/>
        </w:rPr>
      </w:pPr>
      <w:r w:rsidRPr="00CF0CFB">
        <w:rPr>
          <w:rFonts w:eastAsia="Times New Roman" w:cs="Arial"/>
          <w:color w:val="000000"/>
          <w:lang w:eastAsia="bg-BG"/>
        </w:rPr>
        <w:t xml:space="preserve">Има данни, че едновременната употреба на АСЕ инхибитори, ангиотензин </w:t>
      </w:r>
      <w:r w:rsidRPr="00CF0CFB">
        <w:rPr>
          <w:rFonts w:eastAsia="Times New Roman" w:cs="Arial"/>
          <w:color w:val="000000"/>
          <w:lang w:val="en-US"/>
        </w:rPr>
        <w:t>II</w:t>
      </w:r>
      <w:r w:rsidRPr="00CF0CFB">
        <w:rPr>
          <w:rFonts w:eastAsia="Times New Roman" w:cs="Arial"/>
          <w:color w:val="000000"/>
          <w:lang w:eastAsia="bg-BG"/>
        </w:rPr>
        <w:t xml:space="preserve">-рецепгорни блокери или алискирен повишава риска от хипотония, хиперкалиемия и намаляване на бъбречната функция (включително остра бъбречна недостатъчност). Поради това не се препоръчва двойно блокиране на РААС чрез комбинираната употреба на АСЕ инхибитори, ангиотензин </w:t>
      </w:r>
      <w:r w:rsidRPr="00CF0CFB">
        <w:rPr>
          <w:rFonts w:eastAsia="Times New Roman" w:cs="Arial"/>
          <w:color w:val="000000"/>
          <w:lang w:val="en-US"/>
        </w:rPr>
        <w:t>II</w:t>
      </w:r>
      <w:r w:rsidRPr="00CF0CFB">
        <w:rPr>
          <w:rFonts w:eastAsia="Times New Roman" w:cs="Arial"/>
          <w:color w:val="000000"/>
          <w:lang w:eastAsia="bg-BG"/>
        </w:rPr>
        <w:t>-рецепторнн блокери или алискирен (вж. точки 4.5 и 5.1).</w:t>
      </w:r>
    </w:p>
    <w:p w14:paraId="25628672" w14:textId="77777777" w:rsidR="00CF0CFB" w:rsidRPr="00CF0CFB" w:rsidRDefault="00CF0CFB" w:rsidP="00CF0CFB">
      <w:pPr>
        <w:spacing w:line="240" w:lineRule="auto"/>
        <w:rPr>
          <w:rFonts w:eastAsia="Times New Roman" w:cs="Arial"/>
        </w:rPr>
      </w:pPr>
      <w:r w:rsidRPr="00CF0CFB">
        <w:rPr>
          <w:rFonts w:eastAsia="Times New Roman" w:cs="Arial"/>
          <w:color w:val="000000"/>
          <w:lang w:eastAsia="bg-BG"/>
        </w:rPr>
        <w:t>Ако се прецени, че терапията с двойно блокиране е абсолютно необходима, това трябва да става само под наблюдението на специалист и при често внимателно монвггориране на бъбречната функция, електролитите и кръвното налягане.</w:t>
      </w:r>
    </w:p>
    <w:p w14:paraId="4FCC7F35" w14:textId="77777777" w:rsidR="00CF0CFB" w:rsidRPr="00CF0CFB" w:rsidRDefault="00CF0CFB" w:rsidP="00CF0CFB">
      <w:pPr>
        <w:spacing w:line="240" w:lineRule="auto"/>
        <w:rPr>
          <w:rFonts w:eastAsia="Times New Roman" w:cs="Arial"/>
        </w:rPr>
      </w:pPr>
      <w:r w:rsidRPr="00CF0CFB">
        <w:rPr>
          <w:rFonts w:eastAsia="Times New Roman" w:cs="Arial"/>
          <w:color w:val="000000"/>
          <w:lang w:eastAsia="bg-BG"/>
        </w:rPr>
        <w:t xml:space="preserve">АСЕ инхибитори и ангиотензин </w:t>
      </w:r>
      <w:r w:rsidRPr="00CF0CFB">
        <w:rPr>
          <w:rFonts w:eastAsia="Times New Roman" w:cs="Arial"/>
          <w:color w:val="000000"/>
          <w:lang w:val="en-US"/>
        </w:rPr>
        <w:t>II</w:t>
      </w:r>
      <w:r w:rsidRPr="00CF0CFB">
        <w:rPr>
          <w:rFonts w:eastAsia="Times New Roman" w:cs="Arial"/>
          <w:color w:val="000000"/>
          <w:lang w:eastAsia="bg-BG"/>
        </w:rPr>
        <w:t>-рецепторни блокери не трябва да се използват едновременно при пациенти с диабетна нефропатия.</w:t>
      </w:r>
    </w:p>
    <w:p w14:paraId="148FCE9B" w14:textId="77777777" w:rsidR="00CF0CFB" w:rsidRDefault="00CF0CFB" w:rsidP="00CF0CFB">
      <w:pPr>
        <w:spacing w:line="240" w:lineRule="auto"/>
        <w:rPr>
          <w:rFonts w:eastAsia="Times New Roman" w:cs="Arial"/>
          <w:i/>
          <w:iCs/>
          <w:color w:val="000000"/>
          <w:lang w:eastAsia="bg-BG"/>
        </w:rPr>
      </w:pPr>
    </w:p>
    <w:p w14:paraId="7338EC24" w14:textId="1AADB1EF" w:rsidR="00CF0CFB" w:rsidRPr="00CF0CFB" w:rsidRDefault="00CF0CFB" w:rsidP="00CF0CFB">
      <w:pPr>
        <w:spacing w:line="240" w:lineRule="auto"/>
        <w:rPr>
          <w:rFonts w:eastAsia="Times New Roman" w:cs="Arial"/>
        </w:rPr>
      </w:pPr>
      <w:r w:rsidRPr="00CF0CFB">
        <w:rPr>
          <w:rFonts w:eastAsia="Times New Roman" w:cs="Arial"/>
          <w:i/>
          <w:iCs/>
          <w:color w:val="000000"/>
          <w:lang w:eastAsia="bg-BG"/>
        </w:rPr>
        <w:t>Бъбречно увреждане/бъбречна трансплантация</w:t>
      </w:r>
    </w:p>
    <w:p w14:paraId="69C823C0" w14:textId="77777777" w:rsidR="00CF0CFB" w:rsidRPr="00CF0CFB" w:rsidRDefault="00CF0CFB" w:rsidP="00CF0CFB">
      <w:pPr>
        <w:spacing w:line="240" w:lineRule="auto"/>
        <w:rPr>
          <w:rFonts w:eastAsia="Times New Roman" w:cs="Arial"/>
        </w:rPr>
      </w:pPr>
      <w:r w:rsidRPr="00CF0CFB">
        <w:rPr>
          <w:rFonts w:eastAsia="Times New Roman" w:cs="Arial"/>
          <w:color w:val="000000"/>
          <w:lang w:eastAsia="bg-BG"/>
        </w:rPr>
        <w:t>В тази популация се предпочитат бримковите пред</w:t>
      </w:r>
      <w:r w:rsidRPr="00CF0CFB">
        <w:rPr>
          <w:rFonts w:eastAsia="Times New Roman" w:cs="Arial"/>
          <w:color w:val="000000"/>
          <w:lang w:val="ru-RU"/>
        </w:rPr>
        <w:t xml:space="preserve"> </w:t>
      </w:r>
      <w:r w:rsidRPr="00CF0CFB">
        <w:rPr>
          <w:rFonts w:eastAsia="Times New Roman" w:cs="Arial"/>
          <w:color w:val="000000"/>
          <w:lang w:eastAsia="bg-BG"/>
        </w:rPr>
        <w:t>тиазидните диуретици. Когато Репидо плюс се използва при пациенти с нарушена бъбречна функция, се препоръчва периодичен контрол на калия, креатинина и пикочната киселина.</w:t>
      </w:r>
    </w:p>
    <w:p w14:paraId="3E107490" w14:textId="77777777" w:rsidR="00CF0CFB" w:rsidRPr="00CF0CFB" w:rsidRDefault="00CF0CFB" w:rsidP="00CF0CFB">
      <w:pPr>
        <w:spacing w:line="240" w:lineRule="auto"/>
        <w:rPr>
          <w:rFonts w:eastAsia="Times New Roman" w:cs="Arial"/>
        </w:rPr>
      </w:pPr>
      <w:r w:rsidRPr="00CF0CFB">
        <w:rPr>
          <w:rFonts w:eastAsia="Times New Roman" w:cs="Arial"/>
          <w:color w:val="000000"/>
          <w:lang w:eastAsia="bg-BG"/>
        </w:rPr>
        <w:t>Няма опит по отношение на приложението па Репидо плюс при пациенти скоро след бъбречна трансплантация.</w:t>
      </w:r>
    </w:p>
    <w:p w14:paraId="4FD1D744" w14:textId="77777777" w:rsidR="00CF0CFB" w:rsidRDefault="00CF0CFB" w:rsidP="00CF0CFB">
      <w:pPr>
        <w:spacing w:line="240" w:lineRule="auto"/>
        <w:rPr>
          <w:rFonts w:eastAsia="Times New Roman" w:cs="Arial"/>
          <w:i/>
          <w:iCs/>
          <w:color w:val="000000"/>
          <w:lang w:eastAsia="bg-BG"/>
        </w:rPr>
      </w:pPr>
    </w:p>
    <w:p w14:paraId="18547CCD" w14:textId="6BF5CD4C" w:rsidR="00CF0CFB" w:rsidRPr="00CF0CFB" w:rsidRDefault="00CF0CFB" w:rsidP="00CF0CFB">
      <w:pPr>
        <w:spacing w:line="240" w:lineRule="auto"/>
        <w:rPr>
          <w:rFonts w:eastAsia="Times New Roman" w:cs="Arial"/>
        </w:rPr>
      </w:pPr>
      <w:r w:rsidRPr="00CF0CFB">
        <w:rPr>
          <w:rFonts w:eastAsia="Times New Roman" w:cs="Arial"/>
          <w:i/>
          <w:iCs/>
          <w:color w:val="000000"/>
          <w:lang w:eastAsia="bg-BG"/>
        </w:rPr>
        <w:t>Стеноза на бъбречната артерия</w:t>
      </w:r>
    </w:p>
    <w:p w14:paraId="7C4478B2" w14:textId="77777777" w:rsidR="00CF0CFB" w:rsidRPr="00CF0CFB" w:rsidRDefault="00CF0CFB" w:rsidP="00CF0CFB">
      <w:pPr>
        <w:spacing w:line="240" w:lineRule="auto"/>
        <w:rPr>
          <w:rFonts w:eastAsia="Times New Roman" w:cs="Arial"/>
        </w:rPr>
      </w:pPr>
      <w:r w:rsidRPr="00CF0CFB">
        <w:rPr>
          <w:rFonts w:eastAsia="Times New Roman" w:cs="Arial"/>
          <w:color w:val="000000"/>
          <w:lang w:eastAsia="bg-BG"/>
        </w:rPr>
        <w:t xml:space="preserve">Лекарствени продукти, които повлияват ренин-ангиотензин-алдостероновата система, включително и ангиотензин </w:t>
      </w:r>
      <w:r w:rsidRPr="00CF0CFB">
        <w:rPr>
          <w:rFonts w:eastAsia="Times New Roman" w:cs="Arial"/>
          <w:color w:val="000000"/>
          <w:lang w:val="en-US"/>
        </w:rPr>
        <w:t>II</w:t>
      </w:r>
      <w:r w:rsidRPr="00CF0CFB">
        <w:rPr>
          <w:rFonts w:eastAsia="Times New Roman" w:cs="Arial"/>
          <w:color w:val="000000"/>
          <w:lang w:eastAsia="bg-BG"/>
        </w:rPr>
        <w:t xml:space="preserve"> рецепторните антагонисти (А</w:t>
      </w:r>
      <w:r w:rsidRPr="00CF0CFB">
        <w:rPr>
          <w:rFonts w:eastAsia="Times New Roman" w:cs="Arial"/>
          <w:color w:val="000000"/>
          <w:lang w:val="en-US"/>
        </w:rPr>
        <w:t>II</w:t>
      </w:r>
      <w:r w:rsidRPr="00CF0CFB">
        <w:rPr>
          <w:rFonts w:eastAsia="Times New Roman" w:cs="Arial"/>
          <w:color w:val="000000"/>
          <w:lang w:eastAsia="bg-BG"/>
        </w:rPr>
        <w:t>РА), могат да предизвикат повишаване на</w:t>
      </w:r>
      <w:r w:rsidRPr="00CF0CFB">
        <w:rPr>
          <w:rFonts w:eastAsia="Times New Roman" w:cs="Arial"/>
          <w:color w:val="000000"/>
          <w:lang w:val="ru-RU"/>
        </w:rPr>
        <w:t xml:space="preserve"> </w:t>
      </w:r>
      <w:r w:rsidRPr="00CF0CFB">
        <w:rPr>
          <w:rFonts w:eastAsia="Times New Roman" w:cs="Arial"/>
          <w:color w:val="000000"/>
          <w:lang w:eastAsia="bg-BG"/>
        </w:rPr>
        <w:t>уреята</w:t>
      </w:r>
      <w:r w:rsidRPr="00CF0CFB">
        <w:rPr>
          <w:rFonts w:eastAsia="Times New Roman" w:cs="Arial"/>
          <w:color w:val="000000"/>
          <w:lang w:val="ru-RU"/>
        </w:rPr>
        <w:t xml:space="preserve"> </w:t>
      </w:r>
      <w:r w:rsidRPr="00CF0CFB">
        <w:rPr>
          <w:rFonts w:eastAsia="Times New Roman" w:cs="Arial"/>
          <w:color w:val="000000"/>
          <w:lang w:eastAsia="bg-BG"/>
        </w:rPr>
        <w:t>в кръвта и</w:t>
      </w:r>
      <w:r w:rsidRPr="00CF0CFB">
        <w:rPr>
          <w:rFonts w:eastAsia="Times New Roman" w:cs="Arial"/>
          <w:color w:val="000000"/>
          <w:lang w:val="ru-RU"/>
        </w:rPr>
        <w:t xml:space="preserve"> </w:t>
      </w:r>
      <w:r w:rsidRPr="00CF0CFB">
        <w:rPr>
          <w:rFonts w:eastAsia="Times New Roman" w:cs="Arial"/>
          <w:color w:val="000000"/>
          <w:lang w:eastAsia="bg-BG"/>
        </w:rPr>
        <w:t>на креатинина в серума.</w:t>
      </w:r>
    </w:p>
    <w:p w14:paraId="6078C025" w14:textId="77777777" w:rsidR="00CF0CFB" w:rsidRDefault="00CF0CFB" w:rsidP="00CF0CFB">
      <w:pPr>
        <w:spacing w:line="240" w:lineRule="auto"/>
        <w:rPr>
          <w:rFonts w:eastAsia="Times New Roman" w:cs="Arial"/>
          <w:i/>
          <w:iCs/>
          <w:color w:val="000000"/>
          <w:lang w:eastAsia="bg-BG"/>
        </w:rPr>
      </w:pPr>
    </w:p>
    <w:p w14:paraId="69D735A7" w14:textId="403C32E1" w:rsidR="00CF0CFB" w:rsidRPr="00CF0CFB" w:rsidRDefault="00CF0CFB" w:rsidP="00CF0CFB">
      <w:pPr>
        <w:spacing w:line="240" w:lineRule="auto"/>
        <w:rPr>
          <w:rFonts w:eastAsia="Times New Roman" w:cs="Arial"/>
        </w:rPr>
      </w:pPr>
      <w:r w:rsidRPr="00CF0CFB">
        <w:rPr>
          <w:rFonts w:eastAsia="Times New Roman" w:cs="Arial"/>
          <w:i/>
          <w:iCs/>
          <w:color w:val="000000"/>
          <w:lang w:eastAsia="bg-BG"/>
        </w:rPr>
        <w:t>Вътресъдово обемно изчерпване</w:t>
      </w:r>
    </w:p>
    <w:p w14:paraId="78CDB8DE" w14:textId="77777777" w:rsidR="00CF0CFB" w:rsidRPr="00CF0CFB" w:rsidRDefault="00CF0CFB" w:rsidP="00CF0CFB">
      <w:pPr>
        <w:rPr>
          <w:rFonts w:eastAsia="Times New Roman" w:cs="Arial"/>
        </w:rPr>
      </w:pPr>
      <w:r w:rsidRPr="00CF0CFB">
        <w:rPr>
          <w:rFonts w:eastAsia="Times New Roman" w:cs="Arial"/>
          <w:color w:val="000000"/>
          <w:lang w:eastAsia="bg-BG"/>
        </w:rPr>
        <w:t>При пациенти с вътресъдово обемно и/или натриево изчерпване може да се развие симптоматична артериална хипотония, какваго е описана при приложение на други средства, повлияващи ренин-ангиотензин-алдостероновата система. Ето защо не се препоръчва употребата на Репидо Плюс, докато това състояние не се овладее.</w:t>
      </w:r>
    </w:p>
    <w:p w14:paraId="6B2FADF0" w14:textId="77777777" w:rsidR="00CF0CFB" w:rsidRDefault="00CF0CFB" w:rsidP="00CF0CFB">
      <w:pPr>
        <w:spacing w:line="240" w:lineRule="auto"/>
        <w:rPr>
          <w:rFonts w:eastAsia="Times New Roman" w:cs="Arial"/>
          <w:i/>
          <w:iCs/>
          <w:color w:val="000000"/>
          <w:lang w:eastAsia="bg-BG"/>
        </w:rPr>
      </w:pPr>
    </w:p>
    <w:p w14:paraId="073A25FF" w14:textId="49A8C8E4" w:rsidR="00CF0CFB" w:rsidRPr="00CF0CFB" w:rsidRDefault="00CF0CFB" w:rsidP="00CF0CFB">
      <w:pPr>
        <w:spacing w:line="240" w:lineRule="auto"/>
        <w:rPr>
          <w:rFonts w:eastAsia="Times New Roman" w:cs="Arial"/>
        </w:rPr>
      </w:pPr>
      <w:r w:rsidRPr="00CF0CFB">
        <w:rPr>
          <w:rFonts w:eastAsia="Times New Roman" w:cs="Arial"/>
          <w:i/>
          <w:iCs/>
          <w:color w:val="000000"/>
          <w:lang w:eastAsia="bg-BG"/>
        </w:rPr>
        <w:t>Анестезия и операции</w:t>
      </w:r>
    </w:p>
    <w:p w14:paraId="5CD0592A" w14:textId="77777777" w:rsidR="00CF0CFB" w:rsidRPr="00CF0CFB" w:rsidRDefault="00CF0CFB" w:rsidP="00CF0CFB">
      <w:pPr>
        <w:spacing w:line="240" w:lineRule="auto"/>
        <w:rPr>
          <w:rFonts w:eastAsia="Times New Roman" w:cs="Arial"/>
        </w:rPr>
      </w:pPr>
      <w:r w:rsidRPr="00CF0CFB">
        <w:rPr>
          <w:rFonts w:eastAsia="Times New Roman" w:cs="Arial"/>
          <w:color w:val="000000"/>
          <w:lang w:eastAsia="bg-BG"/>
        </w:rPr>
        <w:t>При пациенти, лекувани с А</w:t>
      </w:r>
      <w:r w:rsidRPr="00CF0CFB">
        <w:rPr>
          <w:rFonts w:eastAsia="Times New Roman" w:cs="Arial"/>
          <w:color w:val="000000"/>
          <w:lang w:val="en-US"/>
        </w:rPr>
        <w:t>II</w:t>
      </w:r>
      <w:r w:rsidRPr="00CF0CFB">
        <w:rPr>
          <w:rFonts w:eastAsia="Times New Roman" w:cs="Arial"/>
          <w:color w:val="000000"/>
          <w:lang w:eastAsia="bg-BG"/>
        </w:rPr>
        <w:t>РА по време на анестезия и операции може да се развие хипотония в резултат на блокадата на ренин-ангиотензин-алдостероновата система. Много рядко хипотонията може да е толкова тежка, че да наложи интравенозни вливания и/или приложение на вазоцресори.</w:t>
      </w:r>
    </w:p>
    <w:p w14:paraId="6A408E87" w14:textId="77777777" w:rsidR="00CF0CFB" w:rsidRDefault="00CF0CFB" w:rsidP="00CF0CFB">
      <w:pPr>
        <w:spacing w:line="240" w:lineRule="auto"/>
        <w:rPr>
          <w:rFonts w:eastAsia="Times New Roman" w:cs="Arial"/>
          <w:i/>
          <w:iCs/>
          <w:color w:val="000000"/>
          <w:lang w:eastAsia="bg-BG"/>
        </w:rPr>
      </w:pPr>
    </w:p>
    <w:p w14:paraId="3FF97C92" w14:textId="347AE8C5" w:rsidR="00CF0CFB" w:rsidRPr="00CF0CFB" w:rsidRDefault="00CF0CFB" w:rsidP="00CF0CFB">
      <w:pPr>
        <w:spacing w:line="240" w:lineRule="auto"/>
        <w:rPr>
          <w:rFonts w:eastAsia="Times New Roman" w:cs="Arial"/>
        </w:rPr>
      </w:pPr>
      <w:r w:rsidRPr="00CF0CFB">
        <w:rPr>
          <w:rFonts w:eastAsia="Times New Roman" w:cs="Arial"/>
          <w:i/>
          <w:iCs/>
          <w:color w:val="000000"/>
          <w:lang w:eastAsia="bg-BG"/>
        </w:rPr>
        <w:t>Чернодробно увреждане</w:t>
      </w:r>
    </w:p>
    <w:p w14:paraId="612CBE7C" w14:textId="77777777" w:rsidR="00CF0CFB" w:rsidRPr="00CF0CFB" w:rsidRDefault="00CF0CFB" w:rsidP="00CF0CFB">
      <w:pPr>
        <w:spacing w:line="240" w:lineRule="auto"/>
        <w:rPr>
          <w:rFonts w:eastAsia="Times New Roman" w:cs="Arial"/>
        </w:rPr>
      </w:pPr>
      <w:r w:rsidRPr="00CF0CFB">
        <w:rPr>
          <w:rFonts w:eastAsia="Times New Roman" w:cs="Arial"/>
          <w:color w:val="000000"/>
          <w:lang w:eastAsia="bg-BG"/>
        </w:rPr>
        <w:t>Тиазидите трябва да се използвате повишено внимание при пациенти е нарушена чернодробна функция или прогресиращо чернодробно заболяване, понеже незначителни промени във водно- електролитното равновесие може да провокират настъпването на хепатална кома. Липсва клиничен опит с Репидо Плюс при пациенти с чернодробно увреждане.</w:t>
      </w:r>
    </w:p>
    <w:p w14:paraId="2DFF665A" w14:textId="77777777" w:rsidR="00CF0CFB" w:rsidRDefault="00CF0CFB" w:rsidP="00CF0CFB">
      <w:pPr>
        <w:spacing w:line="240" w:lineRule="auto"/>
        <w:rPr>
          <w:rFonts w:eastAsia="Times New Roman" w:cs="Arial"/>
          <w:i/>
          <w:iCs/>
          <w:color w:val="000000"/>
          <w:lang w:eastAsia="bg-BG"/>
        </w:rPr>
      </w:pPr>
    </w:p>
    <w:p w14:paraId="0C9485E6" w14:textId="1F30CB99" w:rsidR="00CF0CFB" w:rsidRPr="00CF0CFB" w:rsidRDefault="00CF0CFB" w:rsidP="00CF0CFB">
      <w:pPr>
        <w:spacing w:line="240" w:lineRule="auto"/>
        <w:rPr>
          <w:rFonts w:eastAsia="Times New Roman" w:cs="Arial"/>
        </w:rPr>
      </w:pPr>
      <w:r w:rsidRPr="00CF0CFB">
        <w:rPr>
          <w:rFonts w:eastAsia="Times New Roman" w:cs="Arial"/>
          <w:i/>
          <w:iCs/>
          <w:color w:val="000000"/>
          <w:lang w:eastAsia="bg-BG"/>
        </w:rPr>
        <w:t xml:space="preserve">Аортна и митрата стеноза (обструктивна хипертрофична кардиомиопатия) </w:t>
      </w:r>
      <w:r w:rsidRPr="00CF0CFB">
        <w:rPr>
          <w:rFonts w:eastAsia="Times New Roman" w:cs="Arial"/>
          <w:color w:val="000000"/>
          <w:lang w:eastAsia="bg-BG"/>
        </w:rPr>
        <w:t>Както и при други вазодилататори, при пациенти, страдащи от хемодинамично значима аортна или митрална стеноза, или от обструктивна хипертрофична кардиомиопатия, се препоръчва да се подхожда с повишено внимание.</w:t>
      </w:r>
    </w:p>
    <w:p w14:paraId="228DCA78" w14:textId="77777777" w:rsidR="00CF0CFB" w:rsidRDefault="00CF0CFB" w:rsidP="00CF0CFB">
      <w:pPr>
        <w:spacing w:line="240" w:lineRule="auto"/>
        <w:rPr>
          <w:rFonts w:eastAsia="Times New Roman" w:cs="Arial"/>
          <w:i/>
          <w:iCs/>
          <w:color w:val="000000"/>
          <w:lang w:eastAsia="bg-BG"/>
        </w:rPr>
      </w:pPr>
    </w:p>
    <w:p w14:paraId="38E17CC8" w14:textId="3A066642" w:rsidR="00CF0CFB" w:rsidRPr="00CF0CFB" w:rsidRDefault="00CF0CFB" w:rsidP="00CF0CFB">
      <w:pPr>
        <w:spacing w:line="240" w:lineRule="auto"/>
        <w:rPr>
          <w:rFonts w:eastAsia="Times New Roman" w:cs="Arial"/>
        </w:rPr>
      </w:pPr>
      <w:r w:rsidRPr="00CF0CFB">
        <w:rPr>
          <w:rFonts w:eastAsia="Times New Roman" w:cs="Arial"/>
          <w:i/>
          <w:iCs/>
          <w:color w:val="000000"/>
          <w:lang w:eastAsia="bg-BG"/>
        </w:rPr>
        <w:t>Първичен хипералдостероиизъм</w:t>
      </w:r>
    </w:p>
    <w:p w14:paraId="3D7CCF49" w14:textId="77777777" w:rsidR="00CF0CFB" w:rsidRPr="00CF0CFB" w:rsidRDefault="00CF0CFB" w:rsidP="00CF0CFB">
      <w:pPr>
        <w:spacing w:line="240" w:lineRule="auto"/>
        <w:rPr>
          <w:rFonts w:eastAsia="Times New Roman" w:cs="Arial"/>
        </w:rPr>
      </w:pPr>
      <w:r w:rsidRPr="00CF0CFB">
        <w:rPr>
          <w:rFonts w:eastAsia="Times New Roman" w:cs="Arial"/>
          <w:color w:val="000000"/>
          <w:lang w:eastAsia="bg-BG"/>
        </w:rPr>
        <w:t>Като цяло пациентите с първичен хипералдостероиизъм не отговарят на лечението с антихипертензивнн средства, повлияващи ренин-ангиотензин-алдостероновата система. Ето защо не се препоръчва употребата на Репидо плюс в тази популация.</w:t>
      </w:r>
    </w:p>
    <w:p w14:paraId="0B9E6EF1" w14:textId="77777777" w:rsidR="00CF0CFB" w:rsidRDefault="00CF0CFB" w:rsidP="00CF0CFB">
      <w:pPr>
        <w:spacing w:line="240" w:lineRule="auto"/>
        <w:rPr>
          <w:rFonts w:eastAsia="Times New Roman" w:cs="Arial"/>
          <w:i/>
          <w:iCs/>
          <w:color w:val="000000"/>
          <w:lang w:eastAsia="bg-BG"/>
        </w:rPr>
      </w:pPr>
    </w:p>
    <w:p w14:paraId="7828FA0F" w14:textId="349D24ED" w:rsidR="00CF0CFB" w:rsidRPr="00CF0CFB" w:rsidRDefault="00CF0CFB" w:rsidP="00CF0CFB">
      <w:pPr>
        <w:spacing w:line="240" w:lineRule="auto"/>
        <w:rPr>
          <w:rFonts w:eastAsia="Times New Roman" w:cs="Arial"/>
        </w:rPr>
      </w:pPr>
      <w:r w:rsidRPr="00CF0CFB">
        <w:rPr>
          <w:rFonts w:eastAsia="Times New Roman" w:cs="Arial"/>
          <w:i/>
          <w:iCs/>
          <w:color w:val="000000"/>
          <w:lang w:eastAsia="bg-BG"/>
        </w:rPr>
        <w:t>Електролитен дисбаланс</w:t>
      </w:r>
    </w:p>
    <w:p w14:paraId="570E09C8" w14:textId="77777777" w:rsidR="00CF0CFB" w:rsidRPr="00CF0CFB" w:rsidRDefault="00CF0CFB" w:rsidP="00CF0CFB">
      <w:pPr>
        <w:spacing w:line="240" w:lineRule="auto"/>
        <w:rPr>
          <w:rFonts w:eastAsia="Times New Roman" w:cs="Arial"/>
        </w:rPr>
      </w:pPr>
      <w:r w:rsidRPr="00CF0CFB">
        <w:rPr>
          <w:rFonts w:eastAsia="Times New Roman" w:cs="Arial"/>
          <w:color w:val="000000"/>
          <w:lang w:eastAsia="bg-BG"/>
        </w:rPr>
        <w:t>Серумните електролити трябва да се изследват периодично, на подходящи интервали. Тиазидите, включително и хидрохлоротиазид, могат да предизвикат развитие на електролитни нарушения (хиперкалциемия, хипокалиемия, хипонатриемия, хипомагнезиемия и хипохлоремична алкалоза). Тиазидните диуретици могат да намалят уринната екскреция на калций и да предизвикат периодични леки повишавания на концентрацията на калция в серума. Изразената хиперкалциемия може да е белег на неизявен хиперпаратиреоидизъм. Преди изследване на функцията на околощитовидните жлези приемът на тиазиди трябва да се спре.</w:t>
      </w:r>
    </w:p>
    <w:p w14:paraId="6669A6AF" w14:textId="77777777" w:rsidR="00CF0CFB" w:rsidRDefault="00CF0CFB" w:rsidP="00CF0CFB">
      <w:pPr>
        <w:spacing w:line="240" w:lineRule="auto"/>
        <w:rPr>
          <w:rFonts w:eastAsia="Times New Roman" w:cs="Arial"/>
          <w:color w:val="000000"/>
          <w:lang w:eastAsia="bg-BG"/>
        </w:rPr>
      </w:pPr>
    </w:p>
    <w:p w14:paraId="509A3311" w14:textId="5812DB08" w:rsidR="00CF0CFB" w:rsidRPr="00CF0CFB" w:rsidRDefault="00CF0CFB" w:rsidP="00CF0CFB">
      <w:pPr>
        <w:spacing w:line="240" w:lineRule="auto"/>
        <w:rPr>
          <w:rFonts w:eastAsia="Times New Roman" w:cs="Arial"/>
        </w:rPr>
      </w:pPr>
      <w:r w:rsidRPr="00CF0CFB">
        <w:rPr>
          <w:rFonts w:eastAsia="Times New Roman" w:cs="Arial"/>
          <w:color w:val="000000"/>
          <w:lang w:eastAsia="bg-BG"/>
        </w:rPr>
        <w:t xml:space="preserve">Хидрохлоротиазид повишава дозозависимо уринната екскреция на калий, което може да доведе до развитие на хипокалиемия. Изглежда, че този ефект на хидрохлоротиазид е по-слабо изразен при прием в комбинация е кандесартан цилексетил. Рискът за развитие па хипокалиемия може да е повишен при пациент с чернодробна цироза, при пациенти е по-изразена диуреза, при пациенти с недостатъчен перорален прием на електролити и </w:t>
      </w:r>
      <w:r w:rsidRPr="00CF0CFB">
        <w:rPr>
          <w:rFonts w:eastAsia="Times New Roman" w:cs="Arial"/>
          <w:color w:val="000000"/>
          <w:lang w:eastAsia="bg-BG"/>
        </w:rPr>
        <w:lastRenderedPageBreak/>
        <w:t>при пациенти на съпътстващо лечение с кортикостероиди или адренокортикотропен хормон (АСТН).</w:t>
      </w:r>
    </w:p>
    <w:p w14:paraId="46A60537" w14:textId="77777777" w:rsidR="00CF0CFB" w:rsidRPr="00CF0CFB" w:rsidRDefault="00CF0CFB" w:rsidP="00CF0CFB">
      <w:pPr>
        <w:spacing w:line="240" w:lineRule="auto"/>
        <w:rPr>
          <w:rFonts w:eastAsia="Times New Roman" w:cs="Arial"/>
        </w:rPr>
      </w:pPr>
      <w:r w:rsidRPr="00CF0CFB">
        <w:rPr>
          <w:rFonts w:eastAsia="Times New Roman" w:cs="Arial"/>
          <w:color w:val="000000"/>
          <w:lang w:eastAsia="bg-BG"/>
        </w:rPr>
        <w:t>Лечението с кандесартан цилексетил може да предизвика развитие на хиперкалиемия, особено при пациенти със сърдечно и/или бъбречно увреждане. Едновременното приложение на Репидо Плюс с калий-съхраняващи диуретици, калиеви препарати или заместители на готварската сол, както и с други лекарствени продукти, които биха могли да повишат серумната концентрация па калий (напр. хепарин натрий), може да доведе до повишаване на калия в серума. При нужда серумната концентрация на калий трябва да се контролира. Тиазидите повишават уринната екскреция на магнезий, което може да доведе до развитие на хипомагнезиемия.</w:t>
      </w:r>
    </w:p>
    <w:p w14:paraId="09653CE1" w14:textId="77777777" w:rsidR="00CF0CFB" w:rsidRDefault="00CF0CFB" w:rsidP="00CF0CFB">
      <w:pPr>
        <w:spacing w:line="240" w:lineRule="auto"/>
        <w:rPr>
          <w:rFonts w:eastAsia="Times New Roman" w:cs="Arial"/>
          <w:i/>
          <w:iCs/>
          <w:color w:val="000000"/>
          <w:lang w:eastAsia="bg-BG"/>
        </w:rPr>
      </w:pPr>
    </w:p>
    <w:p w14:paraId="6A22FA5A" w14:textId="7E2C6D2C" w:rsidR="00CF0CFB" w:rsidRPr="00CF0CFB" w:rsidRDefault="00CF0CFB" w:rsidP="00CF0CFB">
      <w:pPr>
        <w:spacing w:line="240" w:lineRule="auto"/>
        <w:rPr>
          <w:rFonts w:eastAsia="Times New Roman" w:cs="Arial"/>
        </w:rPr>
      </w:pPr>
      <w:r w:rsidRPr="00CF0CFB">
        <w:rPr>
          <w:rFonts w:eastAsia="Times New Roman" w:cs="Arial"/>
          <w:i/>
          <w:iCs/>
          <w:color w:val="000000"/>
          <w:lang w:eastAsia="bg-BG"/>
        </w:rPr>
        <w:t>Метаболити и ендокринни ефекти</w:t>
      </w:r>
    </w:p>
    <w:p w14:paraId="6379504A" w14:textId="77777777" w:rsidR="00CF0CFB" w:rsidRPr="00CF0CFB" w:rsidRDefault="00CF0CFB" w:rsidP="00CF0CFB">
      <w:pPr>
        <w:rPr>
          <w:rFonts w:eastAsia="Times New Roman" w:cs="Arial"/>
        </w:rPr>
      </w:pPr>
      <w:r w:rsidRPr="00CF0CFB">
        <w:rPr>
          <w:rFonts w:eastAsia="Times New Roman" w:cs="Arial"/>
          <w:color w:val="000000"/>
          <w:lang w:eastAsia="bg-BG"/>
        </w:rPr>
        <w:t>Лечението с тиазидни диуретици може да доведе до нарушаване на глюкозния толеранс. Може наложи корекция на дозата на антидиабетните лекарствени продукти, включително и на</w:t>
      </w:r>
      <w:r w:rsidRPr="00CF0CFB">
        <w:rPr>
          <w:rFonts w:eastAsia="Times New Roman" w:cs="Arial"/>
          <w:color w:val="000000"/>
          <w:lang w:val="ru-RU" w:eastAsia="bg-BG"/>
        </w:rPr>
        <w:t xml:space="preserve"> </w:t>
      </w:r>
      <w:r w:rsidRPr="00CF0CFB">
        <w:rPr>
          <w:rFonts w:eastAsia="Times New Roman" w:cs="Arial"/>
          <w:color w:val="000000"/>
          <w:lang w:eastAsia="bg-BG"/>
        </w:rPr>
        <w:t>инсулина. По време на лечение е тиазидни диуретици може да се манифестира латентен диабет. Наблюдавана е връзка на лечението с тиазид ни диуретици с повишаване на концентрацията на холестерола и триглицеридите. При дозите, които се съдържат в Репидо Плюс, са наблюдавани само минимални ефекти. Тиазидните диуретици предизвикват повишаване на концентрацията на пикочната киселина в серума и при предразположени пациенти може да провокират развитието на подагра</w:t>
      </w:r>
    </w:p>
    <w:p w14:paraId="2C826ED5" w14:textId="77777777" w:rsidR="00CF0CFB" w:rsidRDefault="00CF0CFB" w:rsidP="00CF0CFB">
      <w:pPr>
        <w:spacing w:line="240" w:lineRule="auto"/>
        <w:rPr>
          <w:rFonts w:eastAsia="Times New Roman" w:cs="Arial"/>
          <w:i/>
          <w:iCs/>
          <w:color w:val="000000"/>
          <w:lang w:eastAsia="bg-BG"/>
        </w:rPr>
      </w:pPr>
    </w:p>
    <w:p w14:paraId="400A0D4F" w14:textId="5C14FEDE" w:rsidR="00CF0CFB" w:rsidRPr="00CF0CFB" w:rsidRDefault="00CF0CFB" w:rsidP="00CF0CFB">
      <w:pPr>
        <w:spacing w:line="240" w:lineRule="auto"/>
        <w:rPr>
          <w:rFonts w:eastAsia="Times New Roman" w:cs="Arial"/>
        </w:rPr>
      </w:pPr>
      <w:r w:rsidRPr="00CF0CFB">
        <w:rPr>
          <w:rFonts w:eastAsia="Times New Roman" w:cs="Arial"/>
          <w:i/>
          <w:iCs/>
          <w:color w:val="000000"/>
          <w:lang w:eastAsia="bg-BG"/>
        </w:rPr>
        <w:t>Фоточувствителност</w:t>
      </w:r>
    </w:p>
    <w:p w14:paraId="5CAD7527" w14:textId="77777777" w:rsidR="00CF0CFB" w:rsidRPr="00CF0CFB" w:rsidRDefault="00CF0CFB" w:rsidP="00CF0CFB">
      <w:pPr>
        <w:spacing w:line="240" w:lineRule="auto"/>
        <w:rPr>
          <w:rFonts w:eastAsia="Times New Roman" w:cs="Arial"/>
        </w:rPr>
      </w:pPr>
      <w:r w:rsidRPr="00CF0CFB">
        <w:rPr>
          <w:rFonts w:eastAsia="Times New Roman" w:cs="Arial"/>
          <w:color w:val="000000"/>
          <w:lang w:eastAsia="bg-BG"/>
        </w:rPr>
        <w:t xml:space="preserve">Има съобщения за реакции на фоточувствителност по време на лечение с тиазидни диуретици (вж. точка 4.8). Ако се развие реакция на фоточувствителност, се препоръчвала се спре лечението. Ако възобновяването на лечението е крайно необходимо, се препоръчва кожните зони, изложени на слънчеви лъчи или на изкуствен </w:t>
      </w:r>
      <w:r w:rsidRPr="00CF0CFB">
        <w:rPr>
          <w:rFonts w:eastAsia="Times New Roman" w:cs="Arial"/>
          <w:color w:val="000000"/>
          <w:lang w:val="en-US"/>
        </w:rPr>
        <w:t>UV</w:t>
      </w:r>
      <w:r w:rsidRPr="00CF0CFB">
        <w:rPr>
          <w:rFonts w:eastAsia="Times New Roman" w:cs="Arial"/>
          <w:color w:val="000000"/>
          <w:lang w:val="ru-RU"/>
        </w:rPr>
        <w:t>-</w:t>
      </w:r>
      <w:r w:rsidRPr="00CF0CFB">
        <w:rPr>
          <w:rFonts w:eastAsia="Times New Roman" w:cs="Arial"/>
          <w:color w:val="000000"/>
          <w:lang w:eastAsia="bg-BG"/>
        </w:rPr>
        <w:t>А радиация, да се защитават.</w:t>
      </w:r>
    </w:p>
    <w:p w14:paraId="6C104939" w14:textId="77777777" w:rsidR="00CF0CFB" w:rsidRDefault="00CF0CFB" w:rsidP="00CF0CFB">
      <w:pPr>
        <w:spacing w:line="240" w:lineRule="auto"/>
        <w:rPr>
          <w:rFonts w:eastAsia="Times New Roman" w:cs="Arial"/>
          <w:i/>
          <w:iCs/>
          <w:color w:val="000000"/>
          <w:lang w:eastAsia="bg-BG"/>
        </w:rPr>
      </w:pPr>
    </w:p>
    <w:p w14:paraId="057430C3" w14:textId="22E2A63D" w:rsidR="00CF0CFB" w:rsidRPr="00CF0CFB" w:rsidRDefault="00CF0CFB" w:rsidP="00CF0CFB">
      <w:pPr>
        <w:spacing w:line="240" w:lineRule="auto"/>
        <w:rPr>
          <w:rFonts w:eastAsia="Times New Roman" w:cs="Arial"/>
        </w:rPr>
      </w:pPr>
      <w:r w:rsidRPr="00CF0CFB">
        <w:rPr>
          <w:rFonts w:eastAsia="Times New Roman" w:cs="Arial"/>
          <w:i/>
          <w:iCs/>
          <w:color w:val="000000"/>
          <w:lang w:eastAsia="bg-BG"/>
        </w:rPr>
        <w:t>Общи</w:t>
      </w:r>
    </w:p>
    <w:p w14:paraId="557F6947" w14:textId="77777777" w:rsidR="00CF0CFB" w:rsidRPr="00CF0CFB" w:rsidRDefault="00CF0CFB" w:rsidP="00CF0CFB">
      <w:pPr>
        <w:spacing w:line="240" w:lineRule="auto"/>
        <w:rPr>
          <w:rFonts w:eastAsia="Times New Roman" w:cs="Arial"/>
        </w:rPr>
      </w:pPr>
      <w:r w:rsidRPr="00CF0CFB">
        <w:rPr>
          <w:rFonts w:eastAsia="Times New Roman" w:cs="Arial"/>
          <w:color w:val="000000"/>
          <w:lang w:eastAsia="bg-BG"/>
        </w:rPr>
        <w:t xml:space="preserve">При пациенти, чийто съдов тонус и бъбречна функция зависят главно от активността на ренин- ангиотензин-алдостероновата система (напр. пациенти с тежка застойна сърдечна недостатъчност или подлежащо бъбречно заболяване, включително стеноза на бъбречната артерия), има съобщения, че лечението с лекарствени продукти, които повлияват тази система включително </w:t>
      </w:r>
      <w:r w:rsidRPr="00CF0CFB">
        <w:rPr>
          <w:rFonts w:eastAsia="Times New Roman" w:cs="Arial"/>
          <w:color w:val="000000"/>
          <w:lang w:val="en-US"/>
        </w:rPr>
        <w:t>AIIPA</w:t>
      </w:r>
      <w:r w:rsidRPr="00CF0CFB">
        <w:rPr>
          <w:rFonts w:eastAsia="Times New Roman" w:cs="Arial"/>
          <w:color w:val="000000"/>
          <w:lang w:val="ru-RU"/>
        </w:rPr>
        <w:t xml:space="preserve">, </w:t>
      </w:r>
      <w:r w:rsidRPr="00CF0CFB">
        <w:rPr>
          <w:rFonts w:eastAsia="Times New Roman" w:cs="Arial"/>
          <w:color w:val="000000"/>
          <w:lang w:eastAsia="bg-BG"/>
        </w:rPr>
        <w:t>е свързано с остра хипотония, азотемия, олигурия или, рядко, остра бъбречна недостатъчност. Както при всички антихипертензивни средства, голямото понижаване на артериалното налягане при пациенти с исхемична болест на сърцето или атеросклеротична мозъчно-съдова болест може да доведе до развитие на инфаркт на миокарда или инсулт. Реакции на свръхчувствителност към хидрохлоротиазид могат да се развият както при пациенти с анамнеза за алергия или бронхиална астма, така и при пациенти без такава анамнеза, но при първите вероятността е по-голяма.</w:t>
      </w:r>
    </w:p>
    <w:p w14:paraId="13F6AABA" w14:textId="77777777" w:rsidR="00CF0CFB" w:rsidRPr="00CF0CFB" w:rsidRDefault="00CF0CFB" w:rsidP="00CF0CFB">
      <w:pPr>
        <w:spacing w:line="240" w:lineRule="auto"/>
        <w:rPr>
          <w:rFonts w:eastAsia="Times New Roman" w:cs="Arial"/>
        </w:rPr>
      </w:pPr>
      <w:r w:rsidRPr="00CF0CFB">
        <w:rPr>
          <w:rFonts w:eastAsia="Times New Roman" w:cs="Arial"/>
          <w:color w:val="000000"/>
          <w:lang w:eastAsia="bg-BG"/>
        </w:rPr>
        <w:t>При употреба на тиазидни диуретици има съобщения за екзацербация или отключване на системен лупус еритематодес.</w:t>
      </w:r>
    </w:p>
    <w:p w14:paraId="7A8EEAFE" w14:textId="77777777" w:rsidR="00CF0CFB" w:rsidRDefault="00CF0CFB" w:rsidP="00CF0CFB">
      <w:pPr>
        <w:spacing w:line="240" w:lineRule="auto"/>
        <w:rPr>
          <w:rFonts w:eastAsia="Times New Roman" w:cs="Arial"/>
          <w:color w:val="000000"/>
          <w:lang w:eastAsia="bg-BG"/>
        </w:rPr>
      </w:pPr>
    </w:p>
    <w:p w14:paraId="7900648E" w14:textId="47D61275" w:rsidR="00CF0CFB" w:rsidRPr="00CF0CFB" w:rsidRDefault="00CF0CFB" w:rsidP="00CF0CFB">
      <w:pPr>
        <w:spacing w:line="240" w:lineRule="auto"/>
        <w:rPr>
          <w:rFonts w:eastAsia="Times New Roman" w:cs="Arial"/>
        </w:rPr>
      </w:pPr>
      <w:r w:rsidRPr="00CF0CFB">
        <w:rPr>
          <w:rFonts w:eastAsia="Times New Roman" w:cs="Arial"/>
          <w:color w:val="000000"/>
          <w:lang w:eastAsia="bg-BG"/>
        </w:rPr>
        <w:t>Антихипертензивиият ефект на Репидо Плюс може да се потенцира от други антихипертензивни средства.</w:t>
      </w:r>
    </w:p>
    <w:p w14:paraId="613DA3EF" w14:textId="77777777" w:rsidR="00CF0CFB" w:rsidRDefault="00CF0CFB" w:rsidP="00CF0CFB">
      <w:pPr>
        <w:spacing w:line="240" w:lineRule="auto"/>
        <w:rPr>
          <w:rFonts w:eastAsia="Times New Roman" w:cs="Arial"/>
          <w:i/>
          <w:iCs/>
          <w:color w:val="000000"/>
          <w:lang w:eastAsia="bg-BG"/>
        </w:rPr>
      </w:pPr>
    </w:p>
    <w:p w14:paraId="1F1E8443" w14:textId="57D9FFF8" w:rsidR="00CF0CFB" w:rsidRPr="00CF0CFB" w:rsidRDefault="00CF0CFB" w:rsidP="00CF0CFB">
      <w:pPr>
        <w:spacing w:line="240" w:lineRule="auto"/>
        <w:rPr>
          <w:rFonts w:eastAsia="Times New Roman" w:cs="Arial"/>
        </w:rPr>
      </w:pPr>
      <w:r w:rsidRPr="00CF0CFB">
        <w:rPr>
          <w:rFonts w:eastAsia="Times New Roman" w:cs="Arial"/>
          <w:i/>
          <w:iCs/>
          <w:color w:val="000000"/>
          <w:lang w:eastAsia="bg-BG"/>
        </w:rPr>
        <w:t>Бременност</w:t>
      </w:r>
    </w:p>
    <w:p w14:paraId="70C4CEBC" w14:textId="77777777" w:rsidR="00CF0CFB" w:rsidRPr="00CF0CFB" w:rsidRDefault="00CF0CFB" w:rsidP="00CF0CFB">
      <w:pPr>
        <w:spacing w:line="240" w:lineRule="auto"/>
        <w:rPr>
          <w:rFonts w:eastAsia="Times New Roman" w:cs="Arial"/>
        </w:rPr>
      </w:pPr>
      <w:r w:rsidRPr="00CF0CFB">
        <w:rPr>
          <w:rFonts w:eastAsia="Times New Roman" w:cs="Arial"/>
          <w:color w:val="000000"/>
          <w:lang w:eastAsia="bg-BG"/>
        </w:rPr>
        <w:t>Лечението с А</w:t>
      </w:r>
      <w:r w:rsidRPr="00CF0CFB">
        <w:rPr>
          <w:rFonts w:eastAsia="Times New Roman" w:cs="Arial"/>
          <w:color w:val="000000"/>
          <w:lang w:val="en-US"/>
        </w:rPr>
        <w:t>II</w:t>
      </w:r>
      <w:r w:rsidRPr="00CF0CFB">
        <w:rPr>
          <w:rFonts w:eastAsia="Times New Roman" w:cs="Arial"/>
          <w:color w:val="000000"/>
          <w:lang w:eastAsia="bg-BG"/>
        </w:rPr>
        <w:t>РА не трябва да се започва по време на бременност. Освен ако продължаването на лечението с А</w:t>
      </w:r>
      <w:r w:rsidRPr="00CF0CFB">
        <w:rPr>
          <w:rFonts w:eastAsia="Times New Roman" w:cs="Arial"/>
          <w:color w:val="000000"/>
          <w:lang w:val="en-US"/>
        </w:rPr>
        <w:t>II</w:t>
      </w:r>
      <w:r w:rsidRPr="00CF0CFB">
        <w:rPr>
          <w:rFonts w:eastAsia="Times New Roman" w:cs="Arial"/>
          <w:color w:val="000000"/>
          <w:lang w:eastAsia="bg-BG"/>
        </w:rPr>
        <w:t xml:space="preserve">РА не се смята за крайно необходимо, пациентките, </w:t>
      </w:r>
      <w:r w:rsidRPr="00CF0CFB">
        <w:rPr>
          <w:rFonts w:eastAsia="Times New Roman" w:cs="Arial"/>
          <w:color w:val="000000"/>
          <w:lang w:eastAsia="bg-BG"/>
        </w:rPr>
        <w:lastRenderedPageBreak/>
        <w:t>които възнамеряват да забременеят трябва да преминат на алтернативно антихипертензивно лечение, което е с доказана безопасност по време на бременност. При установяване на бременност лечението с А</w:t>
      </w:r>
      <w:r w:rsidRPr="00CF0CFB">
        <w:rPr>
          <w:rFonts w:eastAsia="Times New Roman" w:cs="Arial"/>
          <w:color w:val="000000"/>
          <w:lang w:val="en-US"/>
        </w:rPr>
        <w:t>II</w:t>
      </w:r>
      <w:r w:rsidRPr="00CF0CFB">
        <w:rPr>
          <w:rFonts w:eastAsia="Times New Roman" w:cs="Arial"/>
          <w:color w:val="000000"/>
          <w:lang w:eastAsia="bg-BG"/>
        </w:rPr>
        <w:t>РА трябва да се спре незабавно и, ако това е необходимо, да се започне алтернативно лечение (вж. точки 4.3 и 4.6).</w:t>
      </w:r>
    </w:p>
    <w:p w14:paraId="22A56AC7" w14:textId="2FCB85E7" w:rsidR="00CF0CFB" w:rsidRPr="00CF0CFB" w:rsidRDefault="00CF0CFB" w:rsidP="00CF0CFB"/>
    <w:p w14:paraId="070777EC" w14:textId="2DDCAE29" w:rsidR="00DF4C8E" w:rsidRDefault="002C50EE" w:rsidP="00F44498">
      <w:pPr>
        <w:pStyle w:val="Heading2"/>
      </w:pPr>
      <w:r>
        <w:t>4.5. Взаимодействие с други лекарствени продукти и други форми на взаимодействие</w:t>
      </w:r>
    </w:p>
    <w:p w14:paraId="06121A10" w14:textId="7F7E9001" w:rsidR="00CF0CFB" w:rsidRDefault="00CF0CFB" w:rsidP="00CF0CFB"/>
    <w:p w14:paraId="69ABE866" w14:textId="77777777" w:rsidR="00CF0CFB" w:rsidRPr="00CF0CFB" w:rsidRDefault="00CF0CFB" w:rsidP="00CF0CFB">
      <w:pPr>
        <w:spacing w:line="240" w:lineRule="auto"/>
        <w:rPr>
          <w:rFonts w:eastAsia="Times New Roman" w:cs="Arial"/>
        </w:rPr>
      </w:pPr>
      <w:r w:rsidRPr="00CF0CFB">
        <w:rPr>
          <w:rFonts w:eastAsia="Times New Roman" w:cs="Arial"/>
          <w:color w:val="000000"/>
          <w:lang w:eastAsia="bg-BG"/>
        </w:rPr>
        <w:t xml:space="preserve">Данни от клинични проучвания показват, че двойното блокиране на ренин-ангиотензин-алдостероновата система (РААС) чрез комбинираната употреба на АСЕ инхибитори, ангиотензин </w:t>
      </w:r>
      <w:r w:rsidRPr="00CF0CFB">
        <w:rPr>
          <w:rFonts w:eastAsia="Times New Roman" w:cs="Arial"/>
          <w:color w:val="000000"/>
          <w:lang w:val="en-US"/>
        </w:rPr>
        <w:t>II</w:t>
      </w:r>
      <w:r w:rsidRPr="00CF0CFB">
        <w:rPr>
          <w:rFonts w:eastAsia="Times New Roman" w:cs="Arial"/>
          <w:color w:val="000000"/>
          <w:lang w:eastAsia="bg-BG"/>
        </w:rPr>
        <w:t>-рецепторни блокери или алискярен се свързва с по-висока честота на нежелани събития, като например хипотония, хиперкалиемия и намаляване на бъбречната функция (включително остра бъбречна недостатъчност), в сравнение с употребата само на едно средство, действащо върху РААС (вж. точки 4.3,4.4 и 5.1).</w:t>
      </w:r>
    </w:p>
    <w:p w14:paraId="1B104121" w14:textId="77777777" w:rsidR="00CF0CFB" w:rsidRPr="00CF0CFB" w:rsidRDefault="00CF0CFB" w:rsidP="00CF0CFB">
      <w:pPr>
        <w:rPr>
          <w:rFonts w:eastAsia="Times New Roman" w:cs="Arial"/>
          <w:color w:val="000000"/>
          <w:lang w:eastAsia="bg-BG"/>
        </w:rPr>
      </w:pPr>
    </w:p>
    <w:p w14:paraId="0017C242" w14:textId="77777777" w:rsidR="00CF0CFB" w:rsidRPr="00CF0CFB" w:rsidRDefault="00CF0CFB" w:rsidP="00CF0CFB">
      <w:pPr>
        <w:rPr>
          <w:rFonts w:eastAsia="Times New Roman" w:cs="Arial"/>
        </w:rPr>
      </w:pPr>
      <w:r w:rsidRPr="00CF0CFB">
        <w:rPr>
          <w:rFonts w:eastAsia="Times New Roman" w:cs="Arial"/>
          <w:color w:val="000000"/>
          <w:lang w:eastAsia="bg-BG"/>
        </w:rPr>
        <w:t>Изследваните в клинични фармакокинетични проучвания вещества включват варфарин дигоксин, перорални контрацептиви (т.е. етинилестрадиол/левоноргестрел), глибенкламид</w:t>
      </w:r>
      <w:r w:rsidRPr="00CF0CFB">
        <w:rPr>
          <w:rFonts w:eastAsia="Times New Roman" w:cs="Arial"/>
          <w:color w:val="000000"/>
          <w:lang w:val="ru-RU" w:eastAsia="bg-BG"/>
        </w:rPr>
        <w:t xml:space="preserve"> </w:t>
      </w:r>
      <w:r w:rsidRPr="00CF0CFB">
        <w:rPr>
          <w:rFonts w:eastAsia="Times New Roman" w:cs="Arial"/>
          <w:color w:val="000000"/>
          <w:lang w:eastAsia="bg-BG"/>
        </w:rPr>
        <w:t>нифедипин. В тези проучвания не са установени клинично значими фармакокинетични взаимодействия.</w:t>
      </w:r>
    </w:p>
    <w:p w14:paraId="03679DA5" w14:textId="77777777" w:rsidR="00CF0CFB" w:rsidRDefault="00CF0CFB" w:rsidP="00CF0CFB">
      <w:pPr>
        <w:spacing w:line="240" w:lineRule="auto"/>
        <w:rPr>
          <w:rFonts w:eastAsia="Times New Roman" w:cs="Arial"/>
          <w:color w:val="000000"/>
          <w:lang w:eastAsia="bg-BG"/>
        </w:rPr>
      </w:pPr>
    </w:p>
    <w:p w14:paraId="2A840876" w14:textId="650B73D5" w:rsidR="00CF0CFB" w:rsidRPr="00CF0CFB" w:rsidRDefault="00CF0CFB" w:rsidP="00CF0CFB">
      <w:pPr>
        <w:spacing w:line="240" w:lineRule="auto"/>
        <w:rPr>
          <w:rFonts w:eastAsia="Times New Roman" w:cs="Arial"/>
        </w:rPr>
      </w:pPr>
      <w:r w:rsidRPr="00CF0CFB">
        <w:rPr>
          <w:rFonts w:eastAsia="Times New Roman" w:cs="Arial"/>
          <w:color w:val="000000"/>
          <w:lang w:eastAsia="bg-BG"/>
        </w:rPr>
        <w:t xml:space="preserve">Може да се очаква калий*губещият ефект на хидрохлоротиазид да се потенцира от други лекарствени продукти, свързани със загуба на калий и хипокалиемия (напр. други калий-губещи диуретици, лаксативи, амфотерицин, карбеноксолон, пеницилин </w:t>
      </w:r>
      <w:r w:rsidRPr="00CF0CFB">
        <w:rPr>
          <w:rFonts w:eastAsia="Times New Roman" w:cs="Arial"/>
          <w:color w:val="000000"/>
          <w:lang w:val="en-US"/>
        </w:rPr>
        <w:t>G</w:t>
      </w:r>
      <w:r w:rsidRPr="00CF0CFB">
        <w:rPr>
          <w:rFonts w:eastAsia="Times New Roman" w:cs="Arial"/>
          <w:color w:val="000000"/>
          <w:lang w:val="ru-RU"/>
        </w:rPr>
        <w:t xml:space="preserve"> </w:t>
      </w:r>
      <w:r w:rsidRPr="00CF0CFB">
        <w:rPr>
          <w:rFonts w:eastAsia="Times New Roman" w:cs="Arial"/>
          <w:color w:val="000000"/>
          <w:lang w:eastAsia="bg-BG"/>
        </w:rPr>
        <w:t>натрий, производни на салициловата киселина, стероиди, АСТН).</w:t>
      </w:r>
    </w:p>
    <w:p w14:paraId="5160B87C" w14:textId="77777777" w:rsidR="00CF0CFB" w:rsidRDefault="00CF0CFB" w:rsidP="00CF0CFB">
      <w:pPr>
        <w:spacing w:line="240" w:lineRule="auto"/>
        <w:rPr>
          <w:rFonts w:eastAsia="Times New Roman" w:cs="Arial"/>
          <w:color w:val="000000"/>
          <w:lang w:eastAsia="bg-BG"/>
        </w:rPr>
      </w:pPr>
    </w:p>
    <w:p w14:paraId="26457056" w14:textId="391763E9" w:rsidR="00CF0CFB" w:rsidRPr="00CF0CFB" w:rsidRDefault="00CF0CFB" w:rsidP="00CF0CFB">
      <w:pPr>
        <w:spacing w:line="240" w:lineRule="auto"/>
        <w:rPr>
          <w:rFonts w:eastAsia="Times New Roman" w:cs="Arial"/>
        </w:rPr>
      </w:pPr>
      <w:r w:rsidRPr="00CF0CFB">
        <w:rPr>
          <w:rFonts w:eastAsia="Times New Roman" w:cs="Arial"/>
          <w:color w:val="000000"/>
          <w:lang w:eastAsia="bg-BG"/>
        </w:rPr>
        <w:t>Едновременното приложение на Репидо Плюс с калий-съхраняващи диуретици, калиеви препарати или заместители на готварската сол, както и с други лекарствени продукти, които могат да повишат серумната концентрация шкалий (напр. хепарин натрий), може да доведе до повишаване накалий в серума. При нужда серумната концентрация на калий трябва да се контролира (вж. точка 4.4).</w:t>
      </w:r>
    </w:p>
    <w:p w14:paraId="50F34FB5" w14:textId="77777777" w:rsidR="00CF0CFB" w:rsidRPr="00CF0CFB" w:rsidRDefault="00CF0CFB" w:rsidP="00CF0CFB">
      <w:pPr>
        <w:spacing w:line="240" w:lineRule="auto"/>
        <w:rPr>
          <w:rFonts w:eastAsia="Times New Roman" w:cs="Arial"/>
        </w:rPr>
      </w:pPr>
      <w:r w:rsidRPr="00CF0CFB">
        <w:rPr>
          <w:rFonts w:eastAsia="Times New Roman" w:cs="Arial"/>
          <w:color w:val="000000"/>
          <w:lang w:eastAsia="bg-BG"/>
        </w:rPr>
        <w:t xml:space="preserve">Индуцираните от диуретици хипокалиемия и хипомагнезиемия предразполагат към развитие на потенциални кардиотоксични ефекти на дигиталисовите гликозиди и антиаритмичните препарати. Препоръчва се периодичен контрол на серумния калий, когато Репидо Плюс се прилага с такива лекарствени продукти, както и със следните лекарствени продукти, които могат да предизвикат </w:t>
      </w:r>
      <w:proofErr w:type="spellStart"/>
      <w:r w:rsidRPr="00CF0CFB">
        <w:rPr>
          <w:rFonts w:eastAsia="Times New Roman" w:cs="Arial"/>
          <w:color w:val="000000"/>
          <w:lang w:val="en-US"/>
        </w:rPr>
        <w:t>torsades</w:t>
      </w:r>
      <w:proofErr w:type="spellEnd"/>
      <w:r w:rsidRPr="00CF0CFB">
        <w:rPr>
          <w:rFonts w:eastAsia="Times New Roman" w:cs="Arial"/>
          <w:color w:val="000000"/>
          <w:lang w:val="ru-RU"/>
        </w:rPr>
        <w:t xml:space="preserve"> </w:t>
      </w:r>
      <w:r w:rsidRPr="00CF0CFB">
        <w:rPr>
          <w:rFonts w:eastAsia="Times New Roman" w:cs="Arial"/>
          <w:color w:val="000000"/>
          <w:lang w:val="en-US"/>
        </w:rPr>
        <w:t>de</w:t>
      </w:r>
      <w:r w:rsidRPr="00CF0CFB">
        <w:rPr>
          <w:rFonts w:eastAsia="Times New Roman" w:cs="Arial"/>
          <w:color w:val="000000"/>
          <w:lang w:val="ru-RU"/>
        </w:rPr>
        <w:t xml:space="preserve"> </w:t>
      </w:r>
      <w:r w:rsidRPr="00CF0CFB">
        <w:rPr>
          <w:rFonts w:eastAsia="Times New Roman" w:cs="Arial"/>
          <w:color w:val="000000"/>
          <w:lang w:val="en-US"/>
        </w:rPr>
        <w:t>pointes</w:t>
      </w:r>
      <w:r w:rsidRPr="00CF0CFB">
        <w:rPr>
          <w:rFonts w:eastAsia="Times New Roman" w:cs="Arial"/>
          <w:color w:val="000000"/>
          <w:lang w:val="ru-RU"/>
        </w:rPr>
        <w:t>:</w:t>
      </w:r>
    </w:p>
    <w:p w14:paraId="0C6A0539" w14:textId="77777777" w:rsidR="00CF0CFB" w:rsidRDefault="00CF0CFB" w:rsidP="00CF0CFB">
      <w:pPr>
        <w:pStyle w:val="ListParagraph"/>
        <w:numPr>
          <w:ilvl w:val="0"/>
          <w:numId w:val="2"/>
        </w:numPr>
        <w:spacing w:line="240" w:lineRule="auto"/>
        <w:rPr>
          <w:rFonts w:eastAsia="Times New Roman" w:cs="Arial"/>
          <w:color w:val="000000"/>
          <w:lang w:eastAsia="bg-BG"/>
        </w:rPr>
      </w:pPr>
      <w:r w:rsidRPr="00CF0CFB">
        <w:rPr>
          <w:rFonts w:eastAsia="Times New Roman" w:cs="Arial"/>
          <w:color w:val="000000"/>
          <w:lang w:eastAsia="bg-BG"/>
        </w:rPr>
        <w:t>Антиаритмични препарати от клас 1а (напр. хннидин, хидрохинидии. дизопирамид).</w:t>
      </w:r>
    </w:p>
    <w:p w14:paraId="39D597FD" w14:textId="77777777" w:rsidR="00CF0CFB" w:rsidRDefault="00CF0CFB" w:rsidP="00CF0CFB">
      <w:pPr>
        <w:pStyle w:val="ListParagraph"/>
        <w:numPr>
          <w:ilvl w:val="0"/>
          <w:numId w:val="2"/>
        </w:numPr>
        <w:spacing w:line="240" w:lineRule="auto"/>
        <w:rPr>
          <w:rFonts w:eastAsia="Times New Roman" w:cs="Arial"/>
          <w:color w:val="000000"/>
          <w:lang w:eastAsia="bg-BG"/>
        </w:rPr>
      </w:pPr>
      <w:r w:rsidRPr="00CF0CFB">
        <w:rPr>
          <w:rFonts w:eastAsia="Times New Roman" w:cs="Arial"/>
          <w:color w:val="000000"/>
          <w:lang w:eastAsia="bg-BG"/>
        </w:rPr>
        <w:t xml:space="preserve">Антиаритмични препарати от клас </w:t>
      </w:r>
      <w:r w:rsidRPr="00CF0CFB">
        <w:rPr>
          <w:rFonts w:eastAsia="Times New Roman" w:cs="Arial"/>
          <w:color w:val="000000"/>
          <w:lang w:val="en-US"/>
        </w:rPr>
        <w:t>III</w:t>
      </w:r>
      <w:r w:rsidRPr="00CF0CFB">
        <w:rPr>
          <w:rFonts w:eastAsia="Times New Roman" w:cs="Arial"/>
          <w:color w:val="000000"/>
          <w:lang w:eastAsia="bg-BG"/>
        </w:rPr>
        <w:t xml:space="preserve"> (напр. амиодарон, соталол, дофетилид, ибутилид).</w:t>
      </w:r>
    </w:p>
    <w:p w14:paraId="31C71BBF" w14:textId="77777777" w:rsidR="00CF0CFB" w:rsidRDefault="00CF0CFB" w:rsidP="00CF0CFB">
      <w:pPr>
        <w:pStyle w:val="ListParagraph"/>
        <w:numPr>
          <w:ilvl w:val="0"/>
          <w:numId w:val="2"/>
        </w:numPr>
        <w:spacing w:line="240" w:lineRule="auto"/>
        <w:rPr>
          <w:rFonts w:eastAsia="Times New Roman" w:cs="Arial"/>
          <w:color w:val="000000"/>
          <w:lang w:eastAsia="bg-BG"/>
        </w:rPr>
      </w:pPr>
      <w:r w:rsidRPr="00CF0CFB">
        <w:rPr>
          <w:rFonts w:eastAsia="Times New Roman" w:cs="Arial"/>
          <w:color w:val="000000"/>
          <w:lang w:eastAsia="bg-BG"/>
        </w:rPr>
        <w:t>Някои антипсихотици (напр. тиоридазин, хлорпромазин, левомепромазин, трифлуоперазин, циамемазин, сулпирид, султоприд, амисулприд, тиаприд, пимозид, халоперидол, дроперцдол).</w:t>
      </w:r>
    </w:p>
    <w:p w14:paraId="26CA0733" w14:textId="51C5F14E" w:rsidR="00CF0CFB" w:rsidRPr="00CF0CFB" w:rsidRDefault="00CF0CFB" w:rsidP="00CF0CFB">
      <w:pPr>
        <w:pStyle w:val="ListParagraph"/>
        <w:numPr>
          <w:ilvl w:val="0"/>
          <w:numId w:val="2"/>
        </w:numPr>
        <w:spacing w:line="240" w:lineRule="auto"/>
        <w:rPr>
          <w:rFonts w:eastAsia="Times New Roman" w:cs="Arial"/>
          <w:color w:val="000000"/>
          <w:lang w:eastAsia="bg-BG"/>
        </w:rPr>
      </w:pPr>
      <w:r w:rsidRPr="00CF0CFB">
        <w:rPr>
          <w:rFonts w:eastAsia="Times New Roman" w:cs="Arial"/>
          <w:color w:val="000000"/>
          <w:lang w:eastAsia="bg-BG"/>
        </w:rPr>
        <w:t xml:space="preserve">Други (напр. бепридил. цизапрцд, дифемапил, еритромицин </w:t>
      </w:r>
      <w:proofErr w:type="spellStart"/>
      <w:r w:rsidRPr="00CF0CFB">
        <w:rPr>
          <w:rFonts w:eastAsia="Times New Roman" w:cs="Arial"/>
          <w:color w:val="000000"/>
          <w:lang w:val="en-US"/>
        </w:rPr>
        <w:t>i</w:t>
      </w:r>
      <w:proofErr w:type="spellEnd"/>
      <w:r w:rsidRPr="00CF0CFB">
        <w:rPr>
          <w:rFonts w:eastAsia="Times New Roman" w:cs="Arial"/>
          <w:color w:val="000000"/>
        </w:rPr>
        <w:t>.</w:t>
      </w:r>
      <w:r w:rsidRPr="00CF0CFB">
        <w:rPr>
          <w:rFonts w:eastAsia="Times New Roman" w:cs="Arial"/>
          <w:color w:val="000000"/>
          <w:lang w:val="en-US"/>
        </w:rPr>
        <w:t>v</w:t>
      </w:r>
      <w:r w:rsidRPr="00CF0CFB">
        <w:rPr>
          <w:rFonts w:eastAsia="Times New Roman" w:cs="Arial"/>
          <w:color w:val="000000"/>
        </w:rPr>
        <w:t xml:space="preserve">., </w:t>
      </w:r>
      <w:r w:rsidRPr="00CF0CFB">
        <w:rPr>
          <w:rFonts w:eastAsia="Times New Roman" w:cs="Arial"/>
          <w:color w:val="000000"/>
          <w:lang w:eastAsia="bg-BG"/>
        </w:rPr>
        <w:t xml:space="preserve">халофантрин, кетансерин, мизоластин, пентамцдин, спарфлоксацин, терфенадин, винкамин </w:t>
      </w:r>
      <w:proofErr w:type="spellStart"/>
      <w:r w:rsidRPr="00CF0CFB">
        <w:rPr>
          <w:rFonts w:eastAsia="Times New Roman" w:cs="Arial"/>
          <w:color w:val="000000"/>
          <w:lang w:val="en-US"/>
        </w:rPr>
        <w:t>i</w:t>
      </w:r>
      <w:proofErr w:type="spellEnd"/>
      <w:r w:rsidRPr="00CF0CFB">
        <w:rPr>
          <w:rFonts w:eastAsia="Times New Roman" w:cs="Arial"/>
          <w:color w:val="000000"/>
        </w:rPr>
        <w:t>.</w:t>
      </w:r>
      <w:r w:rsidRPr="00CF0CFB">
        <w:rPr>
          <w:rFonts w:eastAsia="Times New Roman" w:cs="Arial"/>
          <w:color w:val="000000"/>
          <w:lang w:val="en-US"/>
        </w:rPr>
        <w:t>v</w:t>
      </w:r>
      <w:r w:rsidRPr="00CF0CFB">
        <w:rPr>
          <w:rFonts w:eastAsia="Times New Roman" w:cs="Arial"/>
          <w:color w:val="000000"/>
        </w:rPr>
        <w:t>.).</w:t>
      </w:r>
    </w:p>
    <w:p w14:paraId="599C3389" w14:textId="77777777" w:rsidR="00CF0CFB" w:rsidRDefault="00CF0CFB" w:rsidP="00CF0CFB">
      <w:pPr>
        <w:spacing w:line="240" w:lineRule="auto"/>
        <w:rPr>
          <w:rFonts w:eastAsia="Times New Roman" w:cs="Arial"/>
          <w:color w:val="000000"/>
          <w:lang w:eastAsia="bg-BG"/>
        </w:rPr>
      </w:pPr>
    </w:p>
    <w:p w14:paraId="2F82EA33" w14:textId="3E804322" w:rsidR="00CF0CFB" w:rsidRPr="00CF0CFB" w:rsidRDefault="00CF0CFB" w:rsidP="00CF0CFB">
      <w:pPr>
        <w:spacing w:line="240" w:lineRule="auto"/>
        <w:rPr>
          <w:rFonts w:eastAsia="Times New Roman" w:cs="Arial"/>
        </w:rPr>
      </w:pPr>
      <w:r w:rsidRPr="00CF0CFB">
        <w:rPr>
          <w:rFonts w:eastAsia="Times New Roman" w:cs="Arial"/>
          <w:color w:val="000000"/>
          <w:lang w:eastAsia="bg-BG"/>
        </w:rPr>
        <w:t xml:space="preserve">Има съобщения за обратимо повишаване на серумната концентрация на литий, както и прояви па токсичност, при едновременно приложение на литиеви препарати с инхибитори на ангиотензин-конвертиращия ензим (АСЕ) и хидрохлоротиазид. Има съобщения за </w:t>
      </w:r>
      <w:r w:rsidRPr="00CF0CFB">
        <w:rPr>
          <w:rFonts w:eastAsia="Times New Roman" w:cs="Arial"/>
          <w:color w:val="000000"/>
          <w:lang w:eastAsia="bg-BG"/>
        </w:rPr>
        <w:lastRenderedPageBreak/>
        <w:t>подобен ефект и при прием с АПРА. Приложението на кандесартан и хидрохлоротиазид с литиеви препарати не се препоръчва. Ако приложението на тази комбинация се окаже необходимо, се препоръчва внимателен контрол па серумната концентрация на лития.</w:t>
      </w:r>
    </w:p>
    <w:p w14:paraId="26A4A6F2" w14:textId="77777777" w:rsidR="00CF0CFB" w:rsidRDefault="00CF0CFB" w:rsidP="00CF0CFB">
      <w:pPr>
        <w:spacing w:line="240" w:lineRule="auto"/>
        <w:rPr>
          <w:rFonts w:eastAsia="Times New Roman" w:cs="Arial"/>
          <w:color w:val="000000"/>
          <w:lang w:eastAsia="bg-BG"/>
        </w:rPr>
      </w:pPr>
    </w:p>
    <w:p w14:paraId="4C5F629F" w14:textId="5871F3D9" w:rsidR="00CF0CFB" w:rsidRPr="00CF0CFB" w:rsidRDefault="00CF0CFB" w:rsidP="00CF0CFB">
      <w:pPr>
        <w:spacing w:line="240" w:lineRule="auto"/>
        <w:rPr>
          <w:rFonts w:eastAsia="Times New Roman" w:cs="Arial"/>
        </w:rPr>
      </w:pPr>
      <w:r w:rsidRPr="00CF0CFB">
        <w:rPr>
          <w:rFonts w:eastAsia="Times New Roman" w:cs="Arial"/>
          <w:color w:val="000000"/>
          <w:lang w:eastAsia="bg-BG"/>
        </w:rPr>
        <w:t xml:space="preserve">При приложение на АПРА едновременно с нестероидни противовъзпалителни средства (НСПВС) (т.е. селективни СОХ-2 иихибитори, ацетилсалицилова киселина (&gt; 3 </w:t>
      </w:r>
      <w:r w:rsidRPr="00CF0CFB">
        <w:rPr>
          <w:rFonts w:eastAsia="Times New Roman" w:cs="Arial"/>
          <w:color w:val="000000"/>
          <w:lang w:val="en-US"/>
        </w:rPr>
        <w:t>g</w:t>
      </w:r>
      <w:r w:rsidRPr="00CF0CFB">
        <w:rPr>
          <w:rFonts w:eastAsia="Times New Roman" w:cs="Arial"/>
          <w:color w:val="000000"/>
          <w:lang w:eastAsia="bg-BG"/>
        </w:rPr>
        <w:t>/дяевно) и неселективни НСПВС) може да се наблюдава отслабване на ангихипертензивния ефект.</w:t>
      </w:r>
    </w:p>
    <w:p w14:paraId="056BA511" w14:textId="77777777" w:rsidR="00CF0CFB" w:rsidRDefault="00CF0CFB" w:rsidP="00CF0CFB">
      <w:pPr>
        <w:spacing w:line="240" w:lineRule="auto"/>
        <w:rPr>
          <w:rFonts w:eastAsia="Times New Roman" w:cs="Arial"/>
          <w:color w:val="000000"/>
          <w:lang w:eastAsia="bg-BG"/>
        </w:rPr>
      </w:pPr>
    </w:p>
    <w:p w14:paraId="02573B2B" w14:textId="15A566F6" w:rsidR="00CF0CFB" w:rsidRPr="00CF0CFB" w:rsidRDefault="00CF0CFB" w:rsidP="00CF0CFB">
      <w:pPr>
        <w:spacing w:line="240" w:lineRule="auto"/>
        <w:rPr>
          <w:rFonts w:eastAsia="Times New Roman" w:cs="Arial"/>
        </w:rPr>
      </w:pPr>
      <w:r w:rsidRPr="00CF0CFB">
        <w:rPr>
          <w:rFonts w:eastAsia="Times New Roman" w:cs="Arial"/>
          <w:color w:val="000000"/>
          <w:lang w:eastAsia="bg-BG"/>
        </w:rPr>
        <w:t>Както и при АСЕ иихибиторите, едновременното приложение на АПРА и НСПВС може да доведе до повишаване на риска за влошаване на бъбречната функция, включително и за развитие на бъбречна недостатъчност, както и за повишаване на серумния калий, особено при пациенти с предварително нарушена бъбречна функция.</w:t>
      </w:r>
    </w:p>
    <w:p w14:paraId="07961165" w14:textId="77777777" w:rsidR="00CF0CFB" w:rsidRDefault="00CF0CFB" w:rsidP="00CF0CFB">
      <w:pPr>
        <w:spacing w:line="240" w:lineRule="auto"/>
        <w:rPr>
          <w:rFonts w:eastAsia="Times New Roman" w:cs="Arial"/>
          <w:color w:val="000000"/>
          <w:lang w:eastAsia="bg-BG"/>
        </w:rPr>
      </w:pPr>
    </w:p>
    <w:p w14:paraId="67858615" w14:textId="0DA82B69" w:rsidR="00CF0CFB" w:rsidRPr="00CF0CFB" w:rsidRDefault="00CF0CFB" w:rsidP="00CF0CFB">
      <w:pPr>
        <w:spacing w:line="240" w:lineRule="auto"/>
        <w:rPr>
          <w:rFonts w:eastAsia="Times New Roman" w:cs="Arial"/>
          <w:color w:val="000000"/>
          <w:lang w:eastAsia="bg-BG"/>
        </w:rPr>
      </w:pPr>
      <w:r w:rsidRPr="00CF0CFB">
        <w:rPr>
          <w:rFonts w:eastAsia="Times New Roman" w:cs="Arial"/>
          <w:color w:val="000000"/>
          <w:lang w:eastAsia="bg-BG"/>
        </w:rPr>
        <w:t>Тази комбинация трябва да се прилага с повишено внимание, особено при пациенти в старческа възраст. Пациентите трябва да бъдат адекватно хидратирани, и трябва да се има предвид контролирането бъбречната функция след започване на съпътстваща терапия, както и периодично след това. Диуретичният, натрийуретичният и антихипертензивният ефекти на хидрохлоротиазид се подтискат от НСПВС.</w:t>
      </w:r>
    </w:p>
    <w:p w14:paraId="073FB8AC" w14:textId="77777777" w:rsidR="00CF0CFB" w:rsidRDefault="00CF0CFB" w:rsidP="00CF0CFB">
      <w:pPr>
        <w:rPr>
          <w:rFonts w:eastAsia="Times New Roman" w:cs="Arial"/>
          <w:color w:val="000000"/>
          <w:lang w:eastAsia="bg-BG"/>
        </w:rPr>
      </w:pPr>
    </w:p>
    <w:p w14:paraId="35677F68" w14:textId="329C5436" w:rsidR="00CF0CFB" w:rsidRDefault="00CF0CFB" w:rsidP="00CF0CFB">
      <w:pPr>
        <w:rPr>
          <w:rFonts w:eastAsia="Times New Roman" w:cs="Arial"/>
          <w:color w:val="000000"/>
          <w:lang w:eastAsia="bg-BG"/>
        </w:rPr>
      </w:pPr>
      <w:r w:rsidRPr="00CF0CFB">
        <w:rPr>
          <w:rFonts w:eastAsia="Times New Roman" w:cs="Arial"/>
          <w:color w:val="000000"/>
          <w:lang w:eastAsia="bg-BG"/>
        </w:rPr>
        <w:t>Резорбцията на хидрохлоротиазид се подтиска от колестипол или колестирамин.</w:t>
      </w:r>
    </w:p>
    <w:p w14:paraId="32575829" w14:textId="5BDDEDBE" w:rsidR="00CF0CFB" w:rsidRDefault="00CF0CFB" w:rsidP="00CF0CFB">
      <w:pPr>
        <w:rPr>
          <w:rFonts w:eastAsia="Times New Roman" w:cs="Arial"/>
          <w:color w:val="000000"/>
          <w:lang w:eastAsia="bg-BG"/>
        </w:rPr>
      </w:pPr>
    </w:p>
    <w:p w14:paraId="0B6C49ED" w14:textId="77777777" w:rsidR="00CF0CFB" w:rsidRPr="00CF0CFB" w:rsidRDefault="00CF0CFB" w:rsidP="00CF0CFB">
      <w:pPr>
        <w:spacing w:line="240" w:lineRule="auto"/>
        <w:rPr>
          <w:rFonts w:eastAsia="Times New Roman" w:cs="Arial"/>
        </w:rPr>
      </w:pPr>
      <w:r w:rsidRPr="00CF0CFB">
        <w:rPr>
          <w:rFonts w:eastAsia="Times New Roman" w:cs="Arial"/>
          <w:color w:val="000000"/>
          <w:lang w:eastAsia="bg-BG"/>
        </w:rPr>
        <w:t>Хидрохлоротиазид може да потенцира ефекта на недеполяризиращите миорелаксанги (напр. тубокурарин)</w:t>
      </w:r>
    </w:p>
    <w:p w14:paraId="0AE23AC5" w14:textId="77777777" w:rsidR="00CF0CFB" w:rsidRDefault="00CF0CFB" w:rsidP="00CF0CFB">
      <w:pPr>
        <w:spacing w:line="240" w:lineRule="auto"/>
        <w:rPr>
          <w:rFonts w:eastAsia="Times New Roman" w:cs="Arial"/>
          <w:color w:val="000000"/>
          <w:lang w:eastAsia="bg-BG"/>
        </w:rPr>
      </w:pPr>
    </w:p>
    <w:p w14:paraId="545CCC62" w14:textId="34CF2C46" w:rsidR="00CF0CFB" w:rsidRPr="00CF0CFB" w:rsidRDefault="00CF0CFB" w:rsidP="00CF0CFB">
      <w:pPr>
        <w:spacing w:line="240" w:lineRule="auto"/>
        <w:rPr>
          <w:rFonts w:eastAsia="Times New Roman" w:cs="Arial"/>
        </w:rPr>
      </w:pPr>
      <w:r w:rsidRPr="00CF0CFB">
        <w:rPr>
          <w:rFonts w:eastAsia="Times New Roman" w:cs="Arial"/>
          <w:color w:val="000000"/>
          <w:lang w:eastAsia="bg-BG"/>
        </w:rPr>
        <w:t xml:space="preserve">Тиазидните диуретици могат да повишат серумната концентрация на калций поради понижаването на екскрецията му. Ако е необходимо да се предпише хранителна добавка, съдържаща калций, или витамин </w:t>
      </w:r>
      <w:r w:rsidRPr="00CF0CFB">
        <w:rPr>
          <w:rFonts w:eastAsia="Times New Roman" w:cs="Arial"/>
          <w:color w:val="000000"/>
          <w:lang w:val="en-US"/>
        </w:rPr>
        <w:t>D</w:t>
      </w:r>
      <w:r w:rsidRPr="00CF0CFB">
        <w:rPr>
          <w:rFonts w:eastAsia="Times New Roman" w:cs="Arial"/>
          <w:color w:val="000000"/>
          <w:lang w:val="ru-RU"/>
        </w:rPr>
        <w:t xml:space="preserve">, </w:t>
      </w:r>
      <w:r w:rsidRPr="00CF0CFB">
        <w:rPr>
          <w:rFonts w:eastAsia="Times New Roman" w:cs="Arial"/>
          <w:color w:val="000000"/>
          <w:lang w:eastAsia="bg-BG"/>
        </w:rPr>
        <w:t>трябва да се след и серумната концентрация на калций и дозата да се коригира според нея.</w:t>
      </w:r>
    </w:p>
    <w:p w14:paraId="168B9CCE" w14:textId="77777777" w:rsidR="00CF0CFB" w:rsidRDefault="00CF0CFB" w:rsidP="00CF0CFB">
      <w:pPr>
        <w:spacing w:line="240" w:lineRule="auto"/>
        <w:rPr>
          <w:rFonts w:eastAsia="Times New Roman" w:cs="Arial"/>
          <w:color w:val="000000"/>
          <w:lang w:eastAsia="bg-BG"/>
        </w:rPr>
      </w:pPr>
    </w:p>
    <w:p w14:paraId="0719A9CA" w14:textId="23F55A08" w:rsidR="00CF0CFB" w:rsidRPr="00CF0CFB" w:rsidRDefault="00CF0CFB" w:rsidP="00CF0CFB">
      <w:pPr>
        <w:spacing w:line="240" w:lineRule="auto"/>
        <w:rPr>
          <w:rFonts w:eastAsia="Times New Roman" w:cs="Arial"/>
        </w:rPr>
      </w:pPr>
      <w:r w:rsidRPr="00CF0CFB">
        <w:rPr>
          <w:rFonts w:eastAsia="Times New Roman" w:cs="Arial"/>
          <w:color w:val="000000"/>
          <w:lang w:eastAsia="bg-BG"/>
        </w:rPr>
        <w:t>Възможно е тиазидите да потенцират хиперпшкемичния ефект на бета-блокерите и на диазоксид.</w:t>
      </w:r>
    </w:p>
    <w:p w14:paraId="7E936A38" w14:textId="77777777" w:rsidR="00CF0CFB" w:rsidRPr="00CF0CFB" w:rsidRDefault="00CF0CFB" w:rsidP="00CF0CFB">
      <w:pPr>
        <w:spacing w:line="240" w:lineRule="auto"/>
        <w:rPr>
          <w:rFonts w:eastAsia="Times New Roman" w:cs="Arial"/>
        </w:rPr>
      </w:pPr>
      <w:r w:rsidRPr="00CF0CFB">
        <w:rPr>
          <w:rFonts w:eastAsia="Times New Roman" w:cs="Arial"/>
          <w:color w:val="000000"/>
          <w:lang w:eastAsia="bg-BG"/>
        </w:rPr>
        <w:t>Възможно е антнхолинергичните средства (напр. атропин, бипериден) да повишат бионаличността на тиазидните диуретици чрез подтискане на стомашно-чревния мотилитет и забавяне на стомашното изпразване.</w:t>
      </w:r>
    </w:p>
    <w:p w14:paraId="1E47F35F" w14:textId="77777777" w:rsidR="00CF0CFB" w:rsidRDefault="00CF0CFB" w:rsidP="00CF0CFB">
      <w:pPr>
        <w:spacing w:line="240" w:lineRule="auto"/>
        <w:rPr>
          <w:rFonts w:eastAsia="Times New Roman" w:cs="Arial"/>
          <w:color w:val="000000"/>
          <w:lang w:eastAsia="bg-BG"/>
        </w:rPr>
      </w:pPr>
    </w:p>
    <w:p w14:paraId="785EDD40" w14:textId="050B51A6" w:rsidR="00CF0CFB" w:rsidRPr="00CF0CFB" w:rsidRDefault="00CF0CFB" w:rsidP="00CF0CFB">
      <w:pPr>
        <w:spacing w:line="240" w:lineRule="auto"/>
        <w:rPr>
          <w:rFonts w:eastAsia="Times New Roman" w:cs="Arial"/>
        </w:rPr>
      </w:pPr>
      <w:r w:rsidRPr="00CF0CFB">
        <w:rPr>
          <w:rFonts w:eastAsia="Times New Roman" w:cs="Arial"/>
          <w:color w:val="000000"/>
          <w:lang w:eastAsia="bg-BG"/>
        </w:rPr>
        <w:t>Възможно е тиазидните диуретици да повишат риска за развитие на нежелани реакции при прием на амантадин.</w:t>
      </w:r>
    </w:p>
    <w:p w14:paraId="26ECC77A" w14:textId="77777777" w:rsidR="00CF0CFB" w:rsidRDefault="00CF0CFB" w:rsidP="00CF0CFB">
      <w:pPr>
        <w:spacing w:line="240" w:lineRule="auto"/>
        <w:rPr>
          <w:rFonts w:eastAsia="Times New Roman" w:cs="Arial"/>
          <w:color w:val="000000"/>
          <w:lang w:eastAsia="bg-BG"/>
        </w:rPr>
      </w:pPr>
    </w:p>
    <w:p w14:paraId="6A5AEAA4" w14:textId="4950417A" w:rsidR="00CF0CFB" w:rsidRPr="00CF0CFB" w:rsidRDefault="00CF0CFB" w:rsidP="00CF0CFB">
      <w:pPr>
        <w:spacing w:line="240" w:lineRule="auto"/>
        <w:rPr>
          <w:rFonts w:eastAsia="Times New Roman" w:cs="Arial"/>
        </w:rPr>
      </w:pPr>
      <w:r w:rsidRPr="00CF0CFB">
        <w:rPr>
          <w:rFonts w:eastAsia="Times New Roman" w:cs="Arial"/>
          <w:color w:val="000000"/>
          <w:lang w:eastAsia="bg-BG"/>
        </w:rPr>
        <w:t>Възможно е тиазидните диуретици да намалят бъбречната екскреция на цитотоксични лекарствени продукти (напр. циклофосфамид, метотрексат) и да потенцират миелосуперсивния им ефект.</w:t>
      </w:r>
    </w:p>
    <w:p w14:paraId="6BF6D2ED" w14:textId="77777777" w:rsidR="00CF0CFB" w:rsidRDefault="00CF0CFB" w:rsidP="00CF0CFB">
      <w:pPr>
        <w:spacing w:line="240" w:lineRule="auto"/>
        <w:rPr>
          <w:rFonts w:eastAsia="Times New Roman" w:cs="Arial"/>
          <w:color w:val="000000"/>
          <w:lang w:eastAsia="bg-BG"/>
        </w:rPr>
      </w:pPr>
    </w:p>
    <w:p w14:paraId="3CE8824D" w14:textId="64AD6B36" w:rsidR="00CF0CFB" w:rsidRPr="00CF0CFB" w:rsidRDefault="00CF0CFB" w:rsidP="00CF0CFB">
      <w:pPr>
        <w:spacing w:line="240" w:lineRule="auto"/>
        <w:rPr>
          <w:rFonts w:eastAsia="Times New Roman" w:cs="Arial"/>
        </w:rPr>
      </w:pPr>
      <w:r w:rsidRPr="00CF0CFB">
        <w:rPr>
          <w:rFonts w:eastAsia="Times New Roman" w:cs="Arial"/>
          <w:color w:val="000000"/>
          <w:lang w:eastAsia="bg-BG"/>
        </w:rPr>
        <w:t>При едновременен прием с алкохол, барбитурати иля анестетиця може да се утежни ортостатичната хшютония.</w:t>
      </w:r>
    </w:p>
    <w:p w14:paraId="59E34034" w14:textId="77777777" w:rsidR="00CF0CFB" w:rsidRDefault="00CF0CFB" w:rsidP="00CF0CFB">
      <w:pPr>
        <w:spacing w:line="240" w:lineRule="auto"/>
        <w:rPr>
          <w:rFonts w:eastAsia="Times New Roman" w:cs="Arial"/>
          <w:color w:val="000000"/>
          <w:lang w:eastAsia="bg-BG"/>
        </w:rPr>
      </w:pPr>
    </w:p>
    <w:p w14:paraId="3EDB8CF4" w14:textId="7706C5E8" w:rsidR="00CF0CFB" w:rsidRPr="00CF0CFB" w:rsidRDefault="00CF0CFB" w:rsidP="00CF0CFB">
      <w:pPr>
        <w:spacing w:line="240" w:lineRule="auto"/>
        <w:rPr>
          <w:rFonts w:eastAsia="Times New Roman" w:cs="Arial"/>
        </w:rPr>
      </w:pPr>
      <w:r w:rsidRPr="00CF0CFB">
        <w:rPr>
          <w:rFonts w:eastAsia="Times New Roman" w:cs="Arial"/>
          <w:color w:val="000000"/>
          <w:lang w:eastAsia="bg-BG"/>
        </w:rPr>
        <w:t>Лечението с тиазиден диуретик може да влоши глюкозния толеранс. Може да е необходима корекция на дозата на антидиабетните лекарствени продукти, включително и на инсулина. Метформин трябва да се прилага е повишено внимание поради риска от развитие на лактоацидоза, индуцирана от евентуална бъбречна недостатъчност, свързана с приема на хидрохлоротиазид.</w:t>
      </w:r>
    </w:p>
    <w:p w14:paraId="1CD89E28" w14:textId="77777777" w:rsidR="00CF0CFB" w:rsidRDefault="00CF0CFB" w:rsidP="00CF0CFB">
      <w:pPr>
        <w:spacing w:line="240" w:lineRule="auto"/>
        <w:rPr>
          <w:rFonts w:eastAsia="Times New Roman" w:cs="Arial"/>
          <w:color w:val="000000"/>
          <w:lang w:eastAsia="bg-BG"/>
        </w:rPr>
      </w:pPr>
    </w:p>
    <w:p w14:paraId="07BB4356" w14:textId="7E22EC85" w:rsidR="00CF0CFB" w:rsidRPr="00CF0CFB" w:rsidRDefault="00CF0CFB" w:rsidP="00CF0CFB">
      <w:pPr>
        <w:spacing w:line="240" w:lineRule="auto"/>
        <w:rPr>
          <w:rFonts w:eastAsia="Times New Roman" w:cs="Arial"/>
        </w:rPr>
      </w:pPr>
      <w:r w:rsidRPr="00CF0CFB">
        <w:rPr>
          <w:rFonts w:eastAsia="Times New Roman" w:cs="Arial"/>
          <w:color w:val="000000"/>
          <w:lang w:eastAsia="bg-BG"/>
        </w:rPr>
        <w:t>Хидрохлоротиазид може да предизвика отслабване на отговора към действието на пресорните амини (напр. адреналин), но не и да доведе на липса па пресорен ефект.</w:t>
      </w:r>
    </w:p>
    <w:p w14:paraId="30B52015" w14:textId="77777777" w:rsidR="00CF0CFB" w:rsidRDefault="00CF0CFB" w:rsidP="00CF0CFB">
      <w:pPr>
        <w:spacing w:line="240" w:lineRule="auto"/>
        <w:rPr>
          <w:rFonts w:eastAsia="Times New Roman" w:cs="Arial"/>
          <w:color w:val="000000"/>
          <w:lang w:eastAsia="bg-BG"/>
        </w:rPr>
      </w:pPr>
    </w:p>
    <w:p w14:paraId="3612F3CA" w14:textId="3D38377A" w:rsidR="00CF0CFB" w:rsidRPr="00CF0CFB" w:rsidRDefault="00CF0CFB" w:rsidP="00CF0CFB">
      <w:pPr>
        <w:spacing w:line="240" w:lineRule="auto"/>
        <w:rPr>
          <w:rFonts w:eastAsia="Times New Roman" w:cs="Arial"/>
        </w:rPr>
      </w:pPr>
      <w:r w:rsidRPr="00CF0CFB">
        <w:rPr>
          <w:rFonts w:eastAsia="Times New Roman" w:cs="Arial"/>
          <w:color w:val="000000"/>
          <w:lang w:eastAsia="bg-BG"/>
        </w:rPr>
        <w:t>Хидрохлоротиазид може да повиши риска за развитие на остра бъбречна недостатъчност, особено при приложение на йодни контрастни вещества във високи дози.</w:t>
      </w:r>
    </w:p>
    <w:p w14:paraId="25E0D8CE" w14:textId="77777777" w:rsidR="00CF0CFB" w:rsidRDefault="00CF0CFB" w:rsidP="00CF0CFB">
      <w:pPr>
        <w:spacing w:line="240" w:lineRule="auto"/>
        <w:rPr>
          <w:rFonts w:eastAsia="Times New Roman" w:cs="Arial"/>
          <w:color w:val="000000"/>
          <w:lang w:eastAsia="bg-BG"/>
        </w:rPr>
      </w:pPr>
    </w:p>
    <w:p w14:paraId="101F530B" w14:textId="2F9C9A86" w:rsidR="00CF0CFB" w:rsidRPr="00CF0CFB" w:rsidRDefault="00CF0CFB" w:rsidP="00CF0CFB">
      <w:pPr>
        <w:spacing w:line="240" w:lineRule="auto"/>
        <w:rPr>
          <w:rFonts w:eastAsia="Times New Roman" w:cs="Arial"/>
        </w:rPr>
      </w:pPr>
      <w:r w:rsidRPr="00CF0CFB">
        <w:rPr>
          <w:rFonts w:eastAsia="Times New Roman" w:cs="Arial"/>
          <w:color w:val="000000"/>
          <w:lang w:eastAsia="bg-BG"/>
        </w:rPr>
        <w:t>Едновременното лечение с циклоспорин може да повиши риска от развитие на хиперурекемия и усложнения от типа на подагра.</w:t>
      </w:r>
    </w:p>
    <w:p w14:paraId="570D6B8F" w14:textId="77777777" w:rsidR="00CF0CFB" w:rsidRDefault="00CF0CFB" w:rsidP="00CF0CFB">
      <w:pPr>
        <w:spacing w:line="240" w:lineRule="auto"/>
        <w:rPr>
          <w:rFonts w:eastAsia="Times New Roman" w:cs="Arial"/>
          <w:color w:val="000000"/>
          <w:lang w:eastAsia="bg-BG"/>
        </w:rPr>
      </w:pPr>
    </w:p>
    <w:p w14:paraId="1CC18B7D" w14:textId="3DEA0D4F" w:rsidR="00CF0CFB" w:rsidRPr="00CF0CFB" w:rsidRDefault="00CF0CFB" w:rsidP="00CF0CFB">
      <w:pPr>
        <w:spacing w:line="240" w:lineRule="auto"/>
        <w:rPr>
          <w:rFonts w:eastAsia="Times New Roman" w:cs="Arial"/>
        </w:rPr>
      </w:pPr>
      <w:r w:rsidRPr="00CF0CFB">
        <w:rPr>
          <w:rFonts w:eastAsia="Times New Roman" w:cs="Arial"/>
          <w:color w:val="000000"/>
          <w:lang w:eastAsia="bg-BG"/>
        </w:rPr>
        <w:t>Едновременното лечение с баклофен, амифостин, трициклични  антидепресанти или невролептици може да доведе до потенциране на антихипергензивния ефект и индуциране на хипотоиия.</w:t>
      </w:r>
    </w:p>
    <w:p w14:paraId="6BF66B7C" w14:textId="77777777" w:rsidR="00CF0CFB" w:rsidRPr="00CF0CFB" w:rsidRDefault="00CF0CFB" w:rsidP="00CF0CFB">
      <w:pPr>
        <w:rPr>
          <w:rFonts w:eastAsia="Times New Roman" w:cs="Arial"/>
          <w:color w:val="000000"/>
          <w:lang w:eastAsia="bg-BG"/>
        </w:rPr>
      </w:pPr>
    </w:p>
    <w:p w14:paraId="0ECB8A79" w14:textId="77777777" w:rsidR="00CF0CFB" w:rsidRPr="00CF0CFB" w:rsidRDefault="00CF0CFB" w:rsidP="00CF0CFB">
      <w:pPr>
        <w:rPr>
          <w:lang w:val="ru-RU"/>
        </w:rPr>
      </w:pPr>
    </w:p>
    <w:p w14:paraId="29D2BD58" w14:textId="38E44150" w:rsidR="00DF4C8E" w:rsidRDefault="002C50EE" w:rsidP="00F44498">
      <w:pPr>
        <w:pStyle w:val="Heading2"/>
      </w:pPr>
      <w:r>
        <w:t>4.6. Фертилитет, бременност и кърмене</w:t>
      </w:r>
    </w:p>
    <w:p w14:paraId="27AA7746" w14:textId="51AE90C5" w:rsidR="00CF0CFB" w:rsidRDefault="00CF0CFB" w:rsidP="00CF0CFB"/>
    <w:p w14:paraId="3460FEEF" w14:textId="77777777" w:rsidR="00CF0CFB" w:rsidRPr="00CF0CFB" w:rsidRDefault="00CF0CFB" w:rsidP="00CF0CFB">
      <w:pPr>
        <w:pStyle w:val="Heading3"/>
        <w:rPr>
          <w:rFonts w:eastAsia="Times New Roman"/>
          <w:u w:val="single"/>
        </w:rPr>
      </w:pPr>
      <w:r w:rsidRPr="00CF0CFB">
        <w:rPr>
          <w:rFonts w:eastAsia="Times New Roman"/>
          <w:u w:val="single"/>
          <w:lang w:eastAsia="bg-BG"/>
        </w:rPr>
        <w:t>Бременност</w:t>
      </w:r>
    </w:p>
    <w:p w14:paraId="3F648217" w14:textId="77777777" w:rsidR="00CF0CFB" w:rsidRDefault="00CF0CFB" w:rsidP="00CF0CFB">
      <w:pPr>
        <w:rPr>
          <w:lang w:eastAsia="bg-BG"/>
        </w:rPr>
      </w:pPr>
    </w:p>
    <w:p w14:paraId="30F4B553" w14:textId="0DDF87D9" w:rsidR="00CF0CFB" w:rsidRDefault="00CF0CFB" w:rsidP="00CF0CFB">
      <w:pPr>
        <w:rPr>
          <w:lang w:eastAsia="bg-BG"/>
        </w:rPr>
      </w:pPr>
      <w:r w:rsidRPr="00CF0CFB">
        <w:rPr>
          <w:lang w:eastAsia="bg-BG"/>
        </w:rPr>
        <w:t xml:space="preserve">Ангиогензин </w:t>
      </w:r>
      <w:r w:rsidRPr="00CF0CFB">
        <w:rPr>
          <w:lang w:val="en-US"/>
        </w:rPr>
        <w:t>II</w:t>
      </w:r>
      <w:r w:rsidRPr="00CF0CFB">
        <w:rPr>
          <w:lang w:eastAsia="bg-BG"/>
        </w:rPr>
        <w:t xml:space="preserve"> Рецепторни Антагонисти (А</w:t>
      </w:r>
      <w:r w:rsidRPr="00CF0CFB">
        <w:rPr>
          <w:lang w:val="en-US"/>
        </w:rPr>
        <w:t>II</w:t>
      </w:r>
      <w:r w:rsidRPr="00CF0CFB">
        <w:rPr>
          <w:lang w:eastAsia="bg-BG"/>
        </w:rPr>
        <w:t>РА)</w:t>
      </w:r>
    </w:p>
    <w:p w14:paraId="536B3AFD" w14:textId="53C2EDBA" w:rsidR="00CF0CFB" w:rsidRDefault="00CF0CFB" w:rsidP="00CF0CFB">
      <w:pPr>
        <w:rPr>
          <w:rFonts w:ascii="Times New Roman" w:eastAsia="Times New Roman" w:hAnsi="Times New Roman" w:cs="Times New Roman"/>
          <w:color w:val="000000"/>
          <w:sz w:val="40"/>
          <w:szCs w:val="40"/>
          <w:lang w:eastAsia="bg-BG"/>
        </w:rPr>
      </w:pPr>
    </w:p>
    <w:tbl>
      <w:tblPr>
        <w:tblStyle w:val="TableGrid"/>
        <w:tblW w:w="0" w:type="auto"/>
        <w:tblLook w:val="04A0" w:firstRow="1" w:lastRow="0" w:firstColumn="1" w:lastColumn="0" w:noHBand="0" w:noVBand="1"/>
      </w:tblPr>
      <w:tblGrid>
        <w:gridCol w:w="9350"/>
      </w:tblGrid>
      <w:tr w:rsidR="00CF0CFB" w14:paraId="005FFF68" w14:textId="77777777" w:rsidTr="00CF0CFB">
        <w:tc>
          <w:tcPr>
            <w:tcW w:w="9350" w:type="dxa"/>
          </w:tcPr>
          <w:p w14:paraId="43D5E932" w14:textId="7D1EC6D5" w:rsidR="00CF0CFB" w:rsidRDefault="00CF0CFB" w:rsidP="00CF0CFB">
            <w:r>
              <w:t>Използването на А</w:t>
            </w:r>
            <w:r>
              <w:rPr>
                <w:lang w:val="en-US"/>
              </w:rPr>
              <w:t>II</w:t>
            </w:r>
            <w:r>
              <w:t>РА през първия триместър на бременността не се препоръчва (вж. точка 4.4). Използването на А</w:t>
            </w:r>
            <w:r>
              <w:rPr>
                <w:lang w:val="en-US"/>
              </w:rPr>
              <w:t>II</w:t>
            </w:r>
            <w:r>
              <w:t>РА през втория и третия триместър на бременността е противопоказано (вж. точки 4.3 и 4.4).</w:t>
            </w:r>
          </w:p>
        </w:tc>
      </w:tr>
    </w:tbl>
    <w:p w14:paraId="7826CF09" w14:textId="0C07F638" w:rsidR="00CF0CFB" w:rsidRDefault="00CF0CFB" w:rsidP="00CF0CFB"/>
    <w:p w14:paraId="28BA6081" w14:textId="77777777" w:rsidR="00CF0CFB" w:rsidRPr="00CF0CFB" w:rsidRDefault="00CF0CFB" w:rsidP="00CF0CFB">
      <w:pPr>
        <w:spacing w:line="240" w:lineRule="auto"/>
        <w:rPr>
          <w:rFonts w:eastAsia="Times New Roman" w:cs="Arial"/>
        </w:rPr>
      </w:pPr>
      <w:r w:rsidRPr="00CF0CFB">
        <w:rPr>
          <w:rFonts w:eastAsia="Times New Roman" w:cs="Arial"/>
          <w:color w:val="000000"/>
          <w:lang w:eastAsia="bg-BG"/>
        </w:rPr>
        <w:t>Епидемиологичните данни относно риска за тератогенни ефекти след експозиция на АСЕ иихибитори през първия триместър на бременността не са убедителни; малко увеличаване на риска обаче не може да бъде изключено. Макар да липсват контролирани епидемиологични данни относно риска при А</w:t>
      </w:r>
      <w:r w:rsidRPr="00CF0CFB">
        <w:rPr>
          <w:rFonts w:eastAsia="Times New Roman" w:cs="Arial"/>
          <w:color w:val="000000"/>
          <w:lang w:val="en-US"/>
        </w:rPr>
        <w:t>II</w:t>
      </w:r>
      <w:r w:rsidRPr="00CF0CFB">
        <w:rPr>
          <w:rFonts w:eastAsia="Times New Roman" w:cs="Arial"/>
          <w:color w:val="000000"/>
          <w:lang w:eastAsia="bg-BG"/>
        </w:rPr>
        <w:t>РА, възможно е да съществува сход ен риск и при този клас лекарства Освен ако продължаването на лечението с А</w:t>
      </w:r>
      <w:r w:rsidRPr="00CF0CFB">
        <w:rPr>
          <w:rFonts w:eastAsia="Times New Roman" w:cs="Arial"/>
          <w:color w:val="000000"/>
          <w:lang w:val="en-US"/>
        </w:rPr>
        <w:t>II</w:t>
      </w:r>
      <w:r w:rsidRPr="00CF0CFB">
        <w:rPr>
          <w:rFonts w:eastAsia="Times New Roman" w:cs="Arial"/>
          <w:color w:val="000000"/>
          <w:lang w:eastAsia="bg-BG"/>
        </w:rPr>
        <w:t>РА не се смята за крайно необходимо, пациентките, които възнамеряват да забременеят, трябва дапреминат на алтернативноантихипертензивно лечение, което е с установен профил на безопасност за употреба по време на бременност. При установяване на бременност лечението с А</w:t>
      </w:r>
      <w:r w:rsidRPr="00CF0CFB">
        <w:rPr>
          <w:rFonts w:eastAsia="Times New Roman" w:cs="Arial"/>
          <w:color w:val="000000"/>
          <w:lang w:val="en-US"/>
        </w:rPr>
        <w:t>II</w:t>
      </w:r>
      <w:r w:rsidRPr="00CF0CFB">
        <w:rPr>
          <w:rFonts w:eastAsia="Times New Roman" w:cs="Arial"/>
          <w:color w:val="000000"/>
          <w:lang w:eastAsia="bg-BG"/>
        </w:rPr>
        <w:t>РА трябва да се спре незабавно и, ако това е необходимо, да се започне алтернативно лечение.</w:t>
      </w:r>
    </w:p>
    <w:p w14:paraId="31AD2F35" w14:textId="77777777" w:rsidR="00CF0CFB" w:rsidRDefault="00CF0CFB" w:rsidP="00CF0CFB">
      <w:pPr>
        <w:spacing w:line="240" w:lineRule="auto"/>
        <w:rPr>
          <w:rFonts w:eastAsia="Times New Roman" w:cs="Arial"/>
          <w:color w:val="000000"/>
          <w:lang w:eastAsia="bg-BG"/>
        </w:rPr>
      </w:pPr>
    </w:p>
    <w:p w14:paraId="1114FFDF" w14:textId="0B8613AB" w:rsidR="00CF0CFB" w:rsidRPr="00CF0CFB" w:rsidRDefault="00CF0CFB" w:rsidP="00CF0CFB">
      <w:pPr>
        <w:spacing w:line="240" w:lineRule="auto"/>
        <w:rPr>
          <w:rFonts w:eastAsia="Times New Roman" w:cs="Arial"/>
        </w:rPr>
      </w:pPr>
      <w:r w:rsidRPr="00CF0CFB">
        <w:rPr>
          <w:rFonts w:eastAsia="Times New Roman" w:cs="Arial"/>
          <w:color w:val="000000"/>
          <w:lang w:eastAsia="bg-BG"/>
        </w:rPr>
        <w:t>Известно е, че при хора експозицията на А</w:t>
      </w:r>
      <w:r w:rsidRPr="00CF0CFB">
        <w:rPr>
          <w:rFonts w:eastAsia="Times New Roman" w:cs="Arial"/>
          <w:color w:val="000000"/>
          <w:lang w:val="en-US"/>
        </w:rPr>
        <w:t>II</w:t>
      </w:r>
      <w:r w:rsidRPr="00CF0CFB">
        <w:rPr>
          <w:rFonts w:eastAsia="Times New Roman" w:cs="Arial"/>
          <w:color w:val="000000"/>
          <w:lang w:eastAsia="bg-BG"/>
        </w:rPr>
        <w:t>РА през втория и третия триместър на бременността предизвиква фетотоксичност (влошена бъбречна функция, олигохидрамнион, забавяне на оснфикацията на черепните кости) и неонатална токсичност (бъбречна недостатъчност, хипотония, хиперкалиемия)(вж. точка 5.3).</w:t>
      </w:r>
    </w:p>
    <w:p w14:paraId="6DA8BAAB" w14:textId="77777777" w:rsidR="00CF0CFB" w:rsidRPr="00CF0CFB" w:rsidRDefault="00CF0CFB" w:rsidP="00CF0CFB">
      <w:pPr>
        <w:spacing w:line="240" w:lineRule="auto"/>
        <w:rPr>
          <w:rFonts w:eastAsia="Times New Roman" w:cs="Arial"/>
        </w:rPr>
      </w:pPr>
      <w:r w:rsidRPr="00CF0CFB">
        <w:rPr>
          <w:rFonts w:eastAsia="Times New Roman" w:cs="Arial"/>
          <w:color w:val="000000"/>
          <w:lang w:eastAsia="bg-BG"/>
        </w:rPr>
        <w:t>При експозиция на А</w:t>
      </w:r>
      <w:r w:rsidRPr="00CF0CFB">
        <w:rPr>
          <w:rFonts w:eastAsia="Times New Roman" w:cs="Arial"/>
          <w:color w:val="000000"/>
          <w:lang w:val="en-US"/>
        </w:rPr>
        <w:t>II</w:t>
      </w:r>
      <w:r w:rsidRPr="00CF0CFB">
        <w:rPr>
          <w:rFonts w:eastAsia="Times New Roman" w:cs="Arial"/>
          <w:color w:val="000000"/>
          <w:lang w:eastAsia="bg-BG"/>
        </w:rPr>
        <w:t>РА през втория и третия триместър на бременността се препоръчва ехографска оценка на бъбречната функция и черепните кости.</w:t>
      </w:r>
    </w:p>
    <w:p w14:paraId="7D0E15D9" w14:textId="77777777" w:rsidR="00CF0CFB" w:rsidRPr="00CF0CFB" w:rsidRDefault="00CF0CFB" w:rsidP="00CF0CFB">
      <w:pPr>
        <w:spacing w:line="240" w:lineRule="auto"/>
        <w:rPr>
          <w:rFonts w:eastAsia="Times New Roman" w:cs="Arial"/>
        </w:rPr>
      </w:pPr>
      <w:r w:rsidRPr="00CF0CFB">
        <w:rPr>
          <w:rFonts w:eastAsia="Times New Roman" w:cs="Arial"/>
          <w:color w:val="000000"/>
          <w:lang w:eastAsia="bg-BG"/>
        </w:rPr>
        <w:t>Новородени, чиито майки са приемали А</w:t>
      </w:r>
      <w:r w:rsidRPr="00CF0CFB">
        <w:rPr>
          <w:rFonts w:eastAsia="Times New Roman" w:cs="Arial"/>
          <w:color w:val="000000"/>
          <w:lang w:val="en-US"/>
        </w:rPr>
        <w:t>II</w:t>
      </w:r>
      <w:r w:rsidRPr="00CF0CFB">
        <w:rPr>
          <w:rFonts w:eastAsia="Times New Roman" w:cs="Arial"/>
          <w:color w:val="000000"/>
          <w:lang w:eastAsia="bg-BG"/>
        </w:rPr>
        <w:t>РА, трябва да се следят стриктно за развитие на хипотония (вж. точки 4.3 и 4.4).</w:t>
      </w:r>
    </w:p>
    <w:p w14:paraId="7672A49E" w14:textId="77777777" w:rsidR="00CF0CFB" w:rsidRDefault="00CF0CFB" w:rsidP="00CF0CFB">
      <w:pPr>
        <w:spacing w:line="240" w:lineRule="auto"/>
        <w:rPr>
          <w:rFonts w:eastAsia="Times New Roman" w:cs="Arial"/>
          <w:color w:val="000000"/>
          <w:lang w:eastAsia="bg-BG"/>
        </w:rPr>
      </w:pPr>
    </w:p>
    <w:p w14:paraId="20691D0C" w14:textId="5BF8E4E9" w:rsidR="00CF0CFB" w:rsidRPr="00CF0CFB" w:rsidRDefault="00CF0CFB" w:rsidP="00CF0CFB">
      <w:pPr>
        <w:spacing w:line="240" w:lineRule="auto"/>
        <w:rPr>
          <w:rFonts w:eastAsia="Times New Roman" w:cs="Arial"/>
        </w:rPr>
      </w:pPr>
      <w:r w:rsidRPr="00CF0CFB">
        <w:rPr>
          <w:rFonts w:eastAsia="Times New Roman" w:cs="Arial"/>
          <w:color w:val="000000"/>
          <w:lang w:eastAsia="bg-BG"/>
        </w:rPr>
        <w:t>Хидрохлоротиазид:</w:t>
      </w:r>
    </w:p>
    <w:p w14:paraId="7B8C0888" w14:textId="77777777" w:rsidR="00CF0CFB" w:rsidRPr="00CF0CFB" w:rsidRDefault="00CF0CFB" w:rsidP="00CF0CFB">
      <w:pPr>
        <w:spacing w:line="240" w:lineRule="auto"/>
        <w:rPr>
          <w:rFonts w:eastAsia="Times New Roman" w:cs="Arial"/>
        </w:rPr>
      </w:pPr>
      <w:r w:rsidRPr="00CF0CFB">
        <w:rPr>
          <w:rFonts w:eastAsia="Times New Roman" w:cs="Arial"/>
          <w:color w:val="000000"/>
          <w:lang w:eastAsia="bg-BG"/>
        </w:rPr>
        <w:lastRenderedPageBreak/>
        <w:t>Опитът с прием на хидрохлоротиазид по време на бременност е ограничен, особено през първия триместър. Проучванията при животни са недостатъчни.</w:t>
      </w:r>
    </w:p>
    <w:p w14:paraId="46304BEE" w14:textId="77777777" w:rsidR="00CF0CFB" w:rsidRPr="00CF0CFB" w:rsidRDefault="00CF0CFB" w:rsidP="00CF0CFB">
      <w:pPr>
        <w:spacing w:line="240" w:lineRule="auto"/>
        <w:rPr>
          <w:rFonts w:eastAsia="Times New Roman" w:cs="Arial"/>
        </w:rPr>
      </w:pPr>
      <w:r w:rsidRPr="00CF0CFB">
        <w:rPr>
          <w:rFonts w:eastAsia="Times New Roman" w:cs="Arial"/>
          <w:color w:val="000000"/>
          <w:lang w:eastAsia="bg-BG"/>
        </w:rPr>
        <w:t>Хидрохлоротиазид преминава през плацентата. Въз основа на фармакологичния механизъм на действие на хидрохлоротиазид може да се очаква, че при приемът му през втория и третия триместър на бременността ще компрометира фетоплацентарната перфузия и може да окаже ефекти върху плода и новороденото като икгер, нарушения на водно-електролитния баланс и тромбоцитопения.</w:t>
      </w:r>
    </w:p>
    <w:p w14:paraId="45DDD37C" w14:textId="77777777" w:rsidR="00CF0CFB" w:rsidRPr="00CF0CFB" w:rsidRDefault="00CF0CFB" w:rsidP="00CF0CFB">
      <w:pPr>
        <w:spacing w:line="240" w:lineRule="auto"/>
        <w:rPr>
          <w:rFonts w:eastAsia="Times New Roman" w:cs="Arial"/>
        </w:rPr>
      </w:pPr>
      <w:r w:rsidRPr="00CF0CFB">
        <w:rPr>
          <w:rFonts w:eastAsia="Times New Roman" w:cs="Arial"/>
          <w:color w:val="000000"/>
          <w:lang w:eastAsia="bg-BG"/>
        </w:rPr>
        <w:t xml:space="preserve">Хидрохлоротиазид не трябва да се прилага при отоци по </w:t>
      </w:r>
      <w:r w:rsidRPr="00CF0CFB">
        <w:rPr>
          <w:rFonts w:eastAsia="Times New Roman" w:cs="Arial"/>
          <w:i/>
          <w:iCs/>
          <w:color w:val="000000"/>
          <w:lang w:eastAsia="bg-BG"/>
        </w:rPr>
        <w:t>време</w:t>
      </w:r>
      <w:r w:rsidRPr="00CF0CFB">
        <w:rPr>
          <w:rFonts w:eastAsia="Times New Roman" w:cs="Arial"/>
          <w:color w:val="000000"/>
          <w:lang w:eastAsia="bg-BG"/>
        </w:rPr>
        <w:t xml:space="preserve"> на бременност, гестационна хипертония или прееклампсия поради риска от понижен плазмен обем </w:t>
      </w:r>
      <w:r w:rsidRPr="00CF0CFB">
        <w:rPr>
          <w:rFonts w:eastAsia="Times New Roman" w:cs="Arial"/>
          <w:i/>
          <w:iCs/>
          <w:color w:val="000000"/>
          <w:lang w:eastAsia="bg-BG"/>
        </w:rPr>
        <w:t>и</w:t>
      </w:r>
      <w:r w:rsidRPr="00CF0CFB">
        <w:rPr>
          <w:rFonts w:eastAsia="Times New Roman" w:cs="Arial"/>
          <w:color w:val="000000"/>
          <w:lang w:eastAsia="bg-BG"/>
        </w:rPr>
        <w:t xml:space="preserve"> плацентарна хипоперфузия, без благоприятен ефект върху хода на болестта.</w:t>
      </w:r>
    </w:p>
    <w:p w14:paraId="6A0716B5" w14:textId="77777777" w:rsidR="00CF0CFB" w:rsidRPr="00CF0CFB" w:rsidRDefault="00CF0CFB" w:rsidP="00CF0CFB">
      <w:pPr>
        <w:spacing w:line="240" w:lineRule="auto"/>
        <w:rPr>
          <w:rFonts w:eastAsia="Times New Roman" w:cs="Arial"/>
        </w:rPr>
      </w:pPr>
      <w:r w:rsidRPr="00CF0CFB">
        <w:rPr>
          <w:rFonts w:eastAsia="Times New Roman" w:cs="Arial"/>
          <w:color w:val="000000"/>
          <w:lang w:eastAsia="bg-BG"/>
        </w:rPr>
        <w:t>Хидрохлоротиазид не трябва да се прилага при есенциална хипертония при бременни жени освен в редки случаи, когато не може да се приложи никакво друго лечение.</w:t>
      </w:r>
    </w:p>
    <w:p w14:paraId="6974D485" w14:textId="77777777" w:rsidR="00CF0CFB" w:rsidRDefault="00CF0CFB" w:rsidP="00CF0CFB">
      <w:pPr>
        <w:spacing w:line="240" w:lineRule="auto"/>
        <w:rPr>
          <w:rFonts w:eastAsia="Times New Roman" w:cs="Arial"/>
          <w:color w:val="000000"/>
          <w:u w:val="single"/>
          <w:lang w:eastAsia="bg-BG"/>
        </w:rPr>
      </w:pPr>
    </w:p>
    <w:p w14:paraId="2CFF15B7" w14:textId="272249C5" w:rsidR="00CF0CFB" w:rsidRPr="00CF0CFB" w:rsidRDefault="00CF0CFB" w:rsidP="00CF0CFB">
      <w:pPr>
        <w:pStyle w:val="Heading3"/>
        <w:rPr>
          <w:rFonts w:eastAsia="Times New Roman"/>
          <w:u w:val="single"/>
        </w:rPr>
      </w:pPr>
      <w:r w:rsidRPr="00CF0CFB">
        <w:rPr>
          <w:rFonts w:eastAsia="Times New Roman"/>
          <w:u w:val="single"/>
          <w:lang w:eastAsia="bg-BG"/>
        </w:rPr>
        <w:t>Кърмене</w:t>
      </w:r>
    </w:p>
    <w:p w14:paraId="50F0DFE7" w14:textId="77777777" w:rsidR="00CF0CFB" w:rsidRPr="00CF0CFB" w:rsidRDefault="00CF0CFB" w:rsidP="00CF0CFB">
      <w:pPr>
        <w:spacing w:line="240" w:lineRule="auto"/>
        <w:rPr>
          <w:rFonts w:eastAsia="Times New Roman" w:cs="Arial"/>
        </w:rPr>
      </w:pPr>
      <w:r w:rsidRPr="00CF0CFB">
        <w:rPr>
          <w:rFonts w:eastAsia="Times New Roman" w:cs="Arial"/>
          <w:color w:val="000000"/>
          <w:lang w:eastAsia="bg-BG"/>
        </w:rPr>
        <w:t>Ангиотензин II Рецепторни антагонисти (А</w:t>
      </w:r>
      <w:r w:rsidRPr="00CF0CFB">
        <w:rPr>
          <w:rFonts w:eastAsia="Times New Roman" w:cs="Arial"/>
          <w:color w:val="000000"/>
          <w:lang w:val="en-US"/>
        </w:rPr>
        <w:t>II</w:t>
      </w:r>
      <w:r w:rsidRPr="00CF0CFB">
        <w:rPr>
          <w:rFonts w:eastAsia="Times New Roman" w:cs="Arial"/>
          <w:color w:val="000000"/>
          <w:lang w:eastAsia="bg-BG"/>
        </w:rPr>
        <w:t>РА):</w:t>
      </w:r>
    </w:p>
    <w:p w14:paraId="43CA7344" w14:textId="77777777" w:rsidR="00CF0CFB" w:rsidRPr="00CF0CFB" w:rsidRDefault="00CF0CFB" w:rsidP="00CF0CFB">
      <w:pPr>
        <w:spacing w:line="240" w:lineRule="auto"/>
        <w:rPr>
          <w:rFonts w:eastAsia="Times New Roman" w:cs="Arial"/>
        </w:rPr>
      </w:pPr>
      <w:r w:rsidRPr="00CF0CFB">
        <w:rPr>
          <w:rFonts w:eastAsia="Times New Roman" w:cs="Arial"/>
          <w:color w:val="000000"/>
          <w:lang w:eastAsia="bg-BG"/>
        </w:rPr>
        <w:t>Тъй като няма налична информация за употребата па Репидо Плюс но време на кърмене, Репидо Плюс не се препоръчва, а се предпочитат алтернативни лекарствени средства с по-добре установен профил на безопасност при кърмене, особено при кърмене на новородено недоносено дете.</w:t>
      </w:r>
    </w:p>
    <w:p w14:paraId="0E84F9B6" w14:textId="77777777" w:rsidR="00CF0CFB" w:rsidRDefault="00CF0CFB" w:rsidP="00CF0CFB">
      <w:pPr>
        <w:spacing w:line="240" w:lineRule="auto"/>
        <w:rPr>
          <w:rFonts w:eastAsia="Times New Roman" w:cs="Arial"/>
          <w:color w:val="000000"/>
          <w:lang w:eastAsia="bg-BG"/>
        </w:rPr>
      </w:pPr>
    </w:p>
    <w:p w14:paraId="48B4C315" w14:textId="4209D6DF" w:rsidR="00CF0CFB" w:rsidRPr="00CF0CFB" w:rsidRDefault="00CF0CFB" w:rsidP="00CF0CFB">
      <w:pPr>
        <w:spacing w:line="240" w:lineRule="auto"/>
        <w:rPr>
          <w:rFonts w:eastAsia="Times New Roman" w:cs="Arial"/>
        </w:rPr>
      </w:pPr>
      <w:r w:rsidRPr="00CF0CFB">
        <w:rPr>
          <w:rFonts w:eastAsia="Times New Roman" w:cs="Arial"/>
          <w:color w:val="000000"/>
          <w:lang w:eastAsia="bg-BG"/>
        </w:rPr>
        <w:t>Хидрохлоротиазид</w:t>
      </w:r>
    </w:p>
    <w:p w14:paraId="287D6D94" w14:textId="551FDD1D" w:rsidR="00CF0CFB" w:rsidRPr="00CF0CFB" w:rsidRDefault="00CF0CFB" w:rsidP="00CF0CFB">
      <w:pPr>
        <w:rPr>
          <w:rFonts w:eastAsia="Times New Roman" w:cs="Arial"/>
          <w:color w:val="000000"/>
          <w:lang w:eastAsia="bg-BG"/>
        </w:rPr>
      </w:pPr>
      <w:r w:rsidRPr="00CF0CFB">
        <w:rPr>
          <w:rFonts w:eastAsia="Times New Roman" w:cs="Arial"/>
          <w:color w:val="000000"/>
          <w:lang w:eastAsia="bg-BG"/>
        </w:rPr>
        <w:t>При хора хидрохлоротиазид се екскретира в кърмата в малко количество. Тиазидите във високи дози, предизвикващи интензивна диуреза, могат да инхибират образуването на кърма. Използването па Репидо Плюс по време на кърмене не се препоръчва. Ако Репидо плюс се използва по време на кърмене, трябва да се прилагат възможно най-ниски дози.</w:t>
      </w:r>
    </w:p>
    <w:p w14:paraId="0EAAB5A9" w14:textId="4607CE3D" w:rsidR="00CF0CFB" w:rsidRPr="00CF0CFB" w:rsidRDefault="00CF0CFB" w:rsidP="00CF0CFB"/>
    <w:p w14:paraId="4DF5A2E7" w14:textId="1E6C86A6" w:rsidR="00DF4C8E" w:rsidRDefault="002C50EE" w:rsidP="00F44498">
      <w:pPr>
        <w:pStyle w:val="Heading2"/>
      </w:pPr>
      <w:r>
        <w:t>4.7. Ефекти върху способността за шофиране и работа с машини</w:t>
      </w:r>
    </w:p>
    <w:p w14:paraId="44764561" w14:textId="347FDCB1" w:rsidR="00CF0CFB" w:rsidRDefault="00CF0CFB" w:rsidP="00CF0CFB"/>
    <w:p w14:paraId="60B2BDB6" w14:textId="77777777" w:rsidR="00CF0CFB" w:rsidRPr="00CF0CFB" w:rsidRDefault="00CF0CFB" w:rsidP="00CF0CFB">
      <w:pPr>
        <w:rPr>
          <w:sz w:val="24"/>
          <w:szCs w:val="24"/>
        </w:rPr>
      </w:pPr>
      <w:r w:rsidRPr="00CF0CFB">
        <w:rPr>
          <w:lang w:eastAsia="bg-BG"/>
        </w:rPr>
        <w:t>Не са правени проучвания на ефектите върху способността за шофиране и работа с машини. При шофиране и работа с машини трябва да се имат предвид редките случаи на замайване или отпадналост по време на лечението с Репндо Плюс.</w:t>
      </w:r>
    </w:p>
    <w:p w14:paraId="3474F278" w14:textId="0586BDDD" w:rsidR="00CF0CFB" w:rsidRPr="00CF0CFB" w:rsidRDefault="00CF0CFB" w:rsidP="00CF0CFB"/>
    <w:p w14:paraId="28229498" w14:textId="4424DB77" w:rsidR="00DF4C8E" w:rsidRDefault="002C50EE" w:rsidP="00F44498">
      <w:pPr>
        <w:pStyle w:val="Heading2"/>
      </w:pPr>
      <w:r>
        <w:t>4.8. Нежелани лекарствени реакции</w:t>
      </w:r>
    </w:p>
    <w:p w14:paraId="550430BB" w14:textId="1D2E79B7" w:rsidR="00CF0CFB" w:rsidRDefault="00CF0CFB" w:rsidP="00CF0CFB"/>
    <w:p w14:paraId="100C79CE" w14:textId="77777777" w:rsidR="00CF0CFB" w:rsidRPr="00CF0CFB" w:rsidRDefault="00CF0CFB" w:rsidP="00CF0CFB">
      <w:pPr>
        <w:spacing w:line="240" w:lineRule="auto"/>
        <w:rPr>
          <w:rFonts w:eastAsia="Times New Roman" w:cs="Arial"/>
        </w:rPr>
      </w:pPr>
      <w:r w:rsidRPr="00CF0CFB">
        <w:rPr>
          <w:rFonts w:eastAsia="Times New Roman" w:cs="Arial"/>
          <w:color w:val="000000"/>
          <w:lang w:eastAsia="bg-BG"/>
        </w:rPr>
        <w:t>В контролираните клинични проучвания на кандесарган цилексетил/хидрохлоротиазид нежеланите реакции са леки и преходни. Случаите на отпадане поради нежелани реакции са със сходна честота в трупите на кандесарган цилексетил/хидрохлоротиазид (2,3-3,3%) и плацебо (2,7- 43%).</w:t>
      </w:r>
    </w:p>
    <w:p w14:paraId="7B1D3BB0" w14:textId="77777777" w:rsidR="00CF0CFB" w:rsidRDefault="00CF0CFB" w:rsidP="00CF0CFB">
      <w:pPr>
        <w:spacing w:line="240" w:lineRule="auto"/>
        <w:rPr>
          <w:rFonts w:eastAsia="Times New Roman" w:cs="Arial"/>
          <w:color w:val="000000"/>
          <w:lang w:eastAsia="bg-BG"/>
        </w:rPr>
      </w:pPr>
    </w:p>
    <w:p w14:paraId="49A99F11" w14:textId="727B313F" w:rsidR="00CF0CFB" w:rsidRPr="00CF0CFB" w:rsidRDefault="00CF0CFB" w:rsidP="00CF0CFB">
      <w:pPr>
        <w:spacing w:line="240" w:lineRule="auto"/>
        <w:rPr>
          <w:rFonts w:eastAsia="Times New Roman" w:cs="Arial"/>
        </w:rPr>
      </w:pPr>
      <w:r w:rsidRPr="00CF0CFB">
        <w:rPr>
          <w:rFonts w:eastAsia="Times New Roman" w:cs="Arial"/>
          <w:color w:val="000000"/>
          <w:lang w:eastAsia="bg-BG"/>
        </w:rPr>
        <w:t>В клиничните проучвания на кандесартан цилексетил/хидрохлоротиазид нежеланите реакции са ограничени до такива, за които има по-ранни съобщения при кандесарган цилексетил и/или хидрохлоротиазид.</w:t>
      </w:r>
    </w:p>
    <w:p w14:paraId="5FF5C45E" w14:textId="77777777" w:rsidR="00CF0CFB" w:rsidRDefault="00CF0CFB" w:rsidP="00CF0CFB">
      <w:pPr>
        <w:spacing w:line="240" w:lineRule="auto"/>
        <w:rPr>
          <w:rFonts w:eastAsia="Times New Roman" w:cs="Arial"/>
          <w:color w:val="000000"/>
          <w:lang w:eastAsia="bg-BG"/>
        </w:rPr>
      </w:pPr>
    </w:p>
    <w:p w14:paraId="0B4827BF" w14:textId="33E1292F" w:rsidR="00CF0CFB" w:rsidRPr="00CF0CFB" w:rsidRDefault="00CF0CFB" w:rsidP="00CF0CFB">
      <w:pPr>
        <w:spacing w:line="240" w:lineRule="auto"/>
        <w:rPr>
          <w:rFonts w:eastAsia="Times New Roman" w:cs="Arial"/>
        </w:rPr>
      </w:pPr>
      <w:r w:rsidRPr="00CF0CFB">
        <w:rPr>
          <w:rFonts w:eastAsia="Times New Roman" w:cs="Arial"/>
          <w:color w:val="000000"/>
          <w:lang w:eastAsia="bg-BG"/>
        </w:rPr>
        <w:t xml:space="preserve">В дадената по-долу таблица са представени нежеланите реакции при прием на кандесарган цилексетил в клинични проучвания и от постмаркетинговия опит. В сборен анализ на данните от клиничните проучвания при пациенти с артериална хипертония нежеланите реакции към кандесарган цилексетил са дефинирани според честота на </w:t>
      </w:r>
      <w:r w:rsidRPr="00CF0CFB">
        <w:rPr>
          <w:rFonts w:eastAsia="Times New Roman" w:cs="Arial"/>
          <w:color w:val="000000"/>
          <w:lang w:eastAsia="bg-BG"/>
        </w:rPr>
        <w:lastRenderedPageBreak/>
        <w:t>възникване при прием на кандесарган цилексетил, надвишаваща с поне 1% честотата при прием на плацебо.</w:t>
      </w:r>
    </w:p>
    <w:p w14:paraId="1EC2D7E5" w14:textId="77777777" w:rsidR="00CF0CFB" w:rsidRDefault="00CF0CFB" w:rsidP="00CF0CFB">
      <w:pPr>
        <w:rPr>
          <w:rFonts w:eastAsia="Times New Roman" w:cs="Arial"/>
          <w:color w:val="000000"/>
          <w:lang w:eastAsia="bg-BG"/>
        </w:rPr>
      </w:pPr>
    </w:p>
    <w:p w14:paraId="1B001E53" w14:textId="2B87CE3E" w:rsidR="00CF0CFB" w:rsidRDefault="00CF0CFB" w:rsidP="00CF0CFB">
      <w:pPr>
        <w:rPr>
          <w:rFonts w:eastAsia="Times New Roman" w:cs="Arial"/>
          <w:color w:val="000000"/>
          <w:lang w:eastAsia="bg-BG"/>
        </w:rPr>
      </w:pPr>
      <w:r w:rsidRPr="00CF0CFB">
        <w:rPr>
          <w:rFonts w:eastAsia="Times New Roman" w:cs="Arial"/>
          <w:color w:val="000000"/>
          <w:lang w:eastAsia="bg-BG"/>
        </w:rPr>
        <w:t>Честотите в таблиците в точка 4.8 са: много чести (≥1/10), чести (≥ 1/100 до &lt; 1/10), нечести (≥1/1 000 до &lt; 1/100), редки (≥ 1/10 000 до &lt; 1/1 000), много редки (&lt; 1/10 000) и с неизвестна честота (честотата не може да б</w:t>
      </w:r>
      <w:r>
        <w:rPr>
          <w:rFonts w:eastAsia="Times New Roman" w:cs="Arial"/>
          <w:color w:val="000000"/>
          <w:lang w:eastAsia="bg-BG"/>
        </w:rPr>
        <w:t>ъде оценена от наличните данни).</w:t>
      </w:r>
    </w:p>
    <w:p w14:paraId="13FFEB61" w14:textId="5BF5AD52" w:rsidR="00CF0CFB" w:rsidRDefault="00CF0CFB" w:rsidP="00CF0CFB">
      <w:pPr>
        <w:rPr>
          <w:rFonts w:eastAsia="Times New Roman" w:cs="Arial"/>
          <w:color w:val="000000"/>
          <w:lang w:eastAsia="bg-BG"/>
        </w:rPr>
      </w:pPr>
    </w:p>
    <w:tbl>
      <w:tblPr>
        <w:tblStyle w:val="TableGrid"/>
        <w:tblW w:w="0" w:type="auto"/>
        <w:tblLook w:val="04A0" w:firstRow="1" w:lastRow="0" w:firstColumn="1" w:lastColumn="0" w:noHBand="0" w:noVBand="1"/>
      </w:tblPr>
      <w:tblGrid>
        <w:gridCol w:w="3116"/>
        <w:gridCol w:w="3117"/>
        <w:gridCol w:w="3117"/>
      </w:tblGrid>
      <w:tr w:rsidR="00CF0CFB" w14:paraId="6EF6DC36" w14:textId="77777777" w:rsidTr="004813A6">
        <w:tc>
          <w:tcPr>
            <w:tcW w:w="3116" w:type="dxa"/>
            <w:vAlign w:val="bottom"/>
          </w:tcPr>
          <w:p w14:paraId="60DBB288" w14:textId="7ECADFCA" w:rsidR="00CF0CFB" w:rsidRPr="00CF0CFB" w:rsidRDefault="00CF0CFB" w:rsidP="00CF0CFB">
            <w:pPr>
              <w:rPr>
                <w:rFonts w:cs="Arial"/>
              </w:rPr>
            </w:pPr>
            <w:r w:rsidRPr="00CF0CFB">
              <w:t>Снстемо-органен клас</w:t>
            </w:r>
          </w:p>
        </w:tc>
        <w:tc>
          <w:tcPr>
            <w:tcW w:w="3117" w:type="dxa"/>
            <w:vAlign w:val="bottom"/>
          </w:tcPr>
          <w:p w14:paraId="675D00BE" w14:textId="47F8558C" w:rsidR="00CF0CFB" w:rsidRPr="00CF0CFB" w:rsidRDefault="00CF0CFB" w:rsidP="00CF0CFB">
            <w:pPr>
              <w:rPr>
                <w:rFonts w:cs="Arial"/>
              </w:rPr>
            </w:pPr>
            <w:r w:rsidRPr="00CF0CFB">
              <w:t>Честота</w:t>
            </w:r>
          </w:p>
        </w:tc>
        <w:tc>
          <w:tcPr>
            <w:tcW w:w="3117" w:type="dxa"/>
            <w:vAlign w:val="bottom"/>
          </w:tcPr>
          <w:p w14:paraId="75F26418" w14:textId="1CF6BDCB" w:rsidR="00CF0CFB" w:rsidRPr="00CF0CFB" w:rsidRDefault="00CF0CFB" w:rsidP="00CF0CFB">
            <w:pPr>
              <w:rPr>
                <w:rFonts w:cs="Arial"/>
              </w:rPr>
            </w:pPr>
            <w:r w:rsidRPr="00CF0CFB">
              <w:t>Нежелана реакции</w:t>
            </w:r>
          </w:p>
        </w:tc>
      </w:tr>
      <w:tr w:rsidR="00CF0CFB" w14:paraId="6CE97DF9" w14:textId="77777777" w:rsidTr="004813A6">
        <w:tc>
          <w:tcPr>
            <w:tcW w:w="3116" w:type="dxa"/>
            <w:vAlign w:val="bottom"/>
          </w:tcPr>
          <w:p w14:paraId="0F6AE840" w14:textId="40DBD7BB" w:rsidR="00CF0CFB" w:rsidRPr="00CF0CFB" w:rsidRDefault="00CF0CFB" w:rsidP="00CF0CFB">
            <w:pPr>
              <w:rPr>
                <w:rFonts w:cs="Arial"/>
              </w:rPr>
            </w:pPr>
            <w:r w:rsidRPr="00CF0CFB">
              <w:t>Инфекции и инфестации</w:t>
            </w:r>
          </w:p>
        </w:tc>
        <w:tc>
          <w:tcPr>
            <w:tcW w:w="3117" w:type="dxa"/>
            <w:vAlign w:val="bottom"/>
          </w:tcPr>
          <w:p w14:paraId="135C90A1" w14:textId="4CF0099C" w:rsidR="00CF0CFB" w:rsidRPr="00CF0CFB" w:rsidRDefault="00CF0CFB" w:rsidP="00CF0CFB">
            <w:pPr>
              <w:rPr>
                <w:rFonts w:cs="Arial"/>
              </w:rPr>
            </w:pPr>
            <w:r w:rsidRPr="00CF0CFB">
              <w:t>Чести</w:t>
            </w:r>
          </w:p>
        </w:tc>
        <w:tc>
          <w:tcPr>
            <w:tcW w:w="3117" w:type="dxa"/>
            <w:vAlign w:val="bottom"/>
          </w:tcPr>
          <w:p w14:paraId="61253EDD" w14:textId="2FAD75FF" w:rsidR="00CF0CFB" w:rsidRPr="00CF0CFB" w:rsidRDefault="00CF0CFB" w:rsidP="00CF0CFB">
            <w:pPr>
              <w:rPr>
                <w:rFonts w:cs="Arial"/>
              </w:rPr>
            </w:pPr>
            <w:r w:rsidRPr="00CF0CFB">
              <w:t>Респираторна инфекция</w:t>
            </w:r>
          </w:p>
        </w:tc>
      </w:tr>
      <w:tr w:rsidR="00CF0CFB" w14:paraId="43717816" w14:textId="77777777" w:rsidTr="004813A6">
        <w:tc>
          <w:tcPr>
            <w:tcW w:w="3116" w:type="dxa"/>
            <w:vAlign w:val="bottom"/>
          </w:tcPr>
          <w:p w14:paraId="5492A38E" w14:textId="2C9486B0" w:rsidR="00CF0CFB" w:rsidRPr="00CF0CFB" w:rsidRDefault="00CF0CFB" w:rsidP="00CF0CFB">
            <w:pPr>
              <w:rPr>
                <w:rFonts w:cs="Arial"/>
              </w:rPr>
            </w:pPr>
            <w:r w:rsidRPr="00CF0CFB">
              <w:t>Нарушения на кръвта и лимфната система</w:t>
            </w:r>
          </w:p>
        </w:tc>
        <w:tc>
          <w:tcPr>
            <w:tcW w:w="3117" w:type="dxa"/>
          </w:tcPr>
          <w:p w14:paraId="18996038" w14:textId="58FFD99D" w:rsidR="00CF0CFB" w:rsidRPr="00CF0CFB" w:rsidRDefault="00CF0CFB" w:rsidP="00CF0CFB">
            <w:pPr>
              <w:rPr>
                <w:rFonts w:cs="Arial"/>
              </w:rPr>
            </w:pPr>
            <w:r w:rsidRPr="00CF0CFB">
              <w:t>Много редки</w:t>
            </w:r>
          </w:p>
        </w:tc>
        <w:tc>
          <w:tcPr>
            <w:tcW w:w="3117" w:type="dxa"/>
            <w:vAlign w:val="bottom"/>
          </w:tcPr>
          <w:p w14:paraId="4F0D11D2" w14:textId="6A4C4768" w:rsidR="00CF0CFB" w:rsidRPr="00CF0CFB" w:rsidRDefault="00CF0CFB" w:rsidP="00CF0CFB">
            <w:pPr>
              <w:rPr>
                <w:rFonts w:cs="Arial"/>
              </w:rPr>
            </w:pPr>
            <w:r w:rsidRPr="00CF0CFB">
              <w:t>Левкопения, неутропения и агранулоцитоза</w:t>
            </w:r>
          </w:p>
        </w:tc>
      </w:tr>
      <w:tr w:rsidR="00CF0CFB" w14:paraId="77B72AD2" w14:textId="77777777" w:rsidTr="004813A6">
        <w:tc>
          <w:tcPr>
            <w:tcW w:w="3116" w:type="dxa"/>
            <w:vAlign w:val="bottom"/>
          </w:tcPr>
          <w:p w14:paraId="7318B2D0" w14:textId="0B5C45CA" w:rsidR="00CF0CFB" w:rsidRPr="00CF0CFB" w:rsidRDefault="00CF0CFB" w:rsidP="00CF0CFB">
            <w:pPr>
              <w:rPr>
                <w:rFonts w:cs="Arial"/>
              </w:rPr>
            </w:pPr>
            <w:r w:rsidRPr="00CF0CFB">
              <w:t>Нарушения на метаболизма и храненето</w:t>
            </w:r>
          </w:p>
        </w:tc>
        <w:tc>
          <w:tcPr>
            <w:tcW w:w="3117" w:type="dxa"/>
          </w:tcPr>
          <w:p w14:paraId="1590D911" w14:textId="6DEE0429" w:rsidR="00CF0CFB" w:rsidRPr="00CF0CFB" w:rsidRDefault="00CF0CFB" w:rsidP="00CF0CFB">
            <w:pPr>
              <w:rPr>
                <w:rFonts w:cs="Arial"/>
              </w:rPr>
            </w:pPr>
            <w:r w:rsidRPr="00CF0CFB">
              <w:t>Много редки</w:t>
            </w:r>
          </w:p>
        </w:tc>
        <w:tc>
          <w:tcPr>
            <w:tcW w:w="3117" w:type="dxa"/>
          </w:tcPr>
          <w:p w14:paraId="70E40C42" w14:textId="5F22986C" w:rsidR="00CF0CFB" w:rsidRPr="00CF0CFB" w:rsidRDefault="00CF0CFB" w:rsidP="00CF0CFB">
            <w:pPr>
              <w:rPr>
                <w:rFonts w:cs="Arial"/>
              </w:rPr>
            </w:pPr>
            <w:r w:rsidRPr="00CF0CFB">
              <w:t>Хиперкалиемия, хипонатриемия</w:t>
            </w:r>
          </w:p>
        </w:tc>
      </w:tr>
      <w:tr w:rsidR="00CF0CFB" w14:paraId="18517C63" w14:textId="77777777" w:rsidTr="00CF0CFB">
        <w:tc>
          <w:tcPr>
            <w:tcW w:w="3116" w:type="dxa"/>
          </w:tcPr>
          <w:p w14:paraId="48F2BB64" w14:textId="4D3E4711" w:rsidR="00CF0CFB" w:rsidRPr="00CF0CFB" w:rsidRDefault="00CF0CFB" w:rsidP="00CF0CFB">
            <w:pPr>
              <w:rPr>
                <w:rFonts w:cs="Arial"/>
              </w:rPr>
            </w:pPr>
            <w:r w:rsidRPr="00CF0CFB">
              <w:t>Нарушения на нервната система</w:t>
            </w:r>
          </w:p>
        </w:tc>
        <w:tc>
          <w:tcPr>
            <w:tcW w:w="3117" w:type="dxa"/>
          </w:tcPr>
          <w:p w14:paraId="230BC3F8" w14:textId="69393D3A" w:rsidR="00CF0CFB" w:rsidRPr="00CF0CFB" w:rsidRDefault="00CF0CFB" w:rsidP="00CF0CFB">
            <w:pPr>
              <w:rPr>
                <w:rFonts w:cs="Arial"/>
              </w:rPr>
            </w:pPr>
            <w:r w:rsidRPr="00CF0CFB">
              <w:t>Чести</w:t>
            </w:r>
          </w:p>
        </w:tc>
        <w:tc>
          <w:tcPr>
            <w:tcW w:w="3117" w:type="dxa"/>
          </w:tcPr>
          <w:p w14:paraId="1569D65D" w14:textId="53EEC30B" w:rsidR="00CF0CFB" w:rsidRPr="00CF0CFB" w:rsidRDefault="00CF0CFB" w:rsidP="00CF0CFB">
            <w:pPr>
              <w:rPr>
                <w:rFonts w:cs="Arial"/>
              </w:rPr>
            </w:pPr>
            <w:r w:rsidRPr="00CF0CFB">
              <w:t>Замайване/вертиго, главоболие</w:t>
            </w:r>
          </w:p>
        </w:tc>
      </w:tr>
      <w:tr w:rsidR="00CF0CFB" w14:paraId="2A3736FA" w14:textId="77777777" w:rsidTr="004813A6">
        <w:tc>
          <w:tcPr>
            <w:tcW w:w="3116" w:type="dxa"/>
            <w:vAlign w:val="bottom"/>
          </w:tcPr>
          <w:p w14:paraId="091DAA33" w14:textId="09BD6932" w:rsidR="00CF0CFB" w:rsidRPr="00CF0CFB" w:rsidRDefault="00CF0CFB" w:rsidP="00CF0CFB">
            <w:pPr>
              <w:rPr>
                <w:rFonts w:cs="Arial"/>
              </w:rPr>
            </w:pPr>
            <w:r w:rsidRPr="00CF0CFB">
              <w:t>Респираторни, гръдни и медиастинални нарушения</w:t>
            </w:r>
          </w:p>
        </w:tc>
        <w:tc>
          <w:tcPr>
            <w:tcW w:w="3117" w:type="dxa"/>
          </w:tcPr>
          <w:p w14:paraId="52171DE6" w14:textId="427961BB" w:rsidR="00CF0CFB" w:rsidRPr="00CF0CFB" w:rsidRDefault="00CF0CFB" w:rsidP="00CF0CFB">
            <w:pPr>
              <w:rPr>
                <w:rFonts w:cs="Arial"/>
              </w:rPr>
            </w:pPr>
            <w:r w:rsidRPr="00CF0CFB">
              <w:t>Много редки</w:t>
            </w:r>
          </w:p>
        </w:tc>
        <w:tc>
          <w:tcPr>
            <w:tcW w:w="3117" w:type="dxa"/>
          </w:tcPr>
          <w:p w14:paraId="5BE2E34F" w14:textId="45A7101C" w:rsidR="00CF0CFB" w:rsidRPr="00CF0CFB" w:rsidRDefault="00CF0CFB" w:rsidP="00CF0CFB">
            <w:pPr>
              <w:rPr>
                <w:rFonts w:cs="Arial"/>
              </w:rPr>
            </w:pPr>
            <w:r w:rsidRPr="00CF0CFB">
              <w:t>Кашлица</w:t>
            </w:r>
          </w:p>
        </w:tc>
      </w:tr>
      <w:tr w:rsidR="00CF0CFB" w14:paraId="43F16A60" w14:textId="77777777" w:rsidTr="004813A6">
        <w:tc>
          <w:tcPr>
            <w:tcW w:w="3116" w:type="dxa"/>
            <w:vAlign w:val="bottom"/>
          </w:tcPr>
          <w:p w14:paraId="2344D02A" w14:textId="3521DF75" w:rsidR="00CF0CFB" w:rsidRPr="00CF0CFB" w:rsidRDefault="00CF0CFB" w:rsidP="00CF0CFB">
            <w:pPr>
              <w:rPr>
                <w:rFonts w:cs="Arial"/>
              </w:rPr>
            </w:pPr>
            <w:r w:rsidRPr="00CF0CFB">
              <w:t>Стомашно-чревни нарушения</w:t>
            </w:r>
          </w:p>
        </w:tc>
        <w:tc>
          <w:tcPr>
            <w:tcW w:w="3117" w:type="dxa"/>
            <w:vAlign w:val="bottom"/>
          </w:tcPr>
          <w:p w14:paraId="21F2AFB4" w14:textId="6F866ACF" w:rsidR="00CF0CFB" w:rsidRPr="00CF0CFB" w:rsidRDefault="00CF0CFB" w:rsidP="00CF0CFB">
            <w:pPr>
              <w:rPr>
                <w:rFonts w:cs="Arial"/>
              </w:rPr>
            </w:pPr>
            <w:r w:rsidRPr="00CF0CFB">
              <w:t>Много редки</w:t>
            </w:r>
          </w:p>
        </w:tc>
        <w:tc>
          <w:tcPr>
            <w:tcW w:w="3117" w:type="dxa"/>
            <w:vAlign w:val="bottom"/>
          </w:tcPr>
          <w:p w14:paraId="764B5B10" w14:textId="12BC8934" w:rsidR="00CF0CFB" w:rsidRPr="00CF0CFB" w:rsidRDefault="00CF0CFB" w:rsidP="00CF0CFB">
            <w:pPr>
              <w:rPr>
                <w:rFonts w:cs="Arial"/>
              </w:rPr>
            </w:pPr>
            <w:r w:rsidRPr="00CF0CFB">
              <w:t>Гадене</w:t>
            </w:r>
          </w:p>
        </w:tc>
      </w:tr>
      <w:tr w:rsidR="00CF0CFB" w14:paraId="171E4CC6" w14:textId="77777777" w:rsidTr="00CF0CFB">
        <w:tc>
          <w:tcPr>
            <w:tcW w:w="3116" w:type="dxa"/>
          </w:tcPr>
          <w:p w14:paraId="1F8ABE91" w14:textId="65E8490F" w:rsidR="00CF0CFB" w:rsidRPr="00CF0CFB" w:rsidRDefault="00CF0CFB" w:rsidP="00CF0CFB">
            <w:pPr>
              <w:rPr>
                <w:rFonts w:cs="Arial"/>
              </w:rPr>
            </w:pPr>
            <w:r w:rsidRPr="00CF0CFB">
              <w:t>Хепатобилиарни нарушения</w:t>
            </w:r>
          </w:p>
        </w:tc>
        <w:tc>
          <w:tcPr>
            <w:tcW w:w="3117" w:type="dxa"/>
          </w:tcPr>
          <w:p w14:paraId="28BD846A" w14:textId="1B47B4FE" w:rsidR="00CF0CFB" w:rsidRPr="00CF0CFB" w:rsidRDefault="00CF0CFB" w:rsidP="00CF0CFB">
            <w:pPr>
              <w:rPr>
                <w:rFonts w:cs="Arial"/>
              </w:rPr>
            </w:pPr>
            <w:r w:rsidRPr="00CF0CFB">
              <w:t>Много редки</w:t>
            </w:r>
          </w:p>
        </w:tc>
        <w:tc>
          <w:tcPr>
            <w:tcW w:w="3117" w:type="dxa"/>
          </w:tcPr>
          <w:p w14:paraId="098D91C8" w14:textId="28F7475F" w:rsidR="00CF0CFB" w:rsidRPr="00CF0CFB" w:rsidRDefault="00CF0CFB" w:rsidP="00CF0CFB">
            <w:pPr>
              <w:rPr>
                <w:rFonts w:cs="Arial"/>
              </w:rPr>
            </w:pPr>
            <w:r w:rsidRPr="00CF0CFB">
              <w:t>Повишаване на чернодробните ензими, отклонения в чернодробната функция или хепатит</w:t>
            </w:r>
          </w:p>
        </w:tc>
      </w:tr>
      <w:tr w:rsidR="00CF0CFB" w14:paraId="558CFD2F" w14:textId="77777777" w:rsidTr="004813A6">
        <w:tc>
          <w:tcPr>
            <w:tcW w:w="3116" w:type="dxa"/>
            <w:vAlign w:val="bottom"/>
          </w:tcPr>
          <w:p w14:paraId="0073F45E" w14:textId="3179CBD9" w:rsidR="00CF0CFB" w:rsidRPr="00CF0CFB" w:rsidRDefault="00CF0CFB" w:rsidP="00CF0CFB">
            <w:pPr>
              <w:rPr>
                <w:rFonts w:cs="Arial"/>
              </w:rPr>
            </w:pPr>
            <w:r w:rsidRPr="00CF0CFB">
              <w:t>Нарушения на кожата и подкожната тъкан</w:t>
            </w:r>
          </w:p>
        </w:tc>
        <w:tc>
          <w:tcPr>
            <w:tcW w:w="3117" w:type="dxa"/>
          </w:tcPr>
          <w:p w14:paraId="7B72629B" w14:textId="288E107C" w:rsidR="00CF0CFB" w:rsidRPr="00CF0CFB" w:rsidRDefault="00CF0CFB" w:rsidP="00CF0CFB">
            <w:pPr>
              <w:rPr>
                <w:rFonts w:cs="Arial"/>
              </w:rPr>
            </w:pPr>
            <w:r w:rsidRPr="00CF0CFB">
              <w:t>Много редки</w:t>
            </w:r>
          </w:p>
        </w:tc>
        <w:tc>
          <w:tcPr>
            <w:tcW w:w="3117" w:type="dxa"/>
          </w:tcPr>
          <w:p w14:paraId="6E3DD7CE" w14:textId="6D1B37EA" w:rsidR="00CF0CFB" w:rsidRPr="00CF0CFB" w:rsidRDefault="00CF0CFB" w:rsidP="00CF0CFB">
            <w:pPr>
              <w:rPr>
                <w:rFonts w:cs="Arial"/>
              </w:rPr>
            </w:pPr>
            <w:r w:rsidRPr="00CF0CFB">
              <w:t>Ангиоедем, обрив, уртикария, пруритус</w:t>
            </w:r>
          </w:p>
        </w:tc>
      </w:tr>
      <w:tr w:rsidR="00CF0CFB" w14:paraId="00F61CA4" w14:textId="77777777" w:rsidTr="004813A6">
        <w:tc>
          <w:tcPr>
            <w:tcW w:w="3116" w:type="dxa"/>
            <w:vAlign w:val="bottom"/>
          </w:tcPr>
          <w:p w14:paraId="1CD9DDF3" w14:textId="483D082A" w:rsidR="00CF0CFB" w:rsidRPr="00CF0CFB" w:rsidRDefault="00CF0CFB" w:rsidP="00CF0CFB">
            <w:pPr>
              <w:rPr>
                <w:rFonts w:cs="Arial"/>
              </w:rPr>
            </w:pPr>
            <w:r w:rsidRPr="00CF0CFB">
              <w:t>Нарушения на мускулно-скелетната система и съединителната тъкан</w:t>
            </w:r>
          </w:p>
        </w:tc>
        <w:tc>
          <w:tcPr>
            <w:tcW w:w="3117" w:type="dxa"/>
          </w:tcPr>
          <w:p w14:paraId="6D248000" w14:textId="686F0C58" w:rsidR="00CF0CFB" w:rsidRPr="00CF0CFB" w:rsidRDefault="00CF0CFB" w:rsidP="00CF0CFB">
            <w:pPr>
              <w:rPr>
                <w:rFonts w:cs="Arial"/>
              </w:rPr>
            </w:pPr>
            <w:r w:rsidRPr="00CF0CFB">
              <w:t>Много редки</w:t>
            </w:r>
          </w:p>
        </w:tc>
        <w:tc>
          <w:tcPr>
            <w:tcW w:w="3117" w:type="dxa"/>
          </w:tcPr>
          <w:p w14:paraId="2C4F8034" w14:textId="07398B0D" w:rsidR="00CF0CFB" w:rsidRPr="00CF0CFB" w:rsidRDefault="00CF0CFB" w:rsidP="00CF0CFB">
            <w:pPr>
              <w:rPr>
                <w:rFonts w:cs="Arial"/>
              </w:rPr>
            </w:pPr>
            <w:r w:rsidRPr="00CF0CFB">
              <w:t>Болка в гърба, артралгия, миалгия</w:t>
            </w:r>
          </w:p>
        </w:tc>
      </w:tr>
      <w:tr w:rsidR="00CF0CFB" w14:paraId="24D23879" w14:textId="77777777" w:rsidTr="004813A6">
        <w:tc>
          <w:tcPr>
            <w:tcW w:w="3116" w:type="dxa"/>
          </w:tcPr>
          <w:p w14:paraId="7CB57992" w14:textId="45982799" w:rsidR="00CF0CFB" w:rsidRPr="00CF0CFB" w:rsidRDefault="00CF0CFB" w:rsidP="00CF0CFB">
            <w:pPr>
              <w:rPr>
                <w:rFonts w:cs="Arial"/>
              </w:rPr>
            </w:pPr>
            <w:r w:rsidRPr="00CF0CFB">
              <w:t>Нарушения на бъбреците и пикочните пътищ а</w:t>
            </w:r>
          </w:p>
        </w:tc>
        <w:tc>
          <w:tcPr>
            <w:tcW w:w="3117" w:type="dxa"/>
          </w:tcPr>
          <w:p w14:paraId="5905C682" w14:textId="7933E30F" w:rsidR="00CF0CFB" w:rsidRPr="00CF0CFB" w:rsidRDefault="00CF0CFB" w:rsidP="00CF0CFB">
            <w:pPr>
              <w:rPr>
                <w:rFonts w:cs="Arial"/>
              </w:rPr>
            </w:pPr>
            <w:r w:rsidRPr="00CF0CFB">
              <w:t>Много редки</w:t>
            </w:r>
          </w:p>
        </w:tc>
        <w:tc>
          <w:tcPr>
            <w:tcW w:w="3117" w:type="dxa"/>
            <w:vAlign w:val="bottom"/>
          </w:tcPr>
          <w:p w14:paraId="4D9D40F8" w14:textId="569AA56B" w:rsidR="00CF0CFB" w:rsidRPr="00CF0CFB" w:rsidRDefault="00CF0CFB" w:rsidP="00CF0CFB">
            <w:pPr>
              <w:rPr>
                <w:rFonts w:cs="Arial"/>
              </w:rPr>
            </w:pPr>
            <w:r w:rsidRPr="00CF0CFB">
              <w:t>Бъбречно увреждане, включително бъбречна недостатъчност при предразположени пациенти (вж. точка 4.4)</w:t>
            </w:r>
          </w:p>
        </w:tc>
      </w:tr>
    </w:tbl>
    <w:p w14:paraId="7B070EC2" w14:textId="05C8D42A" w:rsidR="00CF0CFB" w:rsidRDefault="00CF0CFB" w:rsidP="00CF0CFB">
      <w:pPr>
        <w:rPr>
          <w:rFonts w:cs="Arial"/>
        </w:rPr>
      </w:pPr>
    </w:p>
    <w:p w14:paraId="047FFE04" w14:textId="1D6EDB9A" w:rsidR="00CF0CFB" w:rsidRDefault="00CF0CFB" w:rsidP="00CF0CFB">
      <w:r>
        <w:t xml:space="preserve">В дадената по-долу таблица са представени нежеланите реакции при монотерапия с хидрохлоротиазид обикновено с доза 25 </w:t>
      </w:r>
      <w:r>
        <w:rPr>
          <w:lang w:val="en-US"/>
        </w:rPr>
        <w:t>mg</w:t>
      </w:r>
      <w:r w:rsidRPr="00CF0CFB">
        <w:rPr>
          <w:lang w:val="ru-RU"/>
        </w:rPr>
        <w:t xml:space="preserve"> </w:t>
      </w:r>
      <w:r>
        <w:t>или по-висока.</w:t>
      </w:r>
    </w:p>
    <w:p w14:paraId="40EB554C" w14:textId="1F3420D9" w:rsidR="00CF0CFB" w:rsidRDefault="00CF0CFB" w:rsidP="00CF0CFB"/>
    <w:tbl>
      <w:tblPr>
        <w:tblStyle w:val="TableGrid"/>
        <w:tblW w:w="0" w:type="auto"/>
        <w:tblLook w:val="04A0" w:firstRow="1" w:lastRow="0" w:firstColumn="1" w:lastColumn="0" w:noHBand="0" w:noVBand="1"/>
      </w:tblPr>
      <w:tblGrid>
        <w:gridCol w:w="3047"/>
        <w:gridCol w:w="3035"/>
        <w:gridCol w:w="3268"/>
      </w:tblGrid>
      <w:tr w:rsidR="00C66581" w14:paraId="572FE2A4" w14:textId="77777777" w:rsidTr="00C66581">
        <w:tc>
          <w:tcPr>
            <w:tcW w:w="3047" w:type="dxa"/>
            <w:vAlign w:val="bottom"/>
          </w:tcPr>
          <w:p w14:paraId="32BD50B1" w14:textId="5AD58CE6" w:rsidR="00C66581" w:rsidRPr="00C66581" w:rsidRDefault="00C66581" w:rsidP="00C66581">
            <w:pPr>
              <w:rPr>
                <w:rFonts w:cs="Arial"/>
                <w:b/>
              </w:rPr>
            </w:pPr>
            <w:r w:rsidRPr="00C66581">
              <w:t>Системо-органен клас</w:t>
            </w:r>
          </w:p>
        </w:tc>
        <w:tc>
          <w:tcPr>
            <w:tcW w:w="3035" w:type="dxa"/>
            <w:vAlign w:val="bottom"/>
          </w:tcPr>
          <w:p w14:paraId="23CD7756" w14:textId="4D8B3CFA" w:rsidR="00C66581" w:rsidRPr="00C66581" w:rsidRDefault="00C66581" w:rsidP="00C66581">
            <w:pPr>
              <w:rPr>
                <w:rFonts w:cs="Arial"/>
                <w:b/>
              </w:rPr>
            </w:pPr>
            <w:r w:rsidRPr="00C66581">
              <w:t>Честота</w:t>
            </w:r>
          </w:p>
        </w:tc>
        <w:tc>
          <w:tcPr>
            <w:tcW w:w="3268" w:type="dxa"/>
            <w:vAlign w:val="bottom"/>
          </w:tcPr>
          <w:p w14:paraId="1C67DA56" w14:textId="71AF3276" w:rsidR="00C66581" w:rsidRPr="00C66581" w:rsidRDefault="00C66581" w:rsidP="00C66581">
            <w:pPr>
              <w:rPr>
                <w:rFonts w:cs="Arial"/>
                <w:b/>
              </w:rPr>
            </w:pPr>
            <w:r w:rsidRPr="00C66581">
              <w:t>Нежелана реакция</w:t>
            </w:r>
          </w:p>
        </w:tc>
      </w:tr>
      <w:tr w:rsidR="00C66581" w14:paraId="307C4ABD" w14:textId="77777777" w:rsidTr="00C66581">
        <w:tc>
          <w:tcPr>
            <w:tcW w:w="3047" w:type="dxa"/>
          </w:tcPr>
          <w:p w14:paraId="63169FC4" w14:textId="692FCB6E" w:rsidR="00C66581" w:rsidRPr="00C66581" w:rsidRDefault="00C66581" w:rsidP="00C66581">
            <w:pPr>
              <w:rPr>
                <w:rFonts w:cs="Arial"/>
                <w:b/>
              </w:rPr>
            </w:pPr>
            <w:r w:rsidRPr="00C66581">
              <w:t>Нарушения на кръвта и лимфната система</w:t>
            </w:r>
          </w:p>
        </w:tc>
        <w:tc>
          <w:tcPr>
            <w:tcW w:w="3035" w:type="dxa"/>
          </w:tcPr>
          <w:p w14:paraId="75FC1B82" w14:textId="699C30D2" w:rsidR="00C66581" w:rsidRPr="00C66581" w:rsidRDefault="00C66581" w:rsidP="00C66581">
            <w:pPr>
              <w:rPr>
                <w:rFonts w:cs="Arial"/>
                <w:b/>
              </w:rPr>
            </w:pPr>
            <w:r w:rsidRPr="00C66581">
              <w:t>Редки</w:t>
            </w:r>
          </w:p>
        </w:tc>
        <w:tc>
          <w:tcPr>
            <w:tcW w:w="3268" w:type="dxa"/>
            <w:vAlign w:val="bottom"/>
          </w:tcPr>
          <w:p w14:paraId="63B84D59" w14:textId="2809DDC7" w:rsidR="00C66581" w:rsidRPr="00C66581" w:rsidRDefault="00C66581" w:rsidP="00C66581">
            <w:pPr>
              <w:rPr>
                <w:rFonts w:cs="Arial"/>
                <w:b/>
              </w:rPr>
            </w:pPr>
            <w:r w:rsidRPr="00C66581">
              <w:t>Левкопения, неутропения/агранулоцитоза, тромбоцитоления, апластична анемия, костно-мозъчна супресия, хемолитична анемия</w:t>
            </w:r>
          </w:p>
        </w:tc>
      </w:tr>
      <w:tr w:rsidR="00C66581" w14:paraId="1F3B84EF" w14:textId="77777777" w:rsidTr="00C66581">
        <w:tc>
          <w:tcPr>
            <w:tcW w:w="3047" w:type="dxa"/>
          </w:tcPr>
          <w:p w14:paraId="2B4C14B8" w14:textId="1D8DEDF1" w:rsidR="00C66581" w:rsidRPr="00C66581" w:rsidRDefault="00C66581" w:rsidP="00C66581">
            <w:pPr>
              <w:rPr>
                <w:rFonts w:cs="Arial"/>
                <w:b/>
              </w:rPr>
            </w:pPr>
            <w:r w:rsidRPr="00C66581">
              <w:t>Нарушения на имунната система</w:t>
            </w:r>
          </w:p>
        </w:tc>
        <w:tc>
          <w:tcPr>
            <w:tcW w:w="3035" w:type="dxa"/>
          </w:tcPr>
          <w:p w14:paraId="20C3AB71" w14:textId="68EDF770" w:rsidR="00C66581" w:rsidRPr="00C66581" w:rsidRDefault="00C66581" w:rsidP="00C66581">
            <w:pPr>
              <w:rPr>
                <w:rFonts w:cs="Arial"/>
                <w:b/>
              </w:rPr>
            </w:pPr>
            <w:r w:rsidRPr="00C66581">
              <w:t>Редки</w:t>
            </w:r>
          </w:p>
        </w:tc>
        <w:tc>
          <w:tcPr>
            <w:tcW w:w="3268" w:type="dxa"/>
          </w:tcPr>
          <w:p w14:paraId="0D94C44D" w14:textId="0C3A6912" w:rsidR="00C66581" w:rsidRPr="00C66581" w:rsidRDefault="00C66581" w:rsidP="00C66581">
            <w:pPr>
              <w:rPr>
                <w:rFonts w:cs="Arial"/>
                <w:b/>
              </w:rPr>
            </w:pPr>
            <w:r w:rsidRPr="00C66581">
              <w:t>Анафилактични реакции</w:t>
            </w:r>
          </w:p>
        </w:tc>
      </w:tr>
      <w:tr w:rsidR="00C66581" w14:paraId="75BBEE85" w14:textId="77777777" w:rsidTr="00C66581">
        <w:tc>
          <w:tcPr>
            <w:tcW w:w="3047" w:type="dxa"/>
          </w:tcPr>
          <w:p w14:paraId="496778D3" w14:textId="45EBA4EB" w:rsidR="00C66581" w:rsidRPr="00C66581" w:rsidRDefault="00C66581" w:rsidP="00C66581">
            <w:pPr>
              <w:rPr>
                <w:rFonts w:cs="Arial"/>
                <w:b/>
              </w:rPr>
            </w:pPr>
            <w:r w:rsidRPr="00C66581">
              <w:lastRenderedPageBreak/>
              <w:t>Нарушения на метаболизма и храненето</w:t>
            </w:r>
          </w:p>
        </w:tc>
        <w:tc>
          <w:tcPr>
            <w:tcW w:w="3035" w:type="dxa"/>
          </w:tcPr>
          <w:p w14:paraId="219312BE" w14:textId="7C22ACA0" w:rsidR="00C66581" w:rsidRPr="00C66581" w:rsidRDefault="00C66581" w:rsidP="00C66581">
            <w:pPr>
              <w:rPr>
                <w:rFonts w:cs="Arial"/>
                <w:b/>
              </w:rPr>
            </w:pPr>
            <w:r w:rsidRPr="00C66581">
              <w:t>Чести</w:t>
            </w:r>
          </w:p>
        </w:tc>
        <w:tc>
          <w:tcPr>
            <w:tcW w:w="3268" w:type="dxa"/>
          </w:tcPr>
          <w:p w14:paraId="2242BF91" w14:textId="59456D7C" w:rsidR="00C66581" w:rsidRPr="00C66581" w:rsidRDefault="00C66581" w:rsidP="00C66581">
            <w:pPr>
              <w:rPr>
                <w:rFonts w:cs="Arial"/>
                <w:b/>
              </w:rPr>
            </w:pPr>
            <w:r w:rsidRPr="00C66581">
              <w:t>Хипергликемия, хиперурикемия, електролитен дисбаланс, (включително хипонатриемия и хипокалиемия)</w:t>
            </w:r>
          </w:p>
        </w:tc>
      </w:tr>
      <w:tr w:rsidR="00C66581" w14:paraId="33075CF7" w14:textId="77777777" w:rsidTr="00C66581">
        <w:tc>
          <w:tcPr>
            <w:tcW w:w="3047" w:type="dxa"/>
          </w:tcPr>
          <w:p w14:paraId="45BA6425" w14:textId="57861586" w:rsidR="00C66581" w:rsidRPr="00C66581" w:rsidRDefault="00C66581" w:rsidP="00C66581">
            <w:pPr>
              <w:rPr>
                <w:rFonts w:cs="Arial"/>
                <w:b/>
              </w:rPr>
            </w:pPr>
            <w:r w:rsidRPr="00C66581">
              <w:t>Психични нарушения</w:t>
            </w:r>
          </w:p>
        </w:tc>
        <w:tc>
          <w:tcPr>
            <w:tcW w:w="3035" w:type="dxa"/>
          </w:tcPr>
          <w:p w14:paraId="1AA0B4CA" w14:textId="4DF48999" w:rsidR="00C66581" w:rsidRPr="00C66581" w:rsidRDefault="00C66581" w:rsidP="00C66581">
            <w:pPr>
              <w:rPr>
                <w:rFonts w:cs="Arial"/>
                <w:b/>
              </w:rPr>
            </w:pPr>
            <w:r w:rsidRPr="00C66581">
              <w:t>Редки</w:t>
            </w:r>
          </w:p>
        </w:tc>
        <w:tc>
          <w:tcPr>
            <w:tcW w:w="3268" w:type="dxa"/>
            <w:vAlign w:val="bottom"/>
          </w:tcPr>
          <w:p w14:paraId="22445897" w14:textId="394F9D35" w:rsidR="00C66581" w:rsidRPr="00C66581" w:rsidRDefault="00C66581" w:rsidP="00C66581">
            <w:pPr>
              <w:rPr>
                <w:rFonts w:cs="Arial"/>
                <w:b/>
              </w:rPr>
            </w:pPr>
            <w:r w:rsidRPr="00C66581">
              <w:t>Нарушения на съня, депресия, безпокойство</w:t>
            </w:r>
          </w:p>
        </w:tc>
      </w:tr>
      <w:tr w:rsidR="00C66581" w14:paraId="259A9703" w14:textId="77777777" w:rsidTr="00C66581">
        <w:tc>
          <w:tcPr>
            <w:tcW w:w="3047" w:type="dxa"/>
            <w:vMerge w:val="restart"/>
          </w:tcPr>
          <w:p w14:paraId="3C864DD7" w14:textId="5E6A7420" w:rsidR="00C66581" w:rsidRPr="00C66581" w:rsidRDefault="00C66581" w:rsidP="00C66581">
            <w:pPr>
              <w:rPr>
                <w:rFonts w:cs="Arial"/>
                <w:b/>
              </w:rPr>
            </w:pPr>
            <w:r w:rsidRPr="00C66581">
              <w:t>Нарушения на нервната система</w:t>
            </w:r>
          </w:p>
        </w:tc>
        <w:tc>
          <w:tcPr>
            <w:tcW w:w="3035" w:type="dxa"/>
          </w:tcPr>
          <w:p w14:paraId="07651058" w14:textId="34F5D9E0" w:rsidR="00C66581" w:rsidRPr="00C66581" w:rsidRDefault="00C66581" w:rsidP="00C66581">
            <w:pPr>
              <w:rPr>
                <w:rFonts w:cs="Arial"/>
                <w:b/>
              </w:rPr>
            </w:pPr>
            <w:r w:rsidRPr="00C66581">
              <w:t>Чести</w:t>
            </w:r>
          </w:p>
        </w:tc>
        <w:tc>
          <w:tcPr>
            <w:tcW w:w="3268" w:type="dxa"/>
          </w:tcPr>
          <w:p w14:paraId="4B30AE46" w14:textId="56B42F94" w:rsidR="00C66581" w:rsidRPr="00C66581" w:rsidRDefault="00C66581" w:rsidP="00C66581">
            <w:pPr>
              <w:rPr>
                <w:rFonts w:cs="Arial"/>
                <w:b/>
              </w:rPr>
            </w:pPr>
            <w:r w:rsidRPr="00C66581">
              <w:t>Прималяване, вертиго</w:t>
            </w:r>
          </w:p>
        </w:tc>
      </w:tr>
      <w:tr w:rsidR="00C66581" w14:paraId="2325C500" w14:textId="77777777" w:rsidTr="00CF19AB">
        <w:tc>
          <w:tcPr>
            <w:tcW w:w="3047" w:type="dxa"/>
            <w:vMerge/>
          </w:tcPr>
          <w:p w14:paraId="36A010ED" w14:textId="77777777" w:rsidR="00C66581" w:rsidRPr="00C66581" w:rsidRDefault="00C66581" w:rsidP="00C66581">
            <w:pPr>
              <w:rPr>
                <w:rFonts w:cs="Arial"/>
                <w:b/>
              </w:rPr>
            </w:pPr>
          </w:p>
        </w:tc>
        <w:tc>
          <w:tcPr>
            <w:tcW w:w="3035" w:type="dxa"/>
            <w:vAlign w:val="bottom"/>
          </w:tcPr>
          <w:p w14:paraId="35B62ED6" w14:textId="59922C5D" w:rsidR="00C66581" w:rsidRPr="00C66581" w:rsidRDefault="00C66581" w:rsidP="00C66581">
            <w:pPr>
              <w:rPr>
                <w:rFonts w:cs="Arial"/>
                <w:b/>
              </w:rPr>
            </w:pPr>
            <w:r w:rsidRPr="00C66581">
              <w:t>Редки</w:t>
            </w:r>
          </w:p>
        </w:tc>
        <w:tc>
          <w:tcPr>
            <w:tcW w:w="3268" w:type="dxa"/>
          </w:tcPr>
          <w:p w14:paraId="292FA04F" w14:textId="57BCBF54" w:rsidR="00C66581" w:rsidRPr="00C66581" w:rsidRDefault="00C66581" w:rsidP="00C66581">
            <w:pPr>
              <w:rPr>
                <w:rFonts w:cs="Arial"/>
                <w:b/>
              </w:rPr>
            </w:pPr>
            <w:r w:rsidRPr="00C66581">
              <w:t>Парестезии</w:t>
            </w:r>
          </w:p>
        </w:tc>
      </w:tr>
      <w:tr w:rsidR="00C66581" w14:paraId="529C6668" w14:textId="77777777" w:rsidTr="00CF19AB">
        <w:tc>
          <w:tcPr>
            <w:tcW w:w="3047" w:type="dxa"/>
            <w:vMerge w:val="restart"/>
          </w:tcPr>
          <w:p w14:paraId="7B0363B8" w14:textId="7F04E7A8" w:rsidR="00C66581" w:rsidRPr="00C66581" w:rsidRDefault="00C66581" w:rsidP="00C66581">
            <w:pPr>
              <w:rPr>
                <w:rFonts w:cs="Arial"/>
              </w:rPr>
            </w:pPr>
            <w:r w:rsidRPr="00C66581">
              <w:t>Нарушения на очите</w:t>
            </w:r>
          </w:p>
        </w:tc>
        <w:tc>
          <w:tcPr>
            <w:tcW w:w="3035" w:type="dxa"/>
            <w:vAlign w:val="bottom"/>
          </w:tcPr>
          <w:p w14:paraId="4C157810" w14:textId="7A3818AE" w:rsidR="00C66581" w:rsidRPr="00C66581" w:rsidRDefault="00C66581" w:rsidP="00C66581">
            <w:pPr>
              <w:rPr>
                <w:rFonts w:cs="Arial"/>
              </w:rPr>
            </w:pPr>
            <w:r w:rsidRPr="00C66581">
              <w:t>Редки</w:t>
            </w:r>
          </w:p>
        </w:tc>
        <w:tc>
          <w:tcPr>
            <w:tcW w:w="3268" w:type="dxa"/>
            <w:vAlign w:val="bottom"/>
          </w:tcPr>
          <w:p w14:paraId="6EABDF24" w14:textId="5517C6C4" w:rsidR="00C66581" w:rsidRPr="00C66581" w:rsidRDefault="00C66581" w:rsidP="00C66581">
            <w:pPr>
              <w:rPr>
                <w:rFonts w:cs="Arial"/>
              </w:rPr>
            </w:pPr>
            <w:r w:rsidRPr="00C66581">
              <w:t>Преходно замъглено виждане</w:t>
            </w:r>
          </w:p>
        </w:tc>
      </w:tr>
      <w:tr w:rsidR="00C66581" w14:paraId="4DDE01A9" w14:textId="77777777" w:rsidTr="00CF19AB">
        <w:tc>
          <w:tcPr>
            <w:tcW w:w="3047" w:type="dxa"/>
            <w:vMerge/>
          </w:tcPr>
          <w:p w14:paraId="55118736" w14:textId="77777777" w:rsidR="00C66581" w:rsidRPr="00C66581" w:rsidRDefault="00C66581" w:rsidP="00C66581">
            <w:pPr>
              <w:rPr>
                <w:rFonts w:cs="Arial"/>
              </w:rPr>
            </w:pPr>
          </w:p>
        </w:tc>
        <w:tc>
          <w:tcPr>
            <w:tcW w:w="3035" w:type="dxa"/>
            <w:vAlign w:val="bottom"/>
          </w:tcPr>
          <w:p w14:paraId="1C7CFDE2" w14:textId="0C313B47" w:rsidR="00C66581" w:rsidRPr="00C66581" w:rsidRDefault="00C66581" w:rsidP="00C66581">
            <w:pPr>
              <w:rPr>
                <w:rFonts w:cs="Arial"/>
              </w:rPr>
            </w:pPr>
            <w:r w:rsidRPr="00C66581">
              <w:t>Неизвестна честота</w:t>
            </w:r>
          </w:p>
        </w:tc>
        <w:tc>
          <w:tcPr>
            <w:tcW w:w="3268" w:type="dxa"/>
          </w:tcPr>
          <w:p w14:paraId="022483B9" w14:textId="57BBBFC0" w:rsidR="00C66581" w:rsidRPr="00C66581" w:rsidRDefault="00C66581" w:rsidP="00C66581">
            <w:pPr>
              <w:rPr>
                <w:rFonts w:cs="Arial"/>
              </w:rPr>
            </w:pPr>
            <w:r w:rsidRPr="00C66581">
              <w:t>Остра миопия, остра закритоъгълна глаукома</w:t>
            </w:r>
          </w:p>
        </w:tc>
      </w:tr>
      <w:tr w:rsidR="00C66581" w14:paraId="46EAFF0A" w14:textId="77777777" w:rsidTr="00CF19AB">
        <w:tc>
          <w:tcPr>
            <w:tcW w:w="3047" w:type="dxa"/>
            <w:vAlign w:val="bottom"/>
          </w:tcPr>
          <w:p w14:paraId="58F285BD" w14:textId="58B801FD" w:rsidR="00C66581" w:rsidRPr="00C66581" w:rsidRDefault="00C66581" w:rsidP="00C66581">
            <w:pPr>
              <w:rPr>
                <w:rFonts w:cs="Arial"/>
              </w:rPr>
            </w:pPr>
            <w:r w:rsidRPr="00C66581">
              <w:t>Сърдечни нарушения</w:t>
            </w:r>
          </w:p>
        </w:tc>
        <w:tc>
          <w:tcPr>
            <w:tcW w:w="3035" w:type="dxa"/>
            <w:vAlign w:val="bottom"/>
          </w:tcPr>
          <w:p w14:paraId="6B01903B" w14:textId="26312D90" w:rsidR="00C66581" w:rsidRPr="00C66581" w:rsidRDefault="00C66581" w:rsidP="00C66581">
            <w:pPr>
              <w:rPr>
                <w:rFonts w:cs="Arial"/>
              </w:rPr>
            </w:pPr>
            <w:r w:rsidRPr="00C66581">
              <w:t>Редки</w:t>
            </w:r>
          </w:p>
        </w:tc>
        <w:tc>
          <w:tcPr>
            <w:tcW w:w="3268" w:type="dxa"/>
            <w:vAlign w:val="bottom"/>
          </w:tcPr>
          <w:p w14:paraId="360708D7" w14:textId="47ADC14F" w:rsidR="00C66581" w:rsidRPr="00C66581" w:rsidRDefault="00C66581" w:rsidP="00C66581">
            <w:pPr>
              <w:rPr>
                <w:rFonts w:cs="Arial"/>
              </w:rPr>
            </w:pPr>
            <w:r w:rsidRPr="00C66581">
              <w:t>Аритмии</w:t>
            </w:r>
          </w:p>
        </w:tc>
      </w:tr>
      <w:tr w:rsidR="00C66581" w14:paraId="3AB3F05C" w14:textId="77777777" w:rsidTr="00CF19AB">
        <w:tc>
          <w:tcPr>
            <w:tcW w:w="3047" w:type="dxa"/>
            <w:vMerge w:val="restart"/>
          </w:tcPr>
          <w:p w14:paraId="404701CB" w14:textId="6FDDBEED" w:rsidR="00C66581" w:rsidRPr="00C66581" w:rsidRDefault="00C66581" w:rsidP="00C66581">
            <w:pPr>
              <w:rPr>
                <w:rFonts w:cs="Arial"/>
              </w:rPr>
            </w:pPr>
            <w:r w:rsidRPr="00C66581">
              <w:t>Съдови нарушения</w:t>
            </w:r>
          </w:p>
        </w:tc>
        <w:tc>
          <w:tcPr>
            <w:tcW w:w="3035" w:type="dxa"/>
            <w:vAlign w:val="bottom"/>
          </w:tcPr>
          <w:p w14:paraId="7F1C9671" w14:textId="28F27206" w:rsidR="00C66581" w:rsidRPr="00C66581" w:rsidRDefault="00C66581" w:rsidP="00C66581">
            <w:pPr>
              <w:rPr>
                <w:rFonts w:cs="Arial"/>
              </w:rPr>
            </w:pPr>
            <w:r w:rsidRPr="00C66581">
              <w:t>Нечести</w:t>
            </w:r>
          </w:p>
        </w:tc>
        <w:tc>
          <w:tcPr>
            <w:tcW w:w="3268" w:type="dxa"/>
            <w:vAlign w:val="bottom"/>
          </w:tcPr>
          <w:p w14:paraId="06C47B1E" w14:textId="780D279E" w:rsidR="00C66581" w:rsidRPr="00C66581" w:rsidRDefault="00C66581" w:rsidP="00C66581">
            <w:pPr>
              <w:rPr>
                <w:rFonts w:cs="Arial"/>
              </w:rPr>
            </w:pPr>
            <w:r w:rsidRPr="00C66581">
              <w:t>Ортостатична хипотония</w:t>
            </w:r>
          </w:p>
        </w:tc>
      </w:tr>
      <w:tr w:rsidR="00C66581" w14:paraId="76852FDE" w14:textId="77777777" w:rsidTr="00CF19AB">
        <w:tc>
          <w:tcPr>
            <w:tcW w:w="3047" w:type="dxa"/>
            <w:vMerge/>
          </w:tcPr>
          <w:p w14:paraId="2418D7AF" w14:textId="77777777" w:rsidR="00C66581" w:rsidRPr="00C66581" w:rsidRDefault="00C66581" w:rsidP="00C66581">
            <w:pPr>
              <w:rPr>
                <w:rFonts w:cs="Arial"/>
              </w:rPr>
            </w:pPr>
          </w:p>
        </w:tc>
        <w:tc>
          <w:tcPr>
            <w:tcW w:w="3035" w:type="dxa"/>
            <w:vAlign w:val="bottom"/>
          </w:tcPr>
          <w:p w14:paraId="68171B61" w14:textId="2BB5D7A1" w:rsidR="00C66581" w:rsidRPr="00C66581" w:rsidRDefault="00C66581" w:rsidP="00C66581">
            <w:pPr>
              <w:rPr>
                <w:rFonts w:cs="Arial"/>
              </w:rPr>
            </w:pPr>
            <w:r w:rsidRPr="00C66581">
              <w:t>Редки</w:t>
            </w:r>
          </w:p>
        </w:tc>
        <w:tc>
          <w:tcPr>
            <w:tcW w:w="3268" w:type="dxa"/>
            <w:vAlign w:val="bottom"/>
          </w:tcPr>
          <w:p w14:paraId="59824B07" w14:textId="7A1DFF72" w:rsidR="00C66581" w:rsidRPr="00C66581" w:rsidRDefault="00C66581" w:rsidP="00C66581">
            <w:pPr>
              <w:rPr>
                <w:rFonts w:cs="Arial"/>
              </w:rPr>
            </w:pPr>
            <w:r w:rsidRPr="00C66581">
              <w:t>Некротизиращ ангиит (васкулит, кожен васкулит)</w:t>
            </w:r>
          </w:p>
        </w:tc>
      </w:tr>
      <w:tr w:rsidR="00C66581" w14:paraId="7ED7BD03" w14:textId="77777777" w:rsidTr="00DD71AD">
        <w:tc>
          <w:tcPr>
            <w:tcW w:w="3047" w:type="dxa"/>
            <w:vAlign w:val="bottom"/>
          </w:tcPr>
          <w:p w14:paraId="6E8A602A" w14:textId="49DFC6D1" w:rsidR="00C66581" w:rsidRPr="00C66581" w:rsidRDefault="00C66581" w:rsidP="00C66581">
            <w:pPr>
              <w:rPr>
                <w:rFonts w:cs="Arial"/>
                <w:lang w:val="ru-RU"/>
              </w:rPr>
            </w:pPr>
            <w:r w:rsidRPr="00C66581">
              <w:t>Респираторни, гръдни и медиастинални нарушения</w:t>
            </w:r>
          </w:p>
        </w:tc>
        <w:tc>
          <w:tcPr>
            <w:tcW w:w="3035" w:type="dxa"/>
          </w:tcPr>
          <w:p w14:paraId="4D9829A9" w14:textId="28DB0CE1" w:rsidR="00C66581" w:rsidRPr="00C66581" w:rsidRDefault="00C66581" w:rsidP="00C66581">
            <w:pPr>
              <w:rPr>
                <w:rFonts w:cs="Arial"/>
              </w:rPr>
            </w:pPr>
            <w:r w:rsidRPr="00C66581">
              <w:t>Редки</w:t>
            </w:r>
          </w:p>
        </w:tc>
        <w:tc>
          <w:tcPr>
            <w:tcW w:w="3268" w:type="dxa"/>
            <w:vAlign w:val="bottom"/>
          </w:tcPr>
          <w:p w14:paraId="618322B7" w14:textId="7689DC1E" w:rsidR="00C66581" w:rsidRPr="00C66581" w:rsidRDefault="00C66581" w:rsidP="00C66581">
            <w:pPr>
              <w:rPr>
                <w:rFonts w:cs="Arial"/>
              </w:rPr>
            </w:pPr>
            <w:r w:rsidRPr="00C66581">
              <w:t>Респираторен дистрес (включително пневмония и белодробен оток)</w:t>
            </w:r>
          </w:p>
        </w:tc>
      </w:tr>
      <w:tr w:rsidR="00C66581" w14:paraId="2C07CFDC" w14:textId="77777777" w:rsidTr="00C66581">
        <w:tc>
          <w:tcPr>
            <w:tcW w:w="3047" w:type="dxa"/>
            <w:vMerge w:val="restart"/>
          </w:tcPr>
          <w:p w14:paraId="357B29EE" w14:textId="21CE5693" w:rsidR="00C66581" w:rsidRPr="00C66581" w:rsidRDefault="00C66581" w:rsidP="00C66581">
            <w:pPr>
              <w:rPr>
                <w:rFonts w:cs="Arial"/>
              </w:rPr>
            </w:pPr>
            <w:r w:rsidRPr="00C66581">
              <w:t>Стомашно-чревни нарушения</w:t>
            </w:r>
          </w:p>
        </w:tc>
        <w:tc>
          <w:tcPr>
            <w:tcW w:w="3035" w:type="dxa"/>
          </w:tcPr>
          <w:p w14:paraId="51046374" w14:textId="03DBF9A2" w:rsidR="00C66581" w:rsidRPr="00C66581" w:rsidRDefault="00C66581" w:rsidP="00C66581">
            <w:pPr>
              <w:rPr>
                <w:rFonts w:cs="Arial"/>
              </w:rPr>
            </w:pPr>
            <w:r w:rsidRPr="00C66581">
              <w:t>Нечести</w:t>
            </w:r>
          </w:p>
        </w:tc>
        <w:tc>
          <w:tcPr>
            <w:tcW w:w="3268" w:type="dxa"/>
          </w:tcPr>
          <w:p w14:paraId="30684ABC" w14:textId="2904601E" w:rsidR="00C66581" w:rsidRPr="00C66581" w:rsidRDefault="00C66581" w:rsidP="00C66581">
            <w:pPr>
              <w:rPr>
                <w:rFonts w:cs="Arial"/>
              </w:rPr>
            </w:pPr>
            <w:r w:rsidRPr="00C66581">
              <w:t>Анорексия, загуба на апетит, стомашно дразнене, диария, констипация</w:t>
            </w:r>
          </w:p>
        </w:tc>
      </w:tr>
      <w:tr w:rsidR="00C66581" w14:paraId="3B7E54B8" w14:textId="77777777" w:rsidTr="00DD71AD">
        <w:tc>
          <w:tcPr>
            <w:tcW w:w="3047" w:type="dxa"/>
            <w:vMerge/>
          </w:tcPr>
          <w:p w14:paraId="42BE024A" w14:textId="77777777" w:rsidR="00C66581" w:rsidRPr="00C66581" w:rsidRDefault="00C66581" w:rsidP="00C66581">
            <w:pPr>
              <w:rPr>
                <w:rFonts w:cs="Arial"/>
              </w:rPr>
            </w:pPr>
          </w:p>
        </w:tc>
        <w:tc>
          <w:tcPr>
            <w:tcW w:w="3035" w:type="dxa"/>
            <w:vAlign w:val="bottom"/>
          </w:tcPr>
          <w:p w14:paraId="0E6AA2C8" w14:textId="27E83571" w:rsidR="00C66581" w:rsidRPr="00C66581" w:rsidRDefault="00C66581" w:rsidP="00C66581">
            <w:pPr>
              <w:rPr>
                <w:rFonts w:cs="Arial"/>
              </w:rPr>
            </w:pPr>
            <w:r w:rsidRPr="00C66581">
              <w:t>Редки</w:t>
            </w:r>
          </w:p>
        </w:tc>
        <w:tc>
          <w:tcPr>
            <w:tcW w:w="3268" w:type="dxa"/>
          </w:tcPr>
          <w:p w14:paraId="2BF39A97" w14:textId="12570207" w:rsidR="00C66581" w:rsidRPr="00C66581" w:rsidRDefault="00C66581" w:rsidP="00C66581">
            <w:pPr>
              <w:rPr>
                <w:rFonts w:cs="Arial"/>
              </w:rPr>
            </w:pPr>
            <w:r w:rsidRPr="00C66581">
              <w:t>панкреатит</w:t>
            </w:r>
          </w:p>
        </w:tc>
      </w:tr>
      <w:tr w:rsidR="00C66581" w14:paraId="667C53CF" w14:textId="77777777" w:rsidTr="00DD71AD">
        <w:tc>
          <w:tcPr>
            <w:tcW w:w="3047" w:type="dxa"/>
          </w:tcPr>
          <w:p w14:paraId="7884E3B8" w14:textId="2EF56F15" w:rsidR="00C66581" w:rsidRPr="00C66581" w:rsidRDefault="00C66581" w:rsidP="00C66581">
            <w:pPr>
              <w:rPr>
                <w:rFonts w:cs="Arial"/>
              </w:rPr>
            </w:pPr>
            <w:r w:rsidRPr="00C66581">
              <w:t>Хепатобилиарни нарушения</w:t>
            </w:r>
          </w:p>
        </w:tc>
        <w:tc>
          <w:tcPr>
            <w:tcW w:w="3035" w:type="dxa"/>
          </w:tcPr>
          <w:p w14:paraId="1D20F19F" w14:textId="18B3365F" w:rsidR="00C66581" w:rsidRPr="00C66581" w:rsidRDefault="00C66581" w:rsidP="00C66581">
            <w:pPr>
              <w:rPr>
                <w:rFonts w:cs="Arial"/>
              </w:rPr>
            </w:pPr>
            <w:r w:rsidRPr="00C66581">
              <w:t>Редки</w:t>
            </w:r>
          </w:p>
        </w:tc>
        <w:tc>
          <w:tcPr>
            <w:tcW w:w="3268" w:type="dxa"/>
            <w:vAlign w:val="bottom"/>
          </w:tcPr>
          <w:p w14:paraId="13E22A45" w14:textId="2E39A7C4" w:rsidR="00C66581" w:rsidRPr="00C66581" w:rsidRDefault="00C66581" w:rsidP="00C66581">
            <w:pPr>
              <w:rPr>
                <w:rFonts w:cs="Arial"/>
              </w:rPr>
            </w:pPr>
            <w:r w:rsidRPr="00C66581">
              <w:t>Иктер (интрахепатален холестатичен иктер)</w:t>
            </w:r>
          </w:p>
        </w:tc>
      </w:tr>
      <w:tr w:rsidR="00C66581" w14:paraId="306C53F9" w14:textId="77777777" w:rsidTr="00CB56B3">
        <w:tc>
          <w:tcPr>
            <w:tcW w:w="3047" w:type="dxa"/>
            <w:vMerge w:val="restart"/>
          </w:tcPr>
          <w:p w14:paraId="4AA8159F" w14:textId="6703F9D4" w:rsidR="00C66581" w:rsidRPr="00C66581" w:rsidRDefault="00C66581" w:rsidP="00C66581">
            <w:pPr>
              <w:rPr>
                <w:rFonts w:cs="Arial"/>
              </w:rPr>
            </w:pPr>
            <w:r w:rsidRPr="00C66581">
              <w:t>Нарушения на кожата и подкожната тъкан</w:t>
            </w:r>
          </w:p>
        </w:tc>
        <w:tc>
          <w:tcPr>
            <w:tcW w:w="3035" w:type="dxa"/>
          </w:tcPr>
          <w:p w14:paraId="2D526468" w14:textId="1E943653" w:rsidR="00C66581" w:rsidRPr="00C66581" w:rsidRDefault="00C66581" w:rsidP="00C66581">
            <w:pPr>
              <w:rPr>
                <w:rFonts w:cs="Arial"/>
              </w:rPr>
            </w:pPr>
            <w:r w:rsidRPr="00C66581">
              <w:t>Нечести</w:t>
            </w:r>
          </w:p>
        </w:tc>
        <w:tc>
          <w:tcPr>
            <w:tcW w:w="3268" w:type="dxa"/>
            <w:vAlign w:val="bottom"/>
          </w:tcPr>
          <w:p w14:paraId="4CE2B5FC" w14:textId="36F4CEBE" w:rsidR="00C66581" w:rsidRPr="00C66581" w:rsidRDefault="00C66581" w:rsidP="00C66581">
            <w:pPr>
              <w:rPr>
                <w:rFonts w:cs="Arial"/>
              </w:rPr>
            </w:pPr>
            <w:r w:rsidRPr="00C66581">
              <w:t>Обрив, уртикария, реакции на фоточувствителност</w:t>
            </w:r>
          </w:p>
        </w:tc>
      </w:tr>
      <w:tr w:rsidR="00C66581" w14:paraId="6F52423B" w14:textId="77777777" w:rsidTr="00CB56B3">
        <w:tc>
          <w:tcPr>
            <w:tcW w:w="3047" w:type="dxa"/>
            <w:vMerge/>
          </w:tcPr>
          <w:p w14:paraId="46DE3F9D" w14:textId="77777777" w:rsidR="00C66581" w:rsidRPr="00C66581" w:rsidRDefault="00C66581" w:rsidP="00C66581">
            <w:pPr>
              <w:rPr>
                <w:rFonts w:cs="Arial"/>
              </w:rPr>
            </w:pPr>
          </w:p>
        </w:tc>
        <w:tc>
          <w:tcPr>
            <w:tcW w:w="3035" w:type="dxa"/>
            <w:vAlign w:val="center"/>
          </w:tcPr>
          <w:p w14:paraId="573B40CD" w14:textId="68AC1887" w:rsidR="00C66581" w:rsidRPr="00C66581" w:rsidRDefault="00C66581" w:rsidP="00C66581">
            <w:pPr>
              <w:rPr>
                <w:rFonts w:cs="Arial"/>
              </w:rPr>
            </w:pPr>
            <w:r w:rsidRPr="00C66581">
              <w:t>Редки</w:t>
            </w:r>
          </w:p>
        </w:tc>
        <w:tc>
          <w:tcPr>
            <w:tcW w:w="3268" w:type="dxa"/>
            <w:vAlign w:val="bottom"/>
          </w:tcPr>
          <w:p w14:paraId="1731DF5A" w14:textId="2D35D427" w:rsidR="00C66581" w:rsidRPr="00C66581" w:rsidRDefault="00C66581" w:rsidP="00C66581">
            <w:pPr>
              <w:rPr>
                <w:rFonts w:cs="Arial"/>
              </w:rPr>
            </w:pPr>
            <w:r w:rsidRPr="00C66581">
              <w:t>Токсична епидермална некролиза, реакции по типа на кожен лупус еритематодес, рецидив на кожен лупус еритематодес</w:t>
            </w:r>
          </w:p>
        </w:tc>
      </w:tr>
      <w:tr w:rsidR="00C66581" w14:paraId="53164CAD" w14:textId="77777777" w:rsidTr="00CB56B3">
        <w:tc>
          <w:tcPr>
            <w:tcW w:w="3047" w:type="dxa"/>
            <w:vAlign w:val="bottom"/>
          </w:tcPr>
          <w:p w14:paraId="41C3B6A9" w14:textId="05189F3C" w:rsidR="00C66581" w:rsidRPr="00C66581" w:rsidRDefault="00C66581" w:rsidP="00C66581">
            <w:pPr>
              <w:rPr>
                <w:rFonts w:cs="Arial"/>
              </w:rPr>
            </w:pPr>
            <w:r w:rsidRPr="00C66581">
              <w:t>Нарушения на мускулно-скелетната система и съединителната тъкан</w:t>
            </w:r>
          </w:p>
        </w:tc>
        <w:tc>
          <w:tcPr>
            <w:tcW w:w="3035" w:type="dxa"/>
          </w:tcPr>
          <w:p w14:paraId="0C435A86" w14:textId="1CA163B7" w:rsidR="00C66581" w:rsidRPr="00C66581" w:rsidRDefault="00C66581" w:rsidP="00C66581">
            <w:pPr>
              <w:rPr>
                <w:rFonts w:cs="Arial"/>
              </w:rPr>
            </w:pPr>
            <w:r w:rsidRPr="00C66581">
              <w:t>Редки</w:t>
            </w:r>
          </w:p>
        </w:tc>
        <w:tc>
          <w:tcPr>
            <w:tcW w:w="3268" w:type="dxa"/>
          </w:tcPr>
          <w:p w14:paraId="0EF47417" w14:textId="767B2FAE" w:rsidR="00C66581" w:rsidRPr="00C66581" w:rsidRDefault="00C66581" w:rsidP="00C66581">
            <w:pPr>
              <w:rPr>
                <w:rFonts w:cs="Arial"/>
              </w:rPr>
            </w:pPr>
            <w:r w:rsidRPr="00C66581">
              <w:t>Мускулни спазми</w:t>
            </w:r>
          </w:p>
        </w:tc>
      </w:tr>
      <w:tr w:rsidR="00C66581" w14:paraId="063B409E" w14:textId="77777777" w:rsidTr="00CB56B3">
        <w:tc>
          <w:tcPr>
            <w:tcW w:w="3047" w:type="dxa"/>
            <w:vMerge w:val="restart"/>
            <w:vAlign w:val="bottom"/>
          </w:tcPr>
          <w:p w14:paraId="19887D24" w14:textId="6EE11BFF" w:rsidR="00C66581" w:rsidRPr="00C66581" w:rsidRDefault="00C66581" w:rsidP="00C66581">
            <w:pPr>
              <w:rPr>
                <w:rFonts w:cs="Arial"/>
              </w:rPr>
            </w:pPr>
            <w:r w:rsidRPr="00C66581">
              <w:t>Нарушения на бъбреците и пикочните пътища</w:t>
            </w:r>
          </w:p>
        </w:tc>
        <w:tc>
          <w:tcPr>
            <w:tcW w:w="3035" w:type="dxa"/>
          </w:tcPr>
          <w:p w14:paraId="24357DF6" w14:textId="4CFBF428" w:rsidR="00C66581" w:rsidRPr="00C66581" w:rsidRDefault="00C66581" w:rsidP="00C66581">
            <w:pPr>
              <w:rPr>
                <w:rFonts w:cs="Arial"/>
              </w:rPr>
            </w:pPr>
            <w:r w:rsidRPr="00C66581">
              <w:t>Чести</w:t>
            </w:r>
          </w:p>
        </w:tc>
        <w:tc>
          <w:tcPr>
            <w:tcW w:w="3268" w:type="dxa"/>
          </w:tcPr>
          <w:p w14:paraId="332DFC77" w14:textId="78D2795F" w:rsidR="00C66581" w:rsidRPr="00C66581" w:rsidRDefault="00C66581" w:rsidP="00C66581">
            <w:pPr>
              <w:rPr>
                <w:rFonts w:cs="Arial"/>
              </w:rPr>
            </w:pPr>
            <w:r w:rsidRPr="00C66581">
              <w:t>Глюкозурия</w:t>
            </w:r>
          </w:p>
        </w:tc>
      </w:tr>
      <w:tr w:rsidR="00C66581" w14:paraId="113207B4" w14:textId="77777777" w:rsidTr="00C66581">
        <w:tc>
          <w:tcPr>
            <w:tcW w:w="3047" w:type="dxa"/>
            <w:vMerge/>
          </w:tcPr>
          <w:p w14:paraId="2A2AA9A4" w14:textId="77777777" w:rsidR="00C66581" w:rsidRPr="00C66581" w:rsidRDefault="00C66581" w:rsidP="00C66581">
            <w:pPr>
              <w:rPr>
                <w:rFonts w:cs="Arial"/>
              </w:rPr>
            </w:pPr>
          </w:p>
        </w:tc>
        <w:tc>
          <w:tcPr>
            <w:tcW w:w="3035" w:type="dxa"/>
          </w:tcPr>
          <w:p w14:paraId="41BAD3EA" w14:textId="71C96D4A" w:rsidR="00C66581" w:rsidRPr="00C66581" w:rsidRDefault="00C66581" w:rsidP="00C66581">
            <w:pPr>
              <w:rPr>
                <w:rFonts w:cs="Arial"/>
              </w:rPr>
            </w:pPr>
            <w:r w:rsidRPr="00C66581">
              <w:t>Редки</w:t>
            </w:r>
          </w:p>
        </w:tc>
        <w:tc>
          <w:tcPr>
            <w:tcW w:w="3268" w:type="dxa"/>
          </w:tcPr>
          <w:p w14:paraId="3760A1F5" w14:textId="5772A957" w:rsidR="00C66581" w:rsidRPr="00C66581" w:rsidRDefault="00C66581" w:rsidP="00C66581">
            <w:pPr>
              <w:rPr>
                <w:rFonts w:cs="Arial"/>
              </w:rPr>
            </w:pPr>
            <w:r w:rsidRPr="00C66581">
              <w:t>Бъбречна дисфункция и интерстициален нефрит</w:t>
            </w:r>
          </w:p>
        </w:tc>
      </w:tr>
      <w:tr w:rsidR="00C66581" w14:paraId="153E87C9" w14:textId="77777777" w:rsidTr="00C66581">
        <w:tc>
          <w:tcPr>
            <w:tcW w:w="3047" w:type="dxa"/>
            <w:vMerge w:val="restart"/>
          </w:tcPr>
          <w:p w14:paraId="475E33BF" w14:textId="64D75960" w:rsidR="00C66581" w:rsidRPr="00C66581" w:rsidRDefault="00C66581" w:rsidP="00C66581">
            <w:pPr>
              <w:rPr>
                <w:rFonts w:cs="Arial"/>
              </w:rPr>
            </w:pPr>
            <w:r w:rsidRPr="00C66581">
              <w:t>Общи нарушения и ефекти на мястото на приложение</w:t>
            </w:r>
          </w:p>
        </w:tc>
        <w:tc>
          <w:tcPr>
            <w:tcW w:w="3035" w:type="dxa"/>
          </w:tcPr>
          <w:p w14:paraId="03F3F870" w14:textId="348CB1DC" w:rsidR="00C66581" w:rsidRPr="00C66581" w:rsidRDefault="00C66581" w:rsidP="00C66581">
            <w:pPr>
              <w:rPr>
                <w:rFonts w:cs="Arial"/>
              </w:rPr>
            </w:pPr>
            <w:r w:rsidRPr="00C66581">
              <w:t>Чести</w:t>
            </w:r>
          </w:p>
        </w:tc>
        <w:tc>
          <w:tcPr>
            <w:tcW w:w="3268" w:type="dxa"/>
          </w:tcPr>
          <w:p w14:paraId="418E9031" w14:textId="149013AD" w:rsidR="00C66581" w:rsidRPr="00C66581" w:rsidRDefault="00C66581" w:rsidP="00C66581">
            <w:pPr>
              <w:rPr>
                <w:rFonts w:cs="Arial"/>
              </w:rPr>
            </w:pPr>
            <w:r w:rsidRPr="00C66581">
              <w:t>Слабост</w:t>
            </w:r>
          </w:p>
        </w:tc>
      </w:tr>
      <w:tr w:rsidR="00C66581" w14:paraId="248A1DD9" w14:textId="77777777" w:rsidTr="00C66581">
        <w:tc>
          <w:tcPr>
            <w:tcW w:w="3047" w:type="dxa"/>
            <w:vMerge/>
          </w:tcPr>
          <w:p w14:paraId="1AEBF7A6" w14:textId="77777777" w:rsidR="00C66581" w:rsidRPr="00C66581" w:rsidRDefault="00C66581" w:rsidP="00C66581">
            <w:pPr>
              <w:rPr>
                <w:rFonts w:cs="Arial"/>
              </w:rPr>
            </w:pPr>
          </w:p>
        </w:tc>
        <w:tc>
          <w:tcPr>
            <w:tcW w:w="3035" w:type="dxa"/>
          </w:tcPr>
          <w:p w14:paraId="698855AC" w14:textId="764F83A6" w:rsidR="00C66581" w:rsidRPr="00C66581" w:rsidRDefault="00C66581" w:rsidP="00C66581">
            <w:pPr>
              <w:rPr>
                <w:rFonts w:cs="Arial"/>
              </w:rPr>
            </w:pPr>
            <w:r w:rsidRPr="00C66581">
              <w:t>Редки</w:t>
            </w:r>
          </w:p>
        </w:tc>
        <w:tc>
          <w:tcPr>
            <w:tcW w:w="3268" w:type="dxa"/>
          </w:tcPr>
          <w:p w14:paraId="2E4B946E" w14:textId="637A7329" w:rsidR="00C66581" w:rsidRPr="00C66581" w:rsidRDefault="00C66581" w:rsidP="00C66581">
            <w:pPr>
              <w:rPr>
                <w:rFonts w:cs="Arial"/>
              </w:rPr>
            </w:pPr>
            <w:r w:rsidRPr="00C66581">
              <w:t>Фебрилитет</w:t>
            </w:r>
          </w:p>
        </w:tc>
      </w:tr>
      <w:tr w:rsidR="00C66581" w14:paraId="43824823" w14:textId="77777777" w:rsidTr="00C66581">
        <w:tc>
          <w:tcPr>
            <w:tcW w:w="3047" w:type="dxa"/>
            <w:vMerge w:val="restart"/>
          </w:tcPr>
          <w:p w14:paraId="61A7D829" w14:textId="6BA0CF79" w:rsidR="00C66581" w:rsidRPr="00C66581" w:rsidRDefault="00C66581" w:rsidP="00C66581">
            <w:pPr>
              <w:rPr>
                <w:rFonts w:cs="Arial"/>
              </w:rPr>
            </w:pPr>
            <w:r w:rsidRPr="00C66581">
              <w:t>Изследвания</w:t>
            </w:r>
          </w:p>
        </w:tc>
        <w:tc>
          <w:tcPr>
            <w:tcW w:w="3035" w:type="dxa"/>
          </w:tcPr>
          <w:p w14:paraId="7F1C7DEC" w14:textId="13443E29" w:rsidR="00C66581" w:rsidRPr="00C66581" w:rsidRDefault="00C66581" w:rsidP="00C66581">
            <w:pPr>
              <w:rPr>
                <w:rFonts w:cs="Arial"/>
              </w:rPr>
            </w:pPr>
            <w:r w:rsidRPr="00C66581">
              <w:t>Чести</w:t>
            </w:r>
          </w:p>
        </w:tc>
        <w:tc>
          <w:tcPr>
            <w:tcW w:w="3268" w:type="dxa"/>
          </w:tcPr>
          <w:p w14:paraId="0317CF8F" w14:textId="3C115F45" w:rsidR="00C66581" w:rsidRPr="00C66581" w:rsidRDefault="00C66581" w:rsidP="00C66581">
            <w:pPr>
              <w:rPr>
                <w:rFonts w:cs="Arial"/>
              </w:rPr>
            </w:pPr>
            <w:r w:rsidRPr="00C66581">
              <w:t>Повишаване на стойностите на холестерола и триглицеридите</w:t>
            </w:r>
          </w:p>
        </w:tc>
      </w:tr>
      <w:tr w:rsidR="00C66581" w14:paraId="293A1A9B" w14:textId="77777777" w:rsidTr="00C66581">
        <w:tc>
          <w:tcPr>
            <w:tcW w:w="3047" w:type="dxa"/>
            <w:vMerge/>
          </w:tcPr>
          <w:p w14:paraId="7816407A" w14:textId="77777777" w:rsidR="00C66581" w:rsidRPr="00C66581" w:rsidRDefault="00C66581" w:rsidP="00C66581">
            <w:pPr>
              <w:rPr>
                <w:rFonts w:cs="Arial"/>
              </w:rPr>
            </w:pPr>
          </w:p>
        </w:tc>
        <w:tc>
          <w:tcPr>
            <w:tcW w:w="3035" w:type="dxa"/>
          </w:tcPr>
          <w:p w14:paraId="08B49065" w14:textId="0180B2A3" w:rsidR="00C66581" w:rsidRPr="00C66581" w:rsidRDefault="00C66581" w:rsidP="00C66581">
            <w:pPr>
              <w:rPr>
                <w:rFonts w:cs="Arial"/>
              </w:rPr>
            </w:pPr>
            <w:r w:rsidRPr="00C66581">
              <w:t>Редки</w:t>
            </w:r>
          </w:p>
        </w:tc>
        <w:tc>
          <w:tcPr>
            <w:tcW w:w="3268" w:type="dxa"/>
          </w:tcPr>
          <w:p w14:paraId="121420C7" w14:textId="4151BF27" w:rsidR="00C66581" w:rsidRPr="00C66581" w:rsidRDefault="00C66581" w:rsidP="00C66581">
            <w:pPr>
              <w:rPr>
                <w:rFonts w:cs="Arial"/>
              </w:rPr>
            </w:pPr>
            <w:r w:rsidRPr="00C66581">
              <w:t xml:space="preserve">Повишаване на стойностите на уреята </w:t>
            </w:r>
            <w:r w:rsidRPr="00C66581">
              <w:rPr>
                <w:i/>
                <w:iCs/>
              </w:rPr>
              <w:t>и</w:t>
            </w:r>
            <w:r w:rsidRPr="00C66581">
              <w:t xml:space="preserve"> креатинина в серум</w:t>
            </w:r>
          </w:p>
        </w:tc>
      </w:tr>
    </w:tbl>
    <w:p w14:paraId="2DDCEF50" w14:textId="31DCDB9D" w:rsidR="00CF0CFB" w:rsidRDefault="00CF0CFB" w:rsidP="00CF0CFB">
      <w:pPr>
        <w:rPr>
          <w:rFonts w:cs="Arial"/>
        </w:rPr>
      </w:pPr>
    </w:p>
    <w:p w14:paraId="78E734BC" w14:textId="77777777" w:rsidR="00C66581" w:rsidRDefault="00C66581" w:rsidP="00C66581">
      <w:pPr>
        <w:rPr>
          <w:lang w:eastAsia="bg-BG"/>
        </w:rPr>
      </w:pPr>
      <w:r w:rsidRPr="00C66581">
        <w:rPr>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w:t>
      </w:r>
    </w:p>
    <w:p w14:paraId="3308AB73" w14:textId="6EA6325E" w:rsidR="00C66581" w:rsidRDefault="00C66581" w:rsidP="00C66581">
      <w:pPr>
        <w:rPr>
          <w:lang w:eastAsia="bg-BG"/>
        </w:rPr>
      </w:pPr>
      <w:r w:rsidRPr="00C66581">
        <w:rPr>
          <w:lang w:eastAsia="bg-BG"/>
        </w:rPr>
        <w:t xml:space="preserve">ул.,Дамян Груев” № 8 </w:t>
      </w:r>
    </w:p>
    <w:p w14:paraId="625C0A36" w14:textId="0000A00C" w:rsidR="00C66581" w:rsidRDefault="00C66581" w:rsidP="00C66581">
      <w:pPr>
        <w:rPr>
          <w:lang w:eastAsia="bg-BG"/>
        </w:rPr>
      </w:pPr>
      <w:r w:rsidRPr="00C66581">
        <w:rPr>
          <w:lang w:eastAsia="bg-BG"/>
        </w:rPr>
        <w:t xml:space="preserve">1303 София </w:t>
      </w:r>
    </w:p>
    <w:p w14:paraId="3E8A28B1" w14:textId="786C007F" w:rsidR="00C66581" w:rsidRDefault="00C66581" w:rsidP="00C66581">
      <w:pPr>
        <w:rPr>
          <w:lang w:eastAsia="bg-BG"/>
        </w:rPr>
      </w:pPr>
      <w:r w:rsidRPr="00C66581">
        <w:rPr>
          <w:lang w:eastAsia="bg-BG"/>
        </w:rPr>
        <w:t>Тел.:+3592 8903417</w:t>
      </w:r>
    </w:p>
    <w:p w14:paraId="657E7AB7" w14:textId="2DED01D4" w:rsidR="00C66581" w:rsidRPr="00C66581" w:rsidRDefault="00C66581" w:rsidP="00C66581">
      <w:pPr>
        <w:rPr>
          <w:sz w:val="24"/>
          <w:szCs w:val="24"/>
        </w:rPr>
      </w:pPr>
      <w:r w:rsidRPr="00C66581">
        <w:rPr>
          <w:lang w:eastAsia="bg-BG"/>
        </w:rPr>
        <w:t xml:space="preserve">уебсайт: </w:t>
      </w:r>
      <w:r w:rsidRPr="00C66581">
        <w:rPr>
          <w:u w:val="single"/>
          <w:lang w:val="en-US"/>
        </w:rPr>
        <w:t>www</w:t>
      </w:r>
      <w:r w:rsidRPr="00C66581">
        <w:rPr>
          <w:u w:val="single"/>
          <w:lang w:val="ru-RU"/>
        </w:rPr>
        <w:t>.</w:t>
      </w:r>
      <w:proofErr w:type="spellStart"/>
      <w:r w:rsidRPr="00C66581">
        <w:rPr>
          <w:u w:val="single"/>
          <w:lang w:val="en-US"/>
        </w:rPr>
        <w:t>bda</w:t>
      </w:r>
      <w:proofErr w:type="spellEnd"/>
      <w:r w:rsidRPr="00C66581">
        <w:rPr>
          <w:u w:val="single"/>
          <w:lang w:val="ru-RU"/>
        </w:rPr>
        <w:t>.</w:t>
      </w:r>
      <w:proofErr w:type="spellStart"/>
      <w:r>
        <w:rPr>
          <w:u w:val="single"/>
          <w:lang w:val="en-US"/>
        </w:rPr>
        <w:t>bg</w:t>
      </w:r>
      <w:proofErr w:type="spellEnd"/>
    </w:p>
    <w:p w14:paraId="00E1ED68" w14:textId="77777777" w:rsidR="00C66581" w:rsidRPr="00CF0CFB" w:rsidRDefault="00C66581" w:rsidP="00CF0CFB">
      <w:pPr>
        <w:rPr>
          <w:rFonts w:cs="Arial"/>
        </w:rPr>
      </w:pPr>
    </w:p>
    <w:p w14:paraId="07687653" w14:textId="58DF0269" w:rsidR="00DF4C8E" w:rsidRDefault="002C50EE" w:rsidP="00F44498">
      <w:pPr>
        <w:pStyle w:val="Heading2"/>
      </w:pPr>
      <w:r>
        <w:t>4.9. Предозиране</w:t>
      </w:r>
    </w:p>
    <w:p w14:paraId="7E6C688E" w14:textId="1FF41DCD" w:rsidR="00C66581" w:rsidRDefault="00C66581" w:rsidP="00C66581"/>
    <w:p w14:paraId="2EF1D264" w14:textId="77777777" w:rsidR="00C66581" w:rsidRPr="00C66581" w:rsidRDefault="00C66581" w:rsidP="00C66581">
      <w:pPr>
        <w:pStyle w:val="Heading3"/>
        <w:rPr>
          <w:rFonts w:eastAsia="Times New Roman"/>
          <w:u w:val="single"/>
        </w:rPr>
      </w:pPr>
      <w:r w:rsidRPr="00C66581">
        <w:rPr>
          <w:rFonts w:eastAsia="Times New Roman"/>
          <w:u w:val="single"/>
          <w:lang w:eastAsia="bg-BG"/>
        </w:rPr>
        <w:t>Симптоми</w:t>
      </w:r>
    </w:p>
    <w:p w14:paraId="0E211070" w14:textId="77777777" w:rsidR="00C66581" w:rsidRPr="00C66581" w:rsidRDefault="00C66581" w:rsidP="00C66581">
      <w:pPr>
        <w:spacing w:line="240" w:lineRule="auto"/>
        <w:rPr>
          <w:rFonts w:eastAsia="Times New Roman" w:cs="Arial"/>
        </w:rPr>
      </w:pPr>
      <w:r w:rsidRPr="00C66581">
        <w:rPr>
          <w:rFonts w:eastAsia="Times New Roman" w:cs="Arial"/>
          <w:color w:val="000000"/>
          <w:lang w:eastAsia="bg-BG"/>
        </w:rPr>
        <w:t xml:space="preserve">Въз основа на фармакологични съображения, изглежда вероятно основните прояви на предозирането на кандесартан цилексетил да са симптоматична хипотония и замайване. В отделните съобщения за предозиране (до 672 </w:t>
      </w:r>
      <w:r w:rsidRPr="00C66581">
        <w:rPr>
          <w:rFonts w:eastAsia="Times New Roman" w:cs="Arial"/>
          <w:color w:val="000000"/>
          <w:lang w:val="en-US"/>
        </w:rPr>
        <w:t>mg</w:t>
      </w:r>
      <w:r w:rsidRPr="00C66581">
        <w:rPr>
          <w:rFonts w:eastAsia="Times New Roman" w:cs="Arial"/>
          <w:color w:val="000000"/>
          <w:lang w:val="ru-RU"/>
        </w:rPr>
        <w:t xml:space="preserve"> </w:t>
      </w:r>
      <w:r w:rsidRPr="00C66581">
        <w:rPr>
          <w:rFonts w:eastAsia="Times New Roman" w:cs="Arial"/>
          <w:color w:val="000000"/>
          <w:lang w:eastAsia="bg-BG"/>
        </w:rPr>
        <w:t>кандесартан цилексегил) възстановяването на пациентите протича без усложнения.</w:t>
      </w:r>
    </w:p>
    <w:p w14:paraId="25804C17" w14:textId="77777777" w:rsidR="00C66581" w:rsidRPr="00C66581" w:rsidRDefault="00C66581" w:rsidP="00C66581">
      <w:pPr>
        <w:spacing w:line="240" w:lineRule="auto"/>
        <w:rPr>
          <w:rFonts w:eastAsia="Times New Roman" w:cs="Arial"/>
        </w:rPr>
      </w:pPr>
      <w:r w:rsidRPr="00C66581">
        <w:rPr>
          <w:rFonts w:eastAsia="Times New Roman" w:cs="Arial"/>
          <w:color w:val="000000"/>
          <w:lang w:eastAsia="bg-BG"/>
        </w:rPr>
        <w:t xml:space="preserve">Основната проява на предозирането на </w:t>
      </w:r>
      <w:r w:rsidRPr="00C66581">
        <w:rPr>
          <w:rFonts w:eastAsia="Times New Roman" w:cs="Arial"/>
          <w:i/>
          <w:iCs/>
          <w:color w:val="000000"/>
          <w:lang w:eastAsia="bg-BG"/>
        </w:rPr>
        <w:t>хидрохлоротиазид е</w:t>
      </w:r>
      <w:r w:rsidRPr="00C66581">
        <w:rPr>
          <w:rFonts w:eastAsia="Times New Roman" w:cs="Arial"/>
          <w:color w:val="000000"/>
          <w:lang w:eastAsia="bg-BG"/>
        </w:rPr>
        <w:t xml:space="preserve"> острата загуба на течности и електролити. Могат да се наблюдават и симптоми като замайване, хипотония, жажда, тахикардия, камерни аритмии, седация/нарушено съзнание и мускулни крампи.</w:t>
      </w:r>
    </w:p>
    <w:p w14:paraId="1E4B0D0F" w14:textId="77777777" w:rsidR="00C66581" w:rsidRDefault="00C66581" w:rsidP="00C66581">
      <w:pPr>
        <w:spacing w:line="240" w:lineRule="auto"/>
        <w:rPr>
          <w:rFonts w:eastAsia="Times New Roman" w:cs="Arial"/>
          <w:color w:val="000000"/>
          <w:lang w:eastAsia="bg-BG"/>
        </w:rPr>
      </w:pPr>
    </w:p>
    <w:p w14:paraId="45F3D90F" w14:textId="466EA8B5" w:rsidR="00C66581" w:rsidRPr="00C66581" w:rsidRDefault="00C66581" w:rsidP="00C66581">
      <w:pPr>
        <w:pStyle w:val="Heading3"/>
        <w:rPr>
          <w:rFonts w:eastAsia="Times New Roman"/>
          <w:u w:val="single"/>
        </w:rPr>
      </w:pPr>
      <w:r w:rsidRPr="00C66581">
        <w:rPr>
          <w:rFonts w:eastAsia="Times New Roman"/>
          <w:u w:val="single"/>
          <w:lang w:eastAsia="bg-BG"/>
        </w:rPr>
        <w:t>Лечение</w:t>
      </w:r>
    </w:p>
    <w:p w14:paraId="36DAF1F6" w14:textId="77777777" w:rsidR="00C66581" w:rsidRPr="00C66581" w:rsidRDefault="00C66581" w:rsidP="00C66581">
      <w:pPr>
        <w:spacing w:line="240" w:lineRule="auto"/>
        <w:rPr>
          <w:rFonts w:eastAsia="Times New Roman" w:cs="Arial"/>
        </w:rPr>
      </w:pPr>
      <w:r w:rsidRPr="00C66581">
        <w:rPr>
          <w:rFonts w:eastAsia="Times New Roman" w:cs="Arial"/>
          <w:color w:val="000000"/>
          <w:lang w:eastAsia="bg-BG"/>
        </w:rPr>
        <w:t>Липсва конкретна информация относно предозирането на Репидо Плюс. Все пак, в случай на предозиране се предлагат дадените по-долу мерки.</w:t>
      </w:r>
    </w:p>
    <w:p w14:paraId="0F634E7E" w14:textId="77777777" w:rsidR="00C66581" w:rsidRDefault="00C66581" w:rsidP="00C66581">
      <w:pPr>
        <w:spacing w:line="240" w:lineRule="auto"/>
        <w:rPr>
          <w:rFonts w:eastAsia="Times New Roman" w:cs="Arial"/>
          <w:color w:val="000000"/>
          <w:lang w:eastAsia="bg-BG"/>
        </w:rPr>
      </w:pPr>
    </w:p>
    <w:p w14:paraId="3E557B40" w14:textId="77777777" w:rsidR="00C66581" w:rsidRDefault="00C66581" w:rsidP="00C66581">
      <w:pPr>
        <w:spacing w:line="240" w:lineRule="auto"/>
        <w:rPr>
          <w:rFonts w:eastAsia="Times New Roman" w:cs="Arial"/>
          <w:color w:val="000000"/>
          <w:lang w:eastAsia="bg-BG"/>
        </w:rPr>
      </w:pPr>
      <w:r w:rsidRPr="00C66581">
        <w:rPr>
          <w:rFonts w:eastAsia="Times New Roman" w:cs="Arial"/>
          <w:color w:val="000000"/>
          <w:lang w:eastAsia="bg-BG"/>
        </w:rPr>
        <w:t xml:space="preserve">При показания трябва да се обмисли индуцирането на повръщане или стомашна промивка. Ако се развие изявена хипотония, трябва да се започне симптоматично лечение и да се наблюдават жизнените показатели. Пациентът следва да се постави по гръб, с повдигнати крака. Ако това не е достатъчно, плазменият обем трябва да се повиши чрез вливане на изотоничен разтвор на натриев хлорид. Трябва да се изследват серумните електролити и алкално-киселинното състояние и при нужда, да се коригират. </w:t>
      </w:r>
    </w:p>
    <w:p w14:paraId="08813839" w14:textId="6FC6F297" w:rsidR="00C66581" w:rsidRPr="00C66581" w:rsidRDefault="00C66581" w:rsidP="00C66581">
      <w:pPr>
        <w:spacing w:line="240" w:lineRule="auto"/>
        <w:rPr>
          <w:rFonts w:eastAsia="Times New Roman" w:cs="Arial"/>
        </w:rPr>
      </w:pPr>
      <w:r w:rsidRPr="00C66581">
        <w:rPr>
          <w:rFonts w:eastAsia="Times New Roman" w:cs="Arial"/>
          <w:color w:val="000000"/>
          <w:lang w:eastAsia="bg-BG"/>
        </w:rPr>
        <w:t>Ако изброените мерки не са достатъчни, може да се прилага и симпатикомиметици.</w:t>
      </w:r>
    </w:p>
    <w:p w14:paraId="15D087B9" w14:textId="77777777" w:rsidR="00C66581" w:rsidRDefault="00C66581" w:rsidP="00C66581">
      <w:pPr>
        <w:rPr>
          <w:rFonts w:eastAsia="Times New Roman" w:cs="Arial"/>
          <w:color w:val="000000"/>
          <w:lang w:eastAsia="bg-BG"/>
        </w:rPr>
      </w:pPr>
    </w:p>
    <w:p w14:paraId="73281205" w14:textId="70660B68" w:rsidR="00C66581" w:rsidRPr="00C66581" w:rsidRDefault="00C66581" w:rsidP="00C66581">
      <w:pPr>
        <w:rPr>
          <w:rFonts w:cs="Arial"/>
        </w:rPr>
      </w:pPr>
      <w:r w:rsidRPr="00C66581">
        <w:rPr>
          <w:rFonts w:eastAsia="Times New Roman" w:cs="Arial"/>
          <w:color w:val="000000"/>
          <w:lang w:eastAsia="bg-BG"/>
        </w:rPr>
        <w:t>Кандесартан не се отстранява чрез хемодиализа. Не е известно до каква степен хидрохлоротиазид се отстранява чрез хемодиализа.</w:t>
      </w:r>
    </w:p>
    <w:p w14:paraId="02081B24" w14:textId="1F46E296" w:rsidR="00395555" w:rsidRPr="00395555" w:rsidRDefault="002C50EE" w:rsidP="008A6AF2">
      <w:pPr>
        <w:pStyle w:val="Heading1"/>
      </w:pPr>
      <w:r>
        <w:t>5. ФАРМАКОЛОГИЧНИ СВОЙСТВА</w:t>
      </w:r>
    </w:p>
    <w:p w14:paraId="4D47A490" w14:textId="7BF39042" w:rsidR="00DF4C8E" w:rsidRDefault="002C50EE" w:rsidP="00F44498">
      <w:pPr>
        <w:pStyle w:val="Heading2"/>
      </w:pPr>
      <w:r>
        <w:t>5.1. Фармакодинамични свойства</w:t>
      </w:r>
    </w:p>
    <w:p w14:paraId="49F21BD4" w14:textId="68226490" w:rsidR="00C66581" w:rsidRDefault="00C66581" w:rsidP="00C66581"/>
    <w:p w14:paraId="69B6DFEE" w14:textId="77777777" w:rsidR="00C66581" w:rsidRPr="00C66581" w:rsidRDefault="00C66581" w:rsidP="00C66581">
      <w:pPr>
        <w:spacing w:line="240" w:lineRule="auto"/>
        <w:rPr>
          <w:rFonts w:eastAsia="Times New Roman" w:cs="Arial"/>
        </w:rPr>
      </w:pPr>
      <w:r w:rsidRPr="00C66581">
        <w:rPr>
          <w:rFonts w:eastAsia="Times New Roman" w:cs="Arial"/>
          <w:color w:val="000000"/>
          <w:lang w:eastAsia="bg-BG"/>
        </w:rPr>
        <w:t xml:space="preserve">Фармакотерапевтична група: Ангиотензин </w:t>
      </w:r>
      <w:r w:rsidRPr="00C66581">
        <w:rPr>
          <w:rFonts w:eastAsia="Times New Roman" w:cs="Arial"/>
          <w:color w:val="000000"/>
          <w:lang w:val="en-US"/>
        </w:rPr>
        <w:t>II</w:t>
      </w:r>
      <w:r w:rsidRPr="00C66581">
        <w:rPr>
          <w:rFonts w:eastAsia="Times New Roman" w:cs="Arial"/>
          <w:color w:val="000000"/>
          <w:lang w:eastAsia="bg-BG"/>
        </w:rPr>
        <w:t xml:space="preserve"> рецепторни антагонисти + диуретици, АТС код: </w:t>
      </w:r>
      <w:r w:rsidRPr="00C66581">
        <w:rPr>
          <w:rFonts w:eastAsia="Times New Roman" w:cs="Arial"/>
          <w:color w:val="000000"/>
          <w:lang w:val="en-US"/>
        </w:rPr>
        <w:t>C</w:t>
      </w:r>
      <w:r w:rsidRPr="00C66581">
        <w:rPr>
          <w:rFonts w:eastAsia="Times New Roman" w:cs="Arial"/>
          <w:color w:val="000000"/>
          <w:lang w:val="ru-RU"/>
        </w:rPr>
        <w:t>09</w:t>
      </w:r>
      <w:r w:rsidRPr="00C66581">
        <w:rPr>
          <w:rFonts w:eastAsia="Times New Roman" w:cs="Arial"/>
          <w:color w:val="000000"/>
          <w:lang w:val="en-US"/>
        </w:rPr>
        <w:t>DA</w:t>
      </w:r>
      <w:r w:rsidRPr="00C66581">
        <w:rPr>
          <w:rFonts w:eastAsia="Times New Roman" w:cs="Arial"/>
          <w:color w:val="000000"/>
          <w:lang w:val="ru-RU"/>
        </w:rPr>
        <w:t>06</w:t>
      </w:r>
    </w:p>
    <w:p w14:paraId="1BC5E194" w14:textId="77777777" w:rsidR="00C66581" w:rsidRDefault="00C66581" w:rsidP="00C66581">
      <w:pPr>
        <w:spacing w:line="240" w:lineRule="auto"/>
        <w:rPr>
          <w:rFonts w:eastAsia="Times New Roman" w:cs="Arial"/>
          <w:color w:val="000000"/>
          <w:lang w:eastAsia="bg-BG"/>
        </w:rPr>
      </w:pPr>
    </w:p>
    <w:p w14:paraId="27B9983C" w14:textId="2705922F" w:rsidR="00C66581" w:rsidRPr="00C66581" w:rsidRDefault="00C66581" w:rsidP="00C66581">
      <w:pPr>
        <w:spacing w:line="240" w:lineRule="auto"/>
        <w:rPr>
          <w:rFonts w:eastAsia="Times New Roman" w:cs="Arial"/>
        </w:rPr>
      </w:pPr>
      <w:r w:rsidRPr="00C66581">
        <w:rPr>
          <w:rFonts w:eastAsia="Times New Roman" w:cs="Arial"/>
          <w:color w:val="000000"/>
          <w:lang w:eastAsia="bg-BG"/>
        </w:rPr>
        <w:lastRenderedPageBreak/>
        <w:t xml:space="preserve">Ангиотензин </w:t>
      </w:r>
      <w:r w:rsidRPr="00C66581">
        <w:rPr>
          <w:rFonts w:eastAsia="Times New Roman" w:cs="Arial"/>
          <w:color w:val="000000"/>
          <w:lang w:val="en-US"/>
        </w:rPr>
        <w:t>II</w:t>
      </w:r>
      <w:r w:rsidRPr="00C66581">
        <w:rPr>
          <w:rFonts w:eastAsia="Times New Roman" w:cs="Arial"/>
          <w:color w:val="000000"/>
          <w:lang w:eastAsia="bg-BG"/>
        </w:rPr>
        <w:t xml:space="preserve"> е основният вазоактивен хормон от ренин-ангиотензин-алдостероновата система и играе роля в патофизиологията на хипертонията и други сърдечно-съдови нарушения. Той също така играе роля в патогенезата на органната хипертрофия и терминалното органно увреждане. Основните физиологични ефекти на ангиотензин </w:t>
      </w:r>
      <w:r w:rsidRPr="00C66581">
        <w:rPr>
          <w:rFonts w:eastAsia="Times New Roman" w:cs="Arial"/>
          <w:color w:val="000000"/>
          <w:lang w:val="en-US"/>
        </w:rPr>
        <w:t>II</w:t>
      </w:r>
      <w:r w:rsidRPr="00C66581">
        <w:rPr>
          <w:rFonts w:eastAsia="Times New Roman" w:cs="Arial"/>
          <w:color w:val="000000"/>
          <w:lang w:eastAsia="bg-BG"/>
        </w:rPr>
        <w:t xml:space="preserve"> като вазоконстрикция, стимулиране на освобождаването на алдостерон, регулация на електролитната и водната хомеостаза и стимулиране на клетъчния растеж, се медиират чрез рецептора от тип 1 (АТ1).</w:t>
      </w:r>
    </w:p>
    <w:p w14:paraId="1612096B" w14:textId="77777777" w:rsidR="00C66581" w:rsidRPr="00C66581" w:rsidRDefault="00C66581" w:rsidP="00C66581">
      <w:pPr>
        <w:spacing w:line="240" w:lineRule="auto"/>
        <w:rPr>
          <w:rFonts w:eastAsia="Times New Roman" w:cs="Arial"/>
        </w:rPr>
      </w:pPr>
      <w:r w:rsidRPr="00C66581">
        <w:rPr>
          <w:rFonts w:eastAsia="Times New Roman" w:cs="Arial"/>
          <w:color w:val="000000"/>
          <w:lang w:eastAsia="bg-BG"/>
        </w:rPr>
        <w:t>Кандесартан цилексетил е предлекарство, което бързо се превръща в активното вещество - кандесартан чрез естерна хидролиза по време на резорбцията в стомашно-чревния тракт. Кандесартан е А</w:t>
      </w:r>
      <w:r w:rsidRPr="00C66581">
        <w:rPr>
          <w:rFonts w:eastAsia="Times New Roman" w:cs="Arial"/>
          <w:color w:val="000000"/>
          <w:lang w:val="en-US"/>
        </w:rPr>
        <w:t>II</w:t>
      </w:r>
      <w:r w:rsidRPr="00C66581">
        <w:rPr>
          <w:rFonts w:eastAsia="Times New Roman" w:cs="Arial"/>
          <w:color w:val="000000"/>
          <w:lang w:eastAsia="bg-BG"/>
        </w:rPr>
        <w:t>РА, селективен по отношение на АТ1 рецепторите, който се свързва здраво и се отделя бавно от рецептора. Той няма миметична активност.</w:t>
      </w:r>
    </w:p>
    <w:p w14:paraId="4D001C9F" w14:textId="77777777" w:rsidR="00C66581" w:rsidRPr="00C66581" w:rsidRDefault="00C66581" w:rsidP="00C66581">
      <w:pPr>
        <w:spacing w:line="240" w:lineRule="auto"/>
        <w:rPr>
          <w:rFonts w:eastAsia="Times New Roman" w:cs="Arial"/>
        </w:rPr>
      </w:pPr>
      <w:r w:rsidRPr="00C66581">
        <w:rPr>
          <w:rFonts w:eastAsia="Times New Roman" w:cs="Arial"/>
          <w:color w:val="000000"/>
          <w:lang w:eastAsia="bg-BG"/>
        </w:rPr>
        <w:t>Кандесартан не повлиява АСЕ или други ензимни системи, които обикновено са свързани с използването на АСЕ иихибитори. Понеже не оказват ефект върху разграждането на кининнте, нито върху метаболизма на други съединения като субстанция Р, е малко вероятно да се очаква А</w:t>
      </w:r>
      <w:r w:rsidRPr="00C66581">
        <w:rPr>
          <w:rFonts w:eastAsia="Times New Roman" w:cs="Arial"/>
          <w:color w:val="000000"/>
          <w:lang w:val="en-US"/>
        </w:rPr>
        <w:t>II</w:t>
      </w:r>
      <w:r w:rsidRPr="00C66581">
        <w:rPr>
          <w:rFonts w:eastAsia="Times New Roman" w:cs="Arial"/>
          <w:color w:val="000000"/>
          <w:lang w:eastAsia="bg-BG"/>
        </w:rPr>
        <w:t xml:space="preserve">РА да се свързват с кашлица. В контролираните клинични проучвания, сравняващи кандесартан цилексетил с АСЕ иихибитори, честотата на развитие на кашлица при пациентите, приемащи кандесартан цилексетил, е по-ниска. Кандесартан не се свързва към или блокира други хормонални рецептори или йонни канали, за които е известно, че са важни за сърдечно-съдовата регулация. Антагонизмът спрямо </w:t>
      </w:r>
      <w:r w:rsidRPr="00C66581">
        <w:rPr>
          <w:rFonts w:eastAsia="Times New Roman" w:cs="Arial"/>
          <w:color w:val="000000"/>
          <w:lang w:val="en-US"/>
        </w:rPr>
        <w:t>AT</w:t>
      </w:r>
      <w:r w:rsidRPr="00C66581">
        <w:rPr>
          <w:rFonts w:eastAsia="Times New Roman" w:cs="Arial"/>
          <w:color w:val="000000"/>
          <w:lang w:val="ru-RU"/>
        </w:rPr>
        <w:t xml:space="preserve">1 </w:t>
      </w:r>
      <w:r w:rsidRPr="00C66581">
        <w:rPr>
          <w:rFonts w:eastAsia="Times New Roman" w:cs="Arial"/>
          <w:color w:val="000000"/>
          <w:lang w:eastAsia="bg-BG"/>
        </w:rPr>
        <w:t xml:space="preserve">рецепторите води до дозозависимо повишаване на плазмената концентрация на ренин, ангиотензин I и ангиотензин </w:t>
      </w:r>
      <w:r w:rsidRPr="00C66581">
        <w:rPr>
          <w:rFonts w:eastAsia="Times New Roman" w:cs="Arial"/>
          <w:color w:val="000000"/>
          <w:lang w:val="en-US"/>
        </w:rPr>
        <w:t>II</w:t>
      </w:r>
      <w:r w:rsidRPr="00C66581">
        <w:rPr>
          <w:rFonts w:eastAsia="Times New Roman" w:cs="Arial"/>
          <w:color w:val="000000"/>
          <w:lang w:eastAsia="bg-BG"/>
        </w:rPr>
        <w:t>, и понижаване на плазмената концентрация на алдостерон.</w:t>
      </w:r>
    </w:p>
    <w:p w14:paraId="6B40440F" w14:textId="77777777" w:rsidR="00C66581" w:rsidRDefault="00C66581" w:rsidP="00C66581">
      <w:pPr>
        <w:spacing w:line="240" w:lineRule="auto"/>
        <w:rPr>
          <w:rFonts w:eastAsia="Times New Roman" w:cs="Arial"/>
          <w:color w:val="000000"/>
          <w:lang w:eastAsia="bg-BG"/>
        </w:rPr>
      </w:pPr>
    </w:p>
    <w:p w14:paraId="1856D5EF" w14:textId="116BAFB4" w:rsidR="00C66581" w:rsidRPr="00C66581" w:rsidRDefault="00C66581" w:rsidP="00C66581">
      <w:pPr>
        <w:spacing w:line="240" w:lineRule="auto"/>
        <w:rPr>
          <w:rFonts w:eastAsia="Times New Roman" w:cs="Arial"/>
        </w:rPr>
      </w:pPr>
      <w:r w:rsidRPr="00C66581">
        <w:rPr>
          <w:rFonts w:eastAsia="Times New Roman" w:cs="Arial"/>
          <w:color w:val="000000"/>
          <w:lang w:eastAsia="bg-BG"/>
        </w:rPr>
        <w:t xml:space="preserve">Ефектите на кандесартан цилексетил в доза 8-16 </w:t>
      </w:r>
      <w:r w:rsidRPr="00C66581">
        <w:rPr>
          <w:rFonts w:eastAsia="Times New Roman" w:cs="Arial"/>
          <w:color w:val="000000"/>
          <w:lang w:val="en-US"/>
        </w:rPr>
        <w:t>mg</w:t>
      </w:r>
      <w:r w:rsidRPr="00C66581">
        <w:rPr>
          <w:rFonts w:eastAsia="Times New Roman" w:cs="Arial"/>
          <w:color w:val="000000"/>
          <w:lang w:val="ru-RU"/>
        </w:rPr>
        <w:t xml:space="preserve"> </w:t>
      </w:r>
      <w:r w:rsidRPr="00C66581">
        <w:rPr>
          <w:rFonts w:eastAsia="Times New Roman" w:cs="Arial"/>
          <w:color w:val="000000"/>
          <w:lang w:eastAsia="bg-BG"/>
        </w:rPr>
        <w:t xml:space="preserve">(средна доза 12 </w:t>
      </w:r>
      <w:r w:rsidRPr="00C66581">
        <w:rPr>
          <w:rFonts w:eastAsia="Times New Roman" w:cs="Arial"/>
          <w:color w:val="000000"/>
          <w:lang w:val="en-US"/>
        </w:rPr>
        <w:t>mg</w:t>
      </w:r>
      <w:r w:rsidRPr="00C66581">
        <w:rPr>
          <w:rFonts w:eastAsia="Times New Roman" w:cs="Arial"/>
          <w:color w:val="000000"/>
          <w:lang w:val="ru-RU"/>
        </w:rPr>
        <w:t xml:space="preserve">) </w:t>
      </w:r>
      <w:r w:rsidRPr="00C66581">
        <w:rPr>
          <w:rFonts w:eastAsia="Times New Roman" w:cs="Arial"/>
          <w:color w:val="000000"/>
          <w:lang w:eastAsia="bg-BG"/>
        </w:rPr>
        <w:t xml:space="preserve">еднократно дневно върху сърдечно-съдовата заболеваемост и смъртност са изследвани в рандомнзирано клинично проучване, включващо 4 937 пациенти в старческа възраст (70-89 години, 21% на възраст 80 или повече години) с лека до умерено тежка хипертония, проследявани в продължение на средно 3,7 години (Проучване върху познавателната способност и прогноза при пациентите в старческа възраст </w:t>
      </w:r>
      <w:r w:rsidRPr="00C66581">
        <w:rPr>
          <w:rFonts w:eastAsia="Times New Roman" w:cs="Arial"/>
          <w:color w:val="000000"/>
          <w:lang w:val="ru-RU"/>
        </w:rPr>
        <w:t>(</w:t>
      </w:r>
      <w:r w:rsidRPr="00C66581">
        <w:rPr>
          <w:rFonts w:eastAsia="Times New Roman" w:cs="Arial"/>
          <w:color w:val="000000"/>
          <w:lang w:val="en-US"/>
        </w:rPr>
        <w:t>Study</w:t>
      </w:r>
      <w:r w:rsidRPr="00C66581">
        <w:rPr>
          <w:rFonts w:eastAsia="Times New Roman" w:cs="Arial"/>
          <w:color w:val="000000"/>
          <w:lang w:val="ru-RU"/>
        </w:rPr>
        <w:t xml:space="preserve"> </w:t>
      </w:r>
      <w:r w:rsidRPr="00C66581">
        <w:rPr>
          <w:rFonts w:eastAsia="Times New Roman" w:cs="Arial"/>
          <w:color w:val="000000"/>
          <w:lang w:val="en-US"/>
        </w:rPr>
        <w:t>on</w:t>
      </w:r>
      <w:r w:rsidRPr="00C66581">
        <w:rPr>
          <w:rFonts w:eastAsia="Times New Roman" w:cs="Arial"/>
          <w:color w:val="000000"/>
          <w:lang w:val="ru-RU"/>
        </w:rPr>
        <w:t xml:space="preserve"> </w:t>
      </w:r>
      <w:proofErr w:type="spellStart"/>
      <w:r w:rsidRPr="00C66581">
        <w:rPr>
          <w:rFonts w:eastAsia="Times New Roman" w:cs="Arial"/>
          <w:color w:val="000000"/>
          <w:lang w:val="en-US"/>
        </w:rPr>
        <w:t>COgnition</w:t>
      </w:r>
      <w:proofErr w:type="spellEnd"/>
      <w:r w:rsidRPr="00C66581">
        <w:rPr>
          <w:rFonts w:eastAsia="Times New Roman" w:cs="Arial"/>
          <w:color w:val="000000"/>
          <w:lang w:val="ru-RU"/>
        </w:rPr>
        <w:t xml:space="preserve"> </w:t>
      </w:r>
      <w:r w:rsidRPr="00C66581">
        <w:rPr>
          <w:rFonts w:eastAsia="Times New Roman" w:cs="Arial"/>
          <w:color w:val="000000"/>
          <w:lang w:val="en-US"/>
        </w:rPr>
        <w:t>and</w:t>
      </w:r>
      <w:r w:rsidRPr="00C66581">
        <w:rPr>
          <w:rFonts w:eastAsia="Times New Roman" w:cs="Arial"/>
          <w:color w:val="000000"/>
          <w:lang w:val="ru-RU"/>
        </w:rPr>
        <w:t xml:space="preserve"> </w:t>
      </w:r>
      <w:r w:rsidRPr="00C66581">
        <w:rPr>
          <w:rFonts w:eastAsia="Times New Roman" w:cs="Arial"/>
          <w:color w:val="000000"/>
          <w:lang w:val="en-US"/>
        </w:rPr>
        <w:t>Prognosis</w:t>
      </w:r>
      <w:r w:rsidRPr="00C66581">
        <w:rPr>
          <w:rFonts w:eastAsia="Times New Roman" w:cs="Arial"/>
          <w:color w:val="000000"/>
          <w:lang w:val="ru-RU"/>
        </w:rPr>
        <w:t xml:space="preserve"> </w:t>
      </w:r>
      <w:r w:rsidRPr="00C66581">
        <w:rPr>
          <w:rFonts w:eastAsia="Times New Roman" w:cs="Arial"/>
          <w:color w:val="000000"/>
          <w:lang w:val="en-US"/>
        </w:rPr>
        <w:t>in</w:t>
      </w:r>
      <w:r w:rsidRPr="00C66581">
        <w:rPr>
          <w:rFonts w:eastAsia="Times New Roman" w:cs="Arial"/>
          <w:color w:val="000000"/>
          <w:lang w:val="ru-RU"/>
        </w:rPr>
        <w:t xml:space="preserve"> </w:t>
      </w:r>
      <w:r w:rsidRPr="00C66581">
        <w:rPr>
          <w:rFonts w:eastAsia="Times New Roman" w:cs="Arial"/>
          <w:color w:val="000000"/>
          <w:lang w:val="en-US"/>
        </w:rPr>
        <w:t>the</w:t>
      </w:r>
      <w:r w:rsidRPr="00C66581">
        <w:rPr>
          <w:rFonts w:eastAsia="Times New Roman" w:cs="Arial"/>
          <w:color w:val="000000"/>
          <w:lang w:val="ru-RU"/>
        </w:rPr>
        <w:t xml:space="preserve"> </w:t>
      </w:r>
      <w:r w:rsidRPr="00C66581">
        <w:rPr>
          <w:rFonts w:eastAsia="Times New Roman" w:cs="Arial"/>
          <w:color w:val="000000"/>
          <w:lang w:val="en-US"/>
        </w:rPr>
        <w:t>Elderly</w:t>
      </w:r>
      <w:r w:rsidRPr="00C66581">
        <w:rPr>
          <w:rFonts w:eastAsia="Times New Roman" w:cs="Arial"/>
          <w:color w:val="000000"/>
          <w:lang w:val="ru-RU"/>
        </w:rPr>
        <w:t xml:space="preserve">). </w:t>
      </w:r>
      <w:r w:rsidRPr="00C66581">
        <w:rPr>
          <w:rFonts w:eastAsia="Times New Roman" w:cs="Arial"/>
          <w:color w:val="000000"/>
          <w:lang w:eastAsia="bg-BG"/>
        </w:rPr>
        <w:t xml:space="preserve">Пациентите са приемали кандесартан или плацебо, като при нужда е добавяно и друго антихипертензнвно лечение. Артериалното налягане показва понижаване от 166/90 на 145/80 </w:t>
      </w:r>
      <w:r w:rsidRPr="00C66581">
        <w:rPr>
          <w:rFonts w:eastAsia="Times New Roman" w:cs="Arial"/>
          <w:color w:val="000000"/>
          <w:lang w:val="en-US"/>
        </w:rPr>
        <w:t>mmHg</w:t>
      </w:r>
      <w:r w:rsidRPr="00C66581">
        <w:rPr>
          <w:rFonts w:eastAsia="Times New Roman" w:cs="Arial"/>
          <w:color w:val="000000"/>
          <w:lang w:val="ru-RU"/>
        </w:rPr>
        <w:t xml:space="preserve"> </w:t>
      </w:r>
      <w:r w:rsidRPr="00C66581">
        <w:rPr>
          <w:rFonts w:eastAsia="Times New Roman" w:cs="Arial"/>
          <w:color w:val="000000"/>
          <w:lang w:eastAsia="bg-BG"/>
        </w:rPr>
        <w:t xml:space="preserve">в групата на кандесартан и от 167/90 на 149/82 </w:t>
      </w:r>
      <w:r w:rsidRPr="00C66581">
        <w:rPr>
          <w:rFonts w:eastAsia="Times New Roman" w:cs="Arial"/>
          <w:color w:val="000000"/>
          <w:lang w:val="en-US"/>
        </w:rPr>
        <w:t>mmHg</w:t>
      </w:r>
      <w:r w:rsidRPr="00C66581">
        <w:rPr>
          <w:rFonts w:eastAsia="Times New Roman" w:cs="Arial"/>
          <w:color w:val="000000"/>
          <w:lang w:val="ru-RU"/>
        </w:rPr>
        <w:t xml:space="preserve"> </w:t>
      </w:r>
      <w:r w:rsidRPr="00C66581">
        <w:rPr>
          <w:rFonts w:eastAsia="Times New Roman" w:cs="Arial"/>
          <w:color w:val="000000"/>
          <w:lang w:eastAsia="bg-BG"/>
        </w:rPr>
        <w:t>в групата на плацебо. По отношение на първичната крайна точка - значими сърдечно</w:t>
      </w:r>
      <w:r w:rsidRPr="00C66581">
        <w:rPr>
          <w:rFonts w:eastAsia="Times New Roman" w:cs="Arial"/>
          <w:color w:val="000000"/>
          <w:lang w:eastAsia="bg-BG"/>
        </w:rPr>
        <w:softHyphen/>
        <w:t xml:space="preserve">съдови инциденти (сърдечно-съдова смъртност, нелегален инсулт и нелегален инфаркт на миокарда), няма статистически значима разлика. В трупата на кандесартан инцидентитеса 26.7 на 1000 пациентогодини, а в контролната група-30,0 на 1000 пациентогодини (относителен риск 0,89, 95% </w:t>
      </w:r>
      <w:r w:rsidRPr="00C66581">
        <w:rPr>
          <w:rFonts w:eastAsia="Times New Roman" w:cs="Arial"/>
          <w:color w:val="000000"/>
          <w:lang w:val="en-US"/>
        </w:rPr>
        <w:t>CI</w:t>
      </w:r>
      <w:r w:rsidRPr="00C66581">
        <w:rPr>
          <w:rFonts w:eastAsia="Times New Roman" w:cs="Arial"/>
          <w:color w:val="000000"/>
          <w:lang w:val="ru-RU"/>
        </w:rPr>
        <w:t xml:space="preserve"> </w:t>
      </w:r>
      <w:r w:rsidRPr="00C66581">
        <w:rPr>
          <w:rFonts w:eastAsia="Times New Roman" w:cs="Arial"/>
          <w:color w:val="000000"/>
          <w:lang w:eastAsia="bg-BG"/>
        </w:rPr>
        <w:t>0,75 до 1,06, р=0,19).</w:t>
      </w:r>
    </w:p>
    <w:p w14:paraId="5659E0F4" w14:textId="77777777" w:rsidR="00C66581" w:rsidRPr="00C66581" w:rsidRDefault="00C66581" w:rsidP="00C66581">
      <w:pPr>
        <w:spacing w:line="240" w:lineRule="auto"/>
        <w:rPr>
          <w:rFonts w:eastAsia="Times New Roman" w:cs="Arial"/>
        </w:rPr>
      </w:pPr>
      <w:r w:rsidRPr="00C66581">
        <w:rPr>
          <w:rFonts w:eastAsia="Times New Roman" w:cs="Arial"/>
          <w:color w:val="000000"/>
          <w:lang w:eastAsia="bg-BG"/>
        </w:rPr>
        <w:t>Хидрохлоротиазид инхибира активната реабсорбция на натрий, главно в дисталиите тубули и стимулира екскрецията на натрий, хлор и вода. Бъбречната екскреция на калий и магнезий се повишава дозозависимо, докато реабсорбцията на калций се повишава. Хидрохлоротиазид понижава плазмения обем и обема на извънклетъчната течност, и понижава минутния обем на сърцето и артериалното налягане. При дългосрочно лечение пониженото периферно съпротивление допринася за понижаването на артериалното налягане.</w:t>
      </w:r>
    </w:p>
    <w:p w14:paraId="1676C235" w14:textId="77777777" w:rsidR="00C66581" w:rsidRDefault="00C66581" w:rsidP="00C66581">
      <w:pPr>
        <w:spacing w:line="240" w:lineRule="auto"/>
        <w:rPr>
          <w:rFonts w:eastAsia="Times New Roman" w:cs="Arial"/>
          <w:color w:val="000000"/>
          <w:lang w:eastAsia="bg-BG"/>
        </w:rPr>
      </w:pPr>
    </w:p>
    <w:p w14:paraId="5117D425" w14:textId="1B7FF215" w:rsidR="00C66581" w:rsidRPr="00C66581" w:rsidRDefault="00C66581" w:rsidP="00C66581">
      <w:pPr>
        <w:spacing w:line="240" w:lineRule="auto"/>
        <w:rPr>
          <w:rFonts w:eastAsia="Times New Roman" w:cs="Arial"/>
        </w:rPr>
      </w:pPr>
      <w:r w:rsidRPr="00C66581">
        <w:rPr>
          <w:rFonts w:eastAsia="Times New Roman" w:cs="Arial"/>
          <w:color w:val="000000"/>
          <w:lang w:eastAsia="bg-BG"/>
        </w:rPr>
        <w:t>Големи клинични проучвания показват, че дългосрочното лечение с хидрохлоротиазид намалява риска за сърдечно-съдова заболеваемост и смъртност.</w:t>
      </w:r>
    </w:p>
    <w:p w14:paraId="13F6B563" w14:textId="77777777" w:rsidR="00C66581" w:rsidRDefault="00C66581" w:rsidP="00C66581">
      <w:pPr>
        <w:rPr>
          <w:rFonts w:eastAsia="Times New Roman" w:cs="Arial"/>
          <w:color w:val="000000"/>
          <w:lang w:eastAsia="bg-BG"/>
        </w:rPr>
      </w:pPr>
    </w:p>
    <w:p w14:paraId="0A78CC45" w14:textId="7A9960B1" w:rsidR="00C66581" w:rsidRDefault="00C66581" w:rsidP="00C66581">
      <w:pPr>
        <w:rPr>
          <w:rFonts w:eastAsia="Times New Roman" w:cs="Arial"/>
          <w:color w:val="000000"/>
          <w:lang w:eastAsia="bg-BG"/>
        </w:rPr>
      </w:pPr>
      <w:r w:rsidRPr="00C66581">
        <w:rPr>
          <w:rFonts w:eastAsia="Times New Roman" w:cs="Arial"/>
          <w:color w:val="000000"/>
          <w:lang w:eastAsia="bg-BG"/>
        </w:rPr>
        <w:t>Кандесартан и хидрохлоротиазид имат адитивен антихипертензивен ефект.</w:t>
      </w:r>
    </w:p>
    <w:p w14:paraId="691F5C50" w14:textId="73254632" w:rsidR="00C66581" w:rsidRDefault="00C66581" w:rsidP="00C66581">
      <w:pPr>
        <w:rPr>
          <w:rFonts w:eastAsia="Times New Roman" w:cs="Arial"/>
          <w:color w:val="000000"/>
          <w:lang w:eastAsia="bg-BG"/>
        </w:rPr>
      </w:pPr>
    </w:p>
    <w:p w14:paraId="36BA082C" w14:textId="77777777" w:rsidR="00C66581" w:rsidRPr="00C66581" w:rsidRDefault="00C66581" w:rsidP="00C66581">
      <w:pPr>
        <w:spacing w:line="240" w:lineRule="auto"/>
        <w:rPr>
          <w:rFonts w:eastAsia="Times New Roman" w:cs="Arial"/>
        </w:rPr>
      </w:pPr>
      <w:r w:rsidRPr="00C66581">
        <w:rPr>
          <w:rFonts w:eastAsia="Times New Roman" w:cs="Arial"/>
          <w:color w:val="000000"/>
          <w:lang w:eastAsia="bg-BG"/>
        </w:rPr>
        <w:lastRenderedPageBreak/>
        <w:t xml:space="preserve">При пациенти е артериална хипертония приемът на Репидо Плюс води до дозозависимо и продължително понижаване на артериалното налягане без рефлекторно повишаване па сърдечната честота. Няма данни за сериозен или прекомерен хипотензивен ефект на първата доза или ребаунд ефект след спиране на лечението. След прилагане на еднократна доза Репидо Плюс като цяло антихипертензивният ефект започва ла се развива в рамките на 2 часа. С продължаване на лечението основната част от ефекта се постига в рамките на 4 седмици, като в хода на дългосрочно лечение се задържа. Репидо Плюс еднократно дневно осигурява ефективно и равномерно понижаване на артериалното налягане за период от 24 часа, с малка разлика </w:t>
      </w:r>
      <w:r w:rsidRPr="00C66581">
        <w:rPr>
          <w:rFonts w:eastAsia="Times New Roman" w:cs="Arial"/>
          <w:i/>
          <w:iCs/>
          <w:smallCaps/>
          <w:color w:val="000000"/>
          <w:lang w:eastAsia="bg-BG"/>
        </w:rPr>
        <w:t xml:space="preserve">межщ </w:t>
      </w:r>
      <w:r w:rsidRPr="00C66581">
        <w:rPr>
          <w:rFonts w:eastAsia="Times New Roman" w:cs="Arial"/>
          <w:color w:val="000000"/>
          <w:lang w:eastAsia="bg-BG"/>
        </w:rPr>
        <w:t xml:space="preserve">ефекта при максималната и при най-ниската концентрация в рамките на интервала на прилагане. В двойно-сляпо раидомизирано проучване Репидо Плюс 16 </w:t>
      </w:r>
      <w:r w:rsidRPr="00C66581">
        <w:rPr>
          <w:rFonts w:eastAsia="Times New Roman" w:cs="Arial"/>
          <w:color w:val="000000"/>
          <w:lang w:val="en-US"/>
        </w:rPr>
        <w:t>mg</w:t>
      </w:r>
      <w:r w:rsidRPr="00C66581">
        <w:rPr>
          <w:rFonts w:eastAsia="Times New Roman" w:cs="Arial"/>
          <w:color w:val="000000"/>
          <w:lang w:val="ru-RU"/>
        </w:rPr>
        <w:t>/1</w:t>
      </w:r>
      <w:r w:rsidRPr="00C66581">
        <w:rPr>
          <w:rFonts w:eastAsia="Times New Roman" w:cs="Arial"/>
          <w:color w:val="000000"/>
          <w:lang w:eastAsia="bg-BG"/>
        </w:rPr>
        <w:t xml:space="preserve">2,5 </w:t>
      </w:r>
      <w:r w:rsidRPr="00C66581">
        <w:rPr>
          <w:rFonts w:eastAsia="Times New Roman" w:cs="Arial"/>
          <w:color w:val="000000"/>
          <w:lang w:val="en-US"/>
        </w:rPr>
        <w:t>mg</w:t>
      </w:r>
      <w:r w:rsidRPr="00C66581">
        <w:rPr>
          <w:rFonts w:eastAsia="Times New Roman" w:cs="Arial"/>
          <w:color w:val="000000"/>
          <w:lang w:val="ru-RU"/>
        </w:rPr>
        <w:t xml:space="preserve"> </w:t>
      </w:r>
      <w:r w:rsidRPr="00C66581">
        <w:rPr>
          <w:rFonts w:eastAsia="Times New Roman" w:cs="Arial"/>
          <w:color w:val="000000"/>
          <w:lang w:eastAsia="bg-BG"/>
        </w:rPr>
        <w:t xml:space="preserve">еднократно дневно показва понижаване па артериалното налягане в значимо по-голяма степен и постигане на контрол при значимо повече пациенти, отколкото комбинацията лозартан/хидрохлоротиазид 50 </w:t>
      </w:r>
      <w:r w:rsidRPr="00C66581">
        <w:rPr>
          <w:rFonts w:eastAsia="Times New Roman" w:cs="Arial"/>
          <w:color w:val="000000"/>
          <w:lang w:val="en-US"/>
        </w:rPr>
        <w:t>mg</w:t>
      </w:r>
      <w:r w:rsidRPr="00C66581">
        <w:rPr>
          <w:rFonts w:eastAsia="Times New Roman" w:cs="Arial"/>
          <w:color w:val="000000"/>
          <w:lang w:val="ru-RU"/>
        </w:rPr>
        <w:t>/1</w:t>
      </w:r>
      <w:r w:rsidRPr="00C66581">
        <w:rPr>
          <w:rFonts w:eastAsia="Times New Roman" w:cs="Arial"/>
          <w:color w:val="000000"/>
          <w:lang w:eastAsia="bg-BG"/>
        </w:rPr>
        <w:t xml:space="preserve">2.5 </w:t>
      </w:r>
      <w:r w:rsidRPr="00C66581">
        <w:rPr>
          <w:rFonts w:eastAsia="Times New Roman" w:cs="Arial"/>
          <w:color w:val="000000"/>
          <w:lang w:val="en-US"/>
        </w:rPr>
        <w:t>mg</w:t>
      </w:r>
      <w:r w:rsidRPr="00C66581">
        <w:rPr>
          <w:rFonts w:eastAsia="Times New Roman" w:cs="Arial"/>
          <w:color w:val="000000"/>
          <w:lang w:val="ru-RU"/>
        </w:rPr>
        <w:t xml:space="preserve"> </w:t>
      </w:r>
      <w:r w:rsidRPr="00C66581">
        <w:rPr>
          <w:rFonts w:eastAsia="Times New Roman" w:cs="Arial"/>
          <w:color w:val="000000"/>
          <w:lang w:eastAsia="bg-BG"/>
        </w:rPr>
        <w:t>еднократно дневно.</w:t>
      </w:r>
    </w:p>
    <w:p w14:paraId="6FC81D1B" w14:textId="77777777" w:rsidR="00C66581" w:rsidRDefault="00C66581" w:rsidP="00C66581">
      <w:pPr>
        <w:spacing w:line="240" w:lineRule="auto"/>
        <w:rPr>
          <w:rFonts w:eastAsia="Times New Roman" w:cs="Arial"/>
          <w:color w:val="000000"/>
          <w:lang w:eastAsia="bg-BG"/>
        </w:rPr>
      </w:pPr>
    </w:p>
    <w:p w14:paraId="19D8448C" w14:textId="2B803042" w:rsidR="00C66581" w:rsidRPr="00C66581" w:rsidRDefault="00C66581" w:rsidP="00C66581">
      <w:pPr>
        <w:spacing w:line="240" w:lineRule="auto"/>
        <w:rPr>
          <w:rFonts w:eastAsia="Times New Roman" w:cs="Arial"/>
        </w:rPr>
      </w:pPr>
      <w:r w:rsidRPr="00C66581">
        <w:rPr>
          <w:rFonts w:eastAsia="Times New Roman" w:cs="Arial"/>
          <w:color w:val="000000"/>
          <w:lang w:eastAsia="bg-BG"/>
        </w:rPr>
        <w:t>В двойно-слепи, рандомизирани проучвания, честотата на нежеланите реакции, особено на кашлица, е по-ниска при лечение е Репидо Плюс, отколкото при лечение с комбинации от АСЕ иихибитори и хидрохлоротиазид.</w:t>
      </w:r>
    </w:p>
    <w:p w14:paraId="186C956E" w14:textId="77777777" w:rsidR="00C66581" w:rsidRDefault="00C66581" w:rsidP="00C66581">
      <w:pPr>
        <w:spacing w:line="240" w:lineRule="auto"/>
        <w:rPr>
          <w:rFonts w:eastAsia="Times New Roman" w:cs="Arial"/>
          <w:color w:val="000000"/>
          <w:lang w:eastAsia="bg-BG"/>
        </w:rPr>
      </w:pPr>
    </w:p>
    <w:p w14:paraId="18CA6A0E" w14:textId="6B11796F" w:rsidR="00C66581" w:rsidRPr="00C66581" w:rsidRDefault="00C66581" w:rsidP="00C66581">
      <w:pPr>
        <w:spacing w:line="240" w:lineRule="auto"/>
        <w:rPr>
          <w:rFonts w:eastAsia="Times New Roman" w:cs="Arial"/>
        </w:rPr>
      </w:pPr>
      <w:r w:rsidRPr="00C66581">
        <w:rPr>
          <w:rFonts w:eastAsia="Times New Roman" w:cs="Arial"/>
          <w:color w:val="000000"/>
          <w:lang w:eastAsia="bg-BG"/>
        </w:rPr>
        <w:t xml:space="preserve">В две клинични проучвания (рандомизирани, двойпо-слепи, плацебо-контролирани, с успоредни групи), включващи съответно 275 в 1524 рандомизирани пациенти, приемът па комбинацията кандесартан цилексетил/хидрохлоротиазид в дози 32 </w:t>
      </w:r>
      <w:r w:rsidRPr="00C66581">
        <w:rPr>
          <w:rFonts w:eastAsia="Times New Roman" w:cs="Arial"/>
          <w:color w:val="000000"/>
          <w:lang w:val="en-US"/>
        </w:rPr>
        <w:t>mg</w:t>
      </w:r>
      <w:r w:rsidRPr="00C66581">
        <w:rPr>
          <w:rFonts w:eastAsia="Times New Roman" w:cs="Arial"/>
          <w:color w:val="000000"/>
          <w:lang w:val="ru-RU"/>
        </w:rPr>
        <w:t>/1</w:t>
      </w:r>
      <w:r w:rsidRPr="00C66581">
        <w:rPr>
          <w:rFonts w:eastAsia="Times New Roman" w:cs="Arial"/>
          <w:color w:val="000000"/>
          <w:lang w:eastAsia="bg-BG"/>
        </w:rPr>
        <w:t xml:space="preserve">2,5 </w:t>
      </w:r>
      <w:r w:rsidRPr="00C66581">
        <w:rPr>
          <w:rFonts w:eastAsia="Times New Roman" w:cs="Arial"/>
          <w:color w:val="000000"/>
          <w:lang w:val="en-US"/>
        </w:rPr>
        <w:t>mg</w:t>
      </w:r>
      <w:r w:rsidRPr="00C66581">
        <w:rPr>
          <w:rFonts w:eastAsia="Times New Roman" w:cs="Arial"/>
          <w:color w:val="000000"/>
          <w:lang w:val="ru-RU"/>
        </w:rPr>
        <w:t xml:space="preserve"> </w:t>
      </w:r>
      <w:r w:rsidRPr="00C66581">
        <w:rPr>
          <w:rFonts w:eastAsia="Times New Roman" w:cs="Arial"/>
          <w:color w:val="000000"/>
          <w:lang w:eastAsia="bg-BG"/>
        </w:rPr>
        <w:t xml:space="preserve">и 32 </w:t>
      </w:r>
      <w:r w:rsidRPr="00C66581">
        <w:rPr>
          <w:rFonts w:eastAsia="Times New Roman" w:cs="Arial"/>
          <w:color w:val="000000"/>
          <w:lang w:val="en-US"/>
        </w:rPr>
        <w:t>mg</w:t>
      </w:r>
      <w:r w:rsidRPr="00C66581">
        <w:rPr>
          <w:rFonts w:eastAsia="Times New Roman" w:cs="Arial"/>
          <w:color w:val="000000"/>
          <w:lang w:val="ru-RU"/>
        </w:rPr>
        <w:t xml:space="preserve">/25 </w:t>
      </w:r>
      <w:r w:rsidRPr="00C66581">
        <w:rPr>
          <w:rFonts w:eastAsia="Times New Roman" w:cs="Arial"/>
          <w:color w:val="000000"/>
          <w:lang w:val="en-US"/>
        </w:rPr>
        <w:t>mg</w:t>
      </w:r>
      <w:r w:rsidRPr="00C66581">
        <w:rPr>
          <w:rFonts w:eastAsia="Times New Roman" w:cs="Arial"/>
          <w:color w:val="000000"/>
          <w:lang w:val="ru-RU"/>
        </w:rPr>
        <w:t xml:space="preserve"> </w:t>
      </w:r>
      <w:r w:rsidRPr="00C66581">
        <w:rPr>
          <w:rFonts w:eastAsia="Times New Roman" w:cs="Arial"/>
          <w:color w:val="000000"/>
          <w:lang w:eastAsia="bg-BG"/>
        </w:rPr>
        <w:t xml:space="preserve">води до понижаване на артериалното налягане съответно с 22/15 </w:t>
      </w:r>
      <w:r w:rsidRPr="00C66581">
        <w:rPr>
          <w:rFonts w:eastAsia="Times New Roman" w:cs="Arial"/>
          <w:color w:val="000000"/>
          <w:lang w:val="en-US"/>
        </w:rPr>
        <w:t>mmHg</w:t>
      </w:r>
      <w:r w:rsidRPr="00C66581">
        <w:rPr>
          <w:rFonts w:eastAsia="Times New Roman" w:cs="Arial"/>
          <w:color w:val="000000"/>
          <w:lang w:val="ru-RU"/>
        </w:rPr>
        <w:t xml:space="preserve"> </w:t>
      </w:r>
      <w:r w:rsidRPr="00C66581">
        <w:rPr>
          <w:rFonts w:eastAsia="Times New Roman" w:cs="Arial"/>
          <w:color w:val="000000"/>
          <w:lang w:eastAsia="bg-BG"/>
        </w:rPr>
        <w:t xml:space="preserve">и 21/14 </w:t>
      </w:r>
      <w:r w:rsidRPr="00C66581">
        <w:rPr>
          <w:rFonts w:eastAsia="Times New Roman" w:cs="Arial"/>
          <w:color w:val="000000"/>
          <w:lang w:val="en-US"/>
        </w:rPr>
        <w:t>mmHg</w:t>
      </w:r>
      <w:r w:rsidRPr="00C66581">
        <w:rPr>
          <w:rFonts w:eastAsia="Times New Roman" w:cs="Arial"/>
          <w:color w:val="000000"/>
          <w:lang w:val="ru-RU"/>
        </w:rPr>
        <w:t xml:space="preserve">, </w:t>
      </w:r>
      <w:r w:rsidRPr="00C66581">
        <w:rPr>
          <w:rFonts w:eastAsia="Times New Roman" w:cs="Arial"/>
          <w:color w:val="000000"/>
          <w:lang w:eastAsia="bg-BG"/>
        </w:rPr>
        <w:t>като показва значимо по-висока ефикасност от тази на съответните монокомпоненти.</w:t>
      </w:r>
    </w:p>
    <w:p w14:paraId="28536198" w14:textId="77777777" w:rsidR="00C66581" w:rsidRPr="00C66581" w:rsidRDefault="00C66581" w:rsidP="00C66581">
      <w:pPr>
        <w:spacing w:line="240" w:lineRule="auto"/>
        <w:rPr>
          <w:rFonts w:eastAsia="Times New Roman" w:cs="Arial"/>
        </w:rPr>
      </w:pPr>
      <w:r w:rsidRPr="00C66581">
        <w:rPr>
          <w:rFonts w:eastAsia="Times New Roman" w:cs="Arial"/>
          <w:color w:val="000000"/>
          <w:lang w:eastAsia="bg-BG"/>
        </w:rPr>
        <w:t xml:space="preserve">В раидомизирано, двойно-сляпо, клинично проучване с успоредни групи, включващо 1 975 рандомизирани пациенти на 32 </w:t>
      </w:r>
      <w:r w:rsidRPr="00C66581">
        <w:rPr>
          <w:rFonts w:eastAsia="Times New Roman" w:cs="Arial"/>
          <w:color w:val="000000"/>
          <w:lang w:val="en-US"/>
        </w:rPr>
        <w:t>mg</w:t>
      </w:r>
      <w:r w:rsidRPr="00C66581">
        <w:rPr>
          <w:rFonts w:eastAsia="Times New Roman" w:cs="Arial"/>
          <w:color w:val="000000"/>
          <w:lang w:val="ru-RU"/>
        </w:rPr>
        <w:t xml:space="preserve"> </w:t>
      </w:r>
      <w:r w:rsidRPr="00C66581">
        <w:rPr>
          <w:rFonts w:eastAsia="Times New Roman" w:cs="Arial"/>
          <w:color w:val="000000"/>
          <w:lang w:eastAsia="bg-BG"/>
        </w:rPr>
        <w:t xml:space="preserve">кандесартан цилексетил дневно, при които не е постигнат оптимален контрол, добавянето на 12,5 </w:t>
      </w:r>
      <w:r w:rsidRPr="00C66581">
        <w:rPr>
          <w:rFonts w:eastAsia="Times New Roman" w:cs="Arial"/>
          <w:color w:val="000000"/>
          <w:lang w:val="en-US"/>
        </w:rPr>
        <w:t>mg</w:t>
      </w:r>
      <w:r w:rsidRPr="00C66581">
        <w:rPr>
          <w:rFonts w:eastAsia="Times New Roman" w:cs="Arial"/>
          <w:color w:val="000000"/>
          <w:lang w:val="ru-RU"/>
        </w:rPr>
        <w:t xml:space="preserve"> </w:t>
      </w:r>
      <w:r w:rsidRPr="00C66581">
        <w:rPr>
          <w:rFonts w:eastAsia="Times New Roman" w:cs="Arial"/>
          <w:color w:val="000000"/>
          <w:lang w:eastAsia="bg-BG"/>
        </w:rPr>
        <w:t xml:space="preserve">или 25 </w:t>
      </w:r>
      <w:r w:rsidRPr="00C66581">
        <w:rPr>
          <w:rFonts w:eastAsia="Times New Roman" w:cs="Arial"/>
          <w:color w:val="000000"/>
          <w:lang w:val="en-US"/>
        </w:rPr>
        <w:t>mg</w:t>
      </w:r>
      <w:r w:rsidRPr="00C66581">
        <w:rPr>
          <w:rFonts w:eastAsia="Times New Roman" w:cs="Arial"/>
          <w:color w:val="000000"/>
          <w:lang w:val="ru-RU"/>
        </w:rPr>
        <w:t xml:space="preserve"> </w:t>
      </w:r>
      <w:r w:rsidRPr="00C66581">
        <w:rPr>
          <w:rFonts w:eastAsia="Times New Roman" w:cs="Arial"/>
          <w:color w:val="000000"/>
          <w:lang w:eastAsia="bg-BG"/>
        </w:rPr>
        <w:t xml:space="preserve">хидрохлоротиазид води до допълнително понижаване на артериалното налягане. Комбинацията кандесартан цилексетил/хидрохлоротиазид 32 </w:t>
      </w:r>
      <w:r w:rsidRPr="00C66581">
        <w:rPr>
          <w:rFonts w:eastAsia="Times New Roman" w:cs="Arial"/>
          <w:color w:val="000000"/>
          <w:lang w:val="en-US"/>
        </w:rPr>
        <w:t>mg</w:t>
      </w:r>
      <w:r w:rsidRPr="00C66581">
        <w:rPr>
          <w:rFonts w:eastAsia="Times New Roman" w:cs="Arial"/>
          <w:color w:val="000000"/>
          <w:lang w:val="ru-RU"/>
        </w:rPr>
        <w:t xml:space="preserve">/25 </w:t>
      </w:r>
      <w:r w:rsidRPr="00C66581">
        <w:rPr>
          <w:rFonts w:eastAsia="Times New Roman" w:cs="Arial"/>
          <w:color w:val="000000"/>
          <w:lang w:val="en-US"/>
        </w:rPr>
        <w:t>mg</w:t>
      </w:r>
      <w:r w:rsidRPr="00C66581">
        <w:rPr>
          <w:rFonts w:eastAsia="Times New Roman" w:cs="Arial"/>
          <w:color w:val="000000"/>
          <w:lang w:val="ru-RU"/>
        </w:rPr>
        <w:t xml:space="preserve"> </w:t>
      </w:r>
      <w:r w:rsidRPr="00C66581">
        <w:rPr>
          <w:rFonts w:eastAsia="Times New Roman" w:cs="Arial"/>
          <w:color w:val="000000"/>
          <w:lang w:eastAsia="bg-BG"/>
        </w:rPr>
        <w:t xml:space="preserve">показва значимо по-висока ефикасност от комбинацията 32 </w:t>
      </w:r>
      <w:r w:rsidRPr="00C66581">
        <w:rPr>
          <w:rFonts w:eastAsia="Times New Roman" w:cs="Arial"/>
          <w:color w:val="000000"/>
          <w:lang w:val="en-US"/>
        </w:rPr>
        <w:t>mg</w:t>
      </w:r>
      <w:r w:rsidRPr="00C66581">
        <w:rPr>
          <w:rFonts w:eastAsia="Times New Roman" w:cs="Arial"/>
          <w:color w:val="000000"/>
          <w:lang w:val="ru-RU"/>
        </w:rPr>
        <w:t>/1</w:t>
      </w:r>
      <w:r w:rsidRPr="00C66581">
        <w:rPr>
          <w:rFonts w:eastAsia="Times New Roman" w:cs="Arial"/>
          <w:color w:val="000000"/>
          <w:lang w:eastAsia="bg-BG"/>
        </w:rPr>
        <w:t xml:space="preserve">2,5 </w:t>
      </w:r>
      <w:r w:rsidRPr="00C66581">
        <w:rPr>
          <w:rFonts w:eastAsia="Times New Roman" w:cs="Arial"/>
          <w:color w:val="000000"/>
          <w:lang w:val="en-US"/>
        </w:rPr>
        <w:t>mg</w:t>
      </w:r>
      <w:r w:rsidRPr="00C66581">
        <w:rPr>
          <w:rFonts w:eastAsia="Times New Roman" w:cs="Arial"/>
          <w:color w:val="000000"/>
          <w:lang w:val="ru-RU"/>
        </w:rPr>
        <w:t xml:space="preserve">, </w:t>
      </w:r>
      <w:r w:rsidRPr="00C66581">
        <w:rPr>
          <w:rFonts w:eastAsia="Times New Roman" w:cs="Arial"/>
          <w:color w:val="000000"/>
          <w:lang w:eastAsia="bg-BG"/>
        </w:rPr>
        <w:t xml:space="preserve">като общото средно понижаване на артериалното налягане е съответно 16/10 </w:t>
      </w:r>
      <w:r w:rsidRPr="00C66581">
        <w:rPr>
          <w:rFonts w:eastAsia="Times New Roman" w:cs="Arial"/>
          <w:color w:val="000000"/>
          <w:lang w:val="en-US"/>
        </w:rPr>
        <w:t>mmHg</w:t>
      </w:r>
      <w:r w:rsidRPr="00C66581">
        <w:rPr>
          <w:rFonts w:eastAsia="Times New Roman" w:cs="Arial"/>
          <w:color w:val="000000"/>
          <w:lang w:val="ru-RU"/>
        </w:rPr>
        <w:t xml:space="preserve"> </w:t>
      </w:r>
      <w:r w:rsidRPr="00C66581">
        <w:rPr>
          <w:rFonts w:eastAsia="Times New Roman" w:cs="Arial"/>
          <w:color w:val="000000"/>
          <w:lang w:eastAsia="bg-BG"/>
        </w:rPr>
        <w:t xml:space="preserve">и 13/9 </w:t>
      </w:r>
      <w:r w:rsidRPr="00C66581">
        <w:rPr>
          <w:rFonts w:eastAsia="Times New Roman" w:cs="Arial"/>
          <w:color w:val="000000"/>
          <w:lang w:val="en-US"/>
        </w:rPr>
        <w:t>mmHg</w:t>
      </w:r>
      <w:r w:rsidRPr="00C66581">
        <w:rPr>
          <w:rFonts w:eastAsia="Times New Roman" w:cs="Arial"/>
          <w:color w:val="000000"/>
          <w:lang w:val="ru-RU"/>
        </w:rPr>
        <w:t>.</w:t>
      </w:r>
    </w:p>
    <w:p w14:paraId="4FFE7BCD" w14:textId="77777777" w:rsidR="00C66581" w:rsidRDefault="00C66581" w:rsidP="00C66581">
      <w:pPr>
        <w:spacing w:line="240" w:lineRule="auto"/>
        <w:rPr>
          <w:rFonts w:eastAsia="Times New Roman" w:cs="Arial"/>
          <w:color w:val="000000"/>
          <w:lang w:eastAsia="bg-BG"/>
        </w:rPr>
      </w:pPr>
    </w:p>
    <w:p w14:paraId="21D3DB23" w14:textId="18AD6B6A" w:rsidR="00C66581" w:rsidRPr="00C66581" w:rsidRDefault="00C66581" w:rsidP="00C66581">
      <w:pPr>
        <w:spacing w:line="240" w:lineRule="auto"/>
        <w:rPr>
          <w:rFonts w:eastAsia="Times New Roman" w:cs="Arial"/>
        </w:rPr>
      </w:pPr>
      <w:r w:rsidRPr="00C66581">
        <w:rPr>
          <w:rFonts w:eastAsia="Times New Roman" w:cs="Arial"/>
          <w:color w:val="000000"/>
          <w:lang w:eastAsia="bg-BG"/>
        </w:rPr>
        <w:t>Кандесартан цилексетил/хидрохлоротиазид показва сходна ефективност при пациентите, без значение от възрастта и пола.</w:t>
      </w:r>
    </w:p>
    <w:p w14:paraId="680816C8" w14:textId="77777777" w:rsidR="00C66581" w:rsidRDefault="00C66581" w:rsidP="00C66581">
      <w:pPr>
        <w:spacing w:line="240" w:lineRule="auto"/>
        <w:rPr>
          <w:rFonts w:eastAsia="Times New Roman" w:cs="Arial"/>
          <w:color w:val="000000"/>
          <w:lang w:eastAsia="bg-BG"/>
        </w:rPr>
      </w:pPr>
    </w:p>
    <w:p w14:paraId="578A9C2A" w14:textId="70E04D73" w:rsidR="00C66581" w:rsidRPr="00C66581" w:rsidRDefault="00C66581" w:rsidP="00C66581">
      <w:pPr>
        <w:spacing w:line="240" w:lineRule="auto"/>
        <w:rPr>
          <w:rFonts w:eastAsia="Times New Roman" w:cs="Arial"/>
        </w:rPr>
      </w:pPr>
      <w:r w:rsidRPr="00C66581">
        <w:rPr>
          <w:rFonts w:eastAsia="Times New Roman" w:cs="Arial"/>
          <w:color w:val="000000"/>
          <w:lang w:eastAsia="bg-BG"/>
        </w:rPr>
        <w:t>Към момента липсват данни за употребата на кандесартан цилексетил/хидрохлоротиазид при пациенти с бъбречно заболяване/нефропатия, намалена левокамерна функция/застойна сърдечна недостатъчност и след инфаркт на миокарда.</w:t>
      </w:r>
    </w:p>
    <w:p w14:paraId="7B95D7E9" w14:textId="77777777" w:rsidR="00C66581" w:rsidRPr="00C66581" w:rsidRDefault="00C66581" w:rsidP="00C66581">
      <w:pPr>
        <w:spacing w:line="240" w:lineRule="auto"/>
        <w:rPr>
          <w:rFonts w:eastAsia="Times New Roman" w:cs="Arial"/>
        </w:rPr>
      </w:pPr>
      <w:r w:rsidRPr="00C66581">
        <w:rPr>
          <w:rFonts w:eastAsia="Times New Roman" w:cs="Arial"/>
          <w:color w:val="000000"/>
          <w:lang w:eastAsia="bg-BG"/>
        </w:rPr>
        <w:t xml:space="preserve">Две големи рандомизирани контролирани проучвания - </w:t>
      </w:r>
      <w:r w:rsidRPr="00C66581">
        <w:rPr>
          <w:rFonts w:eastAsia="Times New Roman" w:cs="Arial"/>
          <w:color w:val="000000"/>
          <w:lang w:val="en-US"/>
        </w:rPr>
        <w:t>ONTARGET</w:t>
      </w:r>
      <w:r w:rsidRPr="00C66581">
        <w:rPr>
          <w:rFonts w:eastAsia="Times New Roman" w:cs="Arial"/>
          <w:color w:val="000000"/>
        </w:rPr>
        <w:t xml:space="preserve"> (</w:t>
      </w:r>
      <w:proofErr w:type="spellStart"/>
      <w:r w:rsidRPr="00C66581">
        <w:rPr>
          <w:rFonts w:eastAsia="Times New Roman" w:cs="Arial"/>
          <w:color w:val="000000"/>
          <w:lang w:val="en-US"/>
        </w:rPr>
        <w:t>ONgoing</w:t>
      </w:r>
      <w:proofErr w:type="spellEnd"/>
      <w:r w:rsidRPr="00C66581">
        <w:rPr>
          <w:rFonts w:eastAsia="Times New Roman" w:cs="Arial"/>
          <w:color w:val="000000"/>
        </w:rPr>
        <w:t xml:space="preserve"> </w:t>
      </w:r>
      <w:proofErr w:type="spellStart"/>
      <w:r w:rsidRPr="00C66581">
        <w:rPr>
          <w:rFonts w:eastAsia="Times New Roman" w:cs="Arial"/>
          <w:color w:val="000000"/>
          <w:lang w:val="en-US"/>
        </w:rPr>
        <w:t>Telmisartan</w:t>
      </w:r>
      <w:proofErr w:type="spellEnd"/>
      <w:r w:rsidRPr="00C66581">
        <w:rPr>
          <w:rFonts w:eastAsia="Times New Roman" w:cs="Arial"/>
          <w:color w:val="000000"/>
        </w:rPr>
        <w:t xml:space="preserve"> </w:t>
      </w:r>
      <w:r w:rsidRPr="00C66581">
        <w:rPr>
          <w:rFonts w:eastAsia="Times New Roman" w:cs="Arial"/>
          <w:color w:val="000000"/>
          <w:lang w:val="en-US"/>
        </w:rPr>
        <w:t>Alone</w:t>
      </w:r>
      <w:r w:rsidRPr="00C66581">
        <w:rPr>
          <w:rFonts w:eastAsia="Times New Roman" w:cs="Arial"/>
          <w:color w:val="000000"/>
        </w:rPr>
        <w:t xml:space="preserve"> </w:t>
      </w:r>
      <w:r w:rsidRPr="00C66581">
        <w:rPr>
          <w:rFonts w:eastAsia="Times New Roman" w:cs="Arial"/>
          <w:color w:val="000000"/>
          <w:lang w:val="en-US"/>
        </w:rPr>
        <w:t>and</w:t>
      </w:r>
      <w:r w:rsidRPr="00C66581">
        <w:rPr>
          <w:rFonts w:eastAsia="Times New Roman" w:cs="Arial"/>
          <w:color w:val="000000"/>
        </w:rPr>
        <w:t xml:space="preserve"> </w:t>
      </w:r>
      <w:r w:rsidRPr="00C66581">
        <w:rPr>
          <w:rFonts w:eastAsia="Times New Roman" w:cs="Arial"/>
          <w:color w:val="000000"/>
          <w:lang w:val="en-US"/>
        </w:rPr>
        <w:t>in</w:t>
      </w:r>
      <w:r w:rsidRPr="00C66581">
        <w:rPr>
          <w:rFonts w:eastAsia="Times New Roman" w:cs="Arial"/>
          <w:color w:val="000000"/>
        </w:rPr>
        <w:t xml:space="preserve"> </w:t>
      </w:r>
      <w:r w:rsidRPr="00C66581">
        <w:rPr>
          <w:rFonts w:eastAsia="Times New Roman" w:cs="Arial"/>
          <w:color w:val="000000"/>
          <w:lang w:val="en-US"/>
        </w:rPr>
        <w:t>combination</w:t>
      </w:r>
      <w:r w:rsidRPr="00C66581">
        <w:rPr>
          <w:rFonts w:eastAsia="Times New Roman" w:cs="Arial"/>
          <w:color w:val="000000"/>
        </w:rPr>
        <w:t xml:space="preserve"> </w:t>
      </w:r>
      <w:r w:rsidRPr="00C66581">
        <w:rPr>
          <w:rFonts w:eastAsia="Times New Roman" w:cs="Arial"/>
          <w:color w:val="000000"/>
          <w:lang w:val="en-US"/>
        </w:rPr>
        <w:t>with</w:t>
      </w:r>
      <w:r w:rsidRPr="00C66581">
        <w:rPr>
          <w:rFonts w:eastAsia="Times New Roman" w:cs="Arial"/>
          <w:color w:val="000000"/>
        </w:rPr>
        <w:t xml:space="preserve"> </w:t>
      </w:r>
      <w:r w:rsidRPr="00C66581">
        <w:rPr>
          <w:rFonts w:eastAsia="Times New Roman" w:cs="Arial"/>
          <w:color w:val="000000"/>
          <w:lang w:val="en-US"/>
        </w:rPr>
        <w:t>Ramipril</w:t>
      </w:r>
      <w:r w:rsidRPr="00C66581">
        <w:rPr>
          <w:rFonts w:eastAsia="Times New Roman" w:cs="Arial"/>
          <w:color w:val="000000"/>
        </w:rPr>
        <w:t xml:space="preserve"> </w:t>
      </w:r>
      <w:r w:rsidRPr="00C66581">
        <w:rPr>
          <w:rFonts w:eastAsia="Times New Roman" w:cs="Arial"/>
          <w:color w:val="000000"/>
          <w:lang w:val="en-US"/>
        </w:rPr>
        <w:t>Global</w:t>
      </w:r>
      <w:r w:rsidRPr="00C66581">
        <w:rPr>
          <w:rFonts w:eastAsia="Times New Roman" w:cs="Arial"/>
          <w:color w:val="000000"/>
        </w:rPr>
        <w:t xml:space="preserve"> </w:t>
      </w:r>
      <w:r w:rsidRPr="00C66581">
        <w:rPr>
          <w:rFonts w:eastAsia="Times New Roman" w:cs="Arial"/>
          <w:color w:val="000000"/>
          <w:lang w:val="en-US"/>
        </w:rPr>
        <w:t>Endpoint</w:t>
      </w:r>
      <w:r w:rsidRPr="00C66581">
        <w:rPr>
          <w:rFonts w:eastAsia="Times New Roman" w:cs="Arial"/>
          <w:color w:val="000000"/>
        </w:rPr>
        <w:t xml:space="preserve"> </w:t>
      </w:r>
      <w:r w:rsidRPr="00C66581">
        <w:rPr>
          <w:rFonts w:eastAsia="Times New Roman" w:cs="Arial"/>
          <w:color w:val="000000"/>
          <w:lang w:val="en-US"/>
        </w:rPr>
        <w:t>Trial</w:t>
      </w:r>
      <w:r w:rsidRPr="00C66581">
        <w:rPr>
          <w:rFonts w:eastAsia="Times New Roman" w:cs="Arial"/>
          <w:color w:val="000000"/>
        </w:rPr>
        <w:t xml:space="preserve"> - </w:t>
      </w:r>
      <w:r w:rsidRPr="00C66581">
        <w:rPr>
          <w:rFonts w:eastAsia="Times New Roman" w:cs="Arial"/>
          <w:color w:val="000000"/>
          <w:lang w:eastAsia="bg-BG"/>
        </w:rPr>
        <w:t xml:space="preserve">текущо глобално изпитване за крайни точки на телмисартан, самостоятелно и в комбинация с рамиприл) и </w:t>
      </w:r>
      <w:r w:rsidRPr="00C66581">
        <w:rPr>
          <w:rFonts w:eastAsia="Times New Roman" w:cs="Arial"/>
          <w:color w:val="000000"/>
          <w:lang w:val="en-US"/>
        </w:rPr>
        <w:t>VA</w:t>
      </w:r>
      <w:r w:rsidRPr="00C66581">
        <w:rPr>
          <w:rFonts w:eastAsia="Times New Roman" w:cs="Arial"/>
          <w:color w:val="000000"/>
        </w:rPr>
        <w:t xml:space="preserve"> </w:t>
      </w:r>
      <w:r w:rsidRPr="00C66581">
        <w:rPr>
          <w:rFonts w:eastAsia="Times New Roman" w:cs="Arial"/>
          <w:color w:val="000000"/>
          <w:lang w:val="en-US"/>
        </w:rPr>
        <w:t>NEPHRON</w:t>
      </w:r>
      <w:r w:rsidRPr="00C66581">
        <w:rPr>
          <w:rFonts w:eastAsia="Times New Roman" w:cs="Arial"/>
          <w:color w:val="000000"/>
        </w:rPr>
        <w:t>-</w:t>
      </w:r>
      <w:r w:rsidRPr="00C66581">
        <w:rPr>
          <w:rFonts w:eastAsia="Times New Roman" w:cs="Arial"/>
          <w:color w:val="000000"/>
          <w:lang w:val="en-US"/>
        </w:rPr>
        <w:t>D</w:t>
      </w:r>
      <w:r w:rsidRPr="00C66581">
        <w:rPr>
          <w:rFonts w:eastAsia="Times New Roman" w:cs="Arial"/>
          <w:color w:val="000000"/>
        </w:rPr>
        <w:t xml:space="preserve"> </w:t>
      </w:r>
      <w:r w:rsidRPr="00C66581">
        <w:rPr>
          <w:rFonts w:eastAsia="Times New Roman" w:cs="Arial"/>
          <w:color w:val="000000"/>
          <w:lang w:eastAsia="bg-BG"/>
        </w:rPr>
        <w:t xml:space="preserve">(Клинично проучване свързано с развитие на нефропатия при диабет, проведено от Министерство по 16 въпросите на ветераните) - проучват употребата на комбинацията от АСЕ инхибитор и ангиотензин </w:t>
      </w:r>
      <w:r w:rsidRPr="00C66581">
        <w:rPr>
          <w:rFonts w:eastAsia="Times New Roman" w:cs="Arial"/>
          <w:color w:val="000000"/>
          <w:lang w:val="en-US"/>
        </w:rPr>
        <w:t>II</w:t>
      </w:r>
      <w:r w:rsidRPr="00C66581">
        <w:rPr>
          <w:rFonts w:eastAsia="Times New Roman" w:cs="Arial"/>
          <w:color w:val="000000"/>
          <w:lang w:eastAsia="bg-BG"/>
        </w:rPr>
        <w:t>-рецепторен блокер.</w:t>
      </w:r>
    </w:p>
    <w:p w14:paraId="3E8911FC" w14:textId="77777777" w:rsidR="00C66581" w:rsidRPr="00C66581" w:rsidRDefault="00C66581" w:rsidP="00C66581">
      <w:pPr>
        <w:spacing w:line="240" w:lineRule="auto"/>
        <w:rPr>
          <w:rFonts w:eastAsia="Times New Roman" w:cs="Arial"/>
        </w:rPr>
      </w:pPr>
      <w:r w:rsidRPr="00C66581">
        <w:rPr>
          <w:rFonts w:eastAsia="Times New Roman" w:cs="Arial"/>
          <w:color w:val="000000"/>
          <w:lang w:val="en-US"/>
        </w:rPr>
        <w:t>ONTARGET</w:t>
      </w:r>
      <w:r w:rsidRPr="00C66581">
        <w:rPr>
          <w:rFonts w:eastAsia="Times New Roman" w:cs="Arial"/>
          <w:color w:val="000000"/>
          <w:lang w:val="ru-RU"/>
        </w:rPr>
        <w:t xml:space="preserve"> </w:t>
      </w:r>
      <w:r w:rsidRPr="00C66581">
        <w:rPr>
          <w:rFonts w:eastAsia="Times New Roman" w:cs="Arial"/>
          <w:color w:val="000000"/>
          <w:lang w:eastAsia="bg-BG"/>
        </w:rPr>
        <w:t xml:space="preserve">е проучване, проведено при пациенти с анамнеза за сърдечно-съдова или мозъчносъдова болест, или захарен диабет тип 2, придружени с данни за увреждане на ефекторни органи. </w:t>
      </w:r>
      <w:r w:rsidRPr="00C66581">
        <w:rPr>
          <w:rFonts w:eastAsia="Times New Roman" w:cs="Arial"/>
          <w:color w:val="000000"/>
          <w:lang w:val="en-US"/>
        </w:rPr>
        <w:t>VA</w:t>
      </w:r>
      <w:r w:rsidRPr="00C66581">
        <w:rPr>
          <w:rFonts w:eastAsia="Times New Roman" w:cs="Arial"/>
          <w:color w:val="000000"/>
          <w:lang w:eastAsia="bg-BG"/>
        </w:rPr>
        <w:t xml:space="preserve"> </w:t>
      </w:r>
      <w:r w:rsidRPr="00C66581">
        <w:rPr>
          <w:rFonts w:eastAsia="Times New Roman" w:cs="Arial"/>
          <w:color w:val="000000"/>
          <w:lang w:val="en-US"/>
        </w:rPr>
        <w:t>NEPHRON</w:t>
      </w:r>
      <w:r w:rsidRPr="00C66581">
        <w:rPr>
          <w:rFonts w:eastAsia="Times New Roman" w:cs="Arial"/>
          <w:color w:val="000000"/>
          <w:lang w:val="ru-RU"/>
        </w:rPr>
        <w:t>-</w:t>
      </w:r>
      <w:r w:rsidRPr="00C66581">
        <w:rPr>
          <w:rFonts w:eastAsia="Times New Roman" w:cs="Arial"/>
          <w:color w:val="000000"/>
          <w:lang w:val="en-US"/>
        </w:rPr>
        <w:t>D</w:t>
      </w:r>
      <w:r w:rsidRPr="00C66581">
        <w:rPr>
          <w:rFonts w:eastAsia="Times New Roman" w:cs="Arial"/>
          <w:color w:val="000000"/>
          <w:lang w:val="ru-RU"/>
        </w:rPr>
        <w:t xml:space="preserve"> </w:t>
      </w:r>
      <w:r w:rsidRPr="00C66581">
        <w:rPr>
          <w:rFonts w:eastAsia="Times New Roman" w:cs="Arial"/>
          <w:color w:val="000000"/>
          <w:lang w:eastAsia="bg-BG"/>
        </w:rPr>
        <w:t>е проучване при пациенти със захарен диабет тип 2 и диабетна нефропатия.</w:t>
      </w:r>
    </w:p>
    <w:p w14:paraId="5B17F590" w14:textId="77777777" w:rsidR="00C66581" w:rsidRPr="00C66581" w:rsidRDefault="00C66581" w:rsidP="00C66581">
      <w:pPr>
        <w:rPr>
          <w:rFonts w:eastAsia="Times New Roman" w:cs="Arial"/>
        </w:rPr>
      </w:pPr>
      <w:r w:rsidRPr="00C66581">
        <w:rPr>
          <w:rFonts w:eastAsia="Times New Roman" w:cs="Arial"/>
          <w:color w:val="000000"/>
          <w:lang w:eastAsia="bg-BG"/>
        </w:rPr>
        <w:t xml:space="preserve">Тези проучвания не показват значим благоприятен ефект върху бъбречните и/или сърдечно-съдовите последици и смъртност, като същевременно са наблюдавани </w:t>
      </w:r>
      <w:r w:rsidRPr="00C66581">
        <w:rPr>
          <w:rFonts w:eastAsia="Times New Roman" w:cs="Arial"/>
          <w:color w:val="000000"/>
          <w:lang w:eastAsia="bg-BG"/>
        </w:rPr>
        <w:lastRenderedPageBreak/>
        <w:t>повишен риск от</w:t>
      </w:r>
      <w:r w:rsidRPr="00C66581">
        <w:rPr>
          <w:rFonts w:eastAsia="Times New Roman" w:cs="Arial"/>
          <w:i/>
          <w:iCs/>
          <w:color w:val="000000"/>
          <w:lang w:eastAsia="bg-BG"/>
        </w:rPr>
        <w:t xml:space="preserve"> </w:t>
      </w:r>
      <w:r w:rsidRPr="00C66581">
        <w:rPr>
          <w:rFonts w:eastAsia="Times New Roman" w:cs="Arial"/>
          <w:color w:val="000000"/>
          <w:lang w:eastAsia="bg-BG"/>
        </w:rPr>
        <w:t>хиперкалиемия, остро увреждане на бъбреците и/или хипотония в сравнение с мон</w:t>
      </w:r>
      <w:r w:rsidRPr="00C66581">
        <w:rPr>
          <w:rFonts w:eastAsia="Times New Roman" w:cs="Arial"/>
          <w:color w:val="000000"/>
          <w:lang w:val="en-US"/>
        </w:rPr>
        <w:t>o</w:t>
      </w:r>
      <w:r w:rsidRPr="00C66581">
        <w:rPr>
          <w:rFonts w:eastAsia="Times New Roman" w:cs="Arial"/>
          <w:color w:val="000000"/>
          <w:lang w:eastAsia="bg-BG"/>
        </w:rPr>
        <w:t>терапията. Като се имат предвид сходните им фармакодинамични свойства, тези резултати са приложими и</w:t>
      </w:r>
      <w:r w:rsidRPr="00C66581">
        <w:rPr>
          <w:rFonts w:eastAsia="Times New Roman" w:cs="Arial"/>
          <w:color w:val="000000"/>
          <w:lang w:val="ru-RU" w:eastAsia="bg-BG"/>
        </w:rPr>
        <w:t xml:space="preserve"> </w:t>
      </w:r>
      <w:r w:rsidRPr="00C66581">
        <w:rPr>
          <w:rFonts w:eastAsia="Times New Roman" w:cs="Arial"/>
          <w:color w:val="000000"/>
          <w:lang w:eastAsia="bg-BG"/>
        </w:rPr>
        <w:t xml:space="preserve">за други АСЕ инхибитори и ангиотензин </w:t>
      </w:r>
      <w:r w:rsidRPr="00C66581">
        <w:rPr>
          <w:rFonts w:eastAsia="Times New Roman" w:cs="Arial"/>
          <w:color w:val="000000"/>
          <w:lang w:val="en-US"/>
        </w:rPr>
        <w:t>II</w:t>
      </w:r>
      <w:r w:rsidRPr="00C66581">
        <w:rPr>
          <w:rFonts w:eastAsia="Times New Roman" w:cs="Arial"/>
          <w:color w:val="000000"/>
          <w:lang w:eastAsia="bg-BG"/>
        </w:rPr>
        <w:t>-рецепторни блокери.</w:t>
      </w:r>
    </w:p>
    <w:p w14:paraId="41348B8D" w14:textId="77777777" w:rsidR="00C66581" w:rsidRPr="00C66581" w:rsidRDefault="00C66581" w:rsidP="00C66581">
      <w:pPr>
        <w:spacing w:line="240" w:lineRule="auto"/>
        <w:rPr>
          <w:rFonts w:eastAsia="Times New Roman" w:cs="Arial"/>
        </w:rPr>
      </w:pPr>
      <w:r w:rsidRPr="00C66581">
        <w:rPr>
          <w:rFonts w:eastAsia="Times New Roman" w:cs="Arial"/>
          <w:color w:val="000000"/>
          <w:lang w:eastAsia="bg-BG"/>
        </w:rPr>
        <w:t xml:space="preserve">АСЕ инхибитори и ангиотензин </w:t>
      </w:r>
      <w:r w:rsidRPr="00C66581">
        <w:rPr>
          <w:rFonts w:eastAsia="Times New Roman" w:cs="Arial"/>
          <w:color w:val="000000"/>
          <w:lang w:val="en-US"/>
        </w:rPr>
        <w:t>II</w:t>
      </w:r>
      <w:r w:rsidRPr="00C66581">
        <w:rPr>
          <w:rFonts w:eastAsia="Times New Roman" w:cs="Arial"/>
          <w:color w:val="000000"/>
          <w:lang w:eastAsia="bg-BG"/>
        </w:rPr>
        <w:t>-рецепторни блокери следователно не трябва да се използват едновременно при пациенти с диабетна нефропатия.</w:t>
      </w:r>
    </w:p>
    <w:p w14:paraId="17DA6BD4" w14:textId="77777777" w:rsidR="00C66581" w:rsidRPr="00C66581" w:rsidRDefault="00C66581" w:rsidP="00C66581">
      <w:pPr>
        <w:spacing w:line="240" w:lineRule="auto"/>
        <w:rPr>
          <w:rFonts w:eastAsia="Times New Roman" w:cs="Arial"/>
        </w:rPr>
      </w:pPr>
      <w:r w:rsidRPr="00C66581">
        <w:rPr>
          <w:rFonts w:eastAsia="Times New Roman" w:cs="Arial"/>
          <w:color w:val="000000"/>
          <w:lang w:val="en-US"/>
        </w:rPr>
        <w:t>ALTITUDE</w:t>
      </w:r>
      <w:r w:rsidRPr="00C66581">
        <w:rPr>
          <w:rFonts w:eastAsia="Times New Roman" w:cs="Arial"/>
          <w:color w:val="000000"/>
          <w:lang w:val="ru-RU"/>
        </w:rPr>
        <w:t xml:space="preserve"> </w:t>
      </w:r>
      <w:r w:rsidRPr="00C66581">
        <w:rPr>
          <w:rFonts w:eastAsia="Times New Roman" w:cs="Arial"/>
          <w:color w:val="000000"/>
          <w:lang w:eastAsia="bg-BG"/>
        </w:rPr>
        <w:t xml:space="preserve">(Клинично проучване проведено с алискирен при пациенти със захарен диабет тип 2 с използване на сърдечно-съдови и бъбречни заболявания като крайни точки) е проучване, предназначено да изследва ползата от добавянето на алискирен към стандартна терапия с АСЕ инхибитор или ангиотензин </w:t>
      </w:r>
      <w:r w:rsidRPr="00C66581">
        <w:rPr>
          <w:rFonts w:eastAsia="Times New Roman" w:cs="Arial"/>
          <w:color w:val="000000"/>
          <w:lang w:val="en-US"/>
        </w:rPr>
        <w:t>II</w:t>
      </w:r>
      <w:r w:rsidRPr="00C66581">
        <w:rPr>
          <w:rFonts w:eastAsia="Times New Roman" w:cs="Arial"/>
          <w:color w:val="000000"/>
          <w:lang w:eastAsia="bg-BG"/>
        </w:rPr>
        <w:t xml:space="preserve">-рецепторен блокер при пациенти със захарен диабет тип 2 и хронично бъбречно заболяване, сърдечно-съдово заболяване или и двете. Проучването е прекратено преждевременно поради повишен риск от неблагоприятни последици. Както сърдечно-съдовата смърт, така и инсултът са по-чести в групата на алискирен, отколкото в групата на плацебо, </w:t>
      </w:r>
      <w:r w:rsidRPr="00C66581">
        <w:rPr>
          <w:rFonts w:eastAsia="Times New Roman" w:cs="Arial"/>
          <w:i/>
          <w:iCs/>
          <w:color w:val="000000"/>
          <w:lang w:eastAsia="bg-BG"/>
        </w:rPr>
        <w:t>а</w:t>
      </w:r>
      <w:r w:rsidRPr="00C66581">
        <w:rPr>
          <w:rFonts w:eastAsia="Times New Roman" w:cs="Arial"/>
          <w:color w:val="000000"/>
          <w:lang w:eastAsia="bg-BG"/>
        </w:rPr>
        <w:t xml:space="preserve"> представляващите интерес нежелани събития и сериозни нежелани събития (хиперкалиемия, хипотония и бъбречна дисфункция) се съобщават по-често в групата на алискирен, отколкото в групата на плацебо.</w:t>
      </w:r>
    </w:p>
    <w:p w14:paraId="49D3AC29" w14:textId="542ACD62" w:rsidR="00C66581" w:rsidRPr="00C66581" w:rsidRDefault="00C66581" w:rsidP="00C66581">
      <w:pPr>
        <w:rPr>
          <w:rFonts w:cs="Arial"/>
        </w:rPr>
      </w:pPr>
    </w:p>
    <w:p w14:paraId="79643DB7" w14:textId="0915FC4D" w:rsidR="00DF4C8E" w:rsidRDefault="002C50EE" w:rsidP="00F44498">
      <w:pPr>
        <w:pStyle w:val="Heading2"/>
      </w:pPr>
      <w:r>
        <w:t>5.2. Фармакокинетични свойства</w:t>
      </w:r>
    </w:p>
    <w:p w14:paraId="2B7CC554" w14:textId="6CAAF98F" w:rsidR="00C66581" w:rsidRDefault="00C66581" w:rsidP="00C66581"/>
    <w:p w14:paraId="49E5F072" w14:textId="77777777" w:rsidR="00C66581" w:rsidRPr="00C66581" w:rsidRDefault="00C66581" w:rsidP="00C66581">
      <w:pPr>
        <w:spacing w:line="240" w:lineRule="auto"/>
        <w:rPr>
          <w:rFonts w:eastAsia="Times New Roman" w:cs="Arial"/>
        </w:rPr>
      </w:pPr>
      <w:r w:rsidRPr="00C66581">
        <w:rPr>
          <w:rFonts w:eastAsia="Times New Roman" w:cs="Arial"/>
          <w:color w:val="000000"/>
          <w:lang w:eastAsia="bg-BG"/>
        </w:rPr>
        <w:t>Едновременното приложение на кандесартан цилексетил и хидрохлоротиазид не оказва клинично значим ефект върху фармакокинетиката на нито един от двата лекарствени продукта.</w:t>
      </w:r>
    </w:p>
    <w:p w14:paraId="5113D90C" w14:textId="77777777" w:rsidR="00C66581" w:rsidRDefault="00C66581" w:rsidP="00C66581">
      <w:pPr>
        <w:spacing w:line="240" w:lineRule="auto"/>
        <w:rPr>
          <w:rFonts w:eastAsia="Times New Roman" w:cs="Arial"/>
          <w:color w:val="000000"/>
          <w:u w:val="single"/>
          <w:lang w:eastAsia="bg-BG"/>
        </w:rPr>
      </w:pPr>
    </w:p>
    <w:p w14:paraId="15463207" w14:textId="1856B2BE" w:rsidR="00C66581" w:rsidRPr="00C66581" w:rsidRDefault="00C66581" w:rsidP="00C66581">
      <w:pPr>
        <w:pStyle w:val="Heading3"/>
        <w:rPr>
          <w:rFonts w:eastAsia="Times New Roman"/>
          <w:u w:val="single"/>
        </w:rPr>
      </w:pPr>
      <w:r w:rsidRPr="00C66581">
        <w:rPr>
          <w:rFonts w:eastAsia="Times New Roman"/>
          <w:u w:val="single"/>
          <w:lang w:eastAsia="bg-BG"/>
        </w:rPr>
        <w:t>Резорбция и разпределение</w:t>
      </w:r>
    </w:p>
    <w:p w14:paraId="5457C3C4" w14:textId="77777777" w:rsidR="00C66581" w:rsidRDefault="00C66581" w:rsidP="00C66581">
      <w:pPr>
        <w:spacing w:line="240" w:lineRule="auto"/>
        <w:rPr>
          <w:rFonts w:eastAsia="Times New Roman" w:cs="Arial"/>
          <w:color w:val="000000"/>
          <w:lang w:eastAsia="bg-BG"/>
        </w:rPr>
      </w:pPr>
    </w:p>
    <w:p w14:paraId="40F9E1DA" w14:textId="017A8548" w:rsidR="00C66581" w:rsidRPr="00C66581" w:rsidRDefault="00C66581" w:rsidP="00C66581">
      <w:pPr>
        <w:spacing w:line="240" w:lineRule="auto"/>
        <w:rPr>
          <w:rFonts w:eastAsia="Times New Roman" w:cs="Arial"/>
        </w:rPr>
      </w:pPr>
      <w:r w:rsidRPr="00C66581">
        <w:rPr>
          <w:rFonts w:eastAsia="Times New Roman" w:cs="Arial"/>
          <w:color w:val="000000"/>
          <w:lang w:eastAsia="bg-BG"/>
        </w:rPr>
        <w:t>Кандесартан цилексетил</w:t>
      </w:r>
    </w:p>
    <w:p w14:paraId="4D5A4196" w14:textId="77777777" w:rsidR="00C66581" w:rsidRPr="00C66581" w:rsidRDefault="00C66581" w:rsidP="00C66581">
      <w:pPr>
        <w:spacing w:line="240" w:lineRule="auto"/>
        <w:rPr>
          <w:rFonts w:eastAsia="Times New Roman" w:cs="Arial"/>
        </w:rPr>
      </w:pPr>
      <w:r w:rsidRPr="00C66581">
        <w:rPr>
          <w:rFonts w:eastAsia="Times New Roman" w:cs="Arial"/>
          <w:color w:val="000000"/>
          <w:lang w:eastAsia="bg-BG"/>
        </w:rPr>
        <w:t>След перорален прием кандесартан цилексетил се превръща в активното вещество кандесартан. След прием на перорален разтвор на кандесартан цилексетил, абсолютната бионаличност на кандесартан е приблизително 40%. Относителната бионаличност на таблетната форма на кандесартан цилексетил, сравнена със същия перорален разтвор, е приблизително 34% с минимална вариабилност. Средната пикова плазмена концентрация</w:t>
      </w:r>
      <w:r w:rsidRPr="00C66581">
        <w:rPr>
          <w:rFonts w:eastAsia="Times New Roman" w:cs="Arial"/>
          <w:color w:val="000000"/>
          <w:lang w:val="ru-RU"/>
        </w:rPr>
        <w:t xml:space="preserve"> (</w:t>
      </w:r>
      <w:proofErr w:type="spellStart"/>
      <w:r w:rsidRPr="00C66581">
        <w:rPr>
          <w:rFonts w:eastAsia="Times New Roman" w:cs="Arial"/>
          <w:color w:val="000000"/>
          <w:lang w:val="en-US"/>
        </w:rPr>
        <w:t>C</w:t>
      </w:r>
      <w:r w:rsidRPr="00C66581">
        <w:rPr>
          <w:rFonts w:eastAsia="Times New Roman" w:cs="Arial"/>
          <w:color w:val="000000"/>
          <w:vertAlign w:val="subscript"/>
          <w:lang w:val="en-US"/>
        </w:rPr>
        <w:t>max</w:t>
      </w:r>
      <w:proofErr w:type="spellEnd"/>
      <w:r w:rsidRPr="00C66581">
        <w:rPr>
          <w:rFonts w:eastAsia="Times New Roman" w:cs="Arial"/>
          <w:color w:val="000000"/>
          <w:lang w:val="ru-RU"/>
        </w:rPr>
        <w:t xml:space="preserve">) </w:t>
      </w:r>
      <w:r w:rsidRPr="00C66581">
        <w:rPr>
          <w:rFonts w:eastAsia="Times New Roman" w:cs="Arial"/>
          <w:color w:val="000000"/>
          <w:lang w:eastAsia="bg-BG"/>
        </w:rPr>
        <w:t>се постига 3-4 часа след</w:t>
      </w:r>
    </w:p>
    <w:p w14:paraId="1A92E5B8" w14:textId="77777777" w:rsidR="00C66581" w:rsidRPr="00C66581" w:rsidRDefault="00C66581" w:rsidP="00C66581">
      <w:pPr>
        <w:spacing w:line="240" w:lineRule="auto"/>
        <w:rPr>
          <w:rFonts w:eastAsia="Times New Roman" w:cs="Arial"/>
        </w:rPr>
      </w:pPr>
      <w:r w:rsidRPr="00C66581">
        <w:rPr>
          <w:rFonts w:eastAsia="Times New Roman" w:cs="Arial"/>
          <w:color w:val="000000"/>
          <w:lang w:eastAsia="bg-BG"/>
        </w:rPr>
        <w:t>приема па таблетката. С повишаване на дозата в рамките на терапевтичния дозов диапазон, серумната концентрация на кандесартан се повишава в линейна зависимост. Не е наблюдавана зависимост на фармакокинетиката на кандесартан от пола Площта под кривата серумна концентрация/време (</w:t>
      </w:r>
      <w:r w:rsidRPr="00C66581">
        <w:rPr>
          <w:rFonts w:eastAsia="Times New Roman" w:cs="Arial"/>
          <w:color w:val="000000"/>
          <w:lang w:val="en-US"/>
        </w:rPr>
        <w:t>AUC</w:t>
      </w:r>
      <w:r w:rsidRPr="00C66581">
        <w:rPr>
          <w:rFonts w:eastAsia="Times New Roman" w:cs="Arial"/>
          <w:color w:val="000000"/>
          <w:lang w:val="ru-RU"/>
        </w:rPr>
        <w:t xml:space="preserve">) </w:t>
      </w:r>
      <w:r w:rsidRPr="00C66581">
        <w:rPr>
          <w:rFonts w:eastAsia="Times New Roman" w:cs="Arial"/>
          <w:color w:val="000000"/>
          <w:lang w:eastAsia="bg-BG"/>
        </w:rPr>
        <w:t>на кандесартан не се повлиява значимо от приема па храна.</w:t>
      </w:r>
    </w:p>
    <w:p w14:paraId="4C627BB9" w14:textId="77777777" w:rsidR="00C66581" w:rsidRDefault="00C66581" w:rsidP="00C66581">
      <w:pPr>
        <w:spacing w:line="240" w:lineRule="auto"/>
        <w:rPr>
          <w:rFonts w:eastAsia="Times New Roman" w:cs="Arial"/>
          <w:color w:val="000000"/>
          <w:lang w:eastAsia="bg-BG"/>
        </w:rPr>
      </w:pPr>
    </w:p>
    <w:p w14:paraId="10838F99" w14:textId="20573394" w:rsidR="00C66581" w:rsidRPr="00C66581" w:rsidRDefault="00C66581" w:rsidP="00C66581">
      <w:pPr>
        <w:spacing w:line="240" w:lineRule="auto"/>
        <w:rPr>
          <w:rFonts w:eastAsia="Times New Roman" w:cs="Arial"/>
        </w:rPr>
      </w:pPr>
      <w:r w:rsidRPr="00C66581">
        <w:rPr>
          <w:rFonts w:eastAsia="Times New Roman" w:cs="Arial"/>
          <w:color w:val="000000"/>
          <w:lang w:eastAsia="bg-BG"/>
        </w:rPr>
        <w:t xml:space="preserve">Кандесартан се свързва във висока стенен с плазмените протеини (над 99%). Привидният обем на разпределение на кандесартан е 0,1 </w:t>
      </w:r>
      <w:r w:rsidRPr="00C66581">
        <w:rPr>
          <w:rFonts w:eastAsia="Times New Roman" w:cs="Arial"/>
          <w:color w:val="000000"/>
          <w:lang w:val="en-US"/>
        </w:rPr>
        <w:t>L</w:t>
      </w:r>
      <w:r w:rsidRPr="00C66581">
        <w:rPr>
          <w:rFonts w:eastAsia="Times New Roman" w:cs="Arial"/>
          <w:color w:val="000000"/>
          <w:lang w:val="ru-RU"/>
        </w:rPr>
        <w:t>/</w:t>
      </w:r>
      <w:r w:rsidRPr="00C66581">
        <w:rPr>
          <w:rFonts w:eastAsia="Times New Roman" w:cs="Arial"/>
          <w:color w:val="000000"/>
          <w:lang w:val="en-US"/>
        </w:rPr>
        <w:t>kg</w:t>
      </w:r>
      <w:r w:rsidRPr="00C66581">
        <w:rPr>
          <w:rFonts w:eastAsia="Times New Roman" w:cs="Arial"/>
          <w:color w:val="000000"/>
          <w:lang w:val="ru-RU"/>
        </w:rPr>
        <w:t>.</w:t>
      </w:r>
    </w:p>
    <w:p w14:paraId="414F7563" w14:textId="77777777" w:rsidR="00C66581" w:rsidRDefault="00C66581" w:rsidP="00C66581">
      <w:pPr>
        <w:spacing w:line="240" w:lineRule="auto"/>
        <w:rPr>
          <w:rFonts w:eastAsia="Times New Roman" w:cs="Arial"/>
          <w:color w:val="000000"/>
          <w:lang w:eastAsia="bg-BG"/>
        </w:rPr>
      </w:pPr>
    </w:p>
    <w:p w14:paraId="2228AC90" w14:textId="45FE2147" w:rsidR="00C66581" w:rsidRPr="00C66581" w:rsidRDefault="00C66581" w:rsidP="00C66581">
      <w:pPr>
        <w:spacing w:line="240" w:lineRule="auto"/>
        <w:rPr>
          <w:rFonts w:eastAsia="Times New Roman" w:cs="Arial"/>
        </w:rPr>
      </w:pPr>
      <w:r w:rsidRPr="00C66581">
        <w:rPr>
          <w:rFonts w:eastAsia="Times New Roman" w:cs="Arial"/>
          <w:color w:val="000000"/>
          <w:lang w:eastAsia="bg-BG"/>
        </w:rPr>
        <w:t>Хидрохлоротиазид</w:t>
      </w:r>
    </w:p>
    <w:p w14:paraId="0D70CAD6" w14:textId="77777777" w:rsidR="00C66581" w:rsidRPr="00C66581" w:rsidRDefault="00C66581" w:rsidP="00C66581">
      <w:pPr>
        <w:spacing w:line="240" w:lineRule="auto"/>
        <w:rPr>
          <w:rFonts w:eastAsia="Times New Roman" w:cs="Arial"/>
        </w:rPr>
      </w:pPr>
      <w:r w:rsidRPr="00C66581">
        <w:rPr>
          <w:rFonts w:eastAsia="Times New Roman" w:cs="Arial"/>
          <w:color w:val="000000"/>
          <w:lang w:eastAsia="bg-BG"/>
        </w:rPr>
        <w:t>Хидрохлоротиазид се резорбира бързо в гастроинтестиналния тракт, като абсолютната му бионаличност е приблизително 70%. Едновременният прием на храна повишава резорбцията му с приблизително 15%. При пациенти със сърдечна недостатъчност и явно изразени отоци бионаличността му може да намалее.</w:t>
      </w:r>
    </w:p>
    <w:p w14:paraId="71D3B720" w14:textId="77777777" w:rsidR="00C66581" w:rsidRDefault="00C66581" w:rsidP="00C66581">
      <w:pPr>
        <w:spacing w:line="240" w:lineRule="auto"/>
        <w:rPr>
          <w:rFonts w:eastAsia="Times New Roman" w:cs="Arial"/>
          <w:color w:val="000000"/>
          <w:lang w:eastAsia="bg-BG"/>
        </w:rPr>
      </w:pPr>
    </w:p>
    <w:p w14:paraId="3B2221E6" w14:textId="79314291" w:rsidR="00C66581" w:rsidRPr="00C66581" w:rsidRDefault="00C66581" w:rsidP="00C66581">
      <w:pPr>
        <w:spacing w:line="240" w:lineRule="auto"/>
        <w:rPr>
          <w:rFonts w:eastAsia="Times New Roman" w:cs="Arial"/>
        </w:rPr>
      </w:pPr>
      <w:r w:rsidRPr="00C66581">
        <w:rPr>
          <w:rFonts w:eastAsia="Times New Roman" w:cs="Arial"/>
          <w:color w:val="000000"/>
          <w:lang w:eastAsia="bg-BG"/>
        </w:rPr>
        <w:t xml:space="preserve">Свързването на хидрохлоротиазид с плазмените протеини е приблизително 60%. Привидният му обем на разпределение е приблизително </w:t>
      </w:r>
      <w:r w:rsidRPr="00C66581">
        <w:rPr>
          <w:rFonts w:eastAsia="Times New Roman" w:cs="Arial"/>
          <w:color w:val="000000"/>
          <w:lang w:val="ru-RU"/>
        </w:rPr>
        <w:t>0,</w:t>
      </w:r>
      <w:r w:rsidRPr="00C66581">
        <w:rPr>
          <w:rFonts w:eastAsia="Times New Roman" w:cs="Arial"/>
          <w:color w:val="000000"/>
          <w:lang w:val="en-US"/>
        </w:rPr>
        <w:t>S</w:t>
      </w:r>
      <w:r w:rsidRPr="00C66581">
        <w:rPr>
          <w:rFonts w:eastAsia="Times New Roman" w:cs="Arial"/>
          <w:color w:val="000000"/>
          <w:lang w:val="ru-RU"/>
        </w:rPr>
        <w:t xml:space="preserve"> </w:t>
      </w:r>
      <w:r w:rsidRPr="00C66581">
        <w:rPr>
          <w:rFonts w:eastAsia="Times New Roman" w:cs="Arial"/>
          <w:color w:val="000000"/>
          <w:lang w:val="en-US"/>
        </w:rPr>
        <w:t>L</w:t>
      </w:r>
      <w:r w:rsidRPr="00C66581">
        <w:rPr>
          <w:rFonts w:eastAsia="Times New Roman" w:cs="Arial"/>
          <w:color w:val="000000"/>
          <w:lang w:val="ru-RU"/>
        </w:rPr>
        <w:t>/</w:t>
      </w:r>
      <w:r w:rsidRPr="00C66581">
        <w:rPr>
          <w:rFonts w:eastAsia="Times New Roman" w:cs="Arial"/>
          <w:color w:val="000000"/>
          <w:lang w:val="en-US"/>
        </w:rPr>
        <w:t>kg</w:t>
      </w:r>
      <w:r w:rsidRPr="00C66581">
        <w:rPr>
          <w:rFonts w:eastAsia="Times New Roman" w:cs="Arial"/>
          <w:color w:val="000000"/>
          <w:lang w:val="ru-RU"/>
        </w:rPr>
        <w:t>.</w:t>
      </w:r>
    </w:p>
    <w:p w14:paraId="46B9F733" w14:textId="77777777" w:rsidR="00C66581" w:rsidRPr="00C66581" w:rsidRDefault="00C66581" w:rsidP="00C66581">
      <w:pPr>
        <w:pStyle w:val="Heading3"/>
        <w:rPr>
          <w:rFonts w:eastAsia="Times New Roman"/>
          <w:u w:val="single"/>
          <w:lang w:eastAsia="bg-BG"/>
        </w:rPr>
      </w:pPr>
    </w:p>
    <w:p w14:paraId="277B4A33" w14:textId="480684F3" w:rsidR="00C66581" w:rsidRPr="00C66581" w:rsidRDefault="00C66581" w:rsidP="00C66581">
      <w:pPr>
        <w:pStyle w:val="Heading3"/>
        <w:rPr>
          <w:rFonts w:eastAsia="Times New Roman"/>
          <w:sz w:val="22"/>
          <w:szCs w:val="22"/>
          <w:u w:val="single"/>
        </w:rPr>
      </w:pPr>
      <w:r w:rsidRPr="00C66581">
        <w:rPr>
          <w:rFonts w:eastAsia="Times New Roman"/>
          <w:u w:val="single"/>
          <w:lang w:eastAsia="bg-BG"/>
        </w:rPr>
        <w:t>Биотрансф</w:t>
      </w:r>
      <w:r w:rsidRPr="00C66581">
        <w:rPr>
          <w:rFonts w:eastAsia="Times New Roman"/>
          <w:sz w:val="22"/>
          <w:szCs w:val="22"/>
          <w:u w:val="single"/>
          <w:lang w:eastAsia="bg-BG"/>
        </w:rPr>
        <w:t>о</w:t>
      </w:r>
      <w:r w:rsidRPr="00C66581">
        <w:rPr>
          <w:rFonts w:eastAsia="Times New Roman"/>
          <w:u w:val="single"/>
          <w:lang w:eastAsia="bg-BG"/>
        </w:rPr>
        <w:t>рмац</w:t>
      </w:r>
      <w:r w:rsidRPr="00C66581">
        <w:rPr>
          <w:rFonts w:eastAsia="Times New Roman"/>
          <w:sz w:val="22"/>
          <w:szCs w:val="22"/>
          <w:u w:val="single"/>
          <w:lang w:eastAsia="bg-BG"/>
        </w:rPr>
        <w:t>ия и елиминиране</w:t>
      </w:r>
    </w:p>
    <w:p w14:paraId="18FD788E" w14:textId="77777777" w:rsidR="00C66581" w:rsidRDefault="00C66581" w:rsidP="00C66581">
      <w:pPr>
        <w:spacing w:line="240" w:lineRule="auto"/>
        <w:rPr>
          <w:rFonts w:eastAsia="Times New Roman" w:cs="Arial"/>
          <w:color w:val="000000"/>
          <w:lang w:eastAsia="bg-BG"/>
        </w:rPr>
      </w:pPr>
    </w:p>
    <w:p w14:paraId="3FDA519B" w14:textId="674D3BD6" w:rsidR="00C66581" w:rsidRPr="00C66581" w:rsidRDefault="00C66581" w:rsidP="00C66581">
      <w:pPr>
        <w:spacing w:line="240" w:lineRule="auto"/>
        <w:rPr>
          <w:rFonts w:eastAsia="Times New Roman" w:cs="Arial"/>
        </w:rPr>
      </w:pPr>
      <w:r w:rsidRPr="00C66581">
        <w:rPr>
          <w:rFonts w:eastAsia="Times New Roman" w:cs="Arial"/>
          <w:color w:val="000000"/>
          <w:lang w:eastAsia="bg-BG"/>
        </w:rPr>
        <w:t>Кандесартан цилексетил</w:t>
      </w:r>
    </w:p>
    <w:p w14:paraId="7634DF2D" w14:textId="5342545F" w:rsidR="00C66581" w:rsidRDefault="00C66581" w:rsidP="00C66581">
      <w:pPr>
        <w:rPr>
          <w:rFonts w:eastAsia="Times New Roman" w:cs="Arial"/>
          <w:color w:val="000000"/>
          <w:lang w:val="ru-RU"/>
        </w:rPr>
      </w:pPr>
      <w:r w:rsidRPr="00C66581">
        <w:rPr>
          <w:rFonts w:eastAsia="Times New Roman" w:cs="Arial"/>
          <w:color w:val="000000"/>
          <w:lang w:eastAsia="bg-BG"/>
        </w:rPr>
        <w:t xml:space="preserve">Кандесартан се елиминира главно непроменен с урината и жлъчката, като в малка степен се елиминира чрез метаболизиране в черния дроб </w:t>
      </w:r>
      <w:r w:rsidRPr="00C66581">
        <w:rPr>
          <w:rFonts w:eastAsia="Times New Roman" w:cs="Arial"/>
          <w:color w:val="000000"/>
          <w:lang w:val="ru-RU"/>
        </w:rPr>
        <w:t>(</w:t>
      </w:r>
      <w:r w:rsidRPr="00C66581">
        <w:rPr>
          <w:rFonts w:eastAsia="Times New Roman" w:cs="Arial"/>
          <w:color w:val="000000"/>
          <w:lang w:val="en-US"/>
        </w:rPr>
        <w:t>CYP</w:t>
      </w:r>
      <w:r w:rsidRPr="00C66581">
        <w:rPr>
          <w:rFonts w:eastAsia="Times New Roman" w:cs="Arial"/>
          <w:color w:val="000000"/>
          <w:lang w:val="ru-RU"/>
        </w:rPr>
        <w:t>2</w:t>
      </w:r>
      <w:r w:rsidRPr="00C66581">
        <w:rPr>
          <w:rFonts w:eastAsia="Times New Roman" w:cs="Arial"/>
          <w:color w:val="000000"/>
          <w:lang w:val="en-US"/>
        </w:rPr>
        <w:t>C</w:t>
      </w:r>
      <w:r w:rsidRPr="00C66581">
        <w:rPr>
          <w:rFonts w:eastAsia="Times New Roman" w:cs="Arial"/>
          <w:color w:val="000000"/>
          <w:lang w:val="ru-RU"/>
        </w:rPr>
        <w:t xml:space="preserve">9). </w:t>
      </w:r>
      <w:r w:rsidRPr="00C66581">
        <w:rPr>
          <w:rFonts w:eastAsia="Times New Roman" w:cs="Arial"/>
          <w:color w:val="000000"/>
          <w:lang w:eastAsia="bg-BG"/>
        </w:rPr>
        <w:t xml:space="preserve">Наличните проучвания за взаимодействия не показват ефект върху </w:t>
      </w:r>
      <w:r w:rsidRPr="00C66581">
        <w:rPr>
          <w:rFonts w:eastAsia="Times New Roman" w:cs="Arial"/>
          <w:color w:val="000000"/>
          <w:lang w:val="en-US"/>
        </w:rPr>
        <w:t>CYP</w:t>
      </w:r>
      <w:r w:rsidRPr="00C66581">
        <w:rPr>
          <w:rFonts w:eastAsia="Times New Roman" w:cs="Arial"/>
          <w:color w:val="000000"/>
          <w:lang w:val="ru-RU"/>
        </w:rPr>
        <w:t>2</w:t>
      </w:r>
      <w:r w:rsidRPr="00C66581">
        <w:rPr>
          <w:rFonts w:eastAsia="Times New Roman" w:cs="Arial"/>
          <w:color w:val="000000"/>
          <w:lang w:val="en-US"/>
        </w:rPr>
        <w:t>C</w:t>
      </w:r>
      <w:r w:rsidRPr="00C66581">
        <w:rPr>
          <w:rFonts w:eastAsia="Times New Roman" w:cs="Arial"/>
          <w:color w:val="000000"/>
          <w:lang w:val="ru-RU"/>
        </w:rPr>
        <w:t xml:space="preserve">9 </w:t>
      </w:r>
      <w:r w:rsidRPr="00C66581">
        <w:rPr>
          <w:rFonts w:eastAsia="Times New Roman" w:cs="Arial"/>
          <w:i/>
          <w:iCs/>
          <w:color w:val="000000"/>
          <w:lang w:eastAsia="bg-BG"/>
        </w:rPr>
        <w:t>и</w:t>
      </w:r>
      <w:r w:rsidRPr="00C66581">
        <w:rPr>
          <w:rFonts w:eastAsia="Times New Roman" w:cs="Arial"/>
          <w:color w:val="000000"/>
          <w:lang w:eastAsia="bg-BG"/>
        </w:rPr>
        <w:t xml:space="preserve"> </w:t>
      </w:r>
      <w:r w:rsidRPr="00C66581">
        <w:rPr>
          <w:rFonts w:eastAsia="Times New Roman" w:cs="Arial"/>
          <w:color w:val="000000"/>
          <w:lang w:val="en-US"/>
        </w:rPr>
        <w:t>CYP</w:t>
      </w:r>
      <w:r w:rsidRPr="00C66581">
        <w:rPr>
          <w:rFonts w:eastAsia="Times New Roman" w:cs="Arial"/>
          <w:color w:val="000000"/>
          <w:lang w:val="ru-RU"/>
        </w:rPr>
        <w:t>3</w:t>
      </w:r>
      <w:r w:rsidRPr="00C66581">
        <w:rPr>
          <w:rFonts w:eastAsia="Times New Roman" w:cs="Arial"/>
          <w:color w:val="000000"/>
          <w:lang w:val="en-US"/>
        </w:rPr>
        <w:t>A</w:t>
      </w:r>
      <w:r w:rsidRPr="00C66581">
        <w:rPr>
          <w:rFonts w:eastAsia="Times New Roman" w:cs="Arial"/>
          <w:color w:val="000000"/>
          <w:lang w:val="ru-RU"/>
        </w:rPr>
        <w:t xml:space="preserve">4, </w:t>
      </w:r>
      <w:r w:rsidRPr="00C66581">
        <w:rPr>
          <w:rFonts w:eastAsia="Times New Roman" w:cs="Arial"/>
          <w:color w:val="000000"/>
          <w:lang w:eastAsia="bg-BG"/>
        </w:rPr>
        <w:t>Изхождайки от данни</w:t>
      </w:r>
      <w:r w:rsidRPr="00C66581">
        <w:rPr>
          <w:rFonts w:eastAsia="Times New Roman" w:cs="Arial"/>
          <w:color w:val="000000"/>
          <w:lang w:val="ru-RU"/>
        </w:rPr>
        <w:t xml:space="preserve"> </w:t>
      </w:r>
      <w:r w:rsidRPr="00C66581">
        <w:rPr>
          <w:rFonts w:eastAsia="Times New Roman" w:cs="Arial"/>
          <w:color w:val="000000"/>
          <w:lang w:val="en-US"/>
        </w:rPr>
        <w:t>in</w:t>
      </w:r>
      <w:r w:rsidRPr="00C66581">
        <w:rPr>
          <w:rFonts w:eastAsia="Times New Roman" w:cs="Arial"/>
          <w:color w:val="000000"/>
          <w:lang w:val="ru-RU"/>
        </w:rPr>
        <w:t xml:space="preserve"> </w:t>
      </w:r>
      <w:r w:rsidRPr="00C66581">
        <w:rPr>
          <w:rFonts w:eastAsia="Times New Roman" w:cs="Arial"/>
          <w:color w:val="000000"/>
          <w:lang w:val="en-US"/>
        </w:rPr>
        <w:t>vitro</w:t>
      </w:r>
      <w:r w:rsidRPr="00C66581">
        <w:rPr>
          <w:rFonts w:eastAsia="Times New Roman" w:cs="Arial"/>
          <w:color w:val="000000"/>
          <w:lang w:val="ru-RU"/>
        </w:rPr>
        <w:t xml:space="preserve">, </w:t>
      </w:r>
      <w:r w:rsidRPr="00C66581">
        <w:rPr>
          <w:rFonts w:eastAsia="Times New Roman" w:cs="Arial"/>
          <w:color w:val="000000"/>
          <w:lang w:val="en-US"/>
        </w:rPr>
        <w:t>in</w:t>
      </w:r>
      <w:r w:rsidRPr="00C66581">
        <w:rPr>
          <w:rFonts w:eastAsia="Times New Roman" w:cs="Arial"/>
          <w:color w:val="000000"/>
          <w:lang w:val="ru-RU"/>
        </w:rPr>
        <w:t xml:space="preserve"> </w:t>
      </w:r>
      <w:r w:rsidRPr="00C66581">
        <w:rPr>
          <w:rFonts w:eastAsia="Times New Roman" w:cs="Arial"/>
          <w:color w:val="000000"/>
          <w:lang w:val="en-US"/>
        </w:rPr>
        <w:t>vivo</w:t>
      </w:r>
      <w:r w:rsidRPr="00C66581">
        <w:rPr>
          <w:rFonts w:eastAsia="Times New Roman" w:cs="Arial"/>
          <w:color w:val="000000"/>
          <w:lang w:val="ru-RU"/>
        </w:rPr>
        <w:t xml:space="preserve"> </w:t>
      </w:r>
      <w:r w:rsidRPr="00C66581">
        <w:rPr>
          <w:rFonts w:eastAsia="Times New Roman" w:cs="Arial"/>
          <w:color w:val="000000"/>
          <w:lang w:eastAsia="bg-BG"/>
        </w:rPr>
        <w:t xml:space="preserve">не може да се очакват взаимодействия с лекарствени продукти, чийто метаболизъм зависи от цитохром Р450 изоензими </w:t>
      </w:r>
      <w:r w:rsidRPr="00C66581">
        <w:rPr>
          <w:rFonts w:eastAsia="Times New Roman" w:cs="Arial"/>
          <w:color w:val="000000"/>
          <w:lang w:val="en-US"/>
        </w:rPr>
        <w:t>CYP</w:t>
      </w:r>
      <w:r w:rsidRPr="00C66581">
        <w:rPr>
          <w:rFonts w:eastAsia="Times New Roman" w:cs="Arial"/>
          <w:color w:val="000000"/>
          <w:lang w:val="ru-RU"/>
        </w:rPr>
        <w:t>1</w:t>
      </w:r>
      <w:r w:rsidRPr="00C66581">
        <w:rPr>
          <w:rFonts w:eastAsia="Times New Roman" w:cs="Arial"/>
          <w:color w:val="000000"/>
          <w:lang w:eastAsia="bg-BG"/>
        </w:rPr>
        <w:t xml:space="preserve">А2, </w:t>
      </w:r>
      <w:r w:rsidRPr="00C66581">
        <w:rPr>
          <w:rFonts w:eastAsia="Times New Roman" w:cs="Arial"/>
          <w:color w:val="000000"/>
          <w:lang w:val="en-US"/>
        </w:rPr>
        <w:t>CYP</w:t>
      </w:r>
      <w:r w:rsidRPr="00C66581">
        <w:rPr>
          <w:rFonts w:eastAsia="Times New Roman" w:cs="Arial"/>
          <w:color w:val="000000"/>
          <w:lang w:val="ru-RU"/>
        </w:rPr>
        <w:t>2</w:t>
      </w:r>
      <w:r w:rsidRPr="00C66581">
        <w:rPr>
          <w:rFonts w:eastAsia="Times New Roman" w:cs="Arial"/>
          <w:color w:val="000000"/>
          <w:lang w:val="en-US"/>
        </w:rPr>
        <w:t>A</w:t>
      </w:r>
      <w:r w:rsidRPr="00C66581">
        <w:rPr>
          <w:rFonts w:eastAsia="Times New Roman" w:cs="Arial"/>
          <w:color w:val="000000"/>
          <w:lang w:val="ru-RU"/>
        </w:rPr>
        <w:t xml:space="preserve">6, </w:t>
      </w:r>
      <w:r w:rsidRPr="00C66581">
        <w:rPr>
          <w:rFonts w:eastAsia="Times New Roman" w:cs="Arial"/>
          <w:color w:val="000000"/>
          <w:lang w:val="en-US"/>
        </w:rPr>
        <w:t>CYP</w:t>
      </w:r>
      <w:r w:rsidRPr="00C66581">
        <w:rPr>
          <w:rFonts w:eastAsia="Times New Roman" w:cs="Arial"/>
          <w:color w:val="000000"/>
          <w:lang w:val="ru-RU"/>
        </w:rPr>
        <w:t>2</w:t>
      </w:r>
      <w:r w:rsidRPr="00C66581">
        <w:rPr>
          <w:rFonts w:eastAsia="Times New Roman" w:cs="Arial"/>
          <w:color w:val="000000"/>
          <w:lang w:val="en-US"/>
        </w:rPr>
        <w:t>C</w:t>
      </w:r>
      <w:r w:rsidRPr="00C66581">
        <w:rPr>
          <w:rFonts w:eastAsia="Times New Roman" w:cs="Arial"/>
          <w:color w:val="000000"/>
          <w:lang w:val="ru-RU"/>
        </w:rPr>
        <w:t xml:space="preserve">9, </w:t>
      </w:r>
      <w:r w:rsidRPr="00C66581">
        <w:rPr>
          <w:rFonts w:eastAsia="Times New Roman" w:cs="Arial"/>
          <w:color w:val="000000"/>
          <w:lang w:val="en-US"/>
        </w:rPr>
        <w:t>CYP</w:t>
      </w:r>
      <w:r w:rsidRPr="00C66581">
        <w:rPr>
          <w:rFonts w:eastAsia="Times New Roman" w:cs="Arial"/>
          <w:color w:val="000000"/>
          <w:lang w:val="ru-RU"/>
        </w:rPr>
        <w:t>2</w:t>
      </w:r>
      <w:r w:rsidRPr="00C66581">
        <w:rPr>
          <w:rFonts w:eastAsia="Times New Roman" w:cs="Arial"/>
          <w:color w:val="000000"/>
          <w:lang w:val="en-US"/>
        </w:rPr>
        <w:t>C</w:t>
      </w:r>
      <w:r w:rsidRPr="00C66581">
        <w:rPr>
          <w:rFonts w:eastAsia="Times New Roman" w:cs="Arial"/>
          <w:color w:val="000000"/>
          <w:lang w:val="ru-RU"/>
        </w:rPr>
        <w:t xml:space="preserve">19, </w:t>
      </w:r>
      <w:r w:rsidRPr="00C66581">
        <w:rPr>
          <w:rFonts w:eastAsia="Times New Roman" w:cs="Arial"/>
          <w:color w:val="000000"/>
          <w:lang w:val="en-US"/>
        </w:rPr>
        <w:t>CYP</w:t>
      </w:r>
      <w:r w:rsidRPr="00C66581">
        <w:rPr>
          <w:rFonts w:eastAsia="Times New Roman" w:cs="Arial"/>
          <w:color w:val="000000"/>
          <w:lang w:val="ru-RU"/>
        </w:rPr>
        <w:t>2</w:t>
      </w:r>
      <w:r w:rsidRPr="00C66581">
        <w:rPr>
          <w:rFonts w:eastAsia="Times New Roman" w:cs="Arial"/>
          <w:color w:val="000000"/>
          <w:lang w:val="en-US"/>
        </w:rPr>
        <w:t>D</w:t>
      </w:r>
      <w:r w:rsidRPr="00C66581">
        <w:rPr>
          <w:rFonts w:eastAsia="Times New Roman" w:cs="Arial"/>
          <w:color w:val="000000"/>
          <w:lang w:val="ru-RU"/>
        </w:rPr>
        <w:t xml:space="preserve">6, </w:t>
      </w:r>
      <w:r w:rsidRPr="00C66581">
        <w:rPr>
          <w:rFonts w:eastAsia="Times New Roman" w:cs="Arial"/>
          <w:color w:val="000000"/>
          <w:lang w:eastAsia="bg-BG"/>
        </w:rPr>
        <w:t>СУР2</w:t>
      </w:r>
      <w:r w:rsidRPr="00C66581">
        <w:rPr>
          <w:rFonts w:eastAsia="Times New Roman" w:cs="Arial"/>
          <w:color w:val="000000"/>
          <w:lang w:val="en-US"/>
        </w:rPr>
        <w:t>E</w:t>
      </w:r>
      <w:r w:rsidRPr="00C66581">
        <w:rPr>
          <w:rFonts w:eastAsia="Times New Roman" w:cs="Arial"/>
          <w:color w:val="000000"/>
          <w:lang w:val="ru-RU"/>
        </w:rPr>
        <w:t xml:space="preserve">1 </w:t>
      </w:r>
      <w:r w:rsidRPr="00C66581">
        <w:rPr>
          <w:rFonts w:eastAsia="Times New Roman" w:cs="Arial"/>
          <w:color w:val="000000"/>
          <w:lang w:eastAsia="bg-BG"/>
        </w:rPr>
        <w:t xml:space="preserve">или </w:t>
      </w:r>
      <w:r w:rsidRPr="00C66581">
        <w:rPr>
          <w:rFonts w:eastAsia="Times New Roman" w:cs="Arial"/>
          <w:color w:val="000000"/>
          <w:lang w:val="en-US"/>
        </w:rPr>
        <w:t>CYP</w:t>
      </w:r>
      <w:r w:rsidRPr="00C66581">
        <w:rPr>
          <w:rFonts w:eastAsia="Times New Roman" w:cs="Arial"/>
          <w:color w:val="000000"/>
          <w:lang w:val="ru-RU"/>
        </w:rPr>
        <w:t>3</w:t>
      </w:r>
      <w:r w:rsidRPr="00C66581">
        <w:rPr>
          <w:rFonts w:eastAsia="Times New Roman" w:cs="Arial"/>
          <w:color w:val="000000"/>
          <w:lang w:val="en-US"/>
        </w:rPr>
        <w:t>A</w:t>
      </w:r>
      <w:r w:rsidRPr="00C66581">
        <w:rPr>
          <w:rFonts w:eastAsia="Times New Roman" w:cs="Arial"/>
          <w:color w:val="000000"/>
          <w:lang w:val="ru-RU"/>
        </w:rPr>
        <w:t>4</w:t>
      </w:r>
      <w:r>
        <w:rPr>
          <w:rFonts w:eastAsia="Times New Roman" w:cs="Arial"/>
          <w:color w:val="000000"/>
          <w:lang w:val="ru-RU"/>
        </w:rPr>
        <w:t>.</w:t>
      </w:r>
    </w:p>
    <w:p w14:paraId="32AB9269" w14:textId="7B1C8E13" w:rsidR="00C66581" w:rsidRDefault="00C66581" w:rsidP="00C66581">
      <w:pPr>
        <w:rPr>
          <w:rFonts w:eastAsia="Times New Roman" w:cs="Arial"/>
          <w:color w:val="000000"/>
          <w:lang w:val="ru-RU"/>
        </w:rPr>
      </w:pPr>
    </w:p>
    <w:p w14:paraId="2A0AC07C" w14:textId="77777777" w:rsidR="00C66581" w:rsidRPr="00C66581" w:rsidRDefault="00C66581" w:rsidP="00C66581">
      <w:pPr>
        <w:spacing w:line="240" w:lineRule="auto"/>
        <w:rPr>
          <w:rFonts w:eastAsia="Times New Roman" w:cs="Arial"/>
        </w:rPr>
      </w:pPr>
      <w:r w:rsidRPr="00C66581">
        <w:rPr>
          <w:rFonts w:eastAsia="Times New Roman" w:cs="Arial"/>
          <w:color w:val="000000"/>
          <w:lang w:eastAsia="bg-BG"/>
        </w:rPr>
        <w:t xml:space="preserve">Терминалният полуживот </w:t>
      </w:r>
      <w:r w:rsidRPr="00C66581">
        <w:rPr>
          <w:rFonts w:eastAsia="Times New Roman" w:cs="Arial"/>
          <w:color w:val="000000"/>
          <w:lang w:val="ru-RU"/>
        </w:rPr>
        <w:t>(</w:t>
      </w:r>
      <w:r w:rsidRPr="00C66581">
        <w:rPr>
          <w:rFonts w:eastAsia="Times New Roman" w:cs="Arial"/>
          <w:color w:val="000000"/>
          <w:lang w:val="en-US"/>
        </w:rPr>
        <w:t>t</w:t>
      </w:r>
      <w:r w:rsidRPr="00C66581">
        <w:rPr>
          <w:rFonts w:eastAsia="Times New Roman" w:cs="Arial"/>
          <w:color w:val="000000"/>
          <w:vertAlign w:val="subscript"/>
          <w:lang w:val="ru-RU"/>
        </w:rPr>
        <w:t>1/2</w:t>
      </w:r>
      <w:r w:rsidRPr="00C66581">
        <w:rPr>
          <w:rFonts w:eastAsia="Times New Roman" w:cs="Arial"/>
          <w:i/>
          <w:iCs/>
          <w:color w:val="000000"/>
          <w:lang w:eastAsia="bg-BG"/>
        </w:rPr>
        <w:t>)</w:t>
      </w:r>
      <w:r w:rsidRPr="00C66581">
        <w:rPr>
          <w:rFonts w:eastAsia="Times New Roman" w:cs="Arial"/>
          <w:color w:val="000000"/>
          <w:lang w:eastAsia="bg-BG"/>
        </w:rPr>
        <w:t xml:space="preserve"> на кандесартан е приблизително 9 часа. След многократно прилагане не кумулира. Полуживот</w:t>
      </w:r>
      <w:r w:rsidRPr="00C66581">
        <w:rPr>
          <w:rFonts w:eastAsia="Times New Roman" w:cs="Arial"/>
          <w:color w:val="000000"/>
          <w:lang w:val="en-US"/>
        </w:rPr>
        <w:t>Y</w:t>
      </w:r>
      <w:r w:rsidRPr="00C66581">
        <w:rPr>
          <w:rFonts w:eastAsia="Times New Roman" w:cs="Arial"/>
          <w:color w:val="000000"/>
          <w:lang w:eastAsia="bg-BG"/>
        </w:rPr>
        <w:t>т на кандесарган остава непроменен (приблизително 9 часа) при прилагане в комбинация с хидрохлоротиазид. При многократно прилагане на комбинацията не се наблюдава допълнително кумулиране на кандесартан в сравнение с мопотерапията.</w:t>
      </w:r>
    </w:p>
    <w:p w14:paraId="3DD68D41" w14:textId="77777777" w:rsidR="00C66581" w:rsidRDefault="00C66581" w:rsidP="00C66581">
      <w:pPr>
        <w:spacing w:line="240" w:lineRule="auto"/>
        <w:rPr>
          <w:rFonts w:eastAsia="Times New Roman" w:cs="Arial"/>
          <w:color w:val="000000"/>
          <w:lang w:eastAsia="bg-BG"/>
        </w:rPr>
      </w:pPr>
    </w:p>
    <w:p w14:paraId="79871123" w14:textId="1AB571AC" w:rsidR="00C66581" w:rsidRPr="00C66581" w:rsidRDefault="00C66581" w:rsidP="00C66581">
      <w:pPr>
        <w:spacing w:line="240" w:lineRule="auto"/>
        <w:rPr>
          <w:rFonts w:eastAsia="Times New Roman" w:cs="Arial"/>
        </w:rPr>
      </w:pPr>
      <w:r w:rsidRPr="00C66581">
        <w:rPr>
          <w:rFonts w:eastAsia="Times New Roman" w:cs="Arial"/>
          <w:color w:val="000000"/>
          <w:lang w:eastAsia="bg-BG"/>
        </w:rPr>
        <w:t xml:space="preserve">Общият плазмен клирънс на кандесартан е около 0,37 </w:t>
      </w:r>
      <w:r w:rsidRPr="00C66581">
        <w:rPr>
          <w:rFonts w:eastAsia="Times New Roman" w:cs="Arial"/>
          <w:color w:val="000000"/>
          <w:lang w:val="en-US"/>
        </w:rPr>
        <w:t>ml</w:t>
      </w:r>
      <w:r w:rsidRPr="00C66581">
        <w:rPr>
          <w:rFonts w:eastAsia="Times New Roman" w:cs="Arial"/>
          <w:color w:val="000000"/>
        </w:rPr>
        <w:t>/</w:t>
      </w:r>
      <w:r w:rsidRPr="00C66581">
        <w:rPr>
          <w:rFonts w:eastAsia="Times New Roman" w:cs="Arial"/>
          <w:color w:val="000000"/>
          <w:lang w:val="en-US"/>
        </w:rPr>
        <w:t>min</w:t>
      </w:r>
      <w:r w:rsidRPr="00C66581">
        <w:rPr>
          <w:rFonts w:eastAsia="Times New Roman" w:cs="Arial"/>
          <w:color w:val="000000"/>
        </w:rPr>
        <w:t>/</w:t>
      </w:r>
      <w:r w:rsidRPr="00C66581">
        <w:rPr>
          <w:rFonts w:eastAsia="Times New Roman" w:cs="Arial"/>
          <w:color w:val="000000"/>
          <w:lang w:val="en-US"/>
        </w:rPr>
        <w:t>kg</w:t>
      </w:r>
      <w:r w:rsidRPr="00C66581">
        <w:rPr>
          <w:rFonts w:eastAsia="Times New Roman" w:cs="Arial"/>
          <w:color w:val="000000"/>
        </w:rPr>
        <w:t xml:space="preserve">, </w:t>
      </w:r>
      <w:r w:rsidRPr="00C66581">
        <w:rPr>
          <w:rFonts w:eastAsia="Times New Roman" w:cs="Arial"/>
          <w:color w:val="000000"/>
          <w:lang w:eastAsia="bg-BG"/>
        </w:rPr>
        <w:t xml:space="preserve">като бъбречният клирънс е около 0,19 </w:t>
      </w:r>
      <w:r w:rsidRPr="00C66581">
        <w:rPr>
          <w:rFonts w:eastAsia="Times New Roman" w:cs="Arial"/>
          <w:color w:val="000000"/>
          <w:lang w:val="en-US"/>
        </w:rPr>
        <w:t>ml</w:t>
      </w:r>
      <w:r w:rsidRPr="00C66581">
        <w:rPr>
          <w:rFonts w:eastAsia="Times New Roman" w:cs="Arial"/>
          <w:color w:val="000000"/>
        </w:rPr>
        <w:t>/</w:t>
      </w:r>
      <w:r w:rsidRPr="00C66581">
        <w:rPr>
          <w:rFonts w:eastAsia="Times New Roman" w:cs="Arial"/>
          <w:color w:val="000000"/>
          <w:lang w:val="en-US"/>
        </w:rPr>
        <w:t>min</w:t>
      </w:r>
      <w:r w:rsidRPr="00C66581">
        <w:rPr>
          <w:rFonts w:eastAsia="Times New Roman" w:cs="Arial"/>
          <w:color w:val="000000"/>
        </w:rPr>
        <w:t>/</w:t>
      </w:r>
      <w:r w:rsidRPr="00C66581">
        <w:rPr>
          <w:rFonts w:eastAsia="Times New Roman" w:cs="Arial"/>
          <w:color w:val="000000"/>
          <w:lang w:val="en-US"/>
        </w:rPr>
        <w:t>kg</w:t>
      </w:r>
      <w:r w:rsidRPr="00C66581">
        <w:rPr>
          <w:rFonts w:eastAsia="Times New Roman" w:cs="Arial"/>
          <w:color w:val="000000"/>
        </w:rPr>
        <w:t xml:space="preserve">. </w:t>
      </w:r>
      <w:r w:rsidRPr="00C66581">
        <w:rPr>
          <w:rFonts w:eastAsia="Times New Roman" w:cs="Arial"/>
          <w:color w:val="000000"/>
          <w:lang w:eastAsia="bg-BG"/>
        </w:rPr>
        <w:t xml:space="preserve">Бъбречното елиминиране па кандесарган се осъществява чрез гломерулна филтрация и активна тубулна секреция. След перорален прием на маркиран с </w:t>
      </w:r>
      <w:r w:rsidRPr="00C66581">
        <w:rPr>
          <w:rFonts w:eastAsia="Times New Roman" w:cs="Arial"/>
          <w:color w:val="000000"/>
          <w:vertAlign w:val="superscript"/>
          <w:lang w:eastAsia="bg-BG"/>
        </w:rPr>
        <w:t>14</w:t>
      </w:r>
      <w:r w:rsidRPr="00C66581">
        <w:rPr>
          <w:rFonts w:eastAsia="Times New Roman" w:cs="Arial"/>
          <w:color w:val="000000"/>
          <w:lang w:eastAsia="bg-BG"/>
        </w:rPr>
        <w:t>С кандесартан цилексетил приблизително 26% от приетата доза се екскретира в урината като кандесарган и 7% като неактивен метаболит, а в изпражненията се откриват приблизително 56% от приетата доза като кандесарган и 10% като неактивен метаболит.</w:t>
      </w:r>
    </w:p>
    <w:p w14:paraId="091ECCBA" w14:textId="77777777" w:rsidR="00C66581" w:rsidRDefault="00C66581" w:rsidP="00C66581">
      <w:pPr>
        <w:spacing w:line="240" w:lineRule="auto"/>
        <w:rPr>
          <w:rFonts w:eastAsia="Times New Roman" w:cs="Arial"/>
          <w:color w:val="000000"/>
          <w:lang w:eastAsia="bg-BG"/>
        </w:rPr>
      </w:pPr>
    </w:p>
    <w:p w14:paraId="4DA95F7B" w14:textId="034F027B" w:rsidR="00C66581" w:rsidRPr="00C66581" w:rsidRDefault="00C66581" w:rsidP="00C66581">
      <w:pPr>
        <w:spacing w:line="240" w:lineRule="auto"/>
        <w:rPr>
          <w:rFonts w:eastAsia="Times New Roman" w:cs="Arial"/>
        </w:rPr>
      </w:pPr>
      <w:r w:rsidRPr="00C66581">
        <w:rPr>
          <w:rFonts w:eastAsia="Times New Roman" w:cs="Arial"/>
          <w:color w:val="000000"/>
          <w:lang w:eastAsia="bg-BG"/>
        </w:rPr>
        <w:t>Хидрохлоротиазид</w:t>
      </w:r>
    </w:p>
    <w:p w14:paraId="75C0BD95" w14:textId="7E9A5F82" w:rsidR="00C66581" w:rsidRPr="00C66581" w:rsidRDefault="00C66581" w:rsidP="00C66581">
      <w:pPr>
        <w:spacing w:line="240" w:lineRule="auto"/>
        <w:rPr>
          <w:rFonts w:eastAsia="Times New Roman" w:cs="Arial"/>
        </w:rPr>
      </w:pPr>
      <w:r w:rsidRPr="00C66581">
        <w:rPr>
          <w:rFonts w:eastAsia="Times New Roman" w:cs="Arial"/>
          <w:color w:val="000000"/>
          <w:lang w:eastAsia="bg-BG"/>
        </w:rPr>
        <w:t xml:space="preserve">Хидрохлоротиазид не се метаболизира и се екскретира почти напълно непроменен чрез гломерулна филтрация и активна тубулна секреция. Терминалният </w:t>
      </w:r>
      <w:r w:rsidRPr="00C66581">
        <w:rPr>
          <w:rFonts w:eastAsia="Times New Roman" w:cs="Arial"/>
          <w:color w:val="000000"/>
          <w:lang w:val="en-US"/>
        </w:rPr>
        <w:t>t</w:t>
      </w:r>
      <w:r w:rsidRPr="00C66581">
        <w:rPr>
          <w:rFonts w:eastAsia="Times New Roman" w:cs="Arial"/>
          <w:color w:val="000000"/>
          <w:vertAlign w:val="subscript"/>
          <w:lang w:val="ru-RU"/>
        </w:rPr>
        <w:t xml:space="preserve">1/2 </w:t>
      </w:r>
      <w:r w:rsidRPr="00C66581">
        <w:rPr>
          <w:rFonts w:eastAsia="Times New Roman" w:cs="Arial"/>
          <w:color w:val="000000"/>
          <w:lang w:eastAsia="bg-BG"/>
        </w:rPr>
        <w:t>на хидрохлоротиазид е приблизително 8 часа. Приблизително 70% от приетата перорално доза се елиминира с урината в рамките на 48 часа. Полуживотьт на хидрохлоротиазид остава непроменен (приблизително 8 часа) при прилагане в комбинация с кандесарган цилексетил. При многократно прилагане на комбинацията не се наблюдава допълнително кумулиране на хи дрохлоротиазид в сравнение с монотерапията.</w:t>
      </w:r>
    </w:p>
    <w:p w14:paraId="1A878F96" w14:textId="77777777" w:rsidR="00C66581" w:rsidRDefault="00C66581" w:rsidP="00C66581">
      <w:pPr>
        <w:spacing w:line="240" w:lineRule="auto"/>
        <w:rPr>
          <w:rFonts w:eastAsia="Times New Roman" w:cs="Arial"/>
          <w:color w:val="000000"/>
          <w:u w:val="single"/>
          <w:lang w:eastAsia="bg-BG"/>
        </w:rPr>
      </w:pPr>
    </w:p>
    <w:p w14:paraId="7E35FD67" w14:textId="7DA0BD35" w:rsidR="00C66581" w:rsidRPr="00C66581" w:rsidRDefault="00C66581" w:rsidP="00C66581">
      <w:pPr>
        <w:pStyle w:val="Heading3"/>
        <w:rPr>
          <w:rFonts w:eastAsia="Times New Roman"/>
          <w:u w:val="single"/>
        </w:rPr>
      </w:pPr>
      <w:r w:rsidRPr="00C66581">
        <w:rPr>
          <w:rFonts w:eastAsia="Times New Roman"/>
          <w:u w:val="single"/>
          <w:lang w:eastAsia="bg-BG"/>
        </w:rPr>
        <w:t>Фармакокинетика в специални популации</w:t>
      </w:r>
    </w:p>
    <w:p w14:paraId="49FA1825" w14:textId="77777777" w:rsidR="00C66581" w:rsidRDefault="00C66581" w:rsidP="00C66581">
      <w:pPr>
        <w:spacing w:line="240" w:lineRule="auto"/>
        <w:rPr>
          <w:rFonts w:eastAsia="Times New Roman" w:cs="Arial"/>
          <w:color w:val="000000"/>
          <w:lang w:eastAsia="bg-BG"/>
        </w:rPr>
      </w:pPr>
    </w:p>
    <w:p w14:paraId="7847576B" w14:textId="5D9C2310" w:rsidR="00C66581" w:rsidRPr="00C66581" w:rsidRDefault="00C66581" w:rsidP="00C66581">
      <w:pPr>
        <w:spacing w:line="240" w:lineRule="auto"/>
        <w:rPr>
          <w:rFonts w:eastAsia="Times New Roman" w:cs="Arial"/>
        </w:rPr>
      </w:pPr>
      <w:r w:rsidRPr="00C66581">
        <w:rPr>
          <w:rFonts w:eastAsia="Times New Roman" w:cs="Arial"/>
          <w:color w:val="000000"/>
          <w:lang w:eastAsia="bg-BG"/>
        </w:rPr>
        <w:t>Кандесартан цилексетил</w:t>
      </w:r>
    </w:p>
    <w:p w14:paraId="63F19F93" w14:textId="77777777" w:rsidR="00C66581" w:rsidRPr="00C66581" w:rsidRDefault="00C66581" w:rsidP="00C66581">
      <w:pPr>
        <w:spacing w:line="240" w:lineRule="auto"/>
        <w:rPr>
          <w:rFonts w:eastAsia="Times New Roman" w:cs="Arial"/>
        </w:rPr>
      </w:pPr>
      <w:r w:rsidRPr="00C66581">
        <w:rPr>
          <w:rFonts w:eastAsia="Times New Roman" w:cs="Arial"/>
          <w:color w:val="000000"/>
          <w:lang w:eastAsia="bg-BG"/>
        </w:rPr>
        <w:t>В сравнение с млади индивиди, при такива в старческа възраст (над 65 години) С</w:t>
      </w:r>
      <w:r w:rsidRPr="00C66581">
        <w:rPr>
          <w:rFonts w:eastAsia="Times New Roman" w:cs="Arial"/>
          <w:color w:val="000000"/>
          <w:lang w:val="en-US"/>
        </w:rPr>
        <w:t>max</w:t>
      </w:r>
      <w:r w:rsidRPr="00C66581">
        <w:rPr>
          <w:rFonts w:eastAsia="Times New Roman" w:cs="Arial"/>
          <w:color w:val="000000"/>
          <w:lang w:eastAsia="bg-BG"/>
        </w:rPr>
        <w:t xml:space="preserve"> и </w:t>
      </w:r>
      <w:r w:rsidRPr="00C66581">
        <w:rPr>
          <w:rFonts w:eastAsia="Times New Roman" w:cs="Arial"/>
          <w:color w:val="000000"/>
          <w:lang w:val="en-US"/>
        </w:rPr>
        <w:t>AUC</w:t>
      </w:r>
      <w:r w:rsidRPr="00C66581">
        <w:rPr>
          <w:rFonts w:eastAsia="Times New Roman" w:cs="Arial"/>
          <w:color w:val="000000"/>
          <w:lang w:val="ru-RU"/>
        </w:rPr>
        <w:t xml:space="preserve"> </w:t>
      </w:r>
      <w:r w:rsidRPr="00C66581">
        <w:rPr>
          <w:rFonts w:eastAsia="Times New Roman" w:cs="Arial"/>
          <w:color w:val="000000"/>
          <w:lang w:eastAsia="bg-BG"/>
        </w:rPr>
        <w:t>на кандесарган се увеличават съответно с приблизително 50% и 80%. След прием на определена доза Репидо Плюс обаче, повлияването на артериалното налягане налягане, както и честотата на нежеланите реакции, са сходни при млади пациенти и пациенти в старческа възраст (вж. точка 4.2).</w:t>
      </w:r>
    </w:p>
    <w:p w14:paraId="4783C669" w14:textId="77777777" w:rsidR="00C66581" w:rsidRPr="00C66581" w:rsidRDefault="00C66581" w:rsidP="00C66581">
      <w:pPr>
        <w:spacing w:line="240" w:lineRule="auto"/>
        <w:rPr>
          <w:rFonts w:eastAsia="Times New Roman" w:cs="Arial"/>
        </w:rPr>
      </w:pPr>
      <w:r w:rsidRPr="00C66581">
        <w:rPr>
          <w:rFonts w:eastAsia="Times New Roman" w:cs="Arial"/>
          <w:color w:val="000000"/>
          <w:lang w:eastAsia="bg-BG"/>
        </w:rPr>
        <w:t xml:space="preserve">При пациенти с леко до умерено тежко бъбречно увреждане и </w:t>
      </w:r>
      <w:r w:rsidRPr="00C66581">
        <w:rPr>
          <w:rFonts w:eastAsia="Times New Roman" w:cs="Arial"/>
          <w:color w:val="000000"/>
          <w:lang w:val="en-US"/>
        </w:rPr>
        <w:t>AUC</w:t>
      </w:r>
      <w:r w:rsidRPr="00C66581">
        <w:rPr>
          <w:rFonts w:eastAsia="Times New Roman" w:cs="Arial"/>
          <w:color w:val="000000"/>
          <w:lang w:val="ru-RU"/>
        </w:rPr>
        <w:t xml:space="preserve"> </w:t>
      </w:r>
      <w:r w:rsidRPr="00C66581">
        <w:rPr>
          <w:rFonts w:eastAsia="Times New Roman" w:cs="Arial"/>
          <w:color w:val="000000"/>
          <w:lang w:eastAsia="bg-BG"/>
        </w:rPr>
        <w:t xml:space="preserve">на кандесарган се увеличават съответно с приблизително 50% и 70%, но терминалният </w:t>
      </w:r>
      <w:r w:rsidRPr="00C66581">
        <w:rPr>
          <w:rFonts w:eastAsia="Times New Roman" w:cs="Arial"/>
          <w:color w:val="000000"/>
          <w:lang w:val="en-US"/>
        </w:rPr>
        <w:t>t</w:t>
      </w:r>
      <w:r w:rsidRPr="00C66581">
        <w:rPr>
          <w:rFonts w:eastAsia="Times New Roman" w:cs="Arial"/>
          <w:color w:val="000000"/>
          <w:vertAlign w:val="subscript"/>
          <w:lang w:val="ru-RU"/>
        </w:rPr>
        <w:t>1/2</w:t>
      </w:r>
      <w:r w:rsidRPr="00C66581">
        <w:rPr>
          <w:rFonts w:eastAsia="Times New Roman" w:cs="Arial"/>
          <w:color w:val="000000"/>
          <w:lang w:val="ru-RU"/>
        </w:rPr>
        <w:t xml:space="preserve"> </w:t>
      </w:r>
      <w:r w:rsidRPr="00C66581">
        <w:rPr>
          <w:rFonts w:eastAsia="Times New Roman" w:cs="Arial"/>
          <w:color w:val="000000"/>
          <w:lang w:eastAsia="bg-BG"/>
        </w:rPr>
        <w:t>не се променя в сравнение с пациенти с нормална бъбречна функция. Съответните промени при патенти с тежко бъбречно увреждане са съответно приблизително 50% и 110%. При пациенти с тежко бъбречно увреждане терминалният на кандесартан цилексетил приблизително се удвоява. Фармакокинетиката при пациенти на хемодиализа е сходна с тази при пациенти с тежко бъбречно увреждане.</w:t>
      </w:r>
    </w:p>
    <w:p w14:paraId="4CBC661F" w14:textId="77777777" w:rsidR="00C66581" w:rsidRDefault="00C66581" w:rsidP="00C66581">
      <w:pPr>
        <w:spacing w:line="240" w:lineRule="auto"/>
        <w:rPr>
          <w:rFonts w:eastAsia="Times New Roman" w:cs="Arial"/>
          <w:color w:val="000000"/>
          <w:lang w:eastAsia="bg-BG"/>
        </w:rPr>
      </w:pPr>
    </w:p>
    <w:p w14:paraId="255F753A" w14:textId="1A7D1C89" w:rsidR="00C66581" w:rsidRPr="00C66581" w:rsidRDefault="00C66581" w:rsidP="00C66581">
      <w:pPr>
        <w:spacing w:line="240" w:lineRule="auto"/>
        <w:rPr>
          <w:rFonts w:eastAsia="Times New Roman" w:cs="Arial"/>
        </w:rPr>
      </w:pPr>
      <w:r w:rsidRPr="00C66581">
        <w:rPr>
          <w:rFonts w:eastAsia="Times New Roman" w:cs="Arial"/>
          <w:color w:val="000000"/>
          <w:lang w:eastAsia="bg-BG"/>
        </w:rPr>
        <w:t xml:space="preserve">В две проучвания, като и в двете участват пациенти с леко до умерено тежко чернодробно увреждане, се установява повишаване на средната </w:t>
      </w:r>
      <w:r w:rsidRPr="00C66581">
        <w:rPr>
          <w:rFonts w:eastAsia="Times New Roman" w:cs="Arial"/>
          <w:color w:val="000000"/>
          <w:lang w:val="en-US"/>
        </w:rPr>
        <w:t>AUC</w:t>
      </w:r>
      <w:r w:rsidRPr="00C66581">
        <w:rPr>
          <w:rFonts w:eastAsia="Times New Roman" w:cs="Arial"/>
          <w:color w:val="000000"/>
          <w:lang w:val="ru-RU"/>
        </w:rPr>
        <w:t xml:space="preserve"> </w:t>
      </w:r>
      <w:r w:rsidRPr="00C66581">
        <w:rPr>
          <w:rFonts w:eastAsia="Times New Roman" w:cs="Arial"/>
          <w:color w:val="000000"/>
          <w:lang w:eastAsia="bg-BG"/>
        </w:rPr>
        <w:t>на кандесарган с приблизително 20% в едното проучване и с приблизително 80% в другото проучване (вж. точка 4.2). Липсва опит при пациенти с тежко чернодробно увреждане.</w:t>
      </w:r>
    </w:p>
    <w:p w14:paraId="7ADBEBFA" w14:textId="77777777" w:rsidR="00C66581" w:rsidRDefault="00C66581" w:rsidP="00C66581">
      <w:pPr>
        <w:spacing w:line="240" w:lineRule="auto"/>
        <w:rPr>
          <w:rFonts w:eastAsia="Times New Roman" w:cs="Arial"/>
          <w:color w:val="000000"/>
          <w:lang w:eastAsia="bg-BG"/>
        </w:rPr>
      </w:pPr>
    </w:p>
    <w:p w14:paraId="5A20E5B2" w14:textId="72A68F7F" w:rsidR="00C66581" w:rsidRPr="00C66581" w:rsidRDefault="00C66581" w:rsidP="00C66581">
      <w:pPr>
        <w:spacing w:line="240" w:lineRule="auto"/>
        <w:rPr>
          <w:rFonts w:eastAsia="Times New Roman" w:cs="Arial"/>
        </w:rPr>
      </w:pPr>
      <w:r w:rsidRPr="00C66581">
        <w:rPr>
          <w:rFonts w:eastAsia="Times New Roman" w:cs="Arial"/>
          <w:color w:val="000000"/>
          <w:lang w:eastAsia="bg-BG"/>
        </w:rPr>
        <w:t>Хидрохлоротиазид</w:t>
      </w:r>
    </w:p>
    <w:p w14:paraId="11835721" w14:textId="3B18BD46" w:rsidR="00C66581" w:rsidRPr="00C66581" w:rsidRDefault="00C66581" w:rsidP="00C66581">
      <w:pPr>
        <w:rPr>
          <w:rFonts w:eastAsia="Times New Roman" w:cs="Arial"/>
          <w:color w:val="000000"/>
          <w:lang w:val="ru-RU"/>
        </w:rPr>
      </w:pPr>
      <w:r w:rsidRPr="00C66581">
        <w:rPr>
          <w:rFonts w:eastAsia="Times New Roman" w:cs="Arial"/>
          <w:color w:val="000000"/>
          <w:lang w:eastAsia="bg-BG"/>
        </w:rPr>
        <w:t>При пациенти е бъбречно увреждане терминалният полуживот на хидрохлоротиазид е удължен.</w:t>
      </w:r>
    </w:p>
    <w:p w14:paraId="23C072A9" w14:textId="77777777" w:rsidR="00C66581" w:rsidRPr="00C66581" w:rsidRDefault="00C66581" w:rsidP="00C66581">
      <w:pPr>
        <w:rPr>
          <w:rFonts w:cs="Arial"/>
          <w:lang w:val="ru-RU"/>
        </w:rPr>
      </w:pPr>
    </w:p>
    <w:p w14:paraId="028E658A" w14:textId="61F8C4F0" w:rsidR="00395555" w:rsidRDefault="002C50EE" w:rsidP="008A6AF2">
      <w:pPr>
        <w:pStyle w:val="Heading2"/>
      </w:pPr>
      <w:r>
        <w:t>5.3. Предклинични данни за безопасност</w:t>
      </w:r>
    </w:p>
    <w:p w14:paraId="1FA8136A" w14:textId="0DFD9663" w:rsidR="00C66581" w:rsidRDefault="00C66581" w:rsidP="00C66581"/>
    <w:p w14:paraId="547F1560" w14:textId="0F6A33D5" w:rsidR="00C66581" w:rsidRPr="00C66581" w:rsidRDefault="00C66581" w:rsidP="00C66581">
      <w:pPr>
        <w:rPr>
          <w:rFonts w:cs="Arial"/>
        </w:rPr>
      </w:pPr>
      <w:r w:rsidRPr="00C66581">
        <w:rPr>
          <w:rFonts w:cs="Arial"/>
        </w:rPr>
        <w:t>По отношение на комбинацията не са установени качествено нови токсикологични находки в сравнение с наблюдавани те за всеки от компонентите. В предклиничните проучвания за</w:t>
      </w:r>
      <w:r w:rsidRPr="00C66581">
        <w:rPr>
          <w:rFonts w:cs="Arial"/>
          <w:i/>
          <w:iCs/>
        </w:rPr>
        <w:t xml:space="preserve"> </w:t>
      </w:r>
      <w:r w:rsidRPr="00C66581">
        <w:rPr>
          <w:rFonts w:cs="Arial"/>
        </w:rPr>
        <w:t>безопасност самият кандесарган във високи дози оказва ефекти върху бъбреците и параметрите на червения кръвен ред при мишки, плъхове, кучета и маймуни.Кандесартан предизвикава понижаване на параметрите на червения кръвен ред (еритроцити, хемоглобин, хематокрит)</w:t>
      </w:r>
      <w:r w:rsidRPr="00C66581">
        <w:rPr>
          <w:rFonts w:cs="Arial"/>
        </w:rPr>
        <w:t>.</w:t>
      </w:r>
    </w:p>
    <w:p w14:paraId="78531D29" w14:textId="2792A33C" w:rsidR="00C66581" w:rsidRPr="00C66581" w:rsidRDefault="00C66581" w:rsidP="00C66581">
      <w:pPr>
        <w:rPr>
          <w:rFonts w:cs="Arial"/>
        </w:rPr>
      </w:pPr>
    </w:p>
    <w:p w14:paraId="034EFE17" w14:textId="77777777" w:rsidR="00C66581" w:rsidRPr="00C66581" w:rsidRDefault="00C66581" w:rsidP="00C66581">
      <w:pPr>
        <w:spacing w:line="240" w:lineRule="auto"/>
        <w:rPr>
          <w:rFonts w:eastAsia="Times New Roman" w:cs="Arial"/>
        </w:rPr>
      </w:pPr>
      <w:r w:rsidRPr="00C66581">
        <w:rPr>
          <w:rFonts w:eastAsia="Times New Roman" w:cs="Arial"/>
          <w:color w:val="000000"/>
          <w:lang w:eastAsia="bg-BG"/>
        </w:rPr>
        <w:t>Индуцираните от кандесартан ефекти върху бъбреците (като регенерация, дилагация и базофилия на тубулите; повишена плазмена концентрация на урея и креатинин) може да са последствие от хипотензивния му ефект, водещ до промяна на бъбречната перфузия. Добавянето на хидрохлоротиазид потенцира нефротоксичността на кандесартан. Освен това кандесартан индуцира хиперплазия/хипертрофия на юкстагломеруларните клетки. Смята се, че тези промени се дължат на фармакологичното действие на кандесартан и клиничното им значение е слабо.</w:t>
      </w:r>
    </w:p>
    <w:p w14:paraId="3C88D17F" w14:textId="77777777" w:rsidR="00C66581" w:rsidRDefault="00C66581" w:rsidP="00C66581">
      <w:pPr>
        <w:spacing w:line="240" w:lineRule="auto"/>
        <w:rPr>
          <w:rFonts w:eastAsia="Times New Roman" w:cs="Arial"/>
          <w:color w:val="000000"/>
          <w:lang w:eastAsia="bg-BG"/>
        </w:rPr>
      </w:pPr>
    </w:p>
    <w:p w14:paraId="08765BE0" w14:textId="618EC0D7" w:rsidR="00C66581" w:rsidRPr="00C66581" w:rsidRDefault="00C66581" w:rsidP="00C66581">
      <w:pPr>
        <w:spacing w:line="240" w:lineRule="auto"/>
        <w:rPr>
          <w:rFonts w:eastAsia="Times New Roman" w:cs="Arial"/>
        </w:rPr>
      </w:pPr>
      <w:r w:rsidRPr="00C66581">
        <w:rPr>
          <w:rFonts w:eastAsia="Times New Roman" w:cs="Arial"/>
          <w:color w:val="000000"/>
          <w:lang w:eastAsia="bg-BG"/>
        </w:rPr>
        <w:t>При прием на кандесартан в напреднала бременност са наблюдавани прояви на фетотоксичност. Добавянето на хидрохлоротиазид не променя значително резултата от проучванията за фетотоксичност и токсичност за развитието при плъхове, мишки или зайци (вж. точка 4.6).</w:t>
      </w:r>
    </w:p>
    <w:p w14:paraId="4B9D0327" w14:textId="77777777" w:rsidR="00C66581" w:rsidRDefault="00C66581" w:rsidP="00C66581">
      <w:pPr>
        <w:spacing w:line="240" w:lineRule="auto"/>
        <w:rPr>
          <w:rFonts w:eastAsia="Times New Roman" w:cs="Arial"/>
          <w:color w:val="000000"/>
          <w:lang w:eastAsia="bg-BG"/>
        </w:rPr>
      </w:pPr>
    </w:p>
    <w:p w14:paraId="3FAF579A" w14:textId="2CF19990" w:rsidR="00C66581" w:rsidRPr="00C66581" w:rsidRDefault="00C66581" w:rsidP="00C66581">
      <w:pPr>
        <w:spacing w:line="240" w:lineRule="auto"/>
        <w:rPr>
          <w:rFonts w:eastAsia="Times New Roman" w:cs="Arial"/>
          <w:color w:val="000000"/>
          <w:lang w:eastAsia="bg-BG"/>
        </w:rPr>
      </w:pPr>
      <w:r w:rsidRPr="00C66581">
        <w:rPr>
          <w:rFonts w:eastAsia="Times New Roman" w:cs="Arial"/>
          <w:color w:val="000000"/>
          <w:lang w:eastAsia="bg-BG"/>
        </w:rPr>
        <w:t xml:space="preserve">В много високи концентрации /дози както кандесартан, така и хидрохлоротиазид показват генотоксичност. Данните от </w:t>
      </w:r>
      <w:r w:rsidRPr="00C66581">
        <w:rPr>
          <w:rFonts w:eastAsia="Times New Roman" w:cs="Arial"/>
          <w:color w:val="000000"/>
          <w:lang w:val="en-US"/>
        </w:rPr>
        <w:t>in</w:t>
      </w:r>
      <w:r w:rsidRPr="00C66581">
        <w:rPr>
          <w:rFonts w:eastAsia="Times New Roman" w:cs="Arial"/>
          <w:color w:val="000000"/>
          <w:lang w:val="ru-RU"/>
        </w:rPr>
        <w:t xml:space="preserve"> </w:t>
      </w:r>
      <w:r w:rsidRPr="00C66581">
        <w:rPr>
          <w:rFonts w:eastAsia="Times New Roman" w:cs="Arial"/>
          <w:color w:val="000000"/>
          <w:lang w:val="en-US"/>
        </w:rPr>
        <w:t>vitro</w:t>
      </w:r>
      <w:r w:rsidRPr="00C66581">
        <w:rPr>
          <w:rFonts w:eastAsia="Times New Roman" w:cs="Arial"/>
          <w:color w:val="000000"/>
          <w:lang w:val="ru-RU"/>
        </w:rPr>
        <w:t xml:space="preserve"> </w:t>
      </w:r>
      <w:r w:rsidRPr="00C66581">
        <w:rPr>
          <w:rFonts w:eastAsia="Times New Roman" w:cs="Arial"/>
          <w:color w:val="000000"/>
          <w:lang w:eastAsia="bg-BG"/>
        </w:rPr>
        <w:t xml:space="preserve">и </w:t>
      </w:r>
      <w:r w:rsidRPr="00C66581">
        <w:rPr>
          <w:rFonts w:eastAsia="Times New Roman" w:cs="Arial"/>
          <w:color w:val="000000"/>
          <w:lang w:val="en-US"/>
        </w:rPr>
        <w:t>in</w:t>
      </w:r>
      <w:r w:rsidRPr="00C66581">
        <w:rPr>
          <w:rFonts w:eastAsia="Times New Roman" w:cs="Arial"/>
          <w:color w:val="000000"/>
          <w:lang w:val="ru-RU"/>
        </w:rPr>
        <w:t xml:space="preserve"> </w:t>
      </w:r>
      <w:r w:rsidRPr="00C66581">
        <w:rPr>
          <w:rFonts w:eastAsia="Times New Roman" w:cs="Arial"/>
          <w:color w:val="000000"/>
          <w:lang w:val="en-US"/>
        </w:rPr>
        <w:t>vivo</w:t>
      </w:r>
      <w:r w:rsidRPr="00C66581">
        <w:rPr>
          <w:rFonts w:eastAsia="Times New Roman" w:cs="Arial"/>
          <w:color w:val="000000"/>
          <w:lang w:val="ru-RU"/>
        </w:rPr>
        <w:t xml:space="preserve"> </w:t>
      </w:r>
      <w:r w:rsidRPr="00C66581">
        <w:rPr>
          <w:rFonts w:eastAsia="Times New Roman" w:cs="Arial"/>
          <w:color w:val="000000"/>
          <w:lang w:eastAsia="bg-BG"/>
        </w:rPr>
        <w:t>изследванията за генотоксичост покачват, че в условията на клинична употреба е малко вероятно кандесартан и хидрохлоротиазид да проявят мутагенна или кластогенна активност.</w:t>
      </w:r>
    </w:p>
    <w:p w14:paraId="44C07465" w14:textId="77777777" w:rsidR="00C66581" w:rsidRPr="00C66581" w:rsidRDefault="00C66581" w:rsidP="00C66581">
      <w:pPr>
        <w:spacing w:line="240" w:lineRule="auto"/>
        <w:rPr>
          <w:rFonts w:eastAsia="Times New Roman" w:cs="Arial"/>
        </w:rPr>
      </w:pPr>
      <w:r w:rsidRPr="00C66581">
        <w:rPr>
          <w:rFonts w:eastAsia="Times New Roman" w:cs="Arial"/>
          <w:color w:val="000000"/>
          <w:lang w:eastAsia="bg-BG"/>
        </w:rPr>
        <w:t>Няма данни която и да е от двете съставки да е канцерогенна.</w:t>
      </w:r>
    </w:p>
    <w:p w14:paraId="3F8CF9A8" w14:textId="77777777" w:rsidR="00C66581" w:rsidRPr="00C66581" w:rsidRDefault="00C66581" w:rsidP="00C66581"/>
    <w:p w14:paraId="6A7820AB" w14:textId="67D9C35C" w:rsidR="008A6AF2" w:rsidRDefault="002C50EE" w:rsidP="00395555">
      <w:pPr>
        <w:pStyle w:val="Heading1"/>
      </w:pPr>
      <w:r>
        <w:t>7. ПРИТЕЖАТЕЛ НА РАЗРЕШЕНИЕТО ЗА УПОТРЕБА</w:t>
      </w:r>
    </w:p>
    <w:p w14:paraId="2828928A" w14:textId="378A841C" w:rsidR="00C66581" w:rsidRDefault="00C66581" w:rsidP="00C66581"/>
    <w:p w14:paraId="4A88289B" w14:textId="77777777" w:rsidR="00C66581" w:rsidRPr="00C66581" w:rsidRDefault="00C66581" w:rsidP="00C66581">
      <w:pPr>
        <w:rPr>
          <w:sz w:val="24"/>
          <w:szCs w:val="24"/>
          <w:lang w:val="en-US"/>
        </w:rPr>
      </w:pPr>
      <w:proofErr w:type="spellStart"/>
      <w:r w:rsidRPr="00C66581">
        <w:rPr>
          <w:lang w:val="en-US"/>
        </w:rPr>
        <w:t>Stada</w:t>
      </w:r>
      <w:proofErr w:type="spellEnd"/>
      <w:r w:rsidRPr="00C66581">
        <w:rPr>
          <w:lang w:val="en-US"/>
        </w:rPr>
        <w:t xml:space="preserve"> </w:t>
      </w:r>
      <w:proofErr w:type="spellStart"/>
      <w:r w:rsidRPr="00C66581">
        <w:rPr>
          <w:lang w:val="en-US"/>
        </w:rPr>
        <w:t>Arzneimittel</w:t>
      </w:r>
      <w:proofErr w:type="spellEnd"/>
      <w:r w:rsidRPr="00C66581">
        <w:rPr>
          <w:lang w:val="en-US"/>
        </w:rPr>
        <w:t xml:space="preserve"> AG</w:t>
      </w:r>
    </w:p>
    <w:p w14:paraId="648A96AD" w14:textId="77777777" w:rsidR="00C66581" w:rsidRPr="00C66581" w:rsidRDefault="00C66581" w:rsidP="00C66581">
      <w:pPr>
        <w:rPr>
          <w:sz w:val="24"/>
          <w:szCs w:val="24"/>
          <w:lang w:val="en-US"/>
        </w:rPr>
      </w:pPr>
      <w:proofErr w:type="spellStart"/>
      <w:r w:rsidRPr="00C66581">
        <w:rPr>
          <w:lang w:val="en-US"/>
        </w:rPr>
        <w:t>Stadastrasse</w:t>
      </w:r>
      <w:proofErr w:type="spellEnd"/>
      <w:r w:rsidRPr="00C66581">
        <w:rPr>
          <w:lang w:val="en-US"/>
        </w:rPr>
        <w:t xml:space="preserve"> </w:t>
      </w:r>
      <w:r w:rsidRPr="00C66581">
        <w:rPr>
          <w:lang w:eastAsia="bg-BG"/>
        </w:rPr>
        <w:t>2-18</w:t>
      </w:r>
    </w:p>
    <w:p w14:paraId="33C358EB" w14:textId="77777777" w:rsidR="00C66581" w:rsidRPr="00C66581" w:rsidRDefault="00C66581" w:rsidP="00C66581">
      <w:pPr>
        <w:rPr>
          <w:sz w:val="24"/>
          <w:szCs w:val="24"/>
          <w:lang w:val="en-US"/>
        </w:rPr>
      </w:pPr>
      <w:r w:rsidRPr="00C66581">
        <w:rPr>
          <w:lang w:val="en-US"/>
        </w:rPr>
        <w:t xml:space="preserve">61118 Bad </w:t>
      </w:r>
      <w:proofErr w:type="spellStart"/>
      <w:r w:rsidRPr="00C66581">
        <w:rPr>
          <w:lang w:val="en-US"/>
        </w:rPr>
        <w:t>Vilbel</w:t>
      </w:r>
      <w:proofErr w:type="spellEnd"/>
    </w:p>
    <w:p w14:paraId="683702B0" w14:textId="77777777" w:rsidR="00C66581" w:rsidRPr="00C66581" w:rsidRDefault="00C66581" w:rsidP="00C66581">
      <w:pPr>
        <w:rPr>
          <w:sz w:val="24"/>
          <w:szCs w:val="24"/>
          <w:lang w:val="ru-RU"/>
        </w:rPr>
      </w:pPr>
      <w:r w:rsidRPr="00C66581">
        <w:rPr>
          <w:lang w:eastAsia="bg-BG"/>
        </w:rPr>
        <w:t>Германия</w:t>
      </w:r>
    </w:p>
    <w:p w14:paraId="57FB070E" w14:textId="77777777" w:rsidR="00C66581" w:rsidRPr="00C66581" w:rsidRDefault="00C66581" w:rsidP="00C66581">
      <w:pPr>
        <w:rPr>
          <w:lang w:val="ru-RU"/>
        </w:rPr>
      </w:pPr>
    </w:p>
    <w:p w14:paraId="04840D59" w14:textId="216F198B" w:rsidR="002C50EE" w:rsidRDefault="002C50EE" w:rsidP="00395555">
      <w:pPr>
        <w:pStyle w:val="Heading1"/>
      </w:pPr>
      <w:r>
        <w:lastRenderedPageBreak/>
        <w:t>8. НОМЕР НА РАЗРЕШЕНИЕТО ЗА УПОТРЕБА</w:t>
      </w:r>
    </w:p>
    <w:p w14:paraId="3E33A9C9" w14:textId="5F055803" w:rsidR="00C66581" w:rsidRDefault="00C66581" w:rsidP="00C66581"/>
    <w:p w14:paraId="1501F682" w14:textId="77777777" w:rsidR="00C66581" w:rsidRPr="00C66581" w:rsidRDefault="00C66581" w:rsidP="00C66581">
      <w:pPr>
        <w:rPr>
          <w:sz w:val="24"/>
          <w:szCs w:val="24"/>
        </w:rPr>
      </w:pPr>
      <w:r w:rsidRPr="00C66581">
        <w:rPr>
          <w:lang w:eastAsia="bg-BG"/>
        </w:rPr>
        <w:t>20120512</w:t>
      </w:r>
    </w:p>
    <w:p w14:paraId="075A91BA" w14:textId="77777777" w:rsidR="00C66581" w:rsidRPr="00C66581" w:rsidRDefault="00C66581" w:rsidP="00C66581">
      <w:pPr>
        <w:rPr>
          <w:sz w:val="24"/>
          <w:szCs w:val="24"/>
        </w:rPr>
      </w:pPr>
      <w:r w:rsidRPr="00C66581">
        <w:rPr>
          <w:lang w:eastAsia="bg-BG"/>
        </w:rPr>
        <w:t>20120513</w:t>
      </w:r>
    </w:p>
    <w:p w14:paraId="6B0E5CAE" w14:textId="38953E66" w:rsidR="00C66581" w:rsidRPr="00C66581" w:rsidRDefault="00C66581" w:rsidP="00C66581">
      <w:r w:rsidRPr="00C66581">
        <w:rPr>
          <w:lang w:eastAsia="bg-BG"/>
        </w:rPr>
        <w:t>20120514</w:t>
      </w:r>
    </w:p>
    <w:p w14:paraId="2CCB5832" w14:textId="5087A0E0" w:rsidR="007C605B" w:rsidRDefault="002C50EE" w:rsidP="007C605B">
      <w:pPr>
        <w:pStyle w:val="Heading1"/>
      </w:pPr>
      <w:r>
        <w:t>9. ДАТА НА ПЪРВО РАЗРЕШАВАНЕ/ПОДНОВЯВАНЕ НА РАЗРЕШЕНИЕТО ЗА УПОТРЕБА</w:t>
      </w:r>
    </w:p>
    <w:p w14:paraId="7E3398B3" w14:textId="1C75F760" w:rsidR="00C66581" w:rsidRDefault="00C66581" w:rsidP="00C66581"/>
    <w:p w14:paraId="749FEA86" w14:textId="17B7CA90" w:rsidR="00C66581" w:rsidRPr="00C66581" w:rsidRDefault="00C66581" w:rsidP="00C66581">
      <w:r>
        <w:t>10.10.2012</w:t>
      </w:r>
    </w:p>
    <w:p w14:paraId="0E9D0119" w14:textId="0245C6D7" w:rsidR="002C50EE" w:rsidRDefault="002C50EE" w:rsidP="002C50EE">
      <w:pPr>
        <w:pStyle w:val="Heading1"/>
      </w:pPr>
      <w:r>
        <w:t>10. ДАТА НА АКТУАЛИЗИРАНЕ НА ТЕКСТА</w:t>
      </w:r>
    </w:p>
    <w:bookmarkEnd w:id="0"/>
    <w:p w14:paraId="43FB38A2" w14:textId="6F2BE884" w:rsidR="007C605B" w:rsidRPr="002B0A88" w:rsidRDefault="00C66581" w:rsidP="00C66581">
      <w:pPr>
        <w:rPr>
          <w:sz w:val="24"/>
          <w:szCs w:val="24"/>
        </w:rPr>
      </w:pPr>
      <w:r>
        <w:t>18 Септември 2014</w:t>
      </w:r>
      <w:bookmarkStart w:id="2" w:name="_GoBack"/>
      <w:bookmarkEnd w:id="2"/>
    </w:p>
    <w:sectPr w:rsidR="007C605B" w:rsidRPr="002B0A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00000002"/>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0"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C46DE1"/>
    <w:multiLevelType w:val="hybridMultilevel"/>
    <w:tmpl w:val="559E0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6"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1"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BD4F54"/>
    <w:multiLevelType w:val="hybridMultilevel"/>
    <w:tmpl w:val="08946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7"/>
  </w:num>
  <w:num w:numId="2">
    <w:abstractNumId w:val="0"/>
  </w:num>
  <w:num w:numId="3">
    <w:abstractNumId w:val="12"/>
  </w:num>
  <w:num w:numId="4">
    <w:abstractNumId w:val="3"/>
  </w:num>
  <w:num w:numId="5">
    <w:abstractNumId w:val="1"/>
  </w:num>
  <w:num w:numId="6">
    <w:abstractNumId w:val="16"/>
  </w:num>
  <w:num w:numId="7">
    <w:abstractNumId w:val="10"/>
  </w:num>
  <w:num w:numId="8">
    <w:abstractNumId w:val="15"/>
  </w:num>
  <w:num w:numId="9">
    <w:abstractNumId w:val="2"/>
  </w:num>
  <w:num w:numId="10">
    <w:abstractNumId w:val="4"/>
  </w:num>
  <w:num w:numId="11">
    <w:abstractNumId w:val="29"/>
  </w:num>
  <w:num w:numId="12">
    <w:abstractNumId w:val="13"/>
  </w:num>
  <w:num w:numId="13">
    <w:abstractNumId w:val="19"/>
  </w:num>
  <w:num w:numId="14">
    <w:abstractNumId w:val="11"/>
  </w:num>
  <w:num w:numId="15">
    <w:abstractNumId w:val="28"/>
  </w:num>
  <w:num w:numId="16">
    <w:abstractNumId w:val="9"/>
  </w:num>
  <w:num w:numId="17">
    <w:abstractNumId w:val="24"/>
  </w:num>
  <w:num w:numId="18">
    <w:abstractNumId w:val="7"/>
  </w:num>
  <w:num w:numId="19">
    <w:abstractNumId w:val="26"/>
  </w:num>
  <w:num w:numId="20">
    <w:abstractNumId w:val="23"/>
  </w:num>
  <w:num w:numId="21">
    <w:abstractNumId w:val="17"/>
  </w:num>
  <w:num w:numId="22">
    <w:abstractNumId w:val="25"/>
  </w:num>
  <w:num w:numId="23">
    <w:abstractNumId w:val="18"/>
  </w:num>
  <w:num w:numId="24">
    <w:abstractNumId w:val="8"/>
  </w:num>
  <w:num w:numId="25">
    <w:abstractNumId w:val="22"/>
  </w:num>
  <w:num w:numId="26">
    <w:abstractNumId w:val="21"/>
  </w:num>
  <w:num w:numId="27">
    <w:abstractNumId w:val="31"/>
  </w:num>
  <w:num w:numId="28">
    <w:abstractNumId w:val="6"/>
  </w:num>
  <w:num w:numId="29">
    <w:abstractNumId w:val="20"/>
  </w:num>
  <w:num w:numId="30">
    <w:abstractNumId w:val="32"/>
  </w:num>
  <w:num w:numId="31">
    <w:abstractNumId w:val="5"/>
  </w:num>
  <w:num w:numId="32">
    <w:abstractNumId w:val="14"/>
  </w:num>
  <w:num w:numId="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0A88"/>
    <w:rsid w:val="002B3C38"/>
    <w:rsid w:val="002B4DBB"/>
    <w:rsid w:val="002C50EE"/>
    <w:rsid w:val="00340A0A"/>
    <w:rsid w:val="003765DC"/>
    <w:rsid w:val="00395555"/>
    <w:rsid w:val="003E3126"/>
    <w:rsid w:val="004D4D6B"/>
    <w:rsid w:val="00517A5B"/>
    <w:rsid w:val="0056241C"/>
    <w:rsid w:val="00593A00"/>
    <w:rsid w:val="005A66D9"/>
    <w:rsid w:val="00605BCA"/>
    <w:rsid w:val="006158A1"/>
    <w:rsid w:val="00617B1F"/>
    <w:rsid w:val="00672487"/>
    <w:rsid w:val="00672600"/>
    <w:rsid w:val="00681D4A"/>
    <w:rsid w:val="00685882"/>
    <w:rsid w:val="0075649D"/>
    <w:rsid w:val="007C605B"/>
    <w:rsid w:val="00814073"/>
    <w:rsid w:val="00826F0D"/>
    <w:rsid w:val="00893B92"/>
    <w:rsid w:val="008A6AF2"/>
    <w:rsid w:val="008C70A2"/>
    <w:rsid w:val="009773E4"/>
    <w:rsid w:val="009B171C"/>
    <w:rsid w:val="009F1313"/>
    <w:rsid w:val="00A20351"/>
    <w:rsid w:val="00AA23EC"/>
    <w:rsid w:val="00AC63CE"/>
    <w:rsid w:val="00AE2107"/>
    <w:rsid w:val="00B275A8"/>
    <w:rsid w:val="00BF2600"/>
    <w:rsid w:val="00C0049F"/>
    <w:rsid w:val="00C07B84"/>
    <w:rsid w:val="00C33464"/>
    <w:rsid w:val="00C66581"/>
    <w:rsid w:val="00C809A7"/>
    <w:rsid w:val="00C83063"/>
    <w:rsid w:val="00C87E90"/>
    <w:rsid w:val="00CA1B57"/>
    <w:rsid w:val="00CF0CFB"/>
    <w:rsid w:val="00D86297"/>
    <w:rsid w:val="00DD466D"/>
    <w:rsid w:val="00DF4C8E"/>
    <w:rsid w:val="00EB6364"/>
    <w:rsid w:val="00F37B64"/>
    <w:rsid w:val="00F44498"/>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6371</Words>
  <Characters>36319</Characters>
  <Application>Microsoft Office Word</Application>
  <DocSecurity>0</DocSecurity>
  <Lines>302</Lines>
  <Paragraphs>85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SATHealth-Guest</cp:lastModifiedBy>
  <cp:revision>2</cp:revision>
  <dcterms:created xsi:type="dcterms:W3CDTF">2022-04-18T12:51:00Z</dcterms:created>
  <dcterms:modified xsi:type="dcterms:W3CDTF">2022-04-18T12:51:00Z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