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16329281" w:rsidR="002C50EE" w:rsidRDefault="002C50EE" w:rsidP="002C50EE">
      <w:pPr>
        <w:pStyle w:val="Heading1"/>
        <w:jc w:val="center"/>
      </w:pPr>
      <w:bookmarkStart w:id="0" w:name="_Hlk63124480"/>
      <w:r>
        <w:t>КРАТКА ХАРАКТЕРИСТИКА НА ПРОДУКТА</w:t>
      </w:r>
    </w:p>
    <w:p w14:paraId="79516554" w14:textId="401AC23E" w:rsidR="00DB32D3" w:rsidRDefault="00DD466D" w:rsidP="005726E3">
      <w:pPr>
        <w:pStyle w:val="Heading1"/>
      </w:pPr>
      <w:r>
        <w:t>1.ИМЕ НА ЛЕКАРСТВЕНИЯ ПРОДУКТ</w:t>
      </w:r>
    </w:p>
    <w:p w14:paraId="5D9AAC39" w14:textId="11CDFB00" w:rsidR="008002EF" w:rsidRDefault="008002EF" w:rsidP="008002EF"/>
    <w:p w14:paraId="7F81CBAA" w14:textId="77777777" w:rsidR="008002EF" w:rsidRPr="008002EF" w:rsidRDefault="008002EF" w:rsidP="008002EF">
      <w:pPr>
        <w:rPr>
          <w:sz w:val="24"/>
          <w:szCs w:val="24"/>
          <w:lang w:val="en-US" w:eastAsia="bg-BG"/>
        </w:rPr>
      </w:pPr>
      <w:r w:rsidRPr="008002EF">
        <w:rPr>
          <w:lang w:eastAsia="bg-BG"/>
        </w:rPr>
        <w:t xml:space="preserve">Репитенд 100 </w:t>
      </w:r>
      <w:r w:rsidRPr="008002EF">
        <w:rPr>
          <w:lang w:val="en-US"/>
        </w:rPr>
        <w:t xml:space="preserve">mg/ml </w:t>
      </w:r>
      <w:r w:rsidRPr="008002EF">
        <w:rPr>
          <w:lang w:eastAsia="bg-BG"/>
        </w:rPr>
        <w:t>перорален разтвор</w:t>
      </w:r>
    </w:p>
    <w:p w14:paraId="2622DEE2" w14:textId="316F2854" w:rsidR="008002EF" w:rsidRPr="008002EF" w:rsidRDefault="008002EF" w:rsidP="008002EF">
      <w:proofErr w:type="spellStart"/>
      <w:r w:rsidRPr="008002EF">
        <w:rPr>
          <w:lang w:val="en-US"/>
        </w:rPr>
        <w:t>Repitend</w:t>
      </w:r>
      <w:proofErr w:type="spellEnd"/>
      <w:r w:rsidRPr="008002EF">
        <w:rPr>
          <w:lang w:val="en-US"/>
        </w:rPr>
        <w:t xml:space="preserve"> </w:t>
      </w:r>
      <w:r w:rsidRPr="008002EF">
        <w:rPr>
          <w:lang w:eastAsia="bg-BG"/>
        </w:rPr>
        <w:t xml:space="preserve">100 </w:t>
      </w:r>
      <w:r w:rsidRPr="008002EF">
        <w:rPr>
          <w:lang w:val="en-US"/>
        </w:rPr>
        <w:t>mg/ml, oral solution</w:t>
      </w:r>
    </w:p>
    <w:p w14:paraId="48E6CABE" w14:textId="1CA03841" w:rsidR="00DB32D3" w:rsidRDefault="00DD466D" w:rsidP="005726E3">
      <w:pPr>
        <w:pStyle w:val="Heading1"/>
      </w:pPr>
      <w:r>
        <w:t>2. КАЧЕСТВЕН И КОЛИЧЕСТВЕН СЪСТАВ</w:t>
      </w:r>
    </w:p>
    <w:p w14:paraId="499AD321" w14:textId="53A277B2" w:rsidR="008002EF" w:rsidRDefault="008002EF" w:rsidP="008002EF"/>
    <w:p w14:paraId="4BAFBD12" w14:textId="77777777" w:rsidR="008002EF" w:rsidRPr="008002EF" w:rsidRDefault="008002EF" w:rsidP="008002EF">
      <w:pPr>
        <w:rPr>
          <w:sz w:val="24"/>
          <w:szCs w:val="24"/>
          <w:lang w:eastAsia="bg-BG"/>
        </w:rPr>
      </w:pPr>
      <w:r w:rsidRPr="008002EF">
        <w:rPr>
          <w:lang w:eastAsia="bg-BG"/>
        </w:rPr>
        <w:t xml:space="preserve">Всеки </w:t>
      </w:r>
      <w:r w:rsidRPr="008002EF">
        <w:rPr>
          <w:lang w:val="en-US"/>
        </w:rPr>
        <w:t xml:space="preserve">ml </w:t>
      </w:r>
      <w:r w:rsidRPr="008002EF">
        <w:rPr>
          <w:lang w:eastAsia="bg-BG"/>
        </w:rPr>
        <w:t xml:space="preserve">съдържа 100 </w:t>
      </w:r>
      <w:r w:rsidRPr="008002EF">
        <w:rPr>
          <w:lang w:val="en-US"/>
        </w:rPr>
        <w:t xml:space="preserve">mg </w:t>
      </w:r>
      <w:r w:rsidRPr="008002EF">
        <w:rPr>
          <w:lang w:eastAsia="bg-BG"/>
        </w:rPr>
        <w:t xml:space="preserve">леветирацетам </w:t>
      </w:r>
      <w:r w:rsidRPr="008002EF">
        <w:rPr>
          <w:i/>
          <w:iCs/>
          <w:lang w:val="en-US"/>
        </w:rPr>
        <w:t>(levetiracetam).</w:t>
      </w:r>
    </w:p>
    <w:p w14:paraId="588CAB6C" w14:textId="77777777" w:rsidR="008002EF" w:rsidRDefault="008002EF" w:rsidP="008002EF">
      <w:pPr>
        <w:rPr>
          <w:u w:val="single"/>
          <w:lang w:eastAsia="bg-BG"/>
        </w:rPr>
      </w:pPr>
    </w:p>
    <w:p w14:paraId="1AD6D849" w14:textId="7C44054F" w:rsidR="008002EF" w:rsidRPr="008002EF" w:rsidRDefault="008002EF" w:rsidP="008002EF">
      <w:r w:rsidRPr="008002EF">
        <w:rPr>
          <w:u w:val="single"/>
          <w:lang w:eastAsia="bg-BG"/>
        </w:rPr>
        <w:t>Помощни вещества с известно действие</w:t>
      </w:r>
      <w:r w:rsidRPr="008002EF">
        <w:rPr>
          <w:lang w:eastAsia="bg-BG"/>
        </w:rPr>
        <w:t xml:space="preserve">: метил парахидроксибензоат (Е218), пропилпарахидроксибензоат (Е216), 300 </w:t>
      </w:r>
      <w:r w:rsidRPr="008002EF">
        <w:rPr>
          <w:lang w:val="en-US"/>
        </w:rPr>
        <w:t xml:space="preserve">mg </w:t>
      </w:r>
      <w:r w:rsidRPr="008002EF">
        <w:rPr>
          <w:lang w:eastAsia="bg-BG"/>
        </w:rPr>
        <w:t xml:space="preserve">течен малтитол и натрий 0,25 </w:t>
      </w:r>
      <w:r w:rsidRPr="008002EF">
        <w:rPr>
          <w:lang w:val="en-US"/>
        </w:rPr>
        <w:t>mg/ml.</w:t>
      </w:r>
    </w:p>
    <w:p w14:paraId="763B21BA" w14:textId="5D494EFE" w:rsidR="001A6EBD" w:rsidRDefault="00DD466D" w:rsidP="00471F10">
      <w:pPr>
        <w:pStyle w:val="Heading1"/>
      </w:pPr>
      <w:r>
        <w:t>3. ЛЕКАРСТВЕНА ФОРМА</w:t>
      </w:r>
    </w:p>
    <w:p w14:paraId="606843C8" w14:textId="1AFD43DF" w:rsidR="008002EF" w:rsidRDefault="008002EF" w:rsidP="008002EF"/>
    <w:p w14:paraId="3276D2E5" w14:textId="77777777" w:rsidR="008002EF" w:rsidRPr="008002EF" w:rsidRDefault="008002EF" w:rsidP="008002EF">
      <w:pPr>
        <w:rPr>
          <w:sz w:val="24"/>
          <w:szCs w:val="24"/>
          <w:lang w:eastAsia="bg-BG"/>
        </w:rPr>
      </w:pPr>
      <w:r w:rsidRPr="008002EF">
        <w:rPr>
          <w:lang w:eastAsia="bg-BG"/>
        </w:rPr>
        <w:t>Перорален разтвор.</w:t>
      </w:r>
    </w:p>
    <w:p w14:paraId="13855FAE" w14:textId="77777777" w:rsidR="008002EF" w:rsidRPr="008002EF" w:rsidRDefault="008002EF" w:rsidP="008002EF">
      <w:pPr>
        <w:rPr>
          <w:sz w:val="24"/>
          <w:szCs w:val="24"/>
          <w:lang w:eastAsia="bg-BG"/>
        </w:rPr>
      </w:pPr>
      <w:r w:rsidRPr="008002EF">
        <w:rPr>
          <w:lang w:eastAsia="bg-BG"/>
        </w:rPr>
        <w:t>Безцветна, прозрачна течност.</w:t>
      </w:r>
    </w:p>
    <w:p w14:paraId="0121914A" w14:textId="14C174AF" w:rsidR="008002EF" w:rsidRPr="008002EF" w:rsidRDefault="008002EF" w:rsidP="008002EF">
      <w:pPr>
        <w:rPr>
          <w:sz w:val="24"/>
          <w:szCs w:val="24"/>
          <w:lang w:eastAsia="bg-BG"/>
        </w:rPr>
      </w:pPr>
      <w:r w:rsidRPr="008002EF">
        <w:rPr>
          <w:lang w:eastAsia="bg-BG"/>
        </w:rPr>
        <w:t xml:space="preserve">Стойност на </w:t>
      </w:r>
      <w:r w:rsidRPr="008002EF">
        <w:rPr>
          <w:lang w:val="en-US"/>
        </w:rPr>
        <w:t xml:space="preserve">pH: </w:t>
      </w:r>
      <w:r w:rsidRPr="008002EF">
        <w:rPr>
          <w:lang w:eastAsia="bg-BG"/>
        </w:rPr>
        <w:t>4,6 - 6,6</w:t>
      </w:r>
    </w:p>
    <w:p w14:paraId="490FC2C4" w14:textId="6899DE43" w:rsidR="002C50EE" w:rsidRDefault="002C50EE" w:rsidP="002C50EE">
      <w:pPr>
        <w:pStyle w:val="Heading1"/>
      </w:pPr>
      <w:r>
        <w:t>4. КЛИНИЧНИ ДАННИ</w:t>
      </w:r>
    </w:p>
    <w:p w14:paraId="25C765CE" w14:textId="44BBDBB9" w:rsidR="001A6EBD" w:rsidRDefault="002C50EE" w:rsidP="00471F10">
      <w:pPr>
        <w:pStyle w:val="Heading2"/>
      </w:pPr>
      <w:r>
        <w:t>4.1. Терапевтични показания</w:t>
      </w:r>
    </w:p>
    <w:p w14:paraId="75E9239E" w14:textId="0C085552" w:rsidR="008002EF" w:rsidRDefault="008002EF" w:rsidP="008002EF"/>
    <w:p w14:paraId="16A29F28"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Репитенд е показан за монотерапия при лечение на парциални пристъпи със или без вторична генерализация при възрастни и юноши над 16-годишна възраст с новодиагностицирана епилепсия.</w:t>
      </w:r>
    </w:p>
    <w:p w14:paraId="1DC28559" w14:textId="77777777" w:rsidR="008002EF" w:rsidRPr="008002EF" w:rsidRDefault="008002EF" w:rsidP="008002EF">
      <w:pPr>
        <w:spacing w:line="240" w:lineRule="auto"/>
        <w:rPr>
          <w:rFonts w:eastAsia="Times New Roman" w:cs="Arial"/>
          <w:color w:val="000000"/>
          <w:lang w:eastAsia="bg-BG"/>
        </w:rPr>
      </w:pPr>
    </w:p>
    <w:p w14:paraId="77C083D7" w14:textId="77F56F7A"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Репитенд е показан за допълващо лечение на:</w:t>
      </w:r>
    </w:p>
    <w:p w14:paraId="2207CB27" w14:textId="77777777" w:rsidR="008002EF" w:rsidRPr="008002EF" w:rsidRDefault="008002EF" w:rsidP="008002EF">
      <w:pPr>
        <w:pStyle w:val="ListParagraph"/>
        <w:numPr>
          <w:ilvl w:val="0"/>
          <w:numId w:val="38"/>
        </w:numPr>
        <w:spacing w:line="240" w:lineRule="auto"/>
        <w:rPr>
          <w:rFonts w:eastAsia="Times New Roman" w:cs="Arial"/>
          <w:sz w:val="28"/>
          <w:szCs w:val="28"/>
          <w:lang w:eastAsia="bg-BG"/>
        </w:rPr>
      </w:pPr>
      <w:r w:rsidRPr="008002EF">
        <w:rPr>
          <w:rFonts w:eastAsia="Times New Roman" w:cs="Arial"/>
          <w:color w:val="000000"/>
          <w:lang w:eastAsia="bg-BG"/>
        </w:rPr>
        <w:t>парциални пристъпи със или без вторична генерализация при възрастни, юноши, деца и новородени над 1-месечна възраст с епилепсия.</w:t>
      </w:r>
    </w:p>
    <w:p w14:paraId="65A568EA" w14:textId="77777777" w:rsidR="008002EF" w:rsidRPr="008002EF" w:rsidRDefault="008002EF" w:rsidP="008002EF">
      <w:pPr>
        <w:pStyle w:val="ListParagraph"/>
        <w:numPr>
          <w:ilvl w:val="0"/>
          <w:numId w:val="38"/>
        </w:numPr>
        <w:spacing w:line="240" w:lineRule="auto"/>
        <w:rPr>
          <w:rFonts w:eastAsia="Times New Roman" w:cs="Arial"/>
          <w:sz w:val="28"/>
          <w:szCs w:val="28"/>
          <w:lang w:eastAsia="bg-BG"/>
        </w:rPr>
      </w:pPr>
      <w:r w:rsidRPr="008002EF">
        <w:rPr>
          <w:rFonts w:eastAsia="Times New Roman" w:cs="Arial"/>
          <w:color w:val="000000"/>
          <w:lang w:eastAsia="bg-BG"/>
        </w:rPr>
        <w:t>миоклонични пристъпи при възрастни и юноши над 12-годишна възраст с ювенилна миоклонична епилепсия.</w:t>
      </w:r>
    </w:p>
    <w:p w14:paraId="1E051CCA" w14:textId="6C3C7019" w:rsidR="008002EF" w:rsidRPr="008002EF" w:rsidRDefault="008002EF" w:rsidP="008002EF">
      <w:pPr>
        <w:pStyle w:val="ListParagraph"/>
        <w:numPr>
          <w:ilvl w:val="0"/>
          <w:numId w:val="38"/>
        </w:numPr>
        <w:spacing w:line="240" w:lineRule="auto"/>
        <w:rPr>
          <w:rFonts w:eastAsia="Times New Roman" w:cs="Arial"/>
          <w:sz w:val="28"/>
          <w:szCs w:val="28"/>
          <w:lang w:eastAsia="bg-BG"/>
        </w:rPr>
      </w:pPr>
      <w:r w:rsidRPr="008002EF">
        <w:rPr>
          <w:rFonts w:eastAsia="Times New Roman" w:cs="Arial"/>
          <w:color w:val="000000"/>
          <w:lang w:eastAsia="bg-BG"/>
        </w:rPr>
        <w:t>първично генерализирани тонично-клонични пристъпи при възрастни и юноши над 12- годишна възраст с идиопатична генерализирана епилепсия.</w:t>
      </w:r>
    </w:p>
    <w:p w14:paraId="36BDD413" w14:textId="77777777" w:rsidR="008002EF" w:rsidRPr="008002EF" w:rsidRDefault="008002EF" w:rsidP="008002EF"/>
    <w:p w14:paraId="19026639" w14:textId="1D97AF71" w:rsidR="001A6EBD" w:rsidRDefault="002C50EE" w:rsidP="00471F10">
      <w:pPr>
        <w:pStyle w:val="Heading2"/>
      </w:pPr>
      <w:r>
        <w:t>4.2. Дозировка и начин на приложение</w:t>
      </w:r>
    </w:p>
    <w:p w14:paraId="5F325272" w14:textId="2891DBCC" w:rsidR="008002EF" w:rsidRDefault="008002EF" w:rsidP="008002EF"/>
    <w:p w14:paraId="2976B15B" w14:textId="77777777" w:rsidR="008002EF" w:rsidRPr="008002EF" w:rsidRDefault="008002EF" w:rsidP="008002EF">
      <w:pPr>
        <w:pStyle w:val="Heading3"/>
        <w:rPr>
          <w:rFonts w:eastAsia="Times New Roman"/>
          <w:sz w:val="28"/>
          <w:szCs w:val="28"/>
          <w:u w:val="single"/>
          <w:lang w:eastAsia="bg-BG"/>
        </w:rPr>
      </w:pPr>
      <w:r w:rsidRPr="008002EF">
        <w:rPr>
          <w:rFonts w:eastAsia="Times New Roman"/>
          <w:u w:val="single"/>
          <w:lang w:eastAsia="bg-BG"/>
        </w:rPr>
        <w:t>Дозировка</w:t>
      </w:r>
    </w:p>
    <w:p w14:paraId="60ED6128" w14:textId="77777777" w:rsidR="008002EF" w:rsidRPr="008002EF" w:rsidRDefault="008002EF" w:rsidP="008002EF">
      <w:pPr>
        <w:spacing w:line="240" w:lineRule="auto"/>
        <w:rPr>
          <w:rFonts w:eastAsia="Times New Roman" w:cs="Arial"/>
          <w:i/>
          <w:iCs/>
          <w:color w:val="000000"/>
          <w:lang w:eastAsia="bg-BG"/>
        </w:rPr>
      </w:pPr>
    </w:p>
    <w:p w14:paraId="497EC105" w14:textId="5A393D31" w:rsidR="008002EF" w:rsidRPr="008002EF" w:rsidRDefault="008002EF" w:rsidP="008002EF">
      <w:pPr>
        <w:spacing w:line="240" w:lineRule="auto"/>
        <w:rPr>
          <w:rFonts w:eastAsia="Times New Roman" w:cs="Arial"/>
          <w:sz w:val="28"/>
          <w:szCs w:val="28"/>
          <w:lang w:eastAsia="bg-BG"/>
        </w:rPr>
      </w:pPr>
      <w:r w:rsidRPr="008002EF">
        <w:rPr>
          <w:rFonts w:eastAsia="Times New Roman" w:cs="Arial"/>
          <w:i/>
          <w:iCs/>
          <w:color w:val="000000"/>
          <w:lang w:eastAsia="bg-BG"/>
        </w:rPr>
        <w:t>Монотерапия при възрастни и юноши над 16-годишна възраст</w:t>
      </w:r>
    </w:p>
    <w:p w14:paraId="1EBFAD8E"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 xml:space="preserve">Препоръчваната начална доза е 250 </w:t>
      </w:r>
      <w:r w:rsidRPr="008002EF">
        <w:rPr>
          <w:rFonts w:eastAsia="Times New Roman" w:cs="Arial"/>
          <w:color w:val="000000"/>
          <w:lang w:val="en-US"/>
        </w:rPr>
        <w:t xml:space="preserve">mg </w:t>
      </w:r>
      <w:r w:rsidRPr="008002EF">
        <w:rPr>
          <w:rFonts w:eastAsia="Times New Roman" w:cs="Arial"/>
          <w:color w:val="000000"/>
          <w:lang w:eastAsia="bg-BG"/>
        </w:rPr>
        <w:t xml:space="preserve">два пъти дневно, която след две седмици трябва да се повиши до първоначалната терапевтична доза от 500 </w:t>
      </w:r>
      <w:r w:rsidRPr="008002EF">
        <w:rPr>
          <w:rFonts w:eastAsia="Times New Roman" w:cs="Arial"/>
          <w:color w:val="000000"/>
          <w:lang w:val="en-US"/>
        </w:rPr>
        <w:t xml:space="preserve">mg </w:t>
      </w:r>
      <w:r w:rsidRPr="008002EF">
        <w:rPr>
          <w:rFonts w:eastAsia="Times New Roman" w:cs="Arial"/>
          <w:color w:val="000000"/>
          <w:lang w:eastAsia="bg-BG"/>
        </w:rPr>
        <w:t xml:space="preserve">два пъти дневно. След това дозата може да се повишава с по 250 </w:t>
      </w:r>
      <w:r w:rsidRPr="008002EF">
        <w:rPr>
          <w:rFonts w:eastAsia="Times New Roman" w:cs="Arial"/>
          <w:color w:val="000000"/>
          <w:lang w:val="en-US"/>
        </w:rPr>
        <w:t xml:space="preserve">mg </w:t>
      </w:r>
      <w:r w:rsidRPr="008002EF">
        <w:rPr>
          <w:rFonts w:eastAsia="Times New Roman" w:cs="Arial"/>
          <w:color w:val="000000"/>
          <w:lang w:eastAsia="bg-BG"/>
        </w:rPr>
        <w:t xml:space="preserve">два пъти дневно на всеки две седмици в зависимост от клиничния отговор. Максималната доза е 1500 </w:t>
      </w:r>
      <w:r w:rsidRPr="008002EF">
        <w:rPr>
          <w:rFonts w:eastAsia="Times New Roman" w:cs="Arial"/>
          <w:color w:val="000000"/>
          <w:lang w:val="en-US"/>
        </w:rPr>
        <w:t xml:space="preserve">mg </w:t>
      </w:r>
      <w:r w:rsidRPr="008002EF">
        <w:rPr>
          <w:rFonts w:eastAsia="Times New Roman" w:cs="Arial"/>
          <w:color w:val="000000"/>
          <w:lang w:eastAsia="bg-BG"/>
        </w:rPr>
        <w:t>два пъти дневно.</w:t>
      </w:r>
    </w:p>
    <w:p w14:paraId="33763E1A" w14:textId="77777777" w:rsidR="008002EF" w:rsidRPr="008002EF" w:rsidRDefault="008002EF" w:rsidP="008002EF">
      <w:pPr>
        <w:spacing w:line="240" w:lineRule="auto"/>
        <w:rPr>
          <w:rFonts w:eastAsia="Times New Roman" w:cs="Arial"/>
          <w:i/>
          <w:iCs/>
          <w:color w:val="000000"/>
          <w:lang w:eastAsia="bg-BG"/>
        </w:rPr>
      </w:pPr>
    </w:p>
    <w:p w14:paraId="3A71DC61" w14:textId="5377BC0E" w:rsidR="008002EF" w:rsidRPr="008002EF" w:rsidRDefault="008002EF" w:rsidP="008002EF">
      <w:pPr>
        <w:spacing w:line="240" w:lineRule="auto"/>
        <w:rPr>
          <w:rFonts w:eastAsia="Times New Roman" w:cs="Arial"/>
          <w:sz w:val="28"/>
          <w:szCs w:val="28"/>
          <w:lang w:eastAsia="bg-BG"/>
        </w:rPr>
      </w:pPr>
      <w:r w:rsidRPr="008002EF">
        <w:rPr>
          <w:rFonts w:eastAsia="Times New Roman" w:cs="Arial"/>
          <w:i/>
          <w:iCs/>
          <w:color w:val="000000"/>
          <w:lang w:eastAsia="bg-BG"/>
        </w:rPr>
        <w:lastRenderedPageBreak/>
        <w:t>Допълващо лечение при възрастни (≥ 18 години) и юноши (12-17години) с тегло 50</w:t>
      </w:r>
      <w:r w:rsidRPr="008002EF">
        <w:rPr>
          <w:rFonts w:eastAsia="Times New Roman" w:cs="Arial"/>
          <w:i/>
          <w:iCs/>
          <w:color w:val="000000"/>
          <w:lang w:val="en-US"/>
        </w:rPr>
        <w:t xml:space="preserve"> kg </w:t>
      </w:r>
      <w:r w:rsidRPr="008002EF">
        <w:rPr>
          <w:rFonts w:eastAsia="Times New Roman" w:cs="Arial"/>
          <w:i/>
          <w:iCs/>
          <w:color w:val="000000"/>
          <w:lang w:eastAsia="bg-BG"/>
        </w:rPr>
        <w:t>или повече</w:t>
      </w:r>
    </w:p>
    <w:p w14:paraId="7EA9E8AA" w14:textId="0DB52C01" w:rsidR="008002EF" w:rsidRPr="008002EF" w:rsidRDefault="008002EF" w:rsidP="008002EF">
      <w:pPr>
        <w:rPr>
          <w:rFonts w:eastAsia="Times New Roman" w:cs="Arial"/>
          <w:color w:val="000000"/>
          <w:lang w:eastAsia="bg-BG"/>
        </w:rPr>
      </w:pPr>
      <w:r w:rsidRPr="008002EF">
        <w:rPr>
          <w:rFonts w:eastAsia="Times New Roman" w:cs="Arial"/>
          <w:color w:val="000000"/>
          <w:lang w:eastAsia="bg-BG"/>
        </w:rPr>
        <w:t xml:space="preserve">Началната терапевтична доза е 500 </w:t>
      </w:r>
      <w:r w:rsidRPr="008002EF">
        <w:rPr>
          <w:rFonts w:eastAsia="Times New Roman" w:cs="Arial"/>
          <w:color w:val="000000"/>
          <w:lang w:val="en-US"/>
        </w:rPr>
        <w:t xml:space="preserve">mg </w:t>
      </w:r>
      <w:r w:rsidRPr="008002EF">
        <w:rPr>
          <w:rFonts w:eastAsia="Times New Roman" w:cs="Arial"/>
          <w:color w:val="000000"/>
          <w:lang w:eastAsia="bg-BG"/>
        </w:rPr>
        <w:t>два пъти дневно. Тази доза може да бъде започнат от първия ден на лечението.</w:t>
      </w:r>
    </w:p>
    <w:p w14:paraId="7A65C820" w14:textId="2DBB6272" w:rsidR="008002EF" w:rsidRPr="008002EF" w:rsidRDefault="008002EF" w:rsidP="008002EF">
      <w:pPr>
        <w:rPr>
          <w:rFonts w:eastAsia="Times New Roman" w:cs="Arial"/>
          <w:color w:val="000000"/>
          <w:lang w:eastAsia="bg-BG"/>
        </w:rPr>
      </w:pPr>
    </w:p>
    <w:p w14:paraId="5ABEEC1E"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 xml:space="preserve">В зависимост от клиничния отговор и поносимост дневната доза може да се повиши до 1500 </w:t>
      </w:r>
      <w:r w:rsidRPr="008002EF">
        <w:rPr>
          <w:rFonts w:eastAsia="Times New Roman" w:cs="Arial"/>
          <w:color w:val="000000"/>
          <w:lang w:val="en-US"/>
        </w:rPr>
        <w:t xml:space="preserve">mg </w:t>
      </w:r>
      <w:r w:rsidRPr="008002EF">
        <w:rPr>
          <w:rFonts w:eastAsia="Times New Roman" w:cs="Arial"/>
          <w:color w:val="000000"/>
          <w:lang w:eastAsia="bg-BG"/>
        </w:rPr>
        <w:t xml:space="preserve">два пъти дневно. Промяна в дозата, свързана с повишаване или намаляване, може да се извършва на всеки 2 до 4 седмици с 500 </w:t>
      </w:r>
      <w:r w:rsidRPr="008002EF">
        <w:rPr>
          <w:rFonts w:eastAsia="Times New Roman" w:cs="Arial"/>
          <w:color w:val="000000"/>
          <w:lang w:val="en-US"/>
        </w:rPr>
        <w:t xml:space="preserve">mg </w:t>
      </w:r>
      <w:r w:rsidRPr="008002EF">
        <w:rPr>
          <w:rFonts w:eastAsia="Times New Roman" w:cs="Arial"/>
          <w:color w:val="000000"/>
          <w:lang w:eastAsia="bg-BG"/>
        </w:rPr>
        <w:t>два пъти дневно.</w:t>
      </w:r>
    </w:p>
    <w:p w14:paraId="3842807A" w14:textId="77777777" w:rsidR="008002EF" w:rsidRPr="008002EF" w:rsidRDefault="008002EF" w:rsidP="008002EF">
      <w:pPr>
        <w:spacing w:line="240" w:lineRule="auto"/>
        <w:rPr>
          <w:rFonts w:eastAsia="Times New Roman" w:cs="Arial"/>
          <w:color w:val="000000"/>
          <w:u w:val="single"/>
          <w:lang w:eastAsia="bg-BG"/>
        </w:rPr>
      </w:pPr>
    </w:p>
    <w:p w14:paraId="697511E3" w14:textId="0F7C8D39"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u w:val="single"/>
          <w:lang w:eastAsia="bg-BG"/>
        </w:rPr>
        <w:t>Спиране на лечението</w:t>
      </w:r>
    </w:p>
    <w:p w14:paraId="4B3C2D3F"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 xml:space="preserve">Ако трябва да се спре лечението с леветирацетам, препоръчва се това да става постепенно (например при възрастни и юноши с тегло над 50 </w:t>
      </w:r>
      <w:r w:rsidRPr="008002EF">
        <w:rPr>
          <w:rFonts w:eastAsia="Times New Roman" w:cs="Arial"/>
          <w:color w:val="000000"/>
          <w:lang w:val="en-US"/>
        </w:rPr>
        <w:t xml:space="preserve">kg: </w:t>
      </w:r>
      <w:r w:rsidRPr="008002EF">
        <w:rPr>
          <w:rFonts w:eastAsia="Times New Roman" w:cs="Arial"/>
          <w:color w:val="000000"/>
          <w:lang w:eastAsia="bg-BG"/>
        </w:rPr>
        <w:t xml:space="preserve">дозата се намалява с 500 </w:t>
      </w:r>
      <w:r w:rsidRPr="008002EF">
        <w:rPr>
          <w:rFonts w:eastAsia="Times New Roman" w:cs="Arial"/>
          <w:color w:val="000000"/>
          <w:lang w:val="en-US"/>
        </w:rPr>
        <w:t xml:space="preserve">mg </w:t>
      </w:r>
      <w:r w:rsidRPr="008002EF">
        <w:rPr>
          <w:rFonts w:eastAsia="Times New Roman" w:cs="Arial"/>
          <w:color w:val="000000"/>
          <w:lang w:eastAsia="bg-BG"/>
        </w:rPr>
        <w:t xml:space="preserve">два пъти дневно на всеки две до четири седмици; при кърмачета над 6 месеца, деца и юноши с тегло под 50 </w:t>
      </w:r>
      <w:r w:rsidRPr="008002EF">
        <w:rPr>
          <w:rFonts w:eastAsia="Times New Roman" w:cs="Arial"/>
          <w:color w:val="000000"/>
          <w:lang w:val="en-US"/>
        </w:rPr>
        <w:t xml:space="preserve">kg: </w:t>
      </w:r>
      <w:r w:rsidRPr="008002EF">
        <w:rPr>
          <w:rFonts w:eastAsia="Times New Roman" w:cs="Arial"/>
          <w:color w:val="000000"/>
          <w:lang w:eastAsia="bg-BG"/>
        </w:rPr>
        <w:t xml:space="preserve">намаляването на дозата не трябва да превишава 10 </w:t>
      </w:r>
      <w:r w:rsidRPr="008002EF">
        <w:rPr>
          <w:rFonts w:eastAsia="Times New Roman" w:cs="Arial"/>
          <w:color w:val="000000"/>
          <w:lang w:val="en-US"/>
        </w:rPr>
        <w:t xml:space="preserve">mg/kg </w:t>
      </w:r>
      <w:r w:rsidRPr="008002EF">
        <w:rPr>
          <w:rFonts w:eastAsia="Times New Roman" w:cs="Arial"/>
          <w:color w:val="000000"/>
          <w:lang w:eastAsia="bg-BG"/>
        </w:rPr>
        <w:t xml:space="preserve">два пъти дневно на всеки две седмици; при кърмачета (под 6 месеца): намаляването на дозата не трябва да надвишава 7 </w:t>
      </w:r>
      <w:r w:rsidRPr="008002EF">
        <w:rPr>
          <w:rFonts w:eastAsia="Times New Roman" w:cs="Arial"/>
          <w:color w:val="000000"/>
          <w:lang w:val="en-US"/>
        </w:rPr>
        <w:t xml:space="preserve">mg/kg </w:t>
      </w:r>
      <w:r w:rsidRPr="008002EF">
        <w:rPr>
          <w:rFonts w:eastAsia="Times New Roman" w:cs="Arial"/>
          <w:color w:val="000000"/>
          <w:lang w:eastAsia="bg-BG"/>
        </w:rPr>
        <w:t>два пъти дневно на всеки две седмици).</w:t>
      </w:r>
    </w:p>
    <w:p w14:paraId="552E1E38" w14:textId="77777777" w:rsidR="008002EF" w:rsidRPr="008002EF" w:rsidRDefault="008002EF" w:rsidP="008002EF">
      <w:pPr>
        <w:spacing w:line="240" w:lineRule="auto"/>
        <w:rPr>
          <w:rFonts w:eastAsia="Times New Roman" w:cs="Arial"/>
          <w:color w:val="000000"/>
          <w:u w:val="single"/>
          <w:lang w:eastAsia="bg-BG"/>
        </w:rPr>
      </w:pPr>
    </w:p>
    <w:p w14:paraId="5EA0A66C" w14:textId="6A4787B5"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u w:val="single"/>
          <w:lang w:eastAsia="bg-BG"/>
        </w:rPr>
        <w:t>Специални популации</w:t>
      </w:r>
    </w:p>
    <w:p w14:paraId="67D3D6D3" w14:textId="77777777" w:rsidR="008002EF" w:rsidRPr="008002EF" w:rsidRDefault="008002EF" w:rsidP="008002EF">
      <w:pPr>
        <w:spacing w:line="240" w:lineRule="auto"/>
        <w:rPr>
          <w:rFonts w:eastAsia="Times New Roman" w:cs="Arial"/>
          <w:i/>
          <w:iCs/>
          <w:color w:val="000000"/>
          <w:lang w:eastAsia="bg-BG"/>
        </w:rPr>
      </w:pPr>
    </w:p>
    <w:p w14:paraId="541D6396" w14:textId="654A20A9" w:rsidR="008002EF" w:rsidRPr="008002EF" w:rsidRDefault="008002EF" w:rsidP="008002EF">
      <w:pPr>
        <w:spacing w:line="240" w:lineRule="auto"/>
        <w:rPr>
          <w:rFonts w:eastAsia="Times New Roman" w:cs="Arial"/>
          <w:sz w:val="28"/>
          <w:szCs w:val="28"/>
          <w:lang w:eastAsia="bg-BG"/>
        </w:rPr>
      </w:pPr>
      <w:r w:rsidRPr="008002EF">
        <w:rPr>
          <w:rFonts w:eastAsia="Times New Roman" w:cs="Arial"/>
          <w:i/>
          <w:iCs/>
          <w:color w:val="000000"/>
          <w:lang w:eastAsia="bg-BG"/>
        </w:rPr>
        <w:t>Старческа възраст (65 години и по-възрастни)</w:t>
      </w:r>
    </w:p>
    <w:p w14:paraId="06824FFB"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Препоръчва се адаптиране на дозата при пациенти в старческа възраст с нарушена бъбречна функция (вж. по-долу “ Бъбречно увреждане”).</w:t>
      </w:r>
    </w:p>
    <w:p w14:paraId="289EEEFD" w14:textId="77777777" w:rsidR="008002EF" w:rsidRPr="008002EF" w:rsidRDefault="008002EF" w:rsidP="008002EF">
      <w:pPr>
        <w:spacing w:line="240" w:lineRule="auto"/>
        <w:rPr>
          <w:rFonts w:eastAsia="Times New Roman" w:cs="Arial"/>
          <w:i/>
          <w:iCs/>
          <w:color w:val="000000"/>
          <w:lang w:eastAsia="bg-BG"/>
        </w:rPr>
      </w:pPr>
    </w:p>
    <w:p w14:paraId="50430588" w14:textId="44E537EA" w:rsidR="008002EF" w:rsidRPr="008002EF" w:rsidRDefault="008002EF" w:rsidP="008002EF">
      <w:pPr>
        <w:spacing w:line="240" w:lineRule="auto"/>
        <w:rPr>
          <w:rFonts w:eastAsia="Times New Roman" w:cs="Arial"/>
          <w:sz w:val="28"/>
          <w:szCs w:val="28"/>
          <w:lang w:eastAsia="bg-BG"/>
        </w:rPr>
      </w:pPr>
      <w:r w:rsidRPr="008002EF">
        <w:rPr>
          <w:rFonts w:eastAsia="Times New Roman" w:cs="Arial"/>
          <w:i/>
          <w:iCs/>
          <w:color w:val="000000"/>
          <w:lang w:eastAsia="bg-BG"/>
        </w:rPr>
        <w:t>Бъбречно увреждане</w:t>
      </w:r>
    </w:p>
    <w:p w14:paraId="363818D6"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Дневната доза трябва да се индивидуализира в зависимост от бъбречната функция.</w:t>
      </w:r>
    </w:p>
    <w:p w14:paraId="08BC7BC5" w14:textId="4F757483" w:rsidR="008002EF" w:rsidRDefault="008002EF" w:rsidP="008002EF">
      <w:pPr>
        <w:rPr>
          <w:rFonts w:eastAsia="Times New Roman" w:cs="Arial"/>
          <w:color w:val="000000"/>
          <w:lang w:eastAsia="bg-BG"/>
        </w:rPr>
      </w:pPr>
      <w:r w:rsidRPr="008002EF">
        <w:rPr>
          <w:rFonts w:eastAsia="Times New Roman" w:cs="Arial"/>
          <w:color w:val="000000"/>
          <w:lang w:eastAsia="bg-BG"/>
        </w:rPr>
        <w:t xml:space="preserve">При възрастни трябва да се използва приложената по-долу таблица за адаптиране на дозата. За прилагане на тази таблица е необходимо да се знае креатининовия клирънс на пациента, изразен в </w:t>
      </w:r>
      <w:r w:rsidRPr="008002EF">
        <w:rPr>
          <w:rFonts w:eastAsia="Times New Roman" w:cs="Arial"/>
          <w:color w:val="000000"/>
          <w:lang w:val="en-US"/>
        </w:rPr>
        <w:t>ml/min (</w:t>
      </w:r>
      <w:proofErr w:type="spellStart"/>
      <w:r w:rsidRPr="008002EF">
        <w:rPr>
          <w:rFonts w:eastAsia="Times New Roman" w:cs="Arial"/>
          <w:color w:val="000000"/>
          <w:lang w:val="en-US"/>
        </w:rPr>
        <w:t>CLcr</w:t>
      </w:r>
      <w:proofErr w:type="spellEnd"/>
      <w:r w:rsidRPr="008002EF">
        <w:rPr>
          <w:rFonts w:eastAsia="Times New Roman" w:cs="Arial"/>
          <w:color w:val="000000"/>
          <w:lang w:val="en-US"/>
        </w:rPr>
        <w:t xml:space="preserve">). </w:t>
      </w:r>
      <w:r w:rsidRPr="008002EF">
        <w:rPr>
          <w:rFonts w:eastAsia="Times New Roman" w:cs="Arial"/>
          <w:color w:val="000000"/>
          <w:lang w:eastAsia="bg-BG"/>
        </w:rPr>
        <w:t xml:space="preserve">При възрастни и юноши с тегло 50 </w:t>
      </w:r>
      <w:r w:rsidRPr="008002EF">
        <w:rPr>
          <w:rFonts w:eastAsia="Times New Roman" w:cs="Arial"/>
          <w:color w:val="000000"/>
          <w:lang w:val="en-US"/>
        </w:rPr>
        <w:t xml:space="preserve">kg </w:t>
      </w:r>
      <w:r w:rsidRPr="008002EF">
        <w:rPr>
          <w:rFonts w:eastAsia="Times New Roman" w:cs="Arial"/>
          <w:color w:val="000000"/>
          <w:lang w:eastAsia="bg-BG"/>
        </w:rPr>
        <w:t xml:space="preserve">и повече </w:t>
      </w:r>
      <w:proofErr w:type="spellStart"/>
      <w:r w:rsidRPr="008002EF">
        <w:rPr>
          <w:rFonts w:eastAsia="Times New Roman" w:cs="Arial"/>
          <w:color w:val="000000"/>
          <w:lang w:val="en-US"/>
        </w:rPr>
        <w:t>CL</w:t>
      </w:r>
      <w:r w:rsidRPr="008002EF">
        <w:rPr>
          <w:rFonts w:eastAsia="Times New Roman" w:cs="Arial"/>
          <w:color w:val="000000"/>
          <w:vertAlign w:val="subscript"/>
          <w:lang w:val="en-US"/>
        </w:rPr>
        <w:t>cr</w:t>
      </w:r>
      <w:proofErr w:type="spellEnd"/>
      <w:r w:rsidRPr="008002EF">
        <w:rPr>
          <w:rFonts w:eastAsia="Times New Roman" w:cs="Arial"/>
          <w:color w:val="000000"/>
          <w:lang w:val="en-US"/>
        </w:rPr>
        <w:t xml:space="preserve"> </w:t>
      </w:r>
      <w:r w:rsidRPr="008002EF">
        <w:rPr>
          <w:rFonts w:eastAsia="Times New Roman" w:cs="Arial"/>
          <w:color w:val="000000"/>
          <w:lang w:eastAsia="bg-BG"/>
        </w:rPr>
        <w:t xml:space="preserve">в </w:t>
      </w:r>
      <w:r w:rsidRPr="008002EF">
        <w:rPr>
          <w:rFonts w:eastAsia="Times New Roman" w:cs="Arial"/>
          <w:color w:val="000000"/>
          <w:lang w:val="en-US"/>
        </w:rPr>
        <w:t xml:space="preserve">ml/min </w:t>
      </w:r>
      <w:r w:rsidRPr="008002EF">
        <w:rPr>
          <w:rFonts w:eastAsia="Times New Roman" w:cs="Arial"/>
          <w:color w:val="000000"/>
          <w:lang w:eastAsia="bg-BG"/>
        </w:rPr>
        <w:t xml:space="preserve">може да се определи от серумния креатинин </w:t>
      </w:r>
      <w:r w:rsidRPr="008002EF">
        <w:rPr>
          <w:rFonts w:eastAsia="Times New Roman" w:cs="Arial"/>
          <w:color w:val="000000"/>
          <w:lang w:val="en-US"/>
        </w:rPr>
        <w:t xml:space="preserve">(mg/dl) </w:t>
      </w:r>
      <w:r w:rsidRPr="008002EF">
        <w:rPr>
          <w:rFonts w:eastAsia="Times New Roman" w:cs="Arial"/>
          <w:color w:val="000000"/>
          <w:lang w:eastAsia="bg-BG"/>
        </w:rPr>
        <w:t>с помощта на следната формула:</w:t>
      </w:r>
    </w:p>
    <w:p w14:paraId="68039649" w14:textId="6CA96068" w:rsidR="008002EF" w:rsidRDefault="008002EF" w:rsidP="008002EF">
      <w:pPr>
        <w:rPr>
          <w:rFonts w:eastAsia="Times New Roman" w:cs="Arial"/>
          <w:color w:val="000000"/>
          <w:lang w:eastAsia="bg-BG"/>
        </w:rPr>
      </w:pPr>
    </w:p>
    <w:p w14:paraId="38E47995" w14:textId="3B2CBF07" w:rsidR="008002EF" w:rsidRPr="008002EF" w:rsidRDefault="008002EF" w:rsidP="008002EF">
      <w:pPr>
        <w:rPr>
          <w:rFonts w:eastAsiaTheme="minorEastAsia" w:cs="Arial"/>
          <w:sz w:val="20"/>
          <w:szCs w:val="20"/>
        </w:rPr>
      </w:pPr>
      <m:oMathPara>
        <m:oMath>
          <m:r>
            <m:rPr>
              <m:sty m:val="p"/>
            </m:rPr>
            <w:rPr>
              <w:rFonts w:ascii="Cambria Math" w:hAnsi="Cambria Math"/>
              <w:sz w:val="20"/>
              <w:szCs w:val="20"/>
            </w:rPr>
            <m:t>CLcr (ml/min)</m:t>
          </m:r>
          <m:r>
            <m:rPr>
              <m:sty m:val="p"/>
            </m:rPr>
            <w:rPr>
              <w:rFonts w:ascii="Cambria Math"/>
              <w:sz w:val="20"/>
              <w:szCs w:val="20"/>
            </w:rPr>
            <m:t>=</m:t>
          </m:r>
          <m:f>
            <m:fPr>
              <m:ctrlPr>
                <w:rPr>
                  <w:rFonts w:ascii="Cambria Math"/>
                  <w:sz w:val="20"/>
                  <w:szCs w:val="20"/>
                </w:rPr>
              </m:ctrlPr>
            </m:fPr>
            <m:num>
              <m:r>
                <m:rPr>
                  <m:sty m:val="p"/>
                </m:rPr>
                <w:rPr>
                  <w:rFonts w:ascii="Cambria Math" w:hAnsi="Cambria Math"/>
                  <w:sz w:val="20"/>
                  <w:szCs w:val="20"/>
                </w:rPr>
                <m:t xml:space="preserve">[140 - възрастта (години)] х теглото </m:t>
              </m:r>
              <m:r>
                <m:rPr>
                  <m:sty m:val="p"/>
                </m:rPr>
                <w:rPr>
                  <w:rFonts w:ascii="Cambria Math" w:hAnsi="Cambria Math"/>
                  <w:sz w:val="20"/>
                  <w:szCs w:val="20"/>
                  <w:lang w:val="en-US"/>
                </w:rPr>
                <m:t>(kg)</m:t>
              </m:r>
            </m:num>
            <m:den>
              <m:r>
                <m:rPr>
                  <m:sty m:val="p"/>
                </m:rPr>
                <w:rPr>
                  <w:rFonts w:ascii="Cambria Math" w:hAnsi="Cambria Math"/>
                  <w:sz w:val="20"/>
                  <w:szCs w:val="20"/>
                </w:rPr>
                <m:t xml:space="preserve">72 х серумен креатинин </m:t>
              </m:r>
              <m:r>
                <m:rPr>
                  <m:sty m:val="p"/>
                </m:rPr>
                <w:rPr>
                  <w:rFonts w:ascii="Cambria Math" w:hAnsi="Cambria Math"/>
                  <w:sz w:val="20"/>
                  <w:szCs w:val="20"/>
                  <w:lang w:val="en-US"/>
                </w:rPr>
                <m:t>(mg/dl)</m:t>
              </m:r>
            </m:den>
          </m:f>
          <m:r>
            <m:rPr>
              <m:sty m:val="p"/>
            </m:rPr>
            <w:rPr>
              <w:rFonts w:ascii="Cambria Math" w:hAnsi="Cambria Math"/>
              <w:sz w:val="20"/>
              <w:szCs w:val="20"/>
            </w:rPr>
            <m:t>( х 0,85 при жени)</m:t>
          </m:r>
        </m:oMath>
      </m:oMathPara>
    </w:p>
    <w:p w14:paraId="63A9B042" w14:textId="77777777" w:rsidR="008002EF" w:rsidRDefault="008002EF" w:rsidP="008002EF">
      <w:pPr>
        <w:rPr>
          <w:sz w:val="20"/>
          <w:szCs w:val="20"/>
          <w:lang w:val="en-US"/>
        </w:rPr>
      </w:pPr>
    </w:p>
    <w:p w14:paraId="3EA94124" w14:textId="059B2640" w:rsidR="008002EF" w:rsidRDefault="008002EF" w:rsidP="008002EF">
      <w:proofErr w:type="spellStart"/>
      <w:r>
        <w:rPr>
          <w:lang w:val="en-US"/>
        </w:rPr>
        <w:t>CLcr</w:t>
      </w:r>
      <w:proofErr w:type="spellEnd"/>
      <w:r>
        <w:rPr>
          <w:lang w:val="en-US"/>
        </w:rPr>
        <w:t xml:space="preserve"> </w:t>
      </w:r>
      <w:r>
        <w:t xml:space="preserve">се адаптира спрямо телесната повърхност </w:t>
      </w:r>
      <w:r>
        <w:rPr>
          <w:lang w:val="en-US"/>
        </w:rPr>
        <w:t xml:space="preserve">(BSA) </w:t>
      </w:r>
      <w:r>
        <w:t>както следва:</w:t>
      </w:r>
    </w:p>
    <w:p w14:paraId="4CF2D233" w14:textId="3A2D7828" w:rsidR="008002EF" w:rsidRDefault="008002EF" w:rsidP="008002EF"/>
    <w:p w14:paraId="7D676A13" w14:textId="21EDD51F" w:rsidR="008002EF" w:rsidRPr="008002EF" w:rsidRDefault="008002EF" w:rsidP="008002EF">
      <w:pPr>
        <w:rPr>
          <w:rFonts w:eastAsiaTheme="minorEastAsia" w:cs="Arial"/>
          <w:sz w:val="20"/>
          <w:szCs w:val="20"/>
        </w:rPr>
      </w:pPr>
      <m:oMathPara>
        <m:oMath>
          <m:r>
            <m:rPr>
              <m:sty m:val="p"/>
            </m:rPr>
            <w:rPr>
              <w:rFonts w:ascii="Cambria Math" w:hAnsi="Cambria Math"/>
              <w:sz w:val="20"/>
              <w:szCs w:val="20"/>
            </w:rPr>
            <m:t>CLcr (ml/min/1,73 m2)</m:t>
          </m:r>
          <m:r>
            <m:rPr>
              <m:sty m:val="p"/>
            </m:rPr>
            <w:rPr>
              <w:rFonts w:ascii="Cambria Math"/>
              <w:sz w:val="20"/>
              <w:szCs w:val="20"/>
            </w:rPr>
            <m:t>=</m:t>
          </m:r>
          <m:f>
            <m:fPr>
              <m:ctrlPr>
                <w:rPr>
                  <w:rFonts w:ascii="Cambria Math"/>
                  <w:sz w:val="20"/>
                  <w:szCs w:val="20"/>
                </w:rPr>
              </m:ctrlPr>
            </m:fPr>
            <m:num>
              <m:r>
                <m:rPr>
                  <m:sty m:val="p"/>
                </m:rPr>
                <w:rPr>
                  <w:rFonts w:ascii="Cambria Math" w:hAnsi="Cambria Math"/>
                  <w:sz w:val="20"/>
                  <w:szCs w:val="20"/>
                </w:rPr>
                <m:t>CLcr</m:t>
              </m:r>
              <m:r>
                <m:rPr>
                  <m:sty m:val="p"/>
                </m:rPr>
                <w:rPr>
                  <w:rFonts w:ascii="Cambria Math" w:hAnsi="Cambria Math"/>
                  <w:sz w:val="20"/>
                  <w:szCs w:val="20"/>
                </w:rPr>
                <m:t xml:space="preserve"> </m:t>
              </m:r>
              <m:r>
                <m:rPr>
                  <m:sty m:val="p"/>
                </m:rPr>
                <w:rPr>
                  <w:rFonts w:ascii="Cambria Math" w:hAnsi="Cambria Math"/>
                  <w:sz w:val="20"/>
                  <w:szCs w:val="20"/>
                </w:rPr>
                <m:t>(ml/min)</m:t>
              </m:r>
            </m:num>
            <m:den>
              <m:r>
                <m:rPr>
                  <m:sty m:val="p"/>
                </m:rPr>
                <w:rPr>
                  <w:rFonts w:ascii="Cambria Math" w:hAnsi="Cambria Math"/>
                  <w:sz w:val="20"/>
                  <w:szCs w:val="20"/>
                  <w:lang w:val="en-US"/>
                </w:rPr>
                <m:t xml:space="preserve">BSA </m:t>
              </m:r>
              <m:r>
                <m:rPr>
                  <m:sty m:val="p"/>
                </m:rPr>
                <w:rPr>
                  <w:rFonts w:ascii="Cambria Math" w:hAnsi="Cambria Math"/>
                  <w:sz w:val="20"/>
                  <w:szCs w:val="20"/>
                </w:rPr>
                <m:t xml:space="preserve">на пациента </m:t>
              </m:r>
              <m:r>
                <m:rPr>
                  <m:sty m:val="p"/>
                </m:rPr>
                <w:rPr>
                  <w:rFonts w:ascii="Cambria Math" w:hAnsi="Cambria Math"/>
                  <w:sz w:val="20"/>
                  <w:szCs w:val="20"/>
                  <w:lang w:val="en-US"/>
                </w:rPr>
                <m:t>(m</m:t>
              </m:r>
              <m:r>
                <m:rPr>
                  <m:sty m:val="p"/>
                </m:rPr>
                <w:rPr>
                  <w:rFonts w:ascii="Cambria Math" w:hAnsi="Cambria Math"/>
                  <w:sz w:val="20"/>
                  <w:szCs w:val="20"/>
                  <w:vertAlign w:val="superscript"/>
                  <w:lang w:val="en-US"/>
                </w:rPr>
                <m:t>2</m:t>
              </m:r>
              <m:r>
                <m:rPr>
                  <m:sty m:val="p"/>
                </m:rPr>
                <w:rPr>
                  <w:rFonts w:ascii="Cambria Math" w:hAnsi="Cambria Math"/>
                  <w:sz w:val="20"/>
                  <w:szCs w:val="20"/>
                  <w:lang w:val="en-US"/>
                </w:rPr>
                <m:t>)</m:t>
              </m:r>
            </m:den>
          </m:f>
          <m:r>
            <m:rPr>
              <m:sty m:val="p"/>
            </m:rPr>
            <w:rPr>
              <w:rFonts w:ascii="Cambria Math" w:hAnsi="Cambria Math"/>
              <w:sz w:val="20"/>
              <w:szCs w:val="20"/>
            </w:rPr>
            <m:t>х 1,73</m:t>
          </m:r>
        </m:oMath>
      </m:oMathPara>
    </w:p>
    <w:p w14:paraId="3C15CF18" w14:textId="1A71CE15" w:rsidR="008002EF" w:rsidRDefault="008002EF" w:rsidP="008002EF">
      <w:pPr>
        <w:rPr>
          <w:rFonts w:eastAsiaTheme="minorEastAsia" w:cs="Arial"/>
          <w:sz w:val="20"/>
          <w:szCs w:val="20"/>
        </w:rPr>
      </w:pPr>
    </w:p>
    <w:p w14:paraId="1AFBC12A" w14:textId="387A18FD" w:rsidR="008002EF" w:rsidRDefault="008002EF" w:rsidP="008002EF">
      <w:r>
        <w:t xml:space="preserve">Адаптиране на дозата при възрастни и юноши с тегло над 50 </w:t>
      </w:r>
      <w:r>
        <w:rPr>
          <w:lang w:val="en-US"/>
        </w:rPr>
        <w:t xml:space="preserve">kg </w:t>
      </w:r>
      <w:r>
        <w:t>с увредена бъбречна функция:</w:t>
      </w:r>
    </w:p>
    <w:p w14:paraId="3F1D7BD3" w14:textId="6924264A" w:rsidR="008002EF" w:rsidRDefault="008002EF" w:rsidP="008002EF"/>
    <w:tbl>
      <w:tblPr>
        <w:tblStyle w:val="TableGrid"/>
        <w:tblW w:w="0" w:type="auto"/>
        <w:tblLook w:val="04A0" w:firstRow="1" w:lastRow="0" w:firstColumn="1" w:lastColumn="0" w:noHBand="0" w:noVBand="1"/>
      </w:tblPr>
      <w:tblGrid>
        <w:gridCol w:w="3125"/>
        <w:gridCol w:w="3119"/>
        <w:gridCol w:w="3106"/>
      </w:tblGrid>
      <w:tr w:rsidR="008002EF" w14:paraId="31B1B15E" w14:textId="77777777" w:rsidTr="008002EF">
        <w:tc>
          <w:tcPr>
            <w:tcW w:w="3166" w:type="dxa"/>
          </w:tcPr>
          <w:p w14:paraId="4A9813CF" w14:textId="4D8FD5C0" w:rsidR="008002EF" w:rsidRPr="008002EF" w:rsidRDefault="008002EF" w:rsidP="008002EF">
            <w:pPr>
              <w:rPr>
                <w:rFonts w:cs="Arial"/>
                <w:b/>
                <w:bCs/>
              </w:rPr>
            </w:pPr>
            <w:r w:rsidRPr="008002EF">
              <w:t>Група</w:t>
            </w:r>
          </w:p>
        </w:tc>
        <w:tc>
          <w:tcPr>
            <w:tcW w:w="3167" w:type="dxa"/>
          </w:tcPr>
          <w:p w14:paraId="473CC9B6" w14:textId="220809BC" w:rsidR="008002EF" w:rsidRPr="008002EF" w:rsidRDefault="008002EF" w:rsidP="008002EF">
            <w:pPr>
              <w:rPr>
                <w:rFonts w:cs="Arial"/>
                <w:b/>
                <w:bCs/>
              </w:rPr>
            </w:pPr>
            <w:r w:rsidRPr="008002EF">
              <w:t xml:space="preserve">Креатининов клирънс </w:t>
            </w:r>
            <w:r w:rsidRPr="008002EF">
              <w:rPr>
                <w:lang w:val="en-US"/>
              </w:rPr>
              <w:t>(ml/min/l,73m</w:t>
            </w:r>
            <w:r w:rsidRPr="008002EF">
              <w:rPr>
                <w:vertAlign w:val="superscript"/>
                <w:lang w:val="en-US"/>
              </w:rPr>
              <w:t>2</w:t>
            </w:r>
            <w:r w:rsidRPr="008002EF">
              <w:rPr>
                <w:lang w:val="en-US"/>
              </w:rPr>
              <w:t>)</w:t>
            </w:r>
          </w:p>
        </w:tc>
        <w:tc>
          <w:tcPr>
            <w:tcW w:w="3167" w:type="dxa"/>
          </w:tcPr>
          <w:p w14:paraId="021318F9" w14:textId="296A22C0" w:rsidR="008002EF" w:rsidRPr="008002EF" w:rsidRDefault="008002EF" w:rsidP="008002EF">
            <w:pPr>
              <w:rPr>
                <w:rFonts w:cs="Arial"/>
                <w:b/>
                <w:bCs/>
              </w:rPr>
            </w:pPr>
            <w:r w:rsidRPr="008002EF">
              <w:t>Дозировка и честота на прилагане</w:t>
            </w:r>
          </w:p>
        </w:tc>
      </w:tr>
      <w:tr w:rsidR="008002EF" w14:paraId="2A46433A" w14:textId="77777777" w:rsidTr="008002EF">
        <w:tc>
          <w:tcPr>
            <w:tcW w:w="3166" w:type="dxa"/>
          </w:tcPr>
          <w:p w14:paraId="08EE43BD" w14:textId="67C3F517" w:rsidR="008002EF" w:rsidRPr="008002EF" w:rsidRDefault="008002EF" w:rsidP="008002EF">
            <w:pPr>
              <w:rPr>
                <w:rFonts w:cs="Arial"/>
                <w:b/>
                <w:bCs/>
              </w:rPr>
            </w:pPr>
            <w:r w:rsidRPr="008002EF">
              <w:t>Нормална</w:t>
            </w:r>
          </w:p>
        </w:tc>
        <w:tc>
          <w:tcPr>
            <w:tcW w:w="3167" w:type="dxa"/>
          </w:tcPr>
          <w:p w14:paraId="37A952F2" w14:textId="639E6F49" w:rsidR="008002EF" w:rsidRPr="008002EF" w:rsidRDefault="008002EF" w:rsidP="008002EF">
            <w:pPr>
              <w:rPr>
                <w:rFonts w:cs="Arial"/>
                <w:b/>
                <w:bCs/>
              </w:rPr>
            </w:pPr>
            <w:r w:rsidRPr="008002EF">
              <w:t>&gt;80</w:t>
            </w:r>
          </w:p>
        </w:tc>
        <w:tc>
          <w:tcPr>
            <w:tcW w:w="3167" w:type="dxa"/>
          </w:tcPr>
          <w:p w14:paraId="75DFEAF9" w14:textId="50202DFE" w:rsidR="008002EF" w:rsidRPr="008002EF" w:rsidRDefault="008002EF" w:rsidP="008002EF">
            <w:pPr>
              <w:rPr>
                <w:rFonts w:cs="Arial"/>
                <w:b/>
                <w:bCs/>
              </w:rPr>
            </w:pPr>
            <w:r w:rsidRPr="008002EF">
              <w:t xml:space="preserve">500 до 1 500 </w:t>
            </w:r>
            <w:r w:rsidRPr="008002EF">
              <w:rPr>
                <w:lang w:val="en-US"/>
              </w:rPr>
              <w:t xml:space="preserve">mg </w:t>
            </w:r>
            <w:r w:rsidRPr="008002EF">
              <w:t>два пъти дневно</w:t>
            </w:r>
          </w:p>
        </w:tc>
      </w:tr>
      <w:tr w:rsidR="008002EF" w14:paraId="1E7ECBDD" w14:textId="77777777" w:rsidTr="008002EF">
        <w:tc>
          <w:tcPr>
            <w:tcW w:w="3166" w:type="dxa"/>
          </w:tcPr>
          <w:p w14:paraId="648DC9C8" w14:textId="7D914761" w:rsidR="008002EF" w:rsidRPr="008002EF" w:rsidRDefault="008002EF" w:rsidP="008002EF">
            <w:pPr>
              <w:rPr>
                <w:rFonts w:cs="Arial"/>
                <w:b/>
                <w:bCs/>
              </w:rPr>
            </w:pPr>
            <w:r w:rsidRPr="008002EF">
              <w:t>Леко увреждане</w:t>
            </w:r>
          </w:p>
        </w:tc>
        <w:tc>
          <w:tcPr>
            <w:tcW w:w="3167" w:type="dxa"/>
          </w:tcPr>
          <w:p w14:paraId="2E82E2F6" w14:textId="496C59D6" w:rsidR="008002EF" w:rsidRPr="008002EF" w:rsidRDefault="008002EF" w:rsidP="008002EF">
            <w:pPr>
              <w:rPr>
                <w:rFonts w:cs="Arial"/>
                <w:b/>
                <w:bCs/>
              </w:rPr>
            </w:pPr>
            <w:r w:rsidRPr="008002EF">
              <w:t>50-79</w:t>
            </w:r>
          </w:p>
        </w:tc>
        <w:tc>
          <w:tcPr>
            <w:tcW w:w="3167" w:type="dxa"/>
          </w:tcPr>
          <w:p w14:paraId="6E49C105" w14:textId="5CBF3B7C" w:rsidR="008002EF" w:rsidRPr="008002EF" w:rsidRDefault="008002EF" w:rsidP="008002EF">
            <w:pPr>
              <w:rPr>
                <w:rFonts w:cs="Arial"/>
                <w:b/>
                <w:bCs/>
              </w:rPr>
            </w:pPr>
            <w:r w:rsidRPr="008002EF">
              <w:t xml:space="preserve">500 до 1 000 </w:t>
            </w:r>
            <w:r w:rsidRPr="008002EF">
              <w:rPr>
                <w:lang w:val="en-US"/>
              </w:rPr>
              <w:t xml:space="preserve">mg </w:t>
            </w:r>
            <w:r w:rsidRPr="008002EF">
              <w:t>два пъти дневно</w:t>
            </w:r>
          </w:p>
        </w:tc>
      </w:tr>
      <w:tr w:rsidR="008002EF" w14:paraId="44ABC726" w14:textId="77777777" w:rsidTr="008002EF">
        <w:tc>
          <w:tcPr>
            <w:tcW w:w="3166" w:type="dxa"/>
          </w:tcPr>
          <w:p w14:paraId="015F9842" w14:textId="2F59EE99" w:rsidR="008002EF" w:rsidRPr="008002EF" w:rsidRDefault="008002EF" w:rsidP="008002EF">
            <w:pPr>
              <w:rPr>
                <w:rFonts w:cs="Arial"/>
                <w:b/>
                <w:bCs/>
              </w:rPr>
            </w:pPr>
            <w:r w:rsidRPr="008002EF">
              <w:lastRenderedPageBreak/>
              <w:t>Умерено увреждане</w:t>
            </w:r>
          </w:p>
        </w:tc>
        <w:tc>
          <w:tcPr>
            <w:tcW w:w="3167" w:type="dxa"/>
          </w:tcPr>
          <w:p w14:paraId="4B60CD94" w14:textId="2823224C" w:rsidR="008002EF" w:rsidRPr="008002EF" w:rsidRDefault="008002EF" w:rsidP="008002EF">
            <w:pPr>
              <w:rPr>
                <w:rFonts w:cs="Arial"/>
                <w:b/>
                <w:bCs/>
              </w:rPr>
            </w:pPr>
            <w:r w:rsidRPr="008002EF">
              <w:t>30-49</w:t>
            </w:r>
          </w:p>
        </w:tc>
        <w:tc>
          <w:tcPr>
            <w:tcW w:w="3167" w:type="dxa"/>
          </w:tcPr>
          <w:p w14:paraId="5BBB8A0C" w14:textId="66E798B8" w:rsidR="008002EF" w:rsidRPr="008002EF" w:rsidRDefault="008002EF" w:rsidP="008002EF">
            <w:pPr>
              <w:rPr>
                <w:rFonts w:cs="Arial"/>
                <w:b/>
                <w:bCs/>
              </w:rPr>
            </w:pPr>
            <w:r w:rsidRPr="008002EF">
              <w:t xml:space="preserve">250 до 750 </w:t>
            </w:r>
            <w:r w:rsidRPr="008002EF">
              <w:rPr>
                <w:lang w:val="en-US"/>
              </w:rPr>
              <w:t xml:space="preserve">mg </w:t>
            </w:r>
            <w:r w:rsidRPr="008002EF">
              <w:t>два пъти дневно</w:t>
            </w:r>
          </w:p>
        </w:tc>
      </w:tr>
      <w:tr w:rsidR="008002EF" w14:paraId="59337E2B" w14:textId="77777777" w:rsidTr="008002EF">
        <w:tc>
          <w:tcPr>
            <w:tcW w:w="3166" w:type="dxa"/>
          </w:tcPr>
          <w:p w14:paraId="0D03E003" w14:textId="5DDAC640" w:rsidR="008002EF" w:rsidRPr="008002EF" w:rsidRDefault="008002EF" w:rsidP="008002EF">
            <w:pPr>
              <w:rPr>
                <w:rFonts w:cs="Arial"/>
                <w:b/>
                <w:bCs/>
              </w:rPr>
            </w:pPr>
            <w:r w:rsidRPr="008002EF">
              <w:t>Тежко увреждане</w:t>
            </w:r>
          </w:p>
        </w:tc>
        <w:tc>
          <w:tcPr>
            <w:tcW w:w="3167" w:type="dxa"/>
          </w:tcPr>
          <w:p w14:paraId="68B59972" w14:textId="2CF4654F" w:rsidR="008002EF" w:rsidRPr="008002EF" w:rsidRDefault="008002EF" w:rsidP="008002EF">
            <w:pPr>
              <w:rPr>
                <w:rFonts w:cs="Arial"/>
                <w:b/>
                <w:bCs/>
              </w:rPr>
            </w:pPr>
            <w:r w:rsidRPr="008002EF">
              <w:t>&lt;30</w:t>
            </w:r>
          </w:p>
        </w:tc>
        <w:tc>
          <w:tcPr>
            <w:tcW w:w="3167" w:type="dxa"/>
          </w:tcPr>
          <w:p w14:paraId="19CC99C3" w14:textId="36DF5C4B" w:rsidR="008002EF" w:rsidRPr="008002EF" w:rsidRDefault="008002EF" w:rsidP="008002EF">
            <w:pPr>
              <w:rPr>
                <w:rFonts w:cs="Arial"/>
                <w:b/>
                <w:bCs/>
              </w:rPr>
            </w:pPr>
            <w:r w:rsidRPr="008002EF">
              <w:t xml:space="preserve">250 до 500 </w:t>
            </w:r>
            <w:r w:rsidRPr="008002EF">
              <w:rPr>
                <w:lang w:val="en-US"/>
              </w:rPr>
              <w:t xml:space="preserve">mg </w:t>
            </w:r>
            <w:r w:rsidRPr="008002EF">
              <w:t>два пъти дневно</w:t>
            </w:r>
          </w:p>
        </w:tc>
      </w:tr>
      <w:tr w:rsidR="008002EF" w14:paraId="00A52355" w14:textId="77777777" w:rsidTr="008002EF">
        <w:tc>
          <w:tcPr>
            <w:tcW w:w="3166" w:type="dxa"/>
          </w:tcPr>
          <w:p w14:paraId="277C1788" w14:textId="31E485DC" w:rsidR="008002EF" w:rsidRPr="008002EF" w:rsidRDefault="008002EF" w:rsidP="008002EF">
            <w:pPr>
              <w:rPr>
                <w:rFonts w:cs="Arial"/>
                <w:b/>
                <w:bCs/>
              </w:rPr>
            </w:pPr>
            <w:r w:rsidRPr="008002EF">
              <w:t>Пациенти в краен стадий на бъбречна недостатъчност, подложени на диализа</w:t>
            </w:r>
            <w:r w:rsidRPr="008002EF">
              <w:rPr>
                <w:vertAlign w:val="superscript"/>
              </w:rPr>
              <w:t>(1)</w:t>
            </w:r>
          </w:p>
        </w:tc>
        <w:tc>
          <w:tcPr>
            <w:tcW w:w="3167" w:type="dxa"/>
          </w:tcPr>
          <w:p w14:paraId="5E9F8310" w14:textId="26F00FE1" w:rsidR="008002EF" w:rsidRPr="008002EF" w:rsidRDefault="008002EF" w:rsidP="008002EF">
            <w:pPr>
              <w:rPr>
                <w:rFonts w:cs="Arial"/>
                <w:b/>
                <w:bCs/>
              </w:rPr>
            </w:pPr>
            <w:r w:rsidRPr="008002EF">
              <w:t>-</w:t>
            </w:r>
          </w:p>
        </w:tc>
        <w:tc>
          <w:tcPr>
            <w:tcW w:w="3167" w:type="dxa"/>
          </w:tcPr>
          <w:p w14:paraId="2873E1AB" w14:textId="629E051A" w:rsidR="008002EF" w:rsidRPr="008002EF" w:rsidRDefault="008002EF" w:rsidP="008002EF">
            <w:pPr>
              <w:rPr>
                <w:rFonts w:cs="Arial"/>
                <w:b/>
                <w:bCs/>
              </w:rPr>
            </w:pPr>
            <w:r w:rsidRPr="008002EF">
              <w:t xml:space="preserve">500 до 1000 </w:t>
            </w:r>
            <w:r w:rsidRPr="008002EF">
              <w:rPr>
                <w:lang w:val="en-US"/>
              </w:rPr>
              <w:t xml:space="preserve">mg </w:t>
            </w:r>
            <w:r w:rsidRPr="008002EF">
              <w:t>веднъж дневно</w:t>
            </w:r>
            <w:r w:rsidRPr="008002EF">
              <w:rPr>
                <w:vertAlign w:val="superscript"/>
              </w:rPr>
              <w:t>(2)</w:t>
            </w:r>
          </w:p>
        </w:tc>
      </w:tr>
    </w:tbl>
    <w:p w14:paraId="6D41C906" w14:textId="77777777" w:rsidR="008002EF" w:rsidRPr="008002EF" w:rsidRDefault="008002EF" w:rsidP="008002EF">
      <w:pPr>
        <w:spacing w:line="240" w:lineRule="auto"/>
        <w:rPr>
          <w:rFonts w:eastAsia="Times New Roman" w:cs="Arial"/>
          <w:color w:val="000000"/>
          <w:lang w:eastAsia="bg-BG"/>
        </w:rPr>
      </w:pPr>
      <w:r w:rsidRPr="008002EF">
        <w:rPr>
          <w:rFonts w:eastAsia="Times New Roman" w:cs="Arial"/>
          <w:color w:val="000000"/>
          <w:vertAlign w:val="superscript"/>
          <w:lang w:eastAsia="bg-BG"/>
        </w:rPr>
        <w:t>(1)</w:t>
      </w:r>
      <w:r w:rsidRPr="008002EF">
        <w:rPr>
          <w:rFonts w:eastAsia="Times New Roman" w:cs="Arial"/>
          <w:color w:val="000000"/>
          <w:lang w:eastAsia="bg-BG"/>
        </w:rPr>
        <w:t xml:space="preserve">През първия ден на лечението с леветирацетам се препоръчва натоварваща доза от 750 </w:t>
      </w:r>
      <w:r w:rsidRPr="008002EF">
        <w:rPr>
          <w:rFonts w:eastAsia="Times New Roman" w:cs="Arial"/>
          <w:color w:val="000000"/>
          <w:lang w:val="en-US"/>
        </w:rPr>
        <w:t>mg</w:t>
      </w:r>
      <w:r w:rsidRPr="008002EF">
        <w:rPr>
          <w:rFonts w:eastAsia="Times New Roman" w:cs="Arial"/>
          <w:color w:val="000000"/>
          <w:lang w:eastAsia="bg-BG"/>
        </w:rPr>
        <w:t xml:space="preserve"> </w:t>
      </w:r>
    </w:p>
    <w:p w14:paraId="3002369A" w14:textId="73004AC8"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vertAlign w:val="superscript"/>
          <w:lang w:eastAsia="bg-BG"/>
        </w:rPr>
        <w:t>(2)</w:t>
      </w:r>
      <w:r w:rsidRPr="008002EF">
        <w:rPr>
          <w:rFonts w:eastAsia="Times New Roman" w:cs="Arial"/>
          <w:color w:val="000000"/>
          <w:lang w:eastAsia="bg-BG"/>
        </w:rPr>
        <w:t xml:space="preserve"> След диализа се препоръчва допълнителна доза от 250 до 500 </w:t>
      </w:r>
      <w:r w:rsidRPr="008002EF">
        <w:rPr>
          <w:rFonts w:eastAsia="Times New Roman" w:cs="Arial"/>
          <w:color w:val="000000"/>
          <w:lang w:val="en-US"/>
        </w:rPr>
        <w:t>mg.</w:t>
      </w:r>
    </w:p>
    <w:p w14:paraId="570B992D" w14:textId="77777777" w:rsidR="008002EF" w:rsidRPr="008002EF" w:rsidRDefault="008002EF" w:rsidP="008002EF">
      <w:pPr>
        <w:rPr>
          <w:rFonts w:eastAsia="Times New Roman" w:cs="Arial"/>
          <w:color w:val="000000"/>
          <w:lang w:eastAsia="bg-BG"/>
        </w:rPr>
      </w:pPr>
    </w:p>
    <w:p w14:paraId="2ADDE084" w14:textId="0FC9DA74" w:rsidR="008002EF" w:rsidRPr="008002EF" w:rsidRDefault="008002EF" w:rsidP="008002EF">
      <w:pPr>
        <w:rPr>
          <w:rFonts w:eastAsia="Times New Roman" w:cs="Arial"/>
          <w:color w:val="000000"/>
          <w:lang w:eastAsia="bg-BG"/>
        </w:rPr>
      </w:pPr>
      <w:r w:rsidRPr="008002EF">
        <w:rPr>
          <w:rFonts w:eastAsia="Times New Roman" w:cs="Arial"/>
          <w:color w:val="000000"/>
          <w:lang w:eastAsia="bg-BG"/>
        </w:rPr>
        <w:t>При деца с бъбречни увреждания, дозата леветирацетам трябва да се адаптира</w:t>
      </w:r>
      <w:r w:rsidRPr="008002EF">
        <w:rPr>
          <w:rFonts w:eastAsia="Times New Roman" w:cs="Arial"/>
          <w:color w:val="000000"/>
          <w:lang w:val="en-US"/>
        </w:rPr>
        <w:t xml:space="preserve"> </w:t>
      </w:r>
      <w:r w:rsidRPr="008002EF">
        <w:rPr>
          <w:rFonts w:eastAsia="Times New Roman" w:cs="Arial"/>
          <w:color w:val="000000"/>
          <w:lang w:eastAsia="bg-BG"/>
        </w:rPr>
        <w:t>въз основа на бъбречната функция, тъй като клирънсът на леветирацетам е свързан с бъбречната функция. Тази препоръката се основава на проучване при възрастни с бъбречно увреждане.</w:t>
      </w:r>
    </w:p>
    <w:p w14:paraId="4DCE3D93" w14:textId="7C1D1B66" w:rsidR="008002EF" w:rsidRPr="008002EF" w:rsidRDefault="008002EF" w:rsidP="008002EF">
      <w:pPr>
        <w:rPr>
          <w:rFonts w:eastAsia="Times New Roman" w:cs="Arial"/>
          <w:color w:val="000000"/>
          <w:lang w:eastAsia="bg-BG"/>
        </w:rPr>
      </w:pPr>
    </w:p>
    <w:p w14:paraId="03B10095" w14:textId="438EFC47" w:rsidR="008002EF" w:rsidRPr="008002EF" w:rsidRDefault="008002EF" w:rsidP="008002EF">
      <w:pPr>
        <w:rPr>
          <w:rFonts w:cs="Arial"/>
          <w:lang w:val="en-US"/>
        </w:rPr>
      </w:pPr>
      <w:proofErr w:type="spellStart"/>
      <w:r w:rsidRPr="008002EF">
        <w:rPr>
          <w:rFonts w:cs="Arial"/>
          <w:lang w:val="en-US"/>
        </w:rPr>
        <w:t>CL</w:t>
      </w:r>
      <w:r w:rsidRPr="008002EF">
        <w:rPr>
          <w:rFonts w:cs="Arial"/>
          <w:vertAlign w:val="subscript"/>
          <w:lang w:val="en-US"/>
        </w:rPr>
        <w:t>cr</w:t>
      </w:r>
      <w:proofErr w:type="spellEnd"/>
      <w:r w:rsidRPr="008002EF">
        <w:rPr>
          <w:rFonts w:cs="Arial"/>
          <w:lang w:val="en-US"/>
        </w:rPr>
        <w:t xml:space="preserve"> </w:t>
      </w:r>
      <w:r w:rsidRPr="008002EF">
        <w:rPr>
          <w:rFonts w:cs="Arial"/>
        </w:rPr>
        <w:t xml:space="preserve">в </w:t>
      </w:r>
      <w:r w:rsidRPr="008002EF">
        <w:rPr>
          <w:rFonts w:cs="Arial"/>
          <w:lang w:val="en-US"/>
        </w:rPr>
        <w:t>ml/min/1,73 m</w:t>
      </w:r>
      <w:r w:rsidRPr="008002EF">
        <w:rPr>
          <w:rFonts w:cs="Arial"/>
          <w:vertAlign w:val="superscript"/>
          <w:lang w:val="en-US"/>
        </w:rPr>
        <w:t>2</w:t>
      </w:r>
      <w:r w:rsidRPr="008002EF">
        <w:rPr>
          <w:rFonts w:cs="Arial"/>
          <w:lang w:val="en-US"/>
        </w:rPr>
        <w:t xml:space="preserve"> </w:t>
      </w:r>
      <w:r w:rsidRPr="008002EF">
        <w:rPr>
          <w:rFonts w:cs="Arial"/>
        </w:rPr>
        <w:t xml:space="preserve">може да се определи от изчисляването на серумния креатинин </w:t>
      </w:r>
      <w:r w:rsidRPr="008002EF">
        <w:rPr>
          <w:rFonts w:cs="Arial"/>
          <w:lang w:val="en-US"/>
        </w:rPr>
        <w:t xml:space="preserve">(mg/dl) </w:t>
      </w:r>
      <w:r w:rsidRPr="008002EF">
        <w:rPr>
          <w:rFonts w:cs="Arial"/>
        </w:rPr>
        <w:t xml:space="preserve">за по-малки юноши, деца и кърмачета с помощта на следната формула (формула на </w:t>
      </w:r>
      <w:r w:rsidRPr="008002EF">
        <w:rPr>
          <w:rFonts w:cs="Arial"/>
          <w:lang w:val="en-US"/>
        </w:rPr>
        <w:t>Schwartz):</w:t>
      </w:r>
    </w:p>
    <w:p w14:paraId="5F70F88C" w14:textId="233643A6" w:rsidR="008002EF" w:rsidRDefault="008002EF" w:rsidP="008002EF">
      <w:pPr>
        <w:rPr>
          <w:rFonts w:cs="Arial"/>
          <w:b/>
          <w:bCs/>
          <w:sz w:val="24"/>
          <w:szCs w:val="24"/>
        </w:rPr>
      </w:pPr>
    </w:p>
    <w:p w14:paraId="73CE00CE" w14:textId="1596099E" w:rsidR="008002EF" w:rsidRPr="008002EF" w:rsidRDefault="008002EF" w:rsidP="008002EF">
      <w:pPr>
        <w:rPr>
          <w:rFonts w:eastAsiaTheme="minorEastAsia" w:cs="Arial"/>
          <w:sz w:val="20"/>
          <w:szCs w:val="20"/>
        </w:rPr>
      </w:pPr>
      <m:oMathPara>
        <m:oMath>
          <m:r>
            <m:rPr>
              <m:sty m:val="p"/>
            </m:rPr>
            <w:rPr>
              <w:rFonts w:ascii="Cambria Math" w:hAnsi="Cambria Math"/>
              <w:sz w:val="20"/>
              <w:szCs w:val="20"/>
            </w:rPr>
            <m:t>CLcr (ml/min/1,73 m</m:t>
          </m:r>
          <m:r>
            <m:rPr>
              <m:sty m:val="p"/>
            </m:rPr>
            <w:rPr>
              <w:rFonts w:ascii="Cambria Math" w:hAnsi="Cambria Math"/>
              <w:sz w:val="20"/>
              <w:szCs w:val="20"/>
              <w:vertAlign w:val="superscript"/>
            </w:rPr>
            <m:t>2</m:t>
          </m:r>
          <m:r>
            <m:rPr>
              <m:sty m:val="p"/>
            </m:rPr>
            <w:rPr>
              <w:rFonts w:ascii="Cambria Math" w:hAnsi="Cambria Math"/>
              <w:sz w:val="20"/>
              <w:szCs w:val="20"/>
            </w:rPr>
            <m:t>)</m:t>
          </m:r>
          <m:r>
            <m:rPr>
              <m:sty m:val="p"/>
            </m:rPr>
            <w:rPr>
              <w:rFonts w:ascii="Cambria Math"/>
              <w:sz w:val="20"/>
              <w:szCs w:val="20"/>
            </w:rPr>
            <m:t>=</m:t>
          </m:r>
          <m:f>
            <m:fPr>
              <m:ctrlPr>
                <w:rPr>
                  <w:rFonts w:ascii="Cambria Math"/>
                  <w:sz w:val="20"/>
                  <w:szCs w:val="20"/>
                </w:rPr>
              </m:ctrlPr>
            </m:fPr>
            <m:num>
              <m:r>
                <m:rPr>
                  <m:sty m:val="p"/>
                </m:rPr>
                <w:rPr>
                  <w:rFonts w:ascii="Cambria Math" w:hAnsi="Cambria Math"/>
                  <w:sz w:val="20"/>
                  <w:szCs w:val="20"/>
                </w:rPr>
                <m:t xml:space="preserve">Височина </m:t>
              </m:r>
              <m:r>
                <m:rPr>
                  <m:sty m:val="p"/>
                </m:rPr>
                <w:rPr>
                  <w:rFonts w:ascii="Cambria Math" w:hAnsi="Cambria Math"/>
                  <w:sz w:val="20"/>
                  <w:szCs w:val="20"/>
                  <w:lang w:val="en-US"/>
                </w:rPr>
                <m:t xml:space="preserve">(cm) </m:t>
              </m:r>
              <m:r>
                <m:rPr>
                  <m:sty m:val="p"/>
                </m:rPr>
                <w:rPr>
                  <w:rFonts w:ascii="Cambria Math" w:hAnsi="Cambria Math"/>
                  <w:sz w:val="20"/>
                  <w:szCs w:val="20"/>
                </w:rPr>
                <m:t xml:space="preserve">х </m:t>
              </m:r>
              <m:r>
                <m:rPr>
                  <m:sty m:val="p"/>
                </m:rPr>
                <w:rPr>
                  <w:rFonts w:ascii="Cambria Math" w:hAnsi="Cambria Math"/>
                  <w:sz w:val="20"/>
                  <w:szCs w:val="20"/>
                  <w:lang w:val="en-US"/>
                </w:rPr>
                <m:t>ks</m:t>
              </m:r>
            </m:num>
            <m:den>
              <m:r>
                <m:rPr>
                  <m:sty m:val="p"/>
                </m:rPr>
                <w:rPr>
                  <w:rFonts w:ascii="Cambria Math" w:hAnsi="Cambria Math"/>
                  <w:sz w:val="20"/>
                  <w:szCs w:val="20"/>
                </w:rPr>
                <m:t xml:space="preserve">Серумен креатинин </m:t>
              </m:r>
              <m:r>
                <m:rPr>
                  <m:sty m:val="p"/>
                </m:rPr>
                <w:rPr>
                  <w:rFonts w:ascii="Cambria Math" w:hAnsi="Cambria Math"/>
                  <w:sz w:val="20"/>
                  <w:szCs w:val="20"/>
                  <w:lang w:val="en-US"/>
                </w:rPr>
                <m:t>(mg/dl)</m:t>
              </m:r>
            </m:den>
          </m:f>
        </m:oMath>
      </m:oMathPara>
    </w:p>
    <w:p w14:paraId="73CF523C" w14:textId="77777777" w:rsidR="008002EF" w:rsidRDefault="008002EF" w:rsidP="008002EF">
      <w:pPr>
        <w:spacing w:line="240" w:lineRule="auto"/>
        <w:rPr>
          <w:rFonts w:eastAsia="Times New Roman" w:cs="Arial"/>
          <w:color w:val="000000"/>
          <w:lang w:val="en-US"/>
        </w:rPr>
      </w:pPr>
    </w:p>
    <w:p w14:paraId="368D2A93" w14:textId="6218FDD9" w:rsidR="008002EF" w:rsidRPr="008002EF" w:rsidRDefault="008002EF" w:rsidP="008002EF">
      <w:pPr>
        <w:spacing w:line="240" w:lineRule="auto"/>
        <w:rPr>
          <w:rFonts w:eastAsia="Times New Roman" w:cs="Arial"/>
          <w:color w:val="000000"/>
          <w:lang w:eastAsia="bg-BG"/>
        </w:rPr>
      </w:pPr>
      <w:proofErr w:type="spellStart"/>
      <w:r w:rsidRPr="008002EF">
        <w:rPr>
          <w:rFonts w:eastAsia="Times New Roman" w:cs="Arial"/>
          <w:color w:val="000000"/>
          <w:lang w:val="en-US"/>
        </w:rPr>
        <w:t>ks</w:t>
      </w:r>
      <w:proofErr w:type="spellEnd"/>
      <w:r w:rsidRPr="008002EF">
        <w:rPr>
          <w:rFonts w:eastAsia="Times New Roman" w:cs="Arial"/>
          <w:color w:val="000000"/>
          <w:lang w:val="en-US"/>
        </w:rPr>
        <w:t xml:space="preserve">- 0,45 </w:t>
      </w:r>
      <w:r w:rsidRPr="008002EF">
        <w:rPr>
          <w:rFonts w:eastAsia="Times New Roman" w:cs="Arial"/>
          <w:color w:val="000000"/>
          <w:lang w:eastAsia="bg-BG"/>
        </w:rPr>
        <w:t xml:space="preserve">при кърмачета до 1-годишна възраст; </w:t>
      </w:r>
    </w:p>
    <w:p w14:paraId="57BDE9B5" w14:textId="6E61BC99" w:rsidR="008002EF" w:rsidRPr="008002EF" w:rsidRDefault="008002EF" w:rsidP="008002EF">
      <w:pPr>
        <w:spacing w:line="240" w:lineRule="auto"/>
        <w:rPr>
          <w:rFonts w:eastAsia="Times New Roman" w:cs="Arial"/>
          <w:sz w:val="28"/>
          <w:szCs w:val="28"/>
          <w:lang w:eastAsia="bg-BG"/>
        </w:rPr>
      </w:pPr>
      <w:proofErr w:type="spellStart"/>
      <w:r w:rsidRPr="008002EF">
        <w:rPr>
          <w:rFonts w:eastAsia="Times New Roman" w:cs="Arial"/>
          <w:color w:val="000000"/>
          <w:lang w:val="en-US"/>
        </w:rPr>
        <w:t>ks</w:t>
      </w:r>
      <w:proofErr w:type="spellEnd"/>
      <w:r w:rsidRPr="008002EF">
        <w:rPr>
          <w:rFonts w:eastAsia="Times New Roman" w:cs="Arial"/>
          <w:color w:val="000000"/>
          <w:lang w:val="en-US"/>
        </w:rPr>
        <w:t xml:space="preserve">= </w:t>
      </w:r>
      <w:r w:rsidRPr="008002EF">
        <w:rPr>
          <w:rFonts w:eastAsia="Times New Roman" w:cs="Arial"/>
          <w:color w:val="000000"/>
          <w:lang w:eastAsia="bg-BG"/>
        </w:rPr>
        <w:t xml:space="preserve">0,55 при деца под 13 години и девойки; </w:t>
      </w:r>
      <w:proofErr w:type="spellStart"/>
      <w:r w:rsidRPr="008002EF">
        <w:rPr>
          <w:rFonts w:eastAsia="Times New Roman" w:cs="Arial"/>
          <w:color w:val="000000"/>
          <w:lang w:val="en-US"/>
        </w:rPr>
        <w:t>ks</w:t>
      </w:r>
      <w:proofErr w:type="spellEnd"/>
      <w:r w:rsidRPr="008002EF">
        <w:rPr>
          <w:rFonts w:eastAsia="Times New Roman" w:cs="Arial"/>
          <w:color w:val="000000"/>
          <w:lang w:val="en-US"/>
        </w:rPr>
        <w:t xml:space="preserve">=0,7 </w:t>
      </w:r>
      <w:r w:rsidRPr="008002EF">
        <w:rPr>
          <w:rFonts w:eastAsia="Times New Roman" w:cs="Arial"/>
          <w:color w:val="000000"/>
          <w:lang w:eastAsia="bg-BG"/>
        </w:rPr>
        <w:t>при юноши от мъжки пол.</w:t>
      </w:r>
    </w:p>
    <w:p w14:paraId="24FBE3E0" w14:textId="77777777" w:rsidR="008002EF" w:rsidRPr="008002EF" w:rsidRDefault="008002EF" w:rsidP="008002EF">
      <w:pPr>
        <w:spacing w:line="240" w:lineRule="auto"/>
        <w:rPr>
          <w:rFonts w:eastAsia="Times New Roman" w:cs="Arial"/>
          <w:color w:val="000000"/>
          <w:lang w:eastAsia="bg-BG"/>
        </w:rPr>
      </w:pPr>
    </w:p>
    <w:p w14:paraId="2BBB9ED2" w14:textId="7BCA8FCF"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 xml:space="preserve">Адаптиране на дозата при кърмачета, деца и юноши с тегло под 50 </w:t>
      </w:r>
      <w:r w:rsidRPr="008002EF">
        <w:rPr>
          <w:rFonts w:eastAsia="Times New Roman" w:cs="Arial"/>
          <w:color w:val="000000"/>
          <w:lang w:val="en-US"/>
        </w:rPr>
        <w:t xml:space="preserve">kg </w:t>
      </w:r>
      <w:r w:rsidRPr="008002EF">
        <w:rPr>
          <w:rFonts w:eastAsia="Times New Roman" w:cs="Arial"/>
          <w:color w:val="000000"/>
          <w:lang w:eastAsia="bg-BG"/>
        </w:rPr>
        <w:t>с увреждане на бъбречната функция:</w:t>
      </w:r>
    </w:p>
    <w:p w14:paraId="37FBAF64" w14:textId="7392B0EB" w:rsidR="008002EF" w:rsidRDefault="008002EF" w:rsidP="008002EF">
      <w:pPr>
        <w:rPr>
          <w:rFonts w:cs="Arial"/>
          <w:b/>
          <w:bCs/>
          <w:sz w:val="24"/>
          <w:szCs w:val="24"/>
        </w:rPr>
      </w:pPr>
    </w:p>
    <w:tbl>
      <w:tblPr>
        <w:tblStyle w:val="TableGrid"/>
        <w:tblW w:w="0" w:type="auto"/>
        <w:tblLook w:val="04A0" w:firstRow="1" w:lastRow="0" w:firstColumn="1" w:lastColumn="0" w:noHBand="0" w:noVBand="1"/>
      </w:tblPr>
      <w:tblGrid>
        <w:gridCol w:w="2353"/>
        <w:gridCol w:w="2343"/>
        <w:gridCol w:w="2327"/>
        <w:gridCol w:w="2327"/>
      </w:tblGrid>
      <w:tr w:rsidR="008002EF" w14:paraId="557D3F8D" w14:textId="77777777" w:rsidTr="007E3DD6">
        <w:tc>
          <w:tcPr>
            <w:tcW w:w="2375" w:type="dxa"/>
            <w:vMerge w:val="restart"/>
          </w:tcPr>
          <w:p w14:paraId="60B186F5" w14:textId="4291E6EC" w:rsidR="008002EF" w:rsidRPr="008002EF" w:rsidRDefault="008002EF" w:rsidP="008002EF">
            <w:pPr>
              <w:rPr>
                <w:rFonts w:cs="Arial"/>
                <w:b/>
                <w:bCs/>
              </w:rPr>
            </w:pPr>
            <w:r w:rsidRPr="008002EF">
              <w:rPr>
                <w:rFonts w:cs="Arial"/>
              </w:rPr>
              <w:t xml:space="preserve">Група </w:t>
            </w:r>
            <w:r w:rsidRPr="008002EF">
              <w:rPr>
                <w:rFonts w:cs="Arial"/>
              </w:rPr>
              <w:tab/>
            </w:r>
          </w:p>
        </w:tc>
        <w:tc>
          <w:tcPr>
            <w:tcW w:w="2375" w:type="dxa"/>
            <w:vMerge w:val="restart"/>
          </w:tcPr>
          <w:p w14:paraId="15934271" w14:textId="7254C2F3" w:rsidR="008002EF" w:rsidRPr="008002EF" w:rsidRDefault="008002EF" w:rsidP="008002EF">
            <w:pPr>
              <w:rPr>
                <w:rFonts w:cs="Arial"/>
                <w:b/>
                <w:bCs/>
              </w:rPr>
            </w:pPr>
            <w:r w:rsidRPr="008002EF">
              <w:rPr>
                <w:rFonts w:cs="Arial"/>
              </w:rPr>
              <w:t xml:space="preserve">Креатининов клирънс </w:t>
            </w:r>
            <w:r w:rsidRPr="008002EF">
              <w:rPr>
                <w:rFonts w:cs="Arial"/>
                <w:lang w:val="en-US"/>
              </w:rPr>
              <w:t>(ml/min/l,73m</w:t>
            </w:r>
            <w:r w:rsidRPr="008002EF">
              <w:rPr>
                <w:rFonts w:cs="Arial"/>
                <w:vertAlign w:val="superscript"/>
                <w:lang w:val="en-US"/>
              </w:rPr>
              <w:t>2</w:t>
            </w:r>
            <w:r w:rsidRPr="008002EF">
              <w:rPr>
                <w:rFonts w:cs="Arial"/>
                <w:lang w:val="en-US"/>
              </w:rPr>
              <w:t>)</w:t>
            </w:r>
          </w:p>
        </w:tc>
        <w:tc>
          <w:tcPr>
            <w:tcW w:w="4750" w:type="dxa"/>
            <w:gridSpan w:val="2"/>
          </w:tcPr>
          <w:p w14:paraId="44323738" w14:textId="5A378CD9" w:rsidR="008002EF" w:rsidRPr="008002EF" w:rsidRDefault="008002EF" w:rsidP="008002EF">
            <w:pPr>
              <w:rPr>
                <w:rFonts w:cs="Arial"/>
                <w:b/>
                <w:bCs/>
              </w:rPr>
            </w:pPr>
            <w:r w:rsidRPr="008002EF">
              <w:rPr>
                <w:rFonts w:eastAsia="Times New Roman" w:cs="Arial"/>
                <w:color w:val="000000"/>
                <w:lang w:eastAsia="bg-BG"/>
              </w:rPr>
              <w:t>Дозировка и честота на прилагане</w:t>
            </w:r>
            <w:r w:rsidRPr="008002EF">
              <w:rPr>
                <w:rFonts w:eastAsia="Times New Roman" w:cs="Arial"/>
                <w:color w:val="000000"/>
                <w:vertAlign w:val="superscript"/>
                <w:lang w:eastAsia="bg-BG"/>
              </w:rPr>
              <w:t>(</w:t>
            </w:r>
            <w:r w:rsidRPr="008002EF">
              <w:rPr>
                <w:rFonts w:eastAsia="Times New Roman" w:cs="Arial"/>
                <w:color w:val="000000"/>
                <w:vertAlign w:val="superscript"/>
                <w:lang w:eastAsia="bg-BG"/>
              </w:rPr>
              <w:t>1</w:t>
            </w:r>
            <w:r w:rsidRPr="008002EF">
              <w:rPr>
                <w:rFonts w:eastAsia="Times New Roman" w:cs="Arial"/>
                <w:color w:val="000000"/>
                <w:vertAlign w:val="superscript"/>
                <w:lang w:eastAsia="bg-BG"/>
              </w:rPr>
              <w:t>)</w:t>
            </w:r>
          </w:p>
        </w:tc>
      </w:tr>
      <w:tr w:rsidR="008002EF" w14:paraId="4F2EA090" w14:textId="77777777" w:rsidTr="008002EF">
        <w:tc>
          <w:tcPr>
            <w:tcW w:w="2375" w:type="dxa"/>
            <w:vMerge/>
          </w:tcPr>
          <w:p w14:paraId="40FBE6C1" w14:textId="77777777" w:rsidR="008002EF" w:rsidRPr="008002EF" w:rsidRDefault="008002EF" w:rsidP="008002EF">
            <w:pPr>
              <w:rPr>
                <w:rFonts w:cs="Arial"/>
                <w:b/>
                <w:bCs/>
              </w:rPr>
            </w:pPr>
          </w:p>
        </w:tc>
        <w:tc>
          <w:tcPr>
            <w:tcW w:w="2375" w:type="dxa"/>
            <w:vMerge/>
          </w:tcPr>
          <w:p w14:paraId="1AD04E7C" w14:textId="77777777" w:rsidR="008002EF" w:rsidRPr="008002EF" w:rsidRDefault="008002EF" w:rsidP="008002EF">
            <w:pPr>
              <w:rPr>
                <w:rFonts w:cs="Arial"/>
                <w:b/>
                <w:bCs/>
              </w:rPr>
            </w:pPr>
          </w:p>
        </w:tc>
        <w:tc>
          <w:tcPr>
            <w:tcW w:w="2375" w:type="dxa"/>
          </w:tcPr>
          <w:p w14:paraId="445FB2C1" w14:textId="5C28B4DA" w:rsidR="008002EF" w:rsidRPr="008002EF" w:rsidRDefault="008002EF" w:rsidP="008002EF">
            <w:pPr>
              <w:rPr>
                <w:rFonts w:cs="Arial"/>
                <w:b/>
                <w:bCs/>
              </w:rPr>
            </w:pPr>
            <w:r w:rsidRPr="008002EF">
              <w:rPr>
                <w:rFonts w:cs="Arial"/>
              </w:rPr>
              <w:t>Кърмачета от 1 до 6 месеца</w:t>
            </w:r>
          </w:p>
        </w:tc>
        <w:tc>
          <w:tcPr>
            <w:tcW w:w="2375" w:type="dxa"/>
          </w:tcPr>
          <w:p w14:paraId="2659696F" w14:textId="20AEF1A7" w:rsidR="008002EF" w:rsidRPr="008002EF" w:rsidRDefault="008002EF" w:rsidP="008002EF">
            <w:pPr>
              <w:rPr>
                <w:rFonts w:cs="Arial"/>
                <w:b/>
                <w:bCs/>
              </w:rPr>
            </w:pPr>
            <w:r w:rsidRPr="008002EF">
              <w:rPr>
                <w:rFonts w:cs="Arial"/>
              </w:rPr>
              <w:t xml:space="preserve">Кърмачета от 6 до 23 месеца, деца и юноши с тегло под </w:t>
            </w:r>
            <w:r w:rsidRPr="008002EF">
              <w:rPr>
                <w:rFonts w:cs="Arial"/>
                <w:lang w:val="en-US"/>
              </w:rPr>
              <w:t>50 kg</w:t>
            </w:r>
          </w:p>
        </w:tc>
      </w:tr>
      <w:tr w:rsidR="008002EF" w14:paraId="5B3BE9A3" w14:textId="77777777" w:rsidTr="008002EF">
        <w:tc>
          <w:tcPr>
            <w:tcW w:w="2375" w:type="dxa"/>
          </w:tcPr>
          <w:p w14:paraId="4AD29AF7" w14:textId="43293184" w:rsidR="008002EF" w:rsidRPr="008002EF" w:rsidRDefault="008002EF" w:rsidP="008002EF">
            <w:pPr>
              <w:rPr>
                <w:rFonts w:cs="Arial"/>
                <w:b/>
                <w:bCs/>
              </w:rPr>
            </w:pPr>
            <w:r w:rsidRPr="008002EF">
              <w:t>Нормална</w:t>
            </w:r>
          </w:p>
        </w:tc>
        <w:tc>
          <w:tcPr>
            <w:tcW w:w="2375" w:type="dxa"/>
          </w:tcPr>
          <w:p w14:paraId="0C8FC9BB" w14:textId="1E5D5C36" w:rsidR="008002EF" w:rsidRPr="008002EF" w:rsidRDefault="008002EF" w:rsidP="008002EF">
            <w:pPr>
              <w:rPr>
                <w:rFonts w:cs="Arial"/>
                <w:b/>
                <w:bCs/>
              </w:rPr>
            </w:pPr>
            <w:r w:rsidRPr="008002EF">
              <w:t>&gt;80</w:t>
            </w:r>
          </w:p>
        </w:tc>
        <w:tc>
          <w:tcPr>
            <w:tcW w:w="2375" w:type="dxa"/>
          </w:tcPr>
          <w:p w14:paraId="033AAFCD" w14:textId="7EA7537D" w:rsidR="008002EF" w:rsidRPr="008002EF" w:rsidRDefault="008002EF" w:rsidP="008002EF">
            <w:pPr>
              <w:rPr>
                <w:rFonts w:cs="Arial"/>
                <w:b/>
                <w:bCs/>
              </w:rPr>
            </w:pPr>
            <w:r w:rsidRPr="008002EF">
              <w:t xml:space="preserve">7 до 21 </w:t>
            </w:r>
            <w:r w:rsidRPr="008002EF">
              <w:rPr>
                <w:lang w:val="en-US"/>
              </w:rPr>
              <w:t xml:space="preserve">mg/kg </w:t>
            </w:r>
            <w:r w:rsidRPr="008002EF">
              <w:t xml:space="preserve">(0,07 до 0,21 </w:t>
            </w:r>
            <w:r w:rsidRPr="008002EF">
              <w:rPr>
                <w:lang w:val="en-US"/>
              </w:rPr>
              <w:t xml:space="preserve">ml/kg) </w:t>
            </w:r>
            <w:r w:rsidRPr="008002EF">
              <w:t>два пъти дневно</w:t>
            </w:r>
          </w:p>
        </w:tc>
        <w:tc>
          <w:tcPr>
            <w:tcW w:w="2375" w:type="dxa"/>
          </w:tcPr>
          <w:p w14:paraId="7D770D08" w14:textId="743AD460" w:rsidR="008002EF" w:rsidRPr="008002EF" w:rsidRDefault="008002EF" w:rsidP="008002EF">
            <w:pPr>
              <w:rPr>
                <w:rFonts w:cs="Arial"/>
                <w:b/>
                <w:bCs/>
              </w:rPr>
            </w:pPr>
            <w:r w:rsidRPr="008002EF">
              <w:t xml:space="preserve">10 до 30 </w:t>
            </w:r>
            <w:r w:rsidRPr="008002EF">
              <w:rPr>
                <w:lang w:val="en-US"/>
              </w:rPr>
              <w:t xml:space="preserve">mg/kg </w:t>
            </w:r>
            <w:r w:rsidRPr="008002EF">
              <w:t xml:space="preserve">(0,10 до 0,30 </w:t>
            </w:r>
            <w:r w:rsidRPr="008002EF">
              <w:rPr>
                <w:lang w:val="en-US"/>
              </w:rPr>
              <w:t xml:space="preserve">ml/kg) </w:t>
            </w:r>
            <w:r w:rsidRPr="008002EF">
              <w:t>два пъти дневно</w:t>
            </w:r>
          </w:p>
        </w:tc>
      </w:tr>
      <w:tr w:rsidR="008002EF" w14:paraId="109698AB" w14:textId="77777777" w:rsidTr="008002EF">
        <w:tc>
          <w:tcPr>
            <w:tcW w:w="2375" w:type="dxa"/>
          </w:tcPr>
          <w:p w14:paraId="247EFB31" w14:textId="0FF24B5B" w:rsidR="008002EF" w:rsidRPr="008002EF" w:rsidRDefault="008002EF" w:rsidP="008002EF">
            <w:pPr>
              <w:rPr>
                <w:rFonts w:cs="Arial"/>
                <w:b/>
                <w:bCs/>
              </w:rPr>
            </w:pPr>
            <w:r w:rsidRPr="008002EF">
              <w:t>Леко увреждане</w:t>
            </w:r>
          </w:p>
        </w:tc>
        <w:tc>
          <w:tcPr>
            <w:tcW w:w="2375" w:type="dxa"/>
          </w:tcPr>
          <w:p w14:paraId="36774CA3" w14:textId="5D41ABDD" w:rsidR="008002EF" w:rsidRPr="008002EF" w:rsidRDefault="008002EF" w:rsidP="008002EF">
            <w:pPr>
              <w:rPr>
                <w:rFonts w:cs="Arial"/>
                <w:b/>
                <w:bCs/>
              </w:rPr>
            </w:pPr>
            <w:r w:rsidRPr="008002EF">
              <w:t>50-79</w:t>
            </w:r>
          </w:p>
        </w:tc>
        <w:tc>
          <w:tcPr>
            <w:tcW w:w="2375" w:type="dxa"/>
          </w:tcPr>
          <w:p w14:paraId="19C3C7C8" w14:textId="3B6B13E7" w:rsidR="008002EF" w:rsidRPr="008002EF" w:rsidRDefault="008002EF" w:rsidP="008002EF">
            <w:pPr>
              <w:rPr>
                <w:rFonts w:cs="Arial"/>
                <w:b/>
                <w:bCs/>
              </w:rPr>
            </w:pPr>
            <w:r w:rsidRPr="008002EF">
              <w:t xml:space="preserve">7 до 14 </w:t>
            </w:r>
            <w:r w:rsidRPr="008002EF">
              <w:rPr>
                <w:lang w:val="en-US"/>
              </w:rPr>
              <w:t xml:space="preserve">mg/kg </w:t>
            </w:r>
            <w:r w:rsidRPr="008002EF">
              <w:t xml:space="preserve">(0,07 до 0,14 </w:t>
            </w:r>
            <w:r w:rsidRPr="008002EF">
              <w:rPr>
                <w:lang w:val="en-US"/>
              </w:rPr>
              <w:t xml:space="preserve">ml/kg) </w:t>
            </w:r>
            <w:r w:rsidRPr="008002EF">
              <w:t>два пъти дневно</w:t>
            </w:r>
          </w:p>
        </w:tc>
        <w:tc>
          <w:tcPr>
            <w:tcW w:w="2375" w:type="dxa"/>
          </w:tcPr>
          <w:p w14:paraId="06D410D6" w14:textId="15E75DDC" w:rsidR="008002EF" w:rsidRPr="008002EF" w:rsidRDefault="008002EF" w:rsidP="008002EF">
            <w:pPr>
              <w:rPr>
                <w:rFonts w:cs="Arial"/>
                <w:b/>
                <w:bCs/>
              </w:rPr>
            </w:pPr>
            <w:r w:rsidRPr="008002EF">
              <w:t xml:space="preserve">10 до 20 </w:t>
            </w:r>
            <w:r w:rsidRPr="008002EF">
              <w:rPr>
                <w:lang w:val="en-US"/>
              </w:rPr>
              <w:t xml:space="preserve">mg/kg </w:t>
            </w:r>
            <w:r w:rsidRPr="008002EF">
              <w:t xml:space="preserve">(0,10 до 0,20 </w:t>
            </w:r>
            <w:r w:rsidRPr="008002EF">
              <w:rPr>
                <w:lang w:val="en-US"/>
              </w:rPr>
              <w:t xml:space="preserve">ml/kg) </w:t>
            </w:r>
            <w:r w:rsidRPr="008002EF">
              <w:t>два пъти дневно</w:t>
            </w:r>
          </w:p>
        </w:tc>
      </w:tr>
      <w:tr w:rsidR="008002EF" w14:paraId="630FA970" w14:textId="77777777" w:rsidTr="008002EF">
        <w:tc>
          <w:tcPr>
            <w:tcW w:w="2375" w:type="dxa"/>
          </w:tcPr>
          <w:p w14:paraId="7C6B9110" w14:textId="68088BB3" w:rsidR="008002EF" w:rsidRPr="008002EF" w:rsidRDefault="008002EF" w:rsidP="008002EF">
            <w:pPr>
              <w:rPr>
                <w:rFonts w:cs="Arial"/>
                <w:b/>
                <w:bCs/>
              </w:rPr>
            </w:pPr>
            <w:r w:rsidRPr="008002EF">
              <w:t>Умерено увреждане</w:t>
            </w:r>
          </w:p>
        </w:tc>
        <w:tc>
          <w:tcPr>
            <w:tcW w:w="2375" w:type="dxa"/>
          </w:tcPr>
          <w:p w14:paraId="45A914D0" w14:textId="2AE43682" w:rsidR="008002EF" w:rsidRPr="008002EF" w:rsidRDefault="008002EF" w:rsidP="008002EF">
            <w:pPr>
              <w:rPr>
                <w:rFonts w:cs="Arial"/>
                <w:b/>
                <w:bCs/>
              </w:rPr>
            </w:pPr>
            <w:r w:rsidRPr="008002EF">
              <w:t>30-49</w:t>
            </w:r>
          </w:p>
        </w:tc>
        <w:tc>
          <w:tcPr>
            <w:tcW w:w="2375" w:type="dxa"/>
          </w:tcPr>
          <w:p w14:paraId="02904F1A" w14:textId="100BE2F6" w:rsidR="008002EF" w:rsidRPr="008002EF" w:rsidRDefault="008002EF" w:rsidP="008002EF">
            <w:pPr>
              <w:rPr>
                <w:rFonts w:cs="Arial"/>
                <w:b/>
                <w:bCs/>
              </w:rPr>
            </w:pPr>
            <w:r w:rsidRPr="008002EF">
              <w:t xml:space="preserve">3,5 до 10,5 </w:t>
            </w:r>
            <w:r w:rsidRPr="008002EF">
              <w:rPr>
                <w:lang w:val="en-US"/>
              </w:rPr>
              <w:t xml:space="preserve">mg/kg </w:t>
            </w:r>
            <w:r w:rsidRPr="008002EF">
              <w:t xml:space="preserve">(0,035 до 0,105 </w:t>
            </w:r>
            <w:r w:rsidRPr="008002EF">
              <w:rPr>
                <w:lang w:val="en-US"/>
              </w:rPr>
              <w:t xml:space="preserve">ml/kg) </w:t>
            </w:r>
            <w:r w:rsidRPr="008002EF">
              <w:t>два пъти дневно</w:t>
            </w:r>
          </w:p>
        </w:tc>
        <w:tc>
          <w:tcPr>
            <w:tcW w:w="2375" w:type="dxa"/>
          </w:tcPr>
          <w:p w14:paraId="75373C42" w14:textId="330EA0A7" w:rsidR="008002EF" w:rsidRPr="008002EF" w:rsidRDefault="008002EF" w:rsidP="008002EF">
            <w:pPr>
              <w:rPr>
                <w:rFonts w:cs="Arial"/>
                <w:b/>
                <w:bCs/>
              </w:rPr>
            </w:pPr>
            <w:r w:rsidRPr="008002EF">
              <w:t xml:space="preserve">5 до 15 </w:t>
            </w:r>
            <w:r w:rsidRPr="008002EF">
              <w:rPr>
                <w:lang w:val="en-US"/>
              </w:rPr>
              <w:t xml:space="preserve">mg/kg </w:t>
            </w:r>
            <w:r w:rsidRPr="008002EF">
              <w:t xml:space="preserve">(0,05 до 0,15 </w:t>
            </w:r>
            <w:r w:rsidRPr="008002EF">
              <w:rPr>
                <w:lang w:val="en-US"/>
              </w:rPr>
              <w:t xml:space="preserve">ml/kg) </w:t>
            </w:r>
            <w:r w:rsidRPr="008002EF">
              <w:t>два пъти дневно</w:t>
            </w:r>
          </w:p>
        </w:tc>
      </w:tr>
      <w:tr w:rsidR="008002EF" w14:paraId="61036C39" w14:textId="77777777" w:rsidTr="008002EF">
        <w:tc>
          <w:tcPr>
            <w:tcW w:w="2375" w:type="dxa"/>
          </w:tcPr>
          <w:p w14:paraId="6AE40906" w14:textId="533603BA" w:rsidR="008002EF" w:rsidRPr="008002EF" w:rsidRDefault="008002EF" w:rsidP="008002EF">
            <w:pPr>
              <w:rPr>
                <w:rFonts w:cs="Arial"/>
                <w:b/>
                <w:bCs/>
              </w:rPr>
            </w:pPr>
            <w:r w:rsidRPr="008002EF">
              <w:t>Тежка увреждане</w:t>
            </w:r>
          </w:p>
        </w:tc>
        <w:tc>
          <w:tcPr>
            <w:tcW w:w="2375" w:type="dxa"/>
          </w:tcPr>
          <w:p w14:paraId="493B1521" w14:textId="5A39E756" w:rsidR="008002EF" w:rsidRPr="008002EF" w:rsidRDefault="008002EF" w:rsidP="008002EF">
            <w:pPr>
              <w:rPr>
                <w:rFonts w:cs="Arial"/>
                <w:b/>
                <w:bCs/>
              </w:rPr>
            </w:pPr>
            <w:r w:rsidRPr="008002EF">
              <w:t>&lt;30</w:t>
            </w:r>
          </w:p>
        </w:tc>
        <w:tc>
          <w:tcPr>
            <w:tcW w:w="2375" w:type="dxa"/>
          </w:tcPr>
          <w:p w14:paraId="7AA666D4" w14:textId="7A6CB63D" w:rsidR="008002EF" w:rsidRPr="008002EF" w:rsidRDefault="008002EF" w:rsidP="008002EF">
            <w:pPr>
              <w:rPr>
                <w:rFonts w:cs="Arial"/>
                <w:b/>
                <w:bCs/>
              </w:rPr>
            </w:pPr>
            <w:r w:rsidRPr="008002EF">
              <w:t xml:space="preserve">3,5 до 7 </w:t>
            </w:r>
            <w:r w:rsidRPr="008002EF">
              <w:rPr>
                <w:lang w:val="en-US"/>
              </w:rPr>
              <w:t xml:space="preserve">mg/kg </w:t>
            </w:r>
            <w:r w:rsidRPr="008002EF">
              <w:t xml:space="preserve">(0,035 до 0,07 </w:t>
            </w:r>
            <w:r w:rsidRPr="008002EF">
              <w:rPr>
                <w:lang w:val="en-US"/>
              </w:rPr>
              <w:t xml:space="preserve">ml/kg) </w:t>
            </w:r>
            <w:r w:rsidRPr="008002EF">
              <w:t>два пъти дневно</w:t>
            </w:r>
          </w:p>
        </w:tc>
        <w:tc>
          <w:tcPr>
            <w:tcW w:w="2375" w:type="dxa"/>
          </w:tcPr>
          <w:p w14:paraId="379846DC" w14:textId="77777777" w:rsidR="008002EF" w:rsidRPr="008002EF" w:rsidRDefault="008002EF" w:rsidP="008002EF">
            <w:r w:rsidRPr="008002EF">
              <w:t xml:space="preserve">5 до 10 </w:t>
            </w:r>
            <w:r w:rsidRPr="008002EF">
              <w:rPr>
                <w:lang w:val="en-US"/>
              </w:rPr>
              <w:t xml:space="preserve">mg/kg </w:t>
            </w:r>
            <w:r w:rsidRPr="008002EF">
              <w:t>(0,05 до</w:t>
            </w:r>
          </w:p>
          <w:p w14:paraId="5CC3DD08" w14:textId="67E333C5" w:rsidR="008002EF" w:rsidRPr="008002EF" w:rsidRDefault="008002EF" w:rsidP="008002EF">
            <w:pPr>
              <w:rPr>
                <w:rFonts w:cs="Arial"/>
                <w:b/>
                <w:bCs/>
              </w:rPr>
            </w:pPr>
            <w:r w:rsidRPr="008002EF">
              <w:t xml:space="preserve">0,10 </w:t>
            </w:r>
            <w:r w:rsidRPr="008002EF">
              <w:rPr>
                <w:lang w:val="en-US"/>
              </w:rPr>
              <w:t xml:space="preserve">ml/kg) </w:t>
            </w:r>
            <w:r w:rsidRPr="008002EF">
              <w:t>два пъти дневно</w:t>
            </w:r>
          </w:p>
        </w:tc>
      </w:tr>
      <w:tr w:rsidR="008002EF" w14:paraId="3F1302C3" w14:textId="77777777" w:rsidTr="008002EF">
        <w:tc>
          <w:tcPr>
            <w:tcW w:w="2375" w:type="dxa"/>
          </w:tcPr>
          <w:p w14:paraId="5B5BAB42" w14:textId="12460235" w:rsidR="008002EF" w:rsidRPr="008002EF" w:rsidRDefault="008002EF" w:rsidP="008002EF">
            <w:pPr>
              <w:rPr>
                <w:rFonts w:cs="Arial"/>
                <w:b/>
                <w:bCs/>
              </w:rPr>
            </w:pPr>
            <w:r w:rsidRPr="008002EF">
              <w:lastRenderedPageBreak/>
              <w:t>Пациенти в краен стадий на бъбречна недостатъчност, подложени на диализа</w:t>
            </w:r>
          </w:p>
        </w:tc>
        <w:tc>
          <w:tcPr>
            <w:tcW w:w="2375" w:type="dxa"/>
          </w:tcPr>
          <w:p w14:paraId="66C5FA09" w14:textId="77777777" w:rsidR="008002EF" w:rsidRPr="008002EF" w:rsidRDefault="008002EF" w:rsidP="008002EF">
            <w:pPr>
              <w:rPr>
                <w:rFonts w:cs="Arial"/>
                <w:b/>
                <w:bCs/>
              </w:rPr>
            </w:pPr>
          </w:p>
        </w:tc>
        <w:tc>
          <w:tcPr>
            <w:tcW w:w="2375" w:type="dxa"/>
          </w:tcPr>
          <w:p w14:paraId="54161D29" w14:textId="22CF657A" w:rsidR="008002EF" w:rsidRPr="008002EF" w:rsidRDefault="008002EF" w:rsidP="008002EF">
            <w:pPr>
              <w:rPr>
                <w:rFonts w:cs="Arial"/>
                <w:b/>
                <w:bCs/>
              </w:rPr>
            </w:pPr>
            <w:r w:rsidRPr="008002EF">
              <w:t xml:space="preserve">7 до 14 </w:t>
            </w:r>
            <w:r w:rsidRPr="008002EF">
              <w:rPr>
                <w:lang w:val="en-US"/>
              </w:rPr>
              <w:t xml:space="preserve">mg/kg </w:t>
            </w:r>
            <w:r w:rsidRPr="008002EF">
              <w:t xml:space="preserve">(0,07 до 0,14 </w:t>
            </w:r>
            <w:r w:rsidRPr="008002EF">
              <w:rPr>
                <w:lang w:val="en-US"/>
              </w:rPr>
              <w:t xml:space="preserve">ml/kg) </w:t>
            </w:r>
            <w:r w:rsidRPr="008002EF">
              <w:t>веднъж дневно</w:t>
            </w:r>
          </w:p>
        </w:tc>
        <w:tc>
          <w:tcPr>
            <w:tcW w:w="2375" w:type="dxa"/>
          </w:tcPr>
          <w:p w14:paraId="6F698B54" w14:textId="0974B1F8" w:rsidR="008002EF" w:rsidRPr="008002EF" w:rsidRDefault="008002EF" w:rsidP="008002EF">
            <w:pPr>
              <w:rPr>
                <w:rFonts w:cs="Arial"/>
                <w:b/>
                <w:bCs/>
              </w:rPr>
            </w:pPr>
            <w:r w:rsidRPr="008002EF">
              <w:t xml:space="preserve">10 до </w:t>
            </w:r>
            <w:r w:rsidRPr="008002EF">
              <w:rPr>
                <w:lang w:val="en-US"/>
              </w:rPr>
              <w:t xml:space="preserve">20mg/kg </w:t>
            </w:r>
            <w:r w:rsidRPr="008002EF">
              <w:t xml:space="preserve">(0,10 до 0,20 </w:t>
            </w:r>
            <w:r w:rsidRPr="008002EF">
              <w:rPr>
                <w:lang w:val="en-US"/>
              </w:rPr>
              <w:t xml:space="preserve">ml/kg) </w:t>
            </w:r>
            <w:r w:rsidRPr="008002EF">
              <w:t>веднъж дневно</w:t>
            </w:r>
            <w:r w:rsidRPr="008002EF">
              <w:rPr>
                <w:vertAlign w:val="superscript"/>
              </w:rPr>
              <w:t>(З)(5)</w:t>
            </w:r>
          </w:p>
        </w:tc>
      </w:tr>
    </w:tbl>
    <w:p w14:paraId="7483FF9B" w14:textId="5CA40F68" w:rsidR="008002EF" w:rsidRPr="008002EF" w:rsidRDefault="008002EF" w:rsidP="008002EF">
      <w:pPr>
        <w:spacing w:line="240" w:lineRule="auto"/>
        <w:rPr>
          <w:rFonts w:eastAsia="Times New Roman" w:cs="Arial"/>
          <w:color w:val="000000"/>
          <w:lang w:eastAsia="bg-BG"/>
        </w:rPr>
      </w:pPr>
      <w:r w:rsidRPr="008002EF">
        <w:rPr>
          <w:rFonts w:eastAsia="Times New Roman" w:cs="Arial"/>
          <w:color w:val="000000"/>
          <w:vertAlign w:val="superscript"/>
          <w:lang w:eastAsia="bg-BG"/>
        </w:rPr>
        <w:t>(1)</w:t>
      </w:r>
      <w:r w:rsidRPr="008002EF">
        <w:rPr>
          <w:rFonts w:eastAsia="Times New Roman" w:cs="Arial"/>
          <w:color w:val="000000"/>
          <w:lang w:eastAsia="bg-BG"/>
        </w:rPr>
        <w:t xml:space="preserve">Репитенд перорален разтвор трябва да се използва при дози под 250 </w:t>
      </w:r>
      <w:r w:rsidRPr="008002EF">
        <w:rPr>
          <w:rFonts w:eastAsia="Times New Roman" w:cs="Arial"/>
          <w:color w:val="000000"/>
          <w:lang w:val="en-US"/>
        </w:rPr>
        <w:t xml:space="preserve">mg, </w:t>
      </w:r>
      <w:r w:rsidRPr="008002EF">
        <w:rPr>
          <w:rFonts w:eastAsia="Times New Roman" w:cs="Arial"/>
          <w:color w:val="000000"/>
          <w:lang w:eastAsia="bg-BG"/>
        </w:rPr>
        <w:t xml:space="preserve">при дози, които не са кратни на 250 </w:t>
      </w:r>
      <w:r w:rsidRPr="008002EF">
        <w:rPr>
          <w:rFonts w:eastAsia="Times New Roman" w:cs="Arial"/>
          <w:color w:val="000000"/>
          <w:lang w:val="en-US"/>
        </w:rPr>
        <w:t xml:space="preserve">mg, </w:t>
      </w:r>
      <w:r w:rsidRPr="008002EF">
        <w:rPr>
          <w:rFonts w:eastAsia="Times New Roman" w:cs="Arial"/>
          <w:color w:val="000000"/>
          <w:lang w:eastAsia="bg-BG"/>
        </w:rPr>
        <w:t>когато препоръчваната доза не може да се постигне с приемането на няколко таблетки, както и при пациенти, които не могат да преглъщат таблетки.</w:t>
      </w:r>
    </w:p>
    <w:p w14:paraId="06F1C7DC" w14:textId="304158D6" w:rsidR="008002EF" w:rsidRPr="008002EF" w:rsidRDefault="008002EF" w:rsidP="008002EF">
      <w:pPr>
        <w:spacing w:line="240" w:lineRule="auto"/>
        <w:rPr>
          <w:rFonts w:eastAsia="Times New Roman" w:cs="Arial"/>
          <w:color w:val="000000"/>
          <w:lang w:eastAsia="bg-BG"/>
        </w:rPr>
      </w:pPr>
      <w:r w:rsidRPr="008002EF">
        <w:rPr>
          <w:rFonts w:eastAsia="Times New Roman" w:cs="Arial"/>
          <w:color w:val="000000"/>
          <w:vertAlign w:val="superscript"/>
          <w:lang w:eastAsia="bg-BG"/>
        </w:rPr>
        <w:t>(2)</w:t>
      </w:r>
      <w:r w:rsidRPr="008002EF">
        <w:rPr>
          <w:rFonts w:eastAsia="Times New Roman" w:cs="Arial"/>
          <w:color w:val="000000"/>
          <w:lang w:eastAsia="bg-BG"/>
        </w:rPr>
        <w:t xml:space="preserve">Препоръчва се натоварваща доза от 10,5 </w:t>
      </w:r>
      <w:r w:rsidRPr="008002EF">
        <w:rPr>
          <w:rFonts w:eastAsia="Times New Roman" w:cs="Arial"/>
          <w:color w:val="000000"/>
          <w:lang w:val="en-US"/>
        </w:rPr>
        <w:t xml:space="preserve">mg/kg </w:t>
      </w:r>
      <w:r w:rsidRPr="008002EF">
        <w:rPr>
          <w:rFonts w:eastAsia="Times New Roman" w:cs="Arial"/>
          <w:color w:val="000000"/>
          <w:lang w:eastAsia="bg-BG"/>
        </w:rPr>
        <w:t xml:space="preserve">(0,105 </w:t>
      </w:r>
      <w:r w:rsidRPr="008002EF">
        <w:rPr>
          <w:rFonts w:eastAsia="Times New Roman" w:cs="Arial"/>
          <w:color w:val="000000"/>
          <w:lang w:val="en-US"/>
        </w:rPr>
        <w:t xml:space="preserve">ml/kg) </w:t>
      </w:r>
      <w:r w:rsidRPr="008002EF">
        <w:rPr>
          <w:rFonts w:eastAsia="Times New Roman" w:cs="Arial"/>
          <w:color w:val="000000"/>
          <w:lang w:eastAsia="bg-BG"/>
        </w:rPr>
        <w:t>през първия ден от лечението с леветирацетам.</w:t>
      </w:r>
    </w:p>
    <w:p w14:paraId="048D01CA" w14:textId="1E05737C" w:rsidR="008002EF" w:rsidRPr="008002EF" w:rsidRDefault="008002EF" w:rsidP="008002EF">
      <w:pPr>
        <w:spacing w:line="240" w:lineRule="auto"/>
        <w:rPr>
          <w:rFonts w:eastAsia="Times New Roman" w:cs="Arial"/>
          <w:color w:val="000000"/>
          <w:lang w:eastAsia="bg-BG"/>
        </w:rPr>
      </w:pPr>
      <w:r w:rsidRPr="008002EF">
        <w:rPr>
          <w:rFonts w:eastAsia="Times New Roman" w:cs="Arial"/>
          <w:color w:val="000000"/>
          <w:vertAlign w:val="superscript"/>
          <w:lang w:eastAsia="bg-BG"/>
        </w:rPr>
        <w:t>(3)</w:t>
      </w:r>
      <w:r w:rsidRPr="008002EF">
        <w:rPr>
          <w:rFonts w:eastAsia="Times New Roman" w:cs="Arial"/>
          <w:color w:val="000000"/>
          <w:lang w:eastAsia="bg-BG"/>
        </w:rPr>
        <w:t xml:space="preserve">Препоръчва се натоварваща доза от 15 </w:t>
      </w:r>
      <w:r w:rsidRPr="008002EF">
        <w:rPr>
          <w:rFonts w:eastAsia="Times New Roman" w:cs="Arial"/>
          <w:color w:val="000000"/>
          <w:lang w:val="en-US"/>
        </w:rPr>
        <w:t xml:space="preserve">mg/kg </w:t>
      </w:r>
      <w:r w:rsidRPr="008002EF">
        <w:rPr>
          <w:rFonts w:eastAsia="Times New Roman" w:cs="Arial"/>
          <w:color w:val="000000"/>
          <w:lang w:eastAsia="bg-BG"/>
        </w:rPr>
        <w:t xml:space="preserve">(0,15 </w:t>
      </w:r>
      <w:r w:rsidRPr="008002EF">
        <w:rPr>
          <w:rFonts w:eastAsia="Times New Roman" w:cs="Arial"/>
          <w:color w:val="000000"/>
          <w:lang w:val="en-US"/>
        </w:rPr>
        <w:t xml:space="preserve">ml/kg) </w:t>
      </w:r>
      <w:r w:rsidRPr="008002EF">
        <w:rPr>
          <w:rFonts w:eastAsia="Times New Roman" w:cs="Arial"/>
          <w:color w:val="000000"/>
          <w:lang w:eastAsia="bg-BG"/>
        </w:rPr>
        <w:t>през първия ден от лечението с леветирацетам.</w:t>
      </w:r>
    </w:p>
    <w:p w14:paraId="308A6512" w14:textId="001CF0B1"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vertAlign w:val="superscript"/>
          <w:lang w:eastAsia="bg-BG"/>
        </w:rPr>
        <w:t>(</w:t>
      </w:r>
      <w:r w:rsidRPr="008002EF">
        <w:rPr>
          <w:rFonts w:eastAsia="Times New Roman" w:cs="Arial"/>
          <w:color w:val="000000"/>
          <w:vertAlign w:val="superscript"/>
          <w:lang w:eastAsia="bg-BG"/>
        </w:rPr>
        <w:t>4)</w:t>
      </w:r>
      <w:r w:rsidRPr="008002EF">
        <w:rPr>
          <w:rFonts w:eastAsia="Times New Roman" w:cs="Arial"/>
          <w:color w:val="000000"/>
          <w:lang w:eastAsia="bg-BG"/>
        </w:rPr>
        <w:t xml:space="preserve"> След дизлиза се препоръчва допълнителна доза от 3,5 до 7 </w:t>
      </w:r>
      <w:r w:rsidRPr="008002EF">
        <w:rPr>
          <w:rFonts w:eastAsia="Times New Roman" w:cs="Arial"/>
          <w:color w:val="000000"/>
          <w:lang w:val="en-US"/>
        </w:rPr>
        <w:t xml:space="preserve">mg/kg </w:t>
      </w:r>
      <w:r w:rsidRPr="008002EF">
        <w:rPr>
          <w:rFonts w:eastAsia="Times New Roman" w:cs="Arial"/>
          <w:color w:val="000000"/>
          <w:lang w:eastAsia="bg-BG"/>
        </w:rPr>
        <w:t xml:space="preserve">(0,035 до 0,07 </w:t>
      </w:r>
      <w:r w:rsidRPr="008002EF">
        <w:rPr>
          <w:rFonts w:eastAsia="Times New Roman" w:cs="Arial"/>
          <w:color w:val="000000"/>
          <w:lang w:val="en-US"/>
        </w:rPr>
        <w:t>ml/kg).</w:t>
      </w:r>
    </w:p>
    <w:p w14:paraId="48543057"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vertAlign w:val="superscript"/>
          <w:lang w:eastAsia="bg-BG"/>
        </w:rPr>
        <w:t>(5)</w:t>
      </w:r>
      <w:r w:rsidRPr="008002EF">
        <w:rPr>
          <w:rFonts w:eastAsia="Times New Roman" w:cs="Arial"/>
          <w:color w:val="000000"/>
          <w:lang w:eastAsia="bg-BG"/>
        </w:rPr>
        <w:t xml:space="preserve"> След диализа се препоръчва допълнителна доза от 5 до 10 </w:t>
      </w:r>
      <w:r w:rsidRPr="008002EF">
        <w:rPr>
          <w:rFonts w:eastAsia="Times New Roman" w:cs="Arial"/>
          <w:color w:val="000000"/>
          <w:lang w:val="en-US"/>
        </w:rPr>
        <w:t xml:space="preserve">mg/kg </w:t>
      </w:r>
      <w:r w:rsidRPr="008002EF">
        <w:rPr>
          <w:rFonts w:eastAsia="Times New Roman" w:cs="Arial"/>
          <w:color w:val="000000"/>
          <w:lang w:eastAsia="bg-BG"/>
        </w:rPr>
        <w:t xml:space="preserve">(0,05 до 0,10 </w:t>
      </w:r>
      <w:r w:rsidRPr="008002EF">
        <w:rPr>
          <w:rFonts w:eastAsia="Times New Roman" w:cs="Arial"/>
          <w:color w:val="000000"/>
          <w:lang w:val="en-US"/>
        </w:rPr>
        <w:t>ml/kg).</w:t>
      </w:r>
    </w:p>
    <w:p w14:paraId="61B23BBD" w14:textId="77777777" w:rsidR="008002EF" w:rsidRPr="008002EF" w:rsidRDefault="008002EF" w:rsidP="008002EF">
      <w:pPr>
        <w:spacing w:line="240" w:lineRule="auto"/>
        <w:rPr>
          <w:rFonts w:eastAsia="Times New Roman" w:cs="Arial"/>
          <w:i/>
          <w:iCs/>
          <w:color w:val="000000"/>
          <w:lang w:eastAsia="bg-BG"/>
        </w:rPr>
      </w:pPr>
    </w:p>
    <w:p w14:paraId="60CF5A69" w14:textId="3B3B016B" w:rsidR="008002EF" w:rsidRPr="008002EF" w:rsidRDefault="008002EF" w:rsidP="008002EF">
      <w:pPr>
        <w:spacing w:line="240" w:lineRule="auto"/>
        <w:rPr>
          <w:rFonts w:eastAsia="Times New Roman" w:cs="Arial"/>
          <w:sz w:val="28"/>
          <w:szCs w:val="28"/>
          <w:lang w:eastAsia="bg-BG"/>
        </w:rPr>
      </w:pPr>
      <w:r w:rsidRPr="008002EF">
        <w:rPr>
          <w:rFonts w:eastAsia="Times New Roman" w:cs="Arial"/>
          <w:i/>
          <w:iCs/>
          <w:color w:val="000000"/>
          <w:lang w:eastAsia="bg-BG"/>
        </w:rPr>
        <w:t>Чернодробно увреждане</w:t>
      </w:r>
    </w:p>
    <w:p w14:paraId="5D9A2194" w14:textId="714A61C2" w:rsidR="008002EF" w:rsidRPr="008002EF" w:rsidRDefault="008002EF" w:rsidP="008002EF">
      <w:pPr>
        <w:rPr>
          <w:rFonts w:eastAsia="Times New Roman" w:cs="Arial"/>
          <w:color w:val="000000"/>
          <w:lang w:eastAsia="bg-BG"/>
        </w:rPr>
      </w:pPr>
      <w:r w:rsidRPr="008002EF">
        <w:rPr>
          <w:rFonts w:eastAsia="Times New Roman" w:cs="Arial"/>
          <w:color w:val="000000"/>
          <w:lang w:eastAsia="bg-BG"/>
        </w:rPr>
        <w:t>При пациенти е лека до умерена степен на чернодробно увреждане не се налага алаптиране на</w:t>
      </w:r>
      <w:r w:rsidRPr="008002EF">
        <w:rPr>
          <w:rFonts w:eastAsia="Times New Roman" w:cs="Arial"/>
          <w:color w:val="000000"/>
          <w:u w:val="single"/>
          <w:lang w:eastAsia="bg-BG"/>
        </w:rPr>
        <w:t xml:space="preserve"> </w:t>
      </w:r>
      <w:r w:rsidRPr="008002EF">
        <w:rPr>
          <w:rFonts w:eastAsia="Times New Roman" w:cs="Arial"/>
          <w:color w:val="000000"/>
          <w:lang w:eastAsia="bg-BG"/>
        </w:rPr>
        <w:t xml:space="preserve">дозата. При пациенти с тежко чернодробно увреждане стойностите на креатининовия клирънс могат да не дадат реална представа за бъбречната недостатъчност, Ето защо, при креатининов клирънс &lt; 60 </w:t>
      </w:r>
      <w:r w:rsidRPr="008002EF">
        <w:rPr>
          <w:rFonts w:eastAsia="Times New Roman" w:cs="Arial"/>
          <w:color w:val="000000"/>
          <w:lang w:val="en-US"/>
        </w:rPr>
        <w:t>ml/min/l,73m</w:t>
      </w:r>
      <w:r w:rsidRPr="008002EF">
        <w:rPr>
          <w:rFonts w:eastAsia="Times New Roman" w:cs="Arial"/>
          <w:color w:val="000000"/>
          <w:vertAlign w:val="superscript"/>
          <w:lang w:val="en-US"/>
        </w:rPr>
        <w:t>2</w:t>
      </w:r>
      <w:r w:rsidRPr="008002EF">
        <w:rPr>
          <w:rFonts w:eastAsia="Times New Roman" w:cs="Arial"/>
          <w:color w:val="000000"/>
          <w:lang w:val="en-US"/>
        </w:rPr>
        <w:t xml:space="preserve"> </w:t>
      </w:r>
      <w:r w:rsidRPr="008002EF">
        <w:rPr>
          <w:rFonts w:eastAsia="Times New Roman" w:cs="Arial"/>
          <w:color w:val="000000"/>
          <w:lang w:eastAsia="bg-BG"/>
        </w:rPr>
        <w:t>се препоръчва 50% намаление на дневната поддържаща доза.</w:t>
      </w:r>
    </w:p>
    <w:p w14:paraId="4D9536CE" w14:textId="70645147" w:rsidR="008002EF" w:rsidRPr="008002EF" w:rsidRDefault="008002EF" w:rsidP="008002EF">
      <w:pPr>
        <w:rPr>
          <w:rFonts w:eastAsia="Times New Roman" w:cs="Arial"/>
          <w:color w:val="000000"/>
          <w:lang w:eastAsia="bg-BG"/>
        </w:rPr>
      </w:pPr>
    </w:p>
    <w:p w14:paraId="28615EBC"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u w:val="single"/>
          <w:lang w:eastAsia="bg-BG"/>
        </w:rPr>
        <w:t>Педиатрична популация</w:t>
      </w:r>
    </w:p>
    <w:p w14:paraId="28DD18F5" w14:textId="77777777" w:rsidR="008002EF" w:rsidRPr="008002EF" w:rsidRDefault="008002EF" w:rsidP="008002EF">
      <w:pPr>
        <w:spacing w:line="240" w:lineRule="auto"/>
        <w:rPr>
          <w:rFonts w:eastAsia="Times New Roman" w:cs="Arial"/>
          <w:color w:val="000000"/>
          <w:lang w:eastAsia="bg-BG"/>
        </w:rPr>
      </w:pPr>
    </w:p>
    <w:p w14:paraId="3A7C24F2" w14:textId="6638B74E"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Лекарят трябва да предпише най-подходящата лекарствена форма, количество в опаковка и количество на активното вещество в дозова единица в зависимост от възрастта, теглото и дозата.</w:t>
      </w:r>
    </w:p>
    <w:p w14:paraId="47A218CD"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 xml:space="preserve">Репитенд перорален разтвор е предпочитаната форма за употреба при и деца на възраст под 6 години. В допълнение, наличните дозови форми на таблетките не са подходящи за начална терапия при деца с телесно тегло под 25 </w:t>
      </w:r>
      <w:r w:rsidRPr="008002EF">
        <w:rPr>
          <w:rFonts w:eastAsia="Times New Roman" w:cs="Arial"/>
          <w:color w:val="000000"/>
          <w:lang w:val="en-US"/>
        </w:rPr>
        <w:t xml:space="preserve">kg, </w:t>
      </w:r>
      <w:r w:rsidRPr="008002EF">
        <w:rPr>
          <w:rFonts w:eastAsia="Times New Roman" w:cs="Arial"/>
          <w:color w:val="000000"/>
          <w:lang w:eastAsia="bg-BG"/>
        </w:rPr>
        <w:t xml:space="preserve">при пациенти, които не могат да преглъщат таблетки или при приложение на дози под 250 </w:t>
      </w:r>
      <w:r w:rsidRPr="008002EF">
        <w:rPr>
          <w:rFonts w:eastAsia="Times New Roman" w:cs="Arial"/>
          <w:color w:val="000000"/>
          <w:lang w:val="en-US"/>
        </w:rPr>
        <w:t xml:space="preserve">mg. </w:t>
      </w:r>
      <w:r w:rsidRPr="008002EF">
        <w:rPr>
          <w:rFonts w:eastAsia="Times New Roman" w:cs="Arial"/>
          <w:color w:val="000000"/>
          <w:lang w:eastAsia="bg-BG"/>
        </w:rPr>
        <w:t>При всички горепосочени случаи трябва да се използва Репитенд перорален разтвор.</w:t>
      </w:r>
    </w:p>
    <w:p w14:paraId="0E600958" w14:textId="77777777" w:rsidR="008002EF" w:rsidRPr="008002EF" w:rsidRDefault="008002EF" w:rsidP="008002EF">
      <w:pPr>
        <w:spacing w:line="240" w:lineRule="auto"/>
        <w:rPr>
          <w:rFonts w:eastAsia="Times New Roman" w:cs="Arial"/>
          <w:i/>
          <w:iCs/>
          <w:color w:val="000000"/>
          <w:lang w:eastAsia="bg-BG"/>
        </w:rPr>
      </w:pPr>
    </w:p>
    <w:p w14:paraId="309E55DA" w14:textId="45133EE1" w:rsidR="008002EF" w:rsidRPr="008002EF" w:rsidRDefault="008002EF" w:rsidP="008002EF">
      <w:pPr>
        <w:spacing w:line="240" w:lineRule="auto"/>
        <w:rPr>
          <w:rFonts w:eastAsia="Times New Roman" w:cs="Arial"/>
          <w:sz w:val="28"/>
          <w:szCs w:val="28"/>
          <w:lang w:eastAsia="bg-BG"/>
        </w:rPr>
      </w:pPr>
      <w:r w:rsidRPr="008002EF">
        <w:rPr>
          <w:rFonts w:eastAsia="Times New Roman" w:cs="Arial"/>
          <w:i/>
          <w:iCs/>
          <w:color w:val="000000"/>
          <w:lang w:eastAsia="bg-BG"/>
        </w:rPr>
        <w:t>Монотерапия</w:t>
      </w:r>
    </w:p>
    <w:p w14:paraId="45505CD1"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Безопасността и ефикасността на Репитенд при деца и юноши под 16-годишна възраст като монотерапия не е установена.</w:t>
      </w:r>
    </w:p>
    <w:p w14:paraId="3705A8D9"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Няма налични данни.</w:t>
      </w:r>
    </w:p>
    <w:p w14:paraId="33D8BCDA" w14:textId="77777777" w:rsidR="008002EF" w:rsidRPr="008002EF" w:rsidRDefault="008002EF" w:rsidP="008002EF">
      <w:pPr>
        <w:spacing w:line="240" w:lineRule="auto"/>
        <w:rPr>
          <w:rFonts w:eastAsia="Times New Roman" w:cs="Arial"/>
          <w:i/>
          <w:iCs/>
          <w:color w:val="000000"/>
          <w:lang w:eastAsia="bg-BG"/>
        </w:rPr>
      </w:pPr>
    </w:p>
    <w:p w14:paraId="6F2B6E63" w14:textId="15533303" w:rsidR="008002EF" w:rsidRPr="008002EF" w:rsidRDefault="008002EF" w:rsidP="008002EF">
      <w:pPr>
        <w:spacing w:line="240" w:lineRule="auto"/>
        <w:rPr>
          <w:rFonts w:eastAsia="Times New Roman" w:cs="Arial"/>
          <w:sz w:val="28"/>
          <w:szCs w:val="28"/>
          <w:lang w:eastAsia="bg-BG"/>
        </w:rPr>
      </w:pPr>
      <w:r w:rsidRPr="008002EF">
        <w:rPr>
          <w:rFonts w:eastAsia="Times New Roman" w:cs="Arial"/>
          <w:i/>
          <w:iCs/>
          <w:color w:val="000000"/>
          <w:lang w:eastAsia="bg-BG"/>
        </w:rPr>
        <w:t xml:space="preserve">Допълващо лечение при кърмачета на възраст от 6 до 23 месеца, деца (2-11 години) и юноши (12-17 години) с тегло под 50 </w:t>
      </w:r>
      <w:r w:rsidRPr="008002EF">
        <w:rPr>
          <w:rFonts w:eastAsia="Times New Roman" w:cs="Arial"/>
          <w:i/>
          <w:iCs/>
          <w:color w:val="000000"/>
          <w:lang w:val="en-US"/>
        </w:rPr>
        <w:t>kg</w:t>
      </w:r>
    </w:p>
    <w:p w14:paraId="7036B8D5"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 xml:space="preserve">Началната терапевтична доза е 10 </w:t>
      </w:r>
      <w:r w:rsidRPr="008002EF">
        <w:rPr>
          <w:rFonts w:eastAsia="Times New Roman" w:cs="Arial"/>
          <w:color w:val="000000"/>
          <w:lang w:val="en-US"/>
        </w:rPr>
        <w:t xml:space="preserve">mg/kg </w:t>
      </w:r>
      <w:r w:rsidRPr="008002EF">
        <w:rPr>
          <w:rFonts w:eastAsia="Times New Roman" w:cs="Arial"/>
          <w:color w:val="000000"/>
          <w:lang w:eastAsia="bg-BG"/>
        </w:rPr>
        <w:t>два пъти дневно.</w:t>
      </w:r>
    </w:p>
    <w:p w14:paraId="7E5DC0BB"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 xml:space="preserve">В зависимост от клиничния отговор и поносимост, дозата може да бъде увеличена до 30 </w:t>
      </w:r>
      <w:r w:rsidRPr="008002EF">
        <w:rPr>
          <w:rFonts w:eastAsia="Times New Roman" w:cs="Arial"/>
          <w:color w:val="000000"/>
          <w:lang w:val="en-US"/>
        </w:rPr>
        <w:t xml:space="preserve">mg/kg </w:t>
      </w:r>
      <w:r w:rsidRPr="008002EF">
        <w:rPr>
          <w:rFonts w:eastAsia="Times New Roman" w:cs="Arial"/>
          <w:color w:val="000000"/>
          <w:lang w:eastAsia="bg-BG"/>
        </w:rPr>
        <w:t xml:space="preserve">два пъти дневно. Промяната в дозата не трябва да надхвърля понижаване или повишаване с повече от 10 </w:t>
      </w:r>
      <w:r w:rsidRPr="008002EF">
        <w:rPr>
          <w:rFonts w:eastAsia="Times New Roman" w:cs="Arial"/>
          <w:color w:val="000000"/>
          <w:lang w:val="en-US"/>
        </w:rPr>
        <w:t xml:space="preserve">mg/kg </w:t>
      </w:r>
      <w:r w:rsidRPr="008002EF">
        <w:rPr>
          <w:rFonts w:eastAsia="Times New Roman" w:cs="Arial"/>
          <w:color w:val="000000"/>
          <w:lang w:eastAsia="bg-BG"/>
        </w:rPr>
        <w:t>два пъти дневно на всеки две седмици. Трябва да се използва най-ниската ефективна доза.</w:t>
      </w:r>
    </w:p>
    <w:p w14:paraId="7CDAF859" w14:textId="77777777" w:rsidR="008002EF" w:rsidRPr="008002EF" w:rsidRDefault="008002EF" w:rsidP="008002EF">
      <w:pPr>
        <w:spacing w:line="240" w:lineRule="auto"/>
        <w:rPr>
          <w:rFonts w:eastAsia="Times New Roman" w:cs="Arial"/>
          <w:color w:val="000000"/>
          <w:lang w:eastAsia="bg-BG"/>
        </w:rPr>
      </w:pPr>
    </w:p>
    <w:p w14:paraId="6DB7C1CA" w14:textId="1C54D0CD"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 xml:space="preserve">Дозировката при деца с тегло 50 </w:t>
      </w:r>
      <w:r w:rsidRPr="008002EF">
        <w:rPr>
          <w:rFonts w:eastAsia="Times New Roman" w:cs="Arial"/>
          <w:color w:val="000000"/>
          <w:lang w:val="en-US"/>
        </w:rPr>
        <w:t xml:space="preserve">kg </w:t>
      </w:r>
      <w:r w:rsidRPr="008002EF">
        <w:rPr>
          <w:rFonts w:eastAsia="Times New Roman" w:cs="Arial"/>
          <w:color w:val="000000"/>
          <w:lang w:eastAsia="bg-BG"/>
        </w:rPr>
        <w:t>или повече е същата както при възрастни.</w:t>
      </w:r>
    </w:p>
    <w:p w14:paraId="3764426B" w14:textId="77777777" w:rsidR="008002EF" w:rsidRPr="008002EF" w:rsidRDefault="008002EF" w:rsidP="008002EF">
      <w:pPr>
        <w:spacing w:line="240" w:lineRule="auto"/>
        <w:rPr>
          <w:rFonts w:eastAsia="Times New Roman" w:cs="Arial"/>
          <w:color w:val="000000"/>
          <w:lang w:eastAsia="bg-BG"/>
        </w:rPr>
      </w:pPr>
    </w:p>
    <w:p w14:paraId="3D9245F7" w14:textId="6F4A30E9" w:rsidR="008002EF" w:rsidRDefault="008002EF" w:rsidP="008002EF">
      <w:pPr>
        <w:spacing w:line="240" w:lineRule="auto"/>
        <w:rPr>
          <w:rFonts w:eastAsia="Times New Roman" w:cs="Arial"/>
          <w:color w:val="000000"/>
          <w:lang w:eastAsia="bg-BG"/>
        </w:rPr>
      </w:pPr>
      <w:r w:rsidRPr="008002EF">
        <w:rPr>
          <w:rFonts w:eastAsia="Times New Roman" w:cs="Arial"/>
          <w:color w:val="000000"/>
          <w:lang w:eastAsia="bg-BG"/>
        </w:rPr>
        <w:t>Препоръчвана доза при кърмачета от 6-месечна възраст, деца и юноши:</w:t>
      </w:r>
    </w:p>
    <w:tbl>
      <w:tblPr>
        <w:tblStyle w:val="TableGrid"/>
        <w:tblW w:w="0" w:type="auto"/>
        <w:tblLook w:val="04A0" w:firstRow="1" w:lastRow="0" w:firstColumn="1" w:lastColumn="0" w:noHBand="0" w:noVBand="1"/>
      </w:tblPr>
      <w:tblGrid>
        <w:gridCol w:w="3108"/>
        <w:gridCol w:w="3116"/>
        <w:gridCol w:w="3126"/>
      </w:tblGrid>
      <w:tr w:rsidR="008002EF" w14:paraId="3B7C81F5" w14:textId="77777777" w:rsidTr="008002EF">
        <w:tc>
          <w:tcPr>
            <w:tcW w:w="3166" w:type="dxa"/>
          </w:tcPr>
          <w:p w14:paraId="1B568AFF" w14:textId="69FF62F4" w:rsidR="008002EF" w:rsidRPr="008002EF" w:rsidRDefault="008002EF" w:rsidP="008002EF">
            <w:pPr>
              <w:spacing w:line="240" w:lineRule="auto"/>
              <w:rPr>
                <w:rFonts w:eastAsia="Times New Roman" w:cs="Arial"/>
                <w:lang w:eastAsia="bg-BG"/>
              </w:rPr>
            </w:pPr>
            <w:r w:rsidRPr="008002EF">
              <w:lastRenderedPageBreak/>
              <w:t>Тегло</w:t>
            </w:r>
          </w:p>
        </w:tc>
        <w:tc>
          <w:tcPr>
            <w:tcW w:w="3167" w:type="dxa"/>
          </w:tcPr>
          <w:p w14:paraId="05840CE0" w14:textId="77777777" w:rsidR="008002EF" w:rsidRPr="008002EF" w:rsidRDefault="008002EF" w:rsidP="008002EF">
            <w:r w:rsidRPr="008002EF">
              <w:t>Начална доза:</w:t>
            </w:r>
          </w:p>
          <w:p w14:paraId="621F0B36" w14:textId="35EEA5DF" w:rsidR="008002EF" w:rsidRPr="008002EF" w:rsidRDefault="008002EF" w:rsidP="008002EF">
            <w:pPr>
              <w:spacing w:line="240" w:lineRule="auto"/>
              <w:rPr>
                <w:rFonts w:eastAsia="Times New Roman" w:cs="Arial"/>
                <w:lang w:eastAsia="bg-BG"/>
              </w:rPr>
            </w:pPr>
            <w:r w:rsidRPr="008002EF">
              <w:t xml:space="preserve">10 </w:t>
            </w:r>
            <w:r w:rsidRPr="008002EF">
              <w:rPr>
                <w:lang w:val="en-US"/>
              </w:rPr>
              <w:t xml:space="preserve">mg/kg </w:t>
            </w:r>
            <w:r w:rsidRPr="008002EF">
              <w:t>два пъти дневно</w:t>
            </w:r>
          </w:p>
        </w:tc>
        <w:tc>
          <w:tcPr>
            <w:tcW w:w="3167" w:type="dxa"/>
          </w:tcPr>
          <w:p w14:paraId="1F5E3434" w14:textId="77777777" w:rsidR="008002EF" w:rsidRPr="008002EF" w:rsidRDefault="008002EF" w:rsidP="008002EF">
            <w:r w:rsidRPr="008002EF">
              <w:t>Максимална доза:</w:t>
            </w:r>
          </w:p>
          <w:p w14:paraId="5BFE07C2" w14:textId="7C0580B5" w:rsidR="008002EF" w:rsidRPr="008002EF" w:rsidRDefault="008002EF" w:rsidP="008002EF">
            <w:pPr>
              <w:spacing w:line="240" w:lineRule="auto"/>
              <w:rPr>
                <w:rFonts w:eastAsia="Times New Roman" w:cs="Arial"/>
                <w:lang w:eastAsia="bg-BG"/>
              </w:rPr>
            </w:pPr>
            <w:r w:rsidRPr="008002EF">
              <w:t xml:space="preserve">30 </w:t>
            </w:r>
            <w:r w:rsidRPr="008002EF">
              <w:rPr>
                <w:lang w:val="en-US"/>
              </w:rPr>
              <w:t xml:space="preserve">mg/kg </w:t>
            </w:r>
            <w:r w:rsidRPr="008002EF">
              <w:t>два пъти дневно</w:t>
            </w:r>
          </w:p>
        </w:tc>
      </w:tr>
      <w:tr w:rsidR="008002EF" w14:paraId="1CCAC53A" w14:textId="77777777" w:rsidTr="008002EF">
        <w:tc>
          <w:tcPr>
            <w:tcW w:w="3166" w:type="dxa"/>
          </w:tcPr>
          <w:p w14:paraId="32925DBC" w14:textId="7A27AD71" w:rsidR="008002EF" w:rsidRPr="008002EF" w:rsidRDefault="008002EF" w:rsidP="008002EF">
            <w:pPr>
              <w:spacing w:line="240" w:lineRule="auto"/>
              <w:rPr>
                <w:rFonts w:eastAsia="Times New Roman" w:cs="Arial"/>
                <w:lang w:eastAsia="bg-BG"/>
              </w:rPr>
            </w:pPr>
            <w:r w:rsidRPr="008002EF">
              <w:t xml:space="preserve">6 </w:t>
            </w:r>
            <w:r w:rsidRPr="008002EF">
              <w:rPr>
                <w:lang w:val="en-US"/>
              </w:rPr>
              <w:t>kg</w:t>
            </w:r>
            <w:r w:rsidRPr="008002EF">
              <w:rPr>
                <w:vertAlign w:val="superscript"/>
              </w:rPr>
              <w:t>(1)</w:t>
            </w:r>
          </w:p>
        </w:tc>
        <w:tc>
          <w:tcPr>
            <w:tcW w:w="3167" w:type="dxa"/>
          </w:tcPr>
          <w:p w14:paraId="3422C4F2" w14:textId="5F35B478" w:rsidR="008002EF" w:rsidRPr="008002EF" w:rsidRDefault="008002EF" w:rsidP="008002EF">
            <w:pPr>
              <w:spacing w:line="240" w:lineRule="auto"/>
              <w:rPr>
                <w:rFonts w:eastAsia="Times New Roman" w:cs="Arial"/>
                <w:lang w:eastAsia="bg-BG"/>
              </w:rPr>
            </w:pPr>
            <w:r w:rsidRPr="008002EF">
              <w:t xml:space="preserve">60 </w:t>
            </w:r>
            <w:r w:rsidRPr="008002EF">
              <w:rPr>
                <w:lang w:val="en-US"/>
              </w:rPr>
              <w:t xml:space="preserve">mg </w:t>
            </w:r>
            <w:r w:rsidRPr="008002EF">
              <w:t xml:space="preserve">(0,6 </w:t>
            </w:r>
            <w:r w:rsidRPr="008002EF">
              <w:rPr>
                <w:lang w:val="en-US"/>
              </w:rPr>
              <w:t xml:space="preserve">ml) </w:t>
            </w:r>
            <w:r w:rsidRPr="008002EF">
              <w:t>два пъти дневно</w:t>
            </w:r>
          </w:p>
        </w:tc>
        <w:tc>
          <w:tcPr>
            <w:tcW w:w="3167" w:type="dxa"/>
          </w:tcPr>
          <w:p w14:paraId="34EA54FA" w14:textId="2A595981" w:rsidR="008002EF" w:rsidRPr="008002EF" w:rsidRDefault="008002EF" w:rsidP="008002EF">
            <w:pPr>
              <w:spacing w:line="240" w:lineRule="auto"/>
              <w:rPr>
                <w:rFonts w:eastAsia="Times New Roman" w:cs="Arial"/>
                <w:lang w:eastAsia="bg-BG"/>
              </w:rPr>
            </w:pPr>
            <w:r w:rsidRPr="008002EF">
              <w:t xml:space="preserve">180 </w:t>
            </w:r>
            <w:r w:rsidRPr="008002EF">
              <w:rPr>
                <w:lang w:val="en-US"/>
              </w:rPr>
              <w:t xml:space="preserve">mg </w:t>
            </w:r>
            <w:r w:rsidRPr="008002EF">
              <w:t xml:space="preserve">(1,8 </w:t>
            </w:r>
            <w:r w:rsidRPr="008002EF">
              <w:rPr>
                <w:lang w:val="en-US"/>
              </w:rPr>
              <w:t xml:space="preserve">ml) </w:t>
            </w:r>
            <w:r w:rsidRPr="008002EF">
              <w:t>два пъти дневно</w:t>
            </w:r>
          </w:p>
        </w:tc>
      </w:tr>
      <w:tr w:rsidR="008002EF" w14:paraId="29AE9DA9" w14:textId="77777777" w:rsidTr="008002EF">
        <w:tc>
          <w:tcPr>
            <w:tcW w:w="3166" w:type="dxa"/>
          </w:tcPr>
          <w:p w14:paraId="29FD03B6" w14:textId="428215D4" w:rsidR="008002EF" w:rsidRPr="008002EF" w:rsidRDefault="008002EF" w:rsidP="008002EF">
            <w:pPr>
              <w:spacing w:line="240" w:lineRule="auto"/>
              <w:rPr>
                <w:rFonts w:eastAsia="Times New Roman" w:cs="Arial"/>
                <w:lang w:eastAsia="bg-BG"/>
              </w:rPr>
            </w:pPr>
            <w:r w:rsidRPr="008002EF">
              <w:rPr>
                <w:lang w:val="en-US"/>
              </w:rPr>
              <w:t>10 kg</w:t>
            </w:r>
            <w:r>
              <w:t xml:space="preserve"> </w:t>
            </w:r>
            <w:r w:rsidRPr="008002EF">
              <w:rPr>
                <w:vertAlign w:val="superscript"/>
                <w:lang w:val="en-US"/>
              </w:rPr>
              <w:t>(1)</w:t>
            </w:r>
          </w:p>
        </w:tc>
        <w:tc>
          <w:tcPr>
            <w:tcW w:w="3167" w:type="dxa"/>
          </w:tcPr>
          <w:p w14:paraId="6A841516" w14:textId="57D3A13B" w:rsidR="008002EF" w:rsidRPr="008002EF" w:rsidRDefault="008002EF" w:rsidP="008002EF">
            <w:pPr>
              <w:spacing w:line="240" w:lineRule="auto"/>
              <w:rPr>
                <w:rFonts w:eastAsia="Times New Roman" w:cs="Arial"/>
                <w:lang w:eastAsia="bg-BG"/>
              </w:rPr>
            </w:pPr>
            <w:r w:rsidRPr="008002EF">
              <w:t xml:space="preserve">100 </w:t>
            </w:r>
            <w:r w:rsidRPr="008002EF">
              <w:rPr>
                <w:lang w:val="en-US"/>
              </w:rPr>
              <w:t xml:space="preserve">mg </w:t>
            </w:r>
            <w:r w:rsidRPr="008002EF">
              <w:t xml:space="preserve">(1 </w:t>
            </w:r>
            <w:r w:rsidRPr="008002EF">
              <w:rPr>
                <w:lang w:val="en-US"/>
              </w:rPr>
              <w:t xml:space="preserve">ml) </w:t>
            </w:r>
            <w:r w:rsidRPr="008002EF">
              <w:t>два пъти дневно</w:t>
            </w:r>
          </w:p>
        </w:tc>
        <w:tc>
          <w:tcPr>
            <w:tcW w:w="3167" w:type="dxa"/>
          </w:tcPr>
          <w:p w14:paraId="6829E121" w14:textId="6CDD298D" w:rsidR="008002EF" w:rsidRPr="008002EF" w:rsidRDefault="008002EF" w:rsidP="008002EF">
            <w:pPr>
              <w:spacing w:line="240" w:lineRule="auto"/>
              <w:rPr>
                <w:rFonts w:eastAsia="Times New Roman" w:cs="Arial"/>
                <w:lang w:eastAsia="bg-BG"/>
              </w:rPr>
            </w:pPr>
            <w:r w:rsidRPr="008002EF">
              <w:t xml:space="preserve">300 </w:t>
            </w:r>
            <w:r w:rsidRPr="008002EF">
              <w:rPr>
                <w:lang w:val="en-US"/>
              </w:rPr>
              <w:t xml:space="preserve">mg </w:t>
            </w:r>
            <w:r w:rsidRPr="008002EF">
              <w:t xml:space="preserve">(3 </w:t>
            </w:r>
            <w:r w:rsidRPr="008002EF">
              <w:rPr>
                <w:lang w:val="en-US"/>
              </w:rPr>
              <w:t xml:space="preserve">ml) </w:t>
            </w:r>
            <w:r w:rsidRPr="008002EF">
              <w:t>два пъти дневно</w:t>
            </w:r>
          </w:p>
        </w:tc>
      </w:tr>
      <w:tr w:rsidR="008002EF" w14:paraId="7809305B" w14:textId="77777777" w:rsidTr="008002EF">
        <w:tc>
          <w:tcPr>
            <w:tcW w:w="3166" w:type="dxa"/>
          </w:tcPr>
          <w:p w14:paraId="2AE31ABD" w14:textId="7B8FED3F" w:rsidR="008002EF" w:rsidRPr="008002EF" w:rsidRDefault="008002EF" w:rsidP="008002EF">
            <w:pPr>
              <w:spacing w:line="240" w:lineRule="auto"/>
              <w:rPr>
                <w:rFonts w:eastAsia="Times New Roman" w:cs="Arial"/>
                <w:lang w:eastAsia="bg-BG"/>
              </w:rPr>
            </w:pPr>
            <w:r w:rsidRPr="008002EF">
              <w:t xml:space="preserve">15 </w:t>
            </w:r>
            <w:r w:rsidRPr="008002EF">
              <w:rPr>
                <w:lang w:val="en-US"/>
              </w:rPr>
              <w:t>kg</w:t>
            </w:r>
            <w:r w:rsidRPr="008002EF">
              <w:rPr>
                <w:vertAlign w:val="superscript"/>
                <w:lang w:val="en-US"/>
              </w:rPr>
              <w:t>(1)</w:t>
            </w:r>
          </w:p>
        </w:tc>
        <w:tc>
          <w:tcPr>
            <w:tcW w:w="3167" w:type="dxa"/>
          </w:tcPr>
          <w:p w14:paraId="65857CEE" w14:textId="5B8D80CC" w:rsidR="008002EF" w:rsidRPr="008002EF" w:rsidRDefault="008002EF" w:rsidP="008002EF">
            <w:pPr>
              <w:spacing w:line="240" w:lineRule="auto"/>
              <w:rPr>
                <w:rFonts w:eastAsia="Times New Roman" w:cs="Arial"/>
                <w:lang w:eastAsia="bg-BG"/>
              </w:rPr>
            </w:pPr>
            <w:r w:rsidRPr="008002EF">
              <w:t xml:space="preserve">150 </w:t>
            </w:r>
            <w:r w:rsidRPr="008002EF">
              <w:rPr>
                <w:lang w:val="en-US"/>
              </w:rPr>
              <w:t xml:space="preserve">mg </w:t>
            </w:r>
            <w:r w:rsidRPr="008002EF">
              <w:t xml:space="preserve">(1,5 </w:t>
            </w:r>
            <w:r w:rsidRPr="008002EF">
              <w:rPr>
                <w:lang w:val="en-US"/>
              </w:rPr>
              <w:t xml:space="preserve">ml) </w:t>
            </w:r>
            <w:r w:rsidRPr="008002EF">
              <w:t>два пъти дневно</w:t>
            </w:r>
          </w:p>
        </w:tc>
        <w:tc>
          <w:tcPr>
            <w:tcW w:w="3167" w:type="dxa"/>
          </w:tcPr>
          <w:p w14:paraId="4D16A01C" w14:textId="5E92F623" w:rsidR="008002EF" w:rsidRPr="008002EF" w:rsidRDefault="008002EF" w:rsidP="008002EF">
            <w:pPr>
              <w:spacing w:line="240" w:lineRule="auto"/>
              <w:rPr>
                <w:rFonts w:eastAsia="Times New Roman" w:cs="Arial"/>
                <w:lang w:eastAsia="bg-BG"/>
              </w:rPr>
            </w:pPr>
            <w:r w:rsidRPr="008002EF">
              <w:t xml:space="preserve">450 </w:t>
            </w:r>
            <w:r w:rsidRPr="008002EF">
              <w:rPr>
                <w:lang w:val="en-US"/>
              </w:rPr>
              <w:t xml:space="preserve">mg </w:t>
            </w:r>
            <w:r w:rsidRPr="008002EF">
              <w:t xml:space="preserve">(4,5 </w:t>
            </w:r>
            <w:r w:rsidRPr="008002EF">
              <w:rPr>
                <w:lang w:val="en-US"/>
              </w:rPr>
              <w:t xml:space="preserve">ml) </w:t>
            </w:r>
            <w:r w:rsidRPr="008002EF">
              <w:t>два пъти дневно</w:t>
            </w:r>
          </w:p>
        </w:tc>
      </w:tr>
      <w:tr w:rsidR="008002EF" w14:paraId="1AD73D8D" w14:textId="77777777" w:rsidTr="008002EF">
        <w:tc>
          <w:tcPr>
            <w:tcW w:w="3166" w:type="dxa"/>
          </w:tcPr>
          <w:p w14:paraId="1390F944" w14:textId="46F9895C" w:rsidR="008002EF" w:rsidRPr="008002EF" w:rsidRDefault="008002EF" w:rsidP="008002EF">
            <w:pPr>
              <w:spacing w:line="240" w:lineRule="auto"/>
              <w:rPr>
                <w:rFonts w:eastAsia="Times New Roman" w:cs="Arial"/>
                <w:lang w:eastAsia="bg-BG"/>
              </w:rPr>
            </w:pPr>
            <w:r w:rsidRPr="008002EF">
              <w:t xml:space="preserve">20 </w:t>
            </w:r>
            <w:r w:rsidRPr="008002EF">
              <w:rPr>
                <w:lang w:val="en-US"/>
              </w:rPr>
              <w:t>kg</w:t>
            </w:r>
            <w:r w:rsidRPr="008002EF">
              <w:rPr>
                <w:vertAlign w:val="superscript"/>
                <w:lang w:val="en-US"/>
              </w:rPr>
              <w:t xml:space="preserve"> (1)</w:t>
            </w:r>
          </w:p>
        </w:tc>
        <w:tc>
          <w:tcPr>
            <w:tcW w:w="3167" w:type="dxa"/>
          </w:tcPr>
          <w:p w14:paraId="3BB74FE3" w14:textId="6E1776CB" w:rsidR="008002EF" w:rsidRPr="008002EF" w:rsidRDefault="008002EF" w:rsidP="008002EF">
            <w:pPr>
              <w:spacing w:line="240" w:lineRule="auto"/>
              <w:rPr>
                <w:rFonts w:eastAsia="Times New Roman" w:cs="Arial"/>
                <w:lang w:eastAsia="bg-BG"/>
              </w:rPr>
            </w:pPr>
            <w:r w:rsidRPr="008002EF">
              <w:t xml:space="preserve">200 </w:t>
            </w:r>
            <w:r w:rsidRPr="008002EF">
              <w:rPr>
                <w:lang w:val="en-US"/>
              </w:rPr>
              <w:t xml:space="preserve">mg </w:t>
            </w:r>
            <w:r w:rsidRPr="008002EF">
              <w:t xml:space="preserve">(2 </w:t>
            </w:r>
            <w:r w:rsidRPr="008002EF">
              <w:rPr>
                <w:lang w:val="en-US"/>
              </w:rPr>
              <w:t xml:space="preserve">ml) </w:t>
            </w:r>
            <w:r w:rsidRPr="008002EF">
              <w:t>два пъти дневно</w:t>
            </w:r>
          </w:p>
        </w:tc>
        <w:tc>
          <w:tcPr>
            <w:tcW w:w="3167" w:type="dxa"/>
          </w:tcPr>
          <w:p w14:paraId="02809B6C" w14:textId="15354AED" w:rsidR="008002EF" w:rsidRPr="008002EF" w:rsidRDefault="008002EF" w:rsidP="008002EF">
            <w:pPr>
              <w:spacing w:line="240" w:lineRule="auto"/>
              <w:rPr>
                <w:rFonts w:eastAsia="Times New Roman" w:cs="Arial"/>
                <w:lang w:eastAsia="bg-BG"/>
              </w:rPr>
            </w:pPr>
            <w:r w:rsidRPr="008002EF">
              <w:t xml:space="preserve">600 </w:t>
            </w:r>
            <w:r w:rsidRPr="008002EF">
              <w:rPr>
                <w:lang w:val="en-US"/>
              </w:rPr>
              <w:t xml:space="preserve">mg </w:t>
            </w:r>
            <w:r w:rsidRPr="008002EF">
              <w:t xml:space="preserve">(6 </w:t>
            </w:r>
            <w:r w:rsidRPr="008002EF">
              <w:rPr>
                <w:lang w:val="en-US"/>
              </w:rPr>
              <w:t xml:space="preserve">ml) </w:t>
            </w:r>
            <w:r w:rsidRPr="008002EF">
              <w:t>два пъти дневно</w:t>
            </w:r>
          </w:p>
        </w:tc>
      </w:tr>
      <w:tr w:rsidR="008002EF" w14:paraId="167A0719" w14:textId="77777777" w:rsidTr="008002EF">
        <w:tc>
          <w:tcPr>
            <w:tcW w:w="3166" w:type="dxa"/>
          </w:tcPr>
          <w:p w14:paraId="4E61105B" w14:textId="38881F45" w:rsidR="008002EF" w:rsidRPr="008002EF" w:rsidRDefault="008002EF" w:rsidP="008002EF">
            <w:pPr>
              <w:spacing w:line="240" w:lineRule="auto"/>
              <w:rPr>
                <w:rFonts w:eastAsia="Times New Roman" w:cs="Arial"/>
                <w:lang w:eastAsia="bg-BG"/>
              </w:rPr>
            </w:pPr>
            <w:r w:rsidRPr="008002EF">
              <w:t xml:space="preserve">25 </w:t>
            </w:r>
            <w:r w:rsidRPr="008002EF">
              <w:rPr>
                <w:lang w:val="en-US"/>
              </w:rPr>
              <w:t>kg</w:t>
            </w:r>
          </w:p>
        </w:tc>
        <w:tc>
          <w:tcPr>
            <w:tcW w:w="3167" w:type="dxa"/>
          </w:tcPr>
          <w:p w14:paraId="7CBD647F" w14:textId="5924643F" w:rsidR="008002EF" w:rsidRPr="008002EF" w:rsidRDefault="008002EF" w:rsidP="008002EF">
            <w:pPr>
              <w:spacing w:line="240" w:lineRule="auto"/>
              <w:rPr>
                <w:rFonts w:eastAsia="Times New Roman" w:cs="Arial"/>
                <w:lang w:eastAsia="bg-BG"/>
              </w:rPr>
            </w:pPr>
            <w:r w:rsidRPr="008002EF">
              <w:t xml:space="preserve">250 </w:t>
            </w:r>
            <w:r w:rsidRPr="008002EF">
              <w:rPr>
                <w:lang w:val="en-US"/>
              </w:rPr>
              <w:t xml:space="preserve">mg </w:t>
            </w:r>
            <w:r w:rsidRPr="008002EF">
              <w:t>два пъти дневно</w:t>
            </w:r>
          </w:p>
        </w:tc>
        <w:tc>
          <w:tcPr>
            <w:tcW w:w="3167" w:type="dxa"/>
          </w:tcPr>
          <w:p w14:paraId="08C55C7E" w14:textId="642697FB" w:rsidR="008002EF" w:rsidRPr="008002EF" w:rsidRDefault="008002EF" w:rsidP="008002EF">
            <w:pPr>
              <w:spacing w:line="240" w:lineRule="auto"/>
              <w:rPr>
                <w:rFonts w:eastAsia="Times New Roman" w:cs="Arial"/>
                <w:lang w:eastAsia="bg-BG"/>
              </w:rPr>
            </w:pPr>
            <w:r w:rsidRPr="008002EF">
              <w:t xml:space="preserve">750 </w:t>
            </w:r>
            <w:r w:rsidRPr="008002EF">
              <w:rPr>
                <w:lang w:val="en-US"/>
              </w:rPr>
              <w:t xml:space="preserve">mg </w:t>
            </w:r>
            <w:r w:rsidRPr="008002EF">
              <w:t>два пъти дневно</w:t>
            </w:r>
          </w:p>
        </w:tc>
      </w:tr>
      <w:tr w:rsidR="008002EF" w14:paraId="5D71B2BA" w14:textId="77777777" w:rsidTr="008002EF">
        <w:tc>
          <w:tcPr>
            <w:tcW w:w="3166" w:type="dxa"/>
          </w:tcPr>
          <w:p w14:paraId="626EFBD5" w14:textId="37A162E2" w:rsidR="008002EF" w:rsidRPr="008002EF" w:rsidRDefault="008002EF" w:rsidP="008002EF">
            <w:pPr>
              <w:spacing w:line="240" w:lineRule="auto"/>
              <w:rPr>
                <w:rFonts w:eastAsia="Times New Roman" w:cs="Arial"/>
                <w:lang w:eastAsia="bg-BG"/>
              </w:rPr>
            </w:pPr>
            <w:r w:rsidRPr="008002EF">
              <w:t xml:space="preserve">От 50 </w:t>
            </w:r>
            <w:r w:rsidRPr="008002EF">
              <w:rPr>
                <w:lang w:val="en-US"/>
              </w:rPr>
              <w:t>kg</w:t>
            </w:r>
            <w:r w:rsidRPr="008002EF">
              <w:rPr>
                <w:vertAlign w:val="superscript"/>
              </w:rPr>
              <w:t>(2)</w:t>
            </w:r>
          </w:p>
        </w:tc>
        <w:tc>
          <w:tcPr>
            <w:tcW w:w="3167" w:type="dxa"/>
          </w:tcPr>
          <w:p w14:paraId="56C00B98" w14:textId="455B44C1" w:rsidR="008002EF" w:rsidRPr="008002EF" w:rsidRDefault="008002EF" w:rsidP="008002EF">
            <w:pPr>
              <w:spacing w:line="240" w:lineRule="auto"/>
              <w:rPr>
                <w:rFonts w:eastAsia="Times New Roman" w:cs="Arial"/>
                <w:lang w:eastAsia="bg-BG"/>
              </w:rPr>
            </w:pPr>
            <w:r w:rsidRPr="008002EF">
              <w:t xml:space="preserve">500 </w:t>
            </w:r>
            <w:r w:rsidRPr="008002EF">
              <w:rPr>
                <w:lang w:val="en-US"/>
              </w:rPr>
              <w:t xml:space="preserve">mg </w:t>
            </w:r>
            <w:r w:rsidRPr="008002EF">
              <w:t>два пъти дневно</w:t>
            </w:r>
          </w:p>
        </w:tc>
        <w:tc>
          <w:tcPr>
            <w:tcW w:w="3167" w:type="dxa"/>
          </w:tcPr>
          <w:p w14:paraId="2089B1AB" w14:textId="596972FC" w:rsidR="008002EF" w:rsidRPr="008002EF" w:rsidRDefault="008002EF" w:rsidP="008002EF">
            <w:pPr>
              <w:spacing w:line="240" w:lineRule="auto"/>
              <w:rPr>
                <w:rFonts w:eastAsia="Times New Roman" w:cs="Arial"/>
                <w:lang w:eastAsia="bg-BG"/>
              </w:rPr>
            </w:pPr>
            <w:r w:rsidRPr="008002EF">
              <w:t xml:space="preserve">1500 </w:t>
            </w:r>
            <w:r w:rsidRPr="008002EF">
              <w:rPr>
                <w:lang w:val="en-US"/>
              </w:rPr>
              <w:t xml:space="preserve">mg </w:t>
            </w:r>
            <w:r w:rsidRPr="008002EF">
              <w:t>два пъти дневно</w:t>
            </w:r>
          </w:p>
        </w:tc>
      </w:tr>
    </w:tbl>
    <w:p w14:paraId="059335AA"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vertAlign w:val="superscript"/>
          <w:lang w:eastAsia="bg-BG"/>
        </w:rPr>
        <w:t>(1)</w:t>
      </w:r>
      <w:r w:rsidRPr="008002EF">
        <w:rPr>
          <w:rFonts w:eastAsia="Times New Roman" w:cs="Arial"/>
          <w:color w:val="000000"/>
          <w:lang w:eastAsia="bg-BG"/>
        </w:rPr>
        <w:t xml:space="preserve"> При деца с телесно тегло 25 </w:t>
      </w:r>
      <w:r w:rsidRPr="008002EF">
        <w:rPr>
          <w:rFonts w:eastAsia="Times New Roman" w:cs="Arial"/>
          <w:color w:val="000000"/>
          <w:lang w:val="en-US"/>
        </w:rPr>
        <w:t xml:space="preserve">kg </w:t>
      </w:r>
      <w:r w:rsidRPr="008002EF">
        <w:rPr>
          <w:rFonts w:eastAsia="Times New Roman" w:cs="Arial"/>
          <w:color w:val="000000"/>
          <w:lang w:eastAsia="bg-BG"/>
        </w:rPr>
        <w:t xml:space="preserve">или по-малко се препоръчва лечението да започне с Репитенд 100 </w:t>
      </w:r>
      <w:r w:rsidRPr="008002EF">
        <w:rPr>
          <w:rFonts w:eastAsia="Times New Roman" w:cs="Arial"/>
          <w:color w:val="000000"/>
          <w:lang w:val="en-US"/>
        </w:rPr>
        <w:t xml:space="preserve">mg/ml </w:t>
      </w:r>
      <w:r w:rsidRPr="008002EF">
        <w:rPr>
          <w:rFonts w:eastAsia="Times New Roman" w:cs="Arial"/>
          <w:color w:val="000000"/>
          <w:lang w:eastAsia="bg-BG"/>
        </w:rPr>
        <w:t>перорален разтвор</w:t>
      </w:r>
    </w:p>
    <w:p w14:paraId="7B7E5CC6"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vertAlign w:val="superscript"/>
          <w:lang w:eastAsia="bg-BG"/>
        </w:rPr>
        <w:t>(2)</w:t>
      </w:r>
      <w:r w:rsidRPr="008002EF">
        <w:rPr>
          <w:rFonts w:eastAsia="Times New Roman" w:cs="Arial"/>
          <w:color w:val="000000"/>
          <w:lang w:eastAsia="bg-BG"/>
        </w:rPr>
        <w:t xml:space="preserve"> Дозата при деца и юноши на и над 50 </w:t>
      </w:r>
      <w:r w:rsidRPr="008002EF">
        <w:rPr>
          <w:rFonts w:eastAsia="Times New Roman" w:cs="Arial"/>
          <w:color w:val="000000"/>
          <w:lang w:val="en-US"/>
        </w:rPr>
        <w:t xml:space="preserve">kg </w:t>
      </w:r>
      <w:r w:rsidRPr="008002EF">
        <w:rPr>
          <w:rFonts w:eastAsia="Times New Roman" w:cs="Arial"/>
          <w:color w:val="000000"/>
          <w:lang w:eastAsia="bg-BG"/>
        </w:rPr>
        <w:t>е както тази при възрастни.</w:t>
      </w:r>
    </w:p>
    <w:p w14:paraId="4B518DFF" w14:textId="77777777" w:rsidR="008002EF" w:rsidRPr="008002EF" w:rsidRDefault="008002EF" w:rsidP="008002EF">
      <w:pPr>
        <w:spacing w:line="240" w:lineRule="auto"/>
        <w:rPr>
          <w:rFonts w:eastAsia="Times New Roman" w:cs="Arial"/>
          <w:i/>
          <w:iCs/>
          <w:color w:val="000000"/>
          <w:lang w:eastAsia="bg-BG"/>
        </w:rPr>
      </w:pPr>
    </w:p>
    <w:p w14:paraId="39BA039A" w14:textId="3C740E33" w:rsidR="008002EF" w:rsidRPr="008002EF" w:rsidRDefault="008002EF" w:rsidP="008002EF">
      <w:pPr>
        <w:spacing w:line="240" w:lineRule="auto"/>
        <w:rPr>
          <w:rFonts w:eastAsia="Times New Roman" w:cs="Arial"/>
          <w:sz w:val="28"/>
          <w:szCs w:val="28"/>
          <w:lang w:eastAsia="bg-BG"/>
        </w:rPr>
      </w:pPr>
      <w:r w:rsidRPr="008002EF">
        <w:rPr>
          <w:rFonts w:eastAsia="Times New Roman" w:cs="Arial"/>
          <w:i/>
          <w:iCs/>
          <w:color w:val="000000"/>
          <w:lang w:eastAsia="bg-BG"/>
        </w:rPr>
        <w:t>Допълващо лечение при кърмачета на възраст от 1 до 6 месеца</w:t>
      </w:r>
    </w:p>
    <w:p w14:paraId="30290589"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 xml:space="preserve">Началната терапевтична доза е 7 </w:t>
      </w:r>
      <w:r w:rsidRPr="008002EF">
        <w:rPr>
          <w:rFonts w:eastAsia="Times New Roman" w:cs="Arial"/>
          <w:color w:val="000000"/>
          <w:lang w:val="en-US"/>
        </w:rPr>
        <w:t xml:space="preserve">mg/kg </w:t>
      </w:r>
      <w:r w:rsidRPr="008002EF">
        <w:rPr>
          <w:rFonts w:eastAsia="Times New Roman" w:cs="Arial"/>
          <w:color w:val="000000"/>
          <w:lang w:eastAsia="bg-BG"/>
        </w:rPr>
        <w:t>два пъти дневно.</w:t>
      </w:r>
    </w:p>
    <w:p w14:paraId="30C62366" w14:textId="12C156D1"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 xml:space="preserve">В зависимост от клиничния отговор и поносимостга, дозата може да бъде увеличена до 21 </w:t>
      </w:r>
      <w:r w:rsidRPr="008002EF">
        <w:rPr>
          <w:rFonts w:eastAsia="Times New Roman" w:cs="Arial"/>
          <w:color w:val="000000"/>
          <w:lang w:val="en-US"/>
        </w:rPr>
        <w:t xml:space="preserve">mg/kg </w:t>
      </w:r>
      <w:r w:rsidRPr="008002EF">
        <w:rPr>
          <w:rFonts w:eastAsia="Times New Roman" w:cs="Arial"/>
          <w:color w:val="000000"/>
          <w:lang w:eastAsia="bg-BG"/>
        </w:rPr>
        <w:t xml:space="preserve">два пъти дневно. Промените на дозата не трябва да надхвърлят повишение или понижение от 7 </w:t>
      </w:r>
      <w:r w:rsidRPr="008002EF">
        <w:rPr>
          <w:rFonts w:eastAsia="Times New Roman" w:cs="Arial"/>
          <w:color w:val="000000"/>
          <w:lang w:val="en-US"/>
        </w:rPr>
        <w:t xml:space="preserve">mg/kg </w:t>
      </w:r>
      <w:r w:rsidRPr="008002EF">
        <w:rPr>
          <w:rFonts w:eastAsia="Times New Roman" w:cs="Arial"/>
          <w:color w:val="000000"/>
          <w:lang w:eastAsia="bg-BG"/>
        </w:rPr>
        <w:t>два пъти дневно на всеки две седмици.</w:t>
      </w:r>
    </w:p>
    <w:p w14:paraId="3C48D699"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Трябва да се използва най-ниската ефективна доза.</w:t>
      </w:r>
    </w:p>
    <w:p w14:paraId="6E49184B" w14:textId="77777777" w:rsidR="008002EF" w:rsidRPr="008002EF" w:rsidRDefault="008002EF" w:rsidP="008002EF">
      <w:pPr>
        <w:spacing w:line="240" w:lineRule="auto"/>
        <w:rPr>
          <w:rFonts w:eastAsia="Times New Roman" w:cs="Arial"/>
          <w:color w:val="000000"/>
          <w:lang w:eastAsia="bg-BG"/>
        </w:rPr>
      </w:pPr>
    </w:p>
    <w:p w14:paraId="515D7D8E" w14:textId="2CC720FB"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 xml:space="preserve">Кърмачетата трябва да започнат лечението с Репитенд 100 </w:t>
      </w:r>
      <w:r w:rsidRPr="008002EF">
        <w:rPr>
          <w:rFonts w:eastAsia="Times New Roman" w:cs="Arial"/>
          <w:color w:val="000000"/>
          <w:lang w:val="en-US"/>
        </w:rPr>
        <w:t xml:space="preserve">mg/ml </w:t>
      </w:r>
      <w:r w:rsidRPr="008002EF">
        <w:rPr>
          <w:rFonts w:eastAsia="Times New Roman" w:cs="Arial"/>
          <w:color w:val="000000"/>
          <w:lang w:eastAsia="bg-BG"/>
        </w:rPr>
        <w:t>перорален разтвор.</w:t>
      </w:r>
    </w:p>
    <w:p w14:paraId="47F8BF13" w14:textId="77777777" w:rsidR="008002EF" w:rsidRPr="008002EF" w:rsidRDefault="008002EF" w:rsidP="008002EF">
      <w:pPr>
        <w:spacing w:line="240" w:lineRule="auto"/>
        <w:rPr>
          <w:rFonts w:eastAsia="Times New Roman" w:cs="Arial"/>
          <w:color w:val="000000"/>
          <w:u w:val="single"/>
          <w:lang w:eastAsia="bg-BG"/>
        </w:rPr>
      </w:pPr>
    </w:p>
    <w:p w14:paraId="0C433C48" w14:textId="23D1F034" w:rsidR="008002EF" w:rsidRPr="008002EF" w:rsidRDefault="008002EF" w:rsidP="008002EF">
      <w:pPr>
        <w:spacing w:line="240" w:lineRule="auto"/>
        <w:rPr>
          <w:rFonts w:eastAsia="Times New Roman" w:cs="Arial"/>
          <w:sz w:val="32"/>
          <w:szCs w:val="32"/>
          <w:lang w:eastAsia="bg-BG"/>
        </w:rPr>
      </w:pPr>
      <w:r w:rsidRPr="008002EF">
        <w:rPr>
          <w:rFonts w:eastAsia="Times New Roman" w:cs="Arial"/>
          <w:color w:val="000000"/>
          <w:u w:val="single"/>
          <w:lang w:eastAsia="bg-BG"/>
        </w:rPr>
        <w:t>Препоръчвани дози при кърмачета на възраст от 1 до под 6 месеца:</w:t>
      </w:r>
    </w:p>
    <w:p w14:paraId="538F05D5" w14:textId="66FF173C" w:rsidR="008002EF" w:rsidRDefault="008002EF" w:rsidP="008002EF">
      <w:pPr>
        <w:rPr>
          <w:rFonts w:cs="Arial"/>
          <w:b/>
          <w:bCs/>
          <w:sz w:val="24"/>
          <w:szCs w:val="24"/>
        </w:rPr>
      </w:pPr>
    </w:p>
    <w:tbl>
      <w:tblPr>
        <w:tblStyle w:val="TableGrid"/>
        <w:tblW w:w="0" w:type="auto"/>
        <w:tblLook w:val="04A0" w:firstRow="1" w:lastRow="0" w:firstColumn="1" w:lastColumn="0" w:noHBand="0" w:noVBand="1"/>
      </w:tblPr>
      <w:tblGrid>
        <w:gridCol w:w="3108"/>
        <w:gridCol w:w="3116"/>
        <w:gridCol w:w="3126"/>
      </w:tblGrid>
      <w:tr w:rsidR="008002EF" w14:paraId="46777B09" w14:textId="77777777" w:rsidTr="003211CC">
        <w:tc>
          <w:tcPr>
            <w:tcW w:w="3166" w:type="dxa"/>
            <w:vAlign w:val="bottom"/>
          </w:tcPr>
          <w:p w14:paraId="2A96D95C" w14:textId="676847C6" w:rsidR="008002EF" w:rsidRPr="008002EF" w:rsidRDefault="008002EF" w:rsidP="008002EF">
            <w:pPr>
              <w:rPr>
                <w:rFonts w:cs="Arial"/>
                <w:b/>
                <w:bCs/>
              </w:rPr>
            </w:pPr>
            <w:r w:rsidRPr="008002EF">
              <w:t>Тегло</w:t>
            </w:r>
          </w:p>
        </w:tc>
        <w:tc>
          <w:tcPr>
            <w:tcW w:w="3167" w:type="dxa"/>
            <w:vAlign w:val="bottom"/>
          </w:tcPr>
          <w:p w14:paraId="781D7530" w14:textId="26966766" w:rsidR="008002EF" w:rsidRPr="008002EF" w:rsidRDefault="008002EF" w:rsidP="008002EF">
            <w:pPr>
              <w:rPr>
                <w:rFonts w:cs="Arial"/>
                <w:b/>
                <w:bCs/>
              </w:rPr>
            </w:pPr>
            <w:r w:rsidRPr="008002EF">
              <w:t>Начална доза:</w:t>
            </w:r>
          </w:p>
        </w:tc>
        <w:tc>
          <w:tcPr>
            <w:tcW w:w="3167" w:type="dxa"/>
            <w:vAlign w:val="bottom"/>
          </w:tcPr>
          <w:p w14:paraId="1D259951" w14:textId="7309802E" w:rsidR="008002EF" w:rsidRPr="008002EF" w:rsidRDefault="008002EF" w:rsidP="008002EF">
            <w:pPr>
              <w:rPr>
                <w:rFonts w:cs="Arial"/>
                <w:b/>
                <w:bCs/>
              </w:rPr>
            </w:pPr>
            <w:r w:rsidRPr="008002EF">
              <w:t>Максимална доза:</w:t>
            </w:r>
          </w:p>
        </w:tc>
      </w:tr>
      <w:tr w:rsidR="008002EF" w14:paraId="078A27B3" w14:textId="77777777" w:rsidTr="008002EF">
        <w:tc>
          <w:tcPr>
            <w:tcW w:w="3166" w:type="dxa"/>
          </w:tcPr>
          <w:p w14:paraId="70B7F477" w14:textId="77777777" w:rsidR="008002EF" w:rsidRPr="008002EF" w:rsidRDefault="008002EF" w:rsidP="008002EF">
            <w:pPr>
              <w:rPr>
                <w:rFonts w:cs="Arial"/>
                <w:b/>
                <w:bCs/>
              </w:rPr>
            </w:pPr>
          </w:p>
        </w:tc>
        <w:tc>
          <w:tcPr>
            <w:tcW w:w="3167" w:type="dxa"/>
          </w:tcPr>
          <w:p w14:paraId="5C2A5E28" w14:textId="4E875388" w:rsidR="008002EF" w:rsidRPr="008002EF" w:rsidRDefault="008002EF" w:rsidP="008002EF">
            <w:pPr>
              <w:rPr>
                <w:rFonts w:cs="Arial"/>
                <w:b/>
                <w:bCs/>
              </w:rPr>
            </w:pPr>
            <w:r w:rsidRPr="008002EF">
              <w:t xml:space="preserve">7 </w:t>
            </w:r>
            <w:r w:rsidRPr="008002EF">
              <w:rPr>
                <w:lang w:val="en-US"/>
              </w:rPr>
              <w:t xml:space="preserve">mg/kg </w:t>
            </w:r>
            <w:r w:rsidRPr="008002EF">
              <w:t>два пъти дневно</w:t>
            </w:r>
          </w:p>
        </w:tc>
        <w:tc>
          <w:tcPr>
            <w:tcW w:w="3167" w:type="dxa"/>
          </w:tcPr>
          <w:p w14:paraId="606B1825" w14:textId="389C54C2" w:rsidR="008002EF" w:rsidRPr="008002EF" w:rsidRDefault="008002EF" w:rsidP="008002EF">
            <w:pPr>
              <w:rPr>
                <w:rFonts w:cs="Arial"/>
                <w:b/>
                <w:bCs/>
              </w:rPr>
            </w:pPr>
            <w:r w:rsidRPr="008002EF">
              <w:t xml:space="preserve">21 </w:t>
            </w:r>
            <w:r w:rsidRPr="008002EF">
              <w:rPr>
                <w:lang w:val="en-US"/>
              </w:rPr>
              <w:t xml:space="preserve">mg/kg </w:t>
            </w:r>
            <w:r w:rsidRPr="008002EF">
              <w:t>два пъти дневно</w:t>
            </w:r>
          </w:p>
        </w:tc>
      </w:tr>
      <w:tr w:rsidR="008002EF" w14:paraId="00331EC6" w14:textId="77777777" w:rsidTr="008002EF">
        <w:tc>
          <w:tcPr>
            <w:tcW w:w="3166" w:type="dxa"/>
          </w:tcPr>
          <w:p w14:paraId="5A21B2DA" w14:textId="04839444" w:rsidR="008002EF" w:rsidRPr="008002EF" w:rsidRDefault="008002EF" w:rsidP="008002EF">
            <w:pPr>
              <w:rPr>
                <w:rFonts w:cs="Arial"/>
                <w:b/>
                <w:bCs/>
              </w:rPr>
            </w:pPr>
            <w:r w:rsidRPr="008002EF">
              <w:rPr>
                <w:lang w:val="en-US"/>
              </w:rPr>
              <w:t>4 kg</w:t>
            </w:r>
          </w:p>
        </w:tc>
        <w:tc>
          <w:tcPr>
            <w:tcW w:w="3167" w:type="dxa"/>
          </w:tcPr>
          <w:p w14:paraId="59D73135" w14:textId="46DB9D64" w:rsidR="008002EF" w:rsidRPr="008002EF" w:rsidRDefault="008002EF" w:rsidP="008002EF">
            <w:pPr>
              <w:rPr>
                <w:rFonts w:cs="Arial"/>
                <w:b/>
                <w:bCs/>
              </w:rPr>
            </w:pPr>
            <w:r w:rsidRPr="008002EF">
              <w:t xml:space="preserve">28 </w:t>
            </w:r>
            <w:r w:rsidRPr="008002EF">
              <w:rPr>
                <w:lang w:val="en-US"/>
              </w:rPr>
              <w:t xml:space="preserve">mg (0,3 ml) </w:t>
            </w:r>
            <w:r w:rsidRPr="008002EF">
              <w:t>два пъти дневно</w:t>
            </w:r>
          </w:p>
        </w:tc>
        <w:tc>
          <w:tcPr>
            <w:tcW w:w="3167" w:type="dxa"/>
          </w:tcPr>
          <w:p w14:paraId="2F879A31" w14:textId="7231D101" w:rsidR="008002EF" w:rsidRPr="008002EF" w:rsidRDefault="008002EF" w:rsidP="008002EF">
            <w:pPr>
              <w:rPr>
                <w:rFonts w:cs="Arial"/>
                <w:b/>
                <w:bCs/>
              </w:rPr>
            </w:pPr>
            <w:r w:rsidRPr="008002EF">
              <w:t xml:space="preserve">84 </w:t>
            </w:r>
            <w:r w:rsidRPr="008002EF">
              <w:rPr>
                <w:lang w:val="en-US"/>
              </w:rPr>
              <w:t xml:space="preserve">mg </w:t>
            </w:r>
            <w:r w:rsidRPr="008002EF">
              <w:t xml:space="preserve">(0,85 </w:t>
            </w:r>
            <w:r w:rsidRPr="008002EF">
              <w:rPr>
                <w:lang w:val="en-US"/>
              </w:rPr>
              <w:t xml:space="preserve">ml) </w:t>
            </w:r>
            <w:r w:rsidRPr="008002EF">
              <w:t>два пъти дневно</w:t>
            </w:r>
          </w:p>
        </w:tc>
      </w:tr>
      <w:tr w:rsidR="008002EF" w14:paraId="573C9BC6" w14:textId="77777777" w:rsidTr="008002EF">
        <w:tc>
          <w:tcPr>
            <w:tcW w:w="3166" w:type="dxa"/>
          </w:tcPr>
          <w:p w14:paraId="443044A8" w14:textId="7C2BFEBB" w:rsidR="008002EF" w:rsidRPr="008002EF" w:rsidRDefault="008002EF" w:rsidP="008002EF">
            <w:pPr>
              <w:rPr>
                <w:rFonts w:cs="Arial"/>
                <w:b/>
                <w:bCs/>
              </w:rPr>
            </w:pPr>
            <w:r w:rsidRPr="008002EF">
              <w:t xml:space="preserve">5 </w:t>
            </w:r>
            <w:r w:rsidRPr="008002EF">
              <w:rPr>
                <w:lang w:val="en-US"/>
              </w:rPr>
              <w:t>kg</w:t>
            </w:r>
          </w:p>
        </w:tc>
        <w:tc>
          <w:tcPr>
            <w:tcW w:w="3167" w:type="dxa"/>
          </w:tcPr>
          <w:p w14:paraId="0AC6B9C0" w14:textId="3ED85760" w:rsidR="008002EF" w:rsidRPr="008002EF" w:rsidRDefault="008002EF" w:rsidP="008002EF">
            <w:pPr>
              <w:rPr>
                <w:rFonts w:cs="Arial"/>
                <w:b/>
                <w:bCs/>
              </w:rPr>
            </w:pPr>
            <w:r w:rsidRPr="008002EF">
              <w:t xml:space="preserve">35 </w:t>
            </w:r>
            <w:r w:rsidRPr="008002EF">
              <w:rPr>
                <w:lang w:val="en-US"/>
              </w:rPr>
              <w:t xml:space="preserve">mg </w:t>
            </w:r>
            <w:r w:rsidRPr="008002EF">
              <w:t xml:space="preserve">(0,35 </w:t>
            </w:r>
            <w:r w:rsidRPr="008002EF">
              <w:rPr>
                <w:lang w:val="en-US"/>
              </w:rPr>
              <w:t xml:space="preserve">ml) </w:t>
            </w:r>
            <w:r w:rsidRPr="008002EF">
              <w:t>два пъти дневно</w:t>
            </w:r>
          </w:p>
        </w:tc>
        <w:tc>
          <w:tcPr>
            <w:tcW w:w="3167" w:type="dxa"/>
          </w:tcPr>
          <w:p w14:paraId="04D0BF03" w14:textId="0C9CD911" w:rsidR="008002EF" w:rsidRPr="008002EF" w:rsidRDefault="008002EF" w:rsidP="008002EF">
            <w:pPr>
              <w:rPr>
                <w:rFonts w:cs="Arial"/>
                <w:b/>
                <w:bCs/>
              </w:rPr>
            </w:pPr>
            <w:r w:rsidRPr="008002EF">
              <w:t xml:space="preserve">105 </w:t>
            </w:r>
            <w:r w:rsidRPr="008002EF">
              <w:rPr>
                <w:lang w:val="en-US"/>
              </w:rPr>
              <w:t xml:space="preserve">mg </w:t>
            </w:r>
            <w:r w:rsidRPr="008002EF">
              <w:t xml:space="preserve">(1,05 </w:t>
            </w:r>
            <w:r w:rsidRPr="008002EF">
              <w:rPr>
                <w:lang w:val="en-US"/>
              </w:rPr>
              <w:t xml:space="preserve">ml) </w:t>
            </w:r>
            <w:r w:rsidRPr="008002EF">
              <w:t>два пъти дневно</w:t>
            </w:r>
          </w:p>
        </w:tc>
      </w:tr>
      <w:tr w:rsidR="008002EF" w14:paraId="116663BF" w14:textId="77777777" w:rsidTr="008002EF">
        <w:tc>
          <w:tcPr>
            <w:tcW w:w="3166" w:type="dxa"/>
          </w:tcPr>
          <w:p w14:paraId="4B30D1EC" w14:textId="784016D2" w:rsidR="008002EF" w:rsidRPr="008002EF" w:rsidRDefault="008002EF" w:rsidP="008002EF">
            <w:pPr>
              <w:rPr>
                <w:rFonts w:cs="Arial"/>
                <w:b/>
                <w:bCs/>
              </w:rPr>
            </w:pPr>
            <w:r w:rsidRPr="008002EF">
              <w:rPr>
                <w:lang w:val="en-US"/>
              </w:rPr>
              <w:t>7 kg</w:t>
            </w:r>
          </w:p>
        </w:tc>
        <w:tc>
          <w:tcPr>
            <w:tcW w:w="3167" w:type="dxa"/>
          </w:tcPr>
          <w:p w14:paraId="2AF22027" w14:textId="4DB87897" w:rsidR="008002EF" w:rsidRPr="008002EF" w:rsidRDefault="008002EF" w:rsidP="008002EF">
            <w:pPr>
              <w:rPr>
                <w:rFonts w:cs="Arial"/>
                <w:b/>
                <w:bCs/>
              </w:rPr>
            </w:pPr>
            <w:r w:rsidRPr="008002EF">
              <w:t xml:space="preserve">49 </w:t>
            </w:r>
            <w:r w:rsidRPr="008002EF">
              <w:rPr>
                <w:lang w:val="en-US"/>
              </w:rPr>
              <w:t xml:space="preserve">mg </w:t>
            </w:r>
            <w:r w:rsidRPr="008002EF">
              <w:t xml:space="preserve">(0,5 </w:t>
            </w:r>
            <w:r w:rsidRPr="008002EF">
              <w:rPr>
                <w:lang w:val="en-US"/>
              </w:rPr>
              <w:t xml:space="preserve">ml) </w:t>
            </w:r>
            <w:r w:rsidRPr="008002EF">
              <w:t>два пъти дневно</w:t>
            </w:r>
          </w:p>
        </w:tc>
        <w:tc>
          <w:tcPr>
            <w:tcW w:w="3167" w:type="dxa"/>
          </w:tcPr>
          <w:p w14:paraId="25C854B5" w14:textId="38F70DE6" w:rsidR="008002EF" w:rsidRPr="008002EF" w:rsidRDefault="008002EF" w:rsidP="008002EF">
            <w:pPr>
              <w:rPr>
                <w:rFonts w:cs="Arial"/>
                <w:b/>
                <w:bCs/>
              </w:rPr>
            </w:pPr>
            <w:r w:rsidRPr="008002EF">
              <w:t xml:space="preserve">147 </w:t>
            </w:r>
            <w:r w:rsidRPr="008002EF">
              <w:rPr>
                <w:lang w:val="en-US"/>
              </w:rPr>
              <w:t xml:space="preserve">mg </w:t>
            </w:r>
            <w:r w:rsidRPr="008002EF">
              <w:t xml:space="preserve">(1,5 </w:t>
            </w:r>
            <w:r w:rsidRPr="008002EF">
              <w:rPr>
                <w:lang w:val="en-US"/>
              </w:rPr>
              <w:t xml:space="preserve">ml) </w:t>
            </w:r>
            <w:r w:rsidRPr="008002EF">
              <w:t>два пъти дневно</w:t>
            </w:r>
            <w:r w:rsidRPr="008002EF">
              <w:tab/>
            </w:r>
          </w:p>
        </w:tc>
      </w:tr>
    </w:tbl>
    <w:p w14:paraId="632B3D6C" w14:textId="5FC91646" w:rsidR="008002EF" w:rsidRDefault="008002EF" w:rsidP="008002EF">
      <w:pPr>
        <w:rPr>
          <w:rFonts w:cs="Arial"/>
          <w:b/>
          <w:bCs/>
          <w:sz w:val="24"/>
          <w:szCs w:val="24"/>
        </w:rPr>
      </w:pPr>
    </w:p>
    <w:p w14:paraId="6D7CC23E"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Налични са три разновидности на опаковката:</w:t>
      </w:r>
    </w:p>
    <w:p w14:paraId="5B3996FF" w14:textId="77777777" w:rsidR="008002EF" w:rsidRPr="008002EF" w:rsidRDefault="008002EF" w:rsidP="008002EF">
      <w:pPr>
        <w:pStyle w:val="ListParagraph"/>
        <w:numPr>
          <w:ilvl w:val="0"/>
          <w:numId w:val="38"/>
        </w:numPr>
        <w:spacing w:line="240" w:lineRule="auto"/>
        <w:rPr>
          <w:rFonts w:eastAsia="Times New Roman" w:cs="Arial"/>
          <w:sz w:val="28"/>
          <w:szCs w:val="28"/>
          <w:lang w:eastAsia="bg-BG"/>
        </w:rPr>
      </w:pPr>
      <w:r w:rsidRPr="008002EF">
        <w:rPr>
          <w:rFonts w:eastAsia="Times New Roman" w:cs="Arial"/>
          <w:color w:val="000000"/>
          <w:lang w:eastAsia="bg-BG"/>
        </w:rPr>
        <w:t xml:space="preserve">Стъклена бутилка съдържаща 300 </w:t>
      </w:r>
      <w:r w:rsidRPr="008002EF">
        <w:rPr>
          <w:rFonts w:eastAsia="Times New Roman" w:cs="Arial"/>
          <w:color w:val="000000"/>
          <w:lang w:val="en-US"/>
        </w:rPr>
        <w:t xml:space="preserve">ml </w:t>
      </w:r>
      <w:r w:rsidRPr="008002EF">
        <w:rPr>
          <w:rFonts w:eastAsia="Times New Roman" w:cs="Arial"/>
          <w:color w:val="000000"/>
          <w:lang w:eastAsia="bg-BG"/>
        </w:rPr>
        <w:t xml:space="preserve">Репитенд перорален разтвор с градуирана спринцовка за перорално дозиране, съдържаща до 1200 </w:t>
      </w:r>
      <w:r w:rsidRPr="008002EF">
        <w:rPr>
          <w:rFonts w:eastAsia="Times New Roman" w:cs="Arial"/>
          <w:color w:val="000000"/>
          <w:lang w:val="en-US"/>
        </w:rPr>
        <w:t xml:space="preserve">mg </w:t>
      </w:r>
      <w:r w:rsidRPr="008002EF">
        <w:rPr>
          <w:rFonts w:eastAsia="Times New Roman" w:cs="Arial"/>
          <w:color w:val="000000"/>
          <w:lang w:eastAsia="bg-BG"/>
        </w:rPr>
        <w:t xml:space="preserve">леветирацетам (отговарящи на 12 </w:t>
      </w:r>
      <w:r w:rsidRPr="008002EF">
        <w:rPr>
          <w:rFonts w:eastAsia="Times New Roman" w:cs="Arial"/>
          <w:color w:val="000000"/>
          <w:lang w:val="en-US"/>
        </w:rPr>
        <w:t xml:space="preserve">ml), </w:t>
      </w:r>
      <w:r w:rsidRPr="008002EF">
        <w:rPr>
          <w:rFonts w:eastAsia="Times New Roman" w:cs="Arial"/>
          <w:color w:val="000000"/>
          <w:lang w:eastAsia="bg-BG"/>
        </w:rPr>
        <w:t xml:space="preserve">с деления за всеки 0,25 </w:t>
      </w:r>
      <w:r w:rsidRPr="008002EF">
        <w:rPr>
          <w:rFonts w:eastAsia="Times New Roman" w:cs="Arial"/>
          <w:color w:val="000000"/>
          <w:lang w:val="en-US"/>
        </w:rPr>
        <w:t xml:space="preserve">ml </w:t>
      </w:r>
      <w:r w:rsidRPr="008002EF">
        <w:rPr>
          <w:rFonts w:eastAsia="Times New Roman" w:cs="Arial"/>
          <w:color w:val="000000"/>
          <w:lang w:eastAsia="bg-BG"/>
        </w:rPr>
        <w:t xml:space="preserve">(отговарящи на 25 </w:t>
      </w:r>
      <w:r w:rsidRPr="008002EF">
        <w:rPr>
          <w:rFonts w:eastAsia="Times New Roman" w:cs="Arial"/>
          <w:color w:val="000000"/>
          <w:lang w:val="en-US"/>
        </w:rPr>
        <w:t xml:space="preserve">mg). </w:t>
      </w:r>
      <w:r w:rsidRPr="008002EF">
        <w:rPr>
          <w:rFonts w:eastAsia="Times New Roman" w:cs="Arial"/>
          <w:color w:val="000000"/>
          <w:lang w:eastAsia="bg-BG"/>
        </w:rPr>
        <w:t>Тази опаковка трябва да се предписва при деца на 4 и повече години, юноши и възрастни.</w:t>
      </w:r>
    </w:p>
    <w:p w14:paraId="10243410" w14:textId="463E330F" w:rsidR="008002EF" w:rsidRPr="008002EF" w:rsidRDefault="008002EF" w:rsidP="008002EF">
      <w:pPr>
        <w:pStyle w:val="ListParagraph"/>
        <w:numPr>
          <w:ilvl w:val="0"/>
          <w:numId w:val="38"/>
        </w:numPr>
        <w:spacing w:line="240" w:lineRule="auto"/>
        <w:rPr>
          <w:rFonts w:eastAsia="Times New Roman" w:cs="Arial"/>
          <w:sz w:val="28"/>
          <w:szCs w:val="28"/>
          <w:lang w:eastAsia="bg-BG"/>
        </w:rPr>
      </w:pPr>
      <w:r w:rsidRPr="008002EF">
        <w:rPr>
          <w:rFonts w:eastAsia="Times New Roman" w:cs="Arial"/>
          <w:color w:val="000000"/>
          <w:lang w:eastAsia="bg-BG"/>
        </w:rPr>
        <w:t xml:space="preserve">Стъклена бутилка съдържаща 150 </w:t>
      </w:r>
      <w:r w:rsidRPr="008002EF">
        <w:rPr>
          <w:rFonts w:eastAsia="Times New Roman" w:cs="Arial"/>
          <w:color w:val="000000"/>
          <w:lang w:val="en-US"/>
        </w:rPr>
        <w:t xml:space="preserve">ml </w:t>
      </w:r>
      <w:r w:rsidRPr="008002EF">
        <w:rPr>
          <w:rFonts w:eastAsia="Times New Roman" w:cs="Arial"/>
          <w:color w:val="000000"/>
          <w:lang w:eastAsia="bg-BG"/>
        </w:rPr>
        <w:t xml:space="preserve">Репитенд перорален разтвор с градуирана спринцовка за перорално дозиране, съдържаща до 300 </w:t>
      </w:r>
      <w:r w:rsidRPr="008002EF">
        <w:rPr>
          <w:rFonts w:eastAsia="Times New Roman" w:cs="Arial"/>
          <w:color w:val="000000"/>
          <w:lang w:val="en-US"/>
        </w:rPr>
        <w:t xml:space="preserve">mg </w:t>
      </w:r>
      <w:r w:rsidRPr="008002EF">
        <w:rPr>
          <w:rFonts w:eastAsia="Times New Roman" w:cs="Arial"/>
          <w:color w:val="000000"/>
          <w:lang w:eastAsia="bg-BG"/>
        </w:rPr>
        <w:t xml:space="preserve">леветирацетам (отговарящи на 3 </w:t>
      </w:r>
      <w:r w:rsidRPr="008002EF">
        <w:rPr>
          <w:rFonts w:eastAsia="Times New Roman" w:cs="Arial"/>
          <w:color w:val="000000"/>
          <w:lang w:val="en-US"/>
        </w:rPr>
        <w:t xml:space="preserve">ml), </w:t>
      </w:r>
      <w:r w:rsidRPr="008002EF">
        <w:rPr>
          <w:rFonts w:eastAsia="Times New Roman" w:cs="Arial"/>
          <w:color w:val="000000"/>
          <w:lang w:eastAsia="bg-BG"/>
        </w:rPr>
        <w:t xml:space="preserve">с деления за всеки 0,1 </w:t>
      </w:r>
      <w:r w:rsidRPr="008002EF">
        <w:rPr>
          <w:rFonts w:eastAsia="Times New Roman" w:cs="Arial"/>
          <w:color w:val="000000"/>
          <w:lang w:val="en-US"/>
        </w:rPr>
        <w:t xml:space="preserve">ml </w:t>
      </w:r>
      <w:r w:rsidRPr="008002EF">
        <w:rPr>
          <w:rFonts w:eastAsia="Times New Roman" w:cs="Arial"/>
          <w:color w:val="000000"/>
          <w:lang w:eastAsia="bg-BG"/>
        </w:rPr>
        <w:t xml:space="preserve">(отговарящи на 10 </w:t>
      </w:r>
      <w:r w:rsidRPr="008002EF">
        <w:rPr>
          <w:rFonts w:eastAsia="Times New Roman" w:cs="Arial"/>
          <w:color w:val="000000"/>
          <w:lang w:val="en-US"/>
        </w:rPr>
        <w:t>mg).</w:t>
      </w:r>
    </w:p>
    <w:p w14:paraId="57EE0D3F"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 xml:space="preserve">За да се осигури точност при дозирането, на кърмачетата над 6 месеца и малките деца от 6 месеца до 4 годишни трябва да се предписва по-малката опаковка (150 </w:t>
      </w:r>
      <w:r w:rsidRPr="008002EF">
        <w:rPr>
          <w:rFonts w:eastAsia="Times New Roman" w:cs="Arial"/>
          <w:color w:val="000000"/>
          <w:lang w:val="en-US"/>
        </w:rPr>
        <w:t xml:space="preserve">ml) </w:t>
      </w:r>
      <w:r w:rsidRPr="008002EF">
        <w:rPr>
          <w:rFonts w:eastAsia="Times New Roman" w:cs="Arial"/>
          <w:color w:val="000000"/>
          <w:lang w:eastAsia="bg-BG"/>
        </w:rPr>
        <w:t xml:space="preserve">и градуираната спринцовка от 0,1 до 3 </w:t>
      </w:r>
      <w:r w:rsidRPr="008002EF">
        <w:rPr>
          <w:rFonts w:eastAsia="Times New Roman" w:cs="Arial"/>
          <w:color w:val="000000"/>
          <w:lang w:val="en-US"/>
        </w:rPr>
        <w:t xml:space="preserve">ml </w:t>
      </w:r>
      <w:r w:rsidRPr="008002EF">
        <w:rPr>
          <w:rFonts w:eastAsia="Times New Roman" w:cs="Arial"/>
          <w:color w:val="000000"/>
          <w:lang w:eastAsia="bg-BG"/>
        </w:rPr>
        <w:t xml:space="preserve">с деления през 0,1 </w:t>
      </w:r>
      <w:r w:rsidRPr="008002EF">
        <w:rPr>
          <w:rFonts w:eastAsia="Times New Roman" w:cs="Arial"/>
          <w:color w:val="000000"/>
          <w:lang w:val="en-US"/>
        </w:rPr>
        <w:t>ml.</w:t>
      </w:r>
    </w:p>
    <w:p w14:paraId="627F1602" w14:textId="1F8E53E8" w:rsidR="008002EF" w:rsidRPr="008002EF" w:rsidRDefault="008002EF" w:rsidP="008002EF">
      <w:pPr>
        <w:pStyle w:val="ListParagraph"/>
        <w:numPr>
          <w:ilvl w:val="0"/>
          <w:numId w:val="38"/>
        </w:numPr>
        <w:spacing w:line="240" w:lineRule="auto"/>
        <w:rPr>
          <w:rFonts w:eastAsia="Times New Roman" w:cs="Arial"/>
          <w:sz w:val="28"/>
          <w:szCs w:val="28"/>
          <w:lang w:eastAsia="bg-BG"/>
        </w:rPr>
      </w:pPr>
      <w:r w:rsidRPr="008002EF">
        <w:rPr>
          <w:rFonts w:eastAsia="Times New Roman" w:cs="Arial"/>
          <w:color w:val="000000"/>
          <w:lang w:eastAsia="bg-BG"/>
        </w:rPr>
        <w:lastRenderedPageBreak/>
        <w:t xml:space="preserve">Стъклена бутилка съдържаща 150 </w:t>
      </w:r>
      <w:r w:rsidRPr="008002EF">
        <w:rPr>
          <w:rFonts w:eastAsia="Times New Roman" w:cs="Arial"/>
          <w:color w:val="000000"/>
          <w:lang w:val="en-US"/>
        </w:rPr>
        <w:t xml:space="preserve">ml </w:t>
      </w:r>
      <w:r w:rsidRPr="008002EF">
        <w:rPr>
          <w:rFonts w:eastAsia="Times New Roman" w:cs="Arial"/>
          <w:color w:val="000000"/>
          <w:lang w:eastAsia="bg-BG"/>
        </w:rPr>
        <w:t>Репитенд перорален разтвор с градуирана спринцовка за перорално дозиране, съдържаща до 1</w:t>
      </w:r>
      <w:r w:rsidRPr="008002EF">
        <w:rPr>
          <w:rFonts w:eastAsia="Times New Roman" w:cs="Arial"/>
          <w:i/>
          <w:iCs/>
          <w:color w:val="000000"/>
          <w:lang w:eastAsia="bg-BG"/>
        </w:rPr>
        <w:t>00</w:t>
      </w:r>
      <w:r w:rsidRPr="008002EF">
        <w:rPr>
          <w:rFonts w:eastAsia="Times New Roman" w:cs="Arial"/>
          <w:color w:val="000000"/>
          <w:lang w:eastAsia="bg-BG"/>
        </w:rPr>
        <w:t xml:space="preserve"> </w:t>
      </w:r>
      <w:r w:rsidRPr="008002EF">
        <w:rPr>
          <w:rFonts w:eastAsia="Times New Roman" w:cs="Arial"/>
          <w:color w:val="000000"/>
          <w:lang w:val="en-US"/>
        </w:rPr>
        <w:t xml:space="preserve">mg </w:t>
      </w:r>
      <w:r w:rsidRPr="008002EF">
        <w:rPr>
          <w:rFonts w:eastAsia="Times New Roman" w:cs="Arial"/>
          <w:color w:val="000000"/>
          <w:lang w:eastAsia="bg-BG"/>
        </w:rPr>
        <w:t xml:space="preserve">леветирацетам (отговарящи на 1 </w:t>
      </w:r>
      <w:r w:rsidRPr="008002EF">
        <w:rPr>
          <w:rFonts w:eastAsia="Times New Roman" w:cs="Arial"/>
          <w:color w:val="000000"/>
          <w:lang w:val="en-US"/>
        </w:rPr>
        <w:t xml:space="preserve">ml), </w:t>
      </w:r>
      <w:r w:rsidRPr="008002EF">
        <w:rPr>
          <w:rFonts w:eastAsia="Times New Roman" w:cs="Arial"/>
          <w:color w:val="000000"/>
          <w:lang w:eastAsia="bg-BG"/>
        </w:rPr>
        <w:t xml:space="preserve">с деления за всеки 0,05 </w:t>
      </w:r>
      <w:r w:rsidRPr="008002EF">
        <w:rPr>
          <w:rFonts w:eastAsia="Times New Roman" w:cs="Arial"/>
          <w:color w:val="000000"/>
          <w:lang w:val="en-US"/>
        </w:rPr>
        <w:t xml:space="preserve">ml </w:t>
      </w:r>
      <w:r w:rsidRPr="008002EF">
        <w:rPr>
          <w:rFonts w:eastAsia="Times New Roman" w:cs="Arial"/>
          <w:color w:val="000000"/>
          <w:lang w:eastAsia="bg-BG"/>
        </w:rPr>
        <w:t xml:space="preserve">(отговарящи на 5 </w:t>
      </w:r>
      <w:r w:rsidRPr="008002EF">
        <w:rPr>
          <w:rFonts w:eastAsia="Times New Roman" w:cs="Arial"/>
          <w:color w:val="000000"/>
          <w:lang w:val="en-US"/>
        </w:rPr>
        <w:t>mg).</w:t>
      </w:r>
    </w:p>
    <w:p w14:paraId="407C28B0"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 xml:space="preserve">За да се осигури точност при дозирането, на кърмачетата </w:t>
      </w:r>
      <w:r w:rsidRPr="008002EF">
        <w:rPr>
          <w:rFonts w:eastAsia="Times New Roman" w:cs="Arial"/>
          <w:color w:val="000000"/>
          <w:u w:val="single"/>
          <w:lang w:eastAsia="bg-BG"/>
        </w:rPr>
        <w:t>от 1 до 6 месечна възраст</w:t>
      </w:r>
      <w:r w:rsidRPr="008002EF">
        <w:rPr>
          <w:rFonts w:eastAsia="Times New Roman" w:cs="Arial"/>
          <w:color w:val="000000"/>
          <w:lang w:eastAsia="bg-BG"/>
        </w:rPr>
        <w:t xml:space="preserve"> трябва да се предписва по-малката опаковка (150 </w:t>
      </w:r>
      <w:r w:rsidRPr="008002EF">
        <w:rPr>
          <w:rFonts w:eastAsia="Times New Roman" w:cs="Arial"/>
          <w:color w:val="000000"/>
          <w:lang w:val="en-US"/>
        </w:rPr>
        <w:t xml:space="preserve">ml) </w:t>
      </w:r>
      <w:r w:rsidRPr="008002EF">
        <w:rPr>
          <w:rFonts w:eastAsia="Times New Roman" w:cs="Arial"/>
          <w:color w:val="000000"/>
          <w:lang w:eastAsia="bg-BG"/>
        </w:rPr>
        <w:t xml:space="preserve">и градуираната спринцовка от 0,05 до 1 </w:t>
      </w:r>
      <w:r w:rsidRPr="008002EF">
        <w:rPr>
          <w:rFonts w:eastAsia="Times New Roman" w:cs="Arial"/>
          <w:color w:val="000000"/>
          <w:lang w:val="en-US"/>
        </w:rPr>
        <w:t xml:space="preserve">ml </w:t>
      </w:r>
      <w:r w:rsidRPr="008002EF">
        <w:rPr>
          <w:rFonts w:eastAsia="Times New Roman" w:cs="Arial"/>
          <w:color w:val="000000"/>
          <w:lang w:eastAsia="bg-BG"/>
        </w:rPr>
        <w:t xml:space="preserve">с деления през 0,05 </w:t>
      </w:r>
      <w:r w:rsidRPr="008002EF">
        <w:rPr>
          <w:rFonts w:eastAsia="Times New Roman" w:cs="Arial"/>
          <w:color w:val="000000"/>
          <w:lang w:val="en-US"/>
        </w:rPr>
        <w:t>ml.</w:t>
      </w:r>
    </w:p>
    <w:p w14:paraId="0F7D2A6E" w14:textId="77777777" w:rsidR="008002EF" w:rsidRPr="008002EF" w:rsidRDefault="008002EF" w:rsidP="008002EF">
      <w:pPr>
        <w:spacing w:line="240" w:lineRule="auto"/>
        <w:rPr>
          <w:rFonts w:eastAsia="Times New Roman" w:cs="Arial"/>
          <w:color w:val="000000"/>
          <w:u w:val="single"/>
          <w:lang w:eastAsia="bg-BG"/>
        </w:rPr>
      </w:pPr>
    </w:p>
    <w:p w14:paraId="7631B93B" w14:textId="26A47DDC" w:rsidR="008002EF" w:rsidRPr="008002EF" w:rsidRDefault="008002EF" w:rsidP="008002EF">
      <w:pPr>
        <w:pStyle w:val="Heading3"/>
        <w:rPr>
          <w:rFonts w:eastAsia="Times New Roman"/>
          <w:sz w:val="28"/>
          <w:szCs w:val="28"/>
          <w:u w:val="single"/>
          <w:lang w:eastAsia="bg-BG"/>
        </w:rPr>
      </w:pPr>
      <w:r w:rsidRPr="008002EF">
        <w:rPr>
          <w:rFonts w:eastAsia="Times New Roman"/>
          <w:u w:val="single"/>
          <w:lang w:eastAsia="bg-BG"/>
        </w:rPr>
        <w:t>Начин на приложение</w:t>
      </w:r>
    </w:p>
    <w:p w14:paraId="6C9C0FB5" w14:textId="77777777" w:rsidR="008002EF" w:rsidRPr="008002EF" w:rsidRDefault="008002EF" w:rsidP="008002EF">
      <w:pPr>
        <w:spacing w:line="240" w:lineRule="auto"/>
        <w:rPr>
          <w:rFonts w:ascii="Times New Roman" w:eastAsia="Times New Roman" w:hAnsi="Times New Roman" w:cs="Times New Roman"/>
          <w:sz w:val="24"/>
          <w:szCs w:val="24"/>
          <w:lang w:eastAsia="bg-BG"/>
        </w:rPr>
      </w:pPr>
      <w:r w:rsidRPr="008002EF">
        <w:rPr>
          <w:rFonts w:eastAsia="Times New Roman" w:cs="Arial"/>
          <w:color w:val="000000"/>
          <w:lang w:eastAsia="bg-BG"/>
        </w:rPr>
        <w:t>Пероралният разтвор може да се разреди в чаша вода или в шишето на бебето, като приемът му може да става със или без храна. След перорално приложение може да се усети горчивият вкус на леветирацетам.</w:t>
      </w:r>
    </w:p>
    <w:p w14:paraId="406873EA" w14:textId="77777777" w:rsidR="008002EF" w:rsidRPr="008002EF" w:rsidRDefault="008002EF" w:rsidP="008002EF">
      <w:pPr>
        <w:rPr>
          <w:rFonts w:cs="Arial"/>
          <w:b/>
          <w:bCs/>
          <w:sz w:val="24"/>
          <w:szCs w:val="24"/>
        </w:rPr>
      </w:pPr>
    </w:p>
    <w:p w14:paraId="1BF2EFF4" w14:textId="6BBFB2CA" w:rsidR="001A6EBD" w:rsidRDefault="002C50EE" w:rsidP="00471F10">
      <w:pPr>
        <w:pStyle w:val="Heading2"/>
      </w:pPr>
      <w:r>
        <w:t>4.3. Противопоказания</w:t>
      </w:r>
    </w:p>
    <w:p w14:paraId="343ADC54" w14:textId="5123608D" w:rsidR="008002EF" w:rsidRDefault="008002EF" w:rsidP="008002EF"/>
    <w:p w14:paraId="553BD97D" w14:textId="4ED78598" w:rsidR="008002EF" w:rsidRDefault="008002EF" w:rsidP="008002EF">
      <w:pPr>
        <w:rPr>
          <w:lang w:eastAsia="bg-BG"/>
        </w:rPr>
      </w:pPr>
      <w:r w:rsidRPr="008002EF">
        <w:rPr>
          <w:lang w:eastAsia="bg-BG"/>
        </w:rPr>
        <w:t>Свръхчувствителност към леветирацетам или към други пиролидонови производни, или към някое от помощните вещества, изброени в точка 6.1.</w:t>
      </w:r>
    </w:p>
    <w:p w14:paraId="3D2D034B" w14:textId="77777777" w:rsidR="008002EF" w:rsidRPr="008002EF" w:rsidRDefault="008002EF" w:rsidP="008002EF">
      <w:pPr>
        <w:rPr>
          <w:sz w:val="24"/>
          <w:szCs w:val="24"/>
          <w:lang w:eastAsia="bg-BG"/>
        </w:rPr>
      </w:pPr>
    </w:p>
    <w:p w14:paraId="0C106098" w14:textId="02E41D61" w:rsidR="001A6EBD" w:rsidRDefault="002C50EE" w:rsidP="00471F10">
      <w:pPr>
        <w:pStyle w:val="Heading2"/>
      </w:pPr>
      <w:r>
        <w:t>4.4. Специални предупреждения и предпазни мерки при употреба</w:t>
      </w:r>
    </w:p>
    <w:p w14:paraId="0447D082" w14:textId="5216BC88" w:rsidR="008002EF" w:rsidRDefault="008002EF" w:rsidP="008002EF"/>
    <w:p w14:paraId="63BBCDDA"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Бъбречно увреждане</w:t>
      </w:r>
    </w:p>
    <w:p w14:paraId="36D50467"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Прилагането на леветирацетам при пациенти с бъбречно увреждане може да изисква адаптиране на дозата. При пациенти с тежко нарушение на чернодробната функция се препоръчва оценка на бъбречната функция преди определяне на дозата (вж. точка 4.2).</w:t>
      </w:r>
    </w:p>
    <w:p w14:paraId="6586919F" w14:textId="77777777" w:rsidR="008002EF" w:rsidRPr="008002EF" w:rsidRDefault="008002EF" w:rsidP="008002EF">
      <w:pPr>
        <w:spacing w:line="240" w:lineRule="auto"/>
        <w:rPr>
          <w:rFonts w:eastAsia="Times New Roman" w:cs="Arial"/>
          <w:color w:val="000000"/>
          <w:u w:val="single"/>
          <w:lang w:eastAsia="bg-BG"/>
        </w:rPr>
      </w:pPr>
    </w:p>
    <w:p w14:paraId="2516C5F3" w14:textId="65C22EB4"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u w:val="single"/>
          <w:lang w:eastAsia="bg-BG"/>
        </w:rPr>
        <w:t>Остра бъбречна недостатъчност</w:t>
      </w:r>
    </w:p>
    <w:p w14:paraId="75B4CFA5"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Много рядко употребата на леветирацетам се свързва с остра бъбречна недостатъчност, като времето за нейното възникване варира от няколко дни до няколко месеца.</w:t>
      </w:r>
    </w:p>
    <w:p w14:paraId="289A2EF4" w14:textId="77777777" w:rsidR="008002EF" w:rsidRPr="008002EF" w:rsidRDefault="008002EF" w:rsidP="008002EF">
      <w:pPr>
        <w:spacing w:line="240" w:lineRule="auto"/>
        <w:rPr>
          <w:rFonts w:eastAsia="Times New Roman" w:cs="Arial"/>
          <w:color w:val="000000"/>
          <w:u w:val="single"/>
          <w:lang w:eastAsia="bg-BG"/>
        </w:rPr>
      </w:pPr>
    </w:p>
    <w:p w14:paraId="348EDB03" w14:textId="768D5F9E"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u w:val="single"/>
          <w:lang w:eastAsia="bg-BG"/>
        </w:rPr>
        <w:t>Кръвна картина</w:t>
      </w:r>
    </w:p>
    <w:p w14:paraId="6774D57C"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Редки случаи на намален брой кръвни клетки (неутропения, агранулоцитоза, левкопения, тромбоцитопения и панцитопения) са описани във връзка с приложението на леветирацетам, случващо се обикновено в началото на лечението. Пълната кръвна картина се препоръчва при пациенти, които получат значителна слабост, пирексия, повтарящи се инфекции или нарушения в кръвосъсирването (точка 4.8).</w:t>
      </w:r>
    </w:p>
    <w:p w14:paraId="57A22E10" w14:textId="77777777" w:rsidR="008002EF" w:rsidRPr="008002EF" w:rsidRDefault="008002EF" w:rsidP="008002EF">
      <w:pPr>
        <w:spacing w:line="240" w:lineRule="auto"/>
        <w:rPr>
          <w:rFonts w:eastAsia="Times New Roman" w:cs="Arial"/>
          <w:color w:val="000000"/>
          <w:u w:val="single"/>
          <w:lang w:eastAsia="bg-BG"/>
        </w:rPr>
      </w:pPr>
    </w:p>
    <w:p w14:paraId="082ED642" w14:textId="3E08188A"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u w:val="single"/>
          <w:lang w:eastAsia="bg-BG"/>
        </w:rPr>
        <w:t>Самоубийство</w:t>
      </w:r>
    </w:p>
    <w:p w14:paraId="4D4B8BCE" w14:textId="03CE040B" w:rsidR="008002EF" w:rsidRPr="008002EF" w:rsidRDefault="008002EF" w:rsidP="008002EF">
      <w:pPr>
        <w:rPr>
          <w:rFonts w:eastAsia="Times New Roman" w:cs="Arial"/>
          <w:color w:val="000000"/>
          <w:lang w:eastAsia="bg-BG"/>
        </w:rPr>
      </w:pPr>
      <w:r w:rsidRPr="008002EF">
        <w:rPr>
          <w:rFonts w:eastAsia="Times New Roman" w:cs="Arial"/>
          <w:color w:val="000000"/>
          <w:lang w:eastAsia="bg-BG"/>
        </w:rPr>
        <w:t>При пациенти, лекувани с антиепилептични средства (включително леветирацетам) са съобщавани случаи на самоубийство, опит за самоубийство, суицидни мисли и поведение. Мета-анализа на рандомизирани, плацебо-контролирани проучвания при антиепидептични</w:t>
      </w:r>
      <w:r w:rsidRPr="008002EF">
        <w:rPr>
          <w:rFonts w:eastAsia="Times New Roman" w:cs="Arial"/>
          <w:color w:val="000000"/>
          <w:vertAlign w:val="superscript"/>
          <w:lang w:eastAsia="bg-BG"/>
        </w:rPr>
        <w:t xml:space="preserve"> </w:t>
      </w:r>
      <w:r w:rsidRPr="008002EF">
        <w:rPr>
          <w:rFonts w:eastAsia="Times New Roman" w:cs="Arial"/>
          <w:color w:val="000000"/>
          <w:lang w:eastAsia="bg-BG"/>
        </w:rPr>
        <w:t>лекарствени продукти показва леко повишение на риска от поява на суицидни мисли и</w:t>
      </w:r>
      <w:r w:rsidRPr="008002EF">
        <w:rPr>
          <w:rFonts w:eastAsia="Times New Roman" w:cs="Arial"/>
          <w:i/>
          <w:iCs/>
          <w:color w:val="000000"/>
          <w:lang w:eastAsia="bg-BG"/>
        </w:rPr>
        <w:t xml:space="preserve"> </w:t>
      </w:r>
      <w:r w:rsidRPr="008002EF">
        <w:rPr>
          <w:rFonts w:eastAsia="Times New Roman" w:cs="Arial"/>
          <w:color w:val="000000"/>
          <w:lang w:eastAsia="bg-BG"/>
        </w:rPr>
        <w:t>поведение. Механизмът на този риск не е известен.</w:t>
      </w:r>
    </w:p>
    <w:p w14:paraId="117DC083" w14:textId="204F2301" w:rsidR="008002EF" w:rsidRPr="008002EF" w:rsidRDefault="008002EF" w:rsidP="008002EF">
      <w:pPr>
        <w:rPr>
          <w:rFonts w:eastAsia="Times New Roman" w:cs="Arial"/>
          <w:color w:val="000000"/>
          <w:lang w:eastAsia="bg-BG"/>
        </w:rPr>
      </w:pPr>
    </w:p>
    <w:p w14:paraId="34E27C14"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Затова пациентите трябва да бъдат проследявани за признаци на депресия и/или суицидни мисли и поведение и трябва да се предприеме съответното лечение. Пациентите (и хората, които се грижат за тях) трябва да бъдат посъветвани да потърсят лекарски съвет, в случай, че се появят признаци на депресия и/или суицидни мисли или поведение.</w:t>
      </w:r>
    </w:p>
    <w:p w14:paraId="36307608" w14:textId="77777777" w:rsidR="008002EF" w:rsidRPr="008002EF" w:rsidRDefault="008002EF" w:rsidP="008002EF">
      <w:pPr>
        <w:spacing w:line="240" w:lineRule="auto"/>
        <w:rPr>
          <w:rFonts w:eastAsia="Times New Roman" w:cs="Arial"/>
          <w:color w:val="000000"/>
          <w:u w:val="single"/>
          <w:lang w:eastAsia="bg-BG"/>
        </w:rPr>
      </w:pPr>
    </w:p>
    <w:p w14:paraId="6FBEE122" w14:textId="43553073"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u w:val="single"/>
          <w:lang w:eastAsia="bg-BG"/>
        </w:rPr>
        <w:t>Абнормно и агресивно поведение</w:t>
      </w:r>
    </w:p>
    <w:p w14:paraId="08CFB557"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lastRenderedPageBreak/>
        <w:t>Леветирацетам може да причини психотични симптоми и поведенчески аномалии, включително раздразнителност и агресивност. Пациентите, лекувани с леветирацетам, трябва да бъдат наблюдавани за развитие на психиатрични прояви, насочващи към съществени промени в настроението и/или личността. Ако се забележат такива поведения, трябва да се обмисли коригиране или постепенно преустановяване на лечението. Ако се вземе решение за преустановяване, моля вижте точка 4.2.</w:t>
      </w:r>
    </w:p>
    <w:p w14:paraId="623F12AB" w14:textId="77777777" w:rsidR="008002EF" w:rsidRPr="008002EF" w:rsidRDefault="008002EF" w:rsidP="008002EF">
      <w:pPr>
        <w:spacing w:line="240" w:lineRule="auto"/>
        <w:rPr>
          <w:rFonts w:eastAsia="Times New Roman" w:cs="Arial"/>
          <w:color w:val="000000"/>
          <w:u w:val="single"/>
          <w:lang w:eastAsia="bg-BG"/>
        </w:rPr>
      </w:pPr>
    </w:p>
    <w:p w14:paraId="236C71F2" w14:textId="7C2CEAF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u w:val="single"/>
          <w:lang w:eastAsia="bg-BG"/>
        </w:rPr>
        <w:t>Педиатрична популация</w:t>
      </w:r>
    </w:p>
    <w:p w14:paraId="125C1241"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Наличните данни при деца не показват повлияване на растежа и пубертета. Въпреки това, не са известни дълготрайните ефекти върху способността за заучаване, интелекта, растежа, ендокринната функция, пубертета и възпроизводствения потенциал.</w:t>
      </w:r>
    </w:p>
    <w:p w14:paraId="53C7D9CF" w14:textId="77777777" w:rsidR="008002EF" w:rsidRPr="008002EF" w:rsidRDefault="008002EF" w:rsidP="008002EF">
      <w:pPr>
        <w:spacing w:line="240" w:lineRule="auto"/>
        <w:rPr>
          <w:rFonts w:eastAsia="Times New Roman" w:cs="Arial"/>
          <w:color w:val="000000"/>
          <w:u w:val="single"/>
          <w:lang w:eastAsia="bg-BG"/>
        </w:rPr>
      </w:pPr>
    </w:p>
    <w:p w14:paraId="71350A12" w14:textId="28BC1D96"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u w:val="single"/>
          <w:lang w:eastAsia="bg-BG"/>
        </w:rPr>
        <w:t>Помощни вещества:</w:t>
      </w:r>
    </w:p>
    <w:p w14:paraId="1AD0592A"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 xml:space="preserve">Репитенд 100 </w:t>
      </w:r>
      <w:r w:rsidRPr="008002EF">
        <w:rPr>
          <w:rFonts w:eastAsia="Times New Roman" w:cs="Arial"/>
          <w:color w:val="000000"/>
          <w:lang w:val="en-US"/>
        </w:rPr>
        <w:t xml:space="preserve">mg/ml </w:t>
      </w:r>
      <w:r w:rsidRPr="008002EF">
        <w:rPr>
          <w:rFonts w:eastAsia="Times New Roman" w:cs="Arial"/>
          <w:color w:val="000000"/>
          <w:lang w:eastAsia="bg-BG"/>
        </w:rPr>
        <w:t>перорален разтвор съдържа метил парахидроксибензоат (Е218) и пропил парахидроксибензоат (Е216), които могат да предизвикат алергични реакции (вероятно от забавен тип).</w:t>
      </w:r>
    </w:p>
    <w:p w14:paraId="45F96737" w14:textId="77777777"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Съдържа също и течен малтитол. Пациенти с редки наследствени проблеми на непоносимост към фруктоза не трябва да приемат това лекарство.</w:t>
      </w:r>
    </w:p>
    <w:p w14:paraId="38A6A4C0" w14:textId="77777777" w:rsidR="008002EF" w:rsidRPr="008002EF" w:rsidRDefault="008002EF" w:rsidP="008002EF">
      <w:pPr>
        <w:spacing w:line="240" w:lineRule="auto"/>
        <w:rPr>
          <w:rFonts w:eastAsia="Times New Roman" w:cs="Arial"/>
          <w:color w:val="000000"/>
          <w:lang w:eastAsia="bg-BG"/>
        </w:rPr>
      </w:pPr>
    </w:p>
    <w:p w14:paraId="0BF98359" w14:textId="34FBBDA1" w:rsidR="008002EF" w:rsidRPr="008002EF" w:rsidRDefault="008002EF" w:rsidP="008002EF">
      <w:pPr>
        <w:spacing w:line="240" w:lineRule="auto"/>
        <w:rPr>
          <w:rFonts w:eastAsia="Times New Roman" w:cs="Arial"/>
          <w:sz w:val="28"/>
          <w:szCs w:val="28"/>
          <w:lang w:eastAsia="bg-BG"/>
        </w:rPr>
      </w:pPr>
      <w:r w:rsidRPr="008002EF">
        <w:rPr>
          <w:rFonts w:eastAsia="Times New Roman" w:cs="Arial"/>
          <w:color w:val="000000"/>
          <w:lang w:eastAsia="bg-BG"/>
        </w:rPr>
        <w:t xml:space="preserve">Това лекарство съдържа по-малко от 1 </w:t>
      </w:r>
      <w:r w:rsidRPr="008002EF">
        <w:rPr>
          <w:rFonts w:eastAsia="Times New Roman" w:cs="Arial"/>
          <w:color w:val="000000"/>
          <w:lang w:val="en-US"/>
        </w:rPr>
        <w:t xml:space="preserve">mmol </w:t>
      </w:r>
      <w:r w:rsidRPr="008002EF">
        <w:rPr>
          <w:rFonts w:eastAsia="Times New Roman" w:cs="Arial"/>
          <w:color w:val="000000"/>
          <w:lang w:eastAsia="bg-BG"/>
        </w:rPr>
        <w:t xml:space="preserve">натрий (23 </w:t>
      </w:r>
      <w:r w:rsidRPr="008002EF">
        <w:rPr>
          <w:rFonts w:eastAsia="Times New Roman" w:cs="Arial"/>
          <w:color w:val="000000"/>
          <w:lang w:val="en-US"/>
        </w:rPr>
        <w:t xml:space="preserve">mg) </w:t>
      </w:r>
      <w:r w:rsidRPr="008002EF">
        <w:rPr>
          <w:rFonts w:eastAsia="Times New Roman" w:cs="Arial"/>
          <w:color w:val="000000"/>
          <w:lang w:eastAsia="bg-BG"/>
        </w:rPr>
        <w:t xml:space="preserve">на </w:t>
      </w:r>
      <w:r w:rsidRPr="008002EF">
        <w:rPr>
          <w:rFonts w:eastAsia="Times New Roman" w:cs="Arial"/>
          <w:color w:val="000000"/>
          <w:lang w:val="en-US"/>
        </w:rPr>
        <w:t xml:space="preserve">ml, </w:t>
      </w:r>
      <w:r w:rsidRPr="008002EF">
        <w:rPr>
          <w:rFonts w:eastAsia="Times New Roman" w:cs="Arial"/>
          <w:color w:val="000000"/>
          <w:lang w:eastAsia="bg-BG"/>
        </w:rPr>
        <w:t>т.е. може да се каже, че практически не съдържа натрий.</w:t>
      </w:r>
    </w:p>
    <w:p w14:paraId="16FEA6CC" w14:textId="77777777" w:rsidR="008002EF" w:rsidRPr="008002EF" w:rsidRDefault="008002EF" w:rsidP="008002EF"/>
    <w:p w14:paraId="524AC966" w14:textId="3D9A3D7F" w:rsidR="001A6EBD" w:rsidRDefault="002C50EE" w:rsidP="00471F10">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61360B59" w14:textId="715E49D8" w:rsidR="007657AD" w:rsidRDefault="007657AD" w:rsidP="007657AD"/>
    <w:p w14:paraId="4BBD6515"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u w:val="single"/>
          <w:lang w:eastAsia="bg-BG"/>
        </w:rPr>
        <w:t>Антиепилептични лекарствени продукти</w:t>
      </w:r>
    </w:p>
    <w:p w14:paraId="3BDBB69D"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Данните от клинични проучвания при възрастни, преди пускане в продажба показват, че леветирацетам не оказва влияние върху серумните концентрации на съществуващите антиепилептични лекарствени продукти (фенитоин, карбамазепин, валпроева киселина, фенобарбитал, ламотрижин, габапентин и примидон), както и че тези антиепилептични лекарства не влияят върху фармакокинетиката на леветирацетам.</w:t>
      </w:r>
    </w:p>
    <w:p w14:paraId="675E1DEB" w14:textId="77777777" w:rsidR="007657AD" w:rsidRPr="007657AD" w:rsidRDefault="007657AD" w:rsidP="007657AD">
      <w:pPr>
        <w:spacing w:line="240" w:lineRule="auto"/>
        <w:rPr>
          <w:rFonts w:eastAsia="Times New Roman" w:cs="Arial"/>
          <w:color w:val="000000"/>
          <w:lang w:eastAsia="bg-BG"/>
        </w:rPr>
      </w:pPr>
    </w:p>
    <w:p w14:paraId="76F972A8" w14:textId="0845586E"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 xml:space="preserve">Не съществуват категорични данни за клинично значими лекарствени взаимодействия както при възрастни, така и при педиатрични пациенти, приемащи до 60 </w:t>
      </w:r>
      <w:r w:rsidRPr="007657AD">
        <w:rPr>
          <w:rFonts w:eastAsia="Times New Roman" w:cs="Arial"/>
          <w:color w:val="000000"/>
          <w:lang w:val="en-US"/>
        </w:rPr>
        <w:t>mg/kg</w:t>
      </w:r>
      <w:r w:rsidRPr="007657AD">
        <w:rPr>
          <w:rFonts w:eastAsia="Times New Roman" w:cs="Arial"/>
          <w:color w:val="000000"/>
          <w:lang w:eastAsia="bg-BG"/>
        </w:rPr>
        <w:t>/дневно леветирацетам.</w:t>
      </w:r>
    </w:p>
    <w:p w14:paraId="5AB09E20"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Ретроспективната оценка на фармакокинетичните взаимодействия при деца и юноши с епилепсия (4 до 17 години), потвърждава, че допълващото лечение с перорално приложен леветирацетам не повлиява стационарните серумни концентрации на едновременно прилаганите карбамазепин и валпроат. Въпреки това данните предполагат 20% по-висок клирънс на леветирацетам при деца, приемащи ензим-индуциращи антиепилептични лекарствени продукти. Не е необходимо адаптиране на дозата.</w:t>
      </w:r>
    </w:p>
    <w:p w14:paraId="6980ABB2" w14:textId="77777777" w:rsidR="007657AD" w:rsidRPr="007657AD" w:rsidRDefault="007657AD" w:rsidP="007657AD">
      <w:pPr>
        <w:spacing w:line="240" w:lineRule="auto"/>
        <w:rPr>
          <w:rFonts w:eastAsia="Times New Roman" w:cs="Arial"/>
          <w:color w:val="000000"/>
          <w:u w:val="single"/>
          <w:lang w:eastAsia="bg-BG"/>
        </w:rPr>
      </w:pPr>
    </w:p>
    <w:p w14:paraId="44AF1EA5" w14:textId="20AEB5C9"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u w:val="single"/>
          <w:lang w:eastAsia="bg-BG"/>
        </w:rPr>
        <w:t>Пробенецид</w:t>
      </w:r>
    </w:p>
    <w:p w14:paraId="0D3784CC"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 xml:space="preserve">Установено е, че пробенецид (500 </w:t>
      </w:r>
      <w:r w:rsidRPr="007657AD">
        <w:rPr>
          <w:rFonts w:eastAsia="Times New Roman" w:cs="Arial"/>
          <w:color w:val="000000"/>
          <w:lang w:val="en-US"/>
        </w:rPr>
        <w:t xml:space="preserve">mg </w:t>
      </w:r>
      <w:r w:rsidRPr="007657AD">
        <w:rPr>
          <w:rFonts w:eastAsia="Times New Roman" w:cs="Arial"/>
          <w:color w:val="000000"/>
          <w:lang w:eastAsia="bg-BG"/>
        </w:rPr>
        <w:t>четири пъти дневно), блокер на бъбречната тубулна секреция, инхибира реналния клирънс на първичния метаболит, но не и на леветирацет</w:t>
      </w:r>
      <w:r w:rsidRPr="007657AD">
        <w:rPr>
          <w:rFonts w:eastAsia="Times New Roman" w:cs="Arial"/>
          <w:color w:val="000000"/>
          <w:u w:val="single"/>
          <w:lang w:eastAsia="bg-BG"/>
        </w:rPr>
        <w:t xml:space="preserve">ам. </w:t>
      </w:r>
      <w:r w:rsidRPr="007657AD">
        <w:rPr>
          <w:rFonts w:eastAsia="Times New Roman" w:cs="Arial"/>
          <w:color w:val="000000"/>
          <w:lang w:eastAsia="bg-BG"/>
        </w:rPr>
        <w:t>Въпреки това концентрацията на този метаболит остава ниска.</w:t>
      </w:r>
    </w:p>
    <w:p w14:paraId="4245B946" w14:textId="77777777" w:rsidR="007657AD" w:rsidRPr="007657AD" w:rsidRDefault="007657AD" w:rsidP="007657AD">
      <w:pPr>
        <w:spacing w:line="240" w:lineRule="auto"/>
        <w:rPr>
          <w:rFonts w:eastAsia="Times New Roman" w:cs="Arial"/>
          <w:color w:val="000000"/>
          <w:u w:val="single"/>
          <w:lang w:eastAsia="bg-BG"/>
        </w:rPr>
      </w:pPr>
    </w:p>
    <w:p w14:paraId="25EE4C52" w14:textId="0847B70A"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u w:val="single"/>
          <w:lang w:eastAsia="bg-BG"/>
        </w:rPr>
        <w:t>Метотрексат</w:t>
      </w:r>
    </w:p>
    <w:p w14:paraId="635BF4F2" w14:textId="77777777" w:rsidR="007657AD" w:rsidRPr="007657AD" w:rsidRDefault="007657AD" w:rsidP="007657AD">
      <w:pPr>
        <w:rPr>
          <w:rFonts w:eastAsia="Times New Roman" w:cs="Arial"/>
          <w:sz w:val="28"/>
          <w:szCs w:val="28"/>
          <w:lang w:eastAsia="bg-BG"/>
        </w:rPr>
      </w:pPr>
      <w:r w:rsidRPr="007657AD">
        <w:rPr>
          <w:rFonts w:eastAsia="Times New Roman" w:cs="Arial"/>
          <w:color w:val="000000"/>
          <w:lang w:eastAsia="bg-BG"/>
        </w:rPr>
        <w:t>Съобщено е, че едновременното приложение на леветирацетам и метотрексат намалява</w:t>
      </w:r>
      <w:r w:rsidRPr="007657AD">
        <w:rPr>
          <w:rFonts w:eastAsia="Times New Roman" w:cs="Arial"/>
          <w:color w:val="000000"/>
          <w:vertAlign w:val="superscript"/>
          <w:lang w:eastAsia="bg-BG"/>
        </w:rPr>
        <w:t xml:space="preserve"> </w:t>
      </w:r>
      <w:r w:rsidRPr="007657AD">
        <w:rPr>
          <w:rFonts w:eastAsia="Times New Roman" w:cs="Arial"/>
          <w:color w:val="000000"/>
          <w:lang w:eastAsia="bg-BG"/>
        </w:rPr>
        <w:t xml:space="preserve">клирънса на метотрексат, което води до повишена концентрация/задържане на </w:t>
      </w:r>
      <w:r w:rsidRPr="007657AD">
        <w:rPr>
          <w:rFonts w:eastAsia="Times New Roman" w:cs="Arial"/>
          <w:color w:val="000000"/>
          <w:lang w:eastAsia="bg-BG"/>
        </w:rPr>
        <w:lastRenderedPageBreak/>
        <w:t>метотрексат в</w:t>
      </w:r>
      <w:r w:rsidRPr="007657AD">
        <w:rPr>
          <w:rFonts w:eastAsia="Times New Roman" w:cs="Arial"/>
          <w:color w:val="000000"/>
          <w:lang w:eastAsia="bg-BG"/>
        </w:rPr>
        <w:t xml:space="preserve"> </w:t>
      </w:r>
      <w:r w:rsidRPr="007657AD">
        <w:rPr>
          <w:rFonts w:eastAsia="Times New Roman" w:cs="Arial"/>
          <w:color w:val="000000"/>
          <w:lang w:eastAsia="bg-BG"/>
        </w:rPr>
        <w:t>кръвта до потенциално токсични нива. Нивата на метотрексат и леветирацетам в кръвта трябва да се проследяват внимателно при пациенти, лекувани едновременно с двете лекарства.</w:t>
      </w:r>
    </w:p>
    <w:p w14:paraId="42CA4260" w14:textId="77777777" w:rsidR="007657AD" w:rsidRPr="007657AD" w:rsidRDefault="007657AD" w:rsidP="007657AD">
      <w:pPr>
        <w:spacing w:line="240" w:lineRule="auto"/>
        <w:rPr>
          <w:rFonts w:eastAsia="Times New Roman" w:cs="Arial"/>
          <w:color w:val="000000"/>
          <w:u w:val="single"/>
          <w:lang w:eastAsia="bg-BG"/>
        </w:rPr>
      </w:pPr>
    </w:p>
    <w:p w14:paraId="59D0D1F0" w14:textId="75D68C1E"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u w:val="single"/>
          <w:lang w:eastAsia="bg-BG"/>
        </w:rPr>
        <w:t>Перорални контрацептиви и други фармакокинетични взаимодействия</w:t>
      </w:r>
    </w:p>
    <w:p w14:paraId="3B12BEDA"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 xml:space="preserve">Леветирацетам 1000 </w:t>
      </w:r>
      <w:r w:rsidRPr="007657AD">
        <w:rPr>
          <w:rFonts w:eastAsia="Times New Roman" w:cs="Arial"/>
          <w:color w:val="000000"/>
          <w:lang w:val="en-US"/>
        </w:rPr>
        <w:t xml:space="preserve">mg </w:t>
      </w:r>
      <w:r w:rsidRPr="007657AD">
        <w:rPr>
          <w:rFonts w:eastAsia="Times New Roman" w:cs="Arial"/>
          <w:color w:val="000000"/>
          <w:lang w:eastAsia="bg-BG"/>
        </w:rPr>
        <w:t xml:space="preserve">дневно не повлиява фармакокинетиката на пероралните контрацептиви (етинилестрадиол и левоноргестрел); ендокринните параметри (лутеинизиращ хормон и прогестерон) не се променят. Леветирацетам 2000 </w:t>
      </w:r>
      <w:r w:rsidRPr="007657AD">
        <w:rPr>
          <w:rFonts w:eastAsia="Times New Roman" w:cs="Arial"/>
          <w:color w:val="000000"/>
          <w:lang w:val="en-US"/>
        </w:rPr>
        <w:t xml:space="preserve">mg </w:t>
      </w:r>
      <w:r w:rsidRPr="007657AD">
        <w:rPr>
          <w:rFonts w:eastAsia="Times New Roman" w:cs="Arial"/>
          <w:color w:val="000000"/>
          <w:lang w:eastAsia="bg-BG"/>
        </w:rPr>
        <w:t>дневно не повлиява фармакокинетиката на дигоксин и варфарин; протромбиновото време не се променя. Едновременното приемане с дигоксин, перорални контрацептиви и варфарин не повлиява фармакокинетиката на леветирацетам.</w:t>
      </w:r>
    </w:p>
    <w:p w14:paraId="7F9CA63C" w14:textId="77777777" w:rsidR="007657AD" w:rsidRPr="007657AD" w:rsidRDefault="007657AD" w:rsidP="007657AD">
      <w:pPr>
        <w:spacing w:line="240" w:lineRule="auto"/>
        <w:rPr>
          <w:rFonts w:eastAsia="Times New Roman" w:cs="Arial"/>
          <w:color w:val="000000"/>
          <w:u w:val="single"/>
          <w:lang w:eastAsia="bg-BG"/>
        </w:rPr>
      </w:pPr>
    </w:p>
    <w:p w14:paraId="593082CA" w14:textId="646130DE"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u w:val="single"/>
          <w:lang w:eastAsia="bg-BG"/>
        </w:rPr>
        <w:t>Слабителни</w:t>
      </w:r>
    </w:p>
    <w:p w14:paraId="3516782B"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Има изолирани съобщения за намаление на ефикасността на леветирацетам, когато осмотичното слабително макрогол се прилага едновременно с перорален леветирацетам. Следователно, макрогол не трябва да се приема през устата в продължение на един час преди и един час след приема на леветирацетам.</w:t>
      </w:r>
    </w:p>
    <w:p w14:paraId="6A66D56E" w14:textId="77777777" w:rsidR="007657AD" w:rsidRPr="007657AD" w:rsidRDefault="007657AD" w:rsidP="007657AD">
      <w:pPr>
        <w:spacing w:line="240" w:lineRule="auto"/>
        <w:rPr>
          <w:rFonts w:eastAsia="Times New Roman" w:cs="Arial"/>
          <w:color w:val="000000"/>
          <w:u w:val="single"/>
          <w:lang w:eastAsia="bg-BG"/>
        </w:rPr>
      </w:pPr>
    </w:p>
    <w:p w14:paraId="3A0CDBF8" w14:textId="37A25A16"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u w:val="single"/>
          <w:lang w:eastAsia="bg-BG"/>
        </w:rPr>
        <w:t>Храна и алкохол</w:t>
      </w:r>
    </w:p>
    <w:p w14:paraId="1A5F8479"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Степента на абсорбция на леветирацетам не се променя от храната, но скоростта на абсорбция е слабо понижена.</w:t>
      </w:r>
    </w:p>
    <w:p w14:paraId="360A079D" w14:textId="77777777" w:rsidR="007657AD" w:rsidRPr="007657AD" w:rsidRDefault="007657AD" w:rsidP="007657AD">
      <w:pPr>
        <w:rPr>
          <w:rFonts w:eastAsia="Times New Roman" w:cs="Arial"/>
          <w:color w:val="000000"/>
          <w:lang w:eastAsia="bg-BG"/>
        </w:rPr>
      </w:pPr>
    </w:p>
    <w:p w14:paraId="4943CE9E" w14:textId="39D2D446" w:rsidR="007657AD" w:rsidRPr="007657AD" w:rsidRDefault="007657AD" w:rsidP="007657AD">
      <w:pPr>
        <w:rPr>
          <w:rFonts w:eastAsia="Times New Roman" w:cs="Arial"/>
          <w:color w:val="000000"/>
          <w:lang w:eastAsia="bg-BG"/>
        </w:rPr>
      </w:pPr>
      <w:r w:rsidRPr="007657AD">
        <w:rPr>
          <w:rFonts w:eastAsia="Times New Roman" w:cs="Arial"/>
          <w:color w:val="000000"/>
          <w:lang w:eastAsia="bg-BG"/>
        </w:rPr>
        <w:t>Няма данни за взаимодействие на леветирацетам с алкохол.</w:t>
      </w:r>
    </w:p>
    <w:p w14:paraId="68264AC8" w14:textId="77777777" w:rsidR="007657AD" w:rsidRPr="007657AD" w:rsidRDefault="007657AD" w:rsidP="007657AD"/>
    <w:p w14:paraId="4762A32B" w14:textId="28DEE06F" w:rsidR="001A6EBD" w:rsidRDefault="002C50EE" w:rsidP="00471F10">
      <w:pPr>
        <w:pStyle w:val="Heading2"/>
      </w:pPr>
      <w:r>
        <w:t>4.6. Фертилитет, бременност и кърмене</w:t>
      </w:r>
    </w:p>
    <w:p w14:paraId="0954D041" w14:textId="15C5FD7F" w:rsidR="007657AD" w:rsidRDefault="007657AD" w:rsidP="007657AD"/>
    <w:p w14:paraId="1190196D"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u w:val="single"/>
          <w:lang w:eastAsia="bg-BG"/>
        </w:rPr>
        <w:t>Жени с детероден потенциал</w:t>
      </w:r>
    </w:p>
    <w:p w14:paraId="602C2890"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На жени с детероден потенциал трябва да се дава съвет от специалист. Лечението с леветирацетам трябва да се преразгледа, когато жената планира да забременее. Както при всички антиепилептични лекарства, трябва да се избягва внезапно спиране на леветирацетам, тъй като това може да доведе до поява на гърчове, които биха могли да имат сериозни последици за жената и нероденото дете. Трябва да се предпочете монотерапия, когато е възможно, тъй като лечението с множество антиепилептични лекарства (АЕЛ) може да е свързано с по-висок риск от вродени малформации, отколкото монотерапията, в зависимост от прилаганите антиепилептици.</w:t>
      </w:r>
    </w:p>
    <w:p w14:paraId="72EA3D3D" w14:textId="77777777" w:rsidR="007657AD" w:rsidRPr="007657AD" w:rsidRDefault="007657AD" w:rsidP="007657AD">
      <w:pPr>
        <w:spacing w:line="240" w:lineRule="auto"/>
        <w:rPr>
          <w:rFonts w:eastAsia="Times New Roman" w:cs="Arial"/>
          <w:color w:val="000000"/>
          <w:u w:val="single"/>
          <w:lang w:eastAsia="bg-BG"/>
        </w:rPr>
      </w:pPr>
    </w:p>
    <w:p w14:paraId="191CFE79" w14:textId="1DFFA1AD" w:rsidR="007657AD" w:rsidRPr="007657AD" w:rsidRDefault="007657AD" w:rsidP="007657AD">
      <w:pPr>
        <w:pStyle w:val="Heading3"/>
        <w:rPr>
          <w:rFonts w:eastAsia="Times New Roman"/>
          <w:u w:val="single"/>
          <w:lang w:eastAsia="bg-BG"/>
        </w:rPr>
      </w:pPr>
      <w:r w:rsidRPr="007657AD">
        <w:rPr>
          <w:rFonts w:eastAsia="Times New Roman"/>
          <w:u w:val="single"/>
          <w:lang w:eastAsia="bg-BG"/>
        </w:rPr>
        <w:t>Бременност</w:t>
      </w:r>
    </w:p>
    <w:p w14:paraId="085B197D" w14:textId="45CD644D"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 xml:space="preserve">Голямо количество постмаркетингови данни от бременни жени, които са били на монотерапия с леветирацетам (над 1 800, сред които при над 1 500 експозицията възниква по време на първия триместър) не показват увеличаване на риска от основните вродени малформации. Съществуват само ограничени доказателства за неврологичното развитие на деца, изложени на монотерапия с </w:t>
      </w:r>
      <w:r w:rsidRPr="007657AD">
        <w:rPr>
          <w:rFonts w:eastAsia="Times New Roman" w:cs="Arial"/>
          <w:color w:val="000000"/>
          <w:lang w:val="en-US"/>
        </w:rPr>
        <w:t xml:space="preserve">Keppra </w:t>
      </w:r>
      <w:r w:rsidRPr="007657AD">
        <w:rPr>
          <w:rFonts w:eastAsia="Times New Roman" w:cs="Arial"/>
          <w:i/>
          <w:iCs/>
          <w:color w:val="000000"/>
          <w:lang w:val="en-US"/>
        </w:rPr>
        <w:t>in utero.</w:t>
      </w:r>
      <w:r w:rsidRPr="007657AD">
        <w:rPr>
          <w:rFonts w:eastAsia="Times New Roman" w:cs="Arial"/>
          <w:color w:val="000000"/>
          <w:lang w:val="en-US"/>
        </w:rPr>
        <w:t xml:space="preserve"> </w:t>
      </w:r>
      <w:r w:rsidRPr="007657AD">
        <w:rPr>
          <w:rFonts w:eastAsia="Times New Roman" w:cs="Arial"/>
          <w:color w:val="000000"/>
          <w:lang w:eastAsia="bg-BG"/>
        </w:rPr>
        <w:t>Въпреки това текущите епидемиологични проучвания (при около 100 деца) не показват повишен риск от нарушения или забавяне на неврологичното развитие.</w:t>
      </w:r>
    </w:p>
    <w:p w14:paraId="29ED865C"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 xml:space="preserve">Леветирацетам може да се прилага по време на бременност, ако след внимателна оценка се счете, че е клинично необходимо. В такъв случай се препоръчва най-ниската ефективна доза. Физиологичните промени по време на бременността може да повлияят концентрацията на леветирацетам. По време на бременността се наблюдава понижаване на плазмените концентрации на леветирацетам. Понижаването е по-изразено през третия </w:t>
      </w:r>
      <w:r w:rsidRPr="007657AD">
        <w:rPr>
          <w:rFonts w:eastAsia="Times New Roman" w:cs="Arial"/>
          <w:color w:val="000000"/>
          <w:lang w:eastAsia="bg-BG"/>
        </w:rPr>
        <w:lastRenderedPageBreak/>
        <w:t>триместър (до 60% от изходното ниво преди бременността). Затова на бременните жени трябва да се осигурят подходящи медицински грижи.</w:t>
      </w:r>
    </w:p>
    <w:p w14:paraId="68650F76" w14:textId="77777777" w:rsidR="007657AD" w:rsidRPr="007657AD" w:rsidRDefault="007657AD" w:rsidP="007657AD">
      <w:pPr>
        <w:spacing w:line="240" w:lineRule="auto"/>
        <w:rPr>
          <w:rFonts w:eastAsia="Times New Roman" w:cs="Arial"/>
          <w:color w:val="000000"/>
          <w:lang w:eastAsia="bg-BG"/>
        </w:rPr>
      </w:pPr>
    </w:p>
    <w:p w14:paraId="184848DF" w14:textId="1F3C53BC" w:rsidR="007657AD" w:rsidRPr="007657AD" w:rsidRDefault="007657AD" w:rsidP="007657AD">
      <w:pPr>
        <w:pStyle w:val="Heading3"/>
        <w:rPr>
          <w:rFonts w:eastAsia="Times New Roman"/>
          <w:u w:val="single"/>
          <w:lang w:eastAsia="bg-BG"/>
        </w:rPr>
      </w:pPr>
      <w:r w:rsidRPr="007657AD">
        <w:rPr>
          <w:rFonts w:eastAsia="Times New Roman"/>
          <w:u w:val="single"/>
          <w:lang w:eastAsia="bg-BG"/>
        </w:rPr>
        <w:t>Кърмене</w:t>
      </w:r>
      <w:bookmarkStart w:id="1" w:name="bookmark0"/>
      <w:bookmarkEnd w:id="1"/>
    </w:p>
    <w:p w14:paraId="679AA73C" w14:textId="080F1C9A" w:rsidR="007657AD" w:rsidRPr="007657AD" w:rsidRDefault="007657AD" w:rsidP="007657AD">
      <w:pPr>
        <w:rPr>
          <w:rFonts w:eastAsia="Times New Roman" w:cs="Arial"/>
          <w:color w:val="000000"/>
          <w:lang w:eastAsia="bg-BG"/>
        </w:rPr>
      </w:pPr>
      <w:r w:rsidRPr="007657AD">
        <w:rPr>
          <w:rFonts w:eastAsia="Times New Roman" w:cs="Arial"/>
          <w:color w:val="000000"/>
          <w:lang w:eastAsia="bg-BG"/>
        </w:rPr>
        <w:t>Леветирацетам се отделя в човешката кърма. Ето защо не се препоръчва кърмене Въпреки това, ако лечението с леветирацетам е наложително в периода на кърмене, съотношението полза/риск от лечението трябва да бъде оценено при отчитане нзачимостта на кърменето.</w:t>
      </w:r>
    </w:p>
    <w:p w14:paraId="46C907A7" w14:textId="293764FD" w:rsidR="007657AD" w:rsidRPr="007657AD" w:rsidRDefault="007657AD" w:rsidP="007657AD">
      <w:pPr>
        <w:rPr>
          <w:rFonts w:eastAsia="Times New Roman" w:cs="Arial"/>
          <w:color w:val="000000"/>
          <w:lang w:eastAsia="bg-BG"/>
        </w:rPr>
      </w:pPr>
    </w:p>
    <w:p w14:paraId="19066635" w14:textId="48620382" w:rsidR="007657AD" w:rsidRPr="007657AD" w:rsidRDefault="007657AD" w:rsidP="007657AD">
      <w:pPr>
        <w:pStyle w:val="Heading3"/>
        <w:rPr>
          <w:rFonts w:eastAsia="Times New Roman"/>
          <w:u w:val="single"/>
          <w:lang w:eastAsia="bg-BG"/>
        </w:rPr>
      </w:pPr>
      <w:r w:rsidRPr="007657AD">
        <w:rPr>
          <w:rFonts w:eastAsia="Times New Roman"/>
          <w:u w:val="single"/>
          <w:lang w:eastAsia="bg-BG"/>
        </w:rPr>
        <w:t>Фер</w:t>
      </w:r>
      <w:r>
        <w:rPr>
          <w:rFonts w:eastAsia="Times New Roman"/>
          <w:u w:val="single"/>
          <w:lang w:eastAsia="bg-BG"/>
        </w:rPr>
        <w:t>т</w:t>
      </w:r>
      <w:r w:rsidRPr="007657AD">
        <w:rPr>
          <w:rFonts w:eastAsia="Times New Roman"/>
          <w:u w:val="single"/>
          <w:lang w:eastAsia="bg-BG"/>
        </w:rPr>
        <w:t>илитет</w:t>
      </w:r>
    </w:p>
    <w:p w14:paraId="4D2A1726" w14:textId="728BAC3D" w:rsidR="007657AD" w:rsidRPr="007657AD" w:rsidRDefault="007657AD" w:rsidP="007657AD">
      <w:pPr>
        <w:rPr>
          <w:rFonts w:eastAsia="Times New Roman" w:cs="Arial"/>
          <w:color w:val="000000"/>
          <w:lang w:eastAsia="bg-BG"/>
        </w:rPr>
      </w:pPr>
      <w:r w:rsidRPr="007657AD">
        <w:rPr>
          <w:rFonts w:eastAsia="Times New Roman" w:cs="Arial"/>
          <w:color w:val="000000"/>
          <w:lang w:eastAsia="bg-BG"/>
        </w:rPr>
        <w:t>Не са открити данни за влияние върху фертилитета при проучвания върху животни (вж. точка 5.3). Няма клинични данни, потенциалния риск за хора не е известен.</w:t>
      </w:r>
    </w:p>
    <w:p w14:paraId="735BA0A9" w14:textId="77777777" w:rsidR="007657AD" w:rsidRPr="007657AD" w:rsidRDefault="007657AD" w:rsidP="007657AD"/>
    <w:p w14:paraId="188B33B4" w14:textId="732D5BE1" w:rsidR="001A6EBD" w:rsidRDefault="002C50EE" w:rsidP="00471F10">
      <w:pPr>
        <w:pStyle w:val="Heading2"/>
      </w:pPr>
      <w:r>
        <w:t>4.7. Ефекти върху способността за шофиране и работа с машини</w:t>
      </w:r>
    </w:p>
    <w:p w14:paraId="2E2AB5C9" w14:textId="378C9AFD" w:rsidR="007657AD" w:rsidRDefault="007657AD" w:rsidP="007657AD"/>
    <w:p w14:paraId="59E7537E" w14:textId="77777777" w:rsidR="007657AD" w:rsidRPr="007657AD" w:rsidRDefault="007657AD" w:rsidP="007657AD">
      <w:pPr>
        <w:rPr>
          <w:sz w:val="24"/>
          <w:szCs w:val="24"/>
          <w:lang w:eastAsia="bg-BG"/>
        </w:rPr>
      </w:pPr>
      <w:r w:rsidRPr="007657AD">
        <w:rPr>
          <w:lang w:eastAsia="bg-BG"/>
        </w:rPr>
        <w:t>Леветирацетам не повлиява или повлиява пренебрежимо способността за шофиране и работа с машини.</w:t>
      </w:r>
    </w:p>
    <w:p w14:paraId="2822B3E1" w14:textId="06E2BCF8" w:rsidR="007657AD" w:rsidRDefault="007657AD" w:rsidP="007657AD">
      <w:pPr>
        <w:rPr>
          <w:lang w:eastAsia="bg-BG"/>
        </w:rPr>
      </w:pPr>
      <w:r w:rsidRPr="007657AD">
        <w:rPr>
          <w:lang w:eastAsia="bg-BG"/>
        </w:rPr>
        <w:t>Поради възможна различна индивидуална чувствителност при някои пациенти, в началото на лечението или при последващо увеличаване на дозата, може да се появи сънливост или други симптоми от страна на централната нервна система. Ето защо се препоръчва повишено внимание при пациенти, извършващи определени задачи, като шофиране или работа с машини. Пациентите трябва да бъдат предупредени да не шофират или използват машини докато установят, че възможността им за подобни дейности не се повлиява.</w:t>
      </w:r>
    </w:p>
    <w:p w14:paraId="437822FA" w14:textId="77777777" w:rsidR="007657AD" w:rsidRPr="007657AD" w:rsidRDefault="007657AD" w:rsidP="007657AD"/>
    <w:p w14:paraId="44CE30A3" w14:textId="34BBB245" w:rsidR="007122AD" w:rsidRDefault="002C50EE" w:rsidP="00936AD0">
      <w:pPr>
        <w:pStyle w:val="Heading2"/>
      </w:pPr>
      <w:r>
        <w:t>4.8. Нежелани лекарствени реакции</w:t>
      </w:r>
    </w:p>
    <w:p w14:paraId="1FB2DBF5" w14:textId="2BAD0625" w:rsidR="007657AD" w:rsidRDefault="007657AD" w:rsidP="007657AD"/>
    <w:p w14:paraId="1A4F96AB"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u w:val="single"/>
          <w:lang w:eastAsia="bg-BG"/>
        </w:rPr>
        <w:t>Обобщение на профила на безопасност</w:t>
      </w:r>
    </w:p>
    <w:p w14:paraId="7A53E899"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Най-често съобщаваните нежелани реакции са назофарингит, сънливост, главоболие, умора и замаяност. Профилът на нежеланите събития, представени по-долу, се основава на анализа на сборни плацебо-контролирани клинични изпитвания за всички изследвани показания, включващи общо 3 416 пациенти, лекувани с леветирацетам. Тези данни са допълнени с употребата на леветирацетам в съответните отворени разширени проучвания, както и постмаркетинговия опит. Профилът на безопасност на леветирацетам е като цяло подобен при различните възрастови групи (възрастни и педиатрични пациенти), както и в рамките на одобрените индикации свързани с епилепсията.</w:t>
      </w:r>
    </w:p>
    <w:p w14:paraId="221D198A" w14:textId="77777777" w:rsidR="007657AD" w:rsidRPr="007657AD" w:rsidRDefault="007657AD" w:rsidP="007657AD">
      <w:pPr>
        <w:spacing w:line="240" w:lineRule="auto"/>
        <w:rPr>
          <w:rFonts w:eastAsia="Times New Roman" w:cs="Arial"/>
          <w:color w:val="000000"/>
          <w:u w:val="single"/>
          <w:lang w:eastAsia="bg-BG"/>
        </w:rPr>
      </w:pPr>
    </w:p>
    <w:p w14:paraId="000F248E" w14:textId="795A8E96"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u w:val="single"/>
          <w:lang w:eastAsia="bg-BG"/>
        </w:rPr>
        <w:t>Табличен списък на нежеланите лекарствени реакции</w:t>
      </w:r>
    </w:p>
    <w:p w14:paraId="5FFA0F82"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По-долу са представени нежеланите реакции съобщавани при клиничните проучвания (при възрастни, юноши, деца и кърмачета над 1 месец) или от пост-маркетингов опит по системо- органна класификация и по честота. Нежеланите лекарствени реакции са изброени в низходящ ред по отношение на тяхната сериозност и честотата им е дефинирана, както следва: много чести (≥1/10), чести (≥1/100 до &lt;1/10), нечести (≥1/1 000 до &lt;1/100), редки (≥1/10 000 до &lt;1/1 000) и много редки (&lt;1/10 000).</w:t>
      </w:r>
    </w:p>
    <w:p w14:paraId="27D17F80" w14:textId="51697F26" w:rsidR="007657AD" w:rsidRDefault="007657AD" w:rsidP="007657AD"/>
    <w:tbl>
      <w:tblPr>
        <w:tblStyle w:val="TableGrid"/>
        <w:tblW w:w="0" w:type="auto"/>
        <w:tblLook w:val="04A0" w:firstRow="1" w:lastRow="0" w:firstColumn="1" w:lastColumn="0" w:noHBand="0" w:noVBand="1"/>
      </w:tblPr>
      <w:tblGrid>
        <w:gridCol w:w="1774"/>
        <w:gridCol w:w="1677"/>
        <w:gridCol w:w="1906"/>
        <w:gridCol w:w="2243"/>
        <w:gridCol w:w="1750"/>
      </w:tblGrid>
      <w:tr w:rsidR="007657AD" w14:paraId="4E6D9D77" w14:textId="77777777" w:rsidTr="007657AD">
        <w:tc>
          <w:tcPr>
            <w:tcW w:w="1816" w:type="dxa"/>
            <w:vMerge w:val="restart"/>
          </w:tcPr>
          <w:p w14:paraId="4A2C0D70" w14:textId="1EECEA2A" w:rsidR="007657AD" w:rsidRPr="007657AD" w:rsidRDefault="007657AD" w:rsidP="007657AD">
            <w:pPr>
              <w:rPr>
                <w:rFonts w:cs="Arial"/>
              </w:rPr>
            </w:pPr>
            <w:r w:rsidRPr="007657AD">
              <w:rPr>
                <w:rFonts w:cs="Arial"/>
                <w:lang w:val="en-US"/>
              </w:rPr>
              <w:t xml:space="preserve">MedDRA </w:t>
            </w:r>
            <w:r w:rsidRPr="007657AD">
              <w:rPr>
                <w:rFonts w:cs="Arial"/>
              </w:rPr>
              <w:t>системо-органен клас</w:t>
            </w:r>
          </w:p>
        </w:tc>
        <w:tc>
          <w:tcPr>
            <w:tcW w:w="7760" w:type="dxa"/>
            <w:gridSpan w:val="4"/>
          </w:tcPr>
          <w:p w14:paraId="7B3F8210" w14:textId="7C497C6E"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Категории на честота</w:t>
            </w:r>
          </w:p>
        </w:tc>
      </w:tr>
      <w:tr w:rsidR="007657AD" w14:paraId="2843A64B" w14:textId="77777777" w:rsidTr="007657AD">
        <w:tc>
          <w:tcPr>
            <w:tcW w:w="1816" w:type="dxa"/>
            <w:vMerge/>
          </w:tcPr>
          <w:p w14:paraId="5E3ECF98" w14:textId="77777777" w:rsidR="007657AD" w:rsidRPr="007657AD" w:rsidRDefault="007657AD" w:rsidP="007657AD">
            <w:pPr>
              <w:rPr>
                <w:rFonts w:cs="Arial"/>
              </w:rPr>
            </w:pPr>
          </w:p>
        </w:tc>
        <w:tc>
          <w:tcPr>
            <w:tcW w:w="1717" w:type="dxa"/>
          </w:tcPr>
          <w:p w14:paraId="2AAEF39B" w14:textId="30CAEDFF" w:rsidR="007657AD" w:rsidRPr="007657AD" w:rsidRDefault="007657AD" w:rsidP="007657AD">
            <w:pPr>
              <w:rPr>
                <w:rFonts w:cs="Arial"/>
              </w:rPr>
            </w:pPr>
            <w:r w:rsidRPr="007657AD">
              <w:rPr>
                <w:rFonts w:cs="Arial"/>
              </w:rPr>
              <w:t>Много чести</w:t>
            </w:r>
          </w:p>
        </w:tc>
        <w:tc>
          <w:tcPr>
            <w:tcW w:w="1952" w:type="dxa"/>
          </w:tcPr>
          <w:p w14:paraId="14C43EAE" w14:textId="74191B9C" w:rsidR="007657AD" w:rsidRPr="007657AD" w:rsidRDefault="007657AD" w:rsidP="007657AD">
            <w:pPr>
              <w:rPr>
                <w:rFonts w:cs="Arial"/>
              </w:rPr>
            </w:pPr>
            <w:r w:rsidRPr="007657AD">
              <w:rPr>
                <w:rFonts w:cs="Arial"/>
              </w:rPr>
              <w:t>Чести</w:t>
            </w:r>
          </w:p>
        </w:tc>
        <w:tc>
          <w:tcPr>
            <w:tcW w:w="2299" w:type="dxa"/>
          </w:tcPr>
          <w:p w14:paraId="47A5439F" w14:textId="024536EC" w:rsidR="007657AD" w:rsidRPr="007657AD" w:rsidRDefault="007657AD" w:rsidP="007657AD">
            <w:pPr>
              <w:rPr>
                <w:rFonts w:cs="Arial"/>
              </w:rPr>
            </w:pPr>
            <w:r w:rsidRPr="007657AD">
              <w:rPr>
                <w:rFonts w:cs="Arial"/>
              </w:rPr>
              <w:t>Нечести</w:t>
            </w:r>
          </w:p>
        </w:tc>
        <w:tc>
          <w:tcPr>
            <w:tcW w:w="1792" w:type="dxa"/>
          </w:tcPr>
          <w:p w14:paraId="2A1FFD42" w14:textId="3458A9F7" w:rsidR="007657AD" w:rsidRPr="007657AD" w:rsidRDefault="007657AD" w:rsidP="007657AD">
            <w:pPr>
              <w:rPr>
                <w:rFonts w:cs="Arial"/>
              </w:rPr>
            </w:pPr>
            <w:r w:rsidRPr="007657AD">
              <w:rPr>
                <w:rFonts w:cs="Arial"/>
              </w:rPr>
              <w:t>Редки</w:t>
            </w:r>
          </w:p>
        </w:tc>
      </w:tr>
      <w:tr w:rsidR="007657AD" w14:paraId="59424B77" w14:textId="77777777" w:rsidTr="007657AD">
        <w:tc>
          <w:tcPr>
            <w:tcW w:w="1816" w:type="dxa"/>
            <w:vAlign w:val="bottom"/>
          </w:tcPr>
          <w:p w14:paraId="464F5281" w14:textId="4875C6AC" w:rsidR="007657AD" w:rsidRPr="007657AD" w:rsidRDefault="007657AD" w:rsidP="007657AD">
            <w:pPr>
              <w:rPr>
                <w:rFonts w:cs="Arial"/>
              </w:rPr>
            </w:pPr>
            <w:r w:rsidRPr="007657AD">
              <w:rPr>
                <w:rFonts w:cs="Arial"/>
              </w:rPr>
              <w:t>Инфекции и инфестации</w:t>
            </w:r>
          </w:p>
        </w:tc>
        <w:tc>
          <w:tcPr>
            <w:tcW w:w="1717" w:type="dxa"/>
          </w:tcPr>
          <w:p w14:paraId="6C1CEEBC" w14:textId="69539537" w:rsidR="007657AD" w:rsidRPr="007657AD" w:rsidRDefault="007657AD" w:rsidP="007657AD">
            <w:pPr>
              <w:rPr>
                <w:rFonts w:cs="Arial"/>
              </w:rPr>
            </w:pPr>
            <w:r w:rsidRPr="007657AD">
              <w:rPr>
                <w:rFonts w:cs="Arial"/>
              </w:rPr>
              <w:t>назофарингити</w:t>
            </w:r>
          </w:p>
        </w:tc>
        <w:tc>
          <w:tcPr>
            <w:tcW w:w="1952" w:type="dxa"/>
          </w:tcPr>
          <w:p w14:paraId="2CFF9444" w14:textId="77777777" w:rsidR="007657AD" w:rsidRPr="007657AD" w:rsidRDefault="007657AD" w:rsidP="007657AD">
            <w:pPr>
              <w:rPr>
                <w:rFonts w:cs="Arial"/>
              </w:rPr>
            </w:pPr>
          </w:p>
        </w:tc>
        <w:tc>
          <w:tcPr>
            <w:tcW w:w="2299" w:type="dxa"/>
          </w:tcPr>
          <w:p w14:paraId="63E7B2D1" w14:textId="77777777" w:rsidR="007657AD" w:rsidRPr="007657AD" w:rsidRDefault="007657AD" w:rsidP="007657AD">
            <w:pPr>
              <w:rPr>
                <w:rFonts w:cs="Arial"/>
              </w:rPr>
            </w:pPr>
          </w:p>
        </w:tc>
        <w:tc>
          <w:tcPr>
            <w:tcW w:w="1792" w:type="dxa"/>
          </w:tcPr>
          <w:p w14:paraId="4AC3EC05" w14:textId="46904BED" w:rsidR="007657AD" w:rsidRPr="007657AD" w:rsidRDefault="007657AD" w:rsidP="007657AD">
            <w:pPr>
              <w:rPr>
                <w:rFonts w:cs="Arial"/>
              </w:rPr>
            </w:pPr>
            <w:r w:rsidRPr="007657AD">
              <w:rPr>
                <w:rFonts w:cs="Arial"/>
              </w:rPr>
              <w:t>инфекции</w:t>
            </w:r>
          </w:p>
        </w:tc>
      </w:tr>
      <w:tr w:rsidR="007657AD" w14:paraId="4627D0CC" w14:textId="77777777" w:rsidTr="007657AD">
        <w:tc>
          <w:tcPr>
            <w:tcW w:w="1816" w:type="dxa"/>
            <w:vAlign w:val="bottom"/>
          </w:tcPr>
          <w:p w14:paraId="5F55F14A" w14:textId="28BDA0FC" w:rsidR="007657AD" w:rsidRPr="007657AD" w:rsidRDefault="007657AD" w:rsidP="007657AD">
            <w:pPr>
              <w:rPr>
                <w:rFonts w:cs="Arial"/>
              </w:rPr>
            </w:pPr>
            <w:r w:rsidRPr="007657AD">
              <w:rPr>
                <w:rFonts w:cs="Arial"/>
              </w:rPr>
              <w:t>Нарушения на кръвта и лимфната система</w:t>
            </w:r>
          </w:p>
        </w:tc>
        <w:tc>
          <w:tcPr>
            <w:tcW w:w="1717" w:type="dxa"/>
          </w:tcPr>
          <w:p w14:paraId="7F1694A5" w14:textId="77777777" w:rsidR="007657AD" w:rsidRPr="007657AD" w:rsidRDefault="007657AD" w:rsidP="007657AD">
            <w:pPr>
              <w:rPr>
                <w:rFonts w:cs="Arial"/>
              </w:rPr>
            </w:pPr>
          </w:p>
        </w:tc>
        <w:tc>
          <w:tcPr>
            <w:tcW w:w="1952" w:type="dxa"/>
          </w:tcPr>
          <w:p w14:paraId="20518C4F" w14:textId="77777777" w:rsidR="007657AD" w:rsidRPr="007657AD" w:rsidRDefault="007657AD" w:rsidP="007657AD">
            <w:pPr>
              <w:rPr>
                <w:rFonts w:cs="Arial"/>
              </w:rPr>
            </w:pPr>
          </w:p>
        </w:tc>
        <w:tc>
          <w:tcPr>
            <w:tcW w:w="2299" w:type="dxa"/>
          </w:tcPr>
          <w:p w14:paraId="73806AAB" w14:textId="0DD5ADE1" w:rsidR="007657AD" w:rsidRPr="007657AD" w:rsidRDefault="007657AD" w:rsidP="007657AD">
            <w:pPr>
              <w:rPr>
                <w:rFonts w:cs="Arial"/>
              </w:rPr>
            </w:pPr>
            <w:r w:rsidRPr="007657AD">
              <w:rPr>
                <w:rFonts w:cs="Arial"/>
              </w:rPr>
              <w:t>тромбоцитопения, левкопения</w:t>
            </w:r>
          </w:p>
        </w:tc>
        <w:tc>
          <w:tcPr>
            <w:tcW w:w="1792" w:type="dxa"/>
            <w:vAlign w:val="bottom"/>
          </w:tcPr>
          <w:p w14:paraId="20891643" w14:textId="597C4B68" w:rsidR="007657AD" w:rsidRPr="007657AD" w:rsidRDefault="007657AD" w:rsidP="007657AD">
            <w:pPr>
              <w:rPr>
                <w:rFonts w:cs="Arial"/>
              </w:rPr>
            </w:pPr>
            <w:r w:rsidRPr="007657AD">
              <w:rPr>
                <w:rFonts w:cs="Arial"/>
              </w:rPr>
              <w:t>панцитопения, неутропения, агранулоцитоза</w:t>
            </w:r>
          </w:p>
        </w:tc>
      </w:tr>
      <w:tr w:rsidR="007657AD" w14:paraId="2BD228EE" w14:textId="77777777" w:rsidTr="007657AD">
        <w:tc>
          <w:tcPr>
            <w:tcW w:w="1816" w:type="dxa"/>
          </w:tcPr>
          <w:p w14:paraId="0081EE64" w14:textId="1065B73E" w:rsidR="007657AD" w:rsidRPr="007657AD" w:rsidRDefault="007657AD" w:rsidP="007657AD">
            <w:pPr>
              <w:rPr>
                <w:rFonts w:cs="Arial"/>
              </w:rPr>
            </w:pPr>
            <w:r w:rsidRPr="007657AD">
              <w:rPr>
                <w:rFonts w:cs="Arial"/>
              </w:rPr>
              <w:t>Нарушения на имунната система</w:t>
            </w:r>
          </w:p>
        </w:tc>
        <w:tc>
          <w:tcPr>
            <w:tcW w:w="1717" w:type="dxa"/>
          </w:tcPr>
          <w:p w14:paraId="13A3225C" w14:textId="77777777" w:rsidR="007657AD" w:rsidRPr="007657AD" w:rsidRDefault="007657AD" w:rsidP="007657AD">
            <w:pPr>
              <w:rPr>
                <w:rFonts w:cs="Arial"/>
              </w:rPr>
            </w:pPr>
          </w:p>
        </w:tc>
        <w:tc>
          <w:tcPr>
            <w:tcW w:w="1952" w:type="dxa"/>
          </w:tcPr>
          <w:p w14:paraId="7469E774" w14:textId="77777777" w:rsidR="007657AD" w:rsidRPr="007657AD" w:rsidRDefault="007657AD" w:rsidP="007657AD">
            <w:pPr>
              <w:rPr>
                <w:rFonts w:cs="Arial"/>
              </w:rPr>
            </w:pPr>
          </w:p>
        </w:tc>
        <w:tc>
          <w:tcPr>
            <w:tcW w:w="2299" w:type="dxa"/>
            <w:vAlign w:val="bottom"/>
          </w:tcPr>
          <w:p w14:paraId="1DE15626" w14:textId="77777777" w:rsidR="007657AD" w:rsidRPr="007657AD" w:rsidRDefault="007657AD" w:rsidP="007657AD">
            <w:pPr>
              <w:rPr>
                <w:rFonts w:cs="Arial"/>
              </w:rPr>
            </w:pPr>
          </w:p>
        </w:tc>
        <w:tc>
          <w:tcPr>
            <w:tcW w:w="1792" w:type="dxa"/>
          </w:tcPr>
          <w:p w14:paraId="29336C90" w14:textId="77777777" w:rsidR="007657AD" w:rsidRPr="007657AD" w:rsidRDefault="007657AD" w:rsidP="007657AD">
            <w:pPr>
              <w:rPr>
                <w:rFonts w:cs="Arial"/>
              </w:rPr>
            </w:pPr>
            <w:r w:rsidRPr="007657AD">
              <w:rPr>
                <w:rFonts w:cs="Arial"/>
              </w:rPr>
              <w:t xml:space="preserve">Лекарствена реакция с еозинофилия и системни симптоми </w:t>
            </w:r>
            <w:r w:rsidRPr="007657AD">
              <w:rPr>
                <w:rFonts w:cs="Arial"/>
                <w:lang w:val="en-US"/>
              </w:rPr>
              <w:t xml:space="preserve">(DRESS), </w:t>
            </w:r>
            <w:r w:rsidRPr="007657AD">
              <w:rPr>
                <w:rFonts w:cs="Arial"/>
              </w:rPr>
              <w:t>свръх</w:t>
            </w:r>
            <w:r w:rsidRPr="007657AD">
              <w:rPr>
                <w:rFonts w:cs="Arial"/>
              </w:rPr>
              <w:softHyphen/>
              <w:t>чувствителност (включително</w:t>
            </w:r>
          </w:p>
          <w:p w14:paraId="34D89C24" w14:textId="77777777" w:rsidR="007657AD" w:rsidRPr="007657AD" w:rsidRDefault="007657AD" w:rsidP="007657AD">
            <w:pPr>
              <w:rPr>
                <w:rFonts w:cs="Arial"/>
              </w:rPr>
            </w:pPr>
            <w:r w:rsidRPr="007657AD">
              <w:rPr>
                <w:rFonts w:cs="Arial"/>
              </w:rPr>
              <w:t>ангиодем и</w:t>
            </w:r>
          </w:p>
          <w:p w14:paraId="68B2BB8E" w14:textId="74EAE405" w:rsidR="007657AD" w:rsidRPr="007657AD" w:rsidRDefault="007657AD" w:rsidP="007657AD">
            <w:pPr>
              <w:rPr>
                <w:rFonts w:cs="Arial"/>
              </w:rPr>
            </w:pPr>
            <w:r w:rsidRPr="007657AD">
              <w:rPr>
                <w:rFonts w:cs="Arial"/>
              </w:rPr>
              <w:t>анафилаксия)</w:t>
            </w:r>
          </w:p>
        </w:tc>
      </w:tr>
      <w:tr w:rsidR="007657AD" w14:paraId="3CD1A566" w14:textId="77777777" w:rsidTr="007657AD">
        <w:tc>
          <w:tcPr>
            <w:tcW w:w="1816" w:type="dxa"/>
            <w:vAlign w:val="bottom"/>
          </w:tcPr>
          <w:p w14:paraId="3878ECFB" w14:textId="723A96F0" w:rsidR="007657AD" w:rsidRPr="007657AD" w:rsidRDefault="007657AD" w:rsidP="007657AD">
            <w:pPr>
              <w:rPr>
                <w:rFonts w:cs="Arial"/>
              </w:rPr>
            </w:pPr>
            <w:r w:rsidRPr="007657AD">
              <w:rPr>
                <w:rFonts w:cs="Arial"/>
              </w:rPr>
              <w:t>Нарушения на метаболизма и храненето</w:t>
            </w:r>
          </w:p>
        </w:tc>
        <w:tc>
          <w:tcPr>
            <w:tcW w:w="1717" w:type="dxa"/>
          </w:tcPr>
          <w:p w14:paraId="12282DB5" w14:textId="77777777" w:rsidR="007657AD" w:rsidRPr="007657AD" w:rsidRDefault="007657AD" w:rsidP="007657AD">
            <w:pPr>
              <w:rPr>
                <w:rFonts w:cs="Arial"/>
              </w:rPr>
            </w:pPr>
          </w:p>
        </w:tc>
        <w:tc>
          <w:tcPr>
            <w:tcW w:w="1952" w:type="dxa"/>
          </w:tcPr>
          <w:p w14:paraId="2A6E2809" w14:textId="4CBD7098" w:rsidR="007657AD" w:rsidRPr="007657AD" w:rsidRDefault="007657AD" w:rsidP="007657AD">
            <w:pPr>
              <w:rPr>
                <w:rFonts w:cs="Arial"/>
              </w:rPr>
            </w:pPr>
            <w:r w:rsidRPr="007657AD">
              <w:rPr>
                <w:rFonts w:cs="Arial"/>
              </w:rPr>
              <w:t>анорексия</w:t>
            </w:r>
          </w:p>
        </w:tc>
        <w:tc>
          <w:tcPr>
            <w:tcW w:w="2299" w:type="dxa"/>
            <w:vAlign w:val="bottom"/>
          </w:tcPr>
          <w:p w14:paraId="1A95575B" w14:textId="77777777" w:rsidR="007657AD" w:rsidRPr="007657AD" w:rsidRDefault="007657AD" w:rsidP="007657AD">
            <w:pPr>
              <w:rPr>
                <w:rFonts w:cs="Arial"/>
              </w:rPr>
            </w:pPr>
            <w:r w:rsidRPr="007657AD">
              <w:rPr>
                <w:rFonts w:cs="Arial"/>
              </w:rPr>
              <w:t>намаляване на</w:t>
            </w:r>
          </w:p>
          <w:p w14:paraId="5F02AC59" w14:textId="6E44F341" w:rsidR="007657AD" w:rsidRPr="007657AD" w:rsidRDefault="007657AD" w:rsidP="007657AD">
            <w:pPr>
              <w:rPr>
                <w:rFonts w:cs="Arial"/>
              </w:rPr>
            </w:pPr>
            <w:r w:rsidRPr="007657AD">
              <w:rPr>
                <w:rFonts w:cs="Arial"/>
              </w:rPr>
              <w:t>теглото, повишаване на теглото</w:t>
            </w:r>
          </w:p>
        </w:tc>
        <w:tc>
          <w:tcPr>
            <w:tcW w:w="1792" w:type="dxa"/>
            <w:vAlign w:val="bottom"/>
          </w:tcPr>
          <w:p w14:paraId="049AAC53" w14:textId="66350377" w:rsidR="007657AD" w:rsidRPr="007657AD" w:rsidRDefault="007657AD" w:rsidP="007657AD">
            <w:pPr>
              <w:rPr>
                <w:rFonts w:cs="Arial"/>
              </w:rPr>
            </w:pPr>
            <w:r w:rsidRPr="007657AD">
              <w:rPr>
                <w:rFonts w:cs="Arial"/>
              </w:rPr>
              <w:t>хипонатриемия</w:t>
            </w:r>
          </w:p>
        </w:tc>
      </w:tr>
      <w:tr w:rsidR="007657AD" w14:paraId="2DE13AF0" w14:textId="77777777" w:rsidTr="007657AD">
        <w:tc>
          <w:tcPr>
            <w:tcW w:w="1816" w:type="dxa"/>
          </w:tcPr>
          <w:p w14:paraId="51C30B34" w14:textId="67173BB6" w:rsidR="007657AD" w:rsidRPr="007657AD" w:rsidRDefault="007657AD" w:rsidP="007657AD">
            <w:pPr>
              <w:rPr>
                <w:rFonts w:cs="Arial"/>
              </w:rPr>
            </w:pPr>
            <w:r w:rsidRPr="007657AD">
              <w:rPr>
                <w:rFonts w:cs="Arial"/>
              </w:rPr>
              <w:t>Психични нарушения</w:t>
            </w:r>
          </w:p>
        </w:tc>
        <w:tc>
          <w:tcPr>
            <w:tcW w:w="1717" w:type="dxa"/>
          </w:tcPr>
          <w:p w14:paraId="429198DD" w14:textId="77777777" w:rsidR="007657AD" w:rsidRPr="007657AD" w:rsidRDefault="007657AD" w:rsidP="007657AD">
            <w:pPr>
              <w:rPr>
                <w:rFonts w:cs="Arial"/>
              </w:rPr>
            </w:pPr>
          </w:p>
        </w:tc>
        <w:tc>
          <w:tcPr>
            <w:tcW w:w="1952" w:type="dxa"/>
          </w:tcPr>
          <w:p w14:paraId="66A2415B" w14:textId="015AAC2F" w:rsidR="007657AD" w:rsidRPr="007657AD" w:rsidRDefault="007657AD" w:rsidP="007657AD">
            <w:pPr>
              <w:rPr>
                <w:rFonts w:cs="Arial"/>
              </w:rPr>
            </w:pPr>
            <w:r w:rsidRPr="007657AD">
              <w:rPr>
                <w:rFonts w:cs="Arial"/>
              </w:rPr>
              <w:t>депресия, враждебност/ агресивност, безпокойство, безсъние, нервност/ раздразнителност</w:t>
            </w:r>
          </w:p>
        </w:tc>
        <w:tc>
          <w:tcPr>
            <w:tcW w:w="2299" w:type="dxa"/>
            <w:vAlign w:val="bottom"/>
          </w:tcPr>
          <w:p w14:paraId="0E8C2C3E" w14:textId="77777777" w:rsidR="007657AD" w:rsidRPr="007657AD" w:rsidRDefault="007657AD" w:rsidP="007657AD">
            <w:pPr>
              <w:rPr>
                <w:rFonts w:cs="Arial"/>
              </w:rPr>
            </w:pPr>
            <w:r w:rsidRPr="007657AD">
              <w:rPr>
                <w:rFonts w:cs="Arial"/>
              </w:rPr>
              <w:t>опит за самоубийство, суицидна</w:t>
            </w:r>
          </w:p>
          <w:p w14:paraId="3289FD99" w14:textId="77777777" w:rsidR="007657AD" w:rsidRPr="007657AD" w:rsidRDefault="007657AD" w:rsidP="007657AD">
            <w:pPr>
              <w:rPr>
                <w:rFonts w:cs="Arial"/>
              </w:rPr>
            </w:pPr>
            <w:r w:rsidRPr="007657AD">
              <w:rPr>
                <w:rFonts w:cs="Arial"/>
              </w:rPr>
              <w:t>идеация, психотично разстройство, необичайно</w:t>
            </w:r>
          </w:p>
          <w:p w14:paraId="79B22F8C" w14:textId="72D2A8F7" w:rsidR="007657AD" w:rsidRPr="007657AD" w:rsidRDefault="007657AD" w:rsidP="007657AD">
            <w:pPr>
              <w:rPr>
                <w:rFonts w:cs="Arial"/>
              </w:rPr>
            </w:pPr>
            <w:r w:rsidRPr="007657AD">
              <w:rPr>
                <w:rFonts w:cs="Arial"/>
              </w:rPr>
              <w:t>поведение, халюцинации, гняв, състояние на объркване, паническа атака, емоционална нестабилност/промен и в настроението, тревожност</w:t>
            </w:r>
          </w:p>
        </w:tc>
        <w:tc>
          <w:tcPr>
            <w:tcW w:w="1792" w:type="dxa"/>
          </w:tcPr>
          <w:p w14:paraId="16A8EDC7" w14:textId="77777777" w:rsidR="007657AD" w:rsidRPr="007657AD" w:rsidRDefault="007657AD" w:rsidP="007657AD">
            <w:pPr>
              <w:rPr>
                <w:rFonts w:cs="Arial"/>
              </w:rPr>
            </w:pPr>
            <w:r w:rsidRPr="007657AD">
              <w:rPr>
                <w:rFonts w:cs="Arial"/>
              </w:rPr>
              <w:t>извършено самоубийство, личностни</w:t>
            </w:r>
          </w:p>
          <w:p w14:paraId="43D718DA" w14:textId="69B6A5A9" w:rsidR="007657AD" w:rsidRPr="007657AD" w:rsidRDefault="007657AD" w:rsidP="007657AD">
            <w:pPr>
              <w:rPr>
                <w:rFonts w:cs="Arial"/>
              </w:rPr>
            </w:pPr>
            <w:r w:rsidRPr="007657AD">
              <w:rPr>
                <w:rFonts w:cs="Arial"/>
              </w:rPr>
              <w:t>нарушения, абнормно мислене, делириум</w:t>
            </w:r>
          </w:p>
        </w:tc>
      </w:tr>
      <w:tr w:rsidR="007657AD" w14:paraId="13D149F4" w14:textId="77777777" w:rsidTr="007657AD">
        <w:tc>
          <w:tcPr>
            <w:tcW w:w="1816" w:type="dxa"/>
          </w:tcPr>
          <w:p w14:paraId="349ED790" w14:textId="1EFE3158" w:rsidR="007657AD" w:rsidRPr="007657AD" w:rsidRDefault="007657AD" w:rsidP="007657AD">
            <w:pPr>
              <w:rPr>
                <w:rFonts w:cs="Arial"/>
              </w:rPr>
            </w:pPr>
            <w:r w:rsidRPr="007657AD">
              <w:rPr>
                <w:rFonts w:cs="Arial"/>
              </w:rPr>
              <w:t>Нарушения на нервната система</w:t>
            </w:r>
          </w:p>
        </w:tc>
        <w:tc>
          <w:tcPr>
            <w:tcW w:w="1717" w:type="dxa"/>
          </w:tcPr>
          <w:p w14:paraId="4CC08900" w14:textId="18B7B47E" w:rsidR="007657AD" w:rsidRPr="007657AD" w:rsidRDefault="007657AD" w:rsidP="007657AD">
            <w:pPr>
              <w:rPr>
                <w:rFonts w:cs="Arial"/>
              </w:rPr>
            </w:pPr>
            <w:r w:rsidRPr="007657AD">
              <w:rPr>
                <w:rFonts w:cs="Arial"/>
              </w:rPr>
              <w:t>сомнолентност, главоболие</w:t>
            </w:r>
          </w:p>
        </w:tc>
        <w:tc>
          <w:tcPr>
            <w:tcW w:w="1952" w:type="dxa"/>
          </w:tcPr>
          <w:p w14:paraId="1154AF1A" w14:textId="5A94101A" w:rsidR="007657AD" w:rsidRPr="007657AD" w:rsidRDefault="007657AD" w:rsidP="007657AD">
            <w:pPr>
              <w:rPr>
                <w:rFonts w:cs="Arial"/>
              </w:rPr>
            </w:pPr>
            <w:r w:rsidRPr="007657AD">
              <w:rPr>
                <w:rFonts w:cs="Arial"/>
              </w:rPr>
              <w:t xml:space="preserve">конвулсии, нарушение на равновесието, замаяност, </w:t>
            </w:r>
            <w:r w:rsidRPr="007657AD">
              <w:rPr>
                <w:rFonts w:cs="Arial"/>
              </w:rPr>
              <w:lastRenderedPageBreak/>
              <w:t>летаргия, тремор</w:t>
            </w:r>
          </w:p>
        </w:tc>
        <w:tc>
          <w:tcPr>
            <w:tcW w:w="2299" w:type="dxa"/>
          </w:tcPr>
          <w:p w14:paraId="78CE33B6" w14:textId="7D3A9679" w:rsidR="007657AD" w:rsidRPr="007657AD" w:rsidRDefault="007657AD" w:rsidP="007657AD">
            <w:pPr>
              <w:rPr>
                <w:rFonts w:cs="Arial"/>
              </w:rPr>
            </w:pPr>
            <w:r w:rsidRPr="007657AD">
              <w:rPr>
                <w:rFonts w:cs="Arial"/>
              </w:rPr>
              <w:lastRenderedPageBreak/>
              <w:t xml:space="preserve">амнезия, нарушение на паметта, нарушена координация/атаксия, парестезия, </w:t>
            </w:r>
            <w:r w:rsidRPr="007657AD">
              <w:rPr>
                <w:rFonts w:cs="Arial"/>
              </w:rPr>
              <w:lastRenderedPageBreak/>
              <w:t>нарушение на вниманието</w:t>
            </w:r>
          </w:p>
        </w:tc>
        <w:tc>
          <w:tcPr>
            <w:tcW w:w="1792" w:type="dxa"/>
          </w:tcPr>
          <w:p w14:paraId="19A2C0F6" w14:textId="4BABA8C7" w:rsidR="007657AD" w:rsidRPr="007657AD" w:rsidRDefault="007657AD" w:rsidP="007657AD">
            <w:pPr>
              <w:rPr>
                <w:rFonts w:cs="Arial"/>
              </w:rPr>
            </w:pPr>
            <w:r w:rsidRPr="007657AD">
              <w:rPr>
                <w:rFonts w:cs="Arial"/>
              </w:rPr>
              <w:lastRenderedPageBreak/>
              <w:t xml:space="preserve">хореоатетоза, дискинезия, хиперкинезия, нарушение на походката, </w:t>
            </w:r>
            <w:r w:rsidRPr="007657AD">
              <w:rPr>
                <w:rFonts w:cs="Arial"/>
              </w:rPr>
              <w:lastRenderedPageBreak/>
              <w:t>енцефалопатия</w:t>
            </w:r>
          </w:p>
        </w:tc>
      </w:tr>
      <w:tr w:rsidR="007657AD" w14:paraId="11B65F48" w14:textId="77777777" w:rsidTr="007657AD">
        <w:tc>
          <w:tcPr>
            <w:tcW w:w="1816" w:type="dxa"/>
            <w:vAlign w:val="bottom"/>
          </w:tcPr>
          <w:p w14:paraId="5F0ECC09" w14:textId="1376A7D9" w:rsidR="007657AD" w:rsidRPr="007657AD" w:rsidRDefault="007657AD" w:rsidP="007657AD">
            <w:pPr>
              <w:rPr>
                <w:rFonts w:cs="Arial"/>
              </w:rPr>
            </w:pPr>
            <w:r w:rsidRPr="007657AD">
              <w:rPr>
                <w:rFonts w:cs="Arial"/>
              </w:rPr>
              <w:lastRenderedPageBreak/>
              <w:t>Нарушения на очите</w:t>
            </w:r>
          </w:p>
        </w:tc>
        <w:tc>
          <w:tcPr>
            <w:tcW w:w="1717" w:type="dxa"/>
          </w:tcPr>
          <w:p w14:paraId="55B67087" w14:textId="77777777" w:rsidR="007657AD" w:rsidRPr="007657AD" w:rsidRDefault="007657AD" w:rsidP="007657AD">
            <w:pPr>
              <w:rPr>
                <w:rFonts w:cs="Arial"/>
              </w:rPr>
            </w:pPr>
          </w:p>
        </w:tc>
        <w:tc>
          <w:tcPr>
            <w:tcW w:w="1952" w:type="dxa"/>
          </w:tcPr>
          <w:p w14:paraId="5307BD2A" w14:textId="77777777" w:rsidR="007657AD" w:rsidRPr="007657AD" w:rsidRDefault="007657AD" w:rsidP="007657AD">
            <w:pPr>
              <w:rPr>
                <w:rFonts w:cs="Arial"/>
              </w:rPr>
            </w:pPr>
          </w:p>
        </w:tc>
        <w:tc>
          <w:tcPr>
            <w:tcW w:w="2299" w:type="dxa"/>
            <w:vAlign w:val="bottom"/>
          </w:tcPr>
          <w:p w14:paraId="6AF0D117" w14:textId="4A11E33C" w:rsidR="007657AD" w:rsidRPr="007657AD" w:rsidRDefault="007657AD" w:rsidP="007657AD">
            <w:pPr>
              <w:rPr>
                <w:rFonts w:cs="Arial"/>
              </w:rPr>
            </w:pPr>
            <w:r w:rsidRPr="007657AD">
              <w:rPr>
                <w:rFonts w:cs="Arial"/>
              </w:rPr>
              <w:t>диплопия, замъглено зрение</w:t>
            </w:r>
          </w:p>
        </w:tc>
        <w:tc>
          <w:tcPr>
            <w:tcW w:w="1792" w:type="dxa"/>
          </w:tcPr>
          <w:p w14:paraId="33926195" w14:textId="77777777" w:rsidR="007657AD" w:rsidRPr="007657AD" w:rsidRDefault="007657AD" w:rsidP="007657AD">
            <w:pPr>
              <w:rPr>
                <w:rFonts w:cs="Arial"/>
              </w:rPr>
            </w:pPr>
          </w:p>
        </w:tc>
      </w:tr>
      <w:tr w:rsidR="007657AD" w14:paraId="4FC2C23D" w14:textId="77777777" w:rsidTr="007657AD">
        <w:tc>
          <w:tcPr>
            <w:tcW w:w="1816" w:type="dxa"/>
            <w:vAlign w:val="bottom"/>
          </w:tcPr>
          <w:p w14:paraId="1C7211F1" w14:textId="2B473F81" w:rsidR="007657AD" w:rsidRPr="007657AD" w:rsidRDefault="007657AD" w:rsidP="007657AD">
            <w:pPr>
              <w:rPr>
                <w:rFonts w:cs="Arial"/>
              </w:rPr>
            </w:pPr>
            <w:r w:rsidRPr="007657AD">
              <w:rPr>
                <w:rFonts w:cs="Arial"/>
              </w:rPr>
              <w:t>Нарушения на ухото и лабиринта</w:t>
            </w:r>
          </w:p>
        </w:tc>
        <w:tc>
          <w:tcPr>
            <w:tcW w:w="1717" w:type="dxa"/>
          </w:tcPr>
          <w:p w14:paraId="5F271AA6" w14:textId="77777777" w:rsidR="007657AD" w:rsidRPr="007657AD" w:rsidRDefault="007657AD" w:rsidP="007657AD">
            <w:pPr>
              <w:rPr>
                <w:rFonts w:cs="Arial"/>
              </w:rPr>
            </w:pPr>
          </w:p>
        </w:tc>
        <w:tc>
          <w:tcPr>
            <w:tcW w:w="1952" w:type="dxa"/>
          </w:tcPr>
          <w:p w14:paraId="7A3632CF" w14:textId="675BEF02" w:rsidR="007657AD" w:rsidRPr="007657AD" w:rsidRDefault="007657AD" w:rsidP="007657AD">
            <w:pPr>
              <w:rPr>
                <w:rFonts w:cs="Arial"/>
              </w:rPr>
            </w:pPr>
            <w:r w:rsidRPr="007657AD">
              <w:rPr>
                <w:rFonts w:cs="Arial"/>
              </w:rPr>
              <w:t>вертиго</w:t>
            </w:r>
          </w:p>
        </w:tc>
        <w:tc>
          <w:tcPr>
            <w:tcW w:w="2299" w:type="dxa"/>
          </w:tcPr>
          <w:p w14:paraId="0C482D9B" w14:textId="77777777" w:rsidR="007657AD" w:rsidRPr="007657AD" w:rsidRDefault="007657AD" w:rsidP="007657AD">
            <w:pPr>
              <w:rPr>
                <w:rFonts w:cs="Arial"/>
              </w:rPr>
            </w:pPr>
          </w:p>
        </w:tc>
        <w:tc>
          <w:tcPr>
            <w:tcW w:w="1792" w:type="dxa"/>
          </w:tcPr>
          <w:p w14:paraId="480A5745" w14:textId="77777777" w:rsidR="007657AD" w:rsidRPr="007657AD" w:rsidRDefault="007657AD" w:rsidP="007657AD">
            <w:pPr>
              <w:rPr>
                <w:rFonts w:cs="Arial"/>
              </w:rPr>
            </w:pPr>
          </w:p>
        </w:tc>
      </w:tr>
      <w:tr w:rsidR="007657AD" w14:paraId="05989E0E" w14:textId="77777777" w:rsidTr="007657AD">
        <w:tc>
          <w:tcPr>
            <w:tcW w:w="1816" w:type="dxa"/>
            <w:vAlign w:val="bottom"/>
          </w:tcPr>
          <w:p w14:paraId="7DA285A2" w14:textId="4CED13F1" w:rsidR="007657AD" w:rsidRPr="007657AD" w:rsidRDefault="007657AD" w:rsidP="007657AD">
            <w:pPr>
              <w:rPr>
                <w:rFonts w:cs="Arial"/>
              </w:rPr>
            </w:pPr>
            <w:r w:rsidRPr="007657AD">
              <w:rPr>
                <w:rFonts w:cs="Arial"/>
              </w:rPr>
              <w:t>Респираторни, гръдни и медиастинални нарушения</w:t>
            </w:r>
          </w:p>
        </w:tc>
        <w:tc>
          <w:tcPr>
            <w:tcW w:w="1717" w:type="dxa"/>
          </w:tcPr>
          <w:p w14:paraId="5EED9222" w14:textId="77777777" w:rsidR="007657AD" w:rsidRPr="007657AD" w:rsidRDefault="007657AD" w:rsidP="007657AD">
            <w:pPr>
              <w:rPr>
                <w:rFonts w:cs="Arial"/>
              </w:rPr>
            </w:pPr>
          </w:p>
        </w:tc>
        <w:tc>
          <w:tcPr>
            <w:tcW w:w="1952" w:type="dxa"/>
          </w:tcPr>
          <w:p w14:paraId="5B0C0CF9" w14:textId="3E22D3D3" w:rsidR="007657AD" w:rsidRPr="007657AD" w:rsidRDefault="007657AD" w:rsidP="007657AD">
            <w:pPr>
              <w:rPr>
                <w:rFonts w:cs="Arial"/>
              </w:rPr>
            </w:pPr>
            <w:r w:rsidRPr="007657AD">
              <w:rPr>
                <w:rFonts w:cs="Arial"/>
              </w:rPr>
              <w:t>кашлица</w:t>
            </w:r>
          </w:p>
        </w:tc>
        <w:tc>
          <w:tcPr>
            <w:tcW w:w="2299" w:type="dxa"/>
          </w:tcPr>
          <w:p w14:paraId="785A9880" w14:textId="77777777" w:rsidR="007657AD" w:rsidRPr="007657AD" w:rsidRDefault="007657AD" w:rsidP="007657AD">
            <w:pPr>
              <w:rPr>
                <w:rFonts w:cs="Arial"/>
              </w:rPr>
            </w:pPr>
          </w:p>
        </w:tc>
        <w:tc>
          <w:tcPr>
            <w:tcW w:w="1792" w:type="dxa"/>
          </w:tcPr>
          <w:p w14:paraId="469963DB" w14:textId="77777777" w:rsidR="007657AD" w:rsidRPr="007657AD" w:rsidRDefault="007657AD" w:rsidP="007657AD">
            <w:pPr>
              <w:rPr>
                <w:rFonts w:cs="Arial"/>
              </w:rPr>
            </w:pPr>
          </w:p>
        </w:tc>
      </w:tr>
      <w:tr w:rsidR="007657AD" w14:paraId="7FF83B3F" w14:textId="77777777" w:rsidTr="007657AD">
        <w:tc>
          <w:tcPr>
            <w:tcW w:w="1816" w:type="dxa"/>
          </w:tcPr>
          <w:p w14:paraId="4AF43C3A" w14:textId="0EF5B6D1" w:rsidR="007657AD" w:rsidRPr="007657AD" w:rsidRDefault="007657AD" w:rsidP="007657AD">
            <w:pPr>
              <w:rPr>
                <w:rFonts w:cs="Arial"/>
              </w:rPr>
            </w:pPr>
            <w:r w:rsidRPr="007657AD">
              <w:rPr>
                <w:rFonts w:cs="Arial"/>
              </w:rPr>
              <w:t>Стомашно-чревни нарушения</w:t>
            </w:r>
          </w:p>
        </w:tc>
        <w:tc>
          <w:tcPr>
            <w:tcW w:w="1717" w:type="dxa"/>
          </w:tcPr>
          <w:p w14:paraId="16B75F4E" w14:textId="77777777" w:rsidR="007657AD" w:rsidRPr="007657AD" w:rsidRDefault="007657AD" w:rsidP="007657AD">
            <w:pPr>
              <w:rPr>
                <w:rFonts w:cs="Arial"/>
              </w:rPr>
            </w:pPr>
          </w:p>
        </w:tc>
        <w:tc>
          <w:tcPr>
            <w:tcW w:w="1952" w:type="dxa"/>
            <w:vAlign w:val="bottom"/>
          </w:tcPr>
          <w:p w14:paraId="13CFEBD6" w14:textId="037335B0" w:rsidR="007657AD" w:rsidRPr="007657AD" w:rsidRDefault="007657AD" w:rsidP="007657AD">
            <w:pPr>
              <w:rPr>
                <w:rFonts w:cs="Arial"/>
              </w:rPr>
            </w:pPr>
            <w:r w:rsidRPr="007657AD">
              <w:rPr>
                <w:rFonts w:cs="Arial"/>
              </w:rPr>
              <w:t>болки в корема, диария, диспепсия, повръщане, гадене</w:t>
            </w:r>
          </w:p>
        </w:tc>
        <w:tc>
          <w:tcPr>
            <w:tcW w:w="2299" w:type="dxa"/>
          </w:tcPr>
          <w:p w14:paraId="2A972292" w14:textId="77777777" w:rsidR="007657AD" w:rsidRPr="007657AD" w:rsidRDefault="007657AD" w:rsidP="007657AD">
            <w:pPr>
              <w:rPr>
                <w:rFonts w:cs="Arial"/>
              </w:rPr>
            </w:pPr>
          </w:p>
        </w:tc>
        <w:tc>
          <w:tcPr>
            <w:tcW w:w="1792" w:type="dxa"/>
          </w:tcPr>
          <w:p w14:paraId="03160CDD" w14:textId="75DF5888" w:rsidR="007657AD" w:rsidRPr="007657AD" w:rsidRDefault="007657AD" w:rsidP="007657AD">
            <w:pPr>
              <w:rPr>
                <w:rFonts w:cs="Arial"/>
              </w:rPr>
            </w:pPr>
            <w:r w:rsidRPr="007657AD">
              <w:rPr>
                <w:rFonts w:cs="Arial"/>
              </w:rPr>
              <w:t>панкреатит</w:t>
            </w:r>
          </w:p>
        </w:tc>
      </w:tr>
      <w:tr w:rsidR="007657AD" w14:paraId="01F379F3" w14:textId="77777777" w:rsidTr="007657AD">
        <w:tc>
          <w:tcPr>
            <w:tcW w:w="1816" w:type="dxa"/>
          </w:tcPr>
          <w:p w14:paraId="7105CC3C" w14:textId="14545112" w:rsidR="007657AD" w:rsidRPr="007657AD" w:rsidRDefault="007657AD" w:rsidP="007657AD">
            <w:pPr>
              <w:rPr>
                <w:rFonts w:cs="Arial"/>
              </w:rPr>
            </w:pPr>
            <w:r w:rsidRPr="007657AD">
              <w:rPr>
                <w:rFonts w:cs="Arial"/>
              </w:rPr>
              <w:t>Хепатобилиарни нарушения</w:t>
            </w:r>
          </w:p>
        </w:tc>
        <w:tc>
          <w:tcPr>
            <w:tcW w:w="1717" w:type="dxa"/>
          </w:tcPr>
          <w:p w14:paraId="0678FD61" w14:textId="77777777" w:rsidR="007657AD" w:rsidRPr="007657AD" w:rsidRDefault="007657AD" w:rsidP="007657AD">
            <w:pPr>
              <w:rPr>
                <w:rFonts w:cs="Arial"/>
              </w:rPr>
            </w:pPr>
          </w:p>
        </w:tc>
        <w:tc>
          <w:tcPr>
            <w:tcW w:w="1952" w:type="dxa"/>
          </w:tcPr>
          <w:p w14:paraId="6A9D3526" w14:textId="77777777" w:rsidR="007657AD" w:rsidRPr="007657AD" w:rsidRDefault="007657AD" w:rsidP="007657AD">
            <w:pPr>
              <w:rPr>
                <w:rFonts w:cs="Arial"/>
              </w:rPr>
            </w:pPr>
          </w:p>
        </w:tc>
        <w:tc>
          <w:tcPr>
            <w:tcW w:w="2299" w:type="dxa"/>
            <w:vAlign w:val="bottom"/>
          </w:tcPr>
          <w:p w14:paraId="2C0CD483" w14:textId="01B6D62A" w:rsidR="007657AD" w:rsidRPr="007657AD" w:rsidRDefault="007657AD" w:rsidP="007657AD">
            <w:pPr>
              <w:rPr>
                <w:rFonts w:cs="Arial"/>
              </w:rPr>
            </w:pPr>
            <w:r w:rsidRPr="007657AD">
              <w:rPr>
                <w:rFonts w:cs="Arial"/>
              </w:rPr>
              <w:t>абнормни резултати при функционални чернодробни тестове</w:t>
            </w:r>
          </w:p>
        </w:tc>
        <w:tc>
          <w:tcPr>
            <w:tcW w:w="1792" w:type="dxa"/>
            <w:vAlign w:val="bottom"/>
          </w:tcPr>
          <w:p w14:paraId="03417A0A" w14:textId="5E42CCB1" w:rsidR="007657AD" w:rsidRPr="007657AD" w:rsidRDefault="007657AD" w:rsidP="007657AD">
            <w:pPr>
              <w:rPr>
                <w:rFonts w:cs="Arial"/>
              </w:rPr>
            </w:pPr>
            <w:r w:rsidRPr="007657AD">
              <w:rPr>
                <w:rFonts w:cs="Arial"/>
              </w:rPr>
              <w:t>чернодробна недостатъчност, хепатит</w:t>
            </w:r>
          </w:p>
        </w:tc>
      </w:tr>
      <w:tr w:rsidR="007657AD" w14:paraId="1A602AF4" w14:textId="77777777" w:rsidTr="007657AD">
        <w:tc>
          <w:tcPr>
            <w:tcW w:w="1816" w:type="dxa"/>
          </w:tcPr>
          <w:p w14:paraId="749A081D" w14:textId="43B38E6D" w:rsidR="007657AD" w:rsidRPr="007657AD" w:rsidRDefault="007657AD" w:rsidP="007657AD">
            <w:pPr>
              <w:rPr>
                <w:rFonts w:cs="Arial"/>
              </w:rPr>
            </w:pPr>
            <w:r w:rsidRPr="007657AD">
              <w:rPr>
                <w:rFonts w:cs="Arial"/>
              </w:rPr>
              <w:t>Нарушения на кожата и подкожната тъкан</w:t>
            </w:r>
          </w:p>
        </w:tc>
        <w:tc>
          <w:tcPr>
            <w:tcW w:w="1717" w:type="dxa"/>
          </w:tcPr>
          <w:p w14:paraId="54363126" w14:textId="77777777" w:rsidR="007657AD" w:rsidRPr="007657AD" w:rsidRDefault="007657AD" w:rsidP="007657AD">
            <w:pPr>
              <w:rPr>
                <w:rFonts w:cs="Arial"/>
              </w:rPr>
            </w:pPr>
          </w:p>
        </w:tc>
        <w:tc>
          <w:tcPr>
            <w:tcW w:w="1952" w:type="dxa"/>
          </w:tcPr>
          <w:p w14:paraId="3E08514D" w14:textId="5A6BBA32" w:rsidR="007657AD" w:rsidRPr="007657AD" w:rsidRDefault="007657AD" w:rsidP="007657AD">
            <w:pPr>
              <w:rPr>
                <w:rFonts w:cs="Arial"/>
              </w:rPr>
            </w:pPr>
            <w:r w:rsidRPr="007657AD">
              <w:rPr>
                <w:rFonts w:cs="Arial"/>
              </w:rPr>
              <w:t>обрив</w:t>
            </w:r>
          </w:p>
        </w:tc>
        <w:tc>
          <w:tcPr>
            <w:tcW w:w="2299" w:type="dxa"/>
          </w:tcPr>
          <w:p w14:paraId="6023D049" w14:textId="71D2FEC1" w:rsidR="007657AD" w:rsidRPr="007657AD" w:rsidRDefault="007657AD" w:rsidP="007657AD">
            <w:pPr>
              <w:rPr>
                <w:rFonts w:cs="Arial"/>
              </w:rPr>
            </w:pPr>
            <w:r w:rsidRPr="007657AD">
              <w:rPr>
                <w:rFonts w:cs="Arial"/>
              </w:rPr>
              <w:t>алопеция, екзема, пруритус,</w:t>
            </w:r>
          </w:p>
        </w:tc>
        <w:tc>
          <w:tcPr>
            <w:tcW w:w="1792" w:type="dxa"/>
            <w:vAlign w:val="bottom"/>
          </w:tcPr>
          <w:p w14:paraId="58FA6E23" w14:textId="46843636" w:rsidR="007657AD" w:rsidRPr="007657AD" w:rsidRDefault="007657AD" w:rsidP="007657AD">
            <w:pPr>
              <w:rPr>
                <w:rFonts w:cs="Arial"/>
              </w:rPr>
            </w:pPr>
            <w:r w:rsidRPr="007657AD">
              <w:rPr>
                <w:rFonts w:cs="Arial"/>
              </w:rPr>
              <w:t xml:space="preserve">токсична епидермална некролиза, синдром на </w:t>
            </w:r>
            <w:r w:rsidRPr="007657AD">
              <w:rPr>
                <w:rFonts w:cs="Arial"/>
                <w:lang w:val="en-US"/>
              </w:rPr>
              <w:t xml:space="preserve">Stevens-Johnson, </w:t>
            </w:r>
            <w:r w:rsidRPr="007657AD">
              <w:rPr>
                <w:rFonts w:cs="Arial"/>
              </w:rPr>
              <w:t>еритема мултиформе</w:t>
            </w:r>
          </w:p>
        </w:tc>
      </w:tr>
      <w:tr w:rsidR="007657AD" w14:paraId="3A8C0E65" w14:textId="77777777" w:rsidTr="007657AD">
        <w:tc>
          <w:tcPr>
            <w:tcW w:w="1816" w:type="dxa"/>
            <w:vAlign w:val="bottom"/>
          </w:tcPr>
          <w:p w14:paraId="765C9E3E" w14:textId="59209872" w:rsidR="007657AD" w:rsidRPr="007657AD" w:rsidRDefault="007657AD" w:rsidP="007657AD">
            <w:pPr>
              <w:rPr>
                <w:rFonts w:cs="Arial"/>
              </w:rPr>
            </w:pPr>
            <w:r w:rsidRPr="007657AD">
              <w:rPr>
                <w:rFonts w:cs="Arial"/>
              </w:rPr>
              <w:t>Нарушения на мускулно- скелетната система и съединителната тъкан</w:t>
            </w:r>
          </w:p>
        </w:tc>
        <w:tc>
          <w:tcPr>
            <w:tcW w:w="1717" w:type="dxa"/>
          </w:tcPr>
          <w:p w14:paraId="5A2F94ED" w14:textId="77777777" w:rsidR="007657AD" w:rsidRPr="007657AD" w:rsidRDefault="007657AD" w:rsidP="007657AD">
            <w:pPr>
              <w:rPr>
                <w:rFonts w:cs="Arial"/>
              </w:rPr>
            </w:pPr>
          </w:p>
        </w:tc>
        <w:tc>
          <w:tcPr>
            <w:tcW w:w="1952" w:type="dxa"/>
          </w:tcPr>
          <w:p w14:paraId="6E713138" w14:textId="77777777" w:rsidR="007657AD" w:rsidRPr="007657AD" w:rsidRDefault="007657AD" w:rsidP="007657AD">
            <w:pPr>
              <w:rPr>
                <w:rFonts w:cs="Arial"/>
              </w:rPr>
            </w:pPr>
          </w:p>
        </w:tc>
        <w:tc>
          <w:tcPr>
            <w:tcW w:w="2299" w:type="dxa"/>
          </w:tcPr>
          <w:p w14:paraId="077A2B7B" w14:textId="52853DA8" w:rsidR="007657AD" w:rsidRPr="007657AD" w:rsidRDefault="007657AD" w:rsidP="007657AD">
            <w:pPr>
              <w:rPr>
                <w:rFonts w:cs="Arial"/>
              </w:rPr>
            </w:pPr>
            <w:r w:rsidRPr="007657AD">
              <w:rPr>
                <w:rFonts w:cs="Arial"/>
              </w:rPr>
              <w:t>мускулна слабост, миалгия</w:t>
            </w:r>
          </w:p>
        </w:tc>
        <w:tc>
          <w:tcPr>
            <w:tcW w:w="1792" w:type="dxa"/>
            <w:vAlign w:val="bottom"/>
          </w:tcPr>
          <w:p w14:paraId="5C9B339E" w14:textId="77777777" w:rsidR="007657AD" w:rsidRPr="007657AD" w:rsidRDefault="007657AD" w:rsidP="007657AD">
            <w:pPr>
              <w:rPr>
                <w:rFonts w:cs="Arial"/>
              </w:rPr>
            </w:pPr>
            <w:r w:rsidRPr="007657AD">
              <w:rPr>
                <w:rFonts w:cs="Arial"/>
              </w:rPr>
              <w:t>рабдомиолиза и повишена</w:t>
            </w:r>
          </w:p>
          <w:p w14:paraId="74E2C427" w14:textId="49180938" w:rsidR="007657AD" w:rsidRPr="007657AD" w:rsidRDefault="007657AD" w:rsidP="007657AD">
            <w:pPr>
              <w:rPr>
                <w:rFonts w:cs="Arial"/>
              </w:rPr>
            </w:pPr>
            <w:r w:rsidRPr="007657AD">
              <w:rPr>
                <w:rFonts w:cs="Arial"/>
              </w:rPr>
              <w:t>креатинин фосфокиназа в кръвта*</w:t>
            </w:r>
          </w:p>
        </w:tc>
      </w:tr>
      <w:tr w:rsidR="007657AD" w14:paraId="5AE53781" w14:textId="77777777" w:rsidTr="007657AD">
        <w:tc>
          <w:tcPr>
            <w:tcW w:w="1816" w:type="dxa"/>
            <w:vAlign w:val="bottom"/>
          </w:tcPr>
          <w:p w14:paraId="2A1106D8" w14:textId="3A26747F" w:rsidR="007657AD" w:rsidRPr="007657AD" w:rsidRDefault="007657AD" w:rsidP="007657AD">
            <w:pPr>
              <w:rPr>
                <w:rFonts w:cs="Arial"/>
              </w:rPr>
            </w:pPr>
            <w:r w:rsidRPr="007657AD">
              <w:rPr>
                <w:rFonts w:cs="Arial"/>
              </w:rPr>
              <w:t>Нарушения на бъбреците и пикочните пътища</w:t>
            </w:r>
          </w:p>
        </w:tc>
        <w:tc>
          <w:tcPr>
            <w:tcW w:w="1717" w:type="dxa"/>
          </w:tcPr>
          <w:p w14:paraId="6A405140" w14:textId="77777777" w:rsidR="007657AD" w:rsidRPr="007657AD" w:rsidRDefault="007657AD" w:rsidP="007657AD">
            <w:pPr>
              <w:rPr>
                <w:rFonts w:cs="Arial"/>
              </w:rPr>
            </w:pPr>
          </w:p>
        </w:tc>
        <w:tc>
          <w:tcPr>
            <w:tcW w:w="1952" w:type="dxa"/>
          </w:tcPr>
          <w:p w14:paraId="4079FAB6" w14:textId="77777777" w:rsidR="007657AD" w:rsidRPr="007657AD" w:rsidRDefault="007657AD" w:rsidP="007657AD">
            <w:pPr>
              <w:rPr>
                <w:rFonts w:cs="Arial"/>
              </w:rPr>
            </w:pPr>
          </w:p>
        </w:tc>
        <w:tc>
          <w:tcPr>
            <w:tcW w:w="2299" w:type="dxa"/>
          </w:tcPr>
          <w:p w14:paraId="2293F8A0" w14:textId="77777777" w:rsidR="007657AD" w:rsidRPr="007657AD" w:rsidRDefault="007657AD" w:rsidP="007657AD">
            <w:pPr>
              <w:rPr>
                <w:rFonts w:cs="Arial"/>
              </w:rPr>
            </w:pPr>
          </w:p>
        </w:tc>
        <w:tc>
          <w:tcPr>
            <w:tcW w:w="1792" w:type="dxa"/>
          </w:tcPr>
          <w:p w14:paraId="21B5EA2B" w14:textId="70500D17" w:rsidR="007657AD" w:rsidRPr="007657AD" w:rsidRDefault="007657AD" w:rsidP="007657AD">
            <w:pPr>
              <w:rPr>
                <w:rFonts w:cs="Arial"/>
              </w:rPr>
            </w:pPr>
            <w:r w:rsidRPr="007657AD">
              <w:rPr>
                <w:rFonts w:cs="Arial"/>
              </w:rPr>
              <w:t>остра бъбречна недостатъчност</w:t>
            </w:r>
          </w:p>
        </w:tc>
      </w:tr>
      <w:tr w:rsidR="007657AD" w14:paraId="42B58B97" w14:textId="77777777" w:rsidTr="007657AD">
        <w:tc>
          <w:tcPr>
            <w:tcW w:w="1816" w:type="dxa"/>
            <w:vAlign w:val="bottom"/>
          </w:tcPr>
          <w:p w14:paraId="268F3F6F" w14:textId="4A132D35" w:rsidR="007657AD" w:rsidRPr="007657AD" w:rsidRDefault="007657AD" w:rsidP="007657AD">
            <w:pPr>
              <w:rPr>
                <w:rFonts w:cs="Arial"/>
              </w:rPr>
            </w:pPr>
            <w:r w:rsidRPr="007657AD">
              <w:rPr>
                <w:rFonts w:cs="Arial"/>
              </w:rPr>
              <w:t>Общи нарушения и ефекти на мястото на приложение</w:t>
            </w:r>
          </w:p>
        </w:tc>
        <w:tc>
          <w:tcPr>
            <w:tcW w:w="1717" w:type="dxa"/>
          </w:tcPr>
          <w:p w14:paraId="60814A8E" w14:textId="77777777" w:rsidR="007657AD" w:rsidRPr="007657AD" w:rsidRDefault="007657AD" w:rsidP="007657AD">
            <w:pPr>
              <w:rPr>
                <w:rFonts w:cs="Arial"/>
              </w:rPr>
            </w:pPr>
          </w:p>
        </w:tc>
        <w:tc>
          <w:tcPr>
            <w:tcW w:w="1952" w:type="dxa"/>
          </w:tcPr>
          <w:p w14:paraId="5B16237E" w14:textId="5CBA1BD9" w:rsidR="007657AD" w:rsidRPr="007657AD" w:rsidRDefault="007657AD" w:rsidP="007657AD">
            <w:pPr>
              <w:rPr>
                <w:rFonts w:cs="Arial"/>
              </w:rPr>
            </w:pPr>
            <w:r w:rsidRPr="007657AD">
              <w:rPr>
                <w:rFonts w:cs="Arial"/>
              </w:rPr>
              <w:t>астения/умора</w:t>
            </w:r>
          </w:p>
        </w:tc>
        <w:tc>
          <w:tcPr>
            <w:tcW w:w="2299" w:type="dxa"/>
          </w:tcPr>
          <w:p w14:paraId="7B5C86EA" w14:textId="77777777" w:rsidR="007657AD" w:rsidRPr="007657AD" w:rsidRDefault="007657AD" w:rsidP="007657AD">
            <w:pPr>
              <w:rPr>
                <w:rFonts w:cs="Arial"/>
              </w:rPr>
            </w:pPr>
          </w:p>
        </w:tc>
        <w:tc>
          <w:tcPr>
            <w:tcW w:w="1792" w:type="dxa"/>
          </w:tcPr>
          <w:p w14:paraId="27B0BFA9" w14:textId="77777777" w:rsidR="007657AD" w:rsidRPr="007657AD" w:rsidRDefault="007657AD" w:rsidP="007657AD">
            <w:pPr>
              <w:rPr>
                <w:rFonts w:cs="Arial"/>
              </w:rPr>
            </w:pPr>
          </w:p>
        </w:tc>
      </w:tr>
      <w:tr w:rsidR="007657AD" w14:paraId="24E45488" w14:textId="77777777" w:rsidTr="007657AD">
        <w:tc>
          <w:tcPr>
            <w:tcW w:w="1816" w:type="dxa"/>
            <w:vAlign w:val="bottom"/>
          </w:tcPr>
          <w:p w14:paraId="49B8E77D" w14:textId="6ACB4C9D" w:rsidR="007657AD" w:rsidRPr="007657AD" w:rsidRDefault="007657AD" w:rsidP="007657AD">
            <w:pPr>
              <w:rPr>
                <w:rFonts w:cs="Arial"/>
              </w:rPr>
            </w:pPr>
            <w:r w:rsidRPr="007657AD">
              <w:rPr>
                <w:rFonts w:cs="Arial"/>
              </w:rPr>
              <w:t xml:space="preserve">Наранявания, отравяния и усложнения, </w:t>
            </w:r>
            <w:r w:rsidRPr="007657AD">
              <w:rPr>
                <w:rFonts w:cs="Arial"/>
              </w:rPr>
              <w:lastRenderedPageBreak/>
              <w:t>възникнали в резултат на интервенции</w:t>
            </w:r>
          </w:p>
        </w:tc>
        <w:tc>
          <w:tcPr>
            <w:tcW w:w="1717" w:type="dxa"/>
          </w:tcPr>
          <w:p w14:paraId="559572C3" w14:textId="77777777" w:rsidR="007657AD" w:rsidRPr="007657AD" w:rsidRDefault="007657AD" w:rsidP="007657AD">
            <w:pPr>
              <w:rPr>
                <w:rFonts w:cs="Arial"/>
              </w:rPr>
            </w:pPr>
          </w:p>
        </w:tc>
        <w:tc>
          <w:tcPr>
            <w:tcW w:w="1952" w:type="dxa"/>
          </w:tcPr>
          <w:p w14:paraId="61608033" w14:textId="77777777" w:rsidR="007657AD" w:rsidRPr="007657AD" w:rsidRDefault="007657AD" w:rsidP="007657AD">
            <w:pPr>
              <w:rPr>
                <w:rFonts w:cs="Arial"/>
              </w:rPr>
            </w:pPr>
          </w:p>
        </w:tc>
        <w:tc>
          <w:tcPr>
            <w:tcW w:w="2299" w:type="dxa"/>
          </w:tcPr>
          <w:p w14:paraId="4E230ACE" w14:textId="14471BBF" w:rsidR="007657AD" w:rsidRPr="007657AD" w:rsidRDefault="007657AD" w:rsidP="007657AD">
            <w:pPr>
              <w:rPr>
                <w:rFonts w:cs="Arial"/>
              </w:rPr>
            </w:pPr>
            <w:r w:rsidRPr="007657AD">
              <w:rPr>
                <w:rFonts w:cs="Arial"/>
              </w:rPr>
              <w:t>нараняване</w:t>
            </w:r>
          </w:p>
        </w:tc>
        <w:tc>
          <w:tcPr>
            <w:tcW w:w="1792" w:type="dxa"/>
          </w:tcPr>
          <w:p w14:paraId="3162585A" w14:textId="77777777" w:rsidR="007657AD" w:rsidRPr="007657AD" w:rsidRDefault="007657AD" w:rsidP="007657AD">
            <w:pPr>
              <w:rPr>
                <w:rFonts w:cs="Arial"/>
              </w:rPr>
            </w:pPr>
          </w:p>
        </w:tc>
      </w:tr>
    </w:tbl>
    <w:p w14:paraId="0553294E"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 Значително по-високо разпространение се наблюдава при пациенти от японс:ки произход в сравнение при пациенти от неяпонски произход.</w:t>
      </w:r>
    </w:p>
    <w:p w14:paraId="573FC199" w14:textId="379D9C74" w:rsidR="007657AD" w:rsidRPr="007657AD" w:rsidRDefault="007657AD" w:rsidP="007657AD">
      <w:pPr>
        <w:rPr>
          <w:rFonts w:cs="Arial"/>
        </w:rPr>
      </w:pPr>
    </w:p>
    <w:p w14:paraId="28B20B7B"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Рядко са наблюдавани случаи на енцефалопатия след приложение на леветирацетам. Тези нежелани реакции обикновено настъпват в началото на лечението (няколко дни до няколко месеца) и са обратими след спиране на лечението.</w:t>
      </w:r>
    </w:p>
    <w:p w14:paraId="50A8E10E" w14:textId="77777777" w:rsidR="007657AD" w:rsidRPr="007657AD" w:rsidRDefault="007657AD" w:rsidP="007657AD">
      <w:pPr>
        <w:spacing w:line="240" w:lineRule="auto"/>
        <w:rPr>
          <w:rFonts w:eastAsia="Times New Roman" w:cs="Arial"/>
          <w:color w:val="000000"/>
          <w:u w:val="single"/>
          <w:lang w:eastAsia="bg-BG"/>
        </w:rPr>
      </w:pPr>
    </w:p>
    <w:p w14:paraId="516F2727" w14:textId="42F1C895" w:rsidR="007657AD" w:rsidRPr="007657AD" w:rsidRDefault="007657AD" w:rsidP="007657AD">
      <w:pPr>
        <w:spacing w:line="240" w:lineRule="auto"/>
        <w:rPr>
          <w:rFonts w:eastAsia="Times New Roman" w:cs="Arial"/>
          <w:lang w:eastAsia="bg-BG"/>
        </w:rPr>
      </w:pPr>
      <w:r w:rsidRPr="007657AD">
        <w:rPr>
          <w:rFonts w:eastAsia="Times New Roman" w:cs="Arial"/>
          <w:color w:val="000000"/>
          <w:u w:val="single"/>
          <w:lang w:eastAsia="bg-BG"/>
        </w:rPr>
        <w:t>Описание на избрани нежелани реакции</w:t>
      </w:r>
    </w:p>
    <w:p w14:paraId="0D19DC6A" w14:textId="77777777" w:rsidR="007657AD" w:rsidRPr="007657AD" w:rsidRDefault="007657AD" w:rsidP="007657AD">
      <w:pPr>
        <w:spacing w:line="240" w:lineRule="auto"/>
        <w:rPr>
          <w:rFonts w:eastAsia="Times New Roman" w:cs="Arial"/>
          <w:color w:val="000000"/>
          <w:lang w:eastAsia="bg-BG"/>
        </w:rPr>
      </w:pPr>
    </w:p>
    <w:p w14:paraId="303DE939" w14:textId="79CEC99F"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Рискът от анорексия е по-висок, когато топирамат се прилага едновременно с леветирацетам. При няколко случая на алопеция е наблюдавано възстановяване след преустановяване приема на леветирацетам.</w:t>
      </w:r>
    </w:p>
    <w:p w14:paraId="5228F251"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При някои от случаите на панцитопения е установено потискане на костния мозък.</w:t>
      </w:r>
    </w:p>
    <w:p w14:paraId="384128A6" w14:textId="77777777" w:rsidR="007657AD" w:rsidRPr="007657AD" w:rsidRDefault="007657AD" w:rsidP="007657AD">
      <w:pPr>
        <w:spacing w:line="240" w:lineRule="auto"/>
        <w:rPr>
          <w:rFonts w:eastAsia="Times New Roman" w:cs="Arial"/>
          <w:color w:val="000000"/>
          <w:u w:val="single"/>
          <w:lang w:eastAsia="bg-BG"/>
        </w:rPr>
      </w:pPr>
    </w:p>
    <w:p w14:paraId="07E4F9A0" w14:textId="34298787" w:rsidR="007657AD" w:rsidRPr="007657AD" w:rsidRDefault="007657AD" w:rsidP="007657AD">
      <w:pPr>
        <w:spacing w:line="240" w:lineRule="auto"/>
        <w:rPr>
          <w:rFonts w:eastAsia="Times New Roman" w:cs="Arial"/>
          <w:lang w:eastAsia="bg-BG"/>
        </w:rPr>
      </w:pPr>
      <w:r w:rsidRPr="007657AD">
        <w:rPr>
          <w:rFonts w:eastAsia="Times New Roman" w:cs="Arial"/>
          <w:color w:val="000000"/>
          <w:u w:val="single"/>
          <w:lang w:eastAsia="bg-BG"/>
        </w:rPr>
        <w:t>Педиатрична популация</w:t>
      </w:r>
    </w:p>
    <w:p w14:paraId="2F4CD487" w14:textId="77777777" w:rsidR="007657AD" w:rsidRPr="007657AD" w:rsidRDefault="007657AD" w:rsidP="007657AD">
      <w:pPr>
        <w:spacing w:line="240" w:lineRule="auto"/>
        <w:rPr>
          <w:rFonts w:eastAsia="Times New Roman" w:cs="Arial"/>
          <w:color w:val="000000"/>
          <w:lang w:eastAsia="bg-BG"/>
        </w:rPr>
      </w:pPr>
    </w:p>
    <w:p w14:paraId="76492DB0" w14:textId="36C143A5"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При пациенти на възраст от 1 месец до под 4 години, общо 190 пациенти са били лекувани с леветирацетам в плацебо-контролирани и отворени разширени проучвания. Шестдесет (60) от тези пациенти са били лекувани с леветирацетам в плацебо-контролирани проучвания. При пациенти на възраст 4-16 години, общо 645 пациенти са били лекувани с леветирацетам в плацебо-контролирани и отворени разширени проучвания. В плацебо-контролирани проучвания 233 от тези пациенти са били лекувани с леветирацетам. В тези две педиатрични възрастови групи, тези данни са допълнени с постмаркетингов опит за употреба на леветирацетам.</w:t>
      </w:r>
    </w:p>
    <w:p w14:paraId="6615B260" w14:textId="77777777" w:rsidR="007657AD" w:rsidRPr="007657AD" w:rsidRDefault="007657AD" w:rsidP="007657AD">
      <w:pPr>
        <w:spacing w:line="240" w:lineRule="auto"/>
        <w:rPr>
          <w:rFonts w:eastAsia="Times New Roman" w:cs="Arial"/>
          <w:color w:val="000000"/>
          <w:lang w:eastAsia="bg-BG"/>
        </w:rPr>
      </w:pPr>
    </w:p>
    <w:p w14:paraId="706AAC79" w14:textId="318212BD"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Освен това 101 кърмачета на възраст под 12 месеца са били с експозиция в постмаркетингово проучване за безопасност. Не са идентифицирани нови съображения за безопасност за леветирацетам при деца с епилепсия на възраст под 12 месеца.</w:t>
      </w:r>
    </w:p>
    <w:p w14:paraId="7CFC9762" w14:textId="77777777" w:rsidR="007657AD" w:rsidRPr="007657AD" w:rsidRDefault="007657AD" w:rsidP="007657AD">
      <w:pPr>
        <w:spacing w:line="240" w:lineRule="auto"/>
        <w:rPr>
          <w:rFonts w:eastAsia="Times New Roman" w:cs="Arial"/>
          <w:color w:val="000000"/>
          <w:lang w:eastAsia="bg-BG"/>
        </w:rPr>
      </w:pPr>
    </w:p>
    <w:p w14:paraId="4767A1C1" w14:textId="69690548"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Профилът на нежеланите реакции на леветирацетам е по принцип подобен при различните възрастови групи и в рамките на одобрените показания, свързани с епилепсията. Безопасността при педиатрични пациенти в плацебо-контролирани клинични проучвания са в съответствие с профила на безопасност на леветирацетам при възрастни, с изключение на поведенческите и психиатрични нежелани реакции, които са по-чести при деца отколкото при възрастни. При деца и юноши на възраст от 4 до 16 години, повръщане (много чести 11,2%), възбуда (чести 3,4%), промени в настроението (чести 2,1%), емоционална нестабилност (чести 1,7%), агресия (чести 8,2 %), необичайно поведение (обща 5,6%) и летаргия (общи, 3,9%) са съобщавани по- често, отколкото в другите възрастови групи или в общия профил на безопасност. При кърмачета и деца на възраст от 1 месец до под 4 години, раздразнителност (много чести 11,7%) и нарушена координация (чести 3,3%) са съобщавани по-често, отколкото при другите възрастови групи, или в общия профил на безопасност.</w:t>
      </w:r>
    </w:p>
    <w:p w14:paraId="57ED87FA" w14:textId="77777777" w:rsidR="007657AD" w:rsidRPr="007657AD" w:rsidRDefault="007657AD" w:rsidP="007657AD">
      <w:pPr>
        <w:spacing w:line="240" w:lineRule="auto"/>
        <w:rPr>
          <w:rFonts w:eastAsia="Times New Roman" w:cs="Arial"/>
          <w:color w:val="000000"/>
          <w:lang w:eastAsia="bg-BG"/>
        </w:rPr>
      </w:pPr>
    </w:p>
    <w:p w14:paraId="6DB5566E" w14:textId="014890F4"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 xml:space="preserve">Двойносляпо, плацебо-контролирано проучване за проследяване на безопасността при деца с неинфериорен дизайн е оценило когнитивните и невропсихологични ефекти на леветирацетам при деца от 4 до 16-годишна възраст с парциални пристъпи. Установено е, че леветирацетам не се различава (не е по-лош) спрямо плацебо по отношение на </w:t>
      </w:r>
      <w:r w:rsidRPr="007657AD">
        <w:rPr>
          <w:rFonts w:eastAsia="Times New Roman" w:cs="Arial"/>
          <w:color w:val="000000"/>
          <w:lang w:eastAsia="bg-BG"/>
        </w:rPr>
        <w:lastRenderedPageBreak/>
        <w:t xml:space="preserve">промяната спрямо изходното ниво на </w:t>
      </w:r>
      <w:r w:rsidRPr="007657AD">
        <w:rPr>
          <w:rFonts w:eastAsia="Times New Roman" w:cs="Arial"/>
          <w:i/>
          <w:iCs/>
          <w:color w:val="000000"/>
          <w:lang w:val="en-US"/>
        </w:rPr>
        <w:t>Leiter-R</w:t>
      </w:r>
      <w:r w:rsidRPr="007657AD">
        <w:rPr>
          <w:rFonts w:eastAsia="Times New Roman" w:cs="Arial"/>
          <w:color w:val="000000"/>
          <w:lang w:val="en-US"/>
        </w:rPr>
        <w:t xml:space="preserve"> </w:t>
      </w:r>
      <w:r w:rsidRPr="007657AD">
        <w:rPr>
          <w:rFonts w:eastAsia="Times New Roman" w:cs="Arial"/>
          <w:color w:val="000000"/>
          <w:lang w:eastAsia="bg-BG"/>
        </w:rPr>
        <w:t xml:space="preserve">внимание и памет, комбиниран скор за изследване на паметта на предварително определената в протокола популация. Резултатите, свързани с поведенческата и емоционална функция, са показали влошаване при лекуваните с леветирацетам пациенти по отношение на агресивно поведение, измерено по стандартен и систематизиран метод чрез използване на валидиран способ </w:t>
      </w:r>
      <w:r w:rsidRPr="007657AD">
        <w:rPr>
          <w:rFonts w:eastAsia="Times New Roman" w:cs="Arial"/>
          <w:color w:val="000000"/>
          <w:lang w:val="en-US"/>
        </w:rPr>
        <w:t>(CBCL</w:t>
      </w:r>
      <w:r w:rsidRPr="007657AD">
        <w:rPr>
          <w:rFonts w:eastAsia="Times New Roman" w:cs="Arial"/>
          <w:i/>
          <w:iCs/>
          <w:color w:val="000000"/>
          <w:lang w:val="en-US"/>
        </w:rPr>
        <w:t>-Achenbach</w:t>
      </w:r>
      <w:r w:rsidRPr="007657AD">
        <w:rPr>
          <w:rFonts w:eastAsia="Times New Roman" w:cs="Arial"/>
          <w:color w:val="000000"/>
          <w:lang w:val="en-US"/>
        </w:rPr>
        <w:t xml:space="preserve"> </w:t>
      </w:r>
      <w:r w:rsidRPr="007657AD">
        <w:rPr>
          <w:rFonts w:eastAsia="Times New Roman" w:cs="Arial"/>
          <w:color w:val="000000"/>
          <w:lang w:eastAsia="bg-BG"/>
        </w:rPr>
        <w:t>въпросник за детско поведение). Въпреки това пациентите, приемали леветирацетам по време на продължителното, отворено проследяващо проучване, не са показали общо влошаване по отношение на поведението или емоционалната функция; нещо повече, показателите за агресивно поведение не са показали влошаван</w:t>
      </w:r>
      <w:r w:rsidRPr="007657AD">
        <w:rPr>
          <w:rFonts w:eastAsia="Times New Roman" w:cs="Arial"/>
          <w:color w:val="000000"/>
          <w:u w:val="single"/>
          <w:lang w:eastAsia="bg-BG"/>
        </w:rPr>
        <w:t>е спря</w:t>
      </w:r>
      <w:r w:rsidRPr="007657AD">
        <w:rPr>
          <w:rFonts w:eastAsia="Times New Roman" w:cs="Arial"/>
          <w:color w:val="000000"/>
          <w:lang w:eastAsia="bg-BG"/>
        </w:rPr>
        <w:t>мо изходните стойности.</w:t>
      </w:r>
    </w:p>
    <w:p w14:paraId="158B079C" w14:textId="77777777" w:rsidR="007657AD" w:rsidRPr="007657AD" w:rsidRDefault="007657AD" w:rsidP="007657AD">
      <w:pPr>
        <w:spacing w:line="240" w:lineRule="auto"/>
        <w:rPr>
          <w:rFonts w:eastAsia="Times New Roman" w:cs="Arial"/>
          <w:color w:val="000000"/>
          <w:u w:val="single"/>
          <w:lang w:eastAsia="bg-BG"/>
        </w:rPr>
      </w:pPr>
    </w:p>
    <w:p w14:paraId="60C1BAB0" w14:textId="4E866986" w:rsidR="007657AD" w:rsidRPr="007657AD" w:rsidRDefault="007657AD" w:rsidP="007657AD">
      <w:pPr>
        <w:spacing w:line="240" w:lineRule="auto"/>
        <w:rPr>
          <w:rFonts w:eastAsia="Times New Roman" w:cs="Arial"/>
          <w:lang w:eastAsia="bg-BG"/>
        </w:rPr>
      </w:pPr>
      <w:r w:rsidRPr="007657AD">
        <w:rPr>
          <w:rFonts w:eastAsia="Times New Roman" w:cs="Arial"/>
          <w:color w:val="000000"/>
          <w:u w:val="single"/>
          <w:lang w:eastAsia="bg-BG"/>
        </w:rPr>
        <w:t>Съобщаване на подозирани нежелани реакции</w:t>
      </w:r>
    </w:p>
    <w:p w14:paraId="4EAC3C5A" w14:textId="77777777" w:rsidR="007657AD" w:rsidRPr="007657AD" w:rsidRDefault="007657AD" w:rsidP="007657AD">
      <w:pPr>
        <w:rPr>
          <w:rFonts w:eastAsia="Times New Roman" w:cs="Arial"/>
          <w:lang w:eastAsia="bg-BG"/>
        </w:rPr>
      </w:pPr>
      <w:r w:rsidRPr="007657AD">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съотношенията полза/риск за</w:t>
      </w:r>
      <w:r w:rsidRPr="007657AD">
        <w:rPr>
          <w:rFonts w:eastAsia="Times New Roman" w:cs="Arial"/>
          <w:color w:val="000000"/>
          <w:lang w:eastAsia="bg-BG"/>
        </w:rPr>
        <w:t xml:space="preserve"> </w:t>
      </w:r>
      <w:r w:rsidRPr="007657AD">
        <w:rPr>
          <w:rFonts w:eastAsia="Times New Roman" w:cs="Arial"/>
          <w:color w:val="000000"/>
          <w:lang w:eastAsia="bg-BG"/>
        </w:rPr>
        <w:t>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w:t>
      </w:r>
    </w:p>
    <w:p w14:paraId="409419FE"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1303 София</w:t>
      </w:r>
    </w:p>
    <w:p w14:paraId="6AE449CB" w14:textId="77777777" w:rsidR="007657AD" w:rsidRPr="007657AD" w:rsidRDefault="007657AD" w:rsidP="007657AD">
      <w:pPr>
        <w:rPr>
          <w:rFonts w:eastAsia="Times New Roman" w:cs="Arial"/>
          <w:color w:val="000000"/>
          <w:lang w:eastAsia="bg-BG"/>
        </w:rPr>
      </w:pPr>
      <w:r w:rsidRPr="007657AD">
        <w:rPr>
          <w:rFonts w:eastAsia="Times New Roman" w:cs="Arial"/>
          <w:color w:val="000000"/>
          <w:lang w:eastAsia="bg-BG"/>
        </w:rPr>
        <w:t xml:space="preserve">Тел.: +35 928903417 </w:t>
      </w:r>
    </w:p>
    <w:p w14:paraId="3487E968" w14:textId="521E2E55" w:rsidR="007657AD" w:rsidRPr="007657AD" w:rsidRDefault="007657AD" w:rsidP="007657AD">
      <w:pPr>
        <w:rPr>
          <w:rFonts w:eastAsia="Times New Roman" w:cs="Arial"/>
          <w:lang w:eastAsia="bg-BG"/>
        </w:rPr>
      </w:pPr>
      <w:r w:rsidRPr="007657AD">
        <w:rPr>
          <w:rFonts w:eastAsia="Times New Roman" w:cs="Arial"/>
          <w:color w:val="000000"/>
          <w:lang w:eastAsia="bg-BG"/>
        </w:rPr>
        <w:t xml:space="preserve">уебсайт: </w:t>
      </w:r>
      <w:r w:rsidRPr="007657AD">
        <w:rPr>
          <w:rFonts w:eastAsia="Times New Roman" w:cs="Arial"/>
          <w:lang w:eastAsia="bg-BG"/>
        </w:rPr>
        <w:fldChar w:fldCharType="begin"/>
      </w:r>
      <w:r w:rsidRPr="007657AD">
        <w:rPr>
          <w:rFonts w:eastAsia="Times New Roman" w:cs="Arial"/>
          <w:lang w:eastAsia="bg-BG"/>
        </w:rPr>
        <w:instrText xml:space="preserve"> HYPERLINK "http://www.bda.bg" </w:instrText>
      </w:r>
      <w:r w:rsidRPr="007657AD">
        <w:rPr>
          <w:rFonts w:eastAsia="Times New Roman" w:cs="Arial"/>
          <w:lang w:eastAsia="bg-BG"/>
        </w:rPr>
      </w:r>
      <w:r w:rsidRPr="007657AD">
        <w:rPr>
          <w:rFonts w:eastAsia="Times New Roman" w:cs="Arial"/>
          <w:lang w:eastAsia="bg-BG"/>
        </w:rPr>
        <w:fldChar w:fldCharType="separate"/>
      </w:r>
      <w:r w:rsidRPr="007657AD">
        <w:rPr>
          <w:rFonts w:eastAsia="Times New Roman" w:cs="Arial"/>
          <w:color w:val="000000"/>
          <w:lang w:val="en-US"/>
        </w:rPr>
        <w:t>www.bda.bg</w:t>
      </w:r>
      <w:r w:rsidRPr="007657AD">
        <w:rPr>
          <w:rFonts w:eastAsia="Times New Roman" w:cs="Arial"/>
          <w:lang w:eastAsia="bg-BG"/>
        </w:rPr>
        <w:fldChar w:fldCharType="end"/>
      </w:r>
    </w:p>
    <w:p w14:paraId="63BC83EE" w14:textId="77777777" w:rsidR="007657AD" w:rsidRPr="007657AD" w:rsidRDefault="007657AD" w:rsidP="007657AD"/>
    <w:p w14:paraId="5A87DBA3" w14:textId="69541EE7" w:rsidR="007122AD" w:rsidRDefault="002C50EE" w:rsidP="00936AD0">
      <w:pPr>
        <w:pStyle w:val="Heading2"/>
      </w:pPr>
      <w:r>
        <w:t>4.9. Предозиране</w:t>
      </w:r>
    </w:p>
    <w:p w14:paraId="5B326E51" w14:textId="38BEF091" w:rsidR="007657AD" w:rsidRDefault="007657AD" w:rsidP="007657AD"/>
    <w:p w14:paraId="10B89047" w14:textId="77777777" w:rsidR="007657AD" w:rsidRPr="007657AD" w:rsidRDefault="007657AD" w:rsidP="007657AD">
      <w:pPr>
        <w:pStyle w:val="Heading3"/>
        <w:rPr>
          <w:rFonts w:eastAsia="Times New Roman"/>
          <w:sz w:val="28"/>
          <w:szCs w:val="28"/>
          <w:u w:val="single"/>
          <w:lang w:eastAsia="bg-BG"/>
        </w:rPr>
      </w:pPr>
      <w:r w:rsidRPr="007657AD">
        <w:rPr>
          <w:rFonts w:eastAsia="Times New Roman"/>
          <w:u w:val="single"/>
          <w:lang w:eastAsia="bg-BG"/>
        </w:rPr>
        <w:t>Симптоми</w:t>
      </w:r>
    </w:p>
    <w:p w14:paraId="1383A805"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Сомнолентност, тревожност, агресия, понижена степен на съзнание, потискане на дишането и кома са били наблюдавани при предозиране на леветирацетам.</w:t>
      </w:r>
    </w:p>
    <w:p w14:paraId="678DC11F" w14:textId="77777777" w:rsidR="007657AD" w:rsidRPr="007657AD" w:rsidRDefault="007657AD" w:rsidP="007657AD">
      <w:pPr>
        <w:spacing w:line="240" w:lineRule="auto"/>
        <w:rPr>
          <w:rFonts w:eastAsia="Times New Roman" w:cs="Arial"/>
          <w:color w:val="000000"/>
          <w:u w:val="single"/>
          <w:lang w:eastAsia="bg-BG"/>
        </w:rPr>
      </w:pPr>
    </w:p>
    <w:p w14:paraId="3CD19272" w14:textId="31D23025" w:rsidR="007657AD" w:rsidRPr="007657AD" w:rsidRDefault="007657AD" w:rsidP="007657AD">
      <w:pPr>
        <w:pStyle w:val="Heading3"/>
        <w:rPr>
          <w:rFonts w:eastAsia="Times New Roman"/>
          <w:sz w:val="28"/>
          <w:szCs w:val="28"/>
          <w:u w:val="single"/>
          <w:lang w:eastAsia="bg-BG"/>
        </w:rPr>
      </w:pPr>
      <w:r w:rsidRPr="007657AD">
        <w:rPr>
          <w:rFonts w:eastAsia="Times New Roman"/>
          <w:u w:val="single"/>
          <w:lang w:eastAsia="bg-BG"/>
        </w:rPr>
        <w:t>Мерки при предозиране</w:t>
      </w:r>
    </w:p>
    <w:p w14:paraId="101FCE09" w14:textId="4EEBF5F5" w:rsidR="007657AD" w:rsidRPr="007657AD" w:rsidRDefault="007657AD" w:rsidP="007657AD">
      <w:pPr>
        <w:rPr>
          <w:rFonts w:cs="Arial"/>
          <w:sz w:val="24"/>
          <w:szCs w:val="24"/>
        </w:rPr>
      </w:pPr>
      <w:r w:rsidRPr="007657AD">
        <w:rPr>
          <w:rFonts w:eastAsia="Times New Roman" w:cs="Arial"/>
          <w:color w:val="000000"/>
          <w:lang w:eastAsia="bg-BG"/>
        </w:rPr>
        <w:t>След остро предозиране, стомаха може да бъде изпразнен чрез стомашна промивка или предизвикване на повръщане. Няма специфичен антидот на леветирацетам. Лечението при предозиране е симптоматично и може да включва хемодиализа. Ефикасността на отделянето при диализа е 60% за леветирацетам и 74% за първичния метаболит.</w:t>
      </w:r>
    </w:p>
    <w:p w14:paraId="02081B24" w14:textId="36FE76F4" w:rsidR="00395555" w:rsidRPr="00395555" w:rsidRDefault="002C50EE" w:rsidP="008A6AF2">
      <w:pPr>
        <w:pStyle w:val="Heading1"/>
      </w:pPr>
      <w:r>
        <w:t>5. ФАРМАКОЛОГИЧНИ СВОЙСТВА</w:t>
      </w:r>
    </w:p>
    <w:p w14:paraId="68A24A1A" w14:textId="58007CBE" w:rsidR="001A6EBD" w:rsidRDefault="002C50EE" w:rsidP="00471F10">
      <w:pPr>
        <w:pStyle w:val="Heading2"/>
      </w:pPr>
      <w:r>
        <w:t>5.1. Фармакодинамични свойства</w:t>
      </w:r>
    </w:p>
    <w:p w14:paraId="25BE671B" w14:textId="148647BC" w:rsidR="007657AD" w:rsidRDefault="007657AD" w:rsidP="007657AD"/>
    <w:p w14:paraId="71916127"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 xml:space="preserve">Фармакотерапевтична група: Антиепилептици, други антиепилептици, АТС код: </w:t>
      </w:r>
      <w:r w:rsidRPr="007657AD">
        <w:rPr>
          <w:rFonts w:eastAsia="Times New Roman" w:cs="Arial"/>
          <w:color w:val="000000"/>
          <w:lang w:val="en-US"/>
        </w:rPr>
        <w:t>N03AX14.</w:t>
      </w:r>
    </w:p>
    <w:p w14:paraId="32824D58" w14:textId="77777777" w:rsidR="007657AD" w:rsidRPr="007657AD" w:rsidRDefault="007657AD" w:rsidP="007657AD">
      <w:pPr>
        <w:spacing w:line="240" w:lineRule="auto"/>
        <w:rPr>
          <w:rFonts w:eastAsia="Times New Roman" w:cs="Arial"/>
          <w:color w:val="000000"/>
          <w:lang w:eastAsia="bg-BG"/>
        </w:rPr>
      </w:pPr>
    </w:p>
    <w:p w14:paraId="714903E9" w14:textId="5717436B"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 xml:space="preserve">Активното вещество леветирацетам е пиролидоново производно </w:t>
      </w:r>
      <w:r w:rsidRPr="007657AD">
        <w:rPr>
          <w:rFonts w:eastAsia="Times New Roman" w:cs="Arial"/>
          <w:color w:val="000000"/>
          <w:lang w:val="en-US"/>
        </w:rPr>
        <w:t>(S</w:t>
      </w:r>
      <w:r w:rsidRPr="007657AD">
        <w:rPr>
          <w:rFonts w:eastAsia="Times New Roman" w:cs="Arial"/>
          <w:color w:val="000000"/>
          <w:lang w:eastAsia="bg-BG"/>
        </w:rPr>
        <w:t>-енантиомер на а-етил-2- оксо-1-пиролидин ацетамид), химически без връзка със съществуващите антиепилептични активни вещества.</w:t>
      </w:r>
    </w:p>
    <w:p w14:paraId="2FF7F8F9" w14:textId="77777777" w:rsidR="007657AD" w:rsidRPr="007657AD" w:rsidRDefault="007657AD" w:rsidP="007657AD">
      <w:pPr>
        <w:spacing w:line="240" w:lineRule="auto"/>
        <w:rPr>
          <w:rFonts w:eastAsia="Times New Roman" w:cs="Arial"/>
          <w:color w:val="000000"/>
          <w:u w:val="single"/>
          <w:lang w:eastAsia="bg-BG"/>
        </w:rPr>
      </w:pPr>
    </w:p>
    <w:p w14:paraId="1927ED78" w14:textId="6A17D94B"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u w:val="single"/>
          <w:lang w:eastAsia="bg-BG"/>
        </w:rPr>
        <w:t>Механизъм на действие</w:t>
      </w:r>
    </w:p>
    <w:p w14:paraId="2BCDD6C2"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 xml:space="preserve">Механизмът на действие на леветирацетам все още не е напълно изяснен. </w:t>
      </w:r>
      <w:r w:rsidRPr="007657AD">
        <w:rPr>
          <w:rFonts w:eastAsia="Times New Roman" w:cs="Arial"/>
          <w:i/>
          <w:iCs/>
          <w:color w:val="000000"/>
          <w:lang w:val="en-US"/>
        </w:rPr>
        <w:t>In vitro</w:t>
      </w:r>
      <w:r w:rsidRPr="007657AD">
        <w:rPr>
          <w:rFonts w:eastAsia="Times New Roman" w:cs="Arial"/>
          <w:color w:val="000000"/>
          <w:lang w:val="en-US"/>
        </w:rPr>
        <w:t xml:space="preserve"> </w:t>
      </w:r>
      <w:r w:rsidRPr="007657AD">
        <w:rPr>
          <w:rFonts w:eastAsia="Times New Roman" w:cs="Arial"/>
          <w:color w:val="000000"/>
          <w:lang w:eastAsia="bg-BG"/>
        </w:rPr>
        <w:t xml:space="preserve">и </w:t>
      </w:r>
      <w:r w:rsidRPr="007657AD">
        <w:rPr>
          <w:rFonts w:eastAsia="Times New Roman" w:cs="Arial"/>
          <w:i/>
          <w:iCs/>
          <w:color w:val="000000"/>
          <w:lang w:val="en-US"/>
        </w:rPr>
        <w:t xml:space="preserve">in vivo </w:t>
      </w:r>
      <w:r w:rsidRPr="007657AD">
        <w:rPr>
          <w:rFonts w:eastAsia="Times New Roman" w:cs="Arial"/>
          <w:color w:val="000000"/>
          <w:lang w:eastAsia="bg-BG"/>
        </w:rPr>
        <w:t>опитите показват, че леветирацетам не променя основните характеристики на клетката, както и нормалната невротрансмисия.</w:t>
      </w:r>
    </w:p>
    <w:p w14:paraId="1B899A21" w14:textId="77777777" w:rsidR="007657AD" w:rsidRPr="007657AD" w:rsidRDefault="007657AD" w:rsidP="007657AD">
      <w:pPr>
        <w:spacing w:line="240" w:lineRule="auto"/>
        <w:rPr>
          <w:rFonts w:eastAsia="Times New Roman" w:cs="Arial"/>
          <w:i/>
          <w:iCs/>
          <w:color w:val="000000"/>
          <w:lang w:val="en-US"/>
        </w:rPr>
      </w:pPr>
    </w:p>
    <w:p w14:paraId="12B492DE" w14:textId="4BDDEAE8" w:rsidR="007657AD" w:rsidRPr="007657AD" w:rsidRDefault="007657AD" w:rsidP="007657AD">
      <w:pPr>
        <w:spacing w:line="240" w:lineRule="auto"/>
        <w:rPr>
          <w:rFonts w:eastAsia="Times New Roman" w:cs="Arial"/>
          <w:sz w:val="28"/>
          <w:szCs w:val="28"/>
          <w:lang w:eastAsia="bg-BG"/>
        </w:rPr>
      </w:pPr>
      <w:r w:rsidRPr="007657AD">
        <w:rPr>
          <w:rFonts w:eastAsia="Times New Roman" w:cs="Arial"/>
          <w:i/>
          <w:iCs/>
          <w:color w:val="000000"/>
          <w:lang w:val="en-US"/>
        </w:rPr>
        <w:lastRenderedPageBreak/>
        <w:t>In vitro</w:t>
      </w:r>
      <w:r w:rsidRPr="007657AD">
        <w:rPr>
          <w:rFonts w:eastAsia="Times New Roman" w:cs="Arial"/>
          <w:color w:val="000000"/>
          <w:lang w:val="en-US"/>
        </w:rPr>
        <w:t xml:space="preserve"> </w:t>
      </w:r>
      <w:r w:rsidRPr="007657AD">
        <w:rPr>
          <w:rFonts w:eastAsia="Times New Roman" w:cs="Arial"/>
          <w:color w:val="000000"/>
          <w:lang w:eastAsia="bg-BG"/>
        </w:rPr>
        <w:t>проучванията показват, че леветирацетам въздейства върху интраневронните нива на Са</w:t>
      </w:r>
      <w:r w:rsidRPr="007657AD">
        <w:rPr>
          <w:rFonts w:eastAsia="Times New Roman" w:cs="Arial"/>
          <w:color w:val="000000"/>
          <w:vertAlign w:val="superscript"/>
          <w:lang w:eastAsia="bg-BG"/>
        </w:rPr>
        <w:t>2+</w:t>
      </w:r>
      <w:r w:rsidRPr="007657AD">
        <w:rPr>
          <w:rFonts w:eastAsia="Times New Roman" w:cs="Arial"/>
          <w:color w:val="000000"/>
          <w:lang w:eastAsia="bg-BG"/>
        </w:rPr>
        <w:t xml:space="preserve"> чрез частично инхибиране на </w:t>
      </w:r>
      <w:r w:rsidRPr="007657AD">
        <w:rPr>
          <w:rFonts w:eastAsia="Times New Roman" w:cs="Arial"/>
          <w:color w:val="000000"/>
          <w:lang w:val="en-US"/>
        </w:rPr>
        <w:t>N</w:t>
      </w:r>
      <w:r w:rsidRPr="007657AD">
        <w:rPr>
          <w:rFonts w:eastAsia="Times New Roman" w:cs="Arial"/>
          <w:color w:val="000000"/>
          <w:lang w:eastAsia="bg-BG"/>
        </w:rPr>
        <w:t>-тип Са</w:t>
      </w:r>
      <w:r w:rsidRPr="007657AD">
        <w:rPr>
          <w:rFonts w:eastAsia="Times New Roman" w:cs="Arial"/>
          <w:color w:val="000000"/>
          <w:vertAlign w:val="superscript"/>
          <w:lang w:eastAsia="bg-BG"/>
        </w:rPr>
        <w:t>2+</w:t>
      </w:r>
      <w:r w:rsidRPr="007657AD">
        <w:rPr>
          <w:rFonts w:eastAsia="Times New Roman" w:cs="Arial"/>
          <w:color w:val="000000"/>
          <w:lang w:eastAsia="bg-BG"/>
        </w:rPr>
        <w:t xml:space="preserve"> каналчета, както и чрез редуциране освобождаването на Са</w:t>
      </w:r>
      <w:r w:rsidRPr="007657AD">
        <w:rPr>
          <w:rFonts w:eastAsia="Times New Roman" w:cs="Arial"/>
          <w:color w:val="000000"/>
          <w:vertAlign w:val="superscript"/>
          <w:lang w:eastAsia="bg-BG"/>
        </w:rPr>
        <w:t>2+</w:t>
      </w:r>
      <w:r w:rsidRPr="007657AD">
        <w:rPr>
          <w:rFonts w:eastAsia="Times New Roman" w:cs="Arial"/>
          <w:color w:val="000000"/>
          <w:lang w:eastAsia="bg-BG"/>
        </w:rPr>
        <w:t xml:space="preserve"> от интраневронните депа. В допълнение, той частично намалява редукцията в потока в </w:t>
      </w:r>
      <w:r w:rsidRPr="007657AD">
        <w:rPr>
          <w:rFonts w:eastAsia="Times New Roman" w:cs="Arial"/>
          <w:color w:val="000000"/>
          <w:lang w:val="en-US"/>
        </w:rPr>
        <w:t xml:space="preserve">GABA- </w:t>
      </w:r>
      <w:r w:rsidRPr="007657AD">
        <w:rPr>
          <w:rFonts w:eastAsia="Times New Roman" w:cs="Arial"/>
          <w:color w:val="000000"/>
          <w:lang w:eastAsia="bg-BG"/>
        </w:rPr>
        <w:t xml:space="preserve">и глицин- зависимите каналчета, индуцирани от цинк и β- карболини. Нещо повече, в </w:t>
      </w:r>
      <w:r w:rsidRPr="007657AD">
        <w:rPr>
          <w:rFonts w:eastAsia="Times New Roman" w:cs="Arial"/>
          <w:i/>
          <w:iCs/>
          <w:color w:val="000000"/>
          <w:lang w:val="en-US"/>
        </w:rPr>
        <w:t>in vitro</w:t>
      </w:r>
      <w:r w:rsidRPr="007657AD">
        <w:rPr>
          <w:rFonts w:eastAsia="Times New Roman" w:cs="Arial"/>
          <w:color w:val="000000"/>
          <w:lang w:val="en-US"/>
        </w:rPr>
        <w:t xml:space="preserve"> </w:t>
      </w:r>
      <w:r w:rsidRPr="007657AD">
        <w:rPr>
          <w:rFonts w:eastAsia="Times New Roman" w:cs="Arial"/>
          <w:color w:val="000000"/>
          <w:lang w:eastAsia="bg-BG"/>
        </w:rPr>
        <w:t>проучвания, леветирацетам показва свързване към специфични места в мозъчната тъкан на гризачи. Това място на свързване е намиращия се в синаптичните везикули протеин 2А, за който се смята, че участва във везикулната фузия и невротрансмитерната екзоцитоза. Леветирацетам и неговите аналози показват изявен афинитет към свързване с намиращия се в синаптичните везикули протеин 2А, което от своя страна е във връзка с тяхното действие срещу пристъпите в аудиогенни модели на епилепсия при мишки. Тези резултати предполагат, че взаимодействието между леветирацетам и намиращия се в синаптичните везикули протеин 2А подпомага антиепилептичния механизъм на действие на лекарствения продукт.</w:t>
      </w:r>
    </w:p>
    <w:p w14:paraId="2C3A10F6" w14:textId="77777777" w:rsidR="007657AD" w:rsidRPr="007657AD" w:rsidRDefault="007657AD" w:rsidP="007657AD">
      <w:pPr>
        <w:spacing w:line="240" w:lineRule="auto"/>
        <w:rPr>
          <w:rFonts w:eastAsia="Times New Roman" w:cs="Arial"/>
          <w:color w:val="000000"/>
          <w:u w:val="single"/>
          <w:lang w:eastAsia="bg-BG"/>
        </w:rPr>
      </w:pPr>
    </w:p>
    <w:p w14:paraId="3472FF94" w14:textId="08EAA149"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u w:val="single"/>
          <w:lang w:eastAsia="bg-BG"/>
        </w:rPr>
        <w:t>Фармакодинамнчни ефекти</w:t>
      </w:r>
    </w:p>
    <w:p w14:paraId="6439337C" w14:textId="77777777" w:rsidR="007657AD" w:rsidRPr="007657AD" w:rsidRDefault="007657AD" w:rsidP="007657AD">
      <w:pPr>
        <w:spacing w:line="240" w:lineRule="auto"/>
        <w:rPr>
          <w:rFonts w:eastAsia="Times New Roman" w:cs="Arial"/>
          <w:color w:val="000000"/>
          <w:lang w:eastAsia="bg-BG"/>
        </w:rPr>
      </w:pPr>
      <w:r w:rsidRPr="007657AD">
        <w:rPr>
          <w:rFonts w:eastAsia="Times New Roman" w:cs="Arial"/>
          <w:color w:val="000000"/>
          <w:lang w:eastAsia="bg-BG"/>
        </w:rPr>
        <w:t xml:space="preserve">Леветирацетам предпазва от парциални и първично генерализирани пристъпи при широк кръг животински модели без да има про-конвулсивен ефект. Първичният метаболит неактивен. При хора активността по отношение, както на парциалните, така и на генерализираните епилептични състояния (епилептиформно освобождаване /фотопароксизмален отговор) потвърждава широкия фармакологичен спектър на </w:t>
      </w:r>
    </w:p>
    <w:p w14:paraId="3AC39BB2" w14:textId="4AA983FC"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леветирацетам.</w:t>
      </w:r>
    </w:p>
    <w:p w14:paraId="1BFBCEEB" w14:textId="77777777" w:rsidR="007657AD" w:rsidRPr="007657AD" w:rsidRDefault="007657AD" w:rsidP="007657AD">
      <w:pPr>
        <w:spacing w:line="240" w:lineRule="auto"/>
        <w:rPr>
          <w:rFonts w:eastAsia="Times New Roman" w:cs="Arial"/>
          <w:color w:val="000000"/>
          <w:u w:val="single"/>
          <w:lang w:eastAsia="bg-BG"/>
        </w:rPr>
      </w:pPr>
    </w:p>
    <w:p w14:paraId="7D38C7B6" w14:textId="263DD71B" w:rsidR="007657AD" w:rsidRPr="007657AD" w:rsidRDefault="007657AD" w:rsidP="007657AD">
      <w:pPr>
        <w:spacing w:line="240" w:lineRule="auto"/>
        <w:rPr>
          <w:rFonts w:eastAsia="Times New Roman" w:cs="Arial"/>
          <w:color w:val="000000"/>
          <w:u w:val="single"/>
          <w:lang w:eastAsia="bg-BG"/>
        </w:rPr>
      </w:pPr>
      <w:r w:rsidRPr="007657AD">
        <w:rPr>
          <w:rFonts w:eastAsia="Times New Roman" w:cs="Arial"/>
          <w:color w:val="000000"/>
          <w:u w:val="single"/>
          <w:lang w:eastAsia="bg-BG"/>
        </w:rPr>
        <w:t>Клинична ефикасност и безопасност</w:t>
      </w:r>
    </w:p>
    <w:p w14:paraId="326337F8"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i/>
          <w:iCs/>
          <w:color w:val="000000"/>
          <w:lang w:eastAsia="bg-BG"/>
        </w:rPr>
        <w:t>Допълващо лечение на парциални пристъпи със или без вторична генерализация при възрастни, юноши, деца и кърмчета над 1-месечна възраст с епилепсия</w:t>
      </w:r>
    </w:p>
    <w:p w14:paraId="2366F32C"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 xml:space="preserve">При възрастни, ефикасността на леветирацетам е доказана в 3 двойнослепи, плацебо- контролирани проучвания с 1000 </w:t>
      </w:r>
      <w:r w:rsidRPr="007657AD">
        <w:rPr>
          <w:rFonts w:eastAsia="Times New Roman" w:cs="Arial"/>
          <w:color w:val="000000"/>
          <w:lang w:val="en-US"/>
        </w:rPr>
        <w:t xml:space="preserve">mg, </w:t>
      </w:r>
      <w:r w:rsidRPr="007657AD">
        <w:rPr>
          <w:rFonts w:eastAsia="Times New Roman" w:cs="Arial"/>
          <w:color w:val="000000"/>
          <w:lang w:eastAsia="bg-BG"/>
        </w:rPr>
        <w:t xml:space="preserve">2000 </w:t>
      </w:r>
      <w:r w:rsidRPr="007657AD">
        <w:rPr>
          <w:rFonts w:eastAsia="Times New Roman" w:cs="Arial"/>
          <w:color w:val="000000"/>
          <w:lang w:val="en-US"/>
        </w:rPr>
        <w:t xml:space="preserve">mg </w:t>
      </w:r>
      <w:r w:rsidRPr="007657AD">
        <w:rPr>
          <w:rFonts w:eastAsia="Times New Roman" w:cs="Arial"/>
          <w:color w:val="000000"/>
          <w:lang w:eastAsia="bg-BG"/>
        </w:rPr>
        <w:t xml:space="preserve">или 3000 </w:t>
      </w:r>
      <w:r w:rsidRPr="007657AD">
        <w:rPr>
          <w:rFonts w:eastAsia="Times New Roman" w:cs="Arial"/>
          <w:color w:val="000000"/>
          <w:lang w:val="en-US"/>
        </w:rPr>
        <w:t>mg</w:t>
      </w:r>
      <w:r w:rsidRPr="007657AD">
        <w:rPr>
          <w:rFonts w:eastAsia="Times New Roman" w:cs="Arial"/>
          <w:color w:val="000000"/>
          <w:lang w:eastAsia="bg-BG"/>
        </w:rPr>
        <w:t xml:space="preserve">/ден прилагани в 2 отделни дози с продължителност на лечението до 18 седмици. При обобщения анализ, процента на пациентите достигнали 50% или по-високо намаление, спрямо изходното ниво на честотата на парциалните пристъпи за седмица при постоянна доза (12/14 седмици) е 27,7%, 31,6% и 41,3% при пациенти приемащи 1000,2000 или 3000 </w:t>
      </w:r>
      <w:r w:rsidRPr="007657AD">
        <w:rPr>
          <w:rFonts w:eastAsia="Times New Roman" w:cs="Arial"/>
          <w:color w:val="000000"/>
          <w:lang w:val="en-US"/>
        </w:rPr>
        <w:t xml:space="preserve">mg </w:t>
      </w:r>
      <w:r w:rsidRPr="007657AD">
        <w:rPr>
          <w:rFonts w:eastAsia="Times New Roman" w:cs="Arial"/>
          <w:color w:val="000000"/>
          <w:lang w:eastAsia="bg-BG"/>
        </w:rPr>
        <w:t>леветирацетам и съответно 12,6% за пациентите приемащи плацебо.</w:t>
      </w:r>
    </w:p>
    <w:p w14:paraId="54E4C05E" w14:textId="77777777" w:rsidR="007657AD" w:rsidRPr="007657AD" w:rsidRDefault="007657AD" w:rsidP="007657AD">
      <w:pPr>
        <w:spacing w:line="240" w:lineRule="auto"/>
        <w:rPr>
          <w:rFonts w:eastAsia="Times New Roman" w:cs="Arial"/>
          <w:color w:val="000000"/>
          <w:u w:val="single"/>
          <w:lang w:eastAsia="bg-BG"/>
        </w:rPr>
      </w:pPr>
    </w:p>
    <w:p w14:paraId="3F8B9CCD" w14:textId="3B660BF0"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u w:val="single"/>
          <w:lang w:eastAsia="bg-BG"/>
        </w:rPr>
        <w:t>Педиатрична популация</w:t>
      </w:r>
    </w:p>
    <w:p w14:paraId="6A0B38B1"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 xml:space="preserve">При педиатрични пациенти (от 4 до 16-годишна възраст), ефикасността на леветирацетам е Установена в двойно-сляпо, плацебо-контролирано проучване, включващо 198 пациенти и с продължителност на лечението 14 седмици. В това проучване, пациентите са получавали леветирацетам като постоянна доза от 60 </w:t>
      </w:r>
      <w:r w:rsidRPr="007657AD">
        <w:rPr>
          <w:rFonts w:eastAsia="Times New Roman" w:cs="Arial"/>
          <w:color w:val="000000"/>
          <w:lang w:val="en-US"/>
        </w:rPr>
        <w:t>mg/kg</w:t>
      </w:r>
      <w:r w:rsidRPr="007657AD">
        <w:rPr>
          <w:rFonts w:eastAsia="Times New Roman" w:cs="Arial"/>
          <w:color w:val="000000"/>
          <w:lang w:eastAsia="bg-BG"/>
        </w:rPr>
        <w:t>/дневно (прием два пъти на ден).</w:t>
      </w:r>
    </w:p>
    <w:p w14:paraId="4B8ABE6F"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44,6% от пациентите приемали леветирацетам и 19,6% от пациентите на плацебо са имали 50% или по-високо намаление, спрямо изходното ниво на честотата на парциалните пристъпи за седмица. При продължително дългосрочно лечение 11,4% от пациентите не са получавали пристъпи поне за 6 месеца, а 7,2% за поне 1 година.</w:t>
      </w:r>
    </w:p>
    <w:p w14:paraId="3BCD9A39" w14:textId="77777777" w:rsidR="007657AD" w:rsidRPr="007657AD" w:rsidRDefault="007657AD" w:rsidP="007657AD">
      <w:pPr>
        <w:spacing w:line="240" w:lineRule="auto"/>
        <w:rPr>
          <w:rFonts w:eastAsia="Times New Roman" w:cs="Arial"/>
          <w:color w:val="000000"/>
          <w:lang w:eastAsia="bg-BG"/>
        </w:rPr>
      </w:pPr>
    </w:p>
    <w:p w14:paraId="24B883E3" w14:textId="66B4A93E"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 xml:space="preserve">При педиатрични пациенти (от 1-месечна до 4-годишна възраст), ефикасността на леветирацетам е установена в двойно-сляпо, плацебо контролирано проучване, включващо 116 пациенти и с продължителност на лечението 5 дни. В това проучване на пациентите е предписана дневна доза от 20 </w:t>
      </w:r>
      <w:r w:rsidRPr="007657AD">
        <w:rPr>
          <w:rFonts w:eastAsia="Times New Roman" w:cs="Arial"/>
          <w:color w:val="000000"/>
          <w:lang w:val="en-US"/>
        </w:rPr>
        <w:t xml:space="preserve">mg/kg, </w:t>
      </w:r>
      <w:r w:rsidRPr="007657AD">
        <w:rPr>
          <w:rFonts w:eastAsia="Times New Roman" w:cs="Arial"/>
          <w:color w:val="000000"/>
          <w:lang w:eastAsia="bg-BG"/>
        </w:rPr>
        <w:t xml:space="preserve">25 </w:t>
      </w:r>
      <w:r w:rsidRPr="007657AD">
        <w:rPr>
          <w:rFonts w:eastAsia="Times New Roman" w:cs="Arial"/>
          <w:color w:val="000000"/>
          <w:lang w:val="en-US"/>
        </w:rPr>
        <w:t xml:space="preserve">mg/kg, </w:t>
      </w:r>
      <w:r w:rsidRPr="007657AD">
        <w:rPr>
          <w:rFonts w:eastAsia="Times New Roman" w:cs="Arial"/>
          <w:color w:val="000000"/>
          <w:lang w:eastAsia="bg-BG"/>
        </w:rPr>
        <w:t xml:space="preserve">40 </w:t>
      </w:r>
      <w:r w:rsidRPr="007657AD">
        <w:rPr>
          <w:rFonts w:eastAsia="Times New Roman" w:cs="Arial"/>
          <w:color w:val="000000"/>
          <w:lang w:val="en-US"/>
        </w:rPr>
        <w:t xml:space="preserve">mg/kg </w:t>
      </w:r>
      <w:r w:rsidRPr="007657AD">
        <w:rPr>
          <w:rFonts w:eastAsia="Times New Roman" w:cs="Arial"/>
          <w:color w:val="000000"/>
          <w:lang w:eastAsia="bg-BG"/>
        </w:rPr>
        <w:t xml:space="preserve">или 50 </w:t>
      </w:r>
      <w:r w:rsidRPr="007657AD">
        <w:rPr>
          <w:rFonts w:eastAsia="Times New Roman" w:cs="Arial"/>
          <w:color w:val="000000"/>
          <w:lang w:val="en-US"/>
        </w:rPr>
        <w:t xml:space="preserve">mg/kg </w:t>
      </w:r>
      <w:r w:rsidRPr="007657AD">
        <w:rPr>
          <w:rFonts w:eastAsia="Times New Roman" w:cs="Arial"/>
          <w:color w:val="000000"/>
          <w:lang w:eastAsia="bg-BG"/>
        </w:rPr>
        <w:t xml:space="preserve">перорален разтвор, в зависимост от тяхната възраст. В това проучване е използвана доза от 20 </w:t>
      </w:r>
      <w:r w:rsidRPr="007657AD">
        <w:rPr>
          <w:rFonts w:eastAsia="Times New Roman" w:cs="Arial"/>
          <w:color w:val="000000"/>
          <w:lang w:val="en-US"/>
        </w:rPr>
        <w:t>mg/kg</w:t>
      </w:r>
      <w:r w:rsidRPr="007657AD">
        <w:rPr>
          <w:rFonts w:eastAsia="Times New Roman" w:cs="Arial"/>
          <w:color w:val="000000"/>
          <w:lang w:eastAsia="bg-BG"/>
        </w:rPr>
        <w:t xml:space="preserve">/дневно, титрирана до 40 </w:t>
      </w:r>
      <w:r w:rsidRPr="007657AD">
        <w:rPr>
          <w:rFonts w:eastAsia="Times New Roman" w:cs="Arial"/>
          <w:color w:val="000000"/>
          <w:lang w:val="en-US"/>
        </w:rPr>
        <w:t>mg/kg</w:t>
      </w:r>
      <w:r w:rsidRPr="007657AD">
        <w:rPr>
          <w:rFonts w:eastAsia="Times New Roman" w:cs="Arial"/>
          <w:color w:val="000000"/>
          <w:lang w:eastAsia="bg-BG"/>
        </w:rPr>
        <w:t xml:space="preserve">/дневно при кърмачета от един месец до 6 </w:t>
      </w:r>
      <w:r w:rsidRPr="007657AD">
        <w:rPr>
          <w:rFonts w:eastAsia="Times New Roman" w:cs="Arial"/>
          <w:color w:val="000000"/>
          <w:lang w:eastAsia="bg-BG"/>
        </w:rPr>
        <w:lastRenderedPageBreak/>
        <w:t xml:space="preserve">месеца и доза от 25 </w:t>
      </w:r>
      <w:r w:rsidRPr="007657AD">
        <w:rPr>
          <w:rFonts w:eastAsia="Times New Roman" w:cs="Arial"/>
          <w:color w:val="000000"/>
          <w:lang w:val="en-US"/>
        </w:rPr>
        <w:t>mg/kg</w:t>
      </w:r>
      <w:r w:rsidRPr="007657AD">
        <w:rPr>
          <w:rFonts w:eastAsia="Times New Roman" w:cs="Arial"/>
          <w:color w:val="000000"/>
          <w:lang w:eastAsia="bg-BG"/>
        </w:rPr>
        <w:t xml:space="preserve">/дневно, титрирана до 50 </w:t>
      </w:r>
      <w:r w:rsidRPr="007657AD">
        <w:rPr>
          <w:rFonts w:eastAsia="Times New Roman" w:cs="Arial"/>
          <w:color w:val="000000"/>
          <w:lang w:val="en-US"/>
        </w:rPr>
        <w:t>mg/kg</w:t>
      </w:r>
      <w:r w:rsidRPr="007657AD">
        <w:rPr>
          <w:rFonts w:eastAsia="Times New Roman" w:cs="Arial"/>
          <w:color w:val="000000"/>
          <w:lang w:eastAsia="bg-BG"/>
        </w:rPr>
        <w:t>/дневно при кърмачета и деца на възраст от 6 месеца до 4 години. Общата дневна доза е прилагана два пъти дневно.</w:t>
      </w:r>
    </w:p>
    <w:p w14:paraId="55A873F4"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Първоначалната оценка на ефективността е нивото на отговор (процентът пациенти с &gt; 50% намаление, спрямо изходното ниво на дневната честота на парциалните пристъпи), определена от заслепен централен четец чрез 48-часово видео ЕЕГ наблюдение. Анализът на ефикасността обхваща 109 пациенти, които са имали поне 24-часово видео ЕЕГ наблюдение през двата периода - на изходното ниво и на оценката. Пациентите, показали отговор са 43,6% от лекуваните с леветирацетам и 19,6% от пациентите, приемащи плацебо. Резултатите отговарят на съответната възрастова група. При продължително дългосрочно лечение 8,6% от пациентите не са получавали пристъпи поне за 6 месеца и 7,8% за поне 1 година.</w:t>
      </w:r>
    </w:p>
    <w:p w14:paraId="3A754556"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В плацебоконтролирани клинични проучвания, с екпозиция са били 35 кърмачета с парциални пристъпи, на възраст под 1 година, от които само 13 са били на възраст &lt; 6 месеца.</w:t>
      </w:r>
    </w:p>
    <w:p w14:paraId="41E5214B" w14:textId="77777777" w:rsidR="007657AD" w:rsidRPr="007657AD" w:rsidRDefault="007657AD" w:rsidP="007657AD">
      <w:pPr>
        <w:spacing w:line="240" w:lineRule="auto"/>
        <w:rPr>
          <w:rFonts w:eastAsia="Times New Roman" w:cs="Arial"/>
          <w:i/>
          <w:iCs/>
          <w:color w:val="000000"/>
          <w:lang w:eastAsia="bg-BG"/>
        </w:rPr>
      </w:pPr>
    </w:p>
    <w:p w14:paraId="3FF1CB16" w14:textId="59A2495C" w:rsidR="007657AD" w:rsidRPr="007657AD" w:rsidRDefault="007657AD" w:rsidP="007657AD">
      <w:pPr>
        <w:spacing w:line="240" w:lineRule="auto"/>
        <w:rPr>
          <w:rFonts w:eastAsia="Times New Roman" w:cs="Arial"/>
          <w:sz w:val="28"/>
          <w:szCs w:val="28"/>
          <w:lang w:eastAsia="bg-BG"/>
        </w:rPr>
      </w:pPr>
      <w:r w:rsidRPr="007657AD">
        <w:rPr>
          <w:rFonts w:eastAsia="Times New Roman" w:cs="Arial"/>
          <w:i/>
          <w:iCs/>
          <w:color w:val="000000"/>
          <w:lang w:eastAsia="bg-BG"/>
        </w:rPr>
        <w:t>Монотерапия при лечение на парциални пристъпи със или без вторична генерализация при пациенти над 16-годишна възраст с новодиагностицирана епилепсия.</w:t>
      </w:r>
    </w:p>
    <w:p w14:paraId="0AE328A7" w14:textId="77777777" w:rsidR="007657AD" w:rsidRPr="007657AD" w:rsidRDefault="007657AD" w:rsidP="007657AD">
      <w:pPr>
        <w:spacing w:line="240" w:lineRule="auto"/>
        <w:rPr>
          <w:rFonts w:eastAsia="Times New Roman" w:cs="Arial"/>
          <w:color w:val="000000"/>
          <w:lang w:eastAsia="bg-BG"/>
        </w:rPr>
      </w:pPr>
    </w:p>
    <w:p w14:paraId="3A08D279" w14:textId="0E3B100B"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 xml:space="preserve">Ефикасността на леветирацетам като монотерапия е установена в двойно-сляпо, паралелно- групово, неинфериорно сравнение с карбамазепин с контролирано освобождаване </w:t>
      </w:r>
      <w:r w:rsidRPr="007657AD">
        <w:rPr>
          <w:rFonts w:eastAsia="Times New Roman" w:cs="Arial"/>
          <w:color w:val="000000"/>
          <w:lang w:val="en-US"/>
        </w:rPr>
        <w:t xml:space="preserve">(CR) </w:t>
      </w:r>
      <w:r w:rsidRPr="007657AD">
        <w:rPr>
          <w:rFonts w:eastAsia="Times New Roman" w:cs="Arial"/>
          <w:color w:val="000000"/>
          <w:lang w:eastAsia="bg-BG"/>
        </w:rPr>
        <w:t xml:space="preserve">при 576 пациента на 16-годишна възраст или по-възрастни с новодиагностицирана или наскоро диагностицирана епилепсия. Пациентите е трябвало да бъдат единствено с непредизвикани парциални пристъпи или генерализирани тонично-клонични пристъпи. Пациентите са разпределени (рандомизирани) да приемат карбамазепин </w:t>
      </w:r>
      <w:r w:rsidRPr="007657AD">
        <w:rPr>
          <w:rFonts w:eastAsia="Times New Roman" w:cs="Arial"/>
          <w:color w:val="000000"/>
          <w:lang w:val="en-US"/>
        </w:rPr>
        <w:t xml:space="preserve">CR </w:t>
      </w:r>
      <w:r w:rsidRPr="007657AD">
        <w:rPr>
          <w:rFonts w:eastAsia="Times New Roman" w:cs="Arial"/>
          <w:color w:val="000000"/>
          <w:lang w:eastAsia="bg-BG"/>
        </w:rPr>
        <w:t xml:space="preserve">400 - 1200 </w:t>
      </w:r>
      <w:r w:rsidRPr="007657AD">
        <w:rPr>
          <w:rFonts w:eastAsia="Times New Roman" w:cs="Arial"/>
          <w:color w:val="000000"/>
          <w:lang w:val="en-US"/>
        </w:rPr>
        <w:t>mg</w:t>
      </w:r>
      <w:r w:rsidRPr="007657AD">
        <w:rPr>
          <w:rFonts w:eastAsia="Times New Roman" w:cs="Arial"/>
          <w:color w:val="000000"/>
          <w:lang w:eastAsia="bg-BG"/>
        </w:rPr>
        <w:t xml:space="preserve">/ден или леветирацетам 1000 -3000 </w:t>
      </w:r>
      <w:r w:rsidRPr="007657AD">
        <w:rPr>
          <w:rFonts w:eastAsia="Times New Roman" w:cs="Arial"/>
          <w:color w:val="000000"/>
          <w:lang w:val="en-US"/>
        </w:rPr>
        <w:t>mg</w:t>
      </w:r>
      <w:r w:rsidRPr="007657AD">
        <w:rPr>
          <w:rFonts w:eastAsia="Times New Roman" w:cs="Arial"/>
          <w:color w:val="000000"/>
          <w:lang w:eastAsia="bg-BG"/>
        </w:rPr>
        <w:t>/ден, като продължителността на лечението е била до 121 седмици в зависимост от отговора.</w:t>
      </w:r>
    </w:p>
    <w:p w14:paraId="2D71DB99" w14:textId="7F7F50BB"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 xml:space="preserve">Липса на пристъпи за 6 месеца е достигната при 73,0% от пациентите приемащи леветиранетам и при 72,8% от пациентите приемащи карбамазепин- </w:t>
      </w:r>
      <w:r w:rsidRPr="007657AD">
        <w:rPr>
          <w:rFonts w:eastAsia="Times New Roman" w:cs="Arial"/>
          <w:color w:val="000000"/>
          <w:lang w:val="en-US"/>
        </w:rPr>
        <w:t xml:space="preserve">CR; </w:t>
      </w:r>
      <w:r w:rsidRPr="007657AD">
        <w:rPr>
          <w:rFonts w:eastAsia="Times New Roman" w:cs="Arial"/>
          <w:color w:val="000000"/>
          <w:lang w:eastAsia="bg-BG"/>
        </w:rPr>
        <w:t xml:space="preserve">установената абсолютна разлика между терапиите е 0,2% (95% </w:t>
      </w:r>
      <w:r w:rsidRPr="007657AD">
        <w:rPr>
          <w:rFonts w:eastAsia="Times New Roman" w:cs="Arial"/>
          <w:color w:val="000000"/>
          <w:lang w:val="en-US"/>
        </w:rPr>
        <w:t xml:space="preserve">CI: </w:t>
      </w:r>
      <w:r w:rsidRPr="007657AD">
        <w:rPr>
          <w:rFonts w:eastAsia="Times New Roman" w:cs="Arial"/>
          <w:color w:val="000000"/>
          <w:lang w:eastAsia="bg-BG"/>
        </w:rPr>
        <w:t>-7,8 8,2). Повече от половината от пациентите остават без да</w:t>
      </w:r>
      <w:r w:rsidRPr="007657AD">
        <w:rPr>
          <w:rFonts w:eastAsia="Times New Roman" w:cs="Arial"/>
          <w:color w:val="000000"/>
          <w:vertAlign w:val="superscript"/>
          <w:lang w:eastAsia="bg-BG"/>
        </w:rPr>
        <w:t xml:space="preserve"> </w:t>
      </w:r>
      <w:r w:rsidRPr="007657AD">
        <w:rPr>
          <w:rFonts w:eastAsia="Times New Roman" w:cs="Arial"/>
          <w:color w:val="000000"/>
          <w:lang w:eastAsia="bg-BG"/>
        </w:rPr>
        <w:t xml:space="preserve">получават пристъпи за 12 месеца (56,6% и 58,5% съответно от пациентите на леветирацетам и карбамазепин </w:t>
      </w:r>
      <w:r w:rsidRPr="007657AD">
        <w:rPr>
          <w:rFonts w:eastAsia="Times New Roman" w:cs="Arial"/>
          <w:color w:val="000000"/>
          <w:lang w:val="en-US"/>
        </w:rPr>
        <w:t>CR).</w:t>
      </w:r>
    </w:p>
    <w:p w14:paraId="7E7AB15D" w14:textId="479B3A0D" w:rsidR="007657AD" w:rsidRPr="007657AD" w:rsidRDefault="007657AD" w:rsidP="007657AD">
      <w:pPr>
        <w:rPr>
          <w:rFonts w:cs="Arial"/>
          <w:sz w:val="24"/>
          <w:szCs w:val="24"/>
        </w:rPr>
      </w:pPr>
    </w:p>
    <w:p w14:paraId="2C5BC615"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В проучване, отразяващо клиничната практика, съпътстващата антиепилептична терапия може да се прекъсне при ограничен брой пациенти, който са се повлияли от допълваща терапия с леветирацетам (36 възрастни пациента от 69).</w:t>
      </w:r>
    </w:p>
    <w:p w14:paraId="3258CE1F" w14:textId="77777777" w:rsidR="007657AD" w:rsidRPr="007657AD" w:rsidRDefault="007657AD" w:rsidP="007657AD">
      <w:pPr>
        <w:spacing w:line="240" w:lineRule="auto"/>
        <w:rPr>
          <w:rFonts w:eastAsia="Times New Roman" w:cs="Arial"/>
          <w:i/>
          <w:iCs/>
          <w:color w:val="000000"/>
          <w:lang w:eastAsia="bg-BG"/>
        </w:rPr>
      </w:pPr>
    </w:p>
    <w:p w14:paraId="57CAF064" w14:textId="4B91C5A9" w:rsidR="007657AD" w:rsidRPr="007657AD" w:rsidRDefault="007657AD" w:rsidP="007657AD">
      <w:pPr>
        <w:spacing w:line="240" w:lineRule="auto"/>
        <w:rPr>
          <w:rFonts w:eastAsia="Times New Roman" w:cs="Arial"/>
          <w:sz w:val="28"/>
          <w:szCs w:val="28"/>
          <w:lang w:eastAsia="bg-BG"/>
        </w:rPr>
      </w:pPr>
      <w:r w:rsidRPr="007657AD">
        <w:rPr>
          <w:rFonts w:eastAsia="Times New Roman" w:cs="Arial"/>
          <w:i/>
          <w:iCs/>
          <w:color w:val="000000"/>
          <w:lang w:eastAsia="bg-BG"/>
        </w:rPr>
        <w:t>Допълващо лечение на миоклонични пристъпи при възрастни и юноши над 12-годишна възраст с ювенилна миоклонична епилепсия.</w:t>
      </w:r>
    </w:p>
    <w:p w14:paraId="4F07E6CE" w14:textId="77777777" w:rsidR="007657AD" w:rsidRPr="007657AD" w:rsidRDefault="007657AD" w:rsidP="007657AD">
      <w:pPr>
        <w:spacing w:line="240" w:lineRule="auto"/>
        <w:rPr>
          <w:rFonts w:eastAsia="Times New Roman" w:cs="Arial"/>
          <w:color w:val="000000"/>
          <w:lang w:eastAsia="bg-BG"/>
        </w:rPr>
      </w:pPr>
    </w:p>
    <w:p w14:paraId="1F750139" w14:textId="13E83A0E"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Ефикасността на леветирацетам е установена в двойно-сляпо, плацебо-контролирано проучване с продължителност 16 седмици при пациенти на 12-годишна възраст или по-възрастни страдащи от идиопатична генерализирана епилепсия с миоклонични пристъпи от различни синдроми. Повечето пациенти са били с ювенилна миоклонична епилепсия.</w:t>
      </w:r>
    </w:p>
    <w:p w14:paraId="66BCB9D4"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 xml:space="preserve">В това проучване дозата на леветирацетам е била 3000 </w:t>
      </w:r>
      <w:r w:rsidRPr="007657AD">
        <w:rPr>
          <w:rFonts w:eastAsia="Times New Roman" w:cs="Arial"/>
          <w:color w:val="000000"/>
          <w:lang w:val="en-US"/>
        </w:rPr>
        <w:t>mg</w:t>
      </w:r>
      <w:r w:rsidRPr="007657AD">
        <w:rPr>
          <w:rFonts w:eastAsia="Times New Roman" w:cs="Arial"/>
          <w:color w:val="000000"/>
          <w:lang w:eastAsia="bg-BG"/>
        </w:rPr>
        <w:t>/ден разделена на 2 приема.</w:t>
      </w:r>
    </w:p>
    <w:p w14:paraId="72041BE8" w14:textId="77777777" w:rsidR="007657AD" w:rsidRPr="007657AD" w:rsidRDefault="007657AD" w:rsidP="007657AD">
      <w:pPr>
        <w:spacing w:line="240" w:lineRule="auto"/>
        <w:rPr>
          <w:rFonts w:eastAsia="Times New Roman" w:cs="Arial"/>
          <w:color w:val="000000"/>
          <w:lang w:eastAsia="bg-BG"/>
        </w:rPr>
      </w:pPr>
      <w:r w:rsidRPr="007657AD">
        <w:rPr>
          <w:rFonts w:eastAsia="Times New Roman" w:cs="Arial"/>
          <w:color w:val="000000"/>
          <w:lang w:eastAsia="bg-BG"/>
        </w:rPr>
        <w:t xml:space="preserve">58,3% от пациентите приемащи леветирацетам и 23,3% от пациентите на плацебо са имали поне 50% намаление на дните през седмицата с миоклонични пристъпи. При продължително дългосрочно лечение, </w:t>
      </w:r>
    </w:p>
    <w:p w14:paraId="7131D6D9" w14:textId="7D2E3DC1"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28,6% от пациентите не са получавали миоклонични пристъпи за поне 6 месеца и 21,0% за поне 1 година.</w:t>
      </w:r>
    </w:p>
    <w:p w14:paraId="436C5CCC" w14:textId="77777777" w:rsidR="007657AD" w:rsidRPr="007657AD" w:rsidRDefault="007657AD" w:rsidP="007657AD">
      <w:pPr>
        <w:spacing w:line="240" w:lineRule="auto"/>
        <w:rPr>
          <w:rFonts w:eastAsia="Times New Roman" w:cs="Arial"/>
          <w:i/>
          <w:iCs/>
          <w:color w:val="000000"/>
          <w:lang w:eastAsia="bg-BG"/>
        </w:rPr>
      </w:pPr>
    </w:p>
    <w:p w14:paraId="200C450F" w14:textId="22AF8ACB" w:rsidR="007657AD" w:rsidRPr="007657AD" w:rsidRDefault="007657AD" w:rsidP="007657AD">
      <w:pPr>
        <w:spacing w:line="240" w:lineRule="auto"/>
        <w:rPr>
          <w:rFonts w:eastAsia="Times New Roman" w:cs="Arial"/>
          <w:sz w:val="28"/>
          <w:szCs w:val="28"/>
          <w:lang w:eastAsia="bg-BG"/>
        </w:rPr>
      </w:pPr>
      <w:r w:rsidRPr="007657AD">
        <w:rPr>
          <w:rFonts w:eastAsia="Times New Roman" w:cs="Arial"/>
          <w:i/>
          <w:iCs/>
          <w:color w:val="000000"/>
          <w:lang w:eastAsia="bg-BG"/>
        </w:rPr>
        <w:lastRenderedPageBreak/>
        <w:t>Допълващо лечение на първично генерализирани тонично-клонични пристъпи при възрастни и юноши над 12-годишна възраст с идиопатична генерализирана епилепсия.</w:t>
      </w:r>
    </w:p>
    <w:p w14:paraId="7DBA0F63" w14:textId="77777777" w:rsidR="007657AD" w:rsidRPr="007657AD" w:rsidRDefault="007657AD" w:rsidP="007657AD">
      <w:pPr>
        <w:spacing w:line="240" w:lineRule="auto"/>
        <w:rPr>
          <w:rFonts w:eastAsia="Times New Roman" w:cs="Arial"/>
          <w:color w:val="000000"/>
          <w:lang w:eastAsia="bg-BG"/>
        </w:rPr>
      </w:pPr>
    </w:p>
    <w:p w14:paraId="11C21E9A" w14:textId="2F30C9CA"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 xml:space="preserve">Ефикасността на леветирацетам е доказана в 24 седмично двойносляпо, плацебо-контролирано проучване включващо възрастни, юноши и ограничен брой деца страдащи от идиопатична генерализирана епилепсия с първично генерализирани тонично-клонични (ПГТК) пристъпи от различни синдроми (ювенилна миоклонична епилепсия, ювенилна абсанс епилепсия, детска абсанс епилепсия или епилепсия с </w:t>
      </w:r>
      <w:r w:rsidRPr="007657AD">
        <w:rPr>
          <w:rFonts w:eastAsia="Times New Roman" w:cs="Arial"/>
          <w:i/>
          <w:iCs/>
          <w:color w:val="000000"/>
          <w:lang w:val="en-US"/>
        </w:rPr>
        <w:t>grand mal</w:t>
      </w:r>
      <w:r w:rsidRPr="007657AD">
        <w:rPr>
          <w:rFonts w:eastAsia="Times New Roman" w:cs="Arial"/>
          <w:color w:val="000000"/>
          <w:lang w:val="en-US"/>
        </w:rPr>
        <w:t xml:space="preserve"> </w:t>
      </w:r>
      <w:r w:rsidRPr="007657AD">
        <w:rPr>
          <w:rFonts w:eastAsia="Times New Roman" w:cs="Arial"/>
          <w:color w:val="000000"/>
          <w:lang w:eastAsia="bg-BG"/>
        </w:rPr>
        <w:t xml:space="preserve">пристъпи при събуждане). В това проучване, дозата на леветирацетам е била 3000 </w:t>
      </w:r>
      <w:r w:rsidRPr="007657AD">
        <w:rPr>
          <w:rFonts w:eastAsia="Times New Roman" w:cs="Arial"/>
          <w:color w:val="000000"/>
          <w:lang w:val="en-US"/>
        </w:rPr>
        <w:t>mg</w:t>
      </w:r>
      <w:r w:rsidRPr="007657AD">
        <w:rPr>
          <w:rFonts w:eastAsia="Times New Roman" w:cs="Arial"/>
          <w:color w:val="000000"/>
          <w:lang w:eastAsia="bg-BG"/>
        </w:rPr>
        <w:t xml:space="preserve">/ден при възрастни или 60 </w:t>
      </w:r>
      <w:r w:rsidRPr="007657AD">
        <w:rPr>
          <w:rFonts w:eastAsia="Times New Roman" w:cs="Arial"/>
          <w:color w:val="000000"/>
          <w:lang w:val="en-US"/>
        </w:rPr>
        <w:t>mg/kg</w:t>
      </w:r>
      <w:r w:rsidRPr="007657AD">
        <w:rPr>
          <w:rFonts w:eastAsia="Times New Roman" w:cs="Arial"/>
          <w:color w:val="000000"/>
          <w:lang w:eastAsia="bg-BG"/>
        </w:rPr>
        <w:t>/ден при деца, приемана в 2 отделни дози.</w:t>
      </w:r>
    </w:p>
    <w:p w14:paraId="5F1CBEBA"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72,2% от пациентите приемащи леветирацетам и 45,2% от пациентите на плацебо са имали 50% или по-голямо намаление на честотата на ПГТК пристъпи за седмица. При продължително дългосрочно лечение 47,4% от пациентите не са получавали тонично-клонични пристъпи за поне 6 месеца, а 31,5% не са получавали тонично-клонични пристъпи за поне 1 година.</w:t>
      </w:r>
    </w:p>
    <w:p w14:paraId="290EE515" w14:textId="77777777" w:rsidR="007657AD" w:rsidRPr="007657AD" w:rsidRDefault="007657AD" w:rsidP="007657AD"/>
    <w:p w14:paraId="436D48F6" w14:textId="7C204956" w:rsidR="00BB22B4" w:rsidRDefault="002C50EE" w:rsidP="00471F10">
      <w:pPr>
        <w:pStyle w:val="Heading2"/>
      </w:pPr>
      <w:r>
        <w:t>5.2. Фармакокинетични свойства</w:t>
      </w:r>
    </w:p>
    <w:p w14:paraId="7DAA6B83" w14:textId="0DEB89C9" w:rsidR="007657AD" w:rsidRDefault="007657AD" w:rsidP="007657AD"/>
    <w:p w14:paraId="45A07C1E"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Леветирацетам има висока степен на разтворимост и проникване. Фармакокинетичният му профил е линеен с ниска интра-индивидуална и интер-индивидуална вариабилност. Няма промяна в клирънса след многократно приложение. Няма данни за съществена вариабилност по отношение на пола, расата и циркадния ритъм. Фармакокинетичният профил е сравним при здрави доброволци и пациенти с епилепсия.</w:t>
      </w:r>
    </w:p>
    <w:p w14:paraId="46902A81" w14:textId="77777777" w:rsidR="007657AD" w:rsidRPr="007657AD" w:rsidRDefault="007657AD" w:rsidP="007657AD">
      <w:pPr>
        <w:spacing w:line="240" w:lineRule="auto"/>
        <w:rPr>
          <w:rFonts w:eastAsia="Times New Roman" w:cs="Arial"/>
          <w:color w:val="000000"/>
          <w:lang w:eastAsia="bg-BG"/>
        </w:rPr>
      </w:pPr>
    </w:p>
    <w:p w14:paraId="38C66F01" w14:textId="1F9231E0"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 xml:space="preserve">Поради пълната и линейна абсорбция, плазмените нива могат да бъдат предвидени в зависимост от пероралната доза леветирацетам изразени в </w:t>
      </w:r>
      <w:r w:rsidRPr="007657AD">
        <w:rPr>
          <w:rFonts w:eastAsia="Times New Roman" w:cs="Arial"/>
          <w:color w:val="000000"/>
          <w:lang w:val="en-US"/>
        </w:rPr>
        <w:t xml:space="preserve">mg/kg </w:t>
      </w:r>
      <w:r w:rsidRPr="007657AD">
        <w:rPr>
          <w:rFonts w:eastAsia="Times New Roman" w:cs="Arial"/>
          <w:color w:val="000000"/>
          <w:lang w:eastAsia="bg-BG"/>
        </w:rPr>
        <w:t>телесна маса. Ето защо не е необходимо следене на плазмените нива леветирацетам.</w:t>
      </w:r>
    </w:p>
    <w:p w14:paraId="66449910" w14:textId="77777777" w:rsidR="007657AD" w:rsidRPr="007657AD" w:rsidRDefault="007657AD" w:rsidP="007657AD">
      <w:pPr>
        <w:spacing w:line="240" w:lineRule="auto"/>
        <w:rPr>
          <w:rFonts w:eastAsia="Times New Roman" w:cs="Arial"/>
          <w:color w:val="000000"/>
          <w:lang w:eastAsia="bg-BG"/>
        </w:rPr>
      </w:pPr>
    </w:p>
    <w:p w14:paraId="2F9D469E" w14:textId="23BB5F52"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При възрастни и деца е установена значима взаимна връзка между слюнчената и плазмена концентрация (съотношението слюнка/плазма по отношение на концентрацията варира от 1 до 1,7 при пероралната таблетна форма и 4 часа след приема на пероралния разтвор).</w:t>
      </w:r>
    </w:p>
    <w:p w14:paraId="50166013" w14:textId="77777777" w:rsidR="007657AD" w:rsidRPr="007657AD" w:rsidRDefault="007657AD" w:rsidP="007657AD">
      <w:pPr>
        <w:spacing w:line="240" w:lineRule="auto"/>
        <w:rPr>
          <w:rFonts w:eastAsia="Times New Roman" w:cs="Arial"/>
          <w:color w:val="000000"/>
          <w:u w:val="single"/>
          <w:lang w:eastAsia="bg-BG"/>
        </w:rPr>
      </w:pPr>
    </w:p>
    <w:p w14:paraId="3FAAD94A" w14:textId="70B0F791" w:rsidR="007657AD" w:rsidRPr="007657AD" w:rsidRDefault="007657AD" w:rsidP="007657AD">
      <w:pPr>
        <w:spacing w:line="240" w:lineRule="auto"/>
        <w:rPr>
          <w:rFonts w:eastAsia="Times New Roman" w:cs="Arial"/>
          <w:lang w:eastAsia="bg-BG"/>
        </w:rPr>
      </w:pPr>
      <w:r w:rsidRPr="007657AD">
        <w:rPr>
          <w:rFonts w:eastAsia="Times New Roman" w:cs="Arial"/>
          <w:color w:val="000000"/>
          <w:u w:val="single"/>
          <w:lang w:eastAsia="bg-BG"/>
        </w:rPr>
        <w:t>Възрастни и юноши</w:t>
      </w:r>
    </w:p>
    <w:p w14:paraId="4A52D95A" w14:textId="77777777" w:rsidR="007657AD" w:rsidRPr="007657AD" w:rsidRDefault="007657AD" w:rsidP="007657AD">
      <w:pPr>
        <w:spacing w:line="240" w:lineRule="auto"/>
        <w:rPr>
          <w:rFonts w:eastAsia="Times New Roman" w:cs="Arial"/>
          <w:color w:val="000000"/>
          <w:u w:val="single"/>
          <w:lang w:eastAsia="bg-BG"/>
        </w:rPr>
      </w:pPr>
    </w:p>
    <w:p w14:paraId="185EC713" w14:textId="0570900C" w:rsidR="007657AD" w:rsidRPr="007657AD" w:rsidRDefault="007657AD" w:rsidP="007657AD">
      <w:pPr>
        <w:pStyle w:val="Heading3"/>
        <w:rPr>
          <w:rFonts w:eastAsia="Times New Roman"/>
          <w:u w:val="single"/>
          <w:lang w:eastAsia="bg-BG"/>
        </w:rPr>
      </w:pPr>
      <w:r w:rsidRPr="007657AD">
        <w:rPr>
          <w:rFonts w:eastAsia="Times New Roman"/>
          <w:u w:val="single"/>
          <w:lang w:eastAsia="bg-BG"/>
        </w:rPr>
        <w:t>Абсорбция</w:t>
      </w:r>
    </w:p>
    <w:p w14:paraId="0707D98E"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Леветирацетам се абсорбира бързо след перорално приложение. Абсолютната перорална бионаличност е близка до 100%.</w:t>
      </w:r>
    </w:p>
    <w:p w14:paraId="2011ADFA" w14:textId="676925FD" w:rsidR="007657AD" w:rsidRPr="007657AD" w:rsidRDefault="007657AD" w:rsidP="007657AD">
      <w:pPr>
        <w:rPr>
          <w:rFonts w:eastAsia="Times New Roman" w:cs="Arial"/>
          <w:color w:val="000000"/>
          <w:lang w:val="en-US"/>
        </w:rPr>
      </w:pPr>
      <w:r w:rsidRPr="007657AD">
        <w:rPr>
          <w:rFonts w:eastAsia="Times New Roman" w:cs="Arial"/>
          <w:color w:val="000000"/>
          <w:lang w:eastAsia="bg-BG"/>
        </w:rPr>
        <w:t>Пикови плазмени концентрации (С</w:t>
      </w:r>
      <w:r w:rsidRPr="007657AD">
        <w:rPr>
          <w:rFonts w:eastAsia="Times New Roman" w:cs="Arial"/>
          <w:color w:val="000000"/>
          <w:lang w:val="en-US"/>
        </w:rPr>
        <w:t>m</w:t>
      </w:r>
      <w:r w:rsidRPr="007657AD">
        <w:rPr>
          <w:rFonts w:eastAsia="Times New Roman" w:cs="Arial"/>
          <w:color w:val="000000"/>
          <w:lang w:eastAsia="bg-BG"/>
        </w:rPr>
        <w:t>ах) се достигат 1,3 часа след приема. Стационарно състояние се достига след два дни при режим на приложение 2 пъти дневно. Пиковите концентрации (С</w:t>
      </w:r>
      <w:r w:rsidRPr="007657AD">
        <w:rPr>
          <w:rFonts w:eastAsia="Times New Roman" w:cs="Arial"/>
          <w:color w:val="000000"/>
          <w:lang w:val="en-US"/>
        </w:rPr>
        <w:t>m</w:t>
      </w:r>
      <w:r w:rsidRPr="007657AD">
        <w:rPr>
          <w:rFonts w:eastAsia="Times New Roman" w:cs="Arial"/>
          <w:color w:val="000000"/>
          <w:lang w:eastAsia="bg-BG"/>
        </w:rPr>
        <w:t>ах) са обичайно 31 μ</w:t>
      </w:r>
      <w:r w:rsidRPr="007657AD">
        <w:rPr>
          <w:rFonts w:eastAsia="Times New Roman" w:cs="Arial"/>
          <w:color w:val="000000"/>
          <w:lang w:val="en-US"/>
        </w:rPr>
        <w:t xml:space="preserve">g/ml </w:t>
      </w:r>
      <w:r w:rsidRPr="007657AD">
        <w:rPr>
          <w:rFonts w:eastAsia="Times New Roman" w:cs="Arial"/>
          <w:color w:val="000000"/>
          <w:lang w:eastAsia="bg-BG"/>
        </w:rPr>
        <w:t>и 43 μ</w:t>
      </w:r>
      <w:r w:rsidRPr="007657AD">
        <w:rPr>
          <w:rFonts w:eastAsia="Times New Roman" w:cs="Arial"/>
          <w:color w:val="000000"/>
          <w:lang w:val="en-US"/>
        </w:rPr>
        <w:t xml:space="preserve">g/ml </w:t>
      </w:r>
      <w:r w:rsidRPr="007657AD">
        <w:rPr>
          <w:rFonts w:eastAsia="Times New Roman" w:cs="Arial"/>
          <w:color w:val="000000"/>
          <w:lang w:eastAsia="bg-BG"/>
        </w:rPr>
        <w:t xml:space="preserve">съответно след еднократна доза от 1000 </w:t>
      </w:r>
      <w:r w:rsidRPr="007657AD">
        <w:rPr>
          <w:rFonts w:eastAsia="Times New Roman" w:cs="Arial"/>
          <w:color w:val="000000"/>
          <w:lang w:val="en-US"/>
        </w:rPr>
        <w:t xml:space="preserve">mg </w:t>
      </w:r>
      <w:r w:rsidRPr="007657AD">
        <w:rPr>
          <w:rFonts w:eastAsia="Times New Roman" w:cs="Arial"/>
          <w:color w:val="000000"/>
          <w:lang w:eastAsia="bg-BG"/>
        </w:rPr>
        <w:t xml:space="preserve">и многократно, два пъти дневно приложение на </w:t>
      </w:r>
      <w:r w:rsidRPr="007657AD">
        <w:rPr>
          <w:rFonts w:eastAsia="Times New Roman" w:cs="Arial"/>
          <w:color w:val="000000"/>
          <w:lang w:val="en-US"/>
        </w:rPr>
        <w:t>l000</w:t>
      </w:r>
      <w:r w:rsidRPr="007657AD">
        <w:rPr>
          <w:rFonts w:eastAsia="Times New Roman" w:cs="Arial"/>
          <w:color w:val="000000"/>
          <w:lang w:eastAsia="bg-BG"/>
        </w:rPr>
        <w:t xml:space="preserve"> </w:t>
      </w:r>
      <w:r w:rsidRPr="007657AD">
        <w:rPr>
          <w:rFonts w:eastAsia="Times New Roman" w:cs="Arial"/>
          <w:color w:val="000000"/>
          <w:lang w:val="en-US"/>
        </w:rPr>
        <w:t>mg.</w:t>
      </w:r>
    </w:p>
    <w:p w14:paraId="47E34203" w14:textId="74684487" w:rsidR="007657AD" w:rsidRPr="007657AD" w:rsidRDefault="007657AD" w:rsidP="007657AD">
      <w:pPr>
        <w:rPr>
          <w:rFonts w:eastAsia="Times New Roman" w:cs="Arial"/>
          <w:color w:val="000000"/>
          <w:lang w:val="en-US"/>
        </w:rPr>
      </w:pPr>
    </w:p>
    <w:p w14:paraId="107C431C"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Степента на абсорбция не зависи от дозата и не се влияе от храната.</w:t>
      </w:r>
    </w:p>
    <w:p w14:paraId="74F3BF37" w14:textId="77777777" w:rsidR="007657AD" w:rsidRPr="007657AD" w:rsidRDefault="007657AD" w:rsidP="007657AD">
      <w:pPr>
        <w:spacing w:line="240" w:lineRule="auto"/>
        <w:rPr>
          <w:rFonts w:eastAsia="Times New Roman" w:cs="Arial"/>
          <w:color w:val="000000"/>
          <w:u w:val="single"/>
          <w:lang w:eastAsia="bg-BG"/>
        </w:rPr>
      </w:pPr>
    </w:p>
    <w:p w14:paraId="0A27439F" w14:textId="53797113" w:rsidR="007657AD" w:rsidRPr="007657AD" w:rsidRDefault="007657AD" w:rsidP="007657AD">
      <w:pPr>
        <w:pStyle w:val="Heading3"/>
        <w:rPr>
          <w:rFonts w:eastAsia="Times New Roman"/>
          <w:u w:val="single"/>
          <w:lang w:eastAsia="bg-BG"/>
        </w:rPr>
      </w:pPr>
      <w:r w:rsidRPr="007657AD">
        <w:rPr>
          <w:rFonts w:eastAsia="Times New Roman"/>
          <w:u w:val="single"/>
          <w:lang w:eastAsia="bg-BG"/>
        </w:rPr>
        <w:t>Разпределение</w:t>
      </w:r>
    </w:p>
    <w:p w14:paraId="1F59D1F4"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Няма данни за тъканното разпределение при хора.</w:t>
      </w:r>
    </w:p>
    <w:p w14:paraId="53D8310A"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lastRenderedPageBreak/>
        <w:t xml:space="preserve">Нито леветирацетам, нито неговия първичен метаболит се свързват в значителна степен с плазмените протеини (&lt; 10%). Обема на разпределение на леветирацетам е приблизително 0,5 до 0,7 </w:t>
      </w:r>
      <w:r w:rsidRPr="007657AD">
        <w:rPr>
          <w:rFonts w:eastAsia="Times New Roman" w:cs="Arial"/>
          <w:color w:val="000000"/>
          <w:lang w:val="en-US"/>
        </w:rPr>
        <w:t xml:space="preserve">l/kg, </w:t>
      </w:r>
      <w:r w:rsidRPr="007657AD">
        <w:rPr>
          <w:rFonts w:eastAsia="Times New Roman" w:cs="Arial"/>
          <w:color w:val="000000"/>
          <w:lang w:eastAsia="bg-BG"/>
        </w:rPr>
        <w:t>което е близо до общия воден обем на организма.</w:t>
      </w:r>
    </w:p>
    <w:p w14:paraId="5E9A79E4" w14:textId="77777777" w:rsidR="007657AD" w:rsidRPr="007657AD" w:rsidRDefault="007657AD" w:rsidP="007657AD">
      <w:pPr>
        <w:spacing w:line="240" w:lineRule="auto"/>
        <w:rPr>
          <w:rFonts w:eastAsia="Times New Roman" w:cs="Arial"/>
          <w:color w:val="000000"/>
          <w:u w:val="single"/>
          <w:lang w:eastAsia="bg-BG"/>
        </w:rPr>
      </w:pPr>
    </w:p>
    <w:p w14:paraId="27DE3DB4" w14:textId="45FB8E9A" w:rsidR="007657AD" w:rsidRPr="007657AD" w:rsidRDefault="007657AD" w:rsidP="007657AD">
      <w:pPr>
        <w:pStyle w:val="Heading3"/>
        <w:rPr>
          <w:rFonts w:eastAsia="Times New Roman"/>
          <w:u w:val="single"/>
          <w:lang w:eastAsia="bg-BG"/>
        </w:rPr>
      </w:pPr>
      <w:r w:rsidRPr="007657AD">
        <w:rPr>
          <w:rFonts w:eastAsia="Times New Roman"/>
          <w:u w:val="single"/>
          <w:lang w:eastAsia="bg-BG"/>
        </w:rPr>
        <w:t>Биотрансформаиия</w:t>
      </w:r>
    </w:p>
    <w:p w14:paraId="13F1D98A"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 xml:space="preserve">Леветирацетам не се метаболизира екстензивно при хора. Главният път на метаболизъм (24% от дозата) е ензимна хидролиза на ацетамидната група. В образуването на първичния метаболит, </w:t>
      </w:r>
      <w:proofErr w:type="spellStart"/>
      <w:r w:rsidRPr="007657AD">
        <w:rPr>
          <w:rFonts w:eastAsia="Times New Roman" w:cs="Arial"/>
          <w:color w:val="000000"/>
          <w:lang w:val="en-US"/>
        </w:rPr>
        <w:t>ucb</w:t>
      </w:r>
      <w:proofErr w:type="spellEnd"/>
      <w:r w:rsidRPr="007657AD">
        <w:rPr>
          <w:rFonts w:eastAsia="Times New Roman" w:cs="Arial"/>
          <w:color w:val="000000"/>
          <w:lang w:val="en-US"/>
        </w:rPr>
        <w:t xml:space="preserve"> L057, </w:t>
      </w:r>
      <w:r w:rsidRPr="007657AD">
        <w:rPr>
          <w:rFonts w:eastAsia="Times New Roman" w:cs="Arial"/>
          <w:color w:val="000000"/>
          <w:lang w:eastAsia="bg-BG"/>
        </w:rPr>
        <w:t>не участват чернодробните цитохром Р450 изоформи. Хидролизата на ацетамидната група е установена в голям брой тъкани, включително кръвни клетки.</w:t>
      </w:r>
    </w:p>
    <w:p w14:paraId="403350FC"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 xml:space="preserve">Метаболитът </w:t>
      </w:r>
      <w:proofErr w:type="spellStart"/>
      <w:r w:rsidRPr="007657AD">
        <w:rPr>
          <w:rFonts w:eastAsia="Times New Roman" w:cs="Arial"/>
          <w:color w:val="000000"/>
          <w:lang w:val="en-US"/>
        </w:rPr>
        <w:t>ucb</w:t>
      </w:r>
      <w:proofErr w:type="spellEnd"/>
      <w:r w:rsidRPr="007657AD">
        <w:rPr>
          <w:rFonts w:eastAsia="Times New Roman" w:cs="Arial"/>
          <w:color w:val="000000"/>
          <w:lang w:val="en-US"/>
        </w:rPr>
        <w:t xml:space="preserve"> L057 </w:t>
      </w:r>
      <w:r w:rsidRPr="007657AD">
        <w:rPr>
          <w:rFonts w:eastAsia="Times New Roman" w:cs="Arial"/>
          <w:color w:val="000000"/>
          <w:lang w:eastAsia="bg-BG"/>
        </w:rPr>
        <w:t>е фармакологично неактивен.</w:t>
      </w:r>
    </w:p>
    <w:p w14:paraId="1419D120" w14:textId="77777777" w:rsidR="007657AD" w:rsidRPr="007657AD" w:rsidRDefault="007657AD" w:rsidP="007657AD">
      <w:pPr>
        <w:spacing w:line="240" w:lineRule="auto"/>
        <w:rPr>
          <w:rFonts w:eastAsia="Times New Roman" w:cs="Arial"/>
          <w:color w:val="000000"/>
          <w:lang w:eastAsia="bg-BG"/>
        </w:rPr>
      </w:pPr>
    </w:p>
    <w:p w14:paraId="0BB6A2D3" w14:textId="674318C3"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Установени са също и два второстепенни метаболита. Единият се получава от хидроксилирането на пиролидоновия пръстен (1,6% от дозата), а другият от отварянето на пиролидоновия пръстен (0,9% от дозата). Другите неидентифицирани компоненти са само 0,6% от дозата.</w:t>
      </w:r>
    </w:p>
    <w:p w14:paraId="6463C085" w14:textId="77777777" w:rsidR="007657AD" w:rsidRPr="007657AD" w:rsidRDefault="007657AD" w:rsidP="007657AD">
      <w:pPr>
        <w:spacing w:line="240" w:lineRule="auto"/>
        <w:rPr>
          <w:rFonts w:eastAsia="Times New Roman" w:cs="Arial"/>
          <w:i/>
          <w:iCs/>
          <w:color w:val="000000"/>
          <w:lang w:val="en-US"/>
        </w:rPr>
      </w:pPr>
    </w:p>
    <w:p w14:paraId="789132DE" w14:textId="2CB2DA0C" w:rsidR="007657AD" w:rsidRPr="007657AD" w:rsidRDefault="007657AD" w:rsidP="007657AD">
      <w:pPr>
        <w:spacing w:line="240" w:lineRule="auto"/>
        <w:rPr>
          <w:rFonts w:eastAsia="Times New Roman" w:cs="Arial"/>
          <w:lang w:eastAsia="bg-BG"/>
        </w:rPr>
      </w:pPr>
      <w:r w:rsidRPr="007657AD">
        <w:rPr>
          <w:rFonts w:eastAsia="Times New Roman" w:cs="Arial"/>
          <w:i/>
          <w:iCs/>
          <w:color w:val="000000"/>
          <w:lang w:val="en-US"/>
        </w:rPr>
        <w:t>In vivo</w:t>
      </w:r>
      <w:r w:rsidRPr="007657AD">
        <w:rPr>
          <w:rFonts w:eastAsia="Times New Roman" w:cs="Arial"/>
          <w:color w:val="000000"/>
          <w:lang w:val="en-US"/>
        </w:rPr>
        <w:t xml:space="preserve"> </w:t>
      </w:r>
      <w:r w:rsidRPr="007657AD">
        <w:rPr>
          <w:rFonts w:eastAsia="Times New Roman" w:cs="Arial"/>
          <w:color w:val="000000"/>
          <w:lang w:eastAsia="bg-BG"/>
        </w:rPr>
        <w:t>не е установена вътрешна конверсия на енантиомерите както на леветирацетам, така и на неговия първичен метаболит.</w:t>
      </w:r>
    </w:p>
    <w:p w14:paraId="20B7227D" w14:textId="77777777" w:rsidR="007657AD" w:rsidRPr="007657AD" w:rsidRDefault="007657AD" w:rsidP="007657AD">
      <w:pPr>
        <w:spacing w:line="240" w:lineRule="auto"/>
        <w:rPr>
          <w:rFonts w:eastAsia="Times New Roman" w:cs="Arial"/>
          <w:i/>
          <w:iCs/>
          <w:color w:val="000000"/>
          <w:lang w:val="en-US"/>
        </w:rPr>
      </w:pPr>
    </w:p>
    <w:p w14:paraId="75597405" w14:textId="32131270" w:rsidR="007657AD" w:rsidRPr="007657AD" w:rsidRDefault="007657AD" w:rsidP="007657AD">
      <w:pPr>
        <w:spacing w:line="240" w:lineRule="auto"/>
        <w:rPr>
          <w:rFonts w:eastAsia="Times New Roman" w:cs="Arial"/>
          <w:lang w:eastAsia="bg-BG"/>
        </w:rPr>
      </w:pPr>
      <w:r w:rsidRPr="007657AD">
        <w:rPr>
          <w:rFonts w:eastAsia="Times New Roman" w:cs="Arial"/>
          <w:i/>
          <w:iCs/>
          <w:color w:val="000000"/>
          <w:lang w:val="en-US"/>
        </w:rPr>
        <w:t>In vitro,</w:t>
      </w:r>
      <w:r w:rsidRPr="007657AD">
        <w:rPr>
          <w:rFonts w:eastAsia="Times New Roman" w:cs="Arial"/>
          <w:color w:val="000000"/>
          <w:lang w:val="en-US"/>
        </w:rPr>
        <w:t xml:space="preserve"> </w:t>
      </w:r>
      <w:r w:rsidRPr="007657AD">
        <w:rPr>
          <w:rFonts w:eastAsia="Times New Roman" w:cs="Arial"/>
          <w:color w:val="000000"/>
          <w:lang w:eastAsia="bg-BG"/>
        </w:rPr>
        <w:t xml:space="preserve">леветирацетам и неговият първичен метаболит не инхибират изоформите на главния чернодробен комплекс у хората - изоформите на цитохром Р450 </w:t>
      </w:r>
      <w:r w:rsidRPr="007657AD">
        <w:rPr>
          <w:rFonts w:eastAsia="Times New Roman" w:cs="Arial"/>
          <w:color w:val="000000"/>
          <w:lang w:val="en-US"/>
        </w:rPr>
        <w:t>(CYP3A4,</w:t>
      </w:r>
      <w:r w:rsidRPr="007657AD">
        <w:rPr>
          <w:rFonts w:eastAsia="Times New Roman" w:cs="Arial"/>
          <w:color w:val="000000"/>
          <w:lang w:eastAsia="bg-BG"/>
        </w:rPr>
        <w:t xml:space="preserve">2А6,2С9,2С19, </w:t>
      </w:r>
      <w:r w:rsidRPr="007657AD">
        <w:rPr>
          <w:rFonts w:eastAsia="Times New Roman" w:cs="Arial"/>
          <w:color w:val="000000"/>
          <w:lang w:val="en-US"/>
        </w:rPr>
        <w:t>2D6,</w:t>
      </w:r>
      <w:r w:rsidRPr="007657AD">
        <w:rPr>
          <w:rFonts w:eastAsia="Times New Roman" w:cs="Arial"/>
          <w:color w:val="000000"/>
          <w:lang w:eastAsia="bg-BG"/>
        </w:rPr>
        <w:t xml:space="preserve">2Е1 и 1А2), глюкоронил трансферазата </w:t>
      </w:r>
      <w:r w:rsidRPr="007657AD">
        <w:rPr>
          <w:rFonts w:eastAsia="Times New Roman" w:cs="Arial"/>
          <w:color w:val="000000"/>
          <w:lang w:val="en-US"/>
        </w:rPr>
        <w:t xml:space="preserve">(OGT1A1 </w:t>
      </w:r>
      <w:r w:rsidRPr="007657AD">
        <w:rPr>
          <w:rFonts w:eastAsia="Times New Roman" w:cs="Arial"/>
          <w:color w:val="000000"/>
          <w:lang w:eastAsia="bg-BG"/>
        </w:rPr>
        <w:t xml:space="preserve">и </w:t>
      </w:r>
      <w:r w:rsidRPr="007657AD">
        <w:rPr>
          <w:rFonts w:eastAsia="Times New Roman" w:cs="Arial"/>
          <w:color w:val="000000"/>
          <w:lang w:val="en-US"/>
        </w:rPr>
        <w:t>UGT1</w:t>
      </w:r>
      <w:r w:rsidRPr="007657AD">
        <w:rPr>
          <w:rFonts w:eastAsia="Times New Roman" w:cs="Arial"/>
          <w:color w:val="000000"/>
          <w:lang w:eastAsia="bg-BG"/>
        </w:rPr>
        <w:t xml:space="preserve">А6) и епоксид хидроксилазната активност. В допълнение, леветирацетам не въздейства </w:t>
      </w:r>
      <w:r w:rsidRPr="007657AD">
        <w:rPr>
          <w:rFonts w:eastAsia="Times New Roman" w:cs="Arial"/>
          <w:i/>
          <w:iCs/>
          <w:color w:val="000000"/>
          <w:lang w:val="en-US"/>
        </w:rPr>
        <w:t>in vitro</w:t>
      </w:r>
      <w:r w:rsidRPr="007657AD">
        <w:rPr>
          <w:rFonts w:eastAsia="Times New Roman" w:cs="Arial"/>
          <w:color w:val="000000"/>
          <w:lang w:val="en-US"/>
        </w:rPr>
        <w:t xml:space="preserve"> </w:t>
      </w:r>
      <w:r w:rsidRPr="007657AD">
        <w:rPr>
          <w:rFonts w:eastAsia="Times New Roman" w:cs="Arial"/>
          <w:color w:val="000000"/>
          <w:lang w:eastAsia="bg-BG"/>
        </w:rPr>
        <w:t>върху глюкуронирането на валпроевата киселина.</w:t>
      </w:r>
    </w:p>
    <w:p w14:paraId="03C4C9F3"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 xml:space="preserve">В култури от човешки хепатоцити леветирацетам оказва слаб или никакъв ефект върх </w:t>
      </w:r>
      <w:r w:rsidRPr="007657AD">
        <w:rPr>
          <w:rFonts w:eastAsia="Times New Roman" w:cs="Arial"/>
          <w:color w:val="000000"/>
          <w:lang w:val="en-US"/>
        </w:rPr>
        <w:t xml:space="preserve">CYP1A2, SULT1E1 </w:t>
      </w:r>
      <w:r w:rsidRPr="007657AD">
        <w:rPr>
          <w:rFonts w:eastAsia="Times New Roman" w:cs="Arial"/>
          <w:color w:val="000000"/>
          <w:lang w:eastAsia="bg-BG"/>
        </w:rPr>
        <w:t xml:space="preserve">или </w:t>
      </w:r>
      <w:r w:rsidRPr="007657AD">
        <w:rPr>
          <w:rFonts w:eastAsia="Times New Roman" w:cs="Arial"/>
          <w:color w:val="000000"/>
          <w:lang w:val="en-US"/>
        </w:rPr>
        <w:t>UGT1</w:t>
      </w:r>
      <w:r w:rsidRPr="007657AD">
        <w:rPr>
          <w:rFonts w:eastAsia="Times New Roman" w:cs="Arial"/>
          <w:color w:val="000000"/>
          <w:lang w:eastAsia="bg-BG"/>
        </w:rPr>
        <w:t xml:space="preserve">А1. Леветирацетам слабо индуцира </w:t>
      </w:r>
      <w:r w:rsidRPr="007657AD">
        <w:rPr>
          <w:rFonts w:eastAsia="Times New Roman" w:cs="Arial"/>
          <w:color w:val="000000"/>
          <w:lang w:val="en-US"/>
        </w:rPr>
        <w:t xml:space="preserve">CYP2B6 </w:t>
      </w:r>
      <w:r w:rsidRPr="007657AD">
        <w:rPr>
          <w:rFonts w:eastAsia="Times New Roman" w:cs="Arial"/>
          <w:color w:val="000000"/>
          <w:lang w:eastAsia="bg-BG"/>
        </w:rPr>
        <w:t xml:space="preserve">и </w:t>
      </w:r>
      <w:r w:rsidRPr="007657AD">
        <w:rPr>
          <w:rFonts w:eastAsia="Times New Roman" w:cs="Arial"/>
          <w:color w:val="000000"/>
          <w:lang w:val="en-US"/>
        </w:rPr>
        <w:t xml:space="preserve">CYP3A4. </w:t>
      </w:r>
      <w:r w:rsidRPr="007657AD">
        <w:rPr>
          <w:rFonts w:eastAsia="Times New Roman" w:cs="Arial"/>
          <w:i/>
          <w:iCs/>
          <w:color w:val="000000"/>
          <w:lang w:val="en-US"/>
        </w:rPr>
        <w:t>In vitro</w:t>
      </w:r>
      <w:r w:rsidRPr="007657AD">
        <w:rPr>
          <w:rFonts w:eastAsia="Times New Roman" w:cs="Arial"/>
          <w:color w:val="000000"/>
          <w:lang w:val="en-US"/>
        </w:rPr>
        <w:t xml:space="preserve"> </w:t>
      </w:r>
      <w:r w:rsidRPr="007657AD">
        <w:rPr>
          <w:rFonts w:eastAsia="Times New Roman" w:cs="Arial"/>
          <w:color w:val="000000"/>
          <w:lang w:eastAsia="bg-BG"/>
        </w:rPr>
        <w:t xml:space="preserve">данните и </w:t>
      </w:r>
      <w:r w:rsidRPr="007657AD">
        <w:rPr>
          <w:rFonts w:eastAsia="Times New Roman" w:cs="Arial"/>
          <w:i/>
          <w:iCs/>
          <w:color w:val="000000"/>
          <w:lang w:val="en-US"/>
        </w:rPr>
        <w:t>in vivo</w:t>
      </w:r>
      <w:r w:rsidRPr="007657AD">
        <w:rPr>
          <w:rFonts w:eastAsia="Times New Roman" w:cs="Arial"/>
          <w:color w:val="000000"/>
          <w:lang w:val="en-US"/>
        </w:rPr>
        <w:t xml:space="preserve"> </w:t>
      </w:r>
      <w:r w:rsidRPr="007657AD">
        <w:rPr>
          <w:rFonts w:eastAsia="Times New Roman" w:cs="Arial"/>
          <w:color w:val="000000"/>
          <w:lang w:eastAsia="bg-BG"/>
        </w:rPr>
        <w:t xml:space="preserve">данните за взаимодействия с пероралните контрацептиви, дигоксин и варфарин показват, че </w:t>
      </w:r>
      <w:r w:rsidRPr="007657AD">
        <w:rPr>
          <w:rFonts w:eastAsia="Times New Roman" w:cs="Arial"/>
          <w:i/>
          <w:iCs/>
          <w:color w:val="000000"/>
          <w:lang w:val="en-US"/>
        </w:rPr>
        <w:t>in vivo</w:t>
      </w:r>
      <w:r w:rsidRPr="007657AD">
        <w:rPr>
          <w:rFonts w:eastAsia="Times New Roman" w:cs="Arial"/>
          <w:color w:val="000000"/>
          <w:lang w:val="en-US"/>
        </w:rPr>
        <w:t xml:space="preserve"> </w:t>
      </w:r>
      <w:r w:rsidRPr="007657AD">
        <w:rPr>
          <w:rFonts w:eastAsia="Times New Roman" w:cs="Arial"/>
          <w:color w:val="000000"/>
          <w:lang w:eastAsia="bg-BG"/>
        </w:rPr>
        <w:t xml:space="preserve">не се очаква значимо индуциране на ензими. Ето защо е малко вероятно взаимодействие на леветирацета с други вещества или </w:t>
      </w:r>
      <w:r w:rsidRPr="007657AD">
        <w:rPr>
          <w:rFonts w:eastAsia="Times New Roman" w:cs="Arial"/>
          <w:i/>
          <w:iCs/>
          <w:color w:val="000000"/>
          <w:lang w:val="en-US"/>
        </w:rPr>
        <w:t>vice versa.</w:t>
      </w:r>
    </w:p>
    <w:p w14:paraId="0CF93E78" w14:textId="77777777" w:rsidR="007657AD" w:rsidRPr="007657AD" w:rsidRDefault="007657AD" w:rsidP="007657AD">
      <w:pPr>
        <w:spacing w:line="240" w:lineRule="auto"/>
        <w:rPr>
          <w:rFonts w:eastAsia="Times New Roman" w:cs="Arial"/>
          <w:color w:val="000000"/>
          <w:u w:val="single"/>
          <w:lang w:eastAsia="bg-BG"/>
        </w:rPr>
      </w:pPr>
    </w:p>
    <w:p w14:paraId="2F841292" w14:textId="61DD9710" w:rsidR="007657AD" w:rsidRPr="007657AD" w:rsidRDefault="007657AD" w:rsidP="007657AD">
      <w:pPr>
        <w:pStyle w:val="Heading3"/>
        <w:rPr>
          <w:rFonts w:eastAsia="Times New Roman"/>
          <w:u w:val="single"/>
          <w:lang w:eastAsia="bg-BG"/>
        </w:rPr>
      </w:pPr>
      <w:r w:rsidRPr="007657AD">
        <w:rPr>
          <w:rFonts w:eastAsia="Times New Roman"/>
          <w:u w:val="single"/>
          <w:lang w:eastAsia="bg-BG"/>
        </w:rPr>
        <w:t>Елиминиране</w:t>
      </w:r>
    </w:p>
    <w:p w14:paraId="78C933B7"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 xml:space="preserve">Плазменият полуживот при възрастни е 7±1 часа и не варира в зависимост от дозата, пътя на прилагане и многократния прием. Средният общ телесен клирънс е 0,96 </w:t>
      </w:r>
      <w:r w:rsidRPr="007657AD">
        <w:rPr>
          <w:rFonts w:eastAsia="Times New Roman" w:cs="Arial"/>
          <w:color w:val="000000"/>
          <w:lang w:val="en-US"/>
        </w:rPr>
        <w:t>ml/min/kg.</w:t>
      </w:r>
    </w:p>
    <w:p w14:paraId="59D1FB06"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Главният път на екскреция е чрез урината за средно 95% от дозата (приблизително 93% от приетата доза се отделят в рамките на 48 часа). Отделянето чрез изпражненията е само за 0,3% от дозата.</w:t>
      </w:r>
    </w:p>
    <w:p w14:paraId="679805A5"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Кумулативната екскреция чрез урината на леветирацетам и неговия първичен метаболит е съответно 66% и 24% през първите 48 часа.</w:t>
      </w:r>
    </w:p>
    <w:p w14:paraId="4E1D7D6E"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 xml:space="preserve">Реналният клирънс на леветирацетам и </w:t>
      </w:r>
      <w:proofErr w:type="spellStart"/>
      <w:r w:rsidRPr="007657AD">
        <w:rPr>
          <w:rFonts w:eastAsia="Times New Roman" w:cs="Arial"/>
          <w:color w:val="000000"/>
          <w:lang w:val="en-US"/>
        </w:rPr>
        <w:t>ucb</w:t>
      </w:r>
      <w:proofErr w:type="spellEnd"/>
      <w:r w:rsidRPr="007657AD">
        <w:rPr>
          <w:rFonts w:eastAsia="Times New Roman" w:cs="Arial"/>
          <w:color w:val="000000"/>
          <w:lang w:val="en-US"/>
        </w:rPr>
        <w:t xml:space="preserve"> L057 </w:t>
      </w:r>
      <w:r w:rsidRPr="007657AD">
        <w:rPr>
          <w:rFonts w:eastAsia="Times New Roman" w:cs="Arial"/>
          <w:color w:val="000000"/>
          <w:lang w:eastAsia="bg-BG"/>
        </w:rPr>
        <w:t xml:space="preserve">е съответно 0,6 и 4,2 </w:t>
      </w:r>
      <w:r w:rsidRPr="007657AD">
        <w:rPr>
          <w:rFonts w:eastAsia="Times New Roman" w:cs="Arial"/>
          <w:color w:val="000000"/>
          <w:lang w:val="en-US"/>
        </w:rPr>
        <w:t xml:space="preserve">ml/min/kg </w:t>
      </w:r>
      <w:r w:rsidRPr="007657AD">
        <w:rPr>
          <w:rFonts w:eastAsia="Times New Roman" w:cs="Arial"/>
          <w:color w:val="000000"/>
          <w:lang w:eastAsia="bg-BG"/>
        </w:rPr>
        <w:t>и показва, че леветирацетам се отделя чрез гломерулна филтрация с последваща тубулна реабсорбция, и че първичният метаболит също се отделя чрез активна тубулна секреция в допълнение на гломерулната филтрация.</w:t>
      </w:r>
    </w:p>
    <w:p w14:paraId="5C61D3C7"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Отделянето на леветирацетам съответства на креатининовия клирънс.</w:t>
      </w:r>
    </w:p>
    <w:p w14:paraId="7B2A7CBB" w14:textId="77777777" w:rsidR="007657AD" w:rsidRPr="007657AD" w:rsidRDefault="007657AD" w:rsidP="007657AD">
      <w:pPr>
        <w:spacing w:line="240" w:lineRule="auto"/>
        <w:rPr>
          <w:rFonts w:eastAsia="Times New Roman" w:cs="Arial"/>
          <w:color w:val="000000"/>
          <w:lang w:eastAsia="bg-BG"/>
        </w:rPr>
      </w:pPr>
    </w:p>
    <w:p w14:paraId="30066BEF" w14:textId="50DE4C85"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Старческа възраст</w:t>
      </w:r>
    </w:p>
    <w:p w14:paraId="01678638"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При пациенти в старческа възраст полуживотьт е увеличен с около 40% (10 до 11 часа). Това е свързано с намаляване на бъбречната функция при тази популация (вж. точка 4.2).</w:t>
      </w:r>
    </w:p>
    <w:p w14:paraId="09F667C3" w14:textId="77777777" w:rsidR="007657AD" w:rsidRPr="007657AD" w:rsidRDefault="007657AD" w:rsidP="007657AD">
      <w:pPr>
        <w:spacing w:line="240" w:lineRule="auto"/>
        <w:rPr>
          <w:rFonts w:eastAsia="Times New Roman" w:cs="Arial"/>
          <w:color w:val="000000"/>
          <w:u w:val="single"/>
          <w:lang w:eastAsia="bg-BG"/>
        </w:rPr>
      </w:pPr>
    </w:p>
    <w:p w14:paraId="7B94D660" w14:textId="6FDCF02A" w:rsidR="007657AD" w:rsidRPr="007657AD" w:rsidRDefault="007657AD" w:rsidP="007657AD">
      <w:pPr>
        <w:spacing w:line="240" w:lineRule="auto"/>
        <w:rPr>
          <w:rFonts w:eastAsia="Times New Roman" w:cs="Arial"/>
          <w:color w:val="000000"/>
          <w:u w:val="single"/>
          <w:lang w:eastAsia="bg-BG"/>
        </w:rPr>
      </w:pPr>
      <w:r w:rsidRPr="007657AD">
        <w:rPr>
          <w:rFonts w:eastAsia="Times New Roman" w:cs="Arial"/>
          <w:color w:val="000000"/>
          <w:u w:val="single"/>
          <w:lang w:eastAsia="bg-BG"/>
        </w:rPr>
        <w:lastRenderedPageBreak/>
        <w:t>Бъбречно увреждане</w:t>
      </w:r>
    </w:p>
    <w:p w14:paraId="3B4C2381" w14:textId="77777777" w:rsidR="007657AD" w:rsidRPr="007657AD" w:rsidRDefault="007657AD" w:rsidP="007657AD">
      <w:pPr>
        <w:rPr>
          <w:rFonts w:eastAsia="Times New Roman" w:cs="Arial"/>
          <w:lang w:eastAsia="bg-BG"/>
        </w:rPr>
      </w:pPr>
      <w:r w:rsidRPr="007657AD">
        <w:rPr>
          <w:rFonts w:eastAsia="Times New Roman" w:cs="Arial"/>
          <w:color w:val="000000"/>
          <w:lang w:eastAsia="bg-BG"/>
        </w:rPr>
        <w:t>Привидният телесен клирънс на леветирацетам и неговия първичен метаболит</w:t>
      </w:r>
      <w:r w:rsidRPr="007657AD">
        <w:rPr>
          <w:rFonts w:eastAsia="Times New Roman" w:cs="Arial"/>
          <w:color w:val="000000"/>
          <w:lang w:val="en-US"/>
        </w:rPr>
        <w:t xml:space="preserve"> </w:t>
      </w:r>
      <w:r w:rsidRPr="007657AD">
        <w:rPr>
          <w:rFonts w:eastAsia="Times New Roman" w:cs="Arial"/>
          <w:color w:val="000000"/>
          <w:lang w:eastAsia="bg-BG"/>
        </w:rPr>
        <w:t>корелира с креатининовия клирънс. Ето защо се препоръчва адаптиране на поддържащата дневна доза на</w:t>
      </w:r>
      <w:r w:rsidRPr="007657AD">
        <w:rPr>
          <w:rFonts w:eastAsia="Times New Roman" w:cs="Arial"/>
          <w:color w:val="000000"/>
          <w:lang w:eastAsia="bg-BG"/>
        </w:rPr>
        <w:t xml:space="preserve"> </w:t>
      </w:r>
      <w:r w:rsidRPr="007657AD">
        <w:rPr>
          <w:rFonts w:eastAsia="Times New Roman" w:cs="Arial"/>
          <w:color w:val="000000"/>
          <w:lang w:eastAsia="bg-BG"/>
        </w:rPr>
        <w:t>Репитенд на базата на креатининовия клирънс при пациенти с умерено до тежко бъбречно увреждане (вж. точка 4.2).</w:t>
      </w:r>
    </w:p>
    <w:p w14:paraId="680BDF64" w14:textId="77777777" w:rsidR="007657AD" w:rsidRPr="007657AD" w:rsidRDefault="007657AD" w:rsidP="007657AD">
      <w:pPr>
        <w:spacing w:line="240" w:lineRule="auto"/>
        <w:rPr>
          <w:rFonts w:eastAsia="Times New Roman" w:cs="Arial"/>
          <w:color w:val="000000"/>
          <w:lang w:eastAsia="bg-BG"/>
        </w:rPr>
      </w:pPr>
    </w:p>
    <w:p w14:paraId="72FAE5ED" w14:textId="3C4CC41A"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При пациенти в краен стадий на бъбречна недостатъчност с анурия, полуживотът е приблизително 25 и 3,1</w:t>
      </w:r>
      <w:r w:rsidRPr="007657AD">
        <w:rPr>
          <w:rFonts w:eastAsia="Times New Roman" w:cs="Arial"/>
          <w:color w:val="000000"/>
          <w:lang w:val="en-US"/>
        </w:rPr>
        <w:t xml:space="preserve"> </w:t>
      </w:r>
      <w:r w:rsidRPr="007657AD">
        <w:rPr>
          <w:rFonts w:eastAsia="Times New Roman" w:cs="Arial"/>
          <w:color w:val="000000"/>
          <w:lang w:eastAsia="bg-BG"/>
        </w:rPr>
        <w:t>часа, съответно през интердиализния и интрадиализния период. По време на обичайната 4-ри часова диализна процедура фракционно се отделят 51 % от леветирацетам.</w:t>
      </w:r>
    </w:p>
    <w:p w14:paraId="6C423448" w14:textId="77777777" w:rsidR="007657AD" w:rsidRPr="007657AD" w:rsidRDefault="007657AD" w:rsidP="007657AD">
      <w:pPr>
        <w:spacing w:line="240" w:lineRule="auto"/>
        <w:rPr>
          <w:rFonts w:eastAsia="Times New Roman" w:cs="Arial"/>
          <w:color w:val="000000"/>
          <w:u w:val="single"/>
          <w:lang w:eastAsia="bg-BG"/>
        </w:rPr>
      </w:pPr>
    </w:p>
    <w:p w14:paraId="1E539BAD" w14:textId="2A85DB7E" w:rsidR="007657AD" w:rsidRPr="007657AD" w:rsidRDefault="007657AD" w:rsidP="007657AD">
      <w:pPr>
        <w:spacing w:line="240" w:lineRule="auto"/>
        <w:rPr>
          <w:rFonts w:eastAsia="Times New Roman" w:cs="Arial"/>
          <w:lang w:eastAsia="bg-BG"/>
        </w:rPr>
      </w:pPr>
      <w:r w:rsidRPr="007657AD">
        <w:rPr>
          <w:rFonts w:eastAsia="Times New Roman" w:cs="Arial"/>
          <w:color w:val="000000"/>
          <w:u w:val="single"/>
          <w:lang w:eastAsia="bg-BG"/>
        </w:rPr>
        <w:t>Чернодробно увреждане</w:t>
      </w:r>
    </w:p>
    <w:p w14:paraId="088808F4"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При пациенти с лека до умерена степен на чернодробно увреждане не се наблюдава значителна промяна в клирънса на леветирацетам. При повечето пациенти с тежка степен на чернодробно увреждане клирънсът на леветирацетам е намален с повече от 50% поради съпътстващо бъбречно увреждане (вж. точка 4.2).</w:t>
      </w:r>
    </w:p>
    <w:p w14:paraId="515DAFEA" w14:textId="77777777" w:rsidR="007657AD" w:rsidRPr="007657AD" w:rsidRDefault="007657AD" w:rsidP="007657AD">
      <w:pPr>
        <w:spacing w:line="240" w:lineRule="auto"/>
        <w:rPr>
          <w:rFonts w:eastAsia="Times New Roman" w:cs="Arial"/>
          <w:color w:val="000000"/>
          <w:u w:val="single"/>
          <w:lang w:eastAsia="bg-BG"/>
        </w:rPr>
      </w:pPr>
    </w:p>
    <w:p w14:paraId="65CC2898" w14:textId="4254FC3E" w:rsidR="007657AD" w:rsidRPr="007657AD" w:rsidRDefault="007657AD" w:rsidP="007657AD">
      <w:pPr>
        <w:spacing w:line="240" w:lineRule="auto"/>
        <w:rPr>
          <w:rFonts w:eastAsia="Times New Roman" w:cs="Arial"/>
          <w:lang w:eastAsia="bg-BG"/>
        </w:rPr>
      </w:pPr>
      <w:r w:rsidRPr="007657AD">
        <w:rPr>
          <w:rFonts w:eastAsia="Times New Roman" w:cs="Arial"/>
          <w:color w:val="000000"/>
          <w:u w:val="single"/>
          <w:lang w:eastAsia="bg-BG"/>
        </w:rPr>
        <w:t>Педиатрична популация</w:t>
      </w:r>
    </w:p>
    <w:p w14:paraId="2522C7BA" w14:textId="77777777" w:rsidR="007657AD" w:rsidRPr="007657AD" w:rsidRDefault="007657AD" w:rsidP="007657AD">
      <w:pPr>
        <w:spacing w:line="240" w:lineRule="auto"/>
        <w:rPr>
          <w:rFonts w:eastAsia="Times New Roman" w:cs="Arial"/>
          <w:color w:val="000000"/>
          <w:u w:val="single"/>
          <w:lang w:eastAsia="bg-BG"/>
        </w:rPr>
      </w:pPr>
    </w:p>
    <w:p w14:paraId="643E32A6" w14:textId="42DCA13F" w:rsidR="007657AD" w:rsidRPr="007657AD" w:rsidRDefault="007657AD" w:rsidP="007657AD">
      <w:pPr>
        <w:spacing w:line="240" w:lineRule="auto"/>
        <w:rPr>
          <w:rFonts w:eastAsia="Times New Roman" w:cs="Arial"/>
          <w:lang w:eastAsia="bg-BG"/>
        </w:rPr>
      </w:pPr>
      <w:r w:rsidRPr="007657AD">
        <w:rPr>
          <w:rFonts w:eastAsia="Times New Roman" w:cs="Arial"/>
          <w:color w:val="000000"/>
          <w:u w:val="single"/>
          <w:lang w:eastAsia="bg-BG"/>
        </w:rPr>
        <w:t>Деца (4 до 12 години)</w:t>
      </w:r>
    </w:p>
    <w:p w14:paraId="4129E591"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 xml:space="preserve">След приемане на единична доза (20 </w:t>
      </w:r>
      <w:r w:rsidRPr="007657AD">
        <w:rPr>
          <w:rFonts w:eastAsia="Times New Roman" w:cs="Arial"/>
          <w:color w:val="000000"/>
          <w:lang w:val="en-US"/>
        </w:rPr>
        <w:t xml:space="preserve">mg/kg) </w:t>
      </w:r>
      <w:r w:rsidRPr="007657AD">
        <w:rPr>
          <w:rFonts w:eastAsia="Times New Roman" w:cs="Arial"/>
          <w:color w:val="000000"/>
          <w:lang w:eastAsia="bg-BG"/>
        </w:rPr>
        <w:t>от деца (6-12 години) с епилепсия, полуживотът на леветирацетам е 6,0 часа. Привидният коригиран към телесното тегло клирънс е приблизително с 30% по-висок от този при възрастни с епилепсия.</w:t>
      </w:r>
    </w:p>
    <w:p w14:paraId="3455338D" w14:textId="77777777" w:rsidR="007657AD" w:rsidRPr="007657AD" w:rsidRDefault="007657AD" w:rsidP="007657AD">
      <w:pPr>
        <w:spacing w:line="240" w:lineRule="auto"/>
        <w:rPr>
          <w:rFonts w:eastAsia="Times New Roman" w:cs="Arial"/>
          <w:color w:val="000000"/>
          <w:lang w:eastAsia="bg-BG"/>
        </w:rPr>
      </w:pPr>
    </w:p>
    <w:p w14:paraId="7F58CEA7" w14:textId="1232723C"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 xml:space="preserve">След многократно перорално приложение (20 до 60 </w:t>
      </w:r>
      <w:r w:rsidRPr="007657AD">
        <w:rPr>
          <w:rFonts w:eastAsia="Times New Roman" w:cs="Arial"/>
          <w:color w:val="000000"/>
          <w:lang w:val="en-US"/>
        </w:rPr>
        <w:t>mg/kg</w:t>
      </w:r>
      <w:r w:rsidRPr="007657AD">
        <w:rPr>
          <w:rFonts w:eastAsia="Times New Roman" w:cs="Arial"/>
          <w:color w:val="000000"/>
          <w:lang w:eastAsia="bg-BG"/>
        </w:rPr>
        <w:t xml:space="preserve">/дневно) при деца с епилепсия (4-12 години), леветирацетам се абсорбира бързо. Пикови плазмени концентрации се достигат 0,5 до 1,0 час след приема. Наблюдавано е линейно и пропорционално на дозата повишаване за пиковите плазмени концентрации и площта под кривата. Елиминационният полуживот е около 5 часа. Привидният телесен клирънс е 1,1 </w:t>
      </w:r>
      <w:r w:rsidRPr="007657AD">
        <w:rPr>
          <w:rFonts w:eastAsia="Times New Roman" w:cs="Arial"/>
          <w:color w:val="000000"/>
          <w:lang w:val="en-US"/>
        </w:rPr>
        <w:t>ml/min/kg.</w:t>
      </w:r>
    </w:p>
    <w:p w14:paraId="0A21A96A" w14:textId="77777777" w:rsidR="007657AD" w:rsidRPr="007657AD" w:rsidRDefault="007657AD" w:rsidP="007657AD">
      <w:pPr>
        <w:spacing w:line="240" w:lineRule="auto"/>
        <w:rPr>
          <w:rFonts w:eastAsia="Times New Roman" w:cs="Arial"/>
          <w:color w:val="000000"/>
          <w:u w:val="single"/>
          <w:lang w:eastAsia="bg-BG"/>
        </w:rPr>
      </w:pPr>
    </w:p>
    <w:p w14:paraId="0CFCDADA" w14:textId="43A77433" w:rsidR="007657AD" w:rsidRPr="007657AD" w:rsidRDefault="007657AD" w:rsidP="007657AD">
      <w:pPr>
        <w:spacing w:line="240" w:lineRule="auto"/>
        <w:rPr>
          <w:rFonts w:eastAsia="Times New Roman" w:cs="Arial"/>
          <w:lang w:eastAsia="bg-BG"/>
        </w:rPr>
      </w:pPr>
      <w:r w:rsidRPr="007657AD">
        <w:rPr>
          <w:rFonts w:eastAsia="Times New Roman" w:cs="Arial"/>
          <w:color w:val="000000"/>
          <w:u w:val="single"/>
          <w:lang w:eastAsia="bg-BG"/>
        </w:rPr>
        <w:t>Кърмачета и деца (от 1 месец до 4 години)</w:t>
      </w:r>
    </w:p>
    <w:p w14:paraId="5B648C2D" w14:textId="77777777"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 xml:space="preserve">След прилагането на единична доза (20 </w:t>
      </w:r>
      <w:r w:rsidRPr="007657AD">
        <w:rPr>
          <w:rFonts w:eastAsia="Times New Roman" w:cs="Arial"/>
          <w:color w:val="000000"/>
          <w:lang w:val="en-US"/>
        </w:rPr>
        <w:t xml:space="preserve">mg/kg) </w:t>
      </w:r>
      <w:r w:rsidRPr="007657AD">
        <w:rPr>
          <w:rFonts w:eastAsia="Times New Roman" w:cs="Arial"/>
          <w:color w:val="000000"/>
          <w:lang w:eastAsia="bg-BG"/>
        </w:rPr>
        <w:t xml:space="preserve">на 100 </w:t>
      </w:r>
      <w:r w:rsidRPr="007657AD">
        <w:rPr>
          <w:rFonts w:eastAsia="Times New Roman" w:cs="Arial"/>
          <w:color w:val="000000"/>
          <w:lang w:val="en-US"/>
        </w:rPr>
        <w:t xml:space="preserve">mg/ml </w:t>
      </w:r>
      <w:r w:rsidRPr="007657AD">
        <w:rPr>
          <w:rFonts w:eastAsia="Times New Roman" w:cs="Arial"/>
          <w:color w:val="000000"/>
          <w:lang w:eastAsia="bg-BG"/>
        </w:rPr>
        <w:t xml:space="preserve">перорален разтвор при деца (от 1 месец до 4 години) с епилепсия, леветирацетам се абсорбира бързо, като пикови плазмени концентрации се достигат 1 час след приема. Фармакокинетичните резултати показват, че полуживотът е по-кратък (5,3 часа), в сравнение с това при възрастни (7,2 часа), а привидният телесен клирънс е по-бърз (1,5 </w:t>
      </w:r>
      <w:r w:rsidRPr="007657AD">
        <w:rPr>
          <w:rFonts w:eastAsia="Times New Roman" w:cs="Arial"/>
          <w:color w:val="000000"/>
          <w:lang w:val="en-US"/>
        </w:rPr>
        <w:t xml:space="preserve">ml/min/kg), </w:t>
      </w:r>
      <w:r w:rsidRPr="007657AD">
        <w:rPr>
          <w:rFonts w:eastAsia="Times New Roman" w:cs="Arial"/>
          <w:color w:val="000000"/>
          <w:lang w:eastAsia="bg-BG"/>
        </w:rPr>
        <w:t xml:space="preserve">в сравнение с този при възрастни (0,96 </w:t>
      </w:r>
      <w:r w:rsidRPr="007657AD">
        <w:rPr>
          <w:rFonts w:eastAsia="Times New Roman" w:cs="Arial"/>
          <w:color w:val="000000"/>
          <w:lang w:val="en-US"/>
        </w:rPr>
        <w:t>ml/min/kg).</w:t>
      </w:r>
    </w:p>
    <w:p w14:paraId="17195067" w14:textId="77777777" w:rsidR="007657AD" w:rsidRPr="007657AD" w:rsidRDefault="007657AD" w:rsidP="007657AD">
      <w:pPr>
        <w:spacing w:line="240" w:lineRule="auto"/>
        <w:rPr>
          <w:rFonts w:eastAsia="Times New Roman" w:cs="Arial"/>
          <w:color w:val="000000"/>
          <w:lang w:eastAsia="bg-BG"/>
        </w:rPr>
      </w:pPr>
    </w:p>
    <w:p w14:paraId="3B626FEB" w14:textId="486CF5AA"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В популационния фармакокинетичен анализ, проведен при пациенти от 1-месечна до 16- годишна възраст, телесното тегло е значимо свързано с привидния клирънс (клирънсът се повишава с повишаването на телесното тегло) и привидния обем на разпределение. Възрастта също влияе върху двата параметъра. Този ефект е по-изразен при по-малките кърмачета и намалява при увеличение на възрастта, като става незначителен около 4-годишна възраст.</w:t>
      </w:r>
    </w:p>
    <w:p w14:paraId="27ECC421" w14:textId="77777777" w:rsidR="007657AD" w:rsidRPr="007657AD" w:rsidRDefault="007657AD" w:rsidP="007657AD">
      <w:pPr>
        <w:spacing w:line="240" w:lineRule="auto"/>
        <w:rPr>
          <w:rFonts w:eastAsia="Times New Roman" w:cs="Arial"/>
          <w:color w:val="000000"/>
          <w:lang w:eastAsia="bg-BG"/>
        </w:rPr>
      </w:pPr>
    </w:p>
    <w:p w14:paraId="4A6C4E7B" w14:textId="412E4A7F" w:rsidR="007657AD" w:rsidRPr="007657AD" w:rsidRDefault="007657AD" w:rsidP="007657AD">
      <w:pPr>
        <w:spacing w:line="240" w:lineRule="auto"/>
        <w:rPr>
          <w:rFonts w:eastAsia="Times New Roman" w:cs="Arial"/>
          <w:lang w:eastAsia="bg-BG"/>
        </w:rPr>
      </w:pPr>
      <w:r w:rsidRPr="007657AD">
        <w:rPr>
          <w:rFonts w:eastAsia="Times New Roman" w:cs="Arial"/>
          <w:color w:val="000000"/>
          <w:lang w:eastAsia="bg-BG"/>
        </w:rPr>
        <w:t>В двата популационни фармакокинетични анализа се наблюдава около 20% нарастване на привидният клирънс на леветирацетам, когато се прилага съвместно с ензим-индуциращи антиепилептични лекарства.</w:t>
      </w:r>
    </w:p>
    <w:p w14:paraId="5F19EE45" w14:textId="380BA2CB" w:rsidR="007657AD" w:rsidRPr="007657AD" w:rsidRDefault="007657AD" w:rsidP="007657AD"/>
    <w:p w14:paraId="4F31844C" w14:textId="4D0F3FAA" w:rsidR="00875EEC" w:rsidRDefault="002C50EE" w:rsidP="005726E3">
      <w:pPr>
        <w:pStyle w:val="Heading2"/>
      </w:pPr>
      <w:r>
        <w:lastRenderedPageBreak/>
        <w:t>5.3. Предклинични данни за безопасност</w:t>
      </w:r>
    </w:p>
    <w:p w14:paraId="5D0A43EF" w14:textId="6DDD063B" w:rsidR="007657AD" w:rsidRDefault="007657AD" w:rsidP="007657AD"/>
    <w:p w14:paraId="3A44BCC8"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Неклиничните данни не показват особен риск за хората на базата на конвенционалните фармакологични изпитвания за безопасност, генотоксичност и карциногенност.</w:t>
      </w:r>
    </w:p>
    <w:p w14:paraId="5345008A" w14:textId="3549F11B" w:rsidR="007657AD" w:rsidRPr="007657AD" w:rsidRDefault="007657AD" w:rsidP="007657AD">
      <w:pPr>
        <w:rPr>
          <w:rFonts w:eastAsia="Times New Roman" w:cs="Arial"/>
          <w:color w:val="000000"/>
          <w:lang w:eastAsia="bg-BG"/>
        </w:rPr>
      </w:pPr>
      <w:r w:rsidRPr="007657AD">
        <w:rPr>
          <w:rFonts w:eastAsia="Times New Roman" w:cs="Arial"/>
          <w:color w:val="000000"/>
          <w:lang w:eastAsia="bg-BG"/>
        </w:rPr>
        <w:t>Нежелани ефекти, които не са наблюдавани по време на клиничните проучвания, но установени при плъхове и в по-малка степен при мишки, при нива на прилагане подобни на тези при човека и с възможна връзка с клиничната употреба, са чернодробните промени, показващи адаптивния отговор, като нарастване на теглото и центрилобуларна хипертрофия, мастна инфилтрация и повишаване на чернодробните ензими в плазмата.</w:t>
      </w:r>
    </w:p>
    <w:p w14:paraId="70B36CF3" w14:textId="2E67A5CF" w:rsidR="007657AD" w:rsidRPr="007657AD" w:rsidRDefault="007657AD" w:rsidP="007657AD">
      <w:pPr>
        <w:rPr>
          <w:rFonts w:eastAsia="Times New Roman" w:cs="Arial"/>
          <w:color w:val="000000"/>
          <w:lang w:eastAsia="bg-BG"/>
        </w:rPr>
      </w:pPr>
    </w:p>
    <w:p w14:paraId="5265FF53" w14:textId="7777777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 xml:space="preserve">Не са наблюдавани нежелани ефекти върху мъжкия и женски фертилитет или репродукционната способност при плъхове при дози до 1800 </w:t>
      </w:r>
      <w:r w:rsidRPr="007657AD">
        <w:rPr>
          <w:rFonts w:eastAsia="Times New Roman" w:cs="Arial"/>
          <w:color w:val="000000"/>
          <w:lang w:val="en-US"/>
        </w:rPr>
        <w:t>mg/kg</w:t>
      </w:r>
      <w:r w:rsidRPr="007657AD">
        <w:rPr>
          <w:rFonts w:eastAsia="Times New Roman" w:cs="Arial"/>
          <w:color w:val="000000"/>
          <w:lang w:eastAsia="bg-BG"/>
        </w:rPr>
        <w:t xml:space="preserve">/ден (х 6 МПДХ на </w:t>
      </w:r>
      <w:r w:rsidRPr="007657AD">
        <w:rPr>
          <w:rFonts w:eastAsia="Times New Roman" w:cs="Arial"/>
          <w:color w:val="000000"/>
          <w:lang w:val="en-US"/>
        </w:rPr>
        <w:t>mg/m</w:t>
      </w:r>
      <w:r w:rsidRPr="007657AD">
        <w:rPr>
          <w:rFonts w:eastAsia="Times New Roman" w:cs="Arial"/>
          <w:color w:val="000000"/>
          <w:vertAlign w:val="superscript"/>
          <w:lang w:val="en-US"/>
        </w:rPr>
        <w:t xml:space="preserve">2 </w:t>
      </w:r>
      <w:r w:rsidRPr="007657AD">
        <w:rPr>
          <w:rFonts w:eastAsia="Times New Roman" w:cs="Arial"/>
          <w:color w:val="000000"/>
          <w:lang w:eastAsia="bg-BG"/>
        </w:rPr>
        <w:t xml:space="preserve">или базата на експозицията) при родителите и </w:t>
      </w:r>
      <w:r w:rsidRPr="007657AD">
        <w:rPr>
          <w:rFonts w:eastAsia="Times New Roman" w:cs="Arial"/>
          <w:color w:val="000000"/>
          <w:lang w:val="en-US"/>
        </w:rPr>
        <w:t xml:space="preserve">F1 </w:t>
      </w:r>
      <w:r w:rsidRPr="007657AD">
        <w:rPr>
          <w:rFonts w:eastAsia="Times New Roman" w:cs="Arial"/>
          <w:color w:val="000000"/>
          <w:lang w:eastAsia="bg-BG"/>
        </w:rPr>
        <w:t>поколение.</w:t>
      </w:r>
    </w:p>
    <w:p w14:paraId="1C40A0CD" w14:textId="77777777" w:rsidR="007657AD" w:rsidRPr="007657AD" w:rsidRDefault="007657AD" w:rsidP="007657AD">
      <w:pPr>
        <w:spacing w:line="240" w:lineRule="auto"/>
        <w:rPr>
          <w:rFonts w:eastAsia="Times New Roman" w:cs="Arial"/>
          <w:color w:val="000000"/>
          <w:lang w:eastAsia="bg-BG"/>
        </w:rPr>
      </w:pPr>
    </w:p>
    <w:p w14:paraId="2E00F53C" w14:textId="14765FA9"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 xml:space="preserve">Проведени са две ембрио-фетални проучвания върху развитието </w:t>
      </w:r>
      <w:r w:rsidRPr="007657AD">
        <w:rPr>
          <w:rFonts w:eastAsia="Times New Roman" w:cs="Arial"/>
          <w:color w:val="000000"/>
          <w:lang w:val="en-US"/>
        </w:rPr>
        <w:t xml:space="preserve">(EFD) </w:t>
      </w:r>
      <w:r w:rsidRPr="007657AD">
        <w:rPr>
          <w:rFonts w:eastAsia="Times New Roman" w:cs="Arial"/>
          <w:color w:val="000000"/>
          <w:lang w:eastAsia="bg-BG"/>
        </w:rPr>
        <w:t xml:space="preserve">при плъхове с 400, 1200 и 3600 </w:t>
      </w:r>
      <w:r w:rsidRPr="007657AD">
        <w:rPr>
          <w:rFonts w:eastAsia="Times New Roman" w:cs="Arial"/>
          <w:color w:val="000000"/>
          <w:lang w:val="en-US"/>
        </w:rPr>
        <w:t>mg/kg</w:t>
      </w:r>
      <w:r w:rsidRPr="007657AD">
        <w:rPr>
          <w:rFonts w:eastAsia="Times New Roman" w:cs="Arial"/>
          <w:color w:val="000000"/>
          <w:lang w:eastAsia="bg-BG"/>
        </w:rPr>
        <w:t xml:space="preserve">/ден. При 3600 </w:t>
      </w:r>
      <w:r w:rsidRPr="007657AD">
        <w:rPr>
          <w:rFonts w:eastAsia="Times New Roman" w:cs="Arial"/>
          <w:color w:val="000000"/>
          <w:lang w:val="en-US"/>
        </w:rPr>
        <w:t>mg/kg</w:t>
      </w:r>
      <w:r w:rsidRPr="007657AD">
        <w:rPr>
          <w:rFonts w:eastAsia="Times New Roman" w:cs="Arial"/>
          <w:color w:val="000000"/>
          <w:lang w:eastAsia="bg-BG"/>
        </w:rPr>
        <w:t xml:space="preserve">/ден при само едно от 2 </w:t>
      </w:r>
      <w:r w:rsidRPr="007657AD">
        <w:rPr>
          <w:rFonts w:eastAsia="Times New Roman" w:cs="Arial"/>
          <w:color w:val="000000"/>
          <w:lang w:val="en-US"/>
        </w:rPr>
        <w:t xml:space="preserve">EFD </w:t>
      </w:r>
      <w:r w:rsidRPr="007657AD">
        <w:rPr>
          <w:rFonts w:eastAsia="Times New Roman" w:cs="Arial"/>
          <w:color w:val="000000"/>
          <w:lang w:eastAsia="bg-BG"/>
        </w:rPr>
        <w:t xml:space="preserve">проучвания е имало слабо намаление на теглото на плода, свързано с гранично повишение на промени/малки аномалии. Липсва ефект върху смъртността на ембрионите и не се наблюдава повишение на честотата на малформациите. </w:t>
      </w:r>
      <w:r w:rsidRPr="007657AD">
        <w:rPr>
          <w:rFonts w:eastAsia="Times New Roman" w:cs="Arial"/>
          <w:color w:val="000000"/>
          <w:lang w:val="en-US"/>
        </w:rPr>
        <w:t xml:space="preserve">NOAEL </w:t>
      </w:r>
      <w:r w:rsidRPr="007657AD">
        <w:rPr>
          <w:rFonts w:eastAsia="Times New Roman" w:cs="Arial"/>
          <w:color w:val="000000"/>
          <w:lang w:eastAsia="bg-BG"/>
        </w:rPr>
        <w:t xml:space="preserve">(Ниво на ненаблюдавани нежелани реакции) е 3600 </w:t>
      </w:r>
      <w:r w:rsidRPr="007657AD">
        <w:rPr>
          <w:rFonts w:eastAsia="Times New Roman" w:cs="Arial"/>
          <w:color w:val="000000"/>
          <w:lang w:val="en-US"/>
        </w:rPr>
        <w:t>mg/kg</w:t>
      </w:r>
      <w:r w:rsidRPr="007657AD">
        <w:rPr>
          <w:rFonts w:eastAsia="Times New Roman" w:cs="Arial"/>
          <w:color w:val="000000"/>
          <w:lang w:eastAsia="bg-BG"/>
        </w:rPr>
        <w:t xml:space="preserve">/ден при бременни женски плъхове (х 12 максималната препоръчана дневна доза при хора МПДХ, на </w:t>
      </w:r>
      <w:r w:rsidRPr="007657AD">
        <w:rPr>
          <w:rFonts w:eastAsia="Times New Roman" w:cs="Arial"/>
          <w:color w:val="000000"/>
          <w:lang w:val="en-US"/>
        </w:rPr>
        <w:t xml:space="preserve">mg/m2 </w:t>
      </w:r>
      <w:r w:rsidRPr="007657AD">
        <w:rPr>
          <w:rFonts w:eastAsia="Times New Roman" w:cs="Arial"/>
          <w:color w:val="000000"/>
          <w:lang w:eastAsia="bg-BG"/>
        </w:rPr>
        <w:t xml:space="preserve">база) и 1200 </w:t>
      </w:r>
      <w:r w:rsidRPr="007657AD">
        <w:rPr>
          <w:rFonts w:eastAsia="Times New Roman" w:cs="Arial"/>
          <w:color w:val="000000"/>
          <w:lang w:val="en-US"/>
        </w:rPr>
        <w:t>mg/kg</w:t>
      </w:r>
      <w:r w:rsidRPr="007657AD">
        <w:rPr>
          <w:rFonts w:eastAsia="Times New Roman" w:cs="Arial"/>
          <w:color w:val="000000"/>
          <w:lang w:eastAsia="bg-BG"/>
        </w:rPr>
        <w:t>/ден за плодовете.</w:t>
      </w:r>
    </w:p>
    <w:p w14:paraId="551AAE7D" w14:textId="77777777" w:rsidR="007657AD" w:rsidRPr="007657AD" w:rsidRDefault="007657AD" w:rsidP="007657AD">
      <w:pPr>
        <w:spacing w:line="240" w:lineRule="auto"/>
        <w:rPr>
          <w:rFonts w:eastAsia="Times New Roman" w:cs="Arial"/>
          <w:color w:val="000000"/>
          <w:lang w:eastAsia="bg-BG"/>
        </w:rPr>
      </w:pPr>
    </w:p>
    <w:p w14:paraId="75CCCFB7" w14:textId="376FBFB7"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 xml:space="preserve">Проведени са четири проучвания върху ембрио-феталното развитие при зайци, включващи дози от 200, 400, 800, 1200 и 1800 </w:t>
      </w:r>
      <w:r w:rsidRPr="007657AD">
        <w:rPr>
          <w:rFonts w:eastAsia="Times New Roman" w:cs="Arial"/>
          <w:color w:val="000000"/>
          <w:lang w:val="en-US"/>
        </w:rPr>
        <w:t>mg/kg</w:t>
      </w:r>
      <w:r w:rsidRPr="007657AD">
        <w:rPr>
          <w:rFonts w:eastAsia="Times New Roman" w:cs="Arial"/>
          <w:color w:val="000000"/>
          <w:lang w:eastAsia="bg-BG"/>
        </w:rPr>
        <w:t xml:space="preserve">/ден. Дозата от 1800 </w:t>
      </w:r>
      <w:r w:rsidRPr="007657AD">
        <w:rPr>
          <w:rFonts w:eastAsia="Times New Roman" w:cs="Arial"/>
          <w:color w:val="000000"/>
          <w:lang w:val="en-US"/>
        </w:rPr>
        <w:t>mg/kg</w:t>
      </w:r>
      <w:r w:rsidRPr="007657AD">
        <w:rPr>
          <w:rFonts w:eastAsia="Times New Roman" w:cs="Arial"/>
          <w:color w:val="000000"/>
          <w:lang w:eastAsia="bg-BG"/>
        </w:rPr>
        <w:t xml:space="preserve">/ден е довела до забележима токсичност при майката и намаление на теглото на плода, свързано с повишен риск от развитието на плод със сърдечно-съдови/скелетни аномалии. </w:t>
      </w:r>
      <w:r w:rsidRPr="007657AD">
        <w:rPr>
          <w:rFonts w:eastAsia="Times New Roman" w:cs="Arial"/>
          <w:color w:val="000000"/>
          <w:lang w:val="en-US"/>
        </w:rPr>
        <w:t xml:space="preserve">NOAEL </w:t>
      </w:r>
      <w:r w:rsidRPr="007657AD">
        <w:rPr>
          <w:rFonts w:eastAsia="Times New Roman" w:cs="Arial"/>
          <w:color w:val="000000"/>
          <w:lang w:eastAsia="bg-BG"/>
        </w:rPr>
        <w:t xml:space="preserve">е &lt;200 </w:t>
      </w:r>
      <w:r w:rsidRPr="007657AD">
        <w:rPr>
          <w:rFonts w:eastAsia="Times New Roman" w:cs="Arial"/>
          <w:color w:val="000000"/>
          <w:lang w:val="en-US"/>
        </w:rPr>
        <w:t>mg/kg</w:t>
      </w:r>
      <w:r w:rsidRPr="007657AD">
        <w:rPr>
          <w:rFonts w:eastAsia="Times New Roman" w:cs="Arial"/>
          <w:color w:val="000000"/>
          <w:lang w:eastAsia="bg-BG"/>
        </w:rPr>
        <w:t xml:space="preserve">/ден при майката и 200 </w:t>
      </w:r>
      <w:r w:rsidRPr="007657AD">
        <w:rPr>
          <w:rFonts w:eastAsia="Times New Roman" w:cs="Arial"/>
          <w:color w:val="000000"/>
          <w:lang w:val="en-US"/>
        </w:rPr>
        <w:t>mg/kg</w:t>
      </w:r>
      <w:r w:rsidRPr="007657AD">
        <w:rPr>
          <w:rFonts w:eastAsia="Times New Roman" w:cs="Arial"/>
          <w:color w:val="000000"/>
          <w:lang w:eastAsia="bg-BG"/>
        </w:rPr>
        <w:t xml:space="preserve">/ден при плода (еквивалентно на на МПДХ на </w:t>
      </w:r>
      <w:r w:rsidRPr="007657AD">
        <w:rPr>
          <w:rFonts w:eastAsia="Times New Roman" w:cs="Arial"/>
          <w:color w:val="000000"/>
          <w:lang w:val="en-US"/>
        </w:rPr>
        <w:t>mg/m</w:t>
      </w:r>
      <w:r w:rsidRPr="007657AD">
        <w:rPr>
          <w:rFonts w:eastAsia="Times New Roman" w:cs="Arial"/>
          <w:color w:val="000000"/>
          <w:vertAlign w:val="superscript"/>
          <w:lang w:val="en-US"/>
        </w:rPr>
        <w:t>2</w:t>
      </w:r>
      <w:r w:rsidRPr="007657AD">
        <w:rPr>
          <w:rFonts w:eastAsia="Times New Roman" w:cs="Arial"/>
          <w:color w:val="000000"/>
          <w:lang w:val="en-US"/>
        </w:rPr>
        <w:t xml:space="preserve"> </w:t>
      </w:r>
      <w:r w:rsidRPr="007657AD">
        <w:rPr>
          <w:rFonts w:eastAsia="Times New Roman" w:cs="Arial"/>
          <w:color w:val="000000"/>
          <w:lang w:eastAsia="bg-BG"/>
        </w:rPr>
        <w:t>база).</w:t>
      </w:r>
    </w:p>
    <w:p w14:paraId="32D60282" w14:textId="77777777" w:rsidR="007657AD" w:rsidRPr="007657AD" w:rsidRDefault="007657AD" w:rsidP="007657AD">
      <w:pPr>
        <w:spacing w:line="240" w:lineRule="auto"/>
        <w:rPr>
          <w:rFonts w:eastAsia="Times New Roman" w:cs="Arial"/>
          <w:color w:val="000000"/>
          <w:lang w:eastAsia="bg-BG"/>
        </w:rPr>
      </w:pPr>
    </w:p>
    <w:p w14:paraId="4D49A647" w14:textId="76659A1B"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 xml:space="preserve">Проведено е проучване върху пери- и постнаталното развитие при плъхове с дози леветирацетам от 70, 350 и 1800 </w:t>
      </w:r>
      <w:r w:rsidRPr="007657AD">
        <w:rPr>
          <w:rFonts w:eastAsia="Times New Roman" w:cs="Arial"/>
          <w:color w:val="000000"/>
          <w:lang w:val="en-US"/>
        </w:rPr>
        <w:t>mg/kg/</w:t>
      </w:r>
      <w:r w:rsidRPr="007657AD">
        <w:rPr>
          <w:rFonts w:eastAsia="Times New Roman" w:cs="Arial"/>
          <w:color w:val="000000"/>
          <w:lang w:eastAsia="bg-BG"/>
        </w:rPr>
        <w:t xml:space="preserve">ден. </w:t>
      </w:r>
      <w:r w:rsidRPr="007657AD">
        <w:rPr>
          <w:rFonts w:eastAsia="Times New Roman" w:cs="Arial"/>
          <w:color w:val="000000"/>
          <w:lang w:val="en-US"/>
        </w:rPr>
        <w:t xml:space="preserve">NOAEL </w:t>
      </w:r>
      <w:r w:rsidRPr="007657AD">
        <w:rPr>
          <w:rFonts w:eastAsia="Times New Roman" w:cs="Arial"/>
          <w:color w:val="000000"/>
          <w:lang w:eastAsia="bg-BG"/>
        </w:rPr>
        <w:t xml:space="preserve">е ≥1800 </w:t>
      </w:r>
      <w:r w:rsidRPr="007657AD">
        <w:rPr>
          <w:rFonts w:eastAsia="Times New Roman" w:cs="Arial"/>
          <w:color w:val="000000"/>
          <w:lang w:val="en-US"/>
        </w:rPr>
        <w:t>mg/kg</w:t>
      </w:r>
      <w:r w:rsidRPr="007657AD">
        <w:rPr>
          <w:rFonts w:eastAsia="Times New Roman" w:cs="Arial"/>
          <w:color w:val="000000"/>
          <w:lang w:eastAsia="bg-BG"/>
        </w:rPr>
        <w:t xml:space="preserve">/ден за </w:t>
      </w:r>
      <w:r w:rsidRPr="007657AD">
        <w:rPr>
          <w:rFonts w:eastAsia="Times New Roman" w:cs="Arial"/>
          <w:color w:val="000000"/>
          <w:lang w:val="en-US"/>
        </w:rPr>
        <w:t xml:space="preserve">F0 </w:t>
      </w:r>
      <w:r w:rsidRPr="007657AD">
        <w:rPr>
          <w:rFonts w:eastAsia="Times New Roman" w:cs="Arial"/>
          <w:color w:val="000000"/>
          <w:lang w:eastAsia="bg-BG"/>
        </w:rPr>
        <w:t xml:space="preserve">женски и за преживаемостта, растежа и развитието на </w:t>
      </w:r>
      <w:r w:rsidRPr="007657AD">
        <w:rPr>
          <w:rFonts w:eastAsia="Times New Roman" w:cs="Arial"/>
          <w:color w:val="000000"/>
          <w:lang w:val="en-US"/>
        </w:rPr>
        <w:t xml:space="preserve">F1 </w:t>
      </w:r>
      <w:r w:rsidRPr="007657AD">
        <w:rPr>
          <w:rFonts w:eastAsia="Times New Roman" w:cs="Arial"/>
          <w:color w:val="000000"/>
          <w:lang w:eastAsia="bg-BG"/>
        </w:rPr>
        <w:t xml:space="preserve">поколение до отбиването им (х 6 МПДХ на </w:t>
      </w:r>
      <w:r w:rsidRPr="007657AD">
        <w:rPr>
          <w:rFonts w:eastAsia="Times New Roman" w:cs="Arial"/>
          <w:color w:val="000000"/>
          <w:lang w:val="en-US"/>
        </w:rPr>
        <w:t>mg/m</w:t>
      </w:r>
      <w:r w:rsidRPr="007657AD">
        <w:rPr>
          <w:rFonts w:eastAsia="Times New Roman" w:cs="Arial"/>
          <w:color w:val="000000"/>
          <w:vertAlign w:val="superscript"/>
          <w:lang w:val="en-US"/>
        </w:rPr>
        <w:t xml:space="preserve">2 </w:t>
      </w:r>
      <w:r w:rsidRPr="007657AD">
        <w:rPr>
          <w:rFonts w:eastAsia="Times New Roman" w:cs="Arial"/>
          <w:color w:val="000000"/>
          <w:lang w:eastAsia="bg-BG"/>
        </w:rPr>
        <w:t>база).</w:t>
      </w:r>
    </w:p>
    <w:p w14:paraId="2821E58B" w14:textId="77777777" w:rsidR="007657AD" w:rsidRPr="007657AD" w:rsidRDefault="007657AD" w:rsidP="007657AD">
      <w:pPr>
        <w:spacing w:line="240" w:lineRule="auto"/>
        <w:rPr>
          <w:rFonts w:eastAsia="Times New Roman" w:cs="Arial"/>
          <w:color w:val="000000"/>
          <w:lang w:eastAsia="bg-BG"/>
        </w:rPr>
      </w:pPr>
    </w:p>
    <w:p w14:paraId="1D7CC2F1" w14:textId="572B0313" w:rsidR="007657AD" w:rsidRPr="007657AD" w:rsidRDefault="007657AD" w:rsidP="007657AD">
      <w:pPr>
        <w:spacing w:line="240" w:lineRule="auto"/>
        <w:rPr>
          <w:rFonts w:eastAsia="Times New Roman" w:cs="Arial"/>
          <w:sz w:val="28"/>
          <w:szCs w:val="28"/>
          <w:lang w:eastAsia="bg-BG"/>
        </w:rPr>
      </w:pPr>
      <w:r w:rsidRPr="007657AD">
        <w:rPr>
          <w:rFonts w:eastAsia="Times New Roman" w:cs="Arial"/>
          <w:color w:val="000000"/>
          <w:lang w:eastAsia="bg-BG"/>
        </w:rPr>
        <w:t xml:space="preserve">Неонаталните и ювенилни проучвания при животни (плъхове и кучета) не показват нежелани ефекти по отношение на стандартното развитие или крайно съзряване при дози до 1800 </w:t>
      </w:r>
      <w:r w:rsidRPr="007657AD">
        <w:rPr>
          <w:rFonts w:eastAsia="Times New Roman" w:cs="Arial"/>
          <w:color w:val="000000"/>
          <w:lang w:val="en-US"/>
        </w:rPr>
        <w:t>mg/kg</w:t>
      </w:r>
      <w:r w:rsidRPr="007657AD">
        <w:rPr>
          <w:rFonts w:eastAsia="Times New Roman" w:cs="Arial"/>
          <w:color w:val="000000"/>
          <w:lang w:eastAsia="bg-BG"/>
        </w:rPr>
        <w:t xml:space="preserve">/дневно (х 6 - х 17 МПДХ на </w:t>
      </w:r>
      <w:r w:rsidRPr="007657AD">
        <w:rPr>
          <w:rFonts w:eastAsia="Times New Roman" w:cs="Arial"/>
          <w:color w:val="000000"/>
          <w:lang w:val="en-US"/>
        </w:rPr>
        <w:t>mg/m</w:t>
      </w:r>
      <w:r w:rsidRPr="007657AD">
        <w:rPr>
          <w:rFonts w:eastAsia="Times New Roman" w:cs="Arial"/>
          <w:color w:val="000000"/>
          <w:vertAlign w:val="superscript"/>
          <w:lang w:val="en-US"/>
        </w:rPr>
        <w:t>2</w:t>
      </w:r>
      <w:r w:rsidRPr="007657AD">
        <w:rPr>
          <w:rFonts w:eastAsia="Times New Roman" w:cs="Arial"/>
          <w:color w:val="000000"/>
          <w:lang w:val="en-US"/>
        </w:rPr>
        <w:t xml:space="preserve"> </w:t>
      </w:r>
      <w:r w:rsidRPr="007657AD">
        <w:rPr>
          <w:rFonts w:eastAsia="Times New Roman" w:cs="Arial"/>
          <w:color w:val="000000"/>
          <w:lang w:eastAsia="bg-BG"/>
        </w:rPr>
        <w:t>база).</w:t>
      </w:r>
    </w:p>
    <w:p w14:paraId="5950AFAB" w14:textId="77777777" w:rsidR="007657AD" w:rsidRPr="007657AD" w:rsidRDefault="007657AD" w:rsidP="007657AD"/>
    <w:p w14:paraId="357049A8" w14:textId="746E2141" w:rsidR="00BB22B4" w:rsidRDefault="002C50EE" w:rsidP="00471F10">
      <w:pPr>
        <w:pStyle w:val="Heading1"/>
      </w:pPr>
      <w:r>
        <w:t>7. ПРИТЕЖАТЕЛ НА РАЗРЕШЕНИЕТО ЗА УПОТРЕБА</w:t>
      </w:r>
    </w:p>
    <w:p w14:paraId="3FFEBF50" w14:textId="2AFE2DEA" w:rsidR="007657AD" w:rsidRDefault="007657AD" w:rsidP="007657AD"/>
    <w:p w14:paraId="69D2AC98" w14:textId="77777777" w:rsidR="007657AD" w:rsidRPr="007657AD" w:rsidRDefault="007657AD" w:rsidP="007657AD">
      <w:pPr>
        <w:rPr>
          <w:sz w:val="24"/>
          <w:szCs w:val="24"/>
          <w:lang w:val="en-US" w:eastAsia="bg-BG"/>
        </w:rPr>
      </w:pPr>
      <w:r w:rsidRPr="007657AD">
        <w:rPr>
          <w:lang w:val="en-US"/>
        </w:rPr>
        <w:t>Pharmaceutical Works POLPHARMA SA</w:t>
      </w:r>
    </w:p>
    <w:p w14:paraId="52343AA7" w14:textId="77777777" w:rsidR="007657AD" w:rsidRPr="007657AD" w:rsidRDefault="007657AD" w:rsidP="007657AD">
      <w:pPr>
        <w:rPr>
          <w:sz w:val="24"/>
          <w:szCs w:val="24"/>
          <w:lang w:val="en-US" w:eastAsia="bg-BG"/>
        </w:rPr>
      </w:pPr>
      <w:r w:rsidRPr="007657AD">
        <w:rPr>
          <w:lang w:val="en-US"/>
        </w:rPr>
        <w:t xml:space="preserve">19 </w:t>
      </w:r>
      <w:proofErr w:type="spellStart"/>
      <w:r w:rsidRPr="007657AD">
        <w:rPr>
          <w:lang w:val="en-US"/>
        </w:rPr>
        <w:t>Pelplinska</w:t>
      </w:r>
      <w:proofErr w:type="spellEnd"/>
      <w:r w:rsidRPr="007657AD">
        <w:rPr>
          <w:lang w:val="en-US"/>
        </w:rPr>
        <w:t xml:space="preserve"> Street</w:t>
      </w:r>
    </w:p>
    <w:p w14:paraId="38BB070A" w14:textId="77777777" w:rsidR="007657AD" w:rsidRPr="007657AD" w:rsidRDefault="007657AD" w:rsidP="007657AD">
      <w:pPr>
        <w:rPr>
          <w:sz w:val="24"/>
          <w:szCs w:val="24"/>
          <w:lang w:val="en-US" w:eastAsia="bg-BG"/>
        </w:rPr>
      </w:pPr>
      <w:r w:rsidRPr="007657AD">
        <w:rPr>
          <w:lang w:val="en-US"/>
        </w:rPr>
        <w:t xml:space="preserve">83-200 </w:t>
      </w:r>
      <w:proofErr w:type="spellStart"/>
      <w:r w:rsidRPr="007657AD">
        <w:rPr>
          <w:lang w:val="en-US"/>
        </w:rPr>
        <w:t>Starogard</w:t>
      </w:r>
      <w:proofErr w:type="spellEnd"/>
      <w:r w:rsidRPr="007657AD">
        <w:rPr>
          <w:lang w:val="en-US"/>
        </w:rPr>
        <w:t xml:space="preserve"> </w:t>
      </w:r>
      <w:proofErr w:type="spellStart"/>
      <w:r w:rsidRPr="007657AD">
        <w:rPr>
          <w:lang w:val="en-US"/>
        </w:rPr>
        <w:t>Gdanski</w:t>
      </w:r>
      <w:proofErr w:type="spellEnd"/>
    </w:p>
    <w:p w14:paraId="74343947" w14:textId="7A09D376" w:rsidR="007657AD" w:rsidRPr="007657AD" w:rsidRDefault="007657AD" w:rsidP="007657AD">
      <w:pPr>
        <w:rPr>
          <w:lang w:val="en-US"/>
        </w:rPr>
      </w:pPr>
      <w:r w:rsidRPr="007657AD">
        <w:rPr>
          <w:lang w:eastAsia="bg-BG"/>
        </w:rPr>
        <w:t>Полша</w:t>
      </w:r>
    </w:p>
    <w:p w14:paraId="796B2EC6" w14:textId="2A8198B3" w:rsidR="00BB22B4" w:rsidRDefault="00936AD0" w:rsidP="00471F10">
      <w:pPr>
        <w:pStyle w:val="Heading1"/>
      </w:pPr>
      <w:r>
        <w:t>8.</w:t>
      </w:r>
      <w:r w:rsidR="002C50EE">
        <w:t>НОМЕР НА РАЗРЕШЕНИЕТО ЗА УПОТРЕБА</w:t>
      </w:r>
    </w:p>
    <w:p w14:paraId="48CBC313" w14:textId="4C0784A5" w:rsidR="007657AD" w:rsidRDefault="007657AD" w:rsidP="007657AD"/>
    <w:p w14:paraId="5778987D" w14:textId="0E0B28DD" w:rsidR="007657AD" w:rsidRPr="007657AD" w:rsidRDefault="007657AD" w:rsidP="007657AD">
      <w:r>
        <w:lastRenderedPageBreak/>
        <w:t>20120115</w:t>
      </w:r>
    </w:p>
    <w:p w14:paraId="3715C10B" w14:textId="1D1FD17B" w:rsidR="00BB22B4" w:rsidRDefault="002C50EE" w:rsidP="00471F10">
      <w:pPr>
        <w:pStyle w:val="Heading1"/>
      </w:pPr>
      <w:r>
        <w:t>9. ДАТА НА ПЪРВО РАЗРЕШАВАНЕ/ПОДНОВЯВАНЕ НА РАЗРЕШЕНИЕТО ЗА УПОТРЕБА</w:t>
      </w:r>
    </w:p>
    <w:p w14:paraId="68B42975" w14:textId="62A75C2C" w:rsidR="007657AD" w:rsidRDefault="007657AD" w:rsidP="007657AD"/>
    <w:p w14:paraId="467D247C" w14:textId="77777777" w:rsidR="007657AD" w:rsidRPr="007657AD" w:rsidRDefault="007657AD" w:rsidP="007657AD">
      <w:pPr>
        <w:rPr>
          <w:sz w:val="24"/>
          <w:szCs w:val="24"/>
          <w:lang w:eastAsia="bg-BG"/>
        </w:rPr>
      </w:pPr>
      <w:r w:rsidRPr="007657AD">
        <w:rPr>
          <w:lang w:eastAsia="bg-BG"/>
        </w:rPr>
        <w:t>Дата на първо разрешаване: 20.02.2012</w:t>
      </w:r>
    </w:p>
    <w:p w14:paraId="4987E8B0" w14:textId="49ED7B3E" w:rsidR="007657AD" w:rsidRPr="007657AD" w:rsidRDefault="007657AD" w:rsidP="007657AD">
      <w:r w:rsidRPr="007657AD">
        <w:rPr>
          <w:lang w:eastAsia="bg-BG"/>
        </w:rPr>
        <w:t>Дата на последно подновяване: 26.09.2019</w:t>
      </w:r>
    </w:p>
    <w:p w14:paraId="43FB38A2" w14:textId="0C18A683" w:rsidR="007C605B" w:rsidRDefault="002C50EE" w:rsidP="005726E3">
      <w:pPr>
        <w:pStyle w:val="Heading1"/>
      </w:pPr>
      <w:r>
        <w:t>10. ДАТА НА АКТУАЛИЗИРАНЕ НА ТЕКСТА</w:t>
      </w:r>
      <w:bookmarkEnd w:id="0"/>
    </w:p>
    <w:p w14:paraId="472617BD" w14:textId="1B698B40" w:rsidR="00BB22B4" w:rsidRPr="00BB22B4" w:rsidRDefault="00BB22B4" w:rsidP="00BB22B4"/>
    <w:sectPr w:rsidR="00BB22B4" w:rsidRPr="00BB22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6D37A7"/>
    <w:multiLevelType w:val="hybridMultilevel"/>
    <w:tmpl w:val="46CC86F0"/>
    <w:lvl w:ilvl="0" w:tplc="D1263D34">
      <w:start w:val="4"/>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D35E1F"/>
    <w:multiLevelType w:val="hybridMultilevel"/>
    <w:tmpl w:val="4B1AAB14"/>
    <w:lvl w:ilvl="0" w:tplc="4F16603C">
      <w:start w:val="4"/>
      <w:numFmt w:val="bullet"/>
      <w:lvlText w:val="-"/>
      <w:lvlJc w:val="left"/>
      <w:pPr>
        <w:ind w:left="720" w:hanging="360"/>
      </w:pPr>
      <w:rPr>
        <w:rFonts w:ascii="Times New Roman" w:eastAsia="Times New Roman" w:hAnsi="Times New Roman" w:cs="Times New Roman" w:hint="default"/>
        <w:color w:val="000000"/>
        <w:sz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9"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4"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16cid:durableId="869609739">
    <w:abstractNumId w:val="30"/>
  </w:num>
  <w:num w:numId="2" w16cid:durableId="786048729">
    <w:abstractNumId w:val="0"/>
  </w:num>
  <w:num w:numId="3" w16cid:durableId="505633222">
    <w:abstractNumId w:val="14"/>
  </w:num>
  <w:num w:numId="4" w16cid:durableId="1886288725">
    <w:abstractNumId w:val="3"/>
  </w:num>
  <w:num w:numId="5" w16cid:durableId="1465854397">
    <w:abstractNumId w:val="1"/>
  </w:num>
  <w:num w:numId="6" w16cid:durableId="492067558">
    <w:abstractNumId w:val="19"/>
  </w:num>
  <w:num w:numId="7" w16cid:durableId="1600290756">
    <w:abstractNumId w:val="12"/>
  </w:num>
  <w:num w:numId="8" w16cid:durableId="1051271816">
    <w:abstractNumId w:val="18"/>
  </w:num>
  <w:num w:numId="9" w16cid:durableId="1662848776">
    <w:abstractNumId w:val="2"/>
  </w:num>
  <w:num w:numId="10" w16cid:durableId="435564665">
    <w:abstractNumId w:val="4"/>
  </w:num>
  <w:num w:numId="11" w16cid:durableId="897281343">
    <w:abstractNumId w:val="33"/>
  </w:num>
  <w:num w:numId="12" w16cid:durableId="981233299">
    <w:abstractNumId w:val="15"/>
  </w:num>
  <w:num w:numId="13" w16cid:durableId="758989221">
    <w:abstractNumId w:val="22"/>
  </w:num>
  <w:num w:numId="14" w16cid:durableId="365985683">
    <w:abstractNumId w:val="13"/>
  </w:num>
  <w:num w:numId="15" w16cid:durableId="1385055715">
    <w:abstractNumId w:val="32"/>
  </w:num>
  <w:num w:numId="16" w16cid:durableId="1997489400">
    <w:abstractNumId w:val="11"/>
  </w:num>
  <w:num w:numId="17" w16cid:durableId="1756591654">
    <w:abstractNumId w:val="27"/>
  </w:num>
  <w:num w:numId="18" w16cid:durableId="1549368086">
    <w:abstractNumId w:val="8"/>
  </w:num>
  <w:num w:numId="19" w16cid:durableId="86653388">
    <w:abstractNumId w:val="29"/>
  </w:num>
  <w:num w:numId="20" w16cid:durableId="1753358729">
    <w:abstractNumId w:val="26"/>
  </w:num>
  <w:num w:numId="21" w16cid:durableId="1847749196">
    <w:abstractNumId w:val="20"/>
  </w:num>
  <w:num w:numId="22" w16cid:durableId="1361541536">
    <w:abstractNumId w:val="28"/>
  </w:num>
  <w:num w:numId="23" w16cid:durableId="1011953002">
    <w:abstractNumId w:val="21"/>
  </w:num>
  <w:num w:numId="24" w16cid:durableId="2079938306">
    <w:abstractNumId w:val="9"/>
  </w:num>
  <w:num w:numId="25" w16cid:durableId="2010326886">
    <w:abstractNumId w:val="25"/>
  </w:num>
  <w:num w:numId="26" w16cid:durableId="2091197230">
    <w:abstractNumId w:val="24"/>
  </w:num>
  <w:num w:numId="27" w16cid:durableId="893277195">
    <w:abstractNumId w:val="34"/>
  </w:num>
  <w:num w:numId="28" w16cid:durableId="932519449">
    <w:abstractNumId w:val="6"/>
  </w:num>
  <w:num w:numId="29" w16cid:durableId="141435927">
    <w:abstractNumId w:val="23"/>
  </w:num>
  <w:num w:numId="30" w16cid:durableId="499467121">
    <w:abstractNumId w:val="37"/>
  </w:num>
  <w:num w:numId="31" w16cid:durableId="333344750">
    <w:abstractNumId w:val="5"/>
  </w:num>
  <w:num w:numId="32" w16cid:durableId="1324966212">
    <w:abstractNumId w:val="36"/>
  </w:num>
  <w:num w:numId="33" w16cid:durableId="67776664">
    <w:abstractNumId w:val="31"/>
  </w:num>
  <w:num w:numId="34" w16cid:durableId="618226184">
    <w:abstractNumId w:val="35"/>
  </w:num>
  <w:num w:numId="35" w16cid:durableId="1972973027">
    <w:abstractNumId w:val="7"/>
  </w:num>
  <w:num w:numId="36" w16cid:durableId="121460337">
    <w:abstractNumId w:val="10"/>
  </w:num>
  <w:num w:numId="37" w16cid:durableId="1245645714">
    <w:abstractNumId w:val="16"/>
  </w:num>
  <w:num w:numId="38" w16cid:durableId="14357051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00"/>
    <w:rsid w:val="00185A46"/>
    <w:rsid w:val="001915B6"/>
    <w:rsid w:val="001A6EBD"/>
    <w:rsid w:val="001D1B23"/>
    <w:rsid w:val="002B3C38"/>
    <w:rsid w:val="002B4DBB"/>
    <w:rsid w:val="002C50EE"/>
    <w:rsid w:val="00340A0A"/>
    <w:rsid w:val="003765DC"/>
    <w:rsid w:val="00395555"/>
    <w:rsid w:val="003E3126"/>
    <w:rsid w:val="00426E5F"/>
    <w:rsid w:val="00471F10"/>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657AD"/>
    <w:rsid w:val="007C605B"/>
    <w:rsid w:val="008002EF"/>
    <w:rsid w:val="008134C8"/>
    <w:rsid w:val="00814073"/>
    <w:rsid w:val="00826F0D"/>
    <w:rsid w:val="00875EEC"/>
    <w:rsid w:val="00893B92"/>
    <w:rsid w:val="008A6AF2"/>
    <w:rsid w:val="008C70A2"/>
    <w:rsid w:val="00936AD0"/>
    <w:rsid w:val="009773E4"/>
    <w:rsid w:val="009B171C"/>
    <w:rsid w:val="009F1313"/>
    <w:rsid w:val="00A20351"/>
    <w:rsid w:val="00A65A81"/>
    <w:rsid w:val="00AA23EC"/>
    <w:rsid w:val="00AC63CE"/>
    <w:rsid w:val="00AE2107"/>
    <w:rsid w:val="00B275A8"/>
    <w:rsid w:val="00B6672E"/>
    <w:rsid w:val="00BB22B4"/>
    <w:rsid w:val="00BF2600"/>
    <w:rsid w:val="00C0049F"/>
    <w:rsid w:val="00C07B84"/>
    <w:rsid w:val="00C33464"/>
    <w:rsid w:val="00C40420"/>
    <w:rsid w:val="00C809A7"/>
    <w:rsid w:val="00C83063"/>
    <w:rsid w:val="00C87E90"/>
    <w:rsid w:val="00CA1B57"/>
    <w:rsid w:val="00CF77F7"/>
    <w:rsid w:val="00D86297"/>
    <w:rsid w:val="00DB32D3"/>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002E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20</Pages>
  <Words>6768</Words>
  <Characters>38579</Characters>
  <Application>Microsoft Office Word</Application>
  <DocSecurity>0</DocSecurity>
  <Lines>321</Lines>
  <Paragraphs>90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ВАСИЛЕВ</cp:lastModifiedBy>
  <cp:revision>2</cp:revision>
  <dcterms:created xsi:type="dcterms:W3CDTF">2022-12-27T14:27:00Z</dcterms:created>
  <dcterms:modified xsi:type="dcterms:W3CDTF">2022-12-27T14:27:00Z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