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1B4A5B88" w:rsidR="00DB32D3" w:rsidRDefault="00DD466D" w:rsidP="005726E3">
      <w:pPr>
        <w:pStyle w:val="Heading1"/>
      </w:pPr>
      <w:r>
        <w:t>1.ИМЕ НА ЛЕКАРСТВЕНИЯ ПРОДУКТ</w:t>
      </w:r>
    </w:p>
    <w:p w14:paraId="0EA64108" w14:textId="1B199478" w:rsidR="00340246" w:rsidRDefault="00340246" w:rsidP="00340246"/>
    <w:p w14:paraId="0A4B692D" w14:textId="77777777" w:rsidR="00340246" w:rsidRPr="00340246" w:rsidRDefault="00340246" w:rsidP="00340246">
      <w:pPr>
        <w:rPr>
          <w:sz w:val="24"/>
          <w:szCs w:val="24"/>
        </w:rPr>
      </w:pPr>
      <w:r w:rsidRPr="00340246">
        <w:rPr>
          <w:lang w:eastAsia="bg-BG"/>
        </w:rPr>
        <w:t xml:space="preserve">Рилменикс 1 </w:t>
      </w:r>
      <w:r w:rsidRPr="00340246">
        <w:rPr>
          <w:lang w:val="en-US"/>
        </w:rPr>
        <w:t>mg</w:t>
      </w:r>
      <w:r w:rsidRPr="00340246">
        <w:t xml:space="preserve"> </w:t>
      </w:r>
      <w:r w:rsidRPr="00340246">
        <w:rPr>
          <w:lang w:eastAsia="bg-BG"/>
        </w:rPr>
        <w:t>таблетки</w:t>
      </w:r>
    </w:p>
    <w:p w14:paraId="0A0E98DA" w14:textId="77777777" w:rsidR="00340246" w:rsidRPr="00340246" w:rsidRDefault="00340246" w:rsidP="00340246">
      <w:pPr>
        <w:rPr>
          <w:sz w:val="24"/>
          <w:szCs w:val="24"/>
        </w:rPr>
      </w:pPr>
      <w:proofErr w:type="spellStart"/>
      <w:r w:rsidRPr="00340246">
        <w:rPr>
          <w:lang w:val="en-US"/>
        </w:rPr>
        <w:t>Rilmenix</w:t>
      </w:r>
      <w:proofErr w:type="spellEnd"/>
      <w:r w:rsidRPr="00340246">
        <w:t xml:space="preserve"> </w:t>
      </w:r>
      <w:r w:rsidRPr="00340246">
        <w:rPr>
          <w:lang w:eastAsia="bg-BG"/>
        </w:rPr>
        <w:t xml:space="preserve">1 </w:t>
      </w:r>
      <w:r w:rsidRPr="00340246">
        <w:rPr>
          <w:lang w:val="en-US"/>
        </w:rPr>
        <w:t>mg</w:t>
      </w:r>
      <w:r w:rsidRPr="00340246">
        <w:t xml:space="preserve"> </w:t>
      </w:r>
      <w:r w:rsidRPr="00340246">
        <w:rPr>
          <w:lang w:val="en-US"/>
        </w:rPr>
        <w:t>tablets</w:t>
      </w:r>
    </w:p>
    <w:p w14:paraId="3F617ACA" w14:textId="77777777" w:rsidR="00340246" w:rsidRPr="00340246" w:rsidRDefault="00340246" w:rsidP="00340246"/>
    <w:p w14:paraId="48E6CABE" w14:textId="6D0A8AD4" w:rsidR="00DB32D3" w:rsidRDefault="00DD466D" w:rsidP="005726E3">
      <w:pPr>
        <w:pStyle w:val="Heading1"/>
      </w:pPr>
      <w:r>
        <w:t>2. КАЧЕСТВЕН И КОЛИЧЕСТВЕН СЪСТАВ</w:t>
      </w:r>
    </w:p>
    <w:p w14:paraId="487CEA97" w14:textId="7B407B31" w:rsidR="00340246" w:rsidRDefault="00340246" w:rsidP="00340246"/>
    <w:p w14:paraId="5D4AC374"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 xml:space="preserve">Всяка таблетка съдържа 1 </w:t>
      </w:r>
      <w:r w:rsidRPr="00340246">
        <w:rPr>
          <w:rFonts w:eastAsia="Times New Roman" w:cs="Arial"/>
          <w:color w:val="000000"/>
          <w:lang w:val="en-US"/>
        </w:rPr>
        <w:t>mg</w:t>
      </w:r>
      <w:r w:rsidRPr="00340246">
        <w:rPr>
          <w:rFonts w:eastAsia="Times New Roman" w:cs="Arial"/>
          <w:color w:val="000000"/>
        </w:rPr>
        <w:t xml:space="preserve"> </w:t>
      </w:r>
      <w:r w:rsidRPr="00340246">
        <w:rPr>
          <w:rFonts w:eastAsia="Times New Roman" w:cs="Arial"/>
          <w:color w:val="000000"/>
          <w:lang w:eastAsia="bg-BG"/>
        </w:rPr>
        <w:t xml:space="preserve">рилменидин </w:t>
      </w:r>
      <w:r w:rsidRPr="00340246">
        <w:rPr>
          <w:rFonts w:eastAsia="Times New Roman" w:cs="Arial"/>
          <w:i/>
          <w:iCs/>
          <w:color w:val="000000"/>
        </w:rPr>
        <w:t>(</w:t>
      </w:r>
      <w:proofErr w:type="spellStart"/>
      <w:r w:rsidRPr="00340246">
        <w:rPr>
          <w:rFonts w:eastAsia="Times New Roman" w:cs="Arial"/>
          <w:i/>
          <w:iCs/>
          <w:color w:val="000000"/>
          <w:lang w:val="en-US"/>
        </w:rPr>
        <w:t>rilmenidine</w:t>
      </w:r>
      <w:proofErr w:type="spellEnd"/>
      <w:r w:rsidRPr="00340246">
        <w:rPr>
          <w:rFonts w:eastAsia="Times New Roman" w:cs="Arial"/>
          <w:i/>
          <w:iCs/>
          <w:color w:val="000000"/>
        </w:rPr>
        <w:t>)</w:t>
      </w:r>
      <w:r w:rsidRPr="00340246">
        <w:rPr>
          <w:rFonts w:eastAsia="Times New Roman" w:cs="Arial"/>
          <w:color w:val="000000"/>
        </w:rPr>
        <w:t xml:space="preserve"> </w:t>
      </w:r>
      <w:r w:rsidRPr="00340246">
        <w:rPr>
          <w:rFonts w:eastAsia="Times New Roman" w:cs="Arial"/>
          <w:color w:val="000000"/>
          <w:lang w:eastAsia="bg-BG"/>
        </w:rPr>
        <w:t xml:space="preserve">под формата на рилменидинов дихидроген фосфат </w:t>
      </w:r>
      <w:r w:rsidRPr="00340246">
        <w:rPr>
          <w:rFonts w:eastAsia="Times New Roman" w:cs="Arial"/>
          <w:i/>
          <w:iCs/>
          <w:color w:val="000000"/>
        </w:rPr>
        <w:t>(</w:t>
      </w:r>
      <w:proofErr w:type="spellStart"/>
      <w:r w:rsidRPr="00340246">
        <w:rPr>
          <w:rFonts w:eastAsia="Times New Roman" w:cs="Arial"/>
          <w:i/>
          <w:iCs/>
          <w:color w:val="000000"/>
          <w:lang w:val="en-US"/>
        </w:rPr>
        <w:t>rilmenidine</w:t>
      </w:r>
      <w:proofErr w:type="spellEnd"/>
      <w:r w:rsidRPr="00340246">
        <w:rPr>
          <w:rFonts w:eastAsia="Times New Roman" w:cs="Arial"/>
          <w:i/>
          <w:iCs/>
          <w:color w:val="000000"/>
        </w:rPr>
        <w:t xml:space="preserve"> </w:t>
      </w:r>
      <w:r w:rsidRPr="00340246">
        <w:rPr>
          <w:rFonts w:eastAsia="Times New Roman" w:cs="Arial"/>
          <w:i/>
          <w:iCs/>
          <w:color w:val="000000"/>
          <w:lang w:val="en-US"/>
        </w:rPr>
        <w:t>dihydrogen</w:t>
      </w:r>
      <w:r w:rsidRPr="00340246">
        <w:rPr>
          <w:rFonts w:eastAsia="Times New Roman" w:cs="Arial"/>
          <w:i/>
          <w:iCs/>
          <w:color w:val="000000"/>
        </w:rPr>
        <w:t xml:space="preserve"> </w:t>
      </w:r>
      <w:r w:rsidRPr="00340246">
        <w:rPr>
          <w:rFonts w:eastAsia="Times New Roman" w:cs="Arial"/>
          <w:i/>
          <w:iCs/>
          <w:color w:val="000000"/>
          <w:lang w:val="en-US"/>
        </w:rPr>
        <w:t>phosphate</w:t>
      </w:r>
      <w:r w:rsidRPr="00340246">
        <w:rPr>
          <w:rFonts w:eastAsia="Times New Roman" w:cs="Arial"/>
          <w:i/>
          <w:iCs/>
          <w:color w:val="000000"/>
        </w:rPr>
        <w:t>).</w:t>
      </w:r>
    </w:p>
    <w:p w14:paraId="73C30CEB" w14:textId="77777777" w:rsidR="00340246" w:rsidRPr="00340246" w:rsidRDefault="00340246" w:rsidP="00340246"/>
    <w:p w14:paraId="614984C4" w14:textId="2231600B" w:rsidR="008A6AF2" w:rsidRDefault="00DD466D" w:rsidP="002C50EE">
      <w:pPr>
        <w:pStyle w:val="Heading1"/>
      </w:pPr>
      <w:r>
        <w:t>3. ЛЕКАРСТВЕНА ФОРМА</w:t>
      </w:r>
    </w:p>
    <w:p w14:paraId="5B3E4862" w14:textId="7F6BAEE4" w:rsidR="00340246" w:rsidRDefault="00340246" w:rsidP="00340246"/>
    <w:p w14:paraId="132A5412" w14:textId="77777777" w:rsidR="00340246" w:rsidRPr="00340246" w:rsidRDefault="00340246" w:rsidP="00340246">
      <w:pPr>
        <w:rPr>
          <w:sz w:val="24"/>
          <w:szCs w:val="24"/>
        </w:rPr>
      </w:pPr>
      <w:r w:rsidRPr="00340246">
        <w:rPr>
          <w:lang w:eastAsia="bg-BG"/>
        </w:rPr>
        <w:t>Таблетка</w:t>
      </w:r>
    </w:p>
    <w:p w14:paraId="6121521E" w14:textId="35B07840" w:rsidR="00340246" w:rsidRDefault="00340246" w:rsidP="00340246">
      <w:pPr>
        <w:rPr>
          <w:lang w:eastAsia="bg-BG"/>
        </w:rPr>
      </w:pPr>
      <w:r w:rsidRPr="00340246">
        <w:rPr>
          <w:lang w:eastAsia="bg-BG"/>
        </w:rPr>
        <w:t>Кръгла, двойноизпъкнала, бяла таблетка.</w:t>
      </w:r>
    </w:p>
    <w:p w14:paraId="4E02044B" w14:textId="77777777" w:rsidR="00340246" w:rsidRPr="00340246" w:rsidRDefault="00340246" w:rsidP="00340246"/>
    <w:p w14:paraId="490FC2C4" w14:textId="6899DE43" w:rsidR="002C50EE" w:rsidRDefault="002C50EE" w:rsidP="002C50EE">
      <w:pPr>
        <w:pStyle w:val="Heading1"/>
      </w:pPr>
      <w:r>
        <w:t>4. КЛИНИЧНИ ДАННИ</w:t>
      </w:r>
    </w:p>
    <w:p w14:paraId="0771830A" w14:textId="34FA5FBC" w:rsidR="00DB32D3" w:rsidRDefault="002C50EE" w:rsidP="005726E3">
      <w:pPr>
        <w:pStyle w:val="Heading2"/>
      </w:pPr>
      <w:r>
        <w:t>4.1. Терапевтични показания</w:t>
      </w:r>
    </w:p>
    <w:p w14:paraId="04376DA4" w14:textId="5D75E4D9" w:rsidR="00340246" w:rsidRDefault="00340246" w:rsidP="00340246"/>
    <w:p w14:paraId="0ED9427C" w14:textId="0E4AEE7C" w:rsidR="00340246" w:rsidRDefault="00340246" w:rsidP="00340246">
      <w:pPr>
        <w:rPr>
          <w:lang w:eastAsia="bg-BG"/>
        </w:rPr>
      </w:pPr>
      <w:r w:rsidRPr="00340246">
        <w:rPr>
          <w:lang w:eastAsia="bg-BG"/>
        </w:rPr>
        <w:t>Артериална хипертония</w:t>
      </w:r>
    </w:p>
    <w:p w14:paraId="6BABB7A0" w14:textId="77777777" w:rsidR="00340246" w:rsidRPr="00340246" w:rsidRDefault="00340246" w:rsidP="00340246">
      <w:pPr>
        <w:rPr>
          <w:sz w:val="24"/>
          <w:szCs w:val="24"/>
        </w:rPr>
      </w:pPr>
    </w:p>
    <w:p w14:paraId="7647A102" w14:textId="392CD65C" w:rsidR="00DB32D3" w:rsidRDefault="002C50EE" w:rsidP="005726E3">
      <w:pPr>
        <w:pStyle w:val="Heading2"/>
      </w:pPr>
      <w:r>
        <w:t>4.2. Дозировка и начин на приложение</w:t>
      </w:r>
    </w:p>
    <w:p w14:paraId="082854D4" w14:textId="3E6B914E" w:rsidR="00340246" w:rsidRDefault="00340246" w:rsidP="00340246"/>
    <w:p w14:paraId="07D9718E" w14:textId="77777777" w:rsidR="00340246" w:rsidRPr="00340246" w:rsidRDefault="00340246" w:rsidP="00340246">
      <w:pPr>
        <w:pStyle w:val="Heading3"/>
        <w:rPr>
          <w:rFonts w:eastAsia="Times New Roman"/>
          <w:u w:val="single"/>
        </w:rPr>
      </w:pPr>
      <w:r w:rsidRPr="00340246">
        <w:rPr>
          <w:rFonts w:eastAsia="Times New Roman"/>
          <w:u w:val="single"/>
          <w:lang w:eastAsia="bg-BG"/>
        </w:rPr>
        <w:t>Дозировка</w:t>
      </w:r>
    </w:p>
    <w:p w14:paraId="3FEE8443" w14:textId="77777777" w:rsidR="00340246" w:rsidRPr="00340246" w:rsidRDefault="00340246" w:rsidP="00340246">
      <w:pPr>
        <w:spacing w:line="240" w:lineRule="auto"/>
        <w:rPr>
          <w:rFonts w:eastAsia="Times New Roman" w:cs="Arial"/>
          <w:color w:val="000000"/>
          <w:u w:val="single"/>
          <w:lang w:eastAsia="bg-BG"/>
        </w:rPr>
      </w:pPr>
    </w:p>
    <w:p w14:paraId="3BE5F9FA" w14:textId="010F3846" w:rsidR="00340246" w:rsidRPr="00340246" w:rsidRDefault="00340246" w:rsidP="00340246">
      <w:pPr>
        <w:spacing w:line="240" w:lineRule="auto"/>
        <w:rPr>
          <w:rFonts w:eastAsia="Times New Roman" w:cs="Arial"/>
          <w:sz w:val="24"/>
          <w:szCs w:val="24"/>
        </w:rPr>
      </w:pPr>
      <w:r w:rsidRPr="00340246">
        <w:rPr>
          <w:rFonts w:eastAsia="Times New Roman" w:cs="Arial"/>
          <w:color w:val="000000"/>
          <w:u w:val="single"/>
          <w:lang w:eastAsia="bg-BG"/>
        </w:rPr>
        <w:t>Възрастни</w:t>
      </w:r>
    </w:p>
    <w:p w14:paraId="1B3BB947" w14:textId="77777777" w:rsidR="00340246" w:rsidRPr="00340246" w:rsidRDefault="00340246" w:rsidP="00340246">
      <w:pPr>
        <w:spacing w:line="240" w:lineRule="auto"/>
        <w:rPr>
          <w:rFonts w:eastAsia="Times New Roman" w:cs="Arial"/>
          <w:color w:val="000000"/>
          <w:lang w:eastAsia="bg-BG"/>
        </w:rPr>
      </w:pPr>
    </w:p>
    <w:p w14:paraId="00B3B7CD" w14:textId="3C54C5F9"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Препоръчителната доза е 1 таблетка дневно, приета като еднократна доза сутрин.</w:t>
      </w:r>
    </w:p>
    <w:p w14:paraId="099EEDFF"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Ако 1 месец след започване на лечението резултатите са незадоволителни, дозата може да бъде увеличена до 2 таблетки дневно в два отделни приема (1 таблетка сутрин и 1 таблетка вечер) в началото на всяко хранене.</w:t>
      </w:r>
    </w:p>
    <w:p w14:paraId="60FD14C8" w14:textId="77777777" w:rsidR="00340246" w:rsidRPr="00340246" w:rsidRDefault="00340246" w:rsidP="00340246">
      <w:pPr>
        <w:spacing w:line="240" w:lineRule="auto"/>
        <w:rPr>
          <w:rFonts w:eastAsia="Times New Roman" w:cs="Arial"/>
          <w:color w:val="000000"/>
          <w:u w:val="single"/>
          <w:lang w:eastAsia="bg-BG"/>
        </w:rPr>
      </w:pPr>
    </w:p>
    <w:p w14:paraId="311CFDCC" w14:textId="1F42CE9D" w:rsidR="00340246" w:rsidRPr="00340246" w:rsidRDefault="00340246" w:rsidP="00340246">
      <w:pPr>
        <w:spacing w:line="240" w:lineRule="auto"/>
        <w:rPr>
          <w:rFonts w:eastAsia="Times New Roman" w:cs="Arial"/>
          <w:sz w:val="24"/>
          <w:szCs w:val="24"/>
        </w:rPr>
      </w:pPr>
      <w:r w:rsidRPr="00340246">
        <w:rPr>
          <w:rFonts w:eastAsia="Times New Roman" w:cs="Arial"/>
          <w:color w:val="000000"/>
          <w:u w:val="single"/>
          <w:lang w:eastAsia="bg-BG"/>
        </w:rPr>
        <w:t>Специални групи пациенти</w:t>
      </w:r>
    </w:p>
    <w:p w14:paraId="69488C7F" w14:textId="77777777" w:rsidR="00340246" w:rsidRPr="00340246" w:rsidRDefault="00340246" w:rsidP="00340246">
      <w:pPr>
        <w:spacing w:line="240" w:lineRule="auto"/>
        <w:rPr>
          <w:rFonts w:eastAsia="Times New Roman" w:cs="Arial"/>
          <w:color w:val="000000"/>
          <w:lang w:eastAsia="bg-BG"/>
        </w:rPr>
      </w:pPr>
    </w:p>
    <w:p w14:paraId="404135E4" w14:textId="5D3F87C6"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 xml:space="preserve">Поради добра клинична и биологична поносимост, рилменидин може да се прилага на пациенти в старческа възраст и на такива със захарен диабет и артериална хипертония. При пациенти с бъбречна недостатъчност по принцип не се налага адаптиране на дозата, ако креатининовият клирънс е по-висок от 15 </w:t>
      </w:r>
      <w:r w:rsidRPr="00340246">
        <w:rPr>
          <w:rFonts w:eastAsia="Times New Roman" w:cs="Arial"/>
          <w:color w:val="000000"/>
          <w:lang w:val="en-US"/>
        </w:rPr>
        <w:t>ml</w:t>
      </w:r>
      <w:r w:rsidRPr="00340246">
        <w:rPr>
          <w:rFonts w:eastAsia="Times New Roman" w:cs="Arial"/>
          <w:color w:val="000000"/>
          <w:lang w:val="ru-RU"/>
        </w:rPr>
        <w:t>/</w:t>
      </w:r>
      <w:r w:rsidRPr="00340246">
        <w:rPr>
          <w:rFonts w:eastAsia="Times New Roman" w:cs="Arial"/>
          <w:color w:val="000000"/>
          <w:lang w:val="en-US"/>
        </w:rPr>
        <w:t>min</w:t>
      </w:r>
      <w:r w:rsidRPr="00340246">
        <w:rPr>
          <w:rFonts w:eastAsia="Times New Roman" w:cs="Arial"/>
          <w:color w:val="000000"/>
          <w:lang w:val="ru-RU"/>
        </w:rPr>
        <w:t>.</w:t>
      </w:r>
    </w:p>
    <w:p w14:paraId="20BD458F"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Лечението трябва да продължи неопределено дълго време.</w:t>
      </w:r>
    </w:p>
    <w:p w14:paraId="4021CE7F" w14:textId="77777777" w:rsidR="00340246" w:rsidRPr="00340246" w:rsidRDefault="00340246" w:rsidP="00340246">
      <w:pPr>
        <w:spacing w:line="240" w:lineRule="auto"/>
        <w:rPr>
          <w:rFonts w:eastAsia="Times New Roman" w:cs="Arial"/>
          <w:i/>
          <w:iCs/>
          <w:color w:val="000000"/>
          <w:lang w:eastAsia="bg-BG"/>
        </w:rPr>
      </w:pPr>
    </w:p>
    <w:p w14:paraId="182232F4" w14:textId="68131BE3" w:rsidR="00340246" w:rsidRPr="00340246" w:rsidRDefault="00340246" w:rsidP="00340246">
      <w:pPr>
        <w:spacing w:line="240" w:lineRule="auto"/>
        <w:rPr>
          <w:rFonts w:eastAsia="Times New Roman" w:cs="Arial"/>
          <w:sz w:val="24"/>
          <w:szCs w:val="24"/>
        </w:rPr>
      </w:pPr>
      <w:r w:rsidRPr="00340246">
        <w:rPr>
          <w:rFonts w:eastAsia="Times New Roman" w:cs="Arial"/>
          <w:i/>
          <w:iCs/>
          <w:color w:val="000000"/>
          <w:lang w:eastAsia="bg-BG"/>
        </w:rPr>
        <w:t>Педиатрична популация</w:t>
      </w:r>
    </w:p>
    <w:p w14:paraId="344372AE" w14:textId="77777777" w:rsidR="00340246" w:rsidRPr="00340246" w:rsidRDefault="00340246" w:rsidP="00340246">
      <w:pPr>
        <w:spacing w:line="240" w:lineRule="auto"/>
        <w:rPr>
          <w:rFonts w:eastAsia="Times New Roman" w:cs="Arial"/>
          <w:color w:val="000000"/>
          <w:lang w:eastAsia="bg-BG"/>
        </w:rPr>
      </w:pPr>
    </w:p>
    <w:p w14:paraId="7309705D" w14:textId="6BFBC1B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Не се препоръчва употребата на рилменидин при деца, поради липса на данни.</w:t>
      </w:r>
    </w:p>
    <w:p w14:paraId="21A1DDD8" w14:textId="77777777" w:rsidR="00340246" w:rsidRPr="00340246" w:rsidRDefault="00340246" w:rsidP="00340246">
      <w:pPr>
        <w:spacing w:line="240" w:lineRule="auto"/>
        <w:rPr>
          <w:rFonts w:eastAsia="Times New Roman" w:cs="Arial"/>
          <w:color w:val="000000"/>
          <w:u w:val="single"/>
          <w:lang w:eastAsia="bg-BG"/>
        </w:rPr>
      </w:pPr>
    </w:p>
    <w:p w14:paraId="4C2882B1" w14:textId="1A9357F4" w:rsidR="00340246" w:rsidRPr="00340246" w:rsidRDefault="00340246" w:rsidP="00340246">
      <w:pPr>
        <w:pStyle w:val="Heading3"/>
        <w:rPr>
          <w:rFonts w:eastAsia="Times New Roman"/>
          <w:u w:val="single"/>
        </w:rPr>
      </w:pPr>
      <w:r w:rsidRPr="00340246">
        <w:rPr>
          <w:rFonts w:eastAsia="Times New Roman"/>
          <w:u w:val="single"/>
          <w:lang w:eastAsia="bg-BG"/>
        </w:rPr>
        <w:t>Начин на приложение</w:t>
      </w:r>
    </w:p>
    <w:p w14:paraId="7A5AD949" w14:textId="77777777" w:rsidR="00340246" w:rsidRPr="00340246" w:rsidRDefault="00340246" w:rsidP="00340246">
      <w:pPr>
        <w:spacing w:line="240" w:lineRule="auto"/>
        <w:rPr>
          <w:rFonts w:eastAsia="Times New Roman" w:cs="Arial"/>
          <w:color w:val="000000"/>
          <w:lang w:eastAsia="bg-BG"/>
        </w:rPr>
      </w:pPr>
    </w:p>
    <w:p w14:paraId="492A9126" w14:textId="59C875C4" w:rsidR="00340246" w:rsidRPr="00340246" w:rsidRDefault="00340246" w:rsidP="00340246">
      <w:pPr>
        <w:spacing w:line="240" w:lineRule="auto"/>
        <w:rPr>
          <w:rFonts w:ascii="Times New Roman" w:eastAsia="Times New Roman" w:hAnsi="Times New Roman" w:cs="Times New Roman"/>
          <w:sz w:val="24"/>
          <w:szCs w:val="24"/>
        </w:rPr>
      </w:pPr>
      <w:r w:rsidRPr="00340246">
        <w:rPr>
          <w:rFonts w:eastAsia="Times New Roman" w:cs="Arial"/>
          <w:color w:val="000000"/>
          <w:lang w:eastAsia="bg-BG"/>
        </w:rPr>
        <w:t>Перорално приложение</w:t>
      </w:r>
    </w:p>
    <w:p w14:paraId="3FB231EE" w14:textId="77777777" w:rsidR="00340246" w:rsidRPr="00340246" w:rsidRDefault="00340246" w:rsidP="00340246"/>
    <w:p w14:paraId="74903285" w14:textId="55ADFA3D" w:rsidR="00DB32D3" w:rsidRDefault="002C50EE" w:rsidP="005726E3">
      <w:pPr>
        <w:pStyle w:val="Heading2"/>
      </w:pPr>
      <w:r>
        <w:t>4.3. Противопоказания</w:t>
      </w:r>
    </w:p>
    <w:p w14:paraId="0E65D972" w14:textId="74539160" w:rsidR="00340246" w:rsidRDefault="00340246" w:rsidP="00340246"/>
    <w:p w14:paraId="3C6811AE" w14:textId="77777777" w:rsidR="00340246" w:rsidRPr="00340246" w:rsidRDefault="00340246" w:rsidP="00340246">
      <w:pPr>
        <w:pStyle w:val="ListParagraph"/>
        <w:numPr>
          <w:ilvl w:val="0"/>
          <w:numId w:val="37"/>
        </w:numPr>
        <w:rPr>
          <w:lang w:eastAsia="bg-BG"/>
        </w:rPr>
      </w:pPr>
      <w:r w:rsidRPr="00340246">
        <w:rPr>
          <w:lang w:eastAsia="bg-BG"/>
        </w:rPr>
        <w:t>Свръхчувствителност към активното вещество или към някое от помощните вещества, изброени в точка 6.1</w:t>
      </w:r>
    </w:p>
    <w:p w14:paraId="7F7B225D" w14:textId="77777777" w:rsidR="00340246" w:rsidRPr="00340246" w:rsidRDefault="00340246" w:rsidP="00340246">
      <w:pPr>
        <w:pStyle w:val="ListParagraph"/>
        <w:numPr>
          <w:ilvl w:val="0"/>
          <w:numId w:val="37"/>
        </w:numPr>
        <w:rPr>
          <w:lang w:eastAsia="bg-BG"/>
        </w:rPr>
      </w:pPr>
      <w:r w:rsidRPr="00340246">
        <w:rPr>
          <w:lang w:eastAsia="bg-BG"/>
        </w:rPr>
        <w:t>Тежка депресия</w:t>
      </w:r>
    </w:p>
    <w:p w14:paraId="44FCFB19" w14:textId="50F28405" w:rsidR="00340246" w:rsidRPr="00340246" w:rsidRDefault="00340246" w:rsidP="00340246">
      <w:pPr>
        <w:pStyle w:val="ListParagraph"/>
        <w:numPr>
          <w:ilvl w:val="0"/>
          <w:numId w:val="37"/>
        </w:numPr>
        <w:rPr>
          <w:lang w:val="ru-RU"/>
        </w:rPr>
      </w:pPr>
      <w:r w:rsidRPr="00340246">
        <w:rPr>
          <w:lang w:eastAsia="bg-BG"/>
        </w:rPr>
        <w:t xml:space="preserve">Тежка бъбречна недостатъчност (креатининов клирънс &lt;15 </w:t>
      </w:r>
      <w:r w:rsidRPr="00340246">
        <w:rPr>
          <w:lang w:val="en-US"/>
        </w:rPr>
        <w:t>ml</w:t>
      </w:r>
      <w:r w:rsidRPr="00340246">
        <w:rPr>
          <w:lang w:val="ru-RU"/>
        </w:rPr>
        <w:t>/</w:t>
      </w:r>
      <w:r w:rsidRPr="00340246">
        <w:rPr>
          <w:lang w:val="en-US"/>
        </w:rPr>
        <w:t>min</w:t>
      </w:r>
      <w:r w:rsidRPr="00340246">
        <w:rPr>
          <w:lang w:val="ru-RU"/>
        </w:rPr>
        <w:t>)</w:t>
      </w:r>
    </w:p>
    <w:p w14:paraId="02BF8C3C" w14:textId="77777777" w:rsidR="00340246" w:rsidRPr="00340246" w:rsidRDefault="00340246" w:rsidP="00340246">
      <w:pPr>
        <w:rPr>
          <w:lang w:val="ru-RU"/>
        </w:rPr>
      </w:pPr>
    </w:p>
    <w:p w14:paraId="76DC8E58" w14:textId="3FEE47EF" w:rsidR="00DB32D3" w:rsidRDefault="002C50EE" w:rsidP="005726E3">
      <w:pPr>
        <w:pStyle w:val="Heading2"/>
      </w:pPr>
      <w:r>
        <w:t>4.4. Специални предупреждения и предпазни мерки при употреба</w:t>
      </w:r>
    </w:p>
    <w:p w14:paraId="334A6F98" w14:textId="49A7F6E8" w:rsidR="00340246" w:rsidRDefault="00340246" w:rsidP="00340246"/>
    <w:p w14:paraId="7BAFF8C1"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u w:val="single"/>
          <w:lang w:eastAsia="bg-BG"/>
        </w:rPr>
        <w:t>Специални предупреждения</w:t>
      </w:r>
    </w:p>
    <w:p w14:paraId="28E6F542"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Да не се прекратява лечението изведнъж, а да се намалява постепенно дозата.</w:t>
      </w:r>
    </w:p>
    <w:p w14:paraId="4FDCC844" w14:textId="77777777" w:rsidR="00340246" w:rsidRPr="00340246" w:rsidRDefault="00340246" w:rsidP="00340246">
      <w:pPr>
        <w:spacing w:line="240" w:lineRule="auto"/>
        <w:rPr>
          <w:rFonts w:eastAsia="Times New Roman" w:cs="Arial"/>
          <w:color w:val="000000"/>
          <w:u w:val="single"/>
          <w:lang w:eastAsia="bg-BG"/>
        </w:rPr>
      </w:pPr>
    </w:p>
    <w:p w14:paraId="3F5BA33E" w14:textId="5750BFD9" w:rsidR="00340246" w:rsidRPr="00340246" w:rsidRDefault="00340246" w:rsidP="00340246">
      <w:pPr>
        <w:spacing w:line="240" w:lineRule="auto"/>
        <w:rPr>
          <w:rFonts w:eastAsia="Times New Roman" w:cs="Arial"/>
          <w:sz w:val="24"/>
          <w:szCs w:val="24"/>
        </w:rPr>
      </w:pPr>
      <w:r w:rsidRPr="00340246">
        <w:rPr>
          <w:rFonts w:eastAsia="Times New Roman" w:cs="Arial"/>
          <w:color w:val="000000"/>
          <w:u w:val="single"/>
          <w:lang w:eastAsia="bg-BG"/>
        </w:rPr>
        <w:t>Предпазни мерки при употреба</w:t>
      </w:r>
    </w:p>
    <w:p w14:paraId="57E7BBCF" w14:textId="77777777" w:rsidR="00340246" w:rsidRPr="00340246" w:rsidRDefault="00340246" w:rsidP="00340246">
      <w:pPr>
        <w:pStyle w:val="ListParagraph"/>
        <w:numPr>
          <w:ilvl w:val="0"/>
          <w:numId w:val="38"/>
        </w:numPr>
        <w:spacing w:line="240" w:lineRule="auto"/>
        <w:rPr>
          <w:rFonts w:eastAsia="Times New Roman" w:cs="Arial"/>
          <w:sz w:val="24"/>
          <w:szCs w:val="24"/>
        </w:rPr>
      </w:pPr>
      <w:r w:rsidRPr="00340246">
        <w:rPr>
          <w:rFonts w:eastAsia="Times New Roman" w:cs="Arial"/>
          <w:color w:val="000000"/>
          <w:lang w:eastAsia="bg-BG"/>
        </w:rPr>
        <w:t>Както всички антихипертензивни лекарствени продукти, при пациенти с анамнеза за съдови нарушения (инсулт, инфаркт на миокарда), рилменидин трябва да се прилага при редовно проследяване от лекар.</w:t>
      </w:r>
    </w:p>
    <w:p w14:paraId="108F14AC" w14:textId="77777777" w:rsidR="00340246" w:rsidRPr="00340246" w:rsidRDefault="00340246" w:rsidP="00340246">
      <w:pPr>
        <w:pStyle w:val="ListParagraph"/>
        <w:numPr>
          <w:ilvl w:val="0"/>
          <w:numId w:val="38"/>
        </w:numPr>
        <w:spacing w:line="240" w:lineRule="auto"/>
        <w:rPr>
          <w:rFonts w:eastAsia="Times New Roman" w:cs="Arial"/>
          <w:sz w:val="24"/>
          <w:szCs w:val="24"/>
        </w:rPr>
      </w:pPr>
      <w:r w:rsidRPr="00340246">
        <w:rPr>
          <w:rFonts w:eastAsia="Times New Roman" w:cs="Arial"/>
          <w:color w:val="000000"/>
          <w:lang w:eastAsia="bg-BG"/>
        </w:rPr>
        <w:t xml:space="preserve">Поради риска рилменидин да намалява сърдечната честота и да предизвиква брадикардия, започването на лечението трябва да бъде внимателно преценено при пациенти със съществуваща брадикардия или с рискови фактори за брадикардия (напр. при пациенти в старческа възраст, при пациенти със синдром на болния синусов възел, с </w:t>
      </w:r>
      <w:r w:rsidRPr="00340246">
        <w:rPr>
          <w:rFonts w:eastAsia="Times New Roman" w:cs="Arial"/>
          <w:color w:val="000000"/>
          <w:lang w:val="en-US"/>
        </w:rPr>
        <w:t>AV</w:t>
      </w:r>
      <w:r w:rsidRPr="00340246">
        <w:rPr>
          <w:rFonts w:eastAsia="Times New Roman" w:cs="Arial"/>
          <w:color w:val="000000"/>
          <w:lang w:eastAsia="bg-BG"/>
        </w:rPr>
        <w:t>-блок, с вече съществуваща сърдечна недостатъчност или всяко друго състояние, при което сърдечната честота се поддържа от повишен симпатиков тонус). При тези пациенти има основание за проследяване на сърдечната честота, особено през първите 4 седмици от лечението.</w:t>
      </w:r>
    </w:p>
    <w:p w14:paraId="52BE8861" w14:textId="77777777" w:rsidR="00340246" w:rsidRPr="00340246" w:rsidRDefault="00340246" w:rsidP="00340246">
      <w:pPr>
        <w:pStyle w:val="ListParagraph"/>
        <w:numPr>
          <w:ilvl w:val="0"/>
          <w:numId w:val="38"/>
        </w:numPr>
        <w:spacing w:line="240" w:lineRule="auto"/>
        <w:rPr>
          <w:rFonts w:eastAsia="Times New Roman" w:cs="Arial"/>
          <w:sz w:val="24"/>
          <w:szCs w:val="24"/>
        </w:rPr>
      </w:pPr>
      <w:r w:rsidRPr="00340246">
        <w:rPr>
          <w:rFonts w:eastAsia="Times New Roman" w:cs="Arial"/>
          <w:color w:val="000000"/>
          <w:lang w:eastAsia="bg-BG"/>
        </w:rPr>
        <w:t>По време на лечение не се препоръчва консумация на алкохол (вж. точка 4.5).</w:t>
      </w:r>
    </w:p>
    <w:p w14:paraId="0D2AB67B" w14:textId="77777777" w:rsidR="00340246" w:rsidRPr="00340246" w:rsidRDefault="00340246" w:rsidP="00340246">
      <w:pPr>
        <w:pStyle w:val="ListParagraph"/>
        <w:numPr>
          <w:ilvl w:val="0"/>
          <w:numId w:val="38"/>
        </w:numPr>
        <w:spacing w:line="240" w:lineRule="auto"/>
        <w:rPr>
          <w:rFonts w:eastAsia="Times New Roman" w:cs="Arial"/>
          <w:sz w:val="24"/>
          <w:szCs w:val="24"/>
        </w:rPr>
      </w:pPr>
      <w:r w:rsidRPr="00340246">
        <w:rPr>
          <w:rFonts w:eastAsia="Times New Roman" w:cs="Arial"/>
          <w:color w:val="000000"/>
          <w:lang w:eastAsia="bg-BG"/>
        </w:rPr>
        <w:t>Не се препоръчва употребата на рилменидин в комбинация с бета-блокери, приемани при сърдечна недостатъчност (вж. точка 4.5).</w:t>
      </w:r>
    </w:p>
    <w:p w14:paraId="0D4C651B" w14:textId="77777777" w:rsidR="00340246" w:rsidRPr="00340246" w:rsidRDefault="00340246" w:rsidP="00340246">
      <w:pPr>
        <w:pStyle w:val="ListParagraph"/>
        <w:numPr>
          <w:ilvl w:val="0"/>
          <w:numId w:val="38"/>
        </w:numPr>
        <w:spacing w:line="240" w:lineRule="auto"/>
        <w:rPr>
          <w:rFonts w:eastAsia="Times New Roman" w:cs="Arial"/>
          <w:sz w:val="24"/>
          <w:szCs w:val="24"/>
        </w:rPr>
      </w:pPr>
      <w:r w:rsidRPr="00340246">
        <w:rPr>
          <w:rFonts w:eastAsia="Times New Roman" w:cs="Arial"/>
          <w:color w:val="000000"/>
          <w:lang w:eastAsia="bg-BG"/>
        </w:rPr>
        <w:t>Поради възможна поява на ортостатична хипотония, пациентите в старческа възраст трябва да бъдат предупредени за повишения риск от падане.</w:t>
      </w:r>
    </w:p>
    <w:p w14:paraId="279341D1" w14:textId="142C9492" w:rsidR="00340246" w:rsidRPr="00340246" w:rsidRDefault="00340246" w:rsidP="00340246">
      <w:pPr>
        <w:pStyle w:val="ListParagraph"/>
        <w:numPr>
          <w:ilvl w:val="0"/>
          <w:numId w:val="38"/>
        </w:numPr>
        <w:spacing w:line="240" w:lineRule="auto"/>
        <w:rPr>
          <w:rFonts w:eastAsia="Times New Roman" w:cs="Arial"/>
          <w:sz w:val="24"/>
          <w:szCs w:val="24"/>
        </w:rPr>
      </w:pPr>
      <w:r w:rsidRPr="00340246">
        <w:rPr>
          <w:rFonts w:eastAsia="Times New Roman" w:cs="Arial"/>
          <w:color w:val="000000"/>
          <w:lang w:eastAsia="bg-BG"/>
        </w:rPr>
        <w:t>Не се препоръчва употребата на рилменидин в комбинация с натриев оксибат (вж. точка 4.5).</w:t>
      </w:r>
    </w:p>
    <w:p w14:paraId="4BB7F035" w14:textId="77777777" w:rsidR="00340246" w:rsidRPr="00340246" w:rsidRDefault="00340246" w:rsidP="00340246"/>
    <w:p w14:paraId="62F27C9B" w14:textId="6EDEBF7D" w:rsidR="00DB32D3"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72650715" w14:textId="28CDA764" w:rsidR="00340246" w:rsidRDefault="00340246" w:rsidP="00340246"/>
    <w:p w14:paraId="7E06228F"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u w:val="single"/>
          <w:lang w:eastAsia="bg-BG"/>
        </w:rPr>
        <w:t>Едновременна употреба, която не се препоръчва (вж. точка 4.4)</w:t>
      </w:r>
    </w:p>
    <w:p w14:paraId="472EA58C" w14:textId="77777777" w:rsidR="00340246" w:rsidRPr="00340246" w:rsidRDefault="00340246" w:rsidP="00340246">
      <w:pPr>
        <w:spacing w:line="240" w:lineRule="auto"/>
        <w:rPr>
          <w:rFonts w:eastAsia="Times New Roman" w:cs="Arial"/>
          <w:i/>
          <w:iCs/>
          <w:color w:val="000000"/>
          <w:lang w:eastAsia="bg-BG"/>
        </w:rPr>
      </w:pPr>
    </w:p>
    <w:p w14:paraId="4C68CEE5" w14:textId="4DAB7EDC" w:rsidR="00340246" w:rsidRPr="00340246" w:rsidRDefault="00340246" w:rsidP="00340246">
      <w:pPr>
        <w:spacing w:line="240" w:lineRule="auto"/>
        <w:rPr>
          <w:rFonts w:eastAsia="Times New Roman" w:cs="Arial"/>
          <w:sz w:val="24"/>
          <w:szCs w:val="24"/>
        </w:rPr>
      </w:pPr>
      <w:r w:rsidRPr="00340246">
        <w:rPr>
          <w:rFonts w:eastAsia="Times New Roman" w:cs="Arial"/>
          <w:i/>
          <w:iCs/>
          <w:color w:val="000000"/>
          <w:lang w:eastAsia="bg-BG"/>
        </w:rPr>
        <w:t>Алкохол (като напитка или помощно вещество):</w:t>
      </w:r>
    </w:p>
    <w:p w14:paraId="6BD60646"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lastRenderedPageBreak/>
        <w:t>Алкохолът усилва седативният ефект на тези вещества. Нарушената бдителност може да направи шофирането и работата с машини опасни. Да се избягва консумацията на алкохолни напитки и лекарствени продукти, съдържащи алкохол.</w:t>
      </w:r>
    </w:p>
    <w:p w14:paraId="6B8DC7DC" w14:textId="77777777" w:rsidR="00340246" w:rsidRPr="00340246" w:rsidRDefault="00340246" w:rsidP="00340246">
      <w:pPr>
        <w:spacing w:line="240" w:lineRule="auto"/>
        <w:rPr>
          <w:rFonts w:eastAsia="Times New Roman" w:cs="Arial"/>
          <w:i/>
          <w:iCs/>
          <w:color w:val="000000"/>
          <w:lang w:eastAsia="bg-BG"/>
        </w:rPr>
      </w:pPr>
    </w:p>
    <w:p w14:paraId="0CBB9887" w14:textId="6391CDB7" w:rsidR="00340246" w:rsidRPr="00340246" w:rsidRDefault="00340246" w:rsidP="00340246">
      <w:pPr>
        <w:spacing w:line="240" w:lineRule="auto"/>
        <w:rPr>
          <w:rFonts w:eastAsia="Times New Roman" w:cs="Arial"/>
          <w:sz w:val="24"/>
          <w:szCs w:val="24"/>
        </w:rPr>
      </w:pPr>
      <w:r w:rsidRPr="00340246">
        <w:rPr>
          <w:rFonts w:eastAsia="Times New Roman" w:cs="Arial"/>
          <w:i/>
          <w:iCs/>
          <w:color w:val="000000"/>
          <w:lang w:eastAsia="bg-BG"/>
        </w:rPr>
        <w:t>Бета-блокери, използвани при сърдечна недостатъчност:</w:t>
      </w:r>
    </w:p>
    <w:p w14:paraId="13D73881"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Централен механизъм на намаляване на симпатикусовия тонус и вазодилатиращия ефект на централно действащите антихипертензивни лекарства, което може да е опасно при пациенти със сърдечна недостатъчност, лекувани с бета-блокери и вазодилататори.</w:t>
      </w:r>
    </w:p>
    <w:p w14:paraId="61E875CA" w14:textId="77777777" w:rsidR="00340246" w:rsidRPr="00340246" w:rsidRDefault="00340246" w:rsidP="00340246">
      <w:pPr>
        <w:spacing w:line="240" w:lineRule="auto"/>
        <w:rPr>
          <w:rFonts w:eastAsia="Times New Roman" w:cs="Arial"/>
          <w:i/>
          <w:iCs/>
          <w:color w:val="000000"/>
          <w:lang w:eastAsia="bg-BG"/>
        </w:rPr>
      </w:pPr>
    </w:p>
    <w:p w14:paraId="429F6EF3" w14:textId="39392FB8" w:rsidR="00340246" w:rsidRPr="00340246" w:rsidRDefault="00340246" w:rsidP="00340246">
      <w:pPr>
        <w:spacing w:line="240" w:lineRule="auto"/>
        <w:rPr>
          <w:rFonts w:eastAsia="Times New Roman" w:cs="Arial"/>
          <w:sz w:val="24"/>
          <w:szCs w:val="24"/>
        </w:rPr>
      </w:pPr>
      <w:r w:rsidRPr="00340246">
        <w:rPr>
          <w:rFonts w:eastAsia="Times New Roman" w:cs="Arial"/>
          <w:i/>
          <w:iCs/>
          <w:color w:val="000000"/>
          <w:lang w:eastAsia="bg-BG"/>
        </w:rPr>
        <w:t>Натриев оксибат:</w:t>
      </w:r>
    </w:p>
    <w:p w14:paraId="7970420E"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Повишено централно потискане. Нарушената бдителност може да направи шофирането и работата с машини опасни.</w:t>
      </w:r>
    </w:p>
    <w:p w14:paraId="2DE766B6" w14:textId="77777777" w:rsidR="00340246" w:rsidRPr="00340246" w:rsidRDefault="00340246" w:rsidP="00340246">
      <w:pPr>
        <w:spacing w:line="240" w:lineRule="auto"/>
        <w:rPr>
          <w:rFonts w:eastAsia="Times New Roman" w:cs="Arial"/>
          <w:color w:val="000000"/>
          <w:u w:val="single"/>
          <w:lang w:eastAsia="bg-BG"/>
        </w:rPr>
      </w:pPr>
    </w:p>
    <w:p w14:paraId="62A314DC" w14:textId="2DFBBF52" w:rsidR="00340246" w:rsidRPr="00340246" w:rsidRDefault="00340246" w:rsidP="00340246">
      <w:pPr>
        <w:spacing w:line="240" w:lineRule="auto"/>
        <w:rPr>
          <w:rFonts w:eastAsia="Times New Roman" w:cs="Arial"/>
          <w:sz w:val="24"/>
          <w:szCs w:val="24"/>
        </w:rPr>
      </w:pPr>
      <w:r w:rsidRPr="00340246">
        <w:rPr>
          <w:rFonts w:eastAsia="Times New Roman" w:cs="Arial"/>
          <w:color w:val="000000"/>
          <w:u w:val="single"/>
          <w:lang w:eastAsia="bg-BG"/>
        </w:rPr>
        <w:t>Едновременна употреба, която изисква особено внимание</w:t>
      </w:r>
    </w:p>
    <w:p w14:paraId="64F4E8DC" w14:textId="77777777" w:rsidR="00340246" w:rsidRPr="00340246" w:rsidRDefault="00340246" w:rsidP="00340246">
      <w:pPr>
        <w:spacing w:line="240" w:lineRule="auto"/>
        <w:rPr>
          <w:rFonts w:eastAsia="Times New Roman" w:cs="Arial"/>
          <w:i/>
          <w:iCs/>
          <w:color w:val="000000"/>
          <w:lang w:eastAsia="bg-BG"/>
        </w:rPr>
      </w:pPr>
    </w:p>
    <w:p w14:paraId="25642CD7" w14:textId="215C1741" w:rsidR="00340246" w:rsidRPr="00340246" w:rsidRDefault="00340246" w:rsidP="00340246">
      <w:pPr>
        <w:spacing w:line="240" w:lineRule="auto"/>
        <w:rPr>
          <w:rFonts w:eastAsia="Times New Roman" w:cs="Arial"/>
          <w:sz w:val="24"/>
          <w:szCs w:val="24"/>
        </w:rPr>
      </w:pPr>
      <w:r w:rsidRPr="00340246">
        <w:rPr>
          <w:rFonts w:eastAsia="Times New Roman" w:cs="Arial"/>
          <w:i/>
          <w:iCs/>
          <w:color w:val="000000"/>
          <w:lang w:eastAsia="bg-BG"/>
        </w:rPr>
        <w:t>Бета-блокери (с изключение на есмолол):</w:t>
      </w:r>
    </w:p>
    <w:p w14:paraId="0F1903AF"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Значително повишаване на кръвното налягане при внезапно спиране на действащи антихипертензивни продукти.</w:t>
      </w:r>
    </w:p>
    <w:p w14:paraId="749B7D6B" w14:textId="22962E5E" w:rsidR="00340246" w:rsidRPr="00340246" w:rsidRDefault="00340246" w:rsidP="00340246">
      <w:pPr>
        <w:rPr>
          <w:rFonts w:eastAsia="Times New Roman" w:cs="Arial"/>
          <w:color w:val="000000"/>
          <w:lang w:eastAsia="bg-BG"/>
        </w:rPr>
      </w:pPr>
      <w:r w:rsidRPr="00340246">
        <w:rPr>
          <w:rFonts w:eastAsia="Times New Roman" w:cs="Arial"/>
          <w:color w:val="000000"/>
          <w:lang w:eastAsia="bg-BG"/>
        </w:rPr>
        <w:t>Да се избягва внезапно спиране на лечението с централно действащи антихипертензивни продукти. Необходимо е клинично проследяване.</w:t>
      </w:r>
    </w:p>
    <w:p w14:paraId="767D9BF2" w14:textId="4BD47DE9" w:rsidR="00340246" w:rsidRPr="00340246" w:rsidRDefault="00340246" w:rsidP="00340246">
      <w:pPr>
        <w:rPr>
          <w:rFonts w:eastAsia="Times New Roman" w:cs="Arial"/>
          <w:color w:val="000000"/>
          <w:lang w:eastAsia="bg-BG"/>
        </w:rPr>
      </w:pPr>
    </w:p>
    <w:p w14:paraId="4A084713"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u w:val="single"/>
          <w:lang w:eastAsia="bg-BG"/>
        </w:rPr>
        <w:t>Едновременна употреба, която трябва да се обмисли</w:t>
      </w:r>
    </w:p>
    <w:p w14:paraId="1E8D04E5" w14:textId="77777777" w:rsidR="00340246" w:rsidRPr="00340246" w:rsidRDefault="00340246" w:rsidP="00340246">
      <w:pPr>
        <w:spacing w:line="240" w:lineRule="auto"/>
        <w:rPr>
          <w:rFonts w:eastAsia="Times New Roman" w:cs="Arial"/>
          <w:i/>
          <w:iCs/>
          <w:color w:val="000000"/>
          <w:lang w:eastAsia="bg-BG"/>
        </w:rPr>
      </w:pPr>
    </w:p>
    <w:p w14:paraId="3A9B87EF" w14:textId="2D833B77" w:rsidR="00340246" w:rsidRPr="00340246" w:rsidRDefault="00340246" w:rsidP="00340246">
      <w:pPr>
        <w:spacing w:line="240" w:lineRule="auto"/>
        <w:rPr>
          <w:rFonts w:eastAsia="Times New Roman" w:cs="Arial"/>
          <w:sz w:val="24"/>
          <w:szCs w:val="24"/>
        </w:rPr>
      </w:pPr>
      <w:r w:rsidRPr="00340246">
        <w:rPr>
          <w:rFonts w:eastAsia="Times New Roman" w:cs="Arial"/>
          <w:i/>
          <w:iCs/>
          <w:color w:val="000000"/>
          <w:lang w:eastAsia="bg-BG"/>
        </w:rPr>
        <w:t>Алфа-блокери за урологична употреба (алфузозин, доксазозин, празозин, силодозин, тамсулозин, теразозин):</w:t>
      </w:r>
    </w:p>
    <w:p w14:paraId="7BBAA21B"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Повишен хипотензивен ефект. Повишен риск от ортостатична хипотония.</w:t>
      </w:r>
    </w:p>
    <w:p w14:paraId="0ED777BF" w14:textId="77777777" w:rsidR="00340246" w:rsidRPr="00340246" w:rsidRDefault="00340246" w:rsidP="00340246">
      <w:pPr>
        <w:spacing w:line="240" w:lineRule="auto"/>
        <w:rPr>
          <w:rFonts w:eastAsia="Times New Roman" w:cs="Arial"/>
          <w:i/>
          <w:iCs/>
          <w:color w:val="000000"/>
          <w:lang w:eastAsia="bg-BG"/>
        </w:rPr>
      </w:pPr>
    </w:p>
    <w:p w14:paraId="41E9CE2F" w14:textId="230195AB" w:rsidR="00340246" w:rsidRPr="00340246" w:rsidRDefault="00340246" w:rsidP="00340246">
      <w:pPr>
        <w:spacing w:line="240" w:lineRule="auto"/>
        <w:rPr>
          <w:rFonts w:eastAsia="Times New Roman" w:cs="Arial"/>
          <w:sz w:val="24"/>
          <w:szCs w:val="24"/>
        </w:rPr>
      </w:pPr>
      <w:r w:rsidRPr="00340246">
        <w:rPr>
          <w:rFonts w:eastAsia="Times New Roman" w:cs="Arial"/>
          <w:i/>
          <w:iCs/>
          <w:color w:val="000000"/>
          <w:lang w:eastAsia="bg-BG"/>
        </w:rPr>
        <w:t>Алфа-блокери за антихипертензивна употреба:</w:t>
      </w:r>
    </w:p>
    <w:p w14:paraId="4197BBF6"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Повишен хипотензивен ефект. Повишен риск от ортостатична хипотония.</w:t>
      </w:r>
    </w:p>
    <w:p w14:paraId="20C86D6A" w14:textId="77777777" w:rsidR="00340246" w:rsidRPr="00340246" w:rsidRDefault="00340246" w:rsidP="00340246">
      <w:pPr>
        <w:spacing w:line="240" w:lineRule="auto"/>
        <w:rPr>
          <w:rFonts w:eastAsia="Times New Roman" w:cs="Arial"/>
          <w:i/>
          <w:iCs/>
          <w:color w:val="000000"/>
          <w:lang w:eastAsia="bg-BG"/>
        </w:rPr>
      </w:pPr>
    </w:p>
    <w:p w14:paraId="7512B2DE" w14:textId="7B199DD2" w:rsidR="00340246" w:rsidRPr="00340246" w:rsidRDefault="00340246" w:rsidP="00340246">
      <w:pPr>
        <w:spacing w:line="240" w:lineRule="auto"/>
        <w:rPr>
          <w:rFonts w:eastAsia="Times New Roman" w:cs="Arial"/>
          <w:sz w:val="24"/>
          <w:szCs w:val="24"/>
        </w:rPr>
      </w:pPr>
      <w:r w:rsidRPr="00340246">
        <w:rPr>
          <w:rFonts w:eastAsia="Times New Roman" w:cs="Arial"/>
          <w:i/>
          <w:iCs/>
          <w:color w:val="000000"/>
          <w:lang w:eastAsia="bg-BG"/>
        </w:rPr>
        <w:t>Други продукти със седативно действие: производни на морфин (аналгетици, средства против кашлица и заместителни терапии), невролептици, баритурати, бензодиазепини, други анксиолитици освен бензодиазепини (напр. мепробамат), сънотворни, седативни антидепресанти (амитриптипин, доксепин, миансерин, миртазапин, тримипрамин), седативни Н1 хистаминови антагонисти, централнодействащи антихипертензивни средства, баклофен и талидомид:</w:t>
      </w:r>
    </w:p>
    <w:p w14:paraId="6964DB11"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Повишен ефект на потискане на ЦНС, Нарушената бдителност може да направи шофирането и работата с машини опасни.</w:t>
      </w:r>
    </w:p>
    <w:p w14:paraId="3C2A43FA" w14:textId="77777777" w:rsidR="00340246" w:rsidRPr="00340246" w:rsidRDefault="00340246" w:rsidP="00340246">
      <w:pPr>
        <w:spacing w:line="240" w:lineRule="auto"/>
        <w:rPr>
          <w:rFonts w:eastAsia="Times New Roman" w:cs="Arial"/>
          <w:i/>
          <w:iCs/>
          <w:color w:val="000000"/>
          <w:lang w:eastAsia="bg-BG"/>
        </w:rPr>
      </w:pPr>
    </w:p>
    <w:p w14:paraId="5D351515" w14:textId="441A332E" w:rsidR="00340246" w:rsidRPr="00340246" w:rsidRDefault="00340246" w:rsidP="00340246">
      <w:pPr>
        <w:spacing w:line="240" w:lineRule="auto"/>
        <w:rPr>
          <w:rFonts w:eastAsia="Times New Roman" w:cs="Arial"/>
          <w:sz w:val="24"/>
          <w:szCs w:val="24"/>
        </w:rPr>
      </w:pPr>
      <w:r w:rsidRPr="00340246">
        <w:rPr>
          <w:rFonts w:eastAsia="Times New Roman" w:cs="Arial"/>
          <w:i/>
          <w:iCs/>
          <w:color w:val="000000"/>
          <w:lang w:eastAsia="bg-BG"/>
        </w:rPr>
        <w:t>Подобни на нитрати вещества:</w:t>
      </w:r>
    </w:p>
    <w:p w14:paraId="5876B4C6"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Повишен риск от хипотония, особено ортостатична хипотония.</w:t>
      </w:r>
    </w:p>
    <w:p w14:paraId="61CA91E0" w14:textId="77777777" w:rsidR="00340246" w:rsidRPr="00340246" w:rsidRDefault="00340246" w:rsidP="00340246">
      <w:pPr>
        <w:spacing w:line="240" w:lineRule="auto"/>
        <w:rPr>
          <w:rFonts w:eastAsia="Times New Roman" w:cs="Arial"/>
          <w:i/>
          <w:iCs/>
          <w:color w:val="000000"/>
          <w:lang w:eastAsia="bg-BG"/>
        </w:rPr>
      </w:pPr>
    </w:p>
    <w:p w14:paraId="5D01EA38" w14:textId="3C7EA69C" w:rsidR="00340246" w:rsidRPr="00340246" w:rsidRDefault="00340246" w:rsidP="00340246">
      <w:pPr>
        <w:spacing w:line="240" w:lineRule="auto"/>
        <w:rPr>
          <w:rFonts w:eastAsia="Times New Roman" w:cs="Arial"/>
          <w:sz w:val="24"/>
          <w:szCs w:val="24"/>
        </w:rPr>
      </w:pPr>
      <w:r w:rsidRPr="00340246">
        <w:rPr>
          <w:rFonts w:eastAsia="Times New Roman" w:cs="Arial"/>
          <w:i/>
          <w:iCs/>
          <w:color w:val="000000"/>
          <w:lang w:eastAsia="bg-BG"/>
        </w:rPr>
        <w:t xml:space="preserve">Лекарства, които може да предизвикат ортостатична хипотония: </w:t>
      </w:r>
      <w:r w:rsidRPr="00340246">
        <w:rPr>
          <w:rFonts w:eastAsia="Times New Roman" w:cs="Arial"/>
          <w:color w:val="000000"/>
          <w:lang w:eastAsia="bg-BG"/>
        </w:rPr>
        <w:t>Риск от учестяване на ортостатичната хипотония.</w:t>
      </w:r>
    </w:p>
    <w:p w14:paraId="31EF3C2C" w14:textId="77777777" w:rsidR="00340246" w:rsidRPr="00340246" w:rsidRDefault="00340246" w:rsidP="00340246"/>
    <w:p w14:paraId="006BE4EC" w14:textId="08153597" w:rsidR="00DB32D3" w:rsidRDefault="002C50EE" w:rsidP="005726E3">
      <w:pPr>
        <w:pStyle w:val="Heading2"/>
      </w:pPr>
      <w:r>
        <w:t>4.6. Фертилитет, бременност и кърмене</w:t>
      </w:r>
    </w:p>
    <w:p w14:paraId="30B5A059" w14:textId="42D53C8A" w:rsidR="00340246" w:rsidRDefault="00340246" w:rsidP="00340246"/>
    <w:p w14:paraId="66A171F5" w14:textId="77777777" w:rsidR="00340246" w:rsidRPr="00340246" w:rsidRDefault="00340246" w:rsidP="00340246">
      <w:pPr>
        <w:pStyle w:val="Heading3"/>
        <w:rPr>
          <w:rFonts w:eastAsia="Times New Roman"/>
          <w:u w:val="single"/>
        </w:rPr>
      </w:pPr>
      <w:r w:rsidRPr="00340246">
        <w:rPr>
          <w:rFonts w:eastAsia="Times New Roman"/>
          <w:u w:val="single"/>
          <w:lang w:eastAsia="bg-BG"/>
        </w:rPr>
        <w:t>Бременност</w:t>
      </w:r>
    </w:p>
    <w:p w14:paraId="5A9DA629"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Липсват или има ограничени данни (за изхода на по-малко от 300 случая на бременност) от употребата на рилменидин при бременни жени.</w:t>
      </w:r>
    </w:p>
    <w:p w14:paraId="61EB0D08" w14:textId="77777777" w:rsidR="00340246" w:rsidRPr="00340246" w:rsidRDefault="00340246" w:rsidP="00340246">
      <w:pPr>
        <w:spacing w:line="240" w:lineRule="auto"/>
        <w:rPr>
          <w:rFonts w:eastAsia="Times New Roman" w:cs="Arial"/>
          <w:color w:val="000000"/>
          <w:lang w:eastAsia="bg-BG"/>
        </w:rPr>
      </w:pPr>
    </w:p>
    <w:p w14:paraId="6CFC4AC8" w14:textId="43A667DB"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Проучванията при животни не показват преки или непреки вредни ефекти, свързани с репродуктивна токсичност (вж. точка 5.3).</w:t>
      </w:r>
    </w:p>
    <w:p w14:paraId="22AABCA1" w14:textId="77777777" w:rsidR="00340246" w:rsidRPr="00340246" w:rsidRDefault="00340246" w:rsidP="00340246">
      <w:pPr>
        <w:spacing w:line="240" w:lineRule="auto"/>
        <w:rPr>
          <w:rFonts w:eastAsia="Times New Roman" w:cs="Arial"/>
          <w:color w:val="000000"/>
          <w:lang w:eastAsia="bg-BG"/>
        </w:rPr>
      </w:pPr>
    </w:p>
    <w:p w14:paraId="25CDDD55" w14:textId="115FC8E5"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Като предпазна мярка е за предпочитане да се избягва употребата на рилменидин по време на бременност.</w:t>
      </w:r>
    </w:p>
    <w:p w14:paraId="7A7B78D8" w14:textId="77777777" w:rsidR="00340246" w:rsidRPr="00340246" w:rsidRDefault="00340246" w:rsidP="00340246">
      <w:pPr>
        <w:spacing w:line="240" w:lineRule="auto"/>
        <w:rPr>
          <w:rFonts w:eastAsia="Times New Roman" w:cs="Arial"/>
          <w:color w:val="000000"/>
          <w:u w:val="single"/>
          <w:lang w:eastAsia="bg-BG"/>
        </w:rPr>
      </w:pPr>
    </w:p>
    <w:p w14:paraId="65B0D753" w14:textId="0B133240" w:rsidR="00340246" w:rsidRPr="00340246" w:rsidRDefault="00340246" w:rsidP="00340246">
      <w:pPr>
        <w:pStyle w:val="Heading3"/>
        <w:rPr>
          <w:rFonts w:eastAsia="Times New Roman"/>
          <w:u w:val="single"/>
        </w:rPr>
      </w:pPr>
      <w:r w:rsidRPr="00340246">
        <w:rPr>
          <w:rFonts w:eastAsia="Times New Roman"/>
          <w:u w:val="single"/>
          <w:lang w:eastAsia="bg-BG"/>
        </w:rPr>
        <w:t>Кърмене</w:t>
      </w:r>
    </w:p>
    <w:p w14:paraId="4C417600"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Не е известно дали рилменидин/метаболитите се екскретират в кърмата.</w:t>
      </w:r>
    </w:p>
    <w:p w14:paraId="0FD744FA" w14:textId="77777777" w:rsidR="00340246" w:rsidRPr="00340246" w:rsidRDefault="00340246" w:rsidP="00340246">
      <w:pPr>
        <w:spacing w:line="240" w:lineRule="auto"/>
        <w:rPr>
          <w:rFonts w:eastAsia="Times New Roman" w:cs="Arial"/>
          <w:color w:val="000000"/>
          <w:lang w:eastAsia="bg-BG"/>
        </w:rPr>
      </w:pPr>
    </w:p>
    <w:p w14:paraId="0658B898" w14:textId="6DD7EE20"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Наличните фармакодинамични/токсикологични данни при животни показват екскреция на рилменидин/метаболитите в млякото.</w:t>
      </w:r>
    </w:p>
    <w:p w14:paraId="0A2CFF9C" w14:textId="77777777" w:rsidR="00340246" w:rsidRPr="00340246" w:rsidRDefault="00340246" w:rsidP="00340246">
      <w:pPr>
        <w:spacing w:line="240" w:lineRule="auto"/>
        <w:rPr>
          <w:rFonts w:eastAsia="Times New Roman" w:cs="Arial"/>
          <w:color w:val="000000"/>
          <w:lang w:eastAsia="bg-BG"/>
        </w:rPr>
      </w:pPr>
    </w:p>
    <w:p w14:paraId="14AE437D" w14:textId="507DEE54"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Не може да се изключи риск за новородените/кърмачетата.</w:t>
      </w:r>
    </w:p>
    <w:p w14:paraId="48BCFE7A" w14:textId="77777777" w:rsidR="00340246" w:rsidRPr="00340246" w:rsidRDefault="00340246" w:rsidP="00340246">
      <w:pPr>
        <w:spacing w:line="240" w:lineRule="auto"/>
        <w:rPr>
          <w:rFonts w:eastAsia="Times New Roman" w:cs="Arial"/>
          <w:color w:val="000000"/>
          <w:lang w:eastAsia="bg-BG"/>
        </w:rPr>
      </w:pPr>
    </w:p>
    <w:p w14:paraId="7C5FC296" w14:textId="7B56B725"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Рилменидин не трябва да се използва по време на кърмене.</w:t>
      </w:r>
    </w:p>
    <w:p w14:paraId="3A4C3F16" w14:textId="77777777" w:rsidR="00340246" w:rsidRPr="00340246" w:rsidRDefault="00340246" w:rsidP="00340246">
      <w:pPr>
        <w:spacing w:line="240" w:lineRule="auto"/>
        <w:rPr>
          <w:rFonts w:eastAsia="Times New Roman" w:cs="Arial"/>
          <w:color w:val="000000"/>
          <w:u w:val="single"/>
          <w:lang w:eastAsia="bg-BG"/>
        </w:rPr>
      </w:pPr>
    </w:p>
    <w:p w14:paraId="00B8ECD5" w14:textId="157B67DD" w:rsidR="00340246" w:rsidRPr="00340246" w:rsidRDefault="00340246" w:rsidP="00340246">
      <w:pPr>
        <w:pStyle w:val="Heading3"/>
        <w:rPr>
          <w:rFonts w:eastAsia="Times New Roman"/>
          <w:u w:val="single"/>
        </w:rPr>
      </w:pPr>
      <w:r w:rsidRPr="00340246">
        <w:rPr>
          <w:rFonts w:eastAsia="Times New Roman"/>
          <w:u w:val="single"/>
          <w:lang w:eastAsia="bg-BG"/>
        </w:rPr>
        <w:t>Фертилитет</w:t>
      </w:r>
    </w:p>
    <w:p w14:paraId="51625010"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Проучванията за репродуктивност при плъхове не са показали ефект на рилменидин върху фертилитета (вж. точка 5.3).</w:t>
      </w:r>
    </w:p>
    <w:p w14:paraId="09805B8B" w14:textId="77777777" w:rsidR="00340246" w:rsidRPr="00340246" w:rsidRDefault="00340246" w:rsidP="00340246"/>
    <w:p w14:paraId="128BA3A8" w14:textId="667B83A1" w:rsidR="00DB32D3" w:rsidRDefault="002C50EE" w:rsidP="005726E3">
      <w:pPr>
        <w:pStyle w:val="Heading2"/>
      </w:pPr>
      <w:r>
        <w:t>4.7. Ефекти върху способността за шофиране и работа с машини</w:t>
      </w:r>
    </w:p>
    <w:p w14:paraId="2B75AC27" w14:textId="5C5A26E3" w:rsidR="00340246" w:rsidRDefault="00340246" w:rsidP="00340246"/>
    <w:p w14:paraId="1D862862" w14:textId="77777777" w:rsidR="00340246" w:rsidRPr="00340246" w:rsidRDefault="00340246" w:rsidP="00340246">
      <w:pPr>
        <w:rPr>
          <w:sz w:val="24"/>
          <w:szCs w:val="24"/>
        </w:rPr>
      </w:pPr>
      <w:r w:rsidRPr="00340246">
        <w:rPr>
          <w:lang w:eastAsia="bg-BG"/>
        </w:rPr>
        <w:t>Не са провеждани проучвания на ефектите върху способността за шофиране и работа с</w:t>
      </w:r>
    </w:p>
    <w:p w14:paraId="3EC7E768" w14:textId="77777777" w:rsidR="00340246" w:rsidRPr="00340246" w:rsidRDefault="00340246" w:rsidP="00340246">
      <w:pPr>
        <w:rPr>
          <w:sz w:val="24"/>
          <w:szCs w:val="24"/>
        </w:rPr>
      </w:pPr>
      <w:r w:rsidRPr="00340246">
        <w:rPr>
          <w:lang w:eastAsia="bg-BG"/>
        </w:rPr>
        <w:t>машини.</w:t>
      </w:r>
    </w:p>
    <w:p w14:paraId="0992C0B0" w14:textId="65CB9EEF" w:rsidR="00340246" w:rsidRDefault="00340246" w:rsidP="00340246">
      <w:pPr>
        <w:rPr>
          <w:lang w:eastAsia="bg-BG"/>
        </w:rPr>
      </w:pPr>
      <w:r w:rsidRPr="00340246">
        <w:rPr>
          <w:lang w:eastAsia="bg-BG"/>
        </w:rPr>
        <w:t>Все пак предвид на това, че сънливостта е честа нежелана реакция, пациентите трябва да бъдат</w:t>
      </w:r>
      <w:r w:rsidRPr="00340246">
        <w:rPr>
          <w:i/>
          <w:iCs/>
          <w:lang w:eastAsia="bg-BG"/>
        </w:rPr>
        <w:t xml:space="preserve"> </w:t>
      </w:r>
      <w:r w:rsidRPr="00340246">
        <w:rPr>
          <w:lang w:eastAsia="bg-BG"/>
        </w:rPr>
        <w:t>предупредени за тяхната способност да шофират или да работят с машини.</w:t>
      </w:r>
    </w:p>
    <w:p w14:paraId="4F9D190E" w14:textId="77777777" w:rsidR="00340246" w:rsidRPr="00340246" w:rsidRDefault="00340246" w:rsidP="00340246"/>
    <w:p w14:paraId="44CE30A3" w14:textId="58D70CF2" w:rsidR="007122AD" w:rsidRDefault="002C50EE" w:rsidP="00936AD0">
      <w:pPr>
        <w:pStyle w:val="Heading2"/>
      </w:pPr>
      <w:r>
        <w:t>4.8. Нежелани лекарствени реакции</w:t>
      </w:r>
    </w:p>
    <w:p w14:paraId="4D18781B" w14:textId="3EC475A1" w:rsidR="00340246" w:rsidRDefault="00340246" w:rsidP="00340246"/>
    <w:p w14:paraId="4C05110F"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u w:val="single"/>
          <w:lang w:eastAsia="bg-BG"/>
        </w:rPr>
        <w:t>Резюме на профила на безопасност</w:t>
      </w:r>
    </w:p>
    <w:p w14:paraId="796C586B"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 xml:space="preserve">При доза от 1 </w:t>
      </w:r>
      <w:r w:rsidRPr="00340246">
        <w:rPr>
          <w:rFonts w:eastAsia="Times New Roman" w:cs="Arial"/>
          <w:color w:val="000000"/>
          <w:lang w:val="en-US"/>
        </w:rPr>
        <w:t>mg</w:t>
      </w:r>
      <w:r w:rsidRPr="00340246">
        <w:rPr>
          <w:rFonts w:eastAsia="Times New Roman" w:cs="Arial"/>
          <w:color w:val="000000"/>
          <w:lang w:val="ru-RU"/>
        </w:rPr>
        <w:t xml:space="preserve"> </w:t>
      </w:r>
      <w:r w:rsidRPr="00340246">
        <w:rPr>
          <w:rFonts w:eastAsia="Times New Roman" w:cs="Arial"/>
          <w:color w:val="000000"/>
          <w:lang w:eastAsia="bg-BG"/>
        </w:rPr>
        <w:t>еднократно дневно честотата на нежеланите лекарствени реакции е сравнима с тази, наблюдавана при плацебо по време на контролирани клинични изпитвания.</w:t>
      </w:r>
    </w:p>
    <w:p w14:paraId="2D543EDE" w14:textId="77777777" w:rsidR="00340246" w:rsidRPr="00340246" w:rsidRDefault="00340246" w:rsidP="00340246">
      <w:pPr>
        <w:spacing w:line="240" w:lineRule="auto"/>
        <w:rPr>
          <w:rFonts w:eastAsia="Times New Roman" w:cs="Arial"/>
          <w:color w:val="000000"/>
          <w:lang w:eastAsia="bg-BG"/>
        </w:rPr>
      </w:pPr>
    </w:p>
    <w:p w14:paraId="4C88F742" w14:textId="5691AADA"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 xml:space="preserve">При доза от 2 </w:t>
      </w:r>
      <w:r w:rsidRPr="00340246">
        <w:rPr>
          <w:rFonts w:eastAsia="Times New Roman" w:cs="Arial"/>
          <w:color w:val="000000"/>
          <w:lang w:val="en-US"/>
        </w:rPr>
        <w:t>mg</w:t>
      </w:r>
      <w:r w:rsidRPr="00340246">
        <w:rPr>
          <w:rFonts w:eastAsia="Times New Roman" w:cs="Arial"/>
          <w:color w:val="000000"/>
          <w:lang w:val="ru-RU"/>
        </w:rPr>
        <w:t xml:space="preserve"> </w:t>
      </w:r>
      <w:r w:rsidRPr="00340246">
        <w:rPr>
          <w:rFonts w:eastAsia="Times New Roman" w:cs="Arial"/>
          <w:color w:val="000000"/>
          <w:lang w:eastAsia="bg-BG"/>
        </w:rPr>
        <w:t xml:space="preserve">рилменидин дневно, контролираните сравнителни клинични изпитвания спрямо клонидин в доза от 0,15 до 0,30 </w:t>
      </w:r>
      <w:r w:rsidRPr="00340246">
        <w:rPr>
          <w:rFonts w:eastAsia="Times New Roman" w:cs="Arial"/>
          <w:color w:val="000000"/>
          <w:lang w:val="en-US"/>
        </w:rPr>
        <w:t>mg</w:t>
      </w:r>
      <w:r w:rsidRPr="00340246">
        <w:rPr>
          <w:rFonts w:eastAsia="Times New Roman" w:cs="Arial"/>
          <w:color w:val="000000"/>
          <w:lang w:val="ru-RU"/>
        </w:rPr>
        <w:t xml:space="preserve"> </w:t>
      </w:r>
      <w:r w:rsidRPr="00340246">
        <w:rPr>
          <w:rFonts w:eastAsia="Times New Roman" w:cs="Arial"/>
          <w:color w:val="000000"/>
          <w:lang w:eastAsia="bg-BG"/>
        </w:rPr>
        <w:t xml:space="preserve">дневно или алфа-метилдопа в доза от 500 до 1 000 </w:t>
      </w:r>
      <w:r w:rsidRPr="00340246">
        <w:rPr>
          <w:rFonts w:eastAsia="Times New Roman" w:cs="Arial"/>
          <w:color w:val="000000"/>
          <w:lang w:val="en-US"/>
        </w:rPr>
        <w:t>mg</w:t>
      </w:r>
      <w:r w:rsidRPr="00340246">
        <w:rPr>
          <w:rFonts w:eastAsia="Times New Roman" w:cs="Arial"/>
          <w:color w:val="000000"/>
          <w:lang w:val="ru-RU"/>
        </w:rPr>
        <w:t xml:space="preserve"> </w:t>
      </w:r>
      <w:r w:rsidRPr="00340246">
        <w:rPr>
          <w:rFonts w:eastAsia="Times New Roman" w:cs="Arial"/>
          <w:color w:val="000000"/>
          <w:lang w:eastAsia="bg-BG"/>
        </w:rPr>
        <w:t>дневно показват, че честотата на нежеланите лекарствени реакции е значително по- ниска в сравнение с тази, наблюдавана с клонидин или алфа-метилдопа.</w:t>
      </w:r>
    </w:p>
    <w:p w14:paraId="4B2E9EDF" w14:textId="77777777" w:rsidR="00340246" w:rsidRPr="00340246" w:rsidRDefault="00340246" w:rsidP="00340246">
      <w:pPr>
        <w:spacing w:line="240" w:lineRule="auto"/>
        <w:rPr>
          <w:rFonts w:eastAsia="Times New Roman" w:cs="Arial"/>
          <w:color w:val="000000"/>
          <w:u w:val="single"/>
          <w:lang w:eastAsia="bg-BG"/>
        </w:rPr>
      </w:pPr>
    </w:p>
    <w:p w14:paraId="3D827884" w14:textId="744D0E68" w:rsidR="00340246" w:rsidRPr="00340246" w:rsidRDefault="00340246" w:rsidP="00340246">
      <w:pPr>
        <w:spacing w:line="240" w:lineRule="auto"/>
        <w:rPr>
          <w:rFonts w:eastAsia="Times New Roman" w:cs="Arial"/>
          <w:sz w:val="24"/>
          <w:szCs w:val="24"/>
        </w:rPr>
      </w:pPr>
      <w:r w:rsidRPr="00340246">
        <w:rPr>
          <w:rFonts w:eastAsia="Times New Roman" w:cs="Arial"/>
          <w:color w:val="000000"/>
          <w:u w:val="single"/>
          <w:lang w:eastAsia="bg-BG"/>
        </w:rPr>
        <w:t>Табличен списък на нежеланите лекарствени реакции</w:t>
      </w:r>
    </w:p>
    <w:p w14:paraId="11E188D1" w14:textId="761FD788" w:rsidR="00340246" w:rsidRDefault="00340246" w:rsidP="00340246">
      <w:pPr>
        <w:rPr>
          <w:rFonts w:eastAsia="Times New Roman" w:cs="Arial"/>
          <w:color w:val="000000"/>
          <w:lang w:eastAsia="bg-BG"/>
        </w:rPr>
      </w:pPr>
      <w:r w:rsidRPr="00340246">
        <w:rPr>
          <w:rFonts w:eastAsia="Times New Roman" w:cs="Arial"/>
          <w:color w:val="000000"/>
          <w:lang w:eastAsia="bg-BG"/>
        </w:rPr>
        <w:t>Следните нежелани лекарствени реакции или събития са съобщени и класифицирани, като е използвана следната честота: много чести (≥1/10), чести (≥1/100 до &lt;1/10), нечести (≥1/1 000 до &lt;1/100), редки (≥1/10 000 до &lt;1/1 000), много редки (&lt; 1/10 000), с неизвестна честота (от наличните данни не може да бъде направена оценка).</w:t>
      </w:r>
    </w:p>
    <w:p w14:paraId="3E9C775D" w14:textId="139C0779" w:rsidR="00340246" w:rsidRDefault="00340246" w:rsidP="00340246">
      <w:pPr>
        <w:rPr>
          <w:rFonts w:eastAsia="Times New Roman" w:cs="Arial"/>
          <w:color w:val="000000"/>
          <w:lang w:eastAsia="bg-BG"/>
        </w:rPr>
      </w:pPr>
    </w:p>
    <w:tbl>
      <w:tblPr>
        <w:tblStyle w:val="TableGrid"/>
        <w:tblW w:w="0" w:type="auto"/>
        <w:tblLook w:val="04A0" w:firstRow="1" w:lastRow="0" w:firstColumn="1" w:lastColumn="0" w:noHBand="0" w:noVBand="1"/>
      </w:tblPr>
      <w:tblGrid>
        <w:gridCol w:w="3150"/>
        <w:gridCol w:w="3087"/>
        <w:gridCol w:w="3113"/>
      </w:tblGrid>
      <w:tr w:rsidR="00340246" w14:paraId="5ED9A59F" w14:textId="77777777" w:rsidTr="00340246">
        <w:tc>
          <w:tcPr>
            <w:tcW w:w="3192" w:type="dxa"/>
          </w:tcPr>
          <w:p w14:paraId="33F8A22E" w14:textId="2FE758FC" w:rsidR="00340246" w:rsidRDefault="00340246" w:rsidP="00340246">
            <w:pPr>
              <w:rPr>
                <w:rFonts w:cs="Arial"/>
              </w:rPr>
            </w:pPr>
            <w:r>
              <w:rPr>
                <w:b/>
                <w:bCs/>
              </w:rPr>
              <w:t>Системо-органен клас</w:t>
            </w:r>
          </w:p>
        </w:tc>
        <w:tc>
          <w:tcPr>
            <w:tcW w:w="3192" w:type="dxa"/>
          </w:tcPr>
          <w:p w14:paraId="647290FB" w14:textId="594D98FB" w:rsidR="00340246" w:rsidRDefault="00340246" w:rsidP="00340246">
            <w:pPr>
              <w:rPr>
                <w:rFonts w:cs="Arial"/>
              </w:rPr>
            </w:pPr>
            <w:r>
              <w:rPr>
                <w:b/>
                <w:bCs/>
              </w:rPr>
              <w:t>Честота</w:t>
            </w:r>
          </w:p>
        </w:tc>
        <w:tc>
          <w:tcPr>
            <w:tcW w:w="3192" w:type="dxa"/>
          </w:tcPr>
          <w:p w14:paraId="1A30D7F6" w14:textId="10F2C26F" w:rsidR="00340246" w:rsidRDefault="00340246" w:rsidP="00340246">
            <w:pPr>
              <w:rPr>
                <w:rFonts w:cs="Arial"/>
              </w:rPr>
            </w:pPr>
            <w:r>
              <w:rPr>
                <w:b/>
                <w:bCs/>
              </w:rPr>
              <w:t>Нежелана реакция</w:t>
            </w:r>
          </w:p>
        </w:tc>
      </w:tr>
      <w:tr w:rsidR="00340246" w14:paraId="2507AE6B" w14:textId="77777777" w:rsidTr="00340246">
        <w:tc>
          <w:tcPr>
            <w:tcW w:w="3192" w:type="dxa"/>
          </w:tcPr>
          <w:p w14:paraId="5EB3B9E0" w14:textId="4C19C95B" w:rsidR="00340246" w:rsidRDefault="00340246" w:rsidP="00340246">
            <w:pPr>
              <w:rPr>
                <w:rFonts w:cs="Arial"/>
              </w:rPr>
            </w:pPr>
            <w:r>
              <w:lastRenderedPageBreak/>
              <w:t>Психични нарушения</w:t>
            </w:r>
          </w:p>
        </w:tc>
        <w:tc>
          <w:tcPr>
            <w:tcW w:w="3192" w:type="dxa"/>
          </w:tcPr>
          <w:p w14:paraId="2FEE9C8B" w14:textId="144E8845" w:rsidR="00340246" w:rsidRDefault="00340246" w:rsidP="00340246">
            <w:pPr>
              <w:rPr>
                <w:rFonts w:cs="Arial"/>
              </w:rPr>
            </w:pPr>
            <w:r>
              <w:t>Чести</w:t>
            </w:r>
          </w:p>
        </w:tc>
        <w:tc>
          <w:tcPr>
            <w:tcW w:w="3192" w:type="dxa"/>
          </w:tcPr>
          <w:p w14:paraId="6FF855FD" w14:textId="23CE7B3C" w:rsidR="00340246" w:rsidRDefault="00340246" w:rsidP="00340246">
            <w:pPr>
              <w:rPr>
                <w:rFonts w:cs="Arial"/>
              </w:rPr>
            </w:pPr>
            <w:r>
              <w:t>Тревожност Депресия Безсъние</w:t>
            </w:r>
          </w:p>
        </w:tc>
      </w:tr>
      <w:tr w:rsidR="00340246" w14:paraId="3DE7960C" w14:textId="77777777" w:rsidTr="00340246">
        <w:tc>
          <w:tcPr>
            <w:tcW w:w="3192" w:type="dxa"/>
          </w:tcPr>
          <w:p w14:paraId="32BAFABD" w14:textId="435A812B" w:rsidR="00340246" w:rsidRDefault="00340246" w:rsidP="00340246">
            <w:pPr>
              <w:rPr>
                <w:rFonts w:cs="Arial"/>
              </w:rPr>
            </w:pPr>
            <w:r>
              <w:t>Нарушения на нервната система</w:t>
            </w:r>
          </w:p>
        </w:tc>
        <w:tc>
          <w:tcPr>
            <w:tcW w:w="3192" w:type="dxa"/>
          </w:tcPr>
          <w:p w14:paraId="4A320385" w14:textId="021A1655" w:rsidR="00340246" w:rsidRDefault="00340246" w:rsidP="00340246">
            <w:pPr>
              <w:rPr>
                <w:rFonts w:cs="Arial"/>
              </w:rPr>
            </w:pPr>
            <w:r>
              <w:t>Чести</w:t>
            </w:r>
          </w:p>
        </w:tc>
        <w:tc>
          <w:tcPr>
            <w:tcW w:w="3192" w:type="dxa"/>
          </w:tcPr>
          <w:p w14:paraId="7BBDDD81" w14:textId="3DD767D6" w:rsidR="00340246" w:rsidRDefault="00340246" w:rsidP="00340246">
            <w:pPr>
              <w:rPr>
                <w:rFonts w:cs="Arial"/>
              </w:rPr>
            </w:pPr>
            <w:r>
              <w:t>Сомнолентност Главоболие замаяност</w:t>
            </w:r>
          </w:p>
        </w:tc>
      </w:tr>
      <w:tr w:rsidR="00340246" w14:paraId="7870ECD5" w14:textId="77777777" w:rsidTr="00340246">
        <w:tc>
          <w:tcPr>
            <w:tcW w:w="3192" w:type="dxa"/>
            <w:vMerge w:val="restart"/>
          </w:tcPr>
          <w:p w14:paraId="787431AF" w14:textId="0BB755FD" w:rsidR="00340246" w:rsidRDefault="00340246" w:rsidP="00340246">
            <w:pPr>
              <w:rPr>
                <w:rFonts w:cs="Arial"/>
              </w:rPr>
            </w:pPr>
            <w:r>
              <w:t>Сърдечни нарушения</w:t>
            </w:r>
          </w:p>
        </w:tc>
        <w:tc>
          <w:tcPr>
            <w:tcW w:w="3192" w:type="dxa"/>
          </w:tcPr>
          <w:p w14:paraId="1CA2F2EC" w14:textId="136A7BD7" w:rsidR="00340246" w:rsidRDefault="00340246" w:rsidP="00340246">
            <w:pPr>
              <w:rPr>
                <w:rFonts w:cs="Arial"/>
              </w:rPr>
            </w:pPr>
            <w:r>
              <w:t>Чести</w:t>
            </w:r>
          </w:p>
        </w:tc>
        <w:tc>
          <w:tcPr>
            <w:tcW w:w="3192" w:type="dxa"/>
          </w:tcPr>
          <w:p w14:paraId="324E1463" w14:textId="771DB208" w:rsidR="00340246" w:rsidRDefault="00340246" w:rsidP="00340246">
            <w:pPr>
              <w:rPr>
                <w:rFonts w:cs="Arial"/>
              </w:rPr>
            </w:pPr>
            <w:r>
              <w:t>Палпитации</w:t>
            </w:r>
          </w:p>
        </w:tc>
      </w:tr>
      <w:tr w:rsidR="00340246" w14:paraId="1D3B6874" w14:textId="77777777" w:rsidTr="00340246">
        <w:tc>
          <w:tcPr>
            <w:tcW w:w="3192" w:type="dxa"/>
            <w:vMerge/>
          </w:tcPr>
          <w:p w14:paraId="1F3AA38A" w14:textId="77777777" w:rsidR="00340246" w:rsidRDefault="00340246" w:rsidP="00340246">
            <w:pPr>
              <w:rPr>
                <w:rFonts w:cs="Arial"/>
              </w:rPr>
            </w:pPr>
          </w:p>
        </w:tc>
        <w:tc>
          <w:tcPr>
            <w:tcW w:w="3192" w:type="dxa"/>
          </w:tcPr>
          <w:p w14:paraId="27A097DC" w14:textId="4943CF52" w:rsidR="00340246" w:rsidRDefault="00340246" w:rsidP="00340246">
            <w:pPr>
              <w:rPr>
                <w:rFonts w:cs="Arial"/>
              </w:rPr>
            </w:pPr>
            <w:r>
              <w:t>С неизвестна честота</w:t>
            </w:r>
          </w:p>
        </w:tc>
        <w:tc>
          <w:tcPr>
            <w:tcW w:w="3192" w:type="dxa"/>
          </w:tcPr>
          <w:p w14:paraId="56EEABA3" w14:textId="497564B7" w:rsidR="00340246" w:rsidRDefault="00340246" w:rsidP="00340246">
            <w:pPr>
              <w:rPr>
                <w:rFonts w:cs="Arial"/>
              </w:rPr>
            </w:pPr>
            <w:r>
              <w:t>Брадикардия</w:t>
            </w:r>
          </w:p>
        </w:tc>
      </w:tr>
      <w:tr w:rsidR="00340246" w14:paraId="50BD2DEF" w14:textId="77777777" w:rsidTr="00340246">
        <w:tc>
          <w:tcPr>
            <w:tcW w:w="3192" w:type="dxa"/>
            <w:vMerge w:val="restart"/>
          </w:tcPr>
          <w:p w14:paraId="0B22F49F" w14:textId="37A597D9" w:rsidR="00340246" w:rsidRDefault="00340246" w:rsidP="00340246">
            <w:pPr>
              <w:rPr>
                <w:rFonts w:cs="Arial"/>
              </w:rPr>
            </w:pPr>
            <w:r>
              <w:t>Съдови нарушения</w:t>
            </w:r>
          </w:p>
        </w:tc>
        <w:tc>
          <w:tcPr>
            <w:tcW w:w="3192" w:type="dxa"/>
          </w:tcPr>
          <w:p w14:paraId="570F405E" w14:textId="66BF31BA" w:rsidR="00340246" w:rsidRDefault="00340246" w:rsidP="00340246">
            <w:pPr>
              <w:rPr>
                <w:rFonts w:cs="Arial"/>
              </w:rPr>
            </w:pPr>
            <w:r>
              <w:t>Чести</w:t>
            </w:r>
          </w:p>
        </w:tc>
        <w:tc>
          <w:tcPr>
            <w:tcW w:w="3192" w:type="dxa"/>
          </w:tcPr>
          <w:p w14:paraId="7F25305C" w14:textId="4FE39ADD" w:rsidR="00340246" w:rsidRDefault="00340246" w:rsidP="00340246">
            <w:pPr>
              <w:rPr>
                <w:rFonts w:cs="Arial"/>
              </w:rPr>
            </w:pPr>
            <w:r>
              <w:t>Студени крайници</w:t>
            </w:r>
          </w:p>
        </w:tc>
      </w:tr>
      <w:tr w:rsidR="00340246" w14:paraId="2A48CCF7" w14:textId="77777777" w:rsidTr="00340246">
        <w:tc>
          <w:tcPr>
            <w:tcW w:w="3192" w:type="dxa"/>
            <w:vMerge/>
          </w:tcPr>
          <w:p w14:paraId="0498150D" w14:textId="77777777" w:rsidR="00340246" w:rsidRDefault="00340246" w:rsidP="00340246">
            <w:pPr>
              <w:rPr>
                <w:rFonts w:cs="Arial"/>
              </w:rPr>
            </w:pPr>
          </w:p>
        </w:tc>
        <w:tc>
          <w:tcPr>
            <w:tcW w:w="3192" w:type="dxa"/>
          </w:tcPr>
          <w:p w14:paraId="596C446D" w14:textId="69B8F882" w:rsidR="00340246" w:rsidRDefault="00340246" w:rsidP="00340246">
            <w:pPr>
              <w:rPr>
                <w:rFonts w:cs="Arial"/>
              </w:rPr>
            </w:pPr>
            <w:r>
              <w:t>Нечести</w:t>
            </w:r>
          </w:p>
        </w:tc>
        <w:tc>
          <w:tcPr>
            <w:tcW w:w="3192" w:type="dxa"/>
          </w:tcPr>
          <w:p w14:paraId="78228677" w14:textId="77777777" w:rsidR="00340246" w:rsidRDefault="00340246" w:rsidP="00340246">
            <w:r>
              <w:t>Горещи вълни</w:t>
            </w:r>
          </w:p>
          <w:p w14:paraId="2989E5FC" w14:textId="5F8D6B01" w:rsidR="00340246" w:rsidRDefault="00340246" w:rsidP="00340246">
            <w:pPr>
              <w:rPr>
                <w:rFonts w:cs="Arial"/>
              </w:rPr>
            </w:pPr>
            <w:r>
              <w:t>Ортостатична хипотония</w:t>
            </w:r>
          </w:p>
        </w:tc>
      </w:tr>
      <w:tr w:rsidR="00340246" w14:paraId="38BEA683" w14:textId="77777777" w:rsidTr="00340246">
        <w:tc>
          <w:tcPr>
            <w:tcW w:w="3192" w:type="dxa"/>
            <w:vMerge w:val="restart"/>
          </w:tcPr>
          <w:p w14:paraId="45EBE018" w14:textId="4F4EF53B" w:rsidR="00340246" w:rsidRDefault="00340246" w:rsidP="00340246">
            <w:pPr>
              <w:rPr>
                <w:rFonts w:cs="Arial"/>
              </w:rPr>
            </w:pPr>
            <w:r>
              <w:t>Стомашно-чревни нарушения</w:t>
            </w:r>
          </w:p>
        </w:tc>
        <w:tc>
          <w:tcPr>
            <w:tcW w:w="3192" w:type="dxa"/>
          </w:tcPr>
          <w:p w14:paraId="0500D3B0" w14:textId="2322B98B" w:rsidR="00340246" w:rsidRDefault="00340246" w:rsidP="00340246">
            <w:pPr>
              <w:rPr>
                <w:rFonts w:cs="Arial"/>
              </w:rPr>
            </w:pPr>
            <w:r>
              <w:t>Чести</w:t>
            </w:r>
          </w:p>
        </w:tc>
        <w:tc>
          <w:tcPr>
            <w:tcW w:w="3192" w:type="dxa"/>
          </w:tcPr>
          <w:p w14:paraId="0634CC90" w14:textId="77777777" w:rsidR="00340246" w:rsidRDefault="00340246" w:rsidP="00340246">
            <w:r>
              <w:t>болка в горната част на корема</w:t>
            </w:r>
          </w:p>
          <w:p w14:paraId="3298533B" w14:textId="77777777" w:rsidR="00340246" w:rsidRDefault="00340246" w:rsidP="00340246">
            <w:r>
              <w:t>Сухота в устата</w:t>
            </w:r>
          </w:p>
          <w:p w14:paraId="18BDCAA3" w14:textId="77777777" w:rsidR="00340246" w:rsidRDefault="00340246" w:rsidP="00340246">
            <w:r>
              <w:t>Диария</w:t>
            </w:r>
          </w:p>
          <w:p w14:paraId="0BC5A7AF" w14:textId="44139EA4" w:rsidR="00340246" w:rsidRDefault="00340246" w:rsidP="00340246">
            <w:pPr>
              <w:rPr>
                <w:rFonts w:cs="Arial"/>
              </w:rPr>
            </w:pPr>
            <w:r>
              <w:t>Констипация</w:t>
            </w:r>
          </w:p>
        </w:tc>
      </w:tr>
      <w:tr w:rsidR="00340246" w14:paraId="627E0A9A" w14:textId="77777777" w:rsidTr="00340246">
        <w:tc>
          <w:tcPr>
            <w:tcW w:w="3192" w:type="dxa"/>
            <w:vMerge/>
          </w:tcPr>
          <w:p w14:paraId="0506C370" w14:textId="77777777" w:rsidR="00340246" w:rsidRDefault="00340246" w:rsidP="00340246">
            <w:pPr>
              <w:rPr>
                <w:rFonts w:cs="Arial"/>
              </w:rPr>
            </w:pPr>
          </w:p>
        </w:tc>
        <w:tc>
          <w:tcPr>
            <w:tcW w:w="3192" w:type="dxa"/>
          </w:tcPr>
          <w:p w14:paraId="6F845CFA" w14:textId="3FB9C1BC" w:rsidR="00340246" w:rsidRDefault="00340246" w:rsidP="00340246">
            <w:pPr>
              <w:rPr>
                <w:rFonts w:cs="Arial"/>
              </w:rPr>
            </w:pPr>
            <w:r>
              <w:t>Нечести</w:t>
            </w:r>
          </w:p>
        </w:tc>
        <w:tc>
          <w:tcPr>
            <w:tcW w:w="3192" w:type="dxa"/>
          </w:tcPr>
          <w:p w14:paraId="43EFD2FD" w14:textId="544A2010" w:rsidR="00340246" w:rsidRDefault="00340246" w:rsidP="00340246">
            <w:pPr>
              <w:rPr>
                <w:rFonts w:cs="Arial"/>
              </w:rPr>
            </w:pPr>
            <w:r>
              <w:t>Гадене</w:t>
            </w:r>
          </w:p>
        </w:tc>
      </w:tr>
      <w:tr w:rsidR="00340246" w14:paraId="426272F3" w14:textId="77777777" w:rsidTr="00340246">
        <w:tc>
          <w:tcPr>
            <w:tcW w:w="3192" w:type="dxa"/>
          </w:tcPr>
          <w:p w14:paraId="186995DB" w14:textId="3ABCECB1" w:rsidR="00340246" w:rsidRDefault="00340246" w:rsidP="00340246">
            <w:pPr>
              <w:rPr>
                <w:rFonts w:cs="Arial"/>
              </w:rPr>
            </w:pPr>
            <w:r>
              <w:t>Нарушения на кожата и подкожната тъкан</w:t>
            </w:r>
          </w:p>
        </w:tc>
        <w:tc>
          <w:tcPr>
            <w:tcW w:w="3192" w:type="dxa"/>
          </w:tcPr>
          <w:p w14:paraId="25A6B938" w14:textId="7CD104D5" w:rsidR="00340246" w:rsidRDefault="00340246" w:rsidP="00340246">
            <w:pPr>
              <w:rPr>
                <w:rFonts w:cs="Arial"/>
              </w:rPr>
            </w:pPr>
            <w:r>
              <w:t>Чести</w:t>
            </w:r>
          </w:p>
        </w:tc>
        <w:tc>
          <w:tcPr>
            <w:tcW w:w="3192" w:type="dxa"/>
          </w:tcPr>
          <w:p w14:paraId="081C57D6" w14:textId="79B36AF8" w:rsidR="00340246" w:rsidRDefault="00340246" w:rsidP="00340246">
            <w:pPr>
              <w:rPr>
                <w:rFonts w:cs="Arial"/>
              </w:rPr>
            </w:pPr>
            <w:r>
              <w:t>Пруритус Обрив</w:t>
            </w:r>
          </w:p>
        </w:tc>
      </w:tr>
      <w:tr w:rsidR="00340246" w14:paraId="436DB6AA" w14:textId="77777777" w:rsidTr="00340246">
        <w:tc>
          <w:tcPr>
            <w:tcW w:w="3192" w:type="dxa"/>
          </w:tcPr>
          <w:p w14:paraId="55E0B5AF" w14:textId="731B9537" w:rsidR="00340246" w:rsidRDefault="00340246" w:rsidP="00340246">
            <w:pPr>
              <w:rPr>
                <w:rFonts w:cs="Arial"/>
              </w:rPr>
            </w:pPr>
            <w:r>
              <w:t>Нарушения на мускулно- скелетната система и съединителната тъкан</w:t>
            </w:r>
          </w:p>
        </w:tc>
        <w:tc>
          <w:tcPr>
            <w:tcW w:w="3192" w:type="dxa"/>
          </w:tcPr>
          <w:p w14:paraId="28A6D983" w14:textId="04385931" w:rsidR="00340246" w:rsidRDefault="00340246" w:rsidP="00340246">
            <w:pPr>
              <w:rPr>
                <w:rFonts w:cs="Arial"/>
              </w:rPr>
            </w:pPr>
            <w:r>
              <w:t>Чести</w:t>
            </w:r>
          </w:p>
        </w:tc>
        <w:tc>
          <w:tcPr>
            <w:tcW w:w="3192" w:type="dxa"/>
          </w:tcPr>
          <w:p w14:paraId="23F32F63" w14:textId="00C26A2C" w:rsidR="00340246" w:rsidRDefault="00340246" w:rsidP="00340246">
            <w:pPr>
              <w:rPr>
                <w:rFonts w:cs="Arial"/>
              </w:rPr>
            </w:pPr>
            <w:r>
              <w:t>Мускулни спазми</w:t>
            </w:r>
          </w:p>
        </w:tc>
      </w:tr>
      <w:tr w:rsidR="00340246" w14:paraId="3548F11A" w14:textId="77777777" w:rsidTr="00340246">
        <w:tc>
          <w:tcPr>
            <w:tcW w:w="3192" w:type="dxa"/>
          </w:tcPr>
          <w:p w14:paraId="63057F75" w14:textId="3D6FC465" w:rsidR="00340246" w:rsidRDefault="00340246" w:rsidP="00340246">
            <w:pPr>
              <w:rPr>
                <w:rFonts w:cs="Arial"/>
              </w:rPr>
            </w:pPr>
            <w:r>
              <w:t>Нарушения на възпроизводителната система и гърдата</w:t>
            </w:r>
          </w:p>
        </w:tc>
        <w:tc>
          <w:tcPr>
            <w:tcW w:w="3192" w:type="dxa"/>
          </w:tcPr>
          <w:p w14:paraId="64F79454" w14:textId="03CE2931" w:rsidR="00340246" w:rsidRDefault="00340246" w:rsidP="00340246">
            <w:pPr>
              <w:rPr>
                <w:rFonts w:cs="Arial"/>
              </w:rPr>
            </w:pPr>
            <w:r>
              <w:t>Чести</w:t>
            </w:r>
          </w:p>
        </w:tc>
        <w:tc>
          <w:tcPr>
            <w:tcW w:w="3192" w:type="dxa"/>
          </w:tcPr>
          <w:p w14:paraId="090238C7" w14:textId="170EFB38" w:rsidR="00340246" w:rsidRDefault="00340246" w:rsidP="00340246">
            <w:pPr>
              <w:rPr>
                <w:rFonts w:cs="Arial"/>
              </w:rPr>
            </w:pPr>
            <w:r>
              <w:t>Сексуална дисфункция</w:t>
            </w:r>
          </w:p>
        </w:tc>
      </w:tr>
      <w:tr w:rsidR="00340246" w14:paraId="3344ACBB" w14:textId="77777777" w:rsidTr="00340246">
        <w:tc>
          <w:tcPr>
            <w:tcW w:w="3192" w:type="dxa"/>
          </w:tcPr>
          <w:p w14:paraId="4A563EDF" w14:textId="34C85296" w:rsidR="00340246" w:rsidRDefault="00340246" w:rsidP="00340246">
            <w:pPr>
              <w:rPr>
                <w:rFonts w:cs="Arial"/>
              </w:rPr>
            </w:pPr>
            <w:r>
              <w:t>Общи нарушения и ефекти на мястото на приложение</w:t>
            </w:r>
          </w:p>
        </w:tc>
        <w:tc>
          <w:tcPr>
            <w:tcW w:w="3192" w:type="dxa"/>
          </w:tcPr>
          <w:p w14:paraId="69B6D557" w14:textId="041503A9" w:rsidR="00340246" w:rsidRDefault="00340246" w:rsidP="00340246">
            <w:pPr>
              <w:rPr>
                <w:rFonts w:cs="Arial"/>
              </w:rPr>
            </w:pPr>
            <w:r>
              <w:t>Чести</w:t>
            </w:r>
          </w:p>
        </w:tc>
        <w:tc>
          <w:tcPr>
            <w:tcW w:w="3192" w:type="dxa"/>
          </w:tcPr>
          <w:p w14:paraId="26234CC3" w14:textId="353A2297" w:rsidR="00340246" w:rsidRDefault="00340246" w:rsidP="00340246">
            <w:pPr>
              <w:rPr>
                <w:rFonts w:cs="Arial"/>
              </w:rPr>
            </w:pPr>
            <w:r>
              <w:t>Астения Отпадналост Оток</w:t>
            </w:r>
          </w:p>
        </w:tc>
      </w:tr>
    </w:tbl>
    <w:p w14:paraId="1B086351" w14:textId="77777777" w:rsidR="00340246" w:rsidRDefault="00340246" w:rsidP="00340246">
      <w:pPr>
        <w:spacing w:line="240" w:lineRule="auto"/>
        <w:rPr>
          <w:rFonts w:ascii="Times New Roman" w:eastAsia="Times New Roman" w:hAnsi="Times New Roman" w:cs="Times New Roman"/>
          <w:color w:val="000000"/>
          <w:u w:val="single"/>
          <w:lang w:eastAsia="bg-BG"/>
        </w:rPr>
      </w:pPr>
    </w:p>
    <w:p w14:paraId="42CC7A0A" w14:textId="7E659B6B" w:rsidR="00340246" w:rsidRPr="00340246" w:rsidRDefault="00340246" w:rsidP="00340246">
      <w:pPr>
        <w:spacing w:line="240" w:lineRule="auto"/>
        <w:rPr>
          <w:rFonts w:eastAsia="Times New Roman" w:cs="Arial"/>
        </w:rPr>
      </w:pPr>
      <w:r w:rsidRPr="00340246">
        <w:rPr>
          <w:rFonts w:eastAsia="Times New Roman" w:cs="Arial"/>
          <w:color w:val="000000"/>
          <w:u w:val="single"/>
          <w:lang w:eastAsia="bg-BG"/>
        </w:rPr>
        <w:t>Съобщаване на подозирани нежелани реакции</w:t>
      </w:r>
    </w:p>
    <w:p w14:paraId="3972A661" w14:textId="77777777" w:rsidR="00340246" w:rsidRPr="00340246" w:rsidRDefault="00340246" w:rsidP="00340246">
      <w:pPr>
        <w:spacing w:line="240" w:lineRule="auto"/>
        <w:rPr>
          <w:rFonts w:eastAsia="Times New Roman" w:cs="Arial"/>
        </w:rPr>
      </w:pPr>
      <w:r w:rsidRPr="00340246">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+359 2 8903417, уебсайт: </w:t>
      </w:r>
      <w:r w:rsidRPr="00340246">
        <w:rPr>
          <w:rFonts w:eastAsia="Times New Roman" w:cs="Arial"/>
        </w:rPr>
        <w:fldChar w:fldCharType="begin"/>
      </w:r>
      <w:r w:rsidRPr="00340246">
        <w:rPr>
          <w:rFonts w:eastAsia="Times New Roman" w:cs="Arial"/>
        </w:rPr>
        <w:instrText xml:space="preserve"> HYPERLINK "http://www.bda.bg" </w:instrText>
      </w:r>
      <w:r w:rsidRPr="00340246">
        <w:rPr>
          <w:rFonts w:eastAsia="Times New Roman" w:cs="Arial"/>
        </w:rPr>
      </w:r>
      <w:r w:rsidRPr="00340246">
        <w:rPr>
          <w:rFonts w:eastAsia="Times New Roman" w:cs="Arial"/>
        </w:rPr>
        <w:fldChar w:fldCharType="separate"/>
      </w:r>
      <w:r w:rsidRPr="00340246">
        <w:rPr>
          <w:rFonts w:eastAsia="Times New Roman" w:cs="Arial"/>
          <w:color w:val="000000"/>
          <w:lang w:val="en-US"/>
        </w:rPr>
        <w:t>www.bda.bg</w:t>
      </w:r>
      <w:r w:rsidRPr="00340246">
        <w:rPr>
          <w:rFonts w:eastAsia="Times New Roman" w:cs="Arial"/>
        </w:rPr>
        <w:fldChar w:fldCharType="end"/>
      </w:r>
      <w:r w:rsidRPr="00340246">
        <w:rPr>
          <w:rFonts w:eastAsia="Times New Roman" w:cs="Arial"/>
          <w:color w:val="000000"/>
          <w:lang w:val="en-US"/>
        </w:rPr>
        <w:t>.</w:t>
      </w:r>
    </w:p>
    <w:p w14:paraId="63D77AE1" w14:textId="77777777" w:rsidR="00340246" w:rsidRPr="00340246" w:rsidRDefault="00340246" w:rsidP="00340246">
      <w:pPr>
        <w:rPr>
          <w:rFonts w:cs="Arial"/>
        </w:rPr>
      </w:pPr>
    </w:p>
    <w:p w14:paraId="5A87DBA3" w14:textId="4B1A95F8" w:rsidR="007122AD" w:rsidRDefault="002C50EE" w:rsidP="00936AD0">
      <w:pPr>
        <w:pStyle w:val="Heading2"/>
      </w:pPr>
      <w:r>
        <w:t>4.9. Предозиране</w:t>
      </w:r>
    </w:p>
    <w:p w14:paraId="55F82754" w14:textId="2C09B25C" w:rsidR="00340246" w:rsidRDefault="00340246" w:rsidP="00340246"/>
    <w:p w14:paraId="3C74C443" w14:textId="77777777" w:rsidR="00340246" w:rsidRPr="00340246" w:rsidRDefault="00340246" w:rsidP="00340246">
      <w:pPr>
        <w:pStyle w:val="Heading3"/>
        <w:rPr>
          <w:rFonts w:eastAsia="Times New Roman"/>
          <w:u w:val="single"/>
        </w:rPr>
      </w:pPr>
      <w:r w:rsidRPr="00340246">
        <w:rPr>
          <w:rFonts w:eastAsia="Times New Roman"/>
          <w:u w:val="single"/>
          <w:lang w:eastAsia="bg-BG"/>
        </w:rPr>
        <w:t>Симптоми</w:t>
      </w:r>
    </w:p>
    <w:p w14:paraId="669A20A5"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Данните, свързани с предозиране, са много ограничени. Най-очакваните симптоми са изразена хипотония и нарушение на бдителността.</w:t>
      </w:r>
    </w:p>
    <w:p w14:paraId="3D9B9EF3" w14:textId="77777777" w:rsidR="00340246" w:rsidRPr="00340246" w:rsidRDefault="00340246" w:rsidP="00340246">
      <w:pPr>
        <w:spacing w:line="240" w:lineRule="auto"/>
        <w:rPr>
          <w:rFonts w:eastAsia="Times New Roman" w:cs="Arial"/>
          <w:color w:val="000000"/>
          <w:u w:val="single"/>
          <w:lang w:eastAsia="bg-BG"/>
        </w:rPr>
      </w:pPr>
    </w:p>
    <w:p w14:paraId="41E33FC5" w14:textId="44AD0B69" w:rsidR="00340246" w:rsidRPr="00340246" w:rsidRDefault="00340246" w:rsidP="00340246">
      <w:pPr>
        <w:pStyle w:val="Heading3"/>
        <w:rPr>
          <w:rFonts w:eastAsia="Times New Roman"/>
          <w:u w:val="single"/>
        </w:rPr>
      </w:pPr>
      <w:r w:rsidRPr="00340246">
        <w:rPr>
          <w:rFonts w:eastAsia="Times New Roman"/>
          <w:u w:val="single"/>
          <w:lang w:eastAsia="bg-BG"/>
        </w:rPr>
        <w:t>Овладяване</w:t>
      </w:r>
    </w:p>
    <w:p w14:paraId="0B0C3C08" w14:textId="46123CA3" w:rsidR="00340246" w:rsidRPr="00340246" w:rsidRDefault="00340246" w:rsidP="00340246">
      <w:pPr>
        <w:rPr>
          <w:rFonts w:cs="Arial"/>
        </w:rPr>
      </w:pPr>
      <w:r w:rsidRPr="00340246">
        <w:rPr>
          <w:rFonts w:eastAsia="Times New Roman" w:cs="Arial"/>
          <w:color w:val="000000"/>
          <w:lang w:eastAsia="bg-BG"/>
        </w:rPr>
        <w:t>Лечението трябва да бъде симптоматично. В допълнение към стомашната промивка, препоръчителното лечение може да включва употребата на симпатомиметични средства в случай на изразена хипотония. Рилменидин е слабо диализируем.</w:t>
      </w:r>
    </w:p>
    <w:p w14:paraId="02081B24" w14:textId="36FE76F4" w:rsidR="00395555" w:rsidRPr="00395555" w:rsidRDefault="002C50EE" w:rsidP="008A6AF2">
      <w:pPr>
        <w:pStyle w:val="Heading1"/>
      </w:pPr>
      <w:r>
        <w:lastRenderedPageBreak/>
        <w:t>5. ФАРМАКОЛОГИЧНИ СВОЙСТВА</w:t>
      </w:r>
    </w:p>
    <w:p w14:paraId="6339E404" w14:textId="68F5AF7D" w:rsidR="00875EEC" w:rsidRDefault="002C50EE" w:rsidP="005726E3">
      <w:pPr>
        <w:pStyle w:val="Heading2"/>
      </w:pPr>
      <w:r>
        <w:t>5.1. Фармакодинамични свойства</w:t>
      </w:r>
    </w:p>
    <w:p w14:paraId="345A3896" w14:textId="043994BC" w:rsidR="00340246" w:rsidRDefault="00340246" w:rsidP="00340246"/>
    <w:p w14:paraId="3653B6EA"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Фармакотерапевтична група: антихипертензивни, антиадренергични средства с централно действие, имидазолинови рецепторни агонисти, АТС код: С02АС06</w:t>
      </w:r>
    </w:p>
    <w:p w14:paraId="308A5150" w14:textId="77777777" w:rsidR="00340246" w:rsidRPr="00340246" w:rsidRDefault="00340246" w:rsidP="00340246">
      <w:pPr>
        <w:spacing w:line="240" w:lineRule="auto"/>
        <w:rPr>
          <w:rFonts w:eastAsia="Times New Roman" w:cs="Arial"/>
          <w:color w:val="000000"/>
          <w:u w:val="single"/>
          <w:lang w:eastAsia="bg-BG"/>
        </w:rPr>
      </w:pPr>
    </w:p>
    <w:p w14:paraId="449CF79D" w14:textId="6F1916BD" w:rsidR="00340246" w:rsidRPr="00340246" w:rsidRDefault="00340246" w:rsidP="00340246">
      <w:pPr>
        <w:spacing w:line="240" w:lineRule="auto"/>
        <w:rPr>
          <w:rFonts w:eastAsia="Times New Roman" w:cs="Arial"/>
          <w:sz w:val="24"/>
          <w:szCs w:val="24"/>
        </w:rPr>
      </w:pPr>
      <w:r w:rsidRPr="00340246">
        <w:rPr>
          <w:rFonts w:eastAsia="Times New Roman" w:cs="Arial"/>
          <w:color w:val="000000"/>
          <w:u w:val="single"/>
          <w:lang w:eastAsia="bg-BG"/>
        </w:rPr>
        <w:t>Механизъм на действие</w:t>
      </w:r>
    </w:p>
    <w:p w14:paraId="54D41C3F"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Рилменидин е оксазолидиново съединение с антихипертензивни свойства, което действа и на медуларните и на периферни вазомоторни структури. Рилменидин демонстрира по-изразена селективност към имидазолиновите рецептори в сравнение с церебралните алфа-2- адренергични рецептори, като ги диференцира от съответните алфа-2-агонисти.</w:t>
      </w:r>
    </w:p>
    <w:p w14:paraId="4BAD8E9C" w14:textId="77777777" w:rsidR="00340246" w:rsidRPr="00340246" w:rsidRDefault="00340246" w:rsidP="00340246">
      <w:pPr>
        <w:spacing w:line="240" w:lineRule="auto"/>
        <w:rPr>
          <w:rFonts w:eastAsia="Times New Roman" w:cs="Arial"/>
          <w:color w:val="000000"/>
          <w:lang w:eastAsia="bg-BG"/>
        </w:rPr>
      </w:pPr>
    </w:p>
    <w:p w14:paraId="684C9166" w14:textId="455E3F42"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Рилменидин показва дозозависим антихипертензивен ефект при плъхове с генетично детерминирана хипертония. Действието му не се придружава от централни неврофармакологични ефекти, които обикновено се наблюдават при алфа-2-агонистите, с изключение на дози, които са по-високи от антихипертензивните дози за животни. Особено важно е да се подчертае, че централният му седативен ефект е по-слабо изразен.</w:t>
      </w:r>
    </w:p>
    <w:p w14:paraId="54FA9A8A" w14:textId="77777777" w:rsidR="00340246" w:rsidRPr="00340246" w:rsidRDefault="00340246" w:rsidP="00340246">
      <w:pPr>
        <w:spacing w:line="240" w:lineRule="auto"/>
        <w:rPr>
          <w:rFonts w:eastAsia="Times New Roman" w:cs="Arial"/>
          <w:color w:val="000000"/>
          <w:u w:val="single"/>
          <w:lang w:eastAsia="bg-BG"/>
        </w:rPr>
      </w:pPr>
    </w:p>
    <w:p w14:paraId="5C72E133" w14:textId="5C44C306" w:rsidR="00340246" w:rsidRPr="00340246" w:rsidRDefault="00340246" w:rsidP="00340246">
      <w:pPr>
        <w:spacing w:line="240" w:lineRule="auto"/>
        <w:rPr>
          <w:rFonts w:eastAsia="Times New Roman" w:cs="Arial"/>
          <w:sz w:val="24"/>
          <w:szCs w:val="24"/>
        </w:rPr>
      </w:pPr>
      <w:r w:rsidRPr="00340246">
        <w:rPr>
          <w:rFonts w:eastAsia="Times New Roman" w:cs="Arial"/>
          <w:color w:val="000000"/>
          <w:u w:val="single"/>
          <w:lang w:eastAsia="bg-BG"/>
        </w:rPr>
        <w:t>Фармакодинамнчни ефекти</w:t>
      </w:r>
    </w:p>
    <w:p w14:paraId="3E3657FD"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Тази дисоциация между антихипертензивната активност и неврофармакологичните ефекти е била потвърдена и при хора.</w:t>
      </w:r>
    </w:p>
    <w:p w14:paraId="14BC41AA" w14:textId="77777777" w:rsidR="00340246" w:rsidRPr="00340246" w:rsidRDefault="00340246" w:rsidP="00340246">
      <w:pPr>
        <w:spacing w:line="240" w:lineRule="auto"/>
        <w:rPr>
          <w:rFonts w:eastAsia="Times New Roman" w:cs="Arial"/>
          <w:color w:val="000000"/>
          <w:lang w:eastAsia="bg-BG"/>
        </w:rPr>
      </w:pPr>
    </w:p>
    <w:p w14:paraId="45DA656B" w14:textId="2D078669"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 xml:space="preserve">Рилменидин има дозозависима антихипертензивна активност върху систолното и диастолно артериално налягане в легнало и изправено положение. В терапевтични дози (1 </w:t>
      </w:r>
      <w:r w:rsidRPr="00340246">
        <w:rPr>
          <w:rFonts w:eastAsia="Times New Roman" w:cs="Arial"/>
          <w:color w:val="000000"/>
          <w:lang w:val="en-US"/>
        </w:rPr>
        <w:t>mg</w:t>
      </w:r>
      <w:r w:rsidRPr="00340246">
        <w:rPr>
          <w:rFonts w:eastAsia="Times New Roman" w:cs="Arial"/>
          <w:color w:val="000000"/>
          <w:lang w:val="ru-RU"/>
        </w:rPr>
        <w:t xml:space="preserve"> </w:t>
      </w:r>
      <w:r w:rsidRPr="00340246">
        <w:rPr>
          <w:rFonts w:eastAsia="Times New Roman" w:cs="Arial"/>
          <w:color w:val="000000"/>
          <w:lang w:eastAsia="bg-BG"/>
        </w:rPr>
        <w:t xml:space="preserve">веднъж дневно или 2 </w:t>
      </w:r>
      <w:r w:rsidRPr="00340246">
        <w:rPr>
          <w:rFonts w:eastAsia="Times New Roman" w:cs="Arial"/>
          <w:color w:val="000000"/>
          <w:lang w:val="en-US"/>
        </w:rPr>
        <w:t>mg</w:t>
      </w:r>
      <w:r w:rsidRPr="00340246">
        <w:rPr>
          <w:rFonts w:eastAsia="Times New Roman" w:cs="Arial"/>
          <w:color w:val="000000"/>
          <w:lang w:val="ru-RU"/>
        </w:rPr>
        <w:t xml:space="preserve"> </w:t>
      </w:r>
      <w:r w:rsidRPr="00340246">
        <w:rPr>
          <w:rFonts w:eastAsia="Times New Roman" w:cs="Arial"/>
          <w:color w:val="000000"/>
          <w:lang w:eastAsia="bg-BG"/>
        </w:rPr>
        <w:t>дневно в отделни приеми), двойно слепите клинични изпитвания спрямо плацебо и референтният продукт са доказали антихипертензивния ефект на рилменидин при лека до умерена хипертония.</w:t>
      </w:r>
    </w:p>
    <w:p w14:paraId="6654271F" w14:textId="77777777" w:rsidR="00340246" w:rsidRPr="00340246" w:rsidRDefault="00340246" w:rsidP="00340246">
      <w:pPr>
        <w:spacing w:line="240" w:lineRule="auto"/>
        <w:rPr>
          <w:rFonts w:eastAsia="Times New Roman" w:cs="Arial"/>
          <w:color w:val="000000"/>
          <w:lang w:eastAsia="bg-BG"/>
        </w:rPr>
      </w:pPr>
    </w:p>
    <w:p w14:paraId="667191E9" w14:textId="152FD03B"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Ефикасността му се запазва в продължение на 24 часа и при физическо усилие. Тези резултати са били потвърдени за продължителен период от време, без развитие на толерантност.</w:t>
      </w:r>
    </w:p>
    <w:p w14:paraId="1D681EFF" w14:textId="77777777" w:rsidR="00340246" w:rsidRPr="00340246" w:rsidRDefault="00340246" w:rsidP="00340246">
      <w:pPr>
        <w:spacing w:line="240" w:lineRule="auto"/>
        <w:rPr>
          <w:rFonts w:eastAsia="Times New Roman" w:cs="Arial"/>
          <w:color w:val="000000"/>
          <w:lang w:eastAsia="bg-BG"/>
        </w:rPr>
      </w:pPr>
    </w:p>
    <w:p w14:paraId="2DF781E5" w14:textId="456DB93C"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 xml:space="preserve">Двойно слепи, плацебо контролирани клинични изпитвания с доза от 1 </w:t>
      </w:r>
      <w:r w:rsidRPr="00340246">
        <w:rPr>
          <w:rFonts w:eastAsia="Times New Roman" w:cs="Arial"/>
          <w:color w:val="000000"/>
          <w:lang w:val="en-US"/>
        </w:rPr>
        <w:t>mg</w:t>
      </w:r>
      <w:r w:rsidRPr="00340246">
        <w:rPr>
          <w:rFonts w:eastAsia="Times New Roman" w:cs="Arial"/>
          <w:color w:val="000000"/>
          <w:lang w:val="ru-RU"/>
        </w:rPr>
        <w:t xml:space="preserve"> </w:t>
      </w:r>
      <w:r w:rsidRPr="00340246">
        <w:rPr>
          <w:rFonts w:eastAsia="Times New Roman" w:cs="Arial"/>
          <w:color w:val="000000"/>
          <w:lang w:eastAsia="bg-BG"/>
        </w:rPr>
        <w:t>дневно са установили, че рилменидин не е оказал влияние върху тестове за бдителност. Честотата на нежеланите реакции (сънливост, сухота в устата, констипация) не се е различавала от тази наблюдавана с плацебо.</w:t>
      </w:r>
    </w:p>
    <w:p w14:paraId="052A522E" w14:textId="77777777" w:rsidR="00340246" w:rsidRPr="00340246" w:rsidRDefault="00340246" w:rsidP="00340246">
      <w:pPr>
        <w:spacing w:line="240" w:lineRule="auto"/>
        <w:rPr>
          <w:rFonts w:eastAsia="Times New Roman" w:cs="Arial"/>
          <w:color w:val="000000"/>
          <w:lang w:eastAsia="bg-BG"/>
        </w:rPr>
      </w:pPr>
    </w:p>
    <w:p w14:paraId="0B3EF766" w14:textId="69769476"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 xml:space="preserve">Двойно слепи клинични изпитвания с доза рилменидин от 2 </w:t>
      </w:r>
      <w:r w:rsidRPr="00340246">
        <w:rPr>
          <w:rFonts w:eastAsia="Times New Roman" w:cs="Arial"/>
          <w:color w:val="000000"/>
          <w:lang w:val="en-US"/>
        </w:rPr>
        <w:t>mg</w:t>
      </w:r>
      <w:r w:rsidRPr="00340246">
        <w:rPr>
          <w:rFonts w:eastAsia="Times New Roman" w:cs="Arial"/>
          <w:color w:val="000000"/>
          <w:lang w:val="ru-RU"/>
        </w:rPr>
        <w:t xml:space="preserve"> </w:t>
      </w:r>
      <w:r w:rsidRPr="00340246">
        <w:rPr>
          <w:rFonts w:eastAsia="Times New Roman" w:cs="Arial"/>
          <w:color w:val="000000"/>
          <w:lang w:eastAsia="bg-BG"/>
        </w:rPr>
        <w:t>дневно, спрямо референтен алфа-2-агонист, прилаган в еквивалентна терапевтична доза, са показали, че честотата и тежестта на нежеланите реакции е била значително по-ниска в групата с рилменидин.</w:t>
      </w:r>
    </w:p>
    <w:p w14:paraId="63DB2711" w14:textId="77777777" w:rsidR="00340246" w:rsidRPr="00340246" w:rsidRDefault="00340246" w:rsidP="00340246">
      <w:pPr>
        <w:spacing w:line="240" w:lineRule="auto"/>
        <w:rPr>
          <w:rFonts w:eastAsia="Times New Roman" w:cs="Arial"/>
          <w:color w:val="000000"/>
          <w:lang w:eastAsia="bg-BG"/>
        </w:rPr>
      </w:pPr>
    </w:p>
    <w:p w14:paraId="09A5C94B" w14:textId="3E79DB34"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В терапевтични дози рилменидин не повлиява сърдечната функция, не предизвиква задръжка на натрий и течности и не променя метаболитното равновесие:</w:t>
      </w:r>
    </w:p>
    <w:p w14:paraId="5B272DB5" w14:textId="77777777" w:rsidR="00340246" w:rsidRPr="00340246" w:rsidRDefault="00340246" w:rsidP="00340246">
      <w:pPr>
        <w:pStyle w:val="ListParagraph"/>
        <w:numPr>
          <w:ilvl w:val="0"/>
          <w:numId w:val="39"/>
        </w:numPr>
        <w:rPr>
          <w:rFonts w:cs="Arial"/>
        </w:rPr>
      </w:pPr>
      <w:r w:rsidRPr="00340246">
        <w:rPr>
          <w:rFonts w:eastAsia="Times New Roman" w:cs="Arial"/>
          <w:color w:val="000000"/>
          <w:lang w:eastAsia="bg-BG"/>
        </w:rPr>
        <w:t>Рилменидин поддържа значителна антихипертензивна активност в продължение на</w:t>
      </w:r>
      <w:r w:rsidRPr="00340246">
        <w:rPr>
          <w:rFonts w:eastAsia="Times New Roman" w:cs="Arial"/>
          <w:color w:val="000000"/>
          <w:vertAlign w:val="subscript"/>
          <w:lang w:eastAsia="bg-BG"/>
        </w:rPr>
        <w:t xml:space="preserve"> </w:t>
      </w:r>
      <w:r w:rsidRPr="00340246">
        <w:rPr>
          <w:rFonts w:eastAsia="Times New Roman" w:cs="Arial"/>
          <w:color w:val="000000"/>
          <w:lang w:eastAsia="bg-BG"/>
        </w:rPr>
        <w:t>24 часа след приемане на дозата, като понижава общото периферно съдово съпротивление без каквито и да е промени в ударния обем. Показателите на миокардния контрактилитет и сърдечната електрофизиология не се променят.</w:t>
      </w:r>
    </w:p>
    <w:p w14:paraId="32BC0536" w14:textId="77777777" w:rsidR="00340246" w:rsidRPr="00340246" w:rsidRDefault="00340246" w:rsidP="00340246">
      <w:pPr>
        <w:pStyle w:val="ListParagraph"/>
        <w:numPr>
          <w:ilvl w:val="0"/>
          <w:numId w:val="39"/>
        </w:numPr>
        <w:rPr>
          <w:rFonts w:cs="Arial"/>
        </w:rPr>
      </w:pPr>
      <w:r w:rsidRPr="00340246">
        <w:rPr>
          <w:rFonts w:eastAsia="Times New Roman" w:cs="Arial"/>
          <w:color w:val="000000"/>
          <w:lang w:eastAsia="bg-BG"/>
        </w:rPr>
        <w:lastRenderedPageBreak/>
        <w:t>Рилменидин не причинява постурална хипотония (особено при пациенти в старческа възраст) и не повлиява физиологичното повишаване на сърдечната честота при физически усилия.</w:t>
      </w:r>
    </w:p>
    <w:p w14:paraId="140A9AE0" w14:textId="77777777" w:rsidR="00340246" w:rsidRPr="00340246" w:rsidRDefault="00340246" w:rsidP="00340246">
      <w:pPr>
        <w:pStyle w:val="ListParagraph"/>
        <w:numPr>
          <w:ilvl w:val="0"/>
          <w:numId w:val="39"/>
        </w:numPr>
        <w:rPr>
          <w:rFonts w:cs="Arial"/>
        </w:rPr>
      </w:pPr>
      <w:r w:rsidRPr="00340246">
        <w:rPr>
          <w:rFonts w:eastAsia="Times New Roman" w:cs="Arial"/>
          <w:color w:val="000000"/>
          <w:lang w:eastAsia="bg-BG"/>
        </w:rPr>
        <w:t>Рилменидин не предизвиква промени в бъбречния кръвоток, степента на гломерулната филтрация или филтрационната фракция и не повлиява бъбречната функция.</w:t>
      </w:r>
    </w:p>
    <w:p w14:paraId="131636ED" w14:textId="6A3F28BC" w:rsidR="00340246" w:rsidRPr="00340246" w:rsidRDefault="00340246" w:rsidP="00340246">
      <w:pPr>
        <w:pStyle w:val="ListParagraph"/>
        <w:numPr>
          <w:ilvl w:val="0"/>
          <w:numId w:val="39"/>
        </w:numPr>
        <w:rPr>
          <w:rFonts w:cs="Arial"/>
        </w:rPr>
      </w:pPr>
      <w:r w:rsidRPr="00340246">
        <w:rPr>
          <w:rFonts w:eastAsia="Times New Roman" w:cs="Arial"/>
          <w:color w:val="000000"/>
          <w:lang w:eastAsia="bg-BG"/>
        </w:rPr>
        <w:t>Рилменидин не оказва влияние върху метаболизма на глюкозата (включително при пациенти със захарен диабет (инсулинозависим и неинсулинозависим)) и не повлиява липидния метаболизъм.</w:t>
      </w:r>
    </w:p>
    <w:p w14:paraId="4F9767D4" w14:textId="77777777" w:rsidR="00340246" w:rsidRPr="00340246" w:rsidRDefault="00340246" w:rsidP="00340246"/>
    <w:p w14:paraId="346B622B" w14:textId="74F39CD3" w:rsidR="00875EEC" w:rsidRDefault="002C50EE" w:rsidP="005726E3">
      <w:pPr>
        <w:pStyle w:val="Heading2"/>
      </w:pPr>
      <w:r>
        <w:t>5.2. Фармакокинетични свойства</w:t>
      </w:r>
    </w:p>
    <w:p w14:paraId="40D452DF" w14:textId="2C7C178B" w:rsidR="00340246" w:rsidRDefault="00340246" w:rsidP="00340246"/>
    <w:p w14:paraId="1813C886" w14:textId="77777777" w:rsidR="00340246" w:rsidRPr="00340246" w:rsidRDefault="00340246" w:rsidP="00340246">
      <w:pPr>
        <w:pStyle w:val="Heading3"/>
        <w:rPr>
          <w:rFonts w:eastAsia="Times New Roman"/>
          <w:u w:val="single"/>
        </w:rPr>
      </w:pPr>
      <w:r w:rsidRPr="00340246">
        <w:rPr>
          <w:rFonts w:eastAsia="Times New Roman"/>
          <w:u w:val="single"/>
          <w:lang w:eastAsia="bg-BG"/>
        </w:rPr>
        <w:t>Абсорбцията</w:t>
      </w:r>
    </w:p>
    <w:p w14:paraId="16140683" w14:textId="77777777" w:rsidR="00340246" w:rsidRPr="00340246" w:rsidRDefault="00340246" w:rsidP="00340246">
      <w:pPr>
        <w:pStyle w:val="ListParagraph"/>
        <w:numPr>
          <w:ilvl w:val="0"/>
          <w:numId w:val="40"/>
        </w:numPr>
        <w:spacing w:line="240" w:lineRule="auto"/>
        <w:rPr>
          <w:rFonts w:eastAsia="Times New Roman" w:cs="Arial"/>
          <w:sz w:val="24"/>
          <w:szCs w:val="24"/>
        </w:rPr>
      </w:pPr>
      <w:r w:rsidRPr="00340246">
        <w:rPr>
          <w:rFonts w:eastAsia="Times New Roman" w:cs="Arial"/>
          <w:color w:val="000000"/>
          <w:lang w:eastAsia="bg-BG"/>
        </w:rPr>
        <w:t xml:space="preserve">е бърза: максимална плазмена концентрация (3,5 </w:t>
      </w:r>
      <w:r w:rsidRPr="00340246">
        <w:rPr>
          <w:rFonts w:eastAsia="Times New Roman" w:cs="Arial"/>
          <w:color w:val="000000"/>
          <w:lang w:val="en-US"/>
        </w:rPr>
        <w:t>ng</w:t>
      </w:r>
      <w:r w:rsidRPr="00340246">
        <w:rPr>
          <w:rFonts w:eastAsia="Times New Roman" w:cs="Arial"/>
          <w:color w:val="000000"/>
          <w:lang w:val="ru-RU"/>
        </w:rPr>
        <w:t>/</w:t>
      </w:r>
      <w:r w:rsidRPr="00340246">
        <w:rPr>
          <w:rFonts w:eastAsia="Times New Roman" w:cs="Arial"/>
          <w:color w:val="000000"/>
          <w:lang w:val="en-US"/>
        </w:rPr>
        <w:t>ml</w:t>
      </w:r>
      <w:r w:rsidRPr="00340246">
        <w:rPr>
          <w:rFonts w:eastAsia="Times New Roman" w:cs="Arial"/>
          <w:color w:val="000000"/>
          <w:lang w:val="ru-RU"/>
        </w:rPr>
        <w:t xml:space="preserve">) </w:t>
      </w:r>
      <w:r w:rsidRPr="00340246">
        <w:rPr>
          <w:rFonts w:eastAsia="Times New Roman" w:cs="Arial"/>
          <w:color w:val="000000"/>
          <w:lang w:eastAsia="bg-BG"/>
        </w:rPr>
        <w:t xml:space="preserve">се достига в рамките на 1,5 до 2 часа след абсорбцията на еднократна доза от 1 </w:t>
      </w:r>
      <w:r w:rsidRPr="00340246">
        <w:rPr>
          <w:rFonts w:eastAsia="Times New Roman" w:cs="Arial"/>
          <w:color w:val="000000"/>
          <w:lang w:val="en-US"/>
        </w:rPr>
        <w:t>mg</w:t>
      </w:r>
      <w:r w:rsidRPr="00340246">
        <w:rPr>
          <w:rFonts w:eastAsia="Times New Roman" w:cs="Arial"/>
          <w:color w:val="000000"/>
          <w:lang w:val="ru-RU"/>
        </w:rPr>
        <w:t xml:space="preserve"> </w:t>
      </w:r>
      <w:r w:rsidRPr="00340246">
        <w:rPr>
          <w:rFonts w:eastAsia="Times New Roman" w:cs="Arial"/>
          <w:color w:val="000000"/>
          <w:lang w:eastAsia="bg-BG"/>
        </w:rPr>
        <w:t>рилменидин;</w:t>
      </w:r>
    </w:p>
    <w:p w14:paraId="1578BB3E" w14:textId="77777777" w:rsidR="00340246" w:rsidRPr="00340246" w:rsidRDefault="00340246" w:rsidP="00340246">
      <w:pPr>
        <w:pStyle w:val="ListParagraph"/>
        <w:numPr>
          <w:ilvl w:val="0"/>
          <w:numId w:val="40"/>
        </w:numPr>
        <w:spacing w:line="240" w:lineRule="auto"/>
        <w:rPr>
          <w:rFonts w:eastAsia="Times New Roman" w:cs="Arial"/>
          <w:sz w:val="24"/>
          <w:szCs w:val="24"/>
        </w:rPr>
      </w:pPr>
      <w:r w:rsidRPr="00340246">
        <w:rPr>
          <w:rFonts w:eastAsia="Times New Roman" w:cs="Arial"/>
          <w:color w:val="000000"/>
          <w:lang w:eastAsia="bg-BG"/>
        </w:rPr>
        <w:t>е пълна: абсолютната бионаличност е 100%, без ефект на първо преминаване през черния Дроб;</w:t>
      </w:r>
    </w:p>
    <w:p w14:paraId="1CDB6B36" w14:textId="13393A28" w:rsidR="00340246" w:rsidRPr="00340246" w:rsidRDefault="00340246" w:rsidP="00340246">
      <w:pPr>
        <w:pStyle w:val="ListParagraph"/>
        <w:numPr>
          <w:ilvl w:val="0"/>
          <w:numId w:val="40"/>
        </w:numPr>
        <w:spacing w:line="240" w:lineRule="auto"/>
        <w:rPr>
          <w:rFonts w:eastAsia="Times New Roman" w:cs="Arial"/>
          <w:sz w:val="24"/>
          <w:szCs w:val="24"/>
        </w:rPr>
      </w:pPr>
      <w:r w:rsidRPr="00340246">
        <w:rPr>
          <w:rFonts w:eastAsia="Times New Roman" w:cs="Arial"/>
          <w:color w:val="000000"/>
          <w:lang w:eastAsia="bg-BG"/>
        </w:rPr>
        <w:t>е постоянна: интериндивидуалните вариации са незначителни и съпътстващото приемане на храна не променя бионаличността. Нивата на абсорбцията не варират в препоръчителните терапевтични дози.</w:t>
      </w:r>
    </w:p>
    <w:p w14:paraId="3BAB873D" w14:textId="77777777" w:rsidR="00340246" w:rsidRPr="00340246" w:rsidRDefault="00340246" w:rsidP="00340246">
      <w:pPr>
        <w:spacing w:line="240" w:lineRule="auto"/>
        <w:rPr>
          <w:rFonts w:eastAsia="Times New Roman" w:cs="Arial"/>
          <w:color w:val="000000"/>
          <w:u w:val="single"/>
          <w:lang w:eastAsia="bg-BG"/>
        </w:rPr>
      </w:pPr>
    </w:p>
    <w:p w14:paraId="28ACC72B" w14:textId="53B40187" w:rsidR="00340246" w:rsidRPr="00340246" w:rsidRDefault="00340246" w:rsidP="00340246">
      <w:pPr>
        <w:pStyle w:val="Heading3"/>
        <w:rPr>
          <w:rFonts w:eastAsia="Times New Roman"/>
          <w:u w:val="single"/>
        </w:rPr>
      </w:pPr>
      <w:r w:rsidRPr="00340246">
        <w:rPr>
          <w:rFonts w:eastAsia="Times New Roman"/>
          <w:u w:val="single"/>
          <w:lang w:eastAsia="bg-BG"/>
        </w:rPr>
        <w:t>Разпределение</w:t>
      </w:r>
    </w:p>
    <w:p w14:paraId="07617A37"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 xml:space="preserve">Свързването с плазмените протеини е по-малко от 10%. Обемът на разпределение е 5 </w:t>
      </w:r>
      <w:r w:rsidRPr="00340246">
        <w:rPr>
          <w:rFonts w:eastAsia="Times New Roman" w:cs="Arial"/>
          <w:color w:val="000000"/>
          <w:lang w:val="ru-RU"/>
        </w:rPr>
        <w:t>1/</w:t>
      </w:r>
      <w:r w:rsidRPr="00340246">
        <w:rPr>
          <w:rFonts w:eastAsia="Times New Roman" w:cs="Arial"/>
          <w:color w:val="000000"/>
          <w:lang w:val="en-US"/>
        </w:rPr>
        <w:t>kg</w:t>
      </w:r>
      <w:r w:rsidRPr="00340246">
        <w:rPr>
          <w:rFonts w:eastAsia="Times New Roman" w:cs="Arial"/>
          <w:color w:val="000000"/>
          <w:lang w:val="ru-RU"/>
        </w:rPr>
        <w:t>.</w:t>
      </w:r>
    </w:p>
    <w:p w14:paraId="6886B428" w14:textId="77777777" w:rsidR="00340246" w:rsidRPr="00340246" w:rsidRDefault="00340246" w:rsidP="00340246">
      <w:pPr>
        <w:spacing w:line="240" w:lineRule="auto"/>
        <w:rPr>
          <w:rFonts w:eastAsia="Times New Roman" w:cs="Arial"/>
          <w:color w:val="000000"/>
          <w:u w:val="single"/>
          <w:lang w:eastAsia="bg-BG"/>
        </w:rPr>
      </w:pPr>
    </w:p>
    <w:p w14:paraId="419A4F4C" w14:textId="3E6FF7EA" w:rsidR="00340246" w:rsidRPr="00340246" w:rsidRDefault="00340246" w:rsidP="00340246">
      <w:pPr>
        <w:pStyle w:val="Heading3"/>
        <w:rPr>
          <w:rFonts w:eastAsia="Times New Roman"/>
          <w:u w:val="single"/>
        </w:rPr>
      </w:pPr>
      <w:r w:rsidRPr="00340246">
        <w:rPr>
          <w:rFonts w:eastAsia="Times New Roman"/>
          <w:u w:val="single"/>
          <w:lang w:eastAsia="bg-BG"/>
        </w:rPr>
        <w:t>Биотрансформация</w:t>
      </w:r>
    </w:p>
    <w:p w14:paraId="57E0DCBE"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Рилменидин се метаболизира много слабо. Следи от метаболити са открити в урината и се счита, че се дължат на хидролиза или окисление на оксазолиновия пръстен. Тези метаболити не притежават активност на алфа-2-агонисти.</w:t>
      </w:r>
    </w:p>
    <w:p w14:paraId="106DFA5F" w14:textId="77777777" w:rsidR="00340246" w:rsidRPr="00340246" w:rsidRDefault="00340246" w:rsidP="00340246">
      <w:pPr>
        <w:spacing w:line="240" w:lineRule="auto"/>
        <w:rPr>
          <w:rFonts w:eastAsia="Times New Roman" w:cs="Arial"/>
          <w:color w:val="000000"/>
          <w:u w:val="single"/>
          <w:lang w:eastAsia="bg-BG"/>
        </w:rPr>
      </w:pPr>
    </w:p>
    <w:p w14:paraId="68813F76" w14:textId="12BA4ECE" w:rsidR="00340246" w:rsidRPr="00340246" w:rsidRDefault="00340246" w:rsidP="00340246">
      <w:pPr>
        <w:pStyle w:val="Heading3"/>
        <w:rPr>
          <w:rFonts w:eastAsia="Times New Roman"/>
          <w:u w:val="single"/>
        </w:rPr>
      </w:pPr>
      <w:r w:rsidRPr="00340246">
        <w:rPr>
          <w:rFonts w:eastAsia="Times New Roman"/>
          <w:u w:val="single"/>
          <w:lang w:eastAsia="bg-BG"/>
        </w:rPr>
        <w:t>Елиминиране</w:t>
      </w:r>
    </w:p>
    <w:p w14:paraId="416C74EC"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 xml:space="preserve">Рилменидин се елиминира основно през бъбреците: 65% от приложената доза се екскретират в непроменен вид с урината. Бъбречният клирънс представлява две трети от общия клирънс. Елиминационният полуживот е 8 часа. Не се променя от приложената доза или при многократно приложение. Продължителността на фармакологичното действие е голяма, като антихипертензивната активност се поддържа в значителна степен в продължение на 24 часа след приложение при пациенти с артериална хипертония, лекувани с доза от 1 </w:t>
      </w:r>
      <w:r w:rsidRPr="00340246">
        <w:rPr>
          <w:rFonts w:eastAsia="Times New Roman" w:cs="Arial"/>
          <w:color w:val="000000"/>
          <w:lang w:val="en-US"/>
        </w:rPr>
        <w:t>mg</w:t>
      </w:r>
      <w:r w:rsidRPr="00340246">
        <w:rPr>
          <w:rFonts w:eastAsia="Times New Roman" w:cs="Arial"/>
          <w:color w:val="000000"/>
          <w:lang w:val="ru-RU"/>
        </w:rPr>
        <w:t xml:space="preserve"> </w:t>
      </w:r>
      <w:r w:rsidRPr="00340246">
        <w:rPr>
          <w:rFonts w:eastAsia="Times New Roman" w:cs="Arial"/>
          <w:color w:val="000000"/>
          <w:lang w:eastAsia="bg-BG"/>
        </w:rPr>
        <w:t>веднъж дневно.</w:t>
      </w:r>
    </w:p>
    <w:p w14:paraId="149CB357" w14:textId="77777777" w:rsidR="00340246" w:rsidRPr="00340246" w:rsidRDefault="00340246" w:rsidP="00340246">
      <w:pPr>
        <w:spacing w:line="240" w:lineRule="auto"/>
        <w:rPr>
          <w:rFonts w:eastAsia="Times New Roman" w:cs="Arial"/>
          <w:color w:val="000000"/>
          <w:lang w:eastAsia="bg-BG"/>
        </w:rPr>
      </w:pPr>
    </w:p>
    <w:p w14:paraId="78CE6084" w14:textId="662AD791"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Многократно приложение: стационарно състояние (</w:t>
      </w:r>
      <w:r w:rsidRPr="00340246">
        <w:rPr>
          <w:rFonts w:eastAsia="Times New Roman" w:cs="Arial"/>
          <w:i/>
          <w:iCs/>
          <w:color w:val="000000"/>
          <w:lang w:val="en-US"/>
        </w:rPr>
        <w:t>steady</w:t>
      </w:r>
      <w:r w:rsidRPr="00340246">
        <w:rPr>
          <w:rFonts w:eastAsia="Times New Roman" w:cs="Arial"/>
          <w:i/>
          <w:iCs/>
          <w:color w:val="000000"/>
          <w:lang w:val="ru-RU"/>
        </w:rPr>
        <w:t xml:space="preserve"> </w:t>
      </w:r>
      <w:r w:rsidRPr="00340246">
        <w:rPr>
          <w:rFonts w:eastAsia="Times New Roman" w:cs="Arial"/>
          <w:i/>
          <w:iCs/>
          <w:color w:val="000000"/>
          <w:lang w:val="en-US"/>
        </w:rPr>
        <w:t>state</w:t>
      </w:r>
      <w:r w:rsidRPr="00340246">
        <w:rPr>
          <w:rFonts w:eastAsia="Times New Roman" w:cs="Arial"/>
          <w:i/>
          <w:iCs/>
          <w:color w:val="000000"/>
          <w:lang w:val="ru-RU"/>
        </w:rPr>
        <w:t>)</w:t>
      </w:r>
      <w:r w:rsidRPr="00340246">
        <w:rPr>
          <w:rFonts w:eastAsia="Times New Roman" w:cs="Arial"/>
          <w:color w:val="000000"/>
          <w:lang w:val="ru-RU"/>
        </w:rPr>
        <w:t xml:space="preserve"> </w:t>
      </w:r>
      <w:r w:rsidRPr="00340246">
        <w:rPr>
          <w:rFonts w:eastAsia="Times New Roman" w:cs="Arial"/>
          <w:color w:val="000000"/>
          <w:lang w:eastAsia="bg-BG"/>
        </w:rPr>
        <w:t>се достига до 3-тия ден; проучване на плазмените нива показва, че остават стабилни в продължение на 10 дни.</w:t>
      </w:r>
    </w:p>
    <w:p w14:paraId="31F1E7F1" w14:textId="77777777" w:rsidR="00340246" w:rsidRPr="00340246" w:rsidRDefault="00340246" w:rsidP="00340246">
      <w:pPr>
        <w:spacing w:line="240" w:lineRule="auto"/>
        <w:rPr>
          <w:rFonts w:eastAsia="Times New Roman" w:cs="Arial"/>
          <w:color w:val="000000"/>
          <w:lang w:eastAsia="bg-BG"/>
        </w:rPr>
      </w:pPr>
    </w:p>
    <w:p w14:paraId="20599F8A" w14:textId="5A98C60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Дългосрочното наблюдение на плазмените нива при пациенти с хипертония (лекувани в продължение на 2 години) е показало, че плазмените нива на рилменидин остават стабилни.</w:t>
      </w:r>
    </w:p>
    <w:p w14:paraId="63689D48" w14:textId="77777777" w:rsidR="00340246" w:rsidRPr="00340246" w:rsidRDefault="00340246" w:rsidP="00340246">
      <w:pPr>
        <w:spacing w:line="240" w:lineRule="auto"/>
        <w:rPr>
          <w:rFonts w:eastAsia="Times New Roman" w:cs="Arial"/>
          <w:color w:val="000000"/>
          <w:u w:val="single"/>
          <w:lang w:eastAsia="bg-BG"/>
        </w:rPr>
      </w:pPr>
    </w:p>
    <w:p w14:paraId="294A4714" w14:textId="285BC385" w:rsidR="00340246" w:rsidRPr="00340246" w:rsidRDefault="00340246" w:rsidP="00340246">
      <w:pPr>
        <w:spacing w:line="240" w:lineRule="auto"/>
        <w:rPr>
          <w:rFonts w:eastAsia="Times New Roman" w:cs="Arial"/>
          <w:sz w:val="24"/>
          <w:szCs w:val="24"/>
        </w:rPr>
      </w:pPr>
      <w:r w:rsidRPr="00340246">
        <w:rPr>
          <w:rFonts w:eastAsia="Times New Roman" w:cs="Arial"/>
          <w:color w:val="000000"/>
          <w:u w:val="single"/>
          <w:lang w:eastAsia="bg-BG"/>
        </w:rPr>
        <w:t>Пациенти в старческа възраст</w:t>
      </w:r>
    </w:p>
    <w:p w14:paraId="21958ADB"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lastRenderedPageBreak/>
        <w:t>Фармакокинетичните изпитвания при пациенти в старческа възраст (над 70-годишна възраст) са показали елиминационен полуживот от 12 часа.</w:t>
      </w:r>
    </w:p>
    <w:p w14:paraId="6271B403" w14:textId="77777777" w:rsidR="00340246" w:rsidRPr="00340246" w:rsidRDefault="00340246" w:rsidP="00340246">
      <w:pPr>
        <w:spacing w:line="240" w:lineRule="auto"/>
        <w:rPr>
          <w:rFonts w:eastAsia="Times New Roman" w:cs="Arial"/>
          <w:color w:val="000000"/>
          <w:u w:val="single"/>
          <w:lang w:eastAsia="bg-BG"/>
        </w:rPr>
      </w:pPr>
    </w:p>
    <w:p w14:paraId="00FCBD11" w14:textId="3F66B670" w:rsidR="00340246" w:rsidRPr="00340246" w:rsidRDefault="00340246" w:rsidP="00340246">
      <w:pPr>
        <w:spacing w:line="240" w:lineRule="auto"/>
        <w:rPr>
          <w:rFonts w:eastAsia="Times New Roman" w:cs="Arial"/>
          <w:sz w:val="24"/>
          <w:szCs w:val="24"/>
        </w:rPr>
      </w:pPr>
      <w:r w:rsidRPr="00340246">
        <w:rPr>
          <w:rFonts w:eastAsia="Times New Roman" w:cs="Arial"/>
          <w:color w:val="000000"/>
          <w:u w:val="single"/>
          <w:lang w:eastAsia="bg-BG"/>
        </w:rPr>
        <w:t>Чернодробно увреждане</w:t>
      </w:r>
    </w:p>
    <w:p w14:paraId="7AEDEFEB" w14:textId="77777777" w:rsidR="00340246" w:rsidRPr="00340246" w:rsidRDefault="00340246" w:rsidP="00340246">
      <w:pPr>
        <w:spacing w:line="240" w:lineRule="auto"/>
        <w:rPr>
          <w:rFonts w:eastAsia="Times New Roman" w:cs="Arial"/>
          <w:sz w:val="24"/>
          <w:szCs w:val="24"/>
        </w:rPr>
      </w:pPr>
      <w:r w:rsidRPr="00340246">
        <w:rPr>
          <w:rFonts w:eastAsia="Times New Roman" w:cs="Arial"/>
          <w:color w:val="000000"/>
          <w:lang w:eastAsia="bg-BG"/>
        </w:rPr>
        <w:t>Елиминационният полуживот е 11 часа.</w:t>
      </w:r>
    </w:p>
    <w:p w14:paraId="74124E20" w14:textId="77777777" w:rsidR="00340246" w:rsidRPr="00340246" w:rsidRDefault="00340246" w:rsidP="00340246">
      <w:pPr>
        <w:spacing w:line="240" w:lineRule="auto"/>
        <w:rPr>
          <w:rFonts w:eastAsia="Times New Roman" w:cs="Arial"/>
          <w:color w:val="000000"/>
          <w:u w:val="single"/>
          <w:lang w:eastAsia="bg-BG"/>
        </w:rPr>
      </w:pPr>
    </w:p>
    <w:p w14:paraId="1519F3CD" w14:textId="3F13C250" w:rsidR="00340246" w:rsidRPr="00340246" w:rsidRDefault="00340246" w:rsidP="00340246">
      <w:pPr>
        <w:spacing w:line="240" w:lineRule="auto"/>
        <w:rPr>
          <w:rFonts w:eastAsia="Times New Roman" w:cs="Arial"/>
          <w:sz w:val="24"/>
          <w:szCs w:val="24"/>
        </w:rPr>
      </w:pPr>
      <w:r w:rsidRPr="00340246">
        <w:rPr>
          <w:rFonts w:eastAsia="Times New Roman" w:cs="Arial"/>
          <w:color w:val="000000"/>
          <w:u w:val="single"/>
          <w:lang w:eastAsia="bg-BG"/>
        </w:rPr>
        <w:t>Бъбречна недостатъчност</w:t>
      </w:r>
    </w:p>
    <w:p w14:paraId="1FAAAE01" w14:textId="46F70E94" w:rsidR="00340246" w:rsidRPr="00340246" w:rsidRDefault="00340246" w:rsidP="00340246">
      <w:pPr>
        <w:rPr>
          <w:rFonts w:eastAsia="Times New Roman" w:cs="Arial"/>
          <w:sz w:val="24"/>
          <w:szCs w:val="24"/>
        </w:rPr>
      </w:pPr>
      <w:r w:rsidRPr="00340246">
        <w:rPr>
          <w:rFonts w:eastAsia="Times New Roman" w:cs="Arial"/>
          <w:color w:val="000000"/>
          <w:lang w:eastAsia="bg-BG"/>
        </w:rPr>
        <w:t xml:space="preserve">Поради предимно бъбречното елиминиране, е било наблюдавано забавено излъчване на съединението, което е пропорционално на степента на бъбречната недостатъчност. При пациенти с тежка бъбречна недостатъчност (креатининов клирънс под 15 </w:t>
      </w:r>
      <w:r w:rsidRPr="00340246">
        <w:rPr>
          <w:rFonts w:eastAsia="Times New Roman" w:cs="Arial"/>
          <w:color w:val="000000"/>
          <w:lang w:val="en-US"/>
        </w:rPr>
        <w:t>ml</w:t>
      </w:r>
      <w:r w:rsidRPr="00340246">
        <w:rPr>
          <w:rFonts w:eastAsia="Times New Roman" w:cs="Arial"/>
          <w:color w:val="000000"/>
          <w:lang w:val="ru-RU"/>
        </w:rPr>
        <w:t>/</w:t>
      </w:r>
      <w:r w:rsidRPr="00340246">
        <w:rPr>
          <w:rFonts w:eastAsia="Times New Roman" w:cs="Arial"/>
          <w:color w:val="000000"/>
          <w:lang w:val="en-US"/>
        </w:rPr>
        <w:t>min</w:t>
      </w:r>
      <w:r w:rsidRPr="00340246">
        <w:rPr>
          <w:rFonts w:eastAsia="Times New Roman" w:cs="Arial"/>
          <w:color w:val="000000"/>
          <w:lang w:val="ru-RU"/>
        </w:rPr>
        <w:t xml:space="preserve">), </w:t>
      </w:r>
      <w:r w:rsidRPr="00340246">
        <w:rPr>
          <w:rFonts w:eastAsia="Times New Roman" w:cs="Arial"/>
          <w:color w:val="000000"/>
          <w:lang w:eastAsia="bg-BG"/>
        </w:rPr>
        <w:t>елиминационният полуживот е приблизително 35 часа.</w:t>
      </w:r>
    </w:p>
    <w:p w14:paraId="2FA003DE" w14:textId="77777777" w:rsidR="00340246" w:rsidRPr="00340246" w:rsidRDefault="00340246" w:rsidP="00340246"/>
    <w:p w14:paraId="4F31844C" w14:textId="6D3DDE7A" w:rsidR="00875EEC" w:rsidRDefault="002C50EE" w:rsidP="005726E3">
      <w:pPr>
        <w:pStyle w:val="Heading2"/>
      </w:pPr>
      <w:r>
        <w:t>5.3. Предклинични данни за безопасност</w:t>
      </w:r>
    </w:p>
    <w:p w14:paraId="798CDDBC" w14:textId="2C237966" w:rsidR="00340246" w:rsidRDefault="00340246" w:rsidP="00340246"/>
    <w:p w14:paraId="2F301CC3" w14:textId="77777777" w:rsidR="00340246" w:rsidRPr="00340246" w:rsidRDefault="00340246" w:rsidP="00340246">
      <w:pPr>
        <w:rPr>
          <w:sz w:val="24"/>
          <w:szCs w:val="24"/>
        </w:rPr>
      </w:pPr>
      <w:r w:rsidRPr="00340246">
        <w:rPr>
          <w:lang w:eastAsia="bg-BG"/>
        </w:rPr>
        <w:t>Неклиничните данни от изпитвания за остра токсичност, токсичност при многократно прилагане, генотоксичност/мугагенност, канцерогенен потенциал и репродуктивна токсичност не показват особен риск за хората.</w:t>
      </w:r>
    </w:p>
    <w:p w14:paraId="63CC3CE1" w14:textId="77777777" w:rsidR="00340246" w:rsidRPr="00340246" w:rsidRDefault="00340246" w:rsidP="00340246">
      <w:pPr>
        <w:rPr>
          <w:sz w:val="24"/>
          <w:szCs w:val="24"/>
        </w:rPr>
      </w:pPr>
      <w:r w:rsidRPr="00340246">
        <w:rPr>
          <w:lang w:eastAsia="bg-BG"/>
        </w:rPr>
        <w:t>Нежелани реакции върху пери- и постнаталното развитие (ниско тегло при раждане) са наблюдавани само при дози, токсични за майката.</w:t>
      </w:r>
    </w:p>
    <w:p w14:paraId="67F4FA85" w14:textId="77777777" w:rsidR="00340246" w:rsidRPr="00340246" w:rsidRDefault="00340246" w:rsidP="00340246"/>
    <w:p w14:paraId="1BA6531D" w14:textId="2D486DFD" w:rsidR="00B6672E" w:rsidRDefault="002C50EE" w:rsidP="00936AD0">
      <w:pPr>
        <w:pStyle w:val="Heading1"/>
      </w:pPr>
      <w:r>
        <w:t>7. ПРИТЕЖАТЕЛ НА РАЗРЕШЕНИЕТО ЗА УПОТРЕБА</w:t>
      </w:r>
    </w:p>
    <w:p w14:paraId="4EB04C1D" w14:textId="5C64E021" w:rsidR="00340246" w:rsidRDefault="00340246" w:rsidP="00340246"/>
    <w:p w14:paraId="2EF3547B" w14:textId="77777777" w:rsidR="00340246" w:rsidRPr="00340246" w:rsidRDefault="00340246" w:rsidP="00340246">
      <w:pPr>
        <w:rPr>
          <w:sz w:val="24"/>
          <w:szCs w:val="24"/>
          <w:lang w:val="en-US"/>
        </w:rPr>
      </w:pPr>
      <w:proofErr w:type="spellStart"/>
      <w:r w:rsidRPr="00340246">
        <w:rPr>
          <w:lang w:val="en-US"/>
        </w:rPr>
        <w:t>Teva</w:t>
      </w:r>
      <w:proofErr w:type="spellEnd"/>
      <w:r w:rsidRPr="00340246">
        <w:rPr>
          <w:lang w:val="en-US"/>
        </w:rPr>
        <w:t xml:space="preserve"> B.V.</w:t>
      </w:r>
    </w:p>
    <w:p w14:paraId="47FCCEC5" w14:textId="77777777" w:rsidR="00340246" w:rsidRPr="00340246" w:rsidRDefault="00340246" w:rsidP="00340246">
      <w:pPr>
        <w:rPr>
          <w:sz w:val="24"/>
          <w:szCs w:val="24"/>
          <w:lang w:val="en-US"/>
        </w:rPr>
      </w:pPr>
      <w:proofErr w:type="spellStart"/>
      <w:r w:rsidRPr="00340246">
        <w:rPr>
          <w:lang w:val="en-US"/>
        </w:rPr>
        <w:t>Swensweg</w:t>
      </w:r>
      <w:proofErr w:type="spellEnd"/>
      <w:r w:rsidRPr="00340246">
        <w:rPr>
          <w:lang w:val="en-US"/>
        </w:rPr>
        <w:t xml:space="preserve"> </w:t>
      </w:r>
      <w:r w:rsidRPr="00340246">
        <w:rPr>
          <w:lang w:eastAsia="bg-BG"/>
        </w:rPr>
        <w:t xml:space="preserve">5, 2031 </w:t>
      </w:r>
      <w:r w:rsidRPr="00340246">
        <w:rPr>
          <w:lang w:val="en-US"/>
        </w:rPr>
        <w:t>GA Haarlem</w:t>
      </w:r>
    </w:p>
    <w:p w14:paraId="24F74BE6" w14:textId="7B49504C" w:rsidR="00340246" w:rsidRPr="00340246" w:rsidRDefault="00340246" w:rsidP="00340246">
      <w:pPr>
        <w:rPr>
          <w:sz w:val="24"/>
          <w:szCs w:val="24"/>
          <w:lang w:val="ru-RU"/>
        </w:rPr>
      </w:pPr>
      <w:r w:rsidRPr="00340246">
        <w:rPr>
          <w:lang w:eastAsia="bg-BG"/>
        </w:rPr>
        <w:t>Нидерландия</w:t>
      </w:r>
    </w:p>
    <w:p w14:paraId="508F3A54" w14:textId="469A6F2B" w:rsidR="00B6672E" w:rsidRDefault="00936AD0" w:rsidP="00936AD0">
      <w:pPr>
        <w:pStyle w:val="Heading1"/>
      </w:pPr>
      <w:r>
        <w:t>8.</w:t>
      </w:r>
      <w:r w:rsidR="002C50EE">
        <w:t>НОМЕР НА РАЗРЕШЕНИЕТО ЗА УПОТРЕБА</w:t>
      </w:r>
    </w:p>
    <w:p w14:paraId="2DA78C54" w14:textId="0FBF45D7" w:rsidR="00340246" w:rsidRDefault="00340246" w:rsidP="00340246"/>
    <w:p w14:paraId="37E6FBFC" w14:textId="7E20609C" w:rsidR="00340246" w:rsidRPr="00340246" w:rsidRDefault="00340246" w:rsidP="00340246">
      <w:r>
        <w:rPr>
          <w:lang w:val="en-US"/>
        </w:rPr>
        <w:t>Per</w:t>
      </w:r>
      <w:r w:rsidRPr="00340246">
        <w:rPr>
          <w:lang w:val="ru-RU"/>
        </w:rPr>
        <w:t xml:space="preserve">. </w:t>
      </w:r>
      <w:r>
        <w:t>№20100707</w:t>
      </w:r>
    </w:p>
    <w:p w14:paraId="3BC5EC53" w14:textId="3B274EA9" w:rsidR="00875EEC" w:rsidRDefault="002C50EE" w:rsidP="005726E3">
      <w:pPr>
        <w:pStyle w:val="Heading1"/>
      </w:pPr>
      <w:r>
        <w:t>9. ДАТА НА ПЪРВО РАЗРЕШАВАНЕ/ПОДНОВЯВАНЕ НА РАЗРЕШЕНИЕТО ЗА УПОТРЕБА</w:t>
      </w:r>
    </w:p>
    <w:p w14:paraId="6E018B53" w14:textId="4C4AD880" w:rsidR="00340246" w:rsidRDefault="00340246" w:rsidP="00340246"/>
    <w:p w14:paraId="43CBCEC3" w14:textId="77777777" w:rsidR="00340246" w:rsidRPr="00340246" w:rsidRDefault="00340246" w:rsidP="00340246">
      <w:pPr>
        <w:rPr>
          <w:sz w:val="24"/>
          <w:szCs w:val="24"/>
        </w:rPr>
      </w:pPr>
      <w:bookmarkStart w:id="1" w:name="_GoBack"/>
      <w:r w:rsidRPr="00340246">
        <w:rPr>
          <w:lang w:eastAsia="bg-BG"/>
        </w:rPr>
        <w:t>Дата на първо разрешаване: 05 ноември 2010 г.</w:t>
      </w:r>
    </w:p>
    <w:p w14:paraId="7CC7DFD5" w14:textId="77777777" w:rsidR="00340246" w:rsidRPr="00340246" w:rsidRDefault="00340246" w:rsidP="00340246">
      <w:pPr>
        <w:rPr>
          <w:sz w:val="24"/>
          <w:szCs w:val="24"/>
        </w:rPr>
      </w:pPr>
      <w:r w:rsidRPr="00340246">
        <w:rPr>
          <w:lang w:eastAsia="bg-BG"/>
        </w:rPr>
        <w:t>Дата на последно подновяване: 13 февруари 2019 г</w:t>
      </w:r>
      <w:bookmarkEnd w:id="1"/>
      <w:r w:rsidRPr="00340246">
        <w:rPr>
          <w:lang w:eastAsia="bg-BG"/>
        </w:rPr>
        <w:t>.</w:t>
      </w:r>
    </w:p>
    <w:p w14:paraId="6E608F52" w14:textId="77777777" w:rsidR="00340246" w:rsidRPr="00340246" w:rsidRDefault="00340246" w:rsidP="00340246"/>
    <w:p w14:paraId="43FB38A2" w14:textId="1E62F256" w:rsidR="007C605B" w:rsidRPr="003E3126" w:rsidRDefault="002C50EE" w:rsidP="005726E3">
      <w:pPr>
        <w:pStyle w:val="Heading1"/>
      </w:pPr>
      <w:r>
        <w:t>10. ДАТА НА АКТУАЛИЗИРАНЕ НА ТЕКСТА</w:t>
      </w:r>
      <w:bookmarkEnd w:id="0"/>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7332ED"/>
    <w:multiLevelType w:val="hybridMultilevel"/>
    <w:tmpl w:val="DAC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31B21E0"/>
    <w:multiLevelType w:val="hybridMultilevel"/>
    <w:tmpl w:val="B22A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41D04"/>
    <w:multiLevelType w:val="hybridMultilevel"/>
    <w:tmpl w:val="2B967CDE"/>
    <w:lvl w:ilvl="0" w:tplc="E806E5B0">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5"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E54CA"/>
    <w:multiLevelType w:val="hybridMultilevel"/>
    <w:tmpl w:val="3502F576"/>
    <w:lvl w:ilvl="0" w:tplc="04090001">
      <w:start w:val="1"/>
      <w:numFmt w:val="bullet"/>
      <w:lvlText w:val=""/>
      <w:lvlJc w:val="left"/>
      <w:pPr>
        <w:ind w:left="720" w:hanging="36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2"/>
  </w:num>
  <w:num w:numId="2">
    <w:abstractNumId w:val="0"/>
  </w:num>
  <w:num w:numId="3">
    <w:abstractNumId w:val="17"/>
  </w:num>
  <w:num w:numId="4">
    <w:abstractNumId w:val="3"/>
  </w:num>
  <w:num w:numId="5">
    <w:abstractNumId w:val="1"/>
  </w:num>
  <w:num w:numId="6">
    <w:abstractNumId w:val="20"/>
  </w:num>
  <w:num w:numId="7">
    <w:abstractNumId w:val="15"/>
  </w:num>
  <w:num w:numId="8">
    <w:abstractNumId w:val="19"/>
  </w:num>
  <w:num w:numId="9">
    <w:abstractNumId w:val="2"/>
  </w:num>
  <w:num w:numId="10">
    <w:abstractNumId w:val="4"/>
  </w:num>
  <w:num w:numId="11">
    <w:abstractNumId w:val="35"/>
  </w:num>
  <w:num w:numId="12">
    <w:abstractNumId w:val="18"/>
  </w:num>
  <w:num w:numId="13">
    <w:abstractNumId w:val="24"/>
  </w:num>
  <w:num w:numId="14">
    <w:abstractNumId w:val="16"/>
  </w:num>
  <w:num w:numId="15">
    <w:abstractNumId w:val="34"/>
  </w:num>
  <w:num w:numId="16">
    <w:abstractNumId w:val="14"/>
  </w:num>
  <w:num w:numId="17">
    <w:abstractNumId w:val="29"/>
  </w:num>
  <w:num w:numId="18">
    <w:abstractNumId w:val="11"/>
  </w:num>
  <w:num w:numId="19">
    <w:abstractNumId w:val="31"/>
  </w:num>
  <w:num w:numId="20">
    <w:abstractNumId w:val="28"/>
  </w:num>
  <w:num w:numId="21">
    <w:abstractNumId w:val="21"/>
  </w:num>
  <w:num w:numId="22">
    <w:abstractNumId w:val="30"/>
  </w:num>
  <w:num w:numId="23">
    <w:abstractNumId w:val="22"/>
  </w:num>
  <w:num w:numId="24">
    <w:abstractNumId w:val="12"/>
  </w:num>
  <w:num w:numId="25">
    <w:abstractNumId w:val="27"/>
  </w:num>
  <w:num w:numId="26">
    <w:abstractNumId w:val="26"/>
  </w:num>
  <w:num w:numId="27">
    <w:abstractNumId w:val="36"/>
  </w:num>
  <w:num w:numId="28">
    <w:abstractNumId w:val="7"/>
  </w:num>
  <w:num w:numId="29">
    <w:abstractNumId w:val="25"/>
  </w:num>
  <w:num w:numId="30">
    <w:abstractNumId w:val="39"/>
  </w:num>
  <w:num w:numId="31">
    <w:abstractNumId w:val="6"/>
  </w:num>
  <w:num w:numId="32">
    <w:abstractNumId w:val="38"/>
  </w:num>
  <w:num w:numId="33">
    <w:abstractNumId w:val="33"/>
  </w:num>
  <w:num w:numId="34">
    <w:abstractNumId w:val="37"/>
  </w:num>
  <w:num w:numId="35">
    <w:abstractNumId w:val="9"/>
  </w:num>
  <w:num w:numId="36">
    <w:abstractNumId w:val="13"/>
  </w:num>
  <w:num w:numId="37">
    <w:abstractNumId w:val="5"/>
  </w:num>
  <w:num w:numId="38">
    <w:abstractNumId w:val="10"/>
  </w:num>
  <w:num w:numId="39">
    <w:abstractNumId w:val="2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246"/>
    <w:rsid w:val="00340A0A"/>
    <w:rsid w:val="003765DC"/>
    <w:rsid w:val="00395555"/>
    <w:rsid w:val="003E3126"/>
    <w:rsid w:val="00426E5F"/>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2234</Words>
  <Characters>12734</Characters>
  <Application>Microsoft Office Word</Application>
  <DocSecurity>0</DocSecurity>
  <Lines>106</Lines>
  <Paragraphs>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2022-11-03T08:30:00Z</dcterms:created>
  <dcterms:modified xsi:type="dcterms:W3CDTF">2022-11-03T08:30:00Z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