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584840FB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Ризатриптан Актавис 5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>таблетки, диспергиращи се в устата</w:t>
      </w:r>
    </w:p>
    <w:p w14:paraId="66F1D1FF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015BA1">
        <w:rPr>
          <w:rFonts w:eastAsia="Times New Roman" w:cs="Arial"/>
          <w:color w:val="000000"/>
          <w:lang w:val="en-US"/>
        </w:rPr>
        <w:t>Rizatriptan</w:t>
      </w:r>
      <w:proofErr w:type="spellEnd"/>
      <w:r w:rsidRPr="00015BA1">
        <w:rPr>
          <w:rFonts w:eastAsia="Times New Roman" w:cs="Arial"/>
          <w:color w:val="000000"/>
          <w:lang w:val="en-US"/>
        </w:rPr>
        <w:t xml:space="preserve"> Actavis </w:t>
      </w:r>
      <w:r w:rsidRPr="00015BA1">
        <w:rPr>
          <w:rFonts w:eastAsia="Times New Roman" w:cs="Arial"/>
          <w:color w:val="000000"/>
          <w:lang w:eastAsia="bg-BG"/>
        </w:rPr>
        <w:t xml:space="preserve">5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015BA1">
        <w:rPr>
          <w:rFonts w:eastAsia="Times New Roman" w:cs="Arial"/>
          <w:color w:val="000000"/>
          <w:lang w:val="en-US"/>
        </w:rPr>
        <w:t>orodispersible</w:t>
      </w:r>
      <w:proofErr w:type="spellEnd"/>
      <w:r w:rsidRPr="00015BA1">
        <w:rPr>
          <w:rFonts w:eastAsia="Times New Roman" w:cs="Arial"/>
          <w:color w:val="000000"/>
          <w:lang w:val="en-US"/>
        </w:rPr>
        <w:t xml:space="preserve"> tablets</w:t>
      </w:r>
    </w:p>
    <w:p w14:paraId="6612044B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5C3B9739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Ризатриптан Актавис 10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таблетки, диспергиращи се в </w:t>
      </w:r>
      <w:proofErr w:type="spellStart"/>
      <w:r w:rsidRPr="00015BA1">
        <w:rPr>
          <w:rFonts w:eastAsia="Times New Roman" w:cs="Arial"/>
          <w:color w:val="000000"/>
          <w:lang w:val="en-US"/>
        </w:rPr>
        <w:t>yc</w:t>
      </w:r>
      <w:proofErr w:type="spellEnd"/>
      <w:r w:rsidRPr="00015BA1">
        <w:rPr>
          <w:rFonts w:eastAsia="Times New Roman" w:cs="Arial"/>
          <w:color w:val="000000"/>
          <w:lang w:eastAsia="bg-BG"/>
        </w:rPr>
        <w:t>тата</w:t>
      </w:r>
    </w:p>
    <w:p w14:paraId="69AC8148" w14:textId="752547B6" w:rsidR="00EC41ED" w:rsidRPr="00BF17CB" w:rsidRDefault="00015BA1" w:rsidP="00015BA1">
      <w:pPr>
        <w:rPr>
          <w:rFonts w:cs="Arial"/>
        </w:rPr>
      </w:pPr>
      <w:proofErr w:type="spellStart"/>
      <w:r w:rsidRPr="00BF17CB">
        <w:rPr>
          <w:rFonts w:eastAsia="Times New Roman" w:cs="Arial"/>
          <w:color w:val="000000"/>
          <w:lang w:val="en-US"/>
        </w:rPr>
        <w:t>Rizatriptan</w:t>
      </w:r>
      <w:proofErr w:type="spellEnd"/>
      <w:r w:rsidRPr="00BF17CB">
        <w:rPr>
          <w:rFonts w:eastAsia="Times New Roman" w:cs="Arial"/>
          <w:color w:val="000000"/>
          <w:lang w:val="en-US"/>
        </w:rPr>
        <w:t xml:space="preserve"> Actavis </w:t>
      </w:r>
      <w:r w:rsidRPr="00BF17CB">
        <w:rPr>
          <w:rFonts w:eastAsia="Times New Roman" w:cs="Arial"/>
          <w:color w:val="000000"/>
          <w:lang w:eastAsia="bg-BG"/>
        </w:rPr>
        <w:t xml:space="preserve">10 </w:t>
      </w:r>
      <w:r w:rsidRPr="00BF17CB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BF17CB">
        <w:rPr>
          <w:rFonts w:eastAsia="Times New Roman" w:cs="Arial"/>
          <w:color w:val="000000"/>
          <w:lang w:val="en-US"/>
        </w:rPr>
        <w:t>orodispersible</w:t>
      </w:r>
      <w:proofErr w:type="spellEnd"/>
      <w:r w:rsidRPr="00BF17CB">
        <w:rPr>
          <w:rFonts w:eastAsia="Times New Roman" w:cs="Arial"/>
          <w:color w:val="000000"/>
          <w:lang w:val="en-US"/>
        </w:rPr>
        <w:t xml:space="preserve">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5AB38279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Всяка Ризатриптан Актавис 5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таблетка, диспергираща се в устата съдържа 5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ризатриптан като 7,265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ризатриптан бензоат </w:t>
      </w:r>
      <w:r w:rsidRPr="00015BA1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015BA1">
        <w:rPr>
          <w:rFonts w:eastAsia="Times New Roman" w:cs="Arial"/>
          <w:i/>
          <w:iCs/>
          <w:color w:val="000000"/>
          <w:lang w:val="en-US"/>
        </w:rPr>
        <w:t>rizatriptan</w:t>
      </w:r>
      <w:proofErr w:type="spellEnd"/>
      <w:r w:rsidRPr="00015BA1">
        <w:rPr>
          <w:rFonts w:eastAsia="Times New Roman" w:cs="Arial"/>
          <w:i/>
          <w:iCs/>
          <w:color w:val="000000"/>
          <w:lang w:val="en-US"/>
        </w:rPr>
        <w:t xml:space="preserve"> benzoate).</w:t>
      </w:r>
    </w:p>
    <w:p w14:paraId="33A134C0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Помощно вещество с известно действие: Всяка таблетка съдържа 4,4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>аспартам.</w:t>
      </w:r>
    </w:p>
    <w:p w14:paraId="56F2D30E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A716697" w14:textId="56AD71C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Всяка Ризатриптан Актавис 10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таблетка, диспергираща се в устата съдържа 10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ризатриптан като 14,53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ризатриптан бензоат </w:t>
      </w:r>
      <w:r w:rsidRPr="00015BA1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015BA1">
        <w:rPr>
          <w:rFonts w:eastAsia="Times New Roman" w:cs="Arial"/>
          <w:i/>
          <w:iCs/>
          <w:color w:val="000000"/>
          <w:lang w:val="en-US"/>
        </w:rPr>
        <w:t>rizatriptan</w:t>
      </w:r>
      <w:proofErr w:type="spellEnd"/>
      <w:r w:rsidRPr="00015BA1">
        <w:rPr>
          <w:rFonts w:eastAsia="Times New Roman" w:cs="Arial"/>
          <w:i/>
          <w:iCs/>
          <w:color w:val="000000"/>
          <w:lang w:val="en-US"/>
        </w:rPr>
        <w:t xml:space="preserve"> benzoate).</w:t>
      </w:r>
    </w:p>
    <w:p w14:paraId="7B799B93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Помощно вещество с известно действие: Всяка таблетка съдържа 8,8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>аспартам.</w:t>
      </w:r>
    </w:p>
    <w:p w14:paraId="7432A9EA" w14:textId="77777777" w:rsidR="00015BA1" w:rsidRPr="00BF17CB" w:rsidRDefault="00015BA1" w:rsidP="00015BA1">
      <w:pPr>
        <w:rPr>
          <w:rFonts w:eastAsia="Times New Roman" w:cs="Arial"/>
          <w:color w:val="000000"/>
          <w:lang w:eastAsia="bg-BG"/>
        </w:rPr>
      </w:pPr>
    </w:p>
    <w:p w14:paraId="54632B43" w14:textId="064A873C" w:rsidR="00EC41ED" w:rsidRPr="00BF17CB" w:rsidRDefault="00015BA1" w:rsidP="00015BA1">
      <w:pPr>
        <w:rPr>
          <w:rFonts w:cs="Arial"/>
        </w:rPr>
      </w:pPr>
      <w:r w:rsidRPr="00BF17CB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74BBF01F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Таблетки, диспергиращи се в устата.</w:t>
      </w:r>
    </w:p>
    <w:p w14:paraId="68F7D6E3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Ризатриптан Актавис 5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таблетки, диспергиращи се в устата са бели, кръгли, с диаметър 7 </w:t>
      </w:r>
      <w:r w:rsidRPr="00015BA1">
        <w:rPr>
          <w:rFonts w:eastAsia="Times New Roman" w:cs="Arial"/>
          <w:color w:val="000000"/>
          <w:lang w:val="en-US"/>
        </w:rPr>
        <w:t xml:space="preserve">mm, </w:t>
      </w:r>
      <w:r w:rsidRPr="00015BA1">
        <w:rPr>
          <w:rFonts w:eastAsia="Times New Roman" w:cs="Arial"/>
          <w:color w:val="000000"/>
          <w:lang w:eastAsia="bg-BG"/>
        </w:rPr>
        <w:t xml:space="preserve">плоски таблетки със скосени ръбове, с надпис </w:t>
      </w:r>
      <w:r w:rsidRPr="00015BA1">
        <w:rPr>
          <w:rFonts w:eastAsia="Times New Roman" w:cs="Arial"/>
          <w:color w:val="000000"/>
          <w:lang w:val="en-US"/>
        </w:rPr>
        <w:t xml:space="preserve">“IZ </w:t>
      </w:r>
      <w:r w:rsidRPr="00015BA1">
        <w:rPr>
          <w:rFonts w:eastAsia="Times New Roman" w:cs="Arial"/>
          <w:color w:val="000000"/>
          <w:lang w:eastAsia="bg-BG"/>
        </w:rPr>
        <w:t>5”, гравиран от едната страна.</w:t>
      </w:r>
    </w:p>
    <w:p w14:paraId="743244F0" w14:textId="06FBA599" w:rsidR="00EC41ED" w:rsidRPr="00BF17CB" w:rsidRDefault="00015BA1" w:rsidP="00015BA1">
      <w:pPr>
        <w:rPr>
          <w:rFonts w:cs="Arial"/>
        </w:rPr>
      </w:pPr>
      <w:r w:rsidRPr="00BF17CB">
        <w:rPr>
          <w:rFonts w:eastAsia="Times New Roman" w:cs="Arial"/>
          <w:color w:val="000000"/>
          <w:lang w:eastAsia="bg-BG"/>
        </w:rPr>
        <w:t xml:space="preserve">Ризатриптан Актавис 10 </w:t>
      </w:r>
      <w:r w:rsidRPr="00BF17CB">
        <w:rPr>
          <w:rFonts w:eastAsia="Times New Roman" w:cs="Arial"/>
          <w:color w:val="000000"/>
          <w:lang w:val="en-US"/>
        </w:rPr>
        <w:t xml:space="preserve">mg </w:t>
      </w:r>
      <w:r w:rsidRPr="00BF17CB">
        <w:rPr>
          <w:rFonts w:eastAsia="Times New Roman" w:cs="Arial"/>
          <w:color w:val="000000"/>
          <w:lang w:eastAsia="bg-BG"/>
        </w:rPr>
        <w:t xml:space="preserve">таблетки, диспергиращи се в устата са бели, кръгли, с диаметър 9 </w:t>
      </w:r>
      <w:r w:rsidRPr="00BF17CB">
        <w:rPr>
          <w:rFonts w:eastAsia="Times New Roman" w:cs="Arial"/>
          <w:color w:val="000000"/>
          <w:lang w:val="en-US"/>
        </w:rPr>
        <w:t xml:space="preserve">mm, </w:t>
      </w:r>
      <w:r w:rsidRPr="00BF17CB">
        <w:rPr>
          <w:rFonts w:eastAsia="Times New Roman" w:cs="Arial"/>
          <w:color w:val="000000"/>
          <w:lang w:eastAsia="bg-BG"/>
        </w:rPr>
        <w:t xml:space="preserve">плоски таблетки със скосени ръбове, с надпис </w:t>
      </w:r>
      <w:r w:rsidRPr="00BF17CB">
        <w:rPr>
          <w:rFonts w:eastAsia="Times New Roman" w:cs="Arial"/>
          <w:color w:val="000000"/>
          <w:lang w:val="en-US"/>
        </w:rPr>
        <w:t>“IZ</w:t>
      </w:r>
      <w:r w:rsidRPr="00BF17CB">
        <w:rPr>
          <w:rFonts w:eastAsia="Times New Roman" w:cs="Arial"/>
          <w:color w:val="000000"/>
          <w:lang w:eastAsia="bg-BG"/>
        </w:rPr>
        <w:t xml:space="preserve"> 10”, гравиран от едната страна.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6DFA4B9D" w14:textId="7B35E8E0" w:rsidR="0091385D" w:rsidRPr="00BF17CB" w:rsidRDefault="00015BA1" w:rsidP="0091385D">
      <w:pPr>
        <w:rPr>
          <w:rFonts w:cs="Arial"/>
        </w:rPr>
      </w:pPr>
      <w:r w:rsidRPr="00BF17CB">
        <w:rPr>
          <w:rFonts w:cs="Arial"/>
        </w:rPr>
        <w:t>Лечение на острата фаза на главоболие при мигренозни пристъпи, с или без аура.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704855C5" w14:textId="77777777" w:rsidR="00015BA1" w:rsidRPr="00BF17CB" w:rsidRDefault="00015BA1" w:rsidP="00BF17CB">
      <w:pPr>
        <w:pStyle w:val="Heading3"/>
        <w:rPr>
          <w:rFonts w:eastAsia="Times New Roman"/>
          <w:u w:val="single"/>
          <w:lang w:eastAsia="bg-BG"/>
        </w:rPr>
      </w:pPr>
      <w:r w:rsidRPr="00BF17CB">
        <w:rPr>
          <w:rFonts w:eastAsia="Times New Roman"/>
          <w:u w:val="single"/>
          <w:lang w:eastAsia="bg-BG"/>
        </w:rPr>
        <w:lastRenderedPageBreak/>
        <w:t>Дозировка</w:t>
      </w:r>
    </w:p>
    <w:p w14:paraId="7520A9C2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0F60A0" w14:textId="60E2BAAF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Ризатриптан Актавис не трябва да се използва за профилактика.</w:t>
      </w:r>
    </w:p>
    <w:p w14:paraId="6BD4E1AE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FAAFEB" w14:textId="6B3BAFD1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u w:val="single"/>
          <w:lang w:eastAsia="bg-BG"/>
        </w:rPr>
        <w:t>Възрастни на 18 голини и повече</w:t>
      </w:r>
    </w:p>
    <w:p w14:paraId="263BA363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Препоръчваната доза е 10 </w:t>
      </w:r>
      <w:r w:rsidRPr="00015BA1">
        <w:rPr>
          <w:rFonts w:eastAsia="Times New Roman" w:cs="Arial"/>
          <w:color w:val="000000"/>
          <w:lang w:val="en-US"/>
        </w:rPr>
        <w:t>mg.</w:t>
      </w:r>
    </w:p>
    <w:p w14:paraId="4579C307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8F7DEB6" w14:textId="3EEDD7BA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Повторен прием:</w:t>
      </w:r>
      <w:r w:rsidRPr="00015BA1">
        <w:rPr>
          <w:rFonts w:eastAsia="Times New Roman" w:cs="Arial"/>
          <w:color w:val="000000"/>
          <w:lang w:eastAsia="bg-BG"/>
        </w:rPr>
        <w:t xml:space="preserve"> втората доза не трябва да се приема по-рано от два часа след приема на първата доза; за период от 24 часа не трябва да се приемат повече от две дози.</w:t>
      </w:r>
    </w:p>
    <w:p w14:paraId="3827CC7A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- при рецидив на главоболието до 24 часа',</w:t>
      </w:r>
      <w:r w:rsidRPr="00015BA1">
        <w:rPr>
          <w:rFonts w:eastAsia="Times New Roman" w:cs="Arial"/>
          <w:color w:val="000000"/>
          <w:lang w:eastAsia="bg-BG"/>
        </w:rPr>
        <w:t xml:space="preserve"> ако главоболието се възобнови след облекчение на първоначалния пристъп, може да да се вземе още една доза. Трябва да се спазват гореспоменатите</w:t>
      </w:r>
    </w:p>
    <w:p w14:paraId="7FBF1BCE" w14:textId="69DC2E6C" w:rsidR="00EC41ED" w:rsidRPr="00BF17CB" w:rsidRDefault="00015BA1" w:rsidP="00015BA1">
      <w:pPr>
        <w:rPr>
          <w:rFonts w:cs="Arial"/>
        </w:rPr>
      </w:pPr>
      <w:r w:rsidRPr="00BF17CB">
        <w:rPr>
          <w:rFonts w:eastAsia="Times New Roman" w:cs="Arial"/>
          <w:color w:val="000000"/>
          <w:lang w:eastAsia="bg-BG"/>
        </w:rPr>
        <w:t>граници на дозиране.</w:t>
      </w:r>
    </w:p>
    <w:p w14:paraId="132F3111" w14:textId="762B03D1" w:rsidR="005B0F27" w:rsidRPr="00BF17CB" w:rsidRDefault="005B0F27" w:rsidP="0091385D">
      <w:pPr>
        <w:rPr>
          <w:rFonts w:cs="Arial"/>
        </w:rPr>
      </w:pPr>
    </w:p>
    <w:p w14:paraId="64100952" w14:textId="77777777" w:rsidR="00015BA1" w:rsidRPr="00015BA1" w:rsidRDefault="00015BA1" w:rsidP="00015BA1">
      <w:pPr>
        <w:numPr>
          <w:ilvl w:val="0"/>
          <w:numId w:val="2"/>
        </w:num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при липса на отговор:</w:t>
      </w:r>
      <w:r w:rsidRPr="00015BA1">
        <w:rPr>
          <w:rFonts w:eastAsia="Times New Roman" w:cs="Arial"/>
          <w:color w:val="000000"/>
          <w:lang w:eastAsia="bg-BG"/>
        </w:rPr>
        <w:t xml:space="preserve"> ефективността на втора доза за лечение на същия пристъп, когато началната доза не е ефективна, не е изследвана в контролирани клинични изпитвания. Поради това, ако някой пациент не се повлияе от първата доза, не трябва да се приема втора доза за същия пристъп.</w:t>
      </w:r>
    </w:p>
    <w:p w14:paraId="5AEE5AB2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6428879" w14:textId="73F6B799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Клиничните изпитвания показват, че има вероятност пациенти, които не отговарят на лечението на един пристъп, все пак да се повлияят от лечението при последващи пристъпи.</w:t>
      </w:r>
    </w:p>
    <w:p w14:paraId="36617FAD" w14:textId="556BD4A1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7A6332" w14:textId="3E14933E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Някои пациенти трябва да получават по-ниската (5 </w:t>
      </w:r>
      <w:r w:rsidRPr="00015BA1">
        <w:rPr>
          <w:rFonts w:eastAsia="Times New Roman" w:cs="Arial"/>
          <w:color w:val="000000"/>
          <w:lang w:val="en-US"/>
        </w:rPr>
        <w:t xml:space="preserve">mg) </w:t>
      </w:r>
      <w:r w:rsidRPr="00015BA1">
        <w:rPr>
          <w:rFonts w:eastAsia="Times New Roman" w:cs="Arial"/>
          <w:color w:val="000000"/>
          <w:lang w:eastAsia="bg-BG"/>
        </w:rPr>
        <w:t>доза на Ризатриптан Актавис таблетки, диспергиращи се в устата, особено следните групи пациенти:</w:t>
      </w:r>
    </w:p>
    <w:p w14:paraId="5F3C5BD0" w14:textId="77777777" w:rsidR="00015BA1" w:rsidRPr="00015BA1" w:rsidRDefault="00015BA1" w:rsidP="00015BA1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Пациенти, лекувани с пропранолол. Трябва да има поне два часа разлика между приемите на ризатриптан и на пропранолол (вж. точка 4.5).</w:t>
      </w:r>
    </w:p>
    <w:p w14:paraId="299B34EC" w14:textId="77777777" w:rsidR="00015BA1" w:rsidRPr="00015BA1" w:rsidRDefault="00015BA1" w:rsidP="00015BA1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Пациенти с лека или умерена бъбречна недостатъчност.</w:t>
      </w:r>
    </w:p>
    <w:p w14:paraId="424A0CF6" w14:textId="77777777" w:rsidR="00015BA1" w:rsidRPr="00015BA1" w:rsidRDefault="00015BA1" w:rsidP="00015BA1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Пациенти с лека до умерена чернодробна недостатъчност.</w:t>
      </w:r>
    </w:p>
    <w:p w14:paraId="521BBCC9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E0214B" w14:textId="24C91AF4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Трябва да има интервал от най-малко два часа между отделните дози; за период от 24 часа не трябва да се приемат повече от две дози.</w:t>
      </w:r>
    </w:p>
    <w:p w14:paraId="0FE780B3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A6A119E" w14:textId="0D264310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FE4EF08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23285EF" w14:textId="3F411C3C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Деца и юноши (под 18-годишна възраст)</w:t>
      </w:r>
    </w:p>
    <w:p w14:paraId="0748E9C2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Ефикасността и безопасността на Ризатриптан Актавис при деца и юноши под 18-годишна възраст не е установена.</w:t>
      </w:r>
    </w:p>
    <w:p w14:paraId="133C7957" w14:textId="279F5F7C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u w:val="single"/>
          <w:lang w:eastAsia="bg-BG"/>
        </w:rPr>
        <w:t>Пациенти над 65 години</w:t>
      </w:r>
    </w:p>
    <w:p w14:paraId="1207CB7C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Безопасността и ефективността на ризатриптан при пациенти над 65 години не са оценявани систематично.</w:t>
      </w:r>
    </w:p>
    <w:p w14:paraId="6CE1A5B7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0161575" w14:textId="6D33877D" w:rsidR="00015BA1" w:rsidRPr="00BF17CB" w:rsidRDefault="00015BA1" w:rsidP="00BF17CB">
      <w:pPr>
        <w:pStyle w:val="Heading3"/>
        <w:rPr>
          <w:rFonts w:eastAsia="Times New Roman"/>
          <w:u w:val="single"/>
          <w:lang w:eastAsia="bg-BG"/>
        </w:rPr>
      </w:pPr>
      <w:r w:rsidRPr="00BF17CB">
        <w:rPr>
          <w:rFonts w:eastAsia="Times New Roman"/>
          <w:u w:val="single"/>
          <w:lang w:eastAsia="bg-BG"/>
        </w:rPr>
        <w:t>Начин на приложение</w:t>
      </w:r>
    </w:p>
    <w:p w14:paraId="414D1B86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42194B" w14:textId="281ED138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Ризатриптан Актавис таблетки, диспергиращи се в устата не е необходимо да се приемат с течност.</w:t>
      </w:r>
    </w:p>
    <w:p w14:paraId="384D07F6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D152BF" w14:textId="1CD87D56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Пациентите трябва да бъдат инструктирани да не се изваждат тази таблетка от алуминиевия блистер, докато не настъпи моментът за дозирането. Блистера трябва да се </w:t>
      </w:r>
      <w:r w:rsidRPr="00015BA1">
        <w:rPr>
          <w:rFonts w:eastAsia="Times New Roman" w:cs="Arial"/>
          <w:color w:val="000000"/>
          <w:lang w:eastAsia="bg-BG"/>
        </w:rPr>
        <w:lastRenderedPageBreak/>
        <w:t>отваря със сухи ръце и таблетката да се постави върху езика, където тя ще се разпадне и ще бъде погълната със слюнката.</w:t>
      </w:r>
    </w:p>
    <w:p w14:paraId="6B3E59B1" w14:textId="7D605701" w:rsidR="00015BA1" w:rsidRPr="00BF17CB" w:rsidRDefault="00015BA1" w:rsidP="00015BA1">
      <w:pPr>
        <w:rPr>
          <w:rFonts w:cs="Arial"/>
        </w:rPr>
      </w:pPr>
      <w:r w:rsidRPr="00BF17CB">
        <w:rPr>
          <w:rFonts w:eastAsia="Times New Roman" w:cs="Arial"/>
          <w:color w:val="000000"/>
          <w:lang w:eastAsia="bg-BG"/>
        </w:rPr>
        <w:t>Таблетките, диспергиращи се в устата, могат да бъдат използвани в ситуации, в които няма на разположение течности или за избягване на гадене и повръщане, което може да придружава поглъщането на таблетките с течности.</w:t>
      </w:r>
    </w:p>
    <w:p w14:paraId="756B1F40" w14:textId="77777777" w:rsidR="00015BA1" w:rsidRPr="0091385D" w:rsidRDefault="00015BA1" w:rsidP="0091385D"/>
    <w:p w14:paraId="28C984E8" w14:textId="31D291AA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5D28C96B" w14:textId="77777777" w:rsidR="00015BA1" w:rsidRPr="00BF17CB" w:rsidRDefault="00015BA1" w:rsidP="00015BA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5AF46ADF" w14:textId="77777777" w:rsidR="00015BA1" w:rsidRPr="00BF17CB" w:rsidRDefault="00015BA1" w:rsidP="00015BA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>Едновременно приложение на инхибитори на моноаминооксидазата (МАО) или употреба до две седмици след преустановяване на терапията с МАО инхибитори (вж. точка 4.5).</w:t>
      </w:r>
    </w:p>
    <w:p w14:paraId="62F440FC" w14:textId="77777777" w:rsidR="00015BA1" w:rsidRPr="00BF17CB" w:rsidRDefault="00015BA1" w:rsidP="00015BA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>Тежка чернодробна или тежка бъбречна недостатъчност.</w:t>
      </w:r>
    </w:p>
    <w:p w14:paraId="4F92C616" w14:textId="77777777" w:rsidR="00015BA1" w:rsidRPr="00BF17CB" w:rsidRDefault="00015BA1" w:rsidP="00015BA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>Предишен мозъчно-съдов инцидент (МСИ) или преходен исхемичен пристъп (ПИП).</w:t>
      </w:r>
    </w:p>
    <w:p w14:paraId="21C5B97E" w14:textId="77777777" w:rsidR="00015BA1" w:rsidRPr="00BF17CB" w:rsidRDefault="00015BA1" w:rsidP="00015BA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>Умерено тежка или тежка хипертония или нелекувана лека хипертония.</w:t>
      </w:r>
    </w:p>
    <w:p w14:paraId="7CCFA18D" w14:textId="77777777" w:rsidR="00015BA1" w:rsidRPr="00BF17CB" w:rsidRDefault="00015BA1" w:rsidP="00015BA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 xml:space="preserve">Доказана исхемична болест на сърцето, включително исхемично сърдечно заболяване (стенокардия, анамнеза за миокарден инфаркт или документирана тиха исхемия), признаци и симптоми на исхемично сърдечно заболяване или ангина на </w:t>
      </w:r>
      <w:proofErr w:type="spellStart"/>
      <w:r w:rsidRPr="00BF17CB">
        <w:rPr>
          <w:rFonts w:eastAsia="Times New Roman" w:cs="Arial"/>
          <w:color w:val="000000"/>
          <w:lang w:val="en-US"/>
        </w:rPr>
        <w:t>Prinzmetal</w:t>
      </w:r>
      <w:proofErr w:type="spellEnd"/>
      <w:r w:rsidRPr="00BF17CB">
        <w:rPr>
          <w:rFonts w:eastAsia="Times New Roman" w:cs="Arial"/>
          <w:color w:val="000000"/>
          <w:lang w:val="en-US"/>
        </w:rPr>
        <w:t>.</w:t>
      </w:r>
    </w:p>
    <w:p w14:paraId="55E749BC" w14:textId="77777777" w:rsidR="00015BA1" w:rsidRPr="00BF17CB" w:rsidRDefault="00015BA1" w:rsidP="00015BA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>Периферно съдово заболяване.</w:t>
      </w:r>
    </w:p>
    <w:p w14:paraId="030B6A4D" w14:textId="1A62A882" w:rsidR="00EC41ED" w:rsidRPr="00015BA1" w:rsidRDefault="00015BA1" w:rsidP="00015BA1">
      <w:pPr>
        <w:pStyle w:val="ListParagraph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>Едновременна употреба на ризатриптан и ерготамин, ерго-производни (включително</w:t>
      </w:r>
      <w:r w:rsidRPr="00BF17CB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BF17CB">
        <w:rPr>
          <w:rFonts w:eastAsia="Times New Roman" w:cs="Arial"/>
          <w:color w:val="000000"/>
          <w:lang w:eastAsia="bg-BG"/>
        </w:rPr>
        <w:t xml:space="preserve">метизергид) или други </w:t>
      </w:r>
      <w:r w:rsidRPr="00BF17CB">
        <w:rPr>
          <w:rFonts w:eastAsia="Times New Roman" w:cs="Arial"/>
          <w:smallCaps/>
          <w:color w:val="000000"/>
          <w:lang w:val="en-US"/>
        </w:rPr>
        <w:t>5-HT</w:t>
      </w:r>
      <w:r w:rsidRPr="00BF17CB">
        <w:rPr>
          <w:rFonts w:eastAsia="Times New Roman" w:cs="Arial"/>
          <w:smallCaps/>
          <w:color w:val="000000"/>
          <w:vertAlign w:val="subscript"/>
          <w:lang w:val="en-US"/>
        </w:rPr>
        <w:t>1B/1D</w:t>
      </w:r>
      <w:r w:rsidRPr="00BF17CB">
        <w:rPr>
          <w:rFonts w:eastAsia="Times New Roman" w:cs="Arial"/>
          <w:color w:val="000000"/>
          <w:lang w:val="en-US"/>
        </w:rPr>
        <w:t xml:space="preserve"> </w:t>
      </w:r>
      <w:r w:rsidRPr="00BF17CB">
        <w:rPr>
          <w:rFonts w:eastAsia="Times New Roman" w:cs="Arial"/>
          <w:color w:val="000000"/>
          <w:lang w:eastAsia="bg-BG"/>
        </w:rPr>
        <w:t>рецепторни агонисти (вж. точка 4.5).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5FE4917B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Ризатриптан Актавис трябва да се прилага само при пациенти с категорично диагностицирана мигрена. Ризатриптан Актавис не трябва да се прилага при пациенти с базиларна или хемиплегична мигрена.</w:t>
      </w:r>
    </w:p>
    <w:p w14:paraId="5EADFED0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Ризатриптан Актавис не трябва да се използва за лечение на “атипично” главоболие, т.е. такова, което може да бъде свързано с потенциално сериозни болестни състояния, (напр. МСИ, руптурирала аневризма), когато мозъчно-съдовата вазоконстрикция би могла да бъде вредна.</w:t>
      </w:r>
    </w:p>
    <w:p w14:paraId="54155750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Приложението на ризатриптан може да бъде свързано с преходни симптоми, включително болка и стягане в гърдите, която може да бъде интензивна и да обхваща гърлото (вж. точка 4.8). Когато се счита, че това са симптоми на исхемично сърдечно заболяване, не трябва да се приема друга доза и трябва да се направи подходяща оценка.</w:t>
      </w:r>
    </w:p>
    <w:p w14:paraId="51C38B87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Както при другите </w:t>
      </w:r>
      <w:r w:rsidRPr="00015BA1">
        <w:rPr>
          <w:rFonts w:eastAsia="Times New Roman" w:cs="Arial"/>
          <w:smallCaps/>
          <w:color w:val="000000"/>
          <w:lang w:val="en-US"/>
        </w:rPr>
        <w:t>5-HT</w:t>
      </w:r>
      <w:r w:rsidRPr="00015BA1">
        <w:rPr>
          <w:rFonts w:eastAsia="Times New Roman" w:cs="Arial"/>
          <w:smallCaps/>
          <w:color w:val="000000"/>
          <w:vertAlign w:val="subscript"/>
          <w:lang w:val="en-US"/>
        </w:rPr>
        <w:t>1B/1D</w:t>
      </w:r>
      <w:r w:rsidRPr="00015BA1">
        <w:rPr>
          <w:rFonts w:eastAsia="Times New Roman" w:cs="Arial"/>
          <w:color w:val="000000"/>
          <w:lang w:val="en-US"/>
        </w:rPr>
        <w:t xml:space="preserve"> </w:t>
      </w:r>
      <w:r w:rsidRPr="00015BA1">
        <w:rPr>
          <w:rFonts w:eastAsia="Times New Roman" w:cs="Arial"/>
          <w:color w:val="000000"/>
          <w:lang w:eastAsia="bg-BG"/>
        </w:rPr>
        <w:t xml:space="preserve">рецепторни агонисти, ризатриптан не трябва да се прилага без предварителна оценка при пациенти с вероятност за неясно сърдечно заболяване или при болни с риск от исхемична болест на сърцето (ИБС) (напр. пациенти с хипертония, диабетици, пушачи или хора, прилагащи заместителна никотинова терапия, мъже над 40-годишна възраст, жени в постменопауза, пациенти с бедрен блок и при лица с подчертана фамилна анамнеза за ИБС). Оценката на сърдечното състояние може да не идентифицира всеки пациент със сърдечно заболяване и в много редки случаи, след прилагане на </w:t>
      </w:r>
      <w:r w:rsidRPr="00015BA1">
        <w:rPr>
          <w:rFonts w:eastAsia="Times New Roman" w:cs="Arial"/>
          <w:color w:val="000000"/>
          <w:lang w:val="en-US"/>
        </w:rPr>
        <w:t xml:space="preserve">5-HT1 </w:t>
      </w:r>
      <w:r w:rsidRPr="00015BA1">
        <w:rPr>
          <w:rFonts w:eastAsia="Times New Roman" w:cs="Arial"/>
          <w:color w:val="000000"/>
          <w:lang w:eastAsia="bg-BG"/>
        </w:rPr>
        <w:t>агонисти са възниквали сериозни сърдечни събития при пациенти без основно сърдечно-съдово заболяване. Ризатриптан Актавис не трябва да се дава при установена ИБС (вж. точка 4.3).</w:t>
      </w:r>
    </w:p>
    <w:p w14:paraId="0BAC2FB0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5CC905C" w14:textId="4EFE450F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Приложението на </w:t>
      </w:r>
      <w:r w:rsidRPr="00015BA1">
        <w:rPr>
          <w:rFonts w:eastAsia="Times New Roman" w:cs="Arial"/>
          <w:smallCaps/>
          <w:color w:val="000000"/>
          <w:lang w:val="en-US"/>
        </w:rPr>
        <w:t>5-HT</w:t>
      </w:r>
      <w:r w:rsidRPr="00015BA1">
        <w:rPr>
          <w:rFonts w:eastAsia="Times New Roman" w:cs="Arial"/>
          <w:smallCaps/>
          <w:color w:val="000000"/>
          <w:vertAlign w:val="subscript"/>
          <w:lang w:val="en-US"/>
        </w:rPr>
        <w:t>1B/1D</w:t>
      </w:r>
      <w:r w:rsidRPr="00015BA1">
        <w:rPr>
          <w:rFonts w:eastAsia="Times New Roman" w:cs="Arial"/>
          <w:color w:val="000000"/>
          <w:lang w:val="en-US"/>
        </w:rPr>
        <w:t xml:space="preserve"> </w:t>
      </w:r>
      <w:r w:rsidRPr="00015BA1">
        <w:rPr>
          <w:rFonts w:eastAsia="Times New Roman" w:cs="Arial"/>
          <w:color w:val="000000"/>
          <w:lang w:eastAsia="bg-BG"/>
        </w:rPr>
        <w:t>рецепторните агонисти е свързано с коронарен вазоспазъм. В редки случаи, се съобщава за миокардна исхемия или инфаркт при прилагане на 5-НТ</w:t>
      </w:r>
      <w:r w:rsidRPr="00015BA1">
        <w:rPr>
          <w:rFonts w:eastAsia="Times New Roman" w:cs="Arial"/>
          <w:smallCaps/>
          <w:color w:val="000000"/>
          <w:vertAlign w:val="subscript"/>
          <w:lang w:val="en-US"/>
        </w:rPr>
        <w:t>1B/1D</w:t>
      </w:r>
      <w:r w:rsidRPr="00015BA1">
        <w:rPr>
          <w:rFonts w:eastAsia="Times New Roman" w:cs="Arial"/>
          <w:color w:val="000000"/>
          <w:lang w:eastAsia="bg-BG"/>
        </w:rPr>
        <w:t xml:space="preserve"> рецепторни агонисти, включително ризатриптан (вж. точка 4.8).</w:t>
      </w:r>
    </w:p>
    <w:p w14:paraId="1E3E2B1B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CAFCDB" w14:textId="67AE213E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Други </w:t>
      </w:r>
      <w:r w:rsidRPr="00015BA1">
        <w:rPr>
          <w:rFonts w:eastAsia="Times New Roman" w:cs="Arial"/>
          <w:smallCaps/>
          <w:color w:val="000000"/>
          <w:lang w:val="en-US"/>
        </w:rPr>
        <w:t>5-HT</w:t>
      </w:r>
      <w:r w:rsidRPr="00015BA1">
        <w:rPr>
          <w:rFonts w:eastAsia="Times New Roman" w:cs="Arial"/>
          <w:smallCaps/>
          <w:color w:val="000000"/>
          <w:vertAlign w:val="subscript"/>
          <w:lang w:val="en-US"/>
        </w:rPr>
        <w:t>1B/1D</w:t>
      </w:r>
      <w:r w:rsidRPr="00015BA1">
        <w:rPr>
          <w:rFonts w:eastAsia="Times New Roman" w:cs="Arial"/>
          <w:color w:val="000000"/>
          <w:lang w:val="en-US"/>
        </w:rPr>
        <w:t xml:space="preserve"> </w:t>
      </w:r>
      <w:r w:rsidRPr="00015BA1">
        <w:rPr>
          <w:rFonts w:eastAsia="Times New Roman" w:cs="Arial"/>
          <w:color w:val="000000"/>
          <w:lang w:eastAsia="bg-BG"/>
        </w:rPr>
        <w:t>агонисти (напр. суматриптан) не трябва да се използват едновременно с Ризатриптан Актавис (вж. точка 4.5).</w:t>
      </w:r>
    </w:p>
    <w:p w14:paraId="28632DAE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531275" w14:textId="52086DA5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Препоръчва се да се изчака най-малко шест часа след употребата на ризатриптан преди да се приложат лекарства от ерготаминов тип (напр. ерготамин, дихидроерготамин или метизергид). Трябва да изминат най-малко 24 часа след приложението на ерготамин-съдържащ лекарствен продукт преди да се приеме ризатриптан.</w:t>
      </w:r>
    </w:p>
    <w:p w14:paraId="36F7F57C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Въпреки, че по време на клинично фармакологично изпитване не са наблюдавани адитивни вазоспастични ефекти при 16 здрави мъже, получавали перорално ризатриптан и парентерално ерготамин, такива адитивни ефекти са теоретично възможни (вж. точка 4.3).</w:t>
      </w:r>
    </w:p>
    <w:p w14:paraId="40475498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1916DDC" w14:textId="7FDC44C6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Съобщава се за серотонинов синдром (включително променен психичен статус, автономна нестабилност и невро-мускулни отклонения) след едновременно лечение с триптани и селективни инхибитори на обратното захващане на серотонина </w:t>
      </w:r>
      <w:r w:rsidRPr="00015BA1">
        <w:rPr>
          <w:rFonts w:eastAsia="Times New Roman" w:cs="Arial"/>
          <w:color w:val="000000"/>
          <w:lang w:val="en-US"/>
        </w:rPr>
        <w:t xml:space="preserve">(SSRIs) </w:t>
      </w:r>
      <w:r w:rsidRPr="00015BA1">
        <w:rPr>
          <w:rFonts w:eastAsia="Times New Roman" w:cs="Arial"/>
          <w:color w:val="000000"/>
          <w:lang w:eastAsia="bg-BG"/>
        </w:rPr>
        <w:t xml:space="preserve">или инхибитори на обратното захващане на серотонин-норадреналин </w:t>
      </w:r>
      <w:r w:rsidRPr="00015BA1">
        <w:rPr>
          <w:rFonts w:eastAsia="Times New Roman" w:cs="Arial"/>
          <w:color w:val="000000"/>
          <w:lang w:val="en-US"/>
        </w:rPr>
        <w:t xml:space="preserve">(SNRIs). </w:t>
      </w:r>
      <w:r w:rsidRPr="00015BA1">
        <w:rPr>
          <w:rFonts w:eastAsia="Times New Roman" w:cs="Arial"/>
          <w:color w:val="000000"/>
          <w:lang w:eastAsia="bg-BG"/>
        </w:rPr>
        <w:t xml:space="preserve">Тези реакции може да бъдат тежки. Ако едновременното лечение с ризатриптан и </w:t>
      </w:r>
      <w:r w:rsidRPr="00015BA1">
        <w:rPr>
          <w:rFonts w:eastAsia="Times New Roman" w:cs="Arial"/>
          <w:color w:val="000000"/>
          <w:lang w:val="en-US"/>
        </w:rPr>
        <w:t xml:space="preserve">SSRI </w:t>
      </w:r>
      <w:r w:rsidRPr="00015BA1">
        <w:rPr>
          <w:rFonts w:eastAsia="Times New Roman" w:cs="Arial"/>
          <w:color w:val="000000"/>
          <w:lang w:eastAsia="bg-BG"/>
        </w:rPr>
        <w:t xml:space="preserve">или </w:t>
      </w:r>
      <w:r w:rsidRPr="00015BA1">
        <w:rPr>
          <w:rFonts w:eastAsia="Times New Roman" w:cs="Arial"/>
          <w:color w:val="000000"/>
          <w:lang w:val="en-US"/>
        </w:rPr>
        <w:t xml:space="preserve">SNRI </w:t>
      </w:r>
      <w:r w:rsidRPr="00015BA1">
        <w:rPr>
          <w:rFonts w:eastAsia="Times New Roman" w:cs="Arial"/>
          <w:color w:val="000000"/>
          <w:lang w:eastAsia="bg-BG"/>
        </w:rPr>
        <w:t>е клинично необходимо, препоръчва се подходящо наблюдение на пациента, особено по време на започване на лечението, при увеличаване на дозата или при добавяне на друго серотонинергично лекарство (вж. точка 4.5).</w:t>
      </w:r>
    </w:p>
    <w:p w14:paraId="0CDD4E48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308CA1" w14:textId="0B851E05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Нежеланите ефекти може да бъдат по-чести при едновременна употреба на триптани </w:t>
      </w:r>
      <w:r w:rsidRPr="00015BA1">
        <w:rPr>
          <w:rFonts w:eastAsia="Times New Roman" w:cs="Arial"/>
          <w:smallCaps/>
          <w:color w:val="000000"/>
          <w:lang w:val="en-US"/>
        </w:rPr>
        <w:t>(5HT</w:t>
      </w:r>
      <w:r w:rsidRPr="00015BA1">
        <w:rPr>
          <w:rFonts w:eastAsia="Times New Roman" w:cs="Arial"/>
          <w:smallCaps/>
          <w:color w:val="000000"/>
          <w:vertAlign w:val="subscript"/>
          <w:lang w:val="en-US"/>
        </w:rPr>
        <w:t>1B/1D</w:t>
      </w:r>
      <w:r w:rsidRPr="00015BA1">
        <w:rPr>
          <w:rFonts w:eastAsia="Times New Roman" w:cs="Arial"/>
          <w:smallCaps/>
          <w:color w:val="000000"/>
          <w:lang w:val="en-US"/>
        </w:rPr>
        <w:t xml:space="preserve"> </w:t>
      </w:r>
      <w:r w:rsidRPr="00015BA1">
        <w:rPr>
          <w:rFonts w:eastAsia="Times New Roman" w:cs="Arial"/>
          <w:color w:val="000000"/>
          <w:lang w:eastAsia="bg-BG"/>
        </w:rPr>
        <w:t xml:space="preserve">агонисти) и билкови лекарствени продукти, съдържащи жълт кантарион </w:t>
      </w:r>
      <w:r w:rsidRPr="00015BA1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015BA1">
        <w:rPr>
          <w:rFonts w:eastAsia="Times New Roman" w:cs="Arial"/>
          <w:i/>
          <w:iCs/>
          <w:color w:val="000000"/>
          <w:lang w:val="en-US"/>
        </w:rPr>
        <w:t>Hypericum</w:t>
      </w:r>
      <w:proofErr w:type="spellEnd"/>
      <w:r w:rsidRPr="00015BA1">
        <w:rPr>
          <w:rFonts w:eastAsia="Times New Roman" w:cs="Arial"/>
          <w:i/>
          <w:iCs/>
          <w:color w:val="000000"/>
          <w:lang w:val="en-US"/>
        </w:rPr>
        <w:t xml:space="preserve"> </w:t>
      </w:r>
      <w:proofErr w:type="spellStart"/>
      <w:r w:rsidRPr="00015BA1">
        <w:rPr>
          <w:rFonts w:eastAsia="Times New Roman" w:cs="Arial"/>
          <w:i/>
          <w:iCs/>
          <w:color w:val="000000"/>
          <w:lang w:val="en-US"/>
        </w:rPr>
        <w:t>perforatum</w:t>
      </w:r>
      <w:proofErr w:type="spellEnd"/>
      <w:r w:rsidRPr="00015BA1">
        <w:rPr>
          <w:rFonts w:eastAsia="Times New Roman" w:cs="Arial"/>
          <w:i/>
          <w:iCs/>
          <w:color w:val="000000"/>
          <w:lang w:val="en-US"/>
        </w:rPr>
        <w:t>).</w:t>
      </w:r>
    </w:p>
    <w:p w14:paraId="387BB6B0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8FD20F" w14:textId="3C418442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Ангиоедем (напр. оток на лицето, подуване на езика и оток на фаринкса) може да възникне при пациенти, лекувани с триптани, включително ризатриптан. Ако възникне ангиоедем със засягане на езика или фаринкса, пациентът трябва да се постави под лекарско наблюдение до отзвучаване на симптомите. Лечението трябва незабавно да се преустанови и да се замени с лекарствен продукт,  принадлежащ към друг клас лекарства.</w:t>
      </w:r>
    </w:p>
    <w:p w14:paraId="1E1239D6" w14:textId="77777777" w:rsidR="00015BA1" w:rsidRPr="00BF17CB" w:rsidRDefault="00015BA1" w:rsidP="00015BA1">
      <w:pPr>
        <w:rPr>
          <w:rFonts w:eastAsia="Times New Roman" w:cs="Arial"/>
          <w:i/>
          <w:iCs/>
          <w:color w:val="000000"/>
          <w:lang w:eastAsia="bg-BG"/>
        </w:rPr>
      </w:pPr>
    </w:p>
    <w:p w14:paraId="0E28BBDE" w14:textId="2110D6EE" w:rsidR="007A2185" w:rsidRPr="00BF17CB" w:rsidRDefault="00015BA1" w:rsidP="00015BA1">
      <w:pPr>
        <w:rPr>
          <w:rFonts w:cs="Arial"/>
        </w:rPr>
      </w:pPr>
      <w:r w:rsidRPr="00BF17CB">
        <w:rPr>
          <w:rFonts w:eastAsia="Times New Roman" w:cs="Arial"/>
          <w:i/>
          <w:iCs/>
          <w:color w:val="000000"/>
          <w:lang w:eastAsia="bg-BG"/>
        </w:rPr>
        <w:t>Пациенти с фенилкетонуршя.</w:t>
      </w:r>
      <w:r w:rsidRPr="00BF17CB">
        <w:rPr>
          <w:rFonts w:eastAsia="Times New Roman" w:cs="Arial"/>
          <w:color w:val="000000"/>
          <w:lang w:eastAsia="bg-BG"/>
        </w:rPr>
        <w:t xml:space="preserve"> Ризатриптан Актавис таблетки, диспергиращи се в устата съдържат  аспартам, източник на фенилаланин. Пациентите с фенилкетонурия трябва да бъдат информирани, че фенилаланин може да им навреди. Всяка таблетка, диспергираща се в устата от 5 </w:t>
      </w:r>
      <w:r w:rsidRPr="00BF17CB">
        <w:rPr>
          <w:rFonts w:eastAsia="Times New Roman" w:cs="Arial"/>
          <w:color w:val="000000"/>
          <w:lang w:val="en-US"/>
        </w:rPr>
        <w:t xml:space="preserve">mg </w:t>
      </w:r>
      <w:r w:rsidRPr="00BF17CB">
        <w:rPr>
          <w:rFonts w:eastAsia="Times New Roman" w:cs="Arial"/>
          <w:color w:val="000000"/>
          <w:lang w:eastAsia="bg-BG"/>
        </w:rPr>
        <w:t xml:space="preserve">съдържа 4,4 </w:t>
      </w:r>
      <w:r w:rsidRPr="00BF17CB">
        <w:rPr>
          <w:rFonts w:eastAsia="Times New Roman" w:cs="Arial"/>
          <w:color w:val="000000"/>
          <w:lang w:val="en-US"/>
        </w:rPr>
        <w:t xml:space="preserve">mg </w:t>
      </w:r>
      <w:r w:rsidRPr="00BF17CB">
        <w:rPr>
          <w:rFonts w:eastAsia="Times New Roman" w:cs="Arial"/>
          <w:color w:val="000000"/>
          <w:lang w:eastAsia="bg-BG"/>
        </w:rPr>
        <w:t xml:space="preserve">аспартам. Всяка таблетка, диспергираща се в устата от 10 </w:t>
      </w:r>
      <w:r w:rsidRPr="00BF17CB">
        <w:rPr>
          <w:rFonts w:eastAsia="Times New Roman" w:cs="Arial"/>
          <w:color w:val="000000"/>
          <w:lang w:val="en-US"/>
        </w:rPr>
        <w:t xml:space="preserve">mg </w:t>
      </w:r>
      <w:r w:rsidRPr="00BF17CB">
        <w:rPr>
          <w:rFonts w:eastAsia="Times New Roman" w:cs="Arial"/>
          <w:color w:val="000000"/>
          <w:lang w:eastAsia="bg-BG"/>
        </w:rPr>
        <w:t xml:space="preserve">съдържа 8,8 </w:t>
      </w:r>
      <w:r w:rsidRPr="00BF17CB">
        <w:rPr>
          <w:rFonts w:eastAsia="Times New Roman" w:cs="Arial"/>
          <w:color w:val="000000"/>
          <w:lang w:val="en-US"/>
        </w:rPr>
        <w:t xml:space="preserve">mg </w:t>
      </w:r>
      <w:r w:rsidRPr="00BF17CB">
        <w:rPr>
          <w:rFonts w:eastAsia="Times New Roman" w:cs="Arial"/>
          <w:color w:val="000000"/>
          <w:lang w:eastAsia="bg-BG"/>
        </w:rPr>
        <w:t>аспартам.</w:t>
      </w:r>
    </w:p>
    <w:p w14:paraId="24E3E82F" w14:textId="7D1C4830" w:rsidR="0091385D" w:rsidRPr="00BF17CB" w:rsidRDefault="0091385D" w:rsidP="0091385D">
      <w:pPr>
        <w:rPr>
          <w:rFonts w:cs="Arial"/>
        </w:rPr>
      </w:pPr>
    </w:p>
    <w:p w14:paraId="70930ED6" w14:textId="77777777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Трябва да се има предвид потенциала за взаимодействие, когато ризатриптан се прилага при пациенти, приемащи субстрати на </w:t>
      </w:r>
      <w:r w:rsidRPr="00015BA1">
        <w:rPr>
          <w:rFonts w:eastAsia="Times New Roman" w:cs="Arial"/>
          <w:color w:val="000000"/>
          <w:lang w:val="en-US"/>
        </w:rPr>
        <w:t xml:space="preserve">CYP 2D6 </w:t>
      </w:r>
      <w:r w:rsidRPr="00015BA1">
        <w:rPr>
          <w:rFonts w:eastAsia="Times New Roman" w:cs="Arial"/>
          <w:color w:val="000000"/>
          <w:lang w:eastAsia="bg-BG"/>
        </w:rPr>
        <w:t>(вж. точка 4.5).</w:t>
      </w:r>
    </w:p>
    <w:p w14:paraId="3304EED0" w14:textId="77777777" w:rsidR="00015BA1" w:rsidRDefault="00015BA1" w:rsidP="00015BA1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54AD148A" w14:textId="1E977234" w:rsidR="00015BA1" w:rsidRPr="00015BA1" w:rsidRDefault="00015BA1" w:rsidP="00015BA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015BA1">
        <w:rPr>
          <w:rFonts w:eastAsia="Times New Roman" w:cs="Arial"/>
          <w:color w:val="000000"/>
          <w:u w:val="single"/>
          <w:lang w:eastAsia="bg-BG"/>
        </w:rPr>
        <w:t>Главоболие от прекомерна употреба на лекарства (ГПУЛ)</w:t>
      </w:r>
    </w:p>
    <w:p w14:paraId="410A59DD" w14:textId="0EF9C216" w:rsidR="00015BA1" w:rsidRPr="00BF17CB" w:rsidRDefault="00015BA1" w:rsidP="00015BA1">
      <w:pPr>
        <w:rPr>
          <w:rFonts w:cs="Arial"/>
        </w:rPr>
      </w:pPr>
      <w:r w:rsidRPr="00BF17CB">
        <w:rPr>
          <w:rFonts w:eastAsia="Times New Roman" w:cs="Arial"/>
          <w:color w:val="000000"/>
          <w:lang w:eastAsia="bg-BG"/>
        </w:rPr>
        <w:t xml:space="preserve">Продължителната употреба на всяко обезболяващо лекарство при главоболие може да го влоши. При наличие или подозрение за това трябва да се потърси съвет от лекар и лечението да се преустанови. Диагноза ГПУЛ трябва да се подозира при пациенти с </w:t>
      </w:r>
      <w:r w:rsidRPr="00BF17CB">
        <w:rPr>
          <w:rFonts w:eastAsia="Times New Roman" w:cs="Arial"/>
          <w:color w:val="000000"/>
          <w:lang w:eastAsia="bg-BG"/>
        </w:rPr>
        <w:lastRenderedPageBreak/>
        <w:t>често или ежедневно главоболие въпреки (или поради) редовната употреба на лекарства за главоболие.</w:t>
      </w:r>
    </w:p>
    <w:p w14:paraId="6B58000D" w14:textId="77777777" w:rsidR="00015BA1" w:rsidRPr="0091385D" w:rsidRDefault="00015BA1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352B8266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Ерготамин, ерго-производни (включително метизергид), други 5</w:t>
      </w:r>
      <w:r w:rsidRPr="00015BA1">
        <w:rPr>
          <w:rFonts w:eastAsia="Times New Roman" w:cs="Arial"/>
          <w:i/>
          <w:iCs/>
          <w:color w:val="000000"/>
          <w:lang w:val="en-US"/>
        </w:rPr>
        <w:t>HT</w:t>
      </w:r>
      <w:r w:rsidRPr="00015BA1">
        <w:rPr>
          <w:rFonts w:eastAsia="Times New Roman" w:cs="Arial"/>
          <w:smallCaps/>
          <w:color w:val="000000"/>
          <w:vertAlign w:val="subscript"/>
          <w:lang w:val="en-US"/>
        </w:rPr>
        <w:t xml:space="preserve">1B/1D </w:t>
      </w:r>
      <w:r w:rsidRPr="00015BA1">
        <w:rPr>
          <w:rFonts w:eastAsia="Times New Roman" w:cs="Arial"/>
          <w:i/>
          <w:iCs/>
          <w:color w:val="000000"/>
          <w:lang w:eastAsia="bg-BG"/>
        </w:rPr>
        <w:t xml:space="preserve">рецепторни агонисти: </w:t>
      </w:r>
      <w:r w:rsidRPr="00015BA1">
        <w:rPr>
          <w:rFonts w:eastAsia="Times New Roman" w:cs="Arial"/>
          <w:color w:val="000000"/>
          <w:lang w:eastAsia="bg-BG"/>
        </w:rPr>
        <w:t xml:space="preserve">Поради адитивен ефект, едновременната употреба на ризатриптан и ерготамин, ерго-производни (включително метизергид) или други 5 </w:t>
      </w:r>
      <w:r w:rsidRPr="00015BA1">
        <w:rPr>
          <w:rFonts w:eastAsia="Times New Roman" w:cs="Arial"/>
          <w:smallCaps/>
          <w:color w:val="000000"/>
          <w:lang w:val="en-US"/>
        </w:rPr>
        <w:t>HT</w:t>
      </w:r>
      <w:r w:rsidRPr="00015BA1">
        <w:rPr>
          <w:rFonts w:eastAsia="Times New Roman" w:cs="Arial"/>
          <w:smallCaps/>
          <w:color w:val="000000"/>
          <w:vertAlign w:val="subscript"/>
          <w:lang w:val="en-US"/>
        </w:rPr>
        <w:t>1B/1D</w:t>
      </w:r>
      <w:r w:rsidRPr="00015BA1">
        <w:rPr>
          <w:rFonts w:eastAsia="Times New Roman" w:cs="Arial"/>
          <w:color w:val="000000"/>
          <w:lang w:val="en-US"/>
        </w:rPr>
        <w:t xml:space="preserve"> </w:t>
      </w:r>
      <w:r w:rsidRPr="00015BA1">
        <w:rPr>
          <w:rFonts w:eastAsia="Times New Roman" w:cs="Arial"/>
          <w:color w:val="000000"/>
          <w:lang w:eastAsia="bg-BG"/>
        </w:rPr>
        <w:t>рецепторни агонисти (напр. суматриптан, золмитриптан, наратриптан) увеличава риска от вазоконстрикция на коронарните артерии и хипертензивни ефекти. Тази комбинация е противопоказана (вж. точка 4.3).</w:t>
      </w:r>
    </w:p>
    <w:p w14:paraId="7C880E35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1364FA1" w14:textId="5B2A3033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Инхибитори на моноаминооксидазата:</w:t>
      </w:r>
      <w:r w:rsidRPr="00015BA1">
        <w:rPr>
          <w:rFonts w:eastAsia="Times New Roman" w:cs="Arial"/>
          <w:color w:val="000000"/>
          <w:lang w:eastAsia="bg-BG"/>
        </w:rPr>
        <w:t xml:space="preserve"> Ризатриптан се метаболизира главно от моноаминооксидаза подвид 'А' (МАО-А). Плазмените концентрации на ризатриптан и на активния му </w:t>
      </w:r>
      <w:r w:rsidRPr="00015BA1">
        <w:rPr>
          <w:rFonts w:eastAsia="Times New Roman" w:cs="Arial"/>
          <w:color w:val="000000"/>
          <w:lang w:val="en-US"/>
        </w:rPr>
        <w:t>N</w:t>
      </w:r>
      <w:r w:rsidRPr="00015BA1">
        <w:rPr>
          <w:rFonts w:eastAsia="Times New Roman" w:cs="Arial"/>
          <w:color w:val="000000"/>
          <w:lang w:eastAsia="bg-BG"/>
        </w:rPr>
        <w:t>-монодеметил метаболит са увеличени при едновременно приложение на селективен, обратим МАО-А инхибитор. Подобни или по-големи ефекти се очакват при неселективни, обратими (напр. линезолид) и необратими МАО инхибитори. Поради риск от вазоконстрикция на коронарните артерии и хипертензивни епизоди, приложението на ризатриптан при пациенти, приемащи МАО инхибитори, е противопоказано (вж. точка 4.3).</w:t>
      </w:r>
    </w:p>
    <w:p w14:paraId="43F9A48B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5445707" w14:textId="0A438D74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Бета блокери:</w:t>
      </w:r>
      <w:r w:rsidRPr="00015BA1">
        <w:rPr>
          <w:rFonts w:eastAsia="Times New Roman" w:cs="Arial"/>
          <w:color w:val="000000"/>
          <w:lang w:eastAsia="bg-BG"/>
        </w:rPr>
        <w:t xml:space="preserve"> Плазмените концентрации на ризатриптан може да бъдат увеличени при едновременно приложение на пропранолол. Такова увеличение се дължи най-вероятно на метаболитно взаимодействие между двете лекарства при първо преминаване през черния дроб, тъй като МАО-А играе роля при метаболизма както на ризатриптан, така и на пропранолол. Това взаимодействие води до средно увеличение на </w:t>
      </w:r>
      <w:r w:rsidRPr="00015BA1">
        <w:rPr>
          <w:rFonts w:eastAsia="Times New Roman" w:cs="Arial"/>
          <w:color w:val="000000"/>
          <w:lang w:val="en-US"/>
        </w:rPr>
        <w:t xml:space="preserve">AUC </w:t>
      </w:r>
      <w:r w:rsidRPr="00015BA1">
        <w:rPr>
          <w:rFonts w:eastAsia="Times New Roman" w:cs="Arial"/>
          <w:color w:val="000000"/>
          <w:lang w:eastAsia="bg-BG"/>
        </w:rPr>
        <w:t>и</w:t>
      </w:r>
      <w:r w:rsidRPr="00015BA1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15BA1">
        <w:rPr>
          <w:rFonts w:eastAsia="Times New Roman" w:cs="Arial"/>
          <w:color w:val="000000"/>
          <w:lang w:val="en-US"/>
        </w:rPr>
        <w:t>Cmax</w:t>
      </w:r>
      <w:proofErr w:type="spellEnd"/>
      <w:r w:rsidRPr="00015BA1">
        <w:rPr>
          <w:rFonts w:eastAsia="Times New Roman" w:cs="Arial"/>
          <w:color w:val="000000"/>
          <w:lang w:val="en-US"/>
        </w:rPr>
        <w:t xml:space="preserve"> </w:t>
      </w:r>
      <w:r w:rsidRPr="00015BA1">
        <w:rPr>
          <w:rFonts w:eastAsia="Times New Roman" w:cs="Arial"/>
          <w:color w:val="000000"/>
          <w:lang w:eastAsia="bg-BG"/>
        </w:rPr>
        <w:t>от 70 - 80 %. При пациенти, приемащи</w:t>
      </w:r>
      <w:r w:rsidR="00BF17CB">
        <w:rPr>
          <w:rFonts w:eastAsia="Times New Roman" w:cs="Arial"/>
          <w:lang w:eastAsia="bg-BG"/>
        </w:rPr>
        <w:t xml:space="preserve"> </w:t>
      </w:r>
      <w:r w:rsidRPr="00015BA1">
        <w:rPr>
          <w:rFonts w:eastAsia="Times New Roman" w:cs="Arial"/>
          <w:color w:val="000000"/>
          <w:lang w:eastAsia="bg-BG"/>
        </w:rPr>
        <w:t xml:space="preserve">пропранолол, трябва да се използва доза от 5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>Ризатриптан Актавис (вж. точка 4.2).</w:t>
      </w:r>
    </w:p>
    <w:p w14:paraId="39CB802F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При клинично изпитване на лекарствените взаимодействия, надолол и метопролол не са променили плазмените концентрации на ризатриптан.</w:t>
      </w:r>
    </w:p>
    <w:p w14:paraId="4BE2C0A4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F016058" w14:textId="1DFE9D3C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 xml:space="preserve">Селективни инхибитори на обратното захващане на серотонина </w:t>
      </w:r>
      <w:r w:rsidRPr="00015BA1">
        <w:rPr>
          <w:rFonts w:eastAsia="Times New Roman" w:cs="Arial"/>
          <w:i/>
          <w:iCs/>
          <w:color w:val="000000"/>
          <w:lang w:val="en-US"/>
        </w:rPr>
        <w:t xml:space="preserve">(SSRIs)/ </w:t>
      </w:r>
      <w:r w:rsidRPr="00015BA1">
        <w:rPr>
          <w:rFonts w:eastAsia="Times New Roman" w:cs="Arial"/>
          <w:i/>
          <w:iCs/>
          <w:color w:val="000000"/>
          <w:lang w:eastAsia="bg-BG"/>
        </w:rPr>
        <w:t xml:space="preserve">инхибитори на обратното захващане на серотонин-норадреналин </w:t>
      </w:r>
      <w:r w:rsidRPr="00015BA1">
        <w:rPr>
          <w:rFonts w:eastAsia="Times New Roman" w:cs="Arial"/>
          <w:i/>
          <w:iCs/>
          <w:color w:val="000000"/>
          <w:lang w:val="en-US"/>
        </w:rPr>
        <w:t xml:space="preserve">(SNRIs) </w:t>
      </w:r>
      <w:r w:rsidRPr="00015BA1">
        <w:rPr>
          <w:rFonts w:eastAsia="Times New Roman" w:cs="Arial"/>
          <w:i/>
          <w:iCs/>
          <w:color w:val="000000"/>
          <w:lang w:eastAsia="bg-BG"/>
        </w:rPr>
        <w:t>и серотонинов синдром:</w:t>
      </w:r>
      <w:r w:rsidRPr="00015BA1">
        <w:rPr>
          <w:rFonts w:eastAsia="Times New Roman" w:cs="Arial"/>
          <w:color w:val="000000"/>
          <w:lang w:eastAsia="bg-BG"/>
        </w:rPr>
        <w:t xml:space="preserve"> Има съобщения, описващи пациенти със симптоми, съвместими със серотонинов синдром (включително променен психичен статус, автономна нестабилност и невро-мускулни отклонения) след употребата на селективни инхибитори на обратното захващане на серотонина </w:t>
      </w:r>
      <w:r w:rsidRPr="00015BA1">
        <w:rPr>
          <w:rFonts w:eastAsia="Times New Roman" w:cs="Arial"/>
          <w:color w:val="000000"/>
          <w:lang w:val="en-US"/>
        </w:rPr>
        <w:t xml:space="preserve">(SSRIs) </w:t>
      </w:r>
      <w:r w:rsidRPr="00015BA1">
        <w:rPr>
          <w:rFonts w:eastAsia="Times New Roman" w:cs="Arial"/>
          <w:color w:val="000000"/>
          <w:lang w:eastAsia="bg-BG"/>
        </w:rPr>
        <w:t xml:space="preserve">или инхибитори на обратното захващане на серотонин-норадреналин </w:t>
      </w:r>
      <w:r w:rsidRPr="00015BA1">
        <w:rPr>
          <w:rFonts w:eastAsia="Times New Roman" w:cs="Arial"/>
          <w:color w:val="000000"/>
          <w:lang w:val="en-US"/>
        </w:rPr>
        <w:t xml:space="preserve">(SNRIs) </w:t>
      </w:r>
      <w:r w:rsidRPr="00015BA1">
        <w:rPr>
          <w:rFonts w:eastAsia="Times New Roman" w:cs="Arial"/>
          <w:color w:val="000000"/>
          <w:lang w:eastAsia="bg-BG"/>
        </w:rPr>
        <w:t>и триптани (вж. точка 4.4).</w:t>
      </w:r>
    </w:p>
    <w:p w14:paraId="53B9E7CE" w14:textId="77777777" w:rsidR="00015BA1" w:rsidRPr="00BF17CB" w:rsidRDefault="00015BA1" w:rsidP="00015BA1">
      <w:pPr>
        <w:rPr>
          <w:rFonts w:eastAsia="Times New Roman" w:cs="Arial"/>
          <w:i/>
          <w:iCs/>
          <w:color w:val="000000"/>
          <w:lang w:val="en-US"/>
        </w:rPr>
      </w:pPr>
    </w:p>
    <w:p w14:paraId="5B2761C5" w14:textId="7B3C4F44" w:rsidR="0091385D" w:rsidRPr="00BF17CB" w:rsidRDefault="00015BA1" w:rsidP="00015BA1">
      <w:pPr>
        <w:rPr>
          <w:rFonts w:cs="Arial"/>
        </w:rPr>
      </w:pPr>
      <w:r w:rsidRPr="00BF17CB">
        <w:rPr>
          <w:rFonts w:eastAsia="Times New Roman" w:cs="Arial"/>
          <w:i/>
          <w:iCs/>
          <w:color w:val="000000"/>
          <w:lang w:val="en-US"/>
        </w:rPr>
        <w:t>In vitro</w:t>
      </w:r>
      <w:r w:rsidRPr="00BF17CB">
        <w:rPr>
          <w:rFonts w:eastAsia="Times New Roman" w:cs="Arial"/>
          <w:color w:val="000000"/>
          <w:lang w:val="en-US"/>
        </w:rPr>
        <w:t xml:space="preserve"> </w:t>
      </w:r>
      <w:r w:rsidRPr="00BF17CB">
        <w:rPr>
          <w:rFonts w:eastAsia="Times New Roman" w:cs="Arial"/>
          <w:color w:val="000000"/>
          <w:lang w:eastAsia="bg-BG"/>
        </w:rPr>
        <w:t xml:space="preserve">изследвания показват, че ризатриптан инхибира цитохром Р450 </w:t>
      </w:r>
      <w:r w:rsidRPr="00BF17CB">
        <w:rPr>
          <w:rFonts w:eastAsia="Times New Roman" w:cs="Arial"/>
          <w:color w:val="000000"/>
          <w:lang w:val="en-US"/>
        </w:rPr>
        <w:t xml:space="preserve">2D6 (CYP 2D6). </w:t>
      </w:r>
      <w:r w:rsidRPr="00BF17CB">
        <w:rPr>
          <w:rFonts w:eastAsia="Times New Roman" w:cs="Arial"/>
          <w:color w:val="000000"/>
          <w:lang w:eastAsia="bg-BG"/>
        </w:rPr>
        <w:t xml:space="preserve">Няма данни за клинично взаимодействие. Потенциалът за взаимодействие трябва да се има предвид, когато ризатриптан се прилага на пациенти, приемащи субстрати на </w:t>
      </w:r>
      <w:r w:rsidRPr="00BF17CB">
        <w:rPr>
          <w:rFonts w:eastAsia="Times New Roman" w:cs="Arial"/>
          <w:color w:val="000000"/>
          <w:lang w:val="en-US"/>
        </w:rPr>
        <w:t>CYP 2D6.</w:t>
      </w:r>
    </w:p>
    <w:p w14:paraId="0395BD2E" w14:textId="77777777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0D18F57F" w14:textId="77777777" w:rsidR="00015BA1" w:rsidRPr="00BF17CB" w:rsidRDefault="00015BA1" w:rsidP="00BF17CB">
      <w:pPr>
        <w:pStyle w:val="Heading3"/>
        <w:rPr>
          <w:rFonts w:eastAsia="Times New Roman"/>
          <w:u w:val="single"/>
          <w:lang w:eastAsia="bg-BG"/>
        </w:rPr>
      </w:pPr>
      <w:r w:rsidRPr="00BF17CB">
        <w:rPr>
          <w:rFonts w:eastAsia="Times New Roman"/>
          <w:u w:val="single"/>
          <w:lang w:eastAsia="bg-BG"/>
        </w:rPr>
        <w:lastRenderedPageBreak/>
        <w:t>Бременност</w:t>
      </w:r>
    </w:p>
    <w:p w14:paraId="118EC8E7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Безопасността на употребата на ризатриптан по време на бременност при човека не е установена. При дозови нива, надхвърлящи терапевтичните, изпитванията при животни не показват вредни</w:t>
      </w:r>
      <w:r w:rsidRPr="00015BA1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015BA1">
        <w:rPr>
          <w:rFonts w:eastAsia="Times New Roman" w:cs="Arial"/>
          <w:color w:val="000000"/>
          <w:lang w:eastAsia="bg-BG"/>
        </w:rPr>
        <w:t>ефекти по отношение на развитието на ембриона или плода или на хода на бременността, раждането и постнаталното развитие.</w:t>
      </w:r>
    </w:p>
    <w:p w14:paraId="102F0D07" w14:textId="6F656336" w:rsidR="007A2185" w:rsidRPr="00BF17CB" w:rsidRDefault="00015BA1" w:rsidP="00015BA1">
      <w:pPr>
        <w:rPr>
          <w:rFonts w:eastAsia="Times New Roman" w:cs="Arial"/>
          <w:color w:val="000000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>Тъй като проучванията на репродукцията и развитието върху животни не винаги са показателни за отговора при човека, Ризатриптан Актавис трябва да се използва по време на бременност само при категорична необходимост.</w:t>
      </w:r>
    </w:p>
    <w:p w14:paraId="1F9BF3EC" w14:textId="3CE96E64" w:rsidR="00015BA1" w:rsidRPr="00BF17CB" w:rsidRDefault="00015BA1" w:rsidP="00015BA1">
      <w:pPr>
        <w:rPr>
          <w:rFonts w:eastAsia="Times New Roman" w:cs="Arial"/>
          <w:color w:val="000000"/>
          <w:lang w:eastAsia="bg-BG"/>
        </w:rPr>
      </w:pPr>
    </w:p>
    <w:p w14:paraId="408A5041" w14:textId="77777777" w:rsidR="00015BA1" w:rsidRPr="00BF17CB" w:rsidRDefault="00015BA1" w:rsidP="00BF17CB">
      <w:pPr>
        <w:pStyle w:val="Heading3"/>
        <w:rPr>
          <w:rFonts w:eastAsia="Times New Roman"/>
          <w:u w:val="single"/>
          <w:lang w:eastAsia="bg-BG"/>
        </w:rPr>
      </w:pPr>
      <w:r w:rsidRPr="00BF17CB">
        <w:rPr>
          <w:rFonts w:eastAsia="Times New Roman"/>
          <w:u w:val="single"/>
          <w:lang w:eastAsia="bg-BG"/>
        </w:rPr>
        <w:t>Кърмене</w:t>
      </w:r>
    </w:p>
    <w:p w14:paraId="1535A8CE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Проучванията при плъхове показват преминаване на ризатриптан в кърмата в много висока степен. Наблюдавано е преходно, много слабо увеличение на телесното тегло на малките преди отбиване, само когато системната експозиция на майката значително надхвърля максималното ниво на експозиция при човека. Няма данни при хора.</w:t>
      </w:r>
    </w:p>
    <w:p w14:paraId="623CBB02" w14:textId="46999C7C" w:rsidR="00015BA1" w:rsidRPr="00BF17CB" w:rsidRDefault="00015BA1" w:rsidP="00015BA1">
      <w:pPr>
        <w:rPr>
          <w:rFonts w:cs="Arial"/>
        </w:rPr>
      </w:pPr>
      <w:r w:rsidRPr="00BF17CB">
        <w:rPr>
          <w:rFonts w:eastAsia="Times New Roman" w:cs="Arial"/>
          <w:color w:val="000000"/>
          <w:lang w:eastAsia="bg-BG"/>
        </w:rPr>
        <w:t>Поради това, трябва да се внимава, когато ризатриптан се прилага при кърмещи жени. Експозицията на кърмачето трябва да бъде сведена до минимум, като се избягва кърмене в продължение на 24 часа след лечение.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05AD2DC2" w:rsidR="007A2185" w:rsidRDefault="00015BA1" w:rsidP="0091385D">
      <w:r>
        <w:t>Ризатриптан (таблетната форма и пероралният лиофилизат) са оценявани при над 3 600 пациенти до една година при контролирани клинични изпитвания. Мигрената или лечението с Ризатриптан Актавис може да предизвикат сънливост при някои пациенти. Съобщава се също и за замайване при някои пациенти, получаващи Ризатриптан Актавис. Поради това, пациентите трябва да преценят своята способност за изпълнение на сложни задачи по време на мигренозни пристъпи и след приложение на Ризатриптан Актавис.</w:t>
      </w:r>
      <w:bookmarkStart w:id="1" w:name="_GoBack"/>
      <w:bookmarkEnd w:id="1"/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1490EAC5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Най-честите нежелани реакции, оценявани при клиничните изпитвания, са замайване, сънливост и астения/умора. Следните нежелани ефекти са оценени по време на клиничните изпитвания и/или са съобщени след излизането на продукта на пазара:</w:t>
      </w:r>
    </w:p>
    <w:p w14:paraId="168B3833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Много чести [≥1/10]; чести [≥ 1/100, &lt; 1/10]; нечести: [≥1/1 000, &lt; 1/100]; редки [≥1/10 000 &lt; 1/1 000]; много редки [&lt;1/10 000], с неизвестна честота (от наличните данни не може да бъде направена оценка).</w:t>
      </w:r>
    </w:p>
    <w:p w14:paraId="66BB8787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5F7AB94" w14:textId="63B30B0B" w:rsidR="00015BA1" w:rsidRPr="00015BA1" w:rsidRDefault="00015BA1" w:rsidP="00015BA1">
      <w:pPr>
        <w:spacing w:line="240" w:lineRule="auto"/>
        <w:rPr>
          <w:rFonts w:eastAsia="Times New Roman" w:cs="Arial"/>
          <w:b/>
          <w:lang w:eastAsia="bg-BG"/>
        </w:rPr>
      </w:pPr>
      <w:r w:rsidRPr="00015BA1">
        <w:rPr>
          <w:rFonts w:eastAsia="Times New Roman" w:cs="Arial"/>
          <w:b/>
          <w:i/>
          <w:iCs/>
          <w:color w:val="000000"/>
          <w:lang w:eastAsia="bg-BG"/>
        </w:rPr>
        <w:t>Нарушения на имунната система:</w:t>
      </w:r>
    </w:p>
    <w:p w14:paraId="397E4FAB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015BA1">
        <w:rPr>
          <w:rFonts w:eastAsia="Times New Roman" w:cs="Arial"/>
          <w:color w:val="000000"/>
          <w:lang w:eastAsia="bg-BG"/>
        </w:rPr>
        <w:t xml:space="preserve"> реакция на свръхчувствителност, анафилакгична/анафилактоидна реакция</w:t>
      </w:r>
    </w:p>
    <w:p w14:paraId="3A94BA76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DC3132F" w14:textId="225539BD" w:rsidR="00015BA1" w:rsidRPr="00015BA1" w:rsidRDefault="00015BA1" w:rsidP="00015BA1">
      <w:pPr>
        <w:spacing w:line="240" w:lineRule="auto"/>
        <w:rPr>
          <w:rFonts w:eastAsia="Times New Roman" w:cs="Arial"/>
          <w:b/>
          <w:lang w:eastAsia="bg-BG"/>
        </w:rPr>
      </w:pPr>
      <w:r w:rsidRPr="00015BA1">
        <w:rPr>
          <w:rFonts w:eastAsia="Times New Roman" w:cs="Arial"/>
          <w:b/>
          <w:i/>
          <w:iCs/>
          <w:color w:val="000000"/>
          <w:lang w:eastAsia="bg-BG"/>
        </w:rPr>
        <w:t>Психични нарушения:</w:t>
      </w:r>
    </w:p>
    <w:p w14:paraId="7FC3D786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015BA1">
        <w:rPr>
          <w:rFonts w:eastAsia="Times New Roman" w:cs="Arial"/>
          <w:color w:val="000000"/>
          <w:lang w:eastAsia="bg-BG"/>
        </w:rPr>
        <w:t xml:space="preserve"> дезориентация, безсъние, нервност</w:t>
      </w:r>
    </w:p>
    <w:p w14:paraId="0217BCCF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7302DA3" w14:textId="393A067D" w:rsidR="00015BA1" w:rsidRPr="00015BA1" w:rsidRDefault="00015BA1" w:rsidP="00015BA1">
      <w:pPr>
        <w:spacing w:line="240" w:lineRule="auto"/>
        <w:rPr>
          <w:rFonts w:eastAsia="Times New Roman" w:cs="Arial"/>
          <w:b/>
          <w:lang w:eastAsia="bg-BG"/>
        </w:rPr>
      </w:pPr>
      <w:r w:rsidRPr="00015BA1">
        <w:rPr>
          <w:rFonts w:eastAsia="Times New Roman" w:cs="Arial"/>
          <w:b/>
          <w:i/>
          <w:iCs/>
          <w:color w:val="000000"/>
          <w:lang w:eastAsia="bg-BG"/>
        </w:rPr>
        <w:t>Нарушения на нервната система:</w:t>
      </w:r>
    </w:p>
    <w:p w14:paraId="2E5386BB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Чести:</w:t>
      </w:r>
      <w:r w:rsidRPr="00015BA1">
        <w:rPr>
          <w:rFonts w:eastAsia="Times New Roman" w:cs="Arial"/>
          <w:color w:val="000000"/>
          <w:lang w:eastAsia="bg-BG"/>
        </w:rPr>
        <w:t xml:space="preserve"> замайване, сънливост, парестезии, главоболие, хипоестезия, намалена умствена острота, тремор</w:t>
      </w:r>
    </w:p>
    <w:p w14:paraId="55647678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015BA1">
        <w:rPr>
          <w:rFonts w:eastAsia="Times New Roman" w:cs="Arial"/>
          <w:color w:val="000000"/>
          <w:lang w:eastAsia="bg-BG"/>
        </w:rPr>
        <w:t xml:space="preserve"> атаксия, вертиго</w:t>
      </w:r>
    </w:p>
    <w:p w14:paraId="0A21BED3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lastRenderedPageBreak/>
        <w:t>Редки:</w:t>
      </w:r>
      <w:r w:rsidRPr="00015BA1">
        <w:rPr>
          <w:rFonts w:eastAsia="Times New Roman" w:cs="Arial"/>
          <w:color w:val="000000"/>
          <w:lang w:eastAsia="bg-BG"/>
        </w:rPr>
        <w:t xml:space="preserve"> синкоп, дизгеузия/лош вкус, серотонинов синдром</w:t>
      </w:r>
    </w:p>
    <w:p w14:paraId="4BA26757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015BA1">
        <w:rPr>
          <w:rFonts w:eastAsia="Times New Roman" w:cs="Arial"/>
          <w:color w:val="000000"/>
          <w:lang w:eastAsia="bg-BG"/>
        </w:rPr>
        <w:t xml:space="preserve"> гърчове</w:t>
      </w:r>
    </w:p>
    <w:p w14:paraId="36B39483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0634169" w14:textId="434B316A" w:rsidR="00015BA1" w:rsidRPr="00015BA1" w:rsidRDefault="00015BA1" w:rsidP="00015BA1">
      <w:pPr>
        <w:spacing w:line="240" w:lineRule="auto"/>
        <w:rPr>
          <w:rFonts w:eastAsia="Times New Roman" w:cs="Arial"/>
          <w:b/>
          <w:lang w:eastAsia="bg-BG"/>
        </w:rPr>
      </w:pPr>
      <w:r w:rsidRPr="00015BA1">
        <w:rPr>
          <w:rFonts w:eastAsia="Times New Roman" w:cs="Arial"/>
          <w:b/>
          <w:i/>
          <w:iCs/>
          <w:color w:val="000000"/>
          <w:lang w:eastAsia="bg-BG"/>
        </w:rPr>
        <w:t>Нарушения на очите:</w:t>
      </w:r>
    </w:p>
    <w:p w14:paraId="6AD11396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015BA1">
        <w:rPr>
          <w:rFonts w:eastAsia="Times New Roman" w:cs="Arial"/>
          <w:color w:val="000000"/>
          <w:lang w:eastAsia="bg-BG"/>
        </w:rPr>
        <w:t xml:space="preserve"> замъглено зрение</w:t>
      </w:r>
    </w:p>
    <w:p w14:paraId="7647BD67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1E95567" w14:textId="6676CA9C" w:rsidR="00015BA1" w:rsidRPr="00015BA1" w:rsidRDefault="00015BA1" w:rsidP="00015BA1">
      <w:pPr>
        <w:spacing w:line="240" w:lineRule="auto"/>
        <w:rPr>
          <w:rFonts w:eastAsia="Times New Roman" w:cs="Arial"/>
          <w:b/>
          <w:lang w:eastAsia="bg-BG"/>
        </w:rPr>
      </w:pPr>
      <w:r w:rsidRPr="00015BA1">
        <w:rPr>
          <w:rFonts w:eastAsia="Times New Roman" w:cs="Arial"/>
          <w:b/>
          <w:i/>
          <w:iCs/>
          <w:color w:val="000000"/>
          <w:lang w:eastAsia="bg-BG"/>
        </w:rPr>
        <w:t>Сърдечна нарушения:</w:t>
      </w:r>
    </w:p>
    <w:p w14:paraId="1F7E509F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Чести:</w:t>
      </w:r>
      <w:r w:rsidRPr="00015BA1">
        <w:rPr>
          <w:rFonts w:eastAsia="Times New Roman" w:cs="Arial"/>
          <w:color w:val="000000"/>
          <w:lang w:eastAsia="bg-BG"/>
        </w:rPr>
        <w:t xml:space="preserve"> сърцебиене, тахикардия</w:t>
      </w:r>
    </w:p>
    <w:p w14:paraId="4BE7B582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Редки:</w:t>
      </w:r>
      <w:r w:rsidRPr="00015BA1">
        <w:rPr>
          <w:rFonts w:eastAsia="Times New Roman" w:cs="Arial"/>
          <w:color w:val="000000"/>
          <w:lang w:eastAsia="bg-BG"/>
        </w:rPr>
        <w:t xml:space="preserve"> миокардна исхемия или инфаркт, мозъчно-съдов инцидент. Повечето от тези нежелани реакции се съобщават при пациенти с рискови фактори, показателни за исхемична болест на сърцето </w:t>
      </w:r>
      <w:r w:rsidRPr="00015BA1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015BA1">
        <w:rPr>
          <w:rFonts w:eastAsia="Times New Roman" w:cs="Arial"/>
          <w:color w:val="000000"/>
          <w:lang w:eastAsia="bg-BG"/>
        </w:rPr>
        <w:t xml:space="preserve"> аритмия, брадикардия</w:t>
      </w:r>
    </w:p>
    <w:p w14:paraId="632A3D19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32B1C96" w14:textId="6DAEBA34" w:rsidR="00015BA1" w:rsidRPr="00015BA1" w:rsidRDefault="00015BA1" w:rsidP="00015BA1">
      <w:pPr>
        <w:spacing w:line="240" w:lineRule="auto"/>
        <w:rPr>
          <w:rFonts w:eastAsia="Times New Roman" w:cs="Arial"/>
          <w:b/>
          <w:lang w:eastAsia="bg-BG"/>
        </w:rPr>
      </w:pPr>
      <w:r w:rsidRPr="00015BA1">
        <w:rPr>
          <w:rFonts w:eastAsia="Times New Roman" w:cs="Arial"/>
          <w:b/>
          <w:i/>
          <w:iCs/>
          <w:color w:val="000000"/>
          <w:lang w:eastAsia="bg-BG"/>
        </w:rPr>
        <w:t>Съдови нарушения:</w:t>
      </w:r>
    </w:p>
    <w:p w14:paraId="77F47098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Чести:</w:t>
      </w:r>
      <w:r w:rsidRPr="00015BA1">
        <w:rPr>
          <w:rFonts w:eastAsia="Times New Roman" w:cs="Arial"/>
          <w:color w:val="000000"/>
          <w:lang w:eastAsia="bg-BG"/>
        </w:rPr>
        <w:t xml:space="preserve"> топли вълни</w:t>
      </w:r>
    </w:p>
    <w:p w14:paraId="779069B5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015BA1">
        <w:rPr>
          <w:rFonts w:eastAsia="Times New Roman" w:cs="Arial"/>
          <w:color w:val="000000"/>
          <w:lang w:eastAsia="bg-BG"/>
        </w:rPr>
        <w:t xml:space="preserve"> хипертония</w:t>
      </w:r>
    </w:p>
    <w:p w14:paraId="7A343392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015BA1">
        <w:rPr>
          <w:rFonts w:eastAsia="Times New Roman" w:cs="Arial"/>
          <w:color w:val="000000"/>
          <w:lang w:eastAsia="bg-BG"/>
        </w:rPr>
        <w:t xml:space="preserve"> периферна съдова исхемия</w:t>
      </w:r>
    </w:p>
    <w:p w14:paraId="10679957" w14:textId="77777777" w:rsidR="00015BA1" w:rsidRPr="00BF17CB" w:rsidRDefault="00015BA1" w:rsidP="00015BA1">
      <w:pPr>
        <w:rPr>
          <w:rFonts w:eastAsia="Times New Roman" w:cs="Arial"/>
          <w:i/>
          <w:iCs/>
          <w:color w:val="000000"/>
          <w:lang w:eastAsia="bg-BG"/>
        </w:rPr>
      </w:pPr>
    </w:p>
    <w:p w14:paraId="4D4498F3" w14:textId="77777777" w:rsidR="00015BA1" w:rsidRPr="00BF17CB" w:rsidRDefault="00015BA1" w:rsidP="00015BA1">
      <w:pPr>
        <w:rPr>
          <w:rFonts w:eastAsia="Times New Roman" w:cs="Arial"/>
          <w:b/>
          <w:i/>
          <w:iCs/>
          <w:color w:val="000000"/>
          <w:lang w:eastAsia="bg-BG"/>
        </w:rPr>
      </w:pPr>
      <w:r w:rsidRPr="00BF17CB">
        <w:rPr>
          <w:rFonts w:eastAsia="Times New Roman" w:cs="Arial"/>
          <w:b/>
          <w:i/>
          <w:iCs/>
          <w:color w:val="000000"/>
          <w:lang w:eastAsia="bg-BG"/>
        </w:rPr>
        <w:t>Респираторни, гръдни и медиастинални нарушения</w:t>
      </w:r>
    </w:p>
    <w:p w14:paraId="2795C566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Чести:</w:t>
      </w:r>
      <w:r w:rsidRPr="00015BA1">
        <w:rPr>
          <w:rFonts w:eastAsia="Times New Roman" w:cs="Arial"/>
          <w:color w:val="000000"/>
          <w:lang w:eastAsia="bg-BG"/>
        </w:rPr>
        <w:t xml:space="preserve"> фарингеален дискомфорт, диспнея</w:t>
      </w:r>
    </w:p>
    <w:p w14:paraId="37C2AB81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Редки:</w:t>
      </w:r>
      <w:r w:rsidRPr="00015BA1">
        <w:rPr>
          <w:rFonts w:eastAsia="Times New Roman" w:cs="Arial"/>
          <w:color w:val="000000"/>
          <w:lang w:eastAsia="bg-BG"/>
        </w:rPr>
        <w:t xml:space="preserve"> хрипове</w:t>
      </w:r>
    </w:p>
    <w:p w14:paraId="79D308E6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23A3859" w14:textId="77B870F9" w:rsidR="00015BA1" w:rsidRPr="00015BA1" w:rsidRDefault="00015BA1" w:rsidP="00015BA1">
      <w:pPr>
        <w:spacing w:line="240" w:lineRule="auto"/>
        <w:rPr>
          <w:rFonts w:eastAsia="Times New Roman" w:cs="Arial"/>
          <w:b/>
          <w:lang w:eastAsia="bg-BG"/>
        </w:rPr>
      </w:pPr>
      <w:r w:rsidRPr="00015BA1">
        <w:rPr>
          <w:rFonts w:eastAsia="Times New Roman" w:cs="Arial"/>
          <w:b/>
          <w:i/>
          <w:iCs/>
          <w:color w:val="000000"/>
          <w:lang w:eastAsia="bg-BG"/>
        </w:rPr>
        <w:t>Стомашно-чревни нарушения:</w:t>
      </w:r>
    </w:p>
    <w:p w14:paraId="4E9088EB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Чести:</w:t>
      </w:r>
      <w:r w:rsidRPr="00015BA1">
        <w:rPr>
          <w:rFonts w:eastAsia="Times New Roman" w:cs="Arial"/>
          <w:color w:val="000000"/>
          <w:lang w:eastAsia="bg-BG"/>
        </w:rPr>
        <w:t xml:space="preserve"> гадене, сухота в устата, повръщане, диария</w:t>
      </w:r>
    </w:p>
    <w:p w14:paraId="19E1905E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015BA1">
        <w:rPr>
          <w:rFonts w:eastAsia="Times New Roman" w:cs="Arial"/>
          <w:color w:val="000000"/>
          <w:lang w:eastAsia="bg-BG"/>
        </w:rPr>
        <w:t xml:space="preserve"> жажда, диспепсия</w:t>
      </w:r>
    </w:p>
    <w:p w14:paraId="7D6C1653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015BA1">
        <w:rPr>
          <w:rFonts w:eastAsia="Times New Roman" w:cs="Arial"/>
          <w:color w:val="000000"/>
          <w:lang w:eastAsia="bg-BG"/>
        </w:rPr>
        <w:t xml:space="preserve"> исхемичен колит</w:t>
      </w:r>
    </w:p>
    <w:p w14:paraId="1554F7F0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6A1667D" w14:textId="3AB037AF" w:rsidR="00015BA1" w:rsidRPr="00015BA1" w:rsidRDefault="00015BA1" w:rsidP="00015BA1">
      <w:pPr>
        <w:spacing w:line="240" w:lineRule="auto"/>
        <w:rPr>
          <w:rFonts w:eastAsia="Times New Roman" w:cs="Arial"/>
          <w:b/>
          <w:lang w:eastAsia="bg-BG"/>
        </w:rPr>
      </w:pPr>
      <w:r w:rsidRPr="00015BA1">
        <w:rPr>
          <w:rFonts w:eastAsia="Times New Roman" w:cs="Arial"/>
          <w:b/>
          <w:i/>
          <w:iCs/>
          <w:color w:val="000000"/>
          <w:lang w:eastAsia="bg-BG"/>
        </w:rPr>
        <w:t>Нарушения на кожата и подкожната тъкан:</w:t>
      </w:r>
    </w:p>
    <w:p w14:paraId="68E59875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Чести:</w:t>
      </w:r>
      <w:r w:rsidRPr="00015BA1">
        <w:rPr>
          <w:rFonts w:eastAsia="Times New Roman" w:cs="Arial"/>
          <w:color w:val="000000"/>
          <w:lang w:eastAsia="bg-BG"/>
        </w:rPr>
        <w:t xml:space="preserve"> зачервяване на кожата, изпотяване</w:t>
      </w:r>
    </w:p>
    <w:p w14:paraId="4B16B28B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015BA1">
        <w:rPr>
          <w:rFonts w:eastAsia="Times New Roman" w:cs="Arial"/>
          <w:color w:val="000000"/>
          <w:lang w:eastAsia="bg-BG"/>
        </w:rPr>
        <w:t xml:space="preserve"> сърбеж, уртикария</w:t>
      </w:r>
    </w:p>
    <w:p w14:paraId="40CC69DE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Редки:</w:t>
      </w:r>
      <w:r w:rsidRPr="00015BA1">
        <w:rPr>
          <w:rFonts w:eastAsia="Times New Roman" w:cs="Arial"/>
          <w:color w:val="000000"/>
          <w:lang w:eastAsia="bg-BG"/>
        </w:rPr>
        <w:t xml:space="preserve"> ангиоедем (напр. оток на лицето, подуване на езика, фарингеален оток), обрив, токсична епидермална некролиза (за ангиоедем вижте също точка 4.4)</w:t>
      </w:r>
    </w:p>
    <w:p w14:paraId="72BF947B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D064EA6" w14:textId="0689E269" w:rsidR="00015BA1" w:rsidRPr="00015BA1" w:rsidRDefault="00015BA1" w:rsidP="00015BA1">
      <w:pPr>
        <w:spacing w:line="240" w:lineRule="auto"/>
        <w:rPr>
          <w:rFonts w:eastAsia="Times New Roman" w:cs="Arial"/>
          <w:b/>
          <w:lang w:eastAsia="bg-BG"/>
        </w:rPr>
      </w:pPr>
      <w:r w:rsidRPr="00015BA1">
        <w:rPr>
          <w:rFonts w:eastAsia="Times New Roman" w:cs="Arial"/>
          <w:b/>
          <w:i/>
          <w:iCs/>
          <w:color w:val="000000"/>
          <w:lang w:eastAsia="bg-BG"/>
        </w:rPr>
        <w:t>Нарушения на мускулно-скелетната система и съединителната тъкан:</w:t>
      </w:r>
    </w:p>
    <w:p w14:paraId="760430CF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Чести:</w:t>
      </w:r>
      <w:r w:rsidRPr="00015BA1">
        <w:rPr>
          <w:rFonts w:eastAsia="Times New Roman" w:cs="Arial"/>
          <w:color w:val="000000"/>
          <w:lang w:eastAsia="bg-BG"/>
        </w:rPr>
        <w:t xml:space="preserve"> регионална тежест</w:t>
      </w:r>
    </w:p>
    <w:p w14:paraId="19D174CE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Нечести:</w:t>
      </w:r>
      <w:r w:rsidRPr="00015BA1">
        <w:rPr>
          <w:rFonts w:eastAsia="Times New Roman" w:cs="Arial"/>
          <w:color w:val="000000"/>
          <w:lang w:eastAsia="bg-BG"/>
        </w:rPr>
        <w:t xml:space="preserve"> болка във врата, регионално стягане, скованост, мускулна слабост </w:t>
      </w:r>
      <w:r w:rsidRPr="00015BA1">
        <w:rPr>
          <w:rFonts w:eastAsia="Times New Roman" w:cs="Arial"/>
          <w:i/>
          <w:iCs/>
          <w:color w:val="000000"/>
          <w:lang w:eastAsia="bg-BG"/>
        </w:rPr>
        <w:t>Редки:</w:t>
      </w:r>
      <w:r w:rsidRPr="00015BA1">
        <w:rPr>
          <w:rFonts w:eastAsia="Times New Roman" w:cs="Arial"/>
          <w:color w:val="000000"/>
          <w:lang w:eastAsia="bg-BG"/>
        </w:rPr>
        <w:t xml:space="preserve"> лицева болка</w:t>
      </w:r>
    </w:p>
    <w:p w14:paraId="137AC334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015BA1">
        <w:rPr>
          <w:rFonts w:eastAsia="Times New Roman" w:cs="Arial"/>
          <w:color w:val="000000"/>
          <w:lang w:eastAsia="bg-BG"/>
        </w:rPr>
        <w:t xml:space="preserve"> миалгия</w:t>
      </w:r>
    </w:p>
    <w:p w14:paraId="3D1C6CE2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79F567D" w14:textId="2D0893D7" w:rsidR="00015BA1" w:rsidRPr="00015BA1" w:rsidRDefault="00015BA1" w:rsidP="00015BA1">
      <w:pPr>
        <w:spacing w:line="240" w:lineRule="auto"/>
        <w:rPr>
          <w:rFonts w:eastAsia="Times New Roman" w:cs="Arial"/>
          <w:b/>
          <w:lang w:eastAsia="bg-BG"/>
        </w:rPr>
      </w:pPr>
      <w:r w:rsidRPr="00015BA1">
        <w:rPr>
          <w:rFonts w:eastAsia="Times New Roman" w:cs="Arial"/>
          <w:b/>
          <w:i/>
          <w:iCs/>
          <w:color w:val="000000"/>
          <w:lang w:eastAsia="bg-BG"/>
        </w:rPr>
        <w:t>Общи нарушения и ефекти на мястото на приложение:</w:t>
      </w:r>
    </w:p>
    <w:p w14:paraId="66C5E6E1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Чести:</w:t>
      </w:r>
      <w:r w:rsidRPr="00015BA1">
        <w:rPr>
          <w:rFonts w:eastAsia="Times New Roman" w:cs="Arial"/>
          <w:color w:val="000000"/>
          <w:lang w:eastAsia="bg-BG"/>
        </w:rPr>
        <w:t xml:space="preserve"> астения/умора, болка в корема или гърдите</w:t>
      </w:r>
    </w:p>
    <w:p w14:paraId="5AF61175" w14:textId="77777777" w:rsidR="00015BA1" w:rsidRPr="00BF17CB" w:rsidRDefault="00015BA1" w:rsidP="00015BA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1372E0A" w14:textId="51C3ADF9" w:rsidR="00015BA1" w:rsidRPr="00015BA1" w:rsidRDefault="00015BA1" w:rsidP="00015BA1">
      <w:pPr>
        <w:spacing w:line="240" w:lineRule="auto"/>
        <w:rPr>
          <w:rFonts w:eastAsia="Times New Roman" w:cs="Arial"/>
          <w:b/>
          <w:lang w:eastAsia="bg-BG"/>
        </w:rPr>
      </w:pPr>
      <w:r w:rsidRPr="00015BA1">
        <w:rPr>
          <w:rFonts w:eastAsia="Times New Roman" w:cs="Arial"/>
          <w:b/>
          <w:i/>
          <w:iCs/>
          <w:color w:val="000000"/>
          <w:lang w:eastAsia="bg-BG"/>
        </w:rPr>
        <w:t>Изследвания:</w:t>
      </w:r>
    </w:p>
    <w:p w14:paraId="4CEE097A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С неизвестна честота:</w:t>
      </w:r>
      <w:r w:rsidRPr="00015BA1">
        <w:rPr>
          <w:rFonts w:eastAsia="Times New Roman" w:cs="Arial"/>
          <w:color w:val="000000"/>
          <w:lang w:eastAsia="bg-BG"/>
        </w:rPr>
        <w:t xml:space="preserve"> аномалии в ЕКГ</w:t>
      </w:r>
    </w:p>
    <w:p w14:paraId="18CED4BA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2EE70F9" w14:textId="17D9C7B3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7070F09F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37CC00BE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284551F7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ул. „Дамян Груев” № 8</w:t>
      </w:r>
    </w:p>
    <w:p w14:paraId="06663B83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lastRenderedPageBreak/>
        <w:t>1303 София</w:t>
      </w:r>
    </w:p>
    <w:p w14:paraId="1B05CEB5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тел.: 02 8903417</w:t>
      </w:r>
    </w:p>
    <w:p w14:paraId="0254AACC" w14:textId="48D7BF7C" w:rsidR="007A2185" w:rsidRPr="00BF17CB" w:rsidRDefault="00015BA1" w:rsidP="00015BA1">
      <w:pPr>
        <w:rPr>
          <w:rFonts w:cs="Arial"/>
        </w:rPr>
      </w:pPr>
      <w:r w:rsidRPr="00BF17CB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BF17CB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  <w:r w:rsidRPr="00BF17CB">
        <w:rPr>
          <w:rFonts w:eastAsia="Times New Roman" w:cs="Arial"/>
          <w:i/>
          <w:iCs/>
          <w:color w:val="000000"/>
          <w:lang w:eastAsia="bg-BG"/>
        </w:rPr>
        <w:t>:</w:t>
      </w:r>
    </w:p>
    <w:p w14:paraId="443BC107" w14:textId="77777777" w:rsidR="005B0F27" w:rsidRPr="0091385D" w:rsidRDefault="005B0F27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0BE597EE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Ризатриптан 40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>(приложен като единична доза или като две дози с два часа интервал между тях) обикновено се е понасял добре при над 300 пациенти; замайване и сънливост са най-честите нежелани ефекти, свързани с лекарството.</w:t>
      </w:r>
    </w:p>
    <w:p w14:paraId="020234F9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В едно клинично фармакологично изпитване, при което 12 лица получавали ризатриптан в общи кумулативни дози от 80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(приложени в продължение на четири часа), двама души получили синкоп и/или брадикардия. Една жена на възраст 29 години е получила повръщане, брадикардия и замайване, започнали три часа след приема на общо 80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ризатриптан (приложени в продължение на два часа). </w:t>
      </w:r>
      <w:r w:rsidRPr="00015BA1">
        <w:rPr>
          <w:rFonts w:eastAsia="Times New Roman" w:cs="Arial"/>
          <w:color w:val="000000"/>
          <w:lang w:val="en-US"/>
        </w:rPr>
        <w:t xml:space="preserve">AV </w:t>
      </w:r>
      <w:r w:rsidRPr="00015BA1">
        <w:rPr>
          <w:rFonts w:eastAsia="Times New Roman" w:cs="Arial"/>
          <w:color w:val="000000"/>
          <w:lang w:eastAsia="bg-BG"/>
        </w:rPr>
        <w:t>блок трета степен, повлияващ се от атропин, е наблюдаван един час след началото на другите симптоми. При друг участник, 25-годишен мъж, е наблюдавано преходно замайване, синкоп, инконтиненция, и петсекундна систолична пауза (при мониториране на ЕКГ) незабавно след болезнена венипунктура. Венипунктурата е извършена два часа след като лицето е полущцло общо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 xml:space="preserve"> </w:t>
      </w:r>
      <w:r w:rsidRPr="00015BA1">
        <w:rPr>
          <w:rFonts w:eastAsia="Times New Roman" w:cs="Arial"/>
          <w:color w:val="000000"/>
          <w:lang w:eastAsia="bg-BG"/>
        </w:rPr>
        <w:t xml:space="preserve">80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>ризатриптан (приложени в продължение на четири часа).</w:t>
      </w:r>
    </w:p>
    <w:p w14:paraId="5CDA03AA" w14:textId="77777777" w:rsidR="00015BA1" w:rsidRPr="00BF17CB" w:rsidRDefault="00015BA1" w:rsidP="00015BA1">
      <w:pPr>
        <w:rPr>
          <w:rFonts w:eastAsia="Times New Roman" w:cs="Arial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>Освен това, поради фармакологията на ризатриптан, след предозиране може да възникнат хипертония или други по-сериозни сърдечно-съдови симптоми. Стомашно-чревна деконтаминация (напр. стомашна промивка, последвана от активиран въглен) трябва да се има предвид цри пациенти, при които се подозира предозиране с Ризатриптан Актавис. Клиничното и електрокардиографското мониториране трябва да продължи най-малко 12 часа, дори ако не се наблюдават клинични симптоми.</w:t>
      </w:r>
    </w:p>
    <w:p w14:paraId="6A43B8F3" w14:textId="32CB6700" w:rsidR="007A2185" w:rsidRPr="00BF17CB" w:rsidRDefault="00015BA1" w:rsidP="00015BA1">
      <w:pPr>
        <w:rPr>
          <w:rFonts w:cs="Arial"/>
        </w:rPr>
      </w:pPr>
      <w:r w:rsidRPr="00BF17CB">
        <w:rPr>
          <w:rFonts w:eastAsia="Times New Roman" w:cs="Arial"/>
          <w:color w:val="000000"/>
          <w:lang w:eastAsia="bg-BG"/>
        </w:rPr>
        <w:t>Ефектите от хемо- или перитонеалната диализа върху серумните концентрации на ризатриптан не са известни.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04142113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Фармакотерапевтична група: Селективни серотонинови (5НТ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1</w:t>
      </w:r>
      <w:r w:rsidRPr="00015BA1">
        <w:rPr>
          <w:rFonts w:eastAsia="Times New Roman" w:cs="Arial"/>
          <w:color w:val="000000"/>
          <w:lang w:eastAsia="bg-BG"/>
        </w:rPr>
        <w:t xml:space="preserve">) агонисти, АТС код: </w:t>
      </w:r>
      <w:r w:rsidRPr="00015BA1">
        <w:rPr>
          <w:rFonts w:eastAsia="Times New Roman" w:cs="Arial"/>
          <w:color w:val="000000"/>
          <w:lang w:val="en-US"/>
        </w:rPr>
        <w:t xml:space="preserve">N02C </w:t>
      </w:r>
      <w:r w:rsidRPr="00015BA1">
        <w:rPr>
          <w:rFonts w:eastAsia="Times New Roman" w:cs="Arial"/>
          <w:color w:val="000000"/>
          <w:lang w:eastAsia="bg-BG"/>
        </w:rPr>
        <w:t>С04</w:t>
      </w:r>
    </w:p>
    <w:p w14:paraId="76CFB9B1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34582DD" w14:textId="2B83B551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6CBA0B29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Ризатриптан се свързва селективно с висок афинитет с човешките 5-НТ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1</w:t>
      </w:r>
      <w:r w:rsidRPr="00015BA1">
        <w:rPr>
          <w:rFonts w:eastAsia="Times New Roman" w:cs="Arial"/>
          <w:color w:val="000000"/>
          <w:vertAlign w:val="subscript"/>
          <w:lang w:val="en-US"/>
        </w:rPr>
        <w:t>B</w:t>
      </w:r>
      <w:r w:rsidRPr="00015BA1">
        <w:rPr>
          <w:rFonts w:eastAsia="Times New Roman" w:cs="Arial"/>
          <w:color w:val="000000"/>
          <w:lang w:eastAsia="bg-BG"/>
        </w:rPr>
        <w:t xml:space="preserve"> и 5-НТ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1</w:t>
      </w:r>
      <w:r w:rsidRPr="00015BA1">
        <w:rPr>
          <w:rFonts w:eastAsia="Times New Roman" w:cs="Arial"/>
          <w:color w:val="000000"/>
          <w:vertAlign w:val="subscript"/>
          <w:lang w:val="en-US"/>
        </w:rPr>
        <w:t>D</w:t>
      </w:r>
      <w:r w:rsidRPr="00015BA1">
        <w:rPr>
          <w:rFonts w:eastAsia="Times New Roman" w:cs="Arial"/>
          <w:color w:val="000000"/>
          <w:lang w:eastAsia="bg-BG"/>
        </w:rPr>
        <w:t xml:space="preserve"> рецептори и оказва малък ефект или няма ефект или фармакологична активност върху 5-НТ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2</w:t>
      </w:r>
      <w:r w:rsidRPr="00015BA1">
        <w:rPr>
          <w:rFonts w:eastAsia="Times New Roman" w:cs="Arial"/>
          <w:color w:val="000000"/>
          <w:lang w:eastAsia="bg-BG"/>
        </w:rPr>
        <w:t>, 5-НТ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3</w:t>
      </w:r>
      <w:r w:rsidRPr="00015BA1">
        <w:rPr>
          <w:rFonts w:eastAsia="Times New Roman" w:cs="Arial"/>
          <w:color w:val="000000"/>
          <w:lang w:eastAsia="bg-BG"/>
        </w:rPr>
        <w:t>; адренергичниге алфа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1</w:t>
      </w:r>
      <w:r w:rsidRPr="00015BA1">
        <w:rPr>
          <w:rFonts w:eastAsia="Times New Roman" w:cs="Arial"/>
          <w:color w:val="000000"/>
          <w:lang w:eastAsia="bg-BG"/>
        </w:rPr>
        <w:t>, алфа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2</w:t>
      </w:r>
      <w:r w:rsidRPr="00015BA1">
        <w:rPr>
          <w:rFonts w:eastAsia="Times New Roman" w:cs="Arial"/>
          <w:color w:val="000000"/>
          <w:lang w:eastAsia="bg-BG"/>
        </w:rPr>
        <w:t xml:space="preserve"> или бета; </w:t>
      </w:r>
      <w:r w:rsidRPr="00015BA1">
        <w:rPr>
          <w:rFonts w:eastAsia="Times New Roman" w:cs="Arial"/>
          <w:color w:val="000000"/>
          <w:lang w:val="en-US"/>
        </w:rPr>
        <w:t>D</w:t>
      </w:r>
      <w:r w:rsidRPr="00015BA1">
        <w:rPr>
          <w:rFonts w:eastAsia="Times New Roman" w:cs="Arial"/>
          <w:color w:val="000000"/>
          <w:vertAlign w:val="subscript"/>
          <w:lang w:val="en-US"/>
        </w:rPr>
        <w:t>1</w:t>
      </w:r>
      <w:r w:rsidRPr="00015BA1">
        <w:rPr>
          <w:rFonts w:eastAsia="Times New Roman" w:cs="Arial"/>
          <w:color w:val="000000"/>
          <w:lang w:val="en-US"/>
        </w:rPr>
        <w:t xml:space="preserve"> D</w:t>
      </w:r>
      <w:r w:rsidRPr="00015BA1">
        <w:rPr>
          <w:rFonts w:eastAsia="Times New Roman" w:cs="Arial"/>
          <w:color w:val="000000"/>
          <w:vertAlign w:val="subscript"/>
          <w:lang w:val="en-US"/>
        </w:rPr>
        <w:t>2</w:t>
      </w:r>
      <w:r w:rsidRPr="00015BA1">
        <w:rPr>
          <w:rFonts w:eastAsia="Times New Roman" w:cs="Arial"/>
          <w:color w:val="000000"/>
          <w:lang w:val="en-US"/>
        </w:rPr>
        <w:t xml:space="preserve">, </w:t>
      </w:r>
      <w:r w:rsidRPr="00015BA1">
        <w:rPr>
          <w:rFonts w:eastAsia="Times New Roman" w:cs="Arial"/>
          <w:color w:val="000000"/>
          <w:lang w:eastAsia="bg-BG"/>
        </w:rPr>
        <w:t>допаминергичните, хистаминовите Н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ь</w:t>
      </w:r>
      <w:r w:rsidRPr="00015BA1">
        <w:rPr>
          <w:rFonts w:eastAsia="Times New Roman" w:cs="Arial"/>
          <w:color w:val="000000"/>
          <w:lang w:eastAsia="bg-BG"/>
        </w:rPr>
        <w:t xml:space="preserve"> мускариновите или бензодиазепиновите рецептори.</w:t>
      </w:r>
    </w:p>
    <w:p w14:paraId="384B0A8C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Терапевтичната активност на ризатриптан за лечение на мигренозно главоболие може да се свърже с неговите агонистични ефекти върху 5-НТ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1</w:t>
      </w:r>
      <w:r w:rsidRPr="00015BA1">
        <w:rPr>
          <w:rFonts w:eastAsia="Times New Roman" w:cs="Arial"/>
          <w:color w:val="000000"/>
          <w:vertAlign w:val="subscript"/>
          <w:lang w:val="en-US"/>
        </w:rPr>
        <w:t>B</w:t>
      </w:r>
      <w:r w:rsidRPr="00015BA1">
        <w:rPr>
          <w:rFonts w:eastAsia="Times New Roman" w:cs="Arial"/>
          <w:color w:val="000000"/>
          <w:lang w:eastAsia="bg-BG"/>
        </w:rPr>
        <w:t xml:space="preserve"> и 5-НТ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1</w:t>
      </w:r>
      <w:r w:rsidRPr="00015BA1">
        <w:rPr>
          <w:rFonts w:eastAsia="Times New Roman" w:cs="Arial"/>
          <w:color w:val="000000"/>
          <w:vertAlign w:val="subscript"/>
          <w:lang w:val="en-US"/>
        </w:rPr>
        <w:t>D</w:t>
      </w:r>
      <w:r w:rsidRPr="00015BA1">
        <w:rPr>
          <w:rFonts w:eastAsia="Times New Roman" w:cs="Arial"/>
          <w:color w:val="000000"/>
          <w:lang w:eastAsia="bg-BG"/>
        </w:rPr>
        <w:t xml:space="preserve"> рецепторите на екстрацеребралните вътречерепни кръвоносни съдове, за които се счита, че се дилатират по време на пристъп, и върху тригеминусовите сензорни нерви, които ги инервират. Активирането на тези 5-НТ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1</w:t>
      </w:r>
      <w:r w:rsidRPr="00015BA1">
        <w:rPr>
          <w:rFonts w:eastAsia="Times New Roman" w:cs="Arial"/>
          <w:color w:val="000000"/>
          <w:vertAlign w:val="subscript"/>
          <w:lang w:val="en-US"/>
        </w:rPr>
        <w:t>B</w:t>
      </w:r>
      <w:r w:rsidRPr="00015BA1">
        <w:rPr>
          <w:rFonts w:eastAsia="Times New Roman" w:cs="Arial"/>
          <w:color w:val="000000"/>
          <w:lang w:eastAsia="bg-BG"/>
        </w:rPr>
        <w:t xml:space="preserve"> и </w:t>
      </w:r>
      <w:r w:rsidRPr="00015BA1">
        <w:rPr>
          <w:rFonts w:eastAsia="Times New Roman" w:cs="Arial"/>
          <w:color w:val="000000"/>
          <w:lang w:val="en-US"/>
        </w:rPr>
        <w:t>5-HT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1</w:t>
      </w:r>
      <w:r w:rsidRPr="00015BA1">
        <w:rPr>
          <w:rFonts w:eastAsia="Times New Roman" w:cs="Arial"/>
          <w:color w:val="000000"/>
          <w:vertAlign w:val="subscript"/>
          <w:lang w:val="en-US"/>
        </w:rPr>
        <w:t xml:space="preserve">D </w:t>
      </w:r>
      <w:r w:rsidRPr="00015BA1">
        <w:rPr>
          <w:rFonts w:eastAsia="Times New Roman" w:cs="Arial"/>
          <w:color w:val="000000"/>
          <w:lang w:eastAsia="bg-BG"/>
        </w:rPr>
        <w:t xml:space="preserve">рецептори може да доведе до констрикция на предизвикващите болка вътречерепни кръвоносни съдове и до инхибиране на освобождаването на невропептиди, което води до намаляване на </w:t>
      </w:r>
      <w:r w:rsidRPr="00015BA1">
        <w:rPr>
          <w:rFonts w:eastAsia="Times New Roman" w:cs="Arial"/>
          <w:color w:val="000000"/>
          <w:lang w:eastAsia="bg-BG"/>
        </w:rPr>
        <w:lastRenderedPageBreak/>
        <w:t>възпалението в чувствителните тъкани и намаляване на централното предаване на сигнала на тригеминусовата болка.</w:t>
      </w:r>
    </w:p>
    <w:p w14:paraId="03A36FE9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1E07101" w14:textId="694F8A90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0A5C0C88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Ефикасността на ризатриптан таблетки, диспергиращи се в устата, при лечение на остри мигренозните пристъпи е установена при две многоцентрови, рандомизирани, плацебо-контролирани клинични изпитвания, с дизайн, подобен на клиничните изпитвания на обикновените таблетки ризатриптан. В едно клинично изпитване (</w:t>
      </w:r>
      <w:r w:rsidRPr="00015BA1">
        <w:rPr>
          <w:rFonts w:eastAsia="Times New Roman" w:cs="Arial"/>
          <w:color w:val="000000"/>
          <w:lang w:val="en-US"/>
        </w:rPr>
        <w:t>n</w:t>
      </w:r>
      <w:r w:rsidRPr="00015BA1">
        <w:rPr>
          <w:rFonts w:eastAsia="Times New Roman" w:cs="Arial"/>
          <w:color w:val="000000"/>
          <w:lang w:eastAsia="bg-BG"/>
        </w:rPr>
        <w:t xml:space="preserve"> = 311), около два часа след приложение, честотата на облекчение при пациентите, лекувани с ризатриптан таблетки, диспергиращи се в устата 5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и 10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е приблизително 66 %, в сравнение с 47 % в групата с плацебо. В едно по-голямо клинично изпитване (п 547), около два часа след приложението, честотата на облекчение е 59 % при пациентите, лекувани с ризатриптан 5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 xml:space="preserve">таблетки, диспергиращи се в устата, и 74 % с 10 </w:t>
      </w:r>
      <w:r w:rsidRPr="00015BA1">
        <w:rPr>
          <w:rFonts w:eastAsia="Times New Roman" w:cs="Arial"/>
          <w:color w:val="000000"/>
          <w:lang w:val="en-US"/>
        </w:rPr>
        <w:t xml:space="preserve">mg, </w:t>
      </w:r>
      <w:r w:rsidRPr="00015BA1">
        <w:rPr>
          <w:rFonts w:eastAsia="Times New Roman" w:cs="Arial"/>
          <w:color w:val="000000"/>
          <w:lang w:eastAsia="bg-BG"/>
        </w:rPr>
        <w:t xml:space="preserve">в сравнение с 28 % в групата с плацебо. Ризатриптан таблетки, диспергиращи се в устата облекчава също инвалидизирането, гаденето, фотофобията и фонофобията, които придружават мигренозните епизоди. Значим ефект на облекчение на болката е наблюдаван още 3 0 минути след приложението в едно от двете клинични изпитвания с доза от 10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>(вж. точка 5.2).</w:t>
      </w:r>
    </w:p>
    <w:p w14:paraId="085976BB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Въз основа на клиничните изпитвания с таблетката за перорално приложение, ризатриптан остава ефективен за лечение на менструална мигрена, т.е. мигрена, възникваща до 3 дни преди или след началото на менструацията.</w:t>
      </w:r>
    </w:p>
    <w:p w14:paraId="038F692B" w14:textId="6B2C95AF" w:rsidR="007A2185" w:rsidRPr="00BF17CB" w:rsidRDefault="00015BA1" w:rsidP="00015BA1">
      <w:pPr>
        <w:rPr>
          <w:rFonts w:cs="Arial"/>
        </w:rPr>
      </w:pPr>
      <w:r w:rsidRPr="00BF17CB">
        <w:rPr>
          <w:rFonts w:eastAsia="Times New Roman" w:cs="Arial"/>
          <w:color w:val="000000"/>
          <w:lang w:eastAsia="bg-BG"/>
        </w:rPr>
        <w:t>Ризатриптан таблетки, диспергиращи се в устата дава възможност на пациентите с мигрена да лекуват своите мигренозни пристъпи, без да се налага да поглъщат течности. Това може да позволи пациентите да приложат лекарството си по-рано, например, когато няма течности, и да избегнат евентуално влошаване на гастро-интестиналните симптоми при поглъщане на течности.</w:t>
      </w:r>
    </w:p>
    <w:p w14:paraId="36152471" w14:textId="77777777" w:rsidR="0091385D" w:rsidRPr="0091385D" w:rsidRDefault="0091385D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047BC471" w14:textId="1EB560C6" w:rsidR="00015BA1" w:rsidRPr="00015BA1" w:rsidRDefault="00015BA1" w:rsidP="00015BA1">
      <w:pPr>
        <w:pStyle w:val="Heading3"/>
        <w:rPr>
          <w:rFonts w:eastAsia="Times New Roman"/>
          <w:u w:val="single"/>
          <w:lang w:eastAsia="bg-BG"/>
        </w:rPr>
      </w:pPr>
      <w:r w:rsidRPr="00015BA1">
        <w:rPr>
          <w:rFonts w:eastAsia="Times New Roman"/>
          <w:u w:val="single"/>
          <w:lang w:eastAsia="bg-BG"/>
        </w:rPr>
        <w:t>Резорбция</w:t>
      </w:r>
      <w:bookmarkStart w:id="2" w:name="bookmark0"/>
      <w:bookmarkEnd w:id="2"/>
    </w:p>
    <w:p w14:paraId="1B2BD3D5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Ризатриптан се резорбира бързо и пълно след перорално приложение.</w:t>
      </w:r>
    </w:p>
    <w:p w14:paraId="45551830" w14:textId="2F4E52E3" w:rsidR="007A2185" w:rsidRPr="00BF17CB" w:rsidRDefault="00015BA1" w:rsidP="00015BA1">
      <w:pPr>
        <w:rPr>
          <w:rFonts w:eastAsia="Times New Roman" w:cs="Arial"/>
          <w:color w:val="000000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>Средната перорална бионаличност на таблетките, диспергиращи се в устата е приблизително  40 - 45 %, а средните максимални плазмени концентрации (С</w:t>
      </w:r>
      <w:r w:rsidRPr="00BF17CB">
        <w:rPr>
          <w:rFonts w:eastAsia="Times New Roman" w:cs="Arial"/>
          <w:color w:val="000000"/>
          <w:vertAlign w:val="subscript"/>
          <w:lang w:val="en-US"/>
        </w:rPr>
        <w:t>max</w:t>
      </w:r>
      <w:r w:rsidRPr="00BF17CB">
        <w:rPr>
          <w:rFonts w:eastAsia="Times New Roman" w:cs="Arial"/>
          <w:color w:val="000000"/>
          <w:lang w:eastAsia="bg-BG"/>
        </w:rPr>
        <w:t>) се достигат приблизително след 1.6- 2,5 часа (Т</w:t>
      </w:r>
      <w:r w:rsidRPr="00BF17CB">
        <w:rPr>
          <w:rFonts w:eastAsia="Times New Roman" w:cs="Arial"/>
          <w:color w:val="000000"/>
          <w:vertAlign w:val="subscript"/>
          <w:lang w:val="en-US"/>
        </w:rPr>
        <w:t>max</w:t>
      </w:r>
      <w:r w:rsidRPr="00BF17CB">
        <w:rPr>
          <w:rFonts w:eastAsia="Times New Roman" w:cs="Arial"/>
          <w:color w:val="000000"/>
          <w:lang w:eastAsia="bg-BG"/>
        </w:rPr>
        <w:t>). Времето до максималната плазмена концентрация след приложение на ризатриптан под формата на таблетка, диспергираща се в устата е забавено с 30 - 60 минути по отношение на обикновените таблетки ризатриптан.</w:t>
      </w:r>
    </w:p>
    <w:p w14:paraId="6ACEA8D3" w14:textId="152FA91B" w:rsidR="00015BA1" w:rsidRPr="00BF17CB" w:rsidRDefault="00015BA1" w:rsidP="00015BA1">
      <w:pPr>
        <w:rPr>
          <w:rFonts w:eastAsia="Times New Roman" w:cs="Arial"/>
          <w:color w:val="000000"/>
          <w:lang w:eastAsia="bg-BG"/>
        </w:rPr>
      </w:pPr>
    </w:p>
    <w:p w14:paraId="6F78059B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Ефект на храната:</w:t>
      </w:r>
      <w:r w:rsidRPr="00015BA1">
        <w:rPr>
          <w:rFonts w:eastAsia="Times New Roman" w:cs="Arial"/>
          <w:color w:val="000000"/>
          <w:lang w:eastAsia="bg-BG"/>
        </w:rPr>
        <w:t xml:space="preserve"> Ефектът на храната върху резорбцията на ризатриптан от таблетките, диспергиращи се в устата, не е изследван. При ризатриптан таблетки, Т</w:t>
      </w:r>
      <w:r w:rsidRPr="00015BA1">
        <w:rPr>
          <w:rFonts w:eastAsia="Times New Roman" w:cs="Arial"/>
          <w:color w:val="000000"/>
          <w:vertAlign w:val="subscript"/>
          <w:lang w:val="en-US"/>
        </w:rPr>
        <w:t>max</w:t>
      </w:r>
      <w:r w:rsidRPr="00015BA1">
        <w:rPr>
          <w:rFonts w:eastAsia="Times New Roman" w:cs="Arial"/>
          <w:color w:val="000000"/>
          <w:lang w:eastAsia="bg-BG"/>
        </w:rPr>
        <w:t xml:space="preserve"> е забавено с приблизително 1 час, когато таблетките се прилагат след нахранване. Допълнително забавяне на резорбцията на ризатриптан може да възникне, когато таблетките, диспергиращи се в устата, се прилагат след нахранване.</w:t>
      </w:r>
    </w:p>
    <w:p w14:paraId="1DED12B3" w14:textId="77777777" w:rsidR="00015BA1" w:rsidRDefault="00015BA1" w:rsidP="00015BA1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6A7BEF69" w14:textId="5EAC956B" w:rsidR="00015BA1" w:rsidRPr="00015BA1" w:rsidRDefault="00015BA1" w:rsidP="00015BA1">
      <w:pPr>
        <w:pStyle w:val="Heading3"/>
        <w:rPr>
          <w:rFonts w:eastAsia="Times New Roman"/>
          <w:u w:val="single"/>
          <w:lang w:eastAsia="bg-BG"/>
        </w:rPr>
      </w:pPr>
      <w:r w:rsidRPr="00015BA1">
        <w:rPr>
          <w:rFonts w:eastAsia="Times New Roman"/>
          <w:u w:val="single"/>
          <w:lang w:eastAsia="bg-BG"/>
        </w:rPr>
        <w:t>Разпределение</w:t>
      </w:r>
    </w:p>
    <w:p w14:paraId="2F9C82C3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Ризатриптан се свързва в минимална степен (14 %) с плазмените протеини. Обемът на разпределение е приблизително 140 литра при мъжете и 110 литра при жените.</w:t>
      </w:r>
    </w:p>
    <w:p w14:paraId="67811918" w14:textId="77777777" w:rsidR="00015BA1" w:rsidRDefault="00015BA1" w:rsidP="00015BA1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225130BC" w14:textId="132758A9" w:rsidR="00015BA1" w:rsidRPr="00015BA1" w:rsidRDefault="00015BA1" w:rsidP="00015BA1">
      <w:pPr>
        <w:pStyle w:val="Heading3"/>
        <w:rPr>
          <w:rFonts w:eastAsia="Times New Roman"/>
          <w:u w:val="single"/>
          <w:lang w:eastAsia="bg-BG"/>
        </w:rPr>
      </w:pPr>
      <w:r w:rsidRPr="00015BA1">
        <w:rPr>
          <w:rFonts w:eastAsia="Times New Roman"/>
          <w:u w:val="single"/>
          <w:lang w:eastAsia="bg-BG"/>
        </w:rPr>
        <w:lastRenderedPageBreak/>
        <w:t>Метаболизъм</w:t>
      </w:r>
    </w:p>
    <w:p w14:paraId="1FC75120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Основният път на метаболизъм на ризатриптан е чрез оксидативно дезаминиране от моноаминооксидаза-А (МАО-А) до метаболит на индолоцетната киселина, който не е фармакологично активен. </w:t>
      </w:r>
      <w:r w:rsidRPr="00015BA1">
        <w:rPr>
          <w:rFonts w:eastAsia="Times New Roman" w:cs="Arial"/>
          <w:color w:val="000000"/>
          <w:lang w:val="en-US"/>
        </w:rPr>
        <w:t>N</w:t>
      </w:r>
      <w:r w:rsidRPr="00015BA1">
        <w:rPr>
          <w:rFonts w:eastAsia="Times New Roman" w:cs="Arial"/>
          <w:color w:val="000000"/>
          <w:lang w:eastAsia="bg-BG"/>
        </w:rPr>
        <w:t xml:space="preserve">-монодеметил-ризатриптан, метаболит с активност върху </w:t>
      </w:r>
      <w:r w:rsidRPr="00015BA1">
        <w:rPr>
          <w:rFonts w:eastAsia="Times New Roman" w:cs="Arial"/>
          <w:smallCaps/>
          <w:color w:val="000000"/>
          <w:lang w:val="en-US"/>
        </w:rPr>
        <w:t>5-HT</w:t>
      </w:r>
      <w:r w:rsidRPr="00015BA1">
        <w:rPr>
          <w:rFonts w:eastAsia="Times New Roman" w:cs="Arial"/>
          <w:color w:val="000000"/>
          <w:vertAlign w:val="subscript"/>
          <w:lang w:eastAsia="bg-BG"/>
        </w:rPr>
        <w:t>1</w:t>
      </w:r>
      <w:r w:rsidRPr="00015BA1">
        <w:rPr>
          <w:rFonts w:eastAsia="Times New Roman" w:cs="Arial"/>
          <w:color w:val="000000"/>
          <w:vertAlign w:val="subscript"/>
          <w:lang w:val="en-US"/>
        </w:rPr>
        <w:t>B/1D</w:t>
      </w:r>
      <w:r w:rsidRPr="00015BA1">
        <w:rPr>
          <w:rFonts w:eastAsia="Times New Roman" w:cs="Arial"/>
          <w:smallCaps/>
          <w:color w:val="000000"/>
          <w:lang w:val="en-US"/>
        </w:rPr>
        <w:t xml:space="preserve"> </w:t>
      </w:r>
      <w:r w:rsidRPr="00015BA1">
        <w:rPr>
          <w:rFonts w:eastAsia="Times New Roman" w:cs="Arial"/>
          <w:color w:val="000000"/>
          <w:lang w:eastAsia="bg-BG"/>
        </w:rPr>
        <w:t xml:space="preserve">рецепторите, подобна на тази на изходното съединение, се образува в по-малка степен, но не допринася значимо за фармакодинамичната активност на ризатриптан. Плазмените концентрации на </w:t>
      </w:r>
      <w:r w:rsidRPr="00015BA1">
        <w:rPr>
          <w:rFonts w:eastAsia="Times New Roman" w:cs="Arial"/>
          <w:color w:val="000000"/>
          <w:lang w:val="en-US"/>
        </w:rPr>
        <w:t>N</w:t>
      </w:r>
      <w:r w:rsidRPr="00015BA1">
        <w:rPr>
          <w:rFonts w:eastAsia="Times New Roman" w:cs="Arial"/>
          <w:color w:val="000000"/>
          <w:lang w:eastAsia="bg-BG"/>
        </w:rPr>
        <w:t xml:space="preserve">-монодеметил-ризатриптан са приблизително 14 % от тези на изходното съединение, и той се елиминира с подобна скорост. Другите второстепенни метаболити включват </w:t>
      </w:r>
      <w:r w:rsidRPr="00015BA1">
        <w:rPr>
          <w:rFonts w:eastAsia="Times New Roman" w:cs="Arial"/>
          <w:color w:val="000000"/>
          <w:lang w:val="en-US"/>
        </w:rPr>
        <w:t>N</w:t>
      </w:r>
      <w:r w:rsidRPr="00015BA1">
        <w:rPr>
          <w:rFonts w:eastAsia="Times New Roman" w:cs="Arial"/>
          <w:color w:val="000000"/>
          <w:lang w:eastAsia="bg-BG"/>
        </w:rPr>
        <w:t xml:space="preserve">-оксид, 6-хидрокси съединение и сулфатния конюгат на 6-хидрокси метаболита. Никой от тези второстепенни метаболити не е фармакологично активен. След перорално приложение на </w:t>
      </w:r>
      <w:r w:rsidRPr="00015BA1">
        <w:rPr>
          <w:rFonts w:eastAsia="Times New Roman" w:cs="Arial"/>
          <w:color w:val="000000"/>
          <w:vertAlign w:val="superscript"/>
          <w:lang w:eastAsia="bg-BG"/>
        </w:rPr>
        <w:t>14</w:t>
      </w:r>
      <w:r w:rsidRPr="00015BA1">
        <w:rPr>
          <w:rFonts w:eastAsia="Times New Roman" w:cs="Arial"/>
          <w:color w:val="000000"/>
          <w:lang w:eastAsia="bg-BG"/>
        </w:rPr>
        <w:t>С-белязан ризатриптан около 17 % от циркулиращата радиоактивност в плазмата се пада на ризатриптан.</w:t>
      </w:r>
    </w:p>
    <w:p w14:paraId="15B9C781" w14:textId="77777777" w:rsidR="00015BA1" w:rsidRDefault="00015BA1" w:rsidP="00015BA1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3C7FEE46" w14:textId="16B0BFC6" w:rsidR="00015BA1" w:rsidRPr="00015BA1" w:rsidRDefault="00015BA1" w:rsidP="00015BA1">
      <w:pPr>
        <w:pStyle w:val="Heading3"/>
        <w:rPr>
          <w:rFonts w:eastAsia="Times New Roman"/>
          <w:u w:val="single"/>
          <w:lang w:eastAsia="bg-BG"/>
        </w:rPr>
      </w:pPr>
      <w:r w:rsidRPr="00015BA1">
        <w:rPr>
          <w:rFonts w:eastAsia="Times New Roman"/>
          <w:u w:val="single"/>
          <w:lang w:eastAsia="bg-BG"/>
        </w:rPr>
        <w:t>Елиминиране</w:t>
      </w:r>
    </w:p>
    <w:p w14:paraId="12E4CF5F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След интравенозно приложение, </w:t>
      </w:r>
      <w:r w:rsidRPr="00015BA1">
        <w:rPr>
          <w:rFonts w:eastAsia="Times New Roman" w:cs="Arial"/>
          <w:color w:val="000000"/>
          <w:lang w:val="en-US"/>
        </w:rPr>
        <w:t xml:space="preserve">AUC </w:t>
      </w:r>
      <w:r w:rsidRPr="00015BA1">
        <w:rPr>
          <w:rFonts w:eastAsia="Times New Roman" w:cs="Arial"/>
          <w:color w:val="000000"/>
          <w:lang w:eastAsia="bg-BG"/>
        </w:rPr>
        <w:t>при мъжете нараства пропорционално, а при жените почти пропорционално на дозата в дозова граница от 10 - 60 μ</w:t>
      </w:r>
      <w:r w:rsidRPr="00015BA1">
        <w:rPr>
          <w:rFonts w:eastAsia="Times New Roman" w:cs="Arial"/>
          <w:color w:val="000000"/>
          <w:lang w:val="en-US"/>
        </w:rPr>
        <w:t xml:space="preserve">g/kg. </w:t>
      </w:r>
      <w:r w:rsidRPr="00015BA1">
        <w:rPr>
          <w:rFonts w:eastAsia="Times New Roman" w:cs="Arial"/>
          <w:color w:val="000000"/>
          <w:lang w:eastAsia="bg-BG"/>
        </w:rPr>
        <w:t xml:space="preserve">След перорално приложение, </w:t>
      </w:r>
      <w:r w:rsidRPr="00015BA1">
        <w:rPr>
          <w:rFonts w:eastAsia="Times New Roman" w:cs="Arial"/>
          <w:color w:val="000000"/>
          <w:lang w:val="en-US"/>
        </w:rPr>
        <w:t xml:space="preserve">AUC </w:t>
      </w:r>
      <w:r w:rsidRPr="00015BA1">
        <w:rPr>
          <w:rFonts w:eastAsia="Times New Roman" w:cs="Arial"/>
          <w:color w:val="000000"/>
          <w:lang w:eastAsia="bg-BG"/>
        </w:rPr>
        <w:t xml:space="preserve">се увеличава почти пропорционално на дозата в дозова граница от 2,5 -10 </w:t>
      </w:r>
      <w:r w:rsidRPr="00015BA1">
        <w:rPr>
          <w:rFonts w:eastAsia="Times New Roman" w:cs="Arial"/>
          <w:color w:val="000000"/>
          <w:lang w:val="en-US"/>
        </w:rPr>
        <w:t xml:space="preserve">mg. </w:t>
      </w:r>
      <w:r w:rsidRPr="00015BA1">
        <w:rPr>
          <w:rFonts w:eastAsia="Times New Roman" w:cs="Arial"/>
          <w:color w:val="000000"/>
          <w:lang w:eastAsia="bg-BG"/>
        </w:rPr>
        <w:t xml:space="preserve">Плазменият полуживот на ризатриптан при мъже и жени е средно 2-3 часа. Плазменият клирънс на ризатриптан е средно около 1 000 - 1 500 </w:t>
      </w:r>
      <w:r w:rsidRPr="00015BA1">
        <w:rPr>
          <w:rFonts w:eastAsia="Times New Roman" w:cs="Arial"/>
          <w:color w:val="000000"/>
          <w:lang w:val="en-US"/>
        </w:rPr>
        <w:t xml:space="preserve">ml/min </w:t>
      </w:r>
      <w:r w:rsidRPr="00015BA1">
        <w:rPr>
          <w:rFonts w:eastAsia="Times New Roman" w:cs="Arial"/>
          <w:color w:val="000000"/>
          <w:lang w:eastAsia="bg-BG"/>
        </w:rPr>
        <w:t xml:space="preserve">при мъжете и около 900 - 1 100 </w:t>
      </w:r>
      <w:r w:rsidRPr="00015BA1">
        <w:rPr>
          <w:rFonts w:eastAsia="Times New Roman" w:cs="Arial"/>
          <w:color w:val="000000"/>
          <w:lang w:val="en-US"/>
        </w:rPr>
        <w:t xml:space="preserve">ml/min </w:t>
      </w:r>
      <w:r w:rsidRPr="00015BA1">
        <w:rPr>
          <w:rFonts w:eastAsia="Times New Roman" w:cs="Arial"/>
          <w:color w:val="000000"/>
          <w:lang w:eastAsia="bg-BG"/>
        </w:rPr>
        <w:t>при жените; около 20 - 30 % от него е бъбречния клирънс. След перорален прием на</w:t>
      </w:r>
      <w:r w:rsidRPr="00015BA1">
        <w:rPr>
          <w:rFonts w:eastAsia="Times New Roman" w:cs="Arial"/>
          <w:color w:val="000000"/>
          <w:vertAlign w:val="superscript"/>
          <w:lang w:eastAsia="bg-BG"/>
        </w:rPr>
        <w:t>14</w:t>
      </w:r>
      <w:r w:rsidRPr="00015BA1">
        <w:rPr>
          <w:rFonts w:eastAsia="Times New Roman" w:cs="Arial"/>
          <w:color w:val="000000"/>
          <w:lang w:eastAsia="bg-BG"/>
        </w:rPr>
        <w:t>С-белязан ризатриптан около 80% от радиоактивността се екскретира в урината, а около 10 % от дозата се екскретира във фекалиите. Това показва, че метаболитите се екскретират предимно през бъбреците.</w:t>
      </w:r>
    </w:p>
    <w:p w14:paraId="6EF41E1D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В съответствие със своя метаболизъм на първо преминаване, приблизително 14 % от пероралната доза се екскретира в урината като непроменен ризатриптан, а 51 % се екскретира като метаболит на индолоцетната киселина. Не повече от 1 % се екскретират в урината под формата на активен </w:t>
      </w:r>
      <w:r w:rsidRPr="00015BA1">
        <w:rPr>
          <w:rFonts w:eastAsia="Times New Roman" w:cs="Arial"/>
          <w:color w:val="000000"/>
          <w:lang w:val="en-US"/>
        </w:rPr>
        <w:t xml:space="preserve">N- </w:t>
      </w:r>
      <w:r w:rsidRPr="00015BA1">
        <w:rPr>
          <w:rFonts w:eastAsia="Times New Roman" w:cs="Arial"/>
          <w:color w:val="000000"/>
          <w:lang w:eastAsia="bg-BG"/>
        </w:rPr>
        <w:t>монодеметил метаболит.</w:t>
      </w:r>
    </w:p>
    <w:p w14:paraId="26343DFD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>Ако ризатриптан се прилага по схемата за максимална дозировка, не се наблюдава кумулиране на лекарството в плазмата от единия до другия ден.</w:t>
      </w:r>
    </w:p>
    <w:p w14:paraId="61871801" w14:textId="77777777" w:rsidR="00015BA1" w:rsidRPr="00BF17CB" w:rsidRDefault="00015BA1" w:rsidP="00015BA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D3AEBB3" w14:textId="13F9643C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u w:val="single"/>
          <w:lang w:eastAsia="bg-BG"/>
        </w:rPr>
        <w:t>Характеристики на пациентите</w:t>
      </w:r>
    </w:p>
    <w:p w14:paraId="1871153C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color w:val="000000"/>
          <w:lang w:eastAsia="bg-BG"/>
        </w:rPr>
        <w:t xml:space="preserve">Следните данни се основават на клиничните изпитвания с обикновените таблетки ризатриптан. </w:t>
      </w:r>
      <w:r w:rsidRPr="00015BA1">
        <w:rPr>
          <w:rFonts w:eastAsia="Times New Roman" w:cs="Arial"/>
          <w:i/>
          <w:iCs/>
          <w:color w:val="000000"/>
          <w:lang w:eastAsia="bg-BG"/>
        </w:rPr>
        <w:t>Пациенти с мигренозен пристъп:</w:t>
      </w:r>
      <w:r w:rsidRPr="00015BA1">
        <w:rPr>
          <w:rFonts w:eastAsia="Times New Roman" w:cs="Arial"/>
          <w:color w:val="000000"/>
          <w:lang w:eastAsia="bg-BG"/>
        </w:rPr>
        <w:t xml:space="preserve"> Мигренозният пристъп не повлиява фармакокинетиката на ризатриптан.</w:t>
      </w:r>
    </w:p>
    <w:p w14:paraId="45486528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Пол:</w:t>
      </w:r>
      <w:r w:rsidRPr="00015BA1">
        <w:rPr>
          <w:rFonts w:eastAsia="Times New Roman" w:cs="Arial"/>
          <w:color w:val="000000"/>
          <w:lang w:eastAsia="bg-BG"/>
        </w:rPr>
        <w:t xml:space="preserve"> </w:t>
      </w:r>
      <w:r w:rsidRPr="00015BA1">
        <w:rPr>
          <w:rFonts w:eastAsia="Times New Roman" w:cs="Arial"/>
          <w:color w:val="000000"/>
          <w:lang w:val="en-US"/>
        </w:rPr>
        <w:t xml:space="preserve">AUC </w:t>
      </w:r>
      <w:r w:rsidRPr="00015BA1">
        <w:rPr>
          <w:rFonts w:eastAsia="Times New Roman" w:cs="Arial"/>
          <w:color w:val="000000"/>
          <w:lang w:eastAsia="bg-BG"/>
        </w:rPr>
        <w:t xml:space="preserve">на ризатриптан (10 </w:t>
      </w:r>
      <w:r w:rsidRPr="00015BA1">
        <w:rPr>
          <w:rFonts w:eastAsia="Times New Roman" w:cs="Arial"/>
          <w:color w:val="000000"/>
          <w:lang w:val="en-US"/>
        </w:rPr>
        <w:t xml:space="preserve">mg </w:t>
      </w:r>
      <w:r w:rsidRPr="00015BA1">
        <w:rPr>
          <w:rFonts w:eastAsia="Times New Roman" w:cs="Arial"/>
          <w:color w:val="000000"/>
          <w:lang w:eastAsia="bg-BG"/>
        </w:rPr>
        <w:t>перорално) е около 25 % по-ниска при мъжете в сравнение с жените, С^ е с 11 % по-ниска, а се наблюдава приблизително по същото време. Тази очевидна фармакокинетична разлика няма клинично значение.</w:t>
      </w:r>
    </w:p>
    <w:p w14:paraId="055D7884" w14:textId="77777777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>Пациенти в старческа възраст:</w:t>
      </w:r>
      <w:r w:rsidRPr="00015BA1">
        <w:rPr>
          <w:rFonts w:eastAsia="Times New Roman" w:cs="Arial"/>
          <w:color w:val="000000"/>
          <w:lang w:eastAsia="bg-BG"/>
        </w:rPr>
        <w:t xml:space="preserve"> Плазмените концентрации на ризатриптан, наблюдавани при лица в старческа възраст (възрастова граница 65 до 77 години) след приложение на таблетка, са подобни на тези, наблюдавани при млади възрастни.</w:t>
      </w:r>
    </w:p>
    <w:p w14:paraId="07AE7A11" w14:textId="5808B1D1" w:rsidR="00015BA1" w:rsidRPr="00015BA1" w:rsidRDefault="00015BA1" w:rsidP="00015BA1">
      <w:pPr>
        <w:spacing w:line="240" w:lineRule="auto"/>
        <w:rPr>
          <w:rFonts w:eastAsia="Times New Roman" w:cs="Arial"/>
          <w:lang w:eastAsia="bg-BG"/>
        </w:rPr>
      </w:pPr>
      <w:r w:rsidRPr="00015BA1">
        <w:rPr>
          <w:rFonts w:eastAsia="Times New Roman" w:cs="Arial"/>
          <w:i/>
          <w:iCs/>
          <w:color w:val="000000"/>
          <w:lang w:eastAsia="bg-BG"/>
        </w:rPr>
        <w:t xml:space="preserve">Чернодробно увреждане (точки </w:t>
      </w:r>
      <w:r w:rsidRPr="00015BA1">
        <w:rPr>
          <w:rFonts w:eastAsia="Times New Roman" w:cs="Arial"/>
          <w:i/>
          <w:iCs/>
          <w:color w:val="000000"/>
          <w:lang w:val="en-US"/>
        </w:rPr>
        <w:t xml:space="preserve">no Child-Pugh </w:t>
      </w:r>
      <w:r w:rsidRPr="00015BA1">
        <w:rPr>
          <w:rFonts w:eastAsia="Times New Roman" w:cs="Arial"/>
          <w:i/>
          <w:iCs/>
          <w:color w:val="000000"/>
          <w:lang w:eastAsia="bg-BG"/>
        </w:rPr>
        <w:t>5-6):</w:t>
      </w:r>
      <w:r w:rsidRPr="00015BA1">
        <w:rPr>
          <w:rFonts w:eastAsia="Times New Roman" w:cs="Arial"/>
          <w:color w:val="000000"/>
          <w:lang w:eastAsia="bg-BG"/>
        </w:rPr>
        <w:t xml:space="preserve"> След перорално приложение на таблетката при пациенти с чернодробно увреждане, предизвикано от лека алкохолна цироза на черния дроб. плазмените концентрации на ризатриптан са подобни на тези, наблюдавани при млади мъже и жени. Значимо повишение на </w:t>
      </w:r>
      <w:r w:rsidRPr="00015BA1">
        <w:rPr>
          <w:rFonts w:eastAsia="Times New Roman" w:cs="Arial"/>
          <w:color w:val="000000"/>
          <w:lang w:val="en-US"/>
        </w:rPr>
        <w:t xml:space="preserve">AUC </w:t>
      </w:r>
      <w:r w:rsidRPr="00015BA1">
        <w:rPr>
          <w:rFonts w:eastAsia="Times New Roman" w:cs="Arial"/>
          <w:color w:val="000000"/>
          <w:lang w:eastAsia="bg-BG"/>
        </w:rPr>
        <w:t>(50 %) и С^ (25 %) е наблюдавано при пациенти с умерено</w:t>
      </w:r>
      <w:r w:rsidR="00BF17CB">
        <w:rPr>
          <w:rFonts w:eastAsia="Times New Roman" w:cs="Arial"/>
          <w:lang w:eastAsia="bg-BG"/>
        </w:rPr>
        <w:t xml:space="preserve"> </w:t>
      </w:r>
      <w:r w:rsidRPr="00015BA1">
        <w:rPr>
          <w:rFonts w:eastAsia="Times New Roman" w:cs="Arial"/>
          <w:color w:val="000000"/>
          <w:lang w:eastAsia="bg-BG"/>
        </w:rPr>
        <w:t xml:space="preserve">чернодробно увреждане (точки по </w:t>
      </w:r>
      <w:r w:rsidRPr="00015BA1">
        <w:rPr>
          <w:rFonts w:eastAsia="Times New Roman" w:cs="Arial"/>
          <w:color w:val="000000"/>
          <w:lang w:val="en-US"/>
        </w:rPr>
        <w:t xml:space="preserve">Child-Pugh </w:t>
      </w:r>
      <w:r w:rsidRPr="00015BA1">
        <w:rPr>
          <w:rFonts w:eastAsia="Times New Roman" w:cs="Arial"/>
          <w:color w:val="000000"/>
          <w:lang w:eastAsia="bg-BG"/>
        </w:rPr>
        <w:t xml:space="preserve">7). Фармакокинетиката не е изследвана при пациенти с точки по </w:t>
      </w:r>
      <w:r w:rsidRPr="00015BA1">
        <w:rPr>
          <w:rFonts w:eastAsia="Times New Roman" w:cs="Arial"/>
          <w:color w:val="000000"/>
          <w:lang w:val="en-US"/>
        </w:rPr>
        <w:t xml:space="preserve">Child-Pugh </w:t>
      </w:r>
      <w:r w:rsidRPr="00015BA1">
        <w:rPr>
          <w:rFonts w:eastAsia="Times New Roman" w:cs="Arial"/>
          <w:color w:val="000000"/>
          <w:lang w:eastAsia="bg-BG"/>
        </w:rPr>
        <w:t>&gt;7 (тежко чернодробно увреждане).</w:t>
      </w:r>
    </w:p>
    <w:p w14:paraId="60772D6D" w14:textId="5E5502CD" w:rsidR="00015BA1" w:rsidRPr="00BF17CB" w:rsidRDefault="00015BA1" w:rsidP="00BF17CB">
      <w:pPr>
        <w:rPr>
          <w:rFonts w:eastAsia="Times New Roman" w:cs="Arial"/>
          <w:lang w:eastAsia="bg-BG"/>
        </w:rPr>
      </w:pPr>
      <w:r w:rsidRPr="00BF17CB">
        <w:rPr>
          <w:rFonts w:eastAsia="Times New Roman" w:cs="Arial"/>
          <w:i/>
          <w:iCs/>
          <w:color w:val="000000"/>
          <w:lang w:eastAsia="bg-BG"/>
        </w:rPr>
        <w:t>Бъбречно увреждане:</w:t>
      </w:r>
      <w:r w:rsidRPr="00BF17CB">
        <w:rPr>
          <w:rFonts w:eastAsia="Times New Roman" w:cs="Arial"/>
          <w:color w:val="000000"/>
          <w:lang w:eastAsia="bg-BG"/>
        </w:rPr>
        <w:t xml:space="preserve"> При пациенти с бъбречно увреждане (креатининов клирънс  10-60 </w:t>
      </w:r>
      <w:r w:rsidRPr="00BF17CB">
        <w:rPr>
          <w:rFonts w:eastAsia="Times New Roman" w:cs="Arial"/>
          <w:color w:val="000000"/>
          <w:lang w:val="en-US"/>
        </w:rPr>
        <w:t>ml/min/</w:t>
      </w:r>
      <w:r w:rsidRPr="00BF17CB">
        <w:rPr>
          <w:rFonts w:eastAsia="Times New Roman" w:cs="Arial"/>
          <w:color w:val="000000"/>
          <w:lang w:eastAsia="bg-BG"/>
        </w:rPr>
        <w:t xml:space="preserve">1,73 </w:t>
      </w:r>
      <w:r w:rsidRPr="00BF17CB">
        <w:rPr>
          <w:rFonts w:eastAsia="Times New Roman" w:cs="Arial"/>
          <w:color w:val="000000"/>
          <w:lang w:val="en-US"/>
        </w:rPr>
        <w:t>m</w:t>
      </w:r>
      <w:r w:rsidRPr="00BF17CB">
        <w:rPr>
          <w:rFonts w:eastAsia="Times New Roman" w:cs="Arial"/>
          <w:color w:val="000000"/>
          <w:vertAlign w:val="superscript"/>
          <w:lang w:val="en-US"/>
        </w:rPr>
        <w:t>2</w:t>
      </w:r>
      <w:r w:rsidRPr="00BF17CB">
        <w:rPr>
          <w:rFonts w:eastAsia="Times New Roman" w:cs="Arial"/>
          <w:color w:val="000000"/>
          <w:lang w:val="en-US"/>
        </w:rPr>
        <w:t xml:space="preserve">) AUC </w:t>
      </w:r>
      <w:r w:rsidRPr="00BF17CB">
        <w:rPr>
          <w:rFonts w:eastAsia="Times New Roman" w:cs="Arial"/>
          <w:color w:val="000000"/>
          <w:lang w:eastAsia="bg-BG"/>
        </w:rPr>
        <w:t>на ризатриптан след приложение на таблетката не се различава значимо</w:t>
      </w:r>
      <w:r w:rsidR="00BF17CB" w:rsidRPr="00BF17CB">
        <w:rPr>
          <w:rFonts w:eastAsia="Times New Roman" w:cs="Arial"/>
          <w:color w:val="000000"/>
          <w:lang w:eastAsia="bg-BG"/>
        </w:rPr>
        <w:t xml:space="preserve"> от тази при здрави индивиди. При пациенти на хемодиализа (креатининов </w:t>
      </w:r>
      <w:r w:rsidR="00BF17CB" w:rsidRPr="00BF17CB">
        <w:rPr>
          <w:rFonts w:eastAsia="Times New Roman" w:cs="Arial"/>
          <w:color w:val="000000"/>
          <w:lang w:eastAsia="bg-BG"/>
        </w:rPr>
        <w:lastRenderedPageBreak/>
        <w:t>клирънс</w:t>
      </w:r>
      <w:r w:rsidR="00BF17CB">
        <w:rPr>
          <w:rFonts w:eastAsia="Times New Roman" w:cs="Arial"/>
          <w:lang w:eastAsia="bg-BG"/>
        </w:rPr>
        <w:t xml:space="preserve"> </w:t>
      </w:r>
      <w:r w:rsidR="00BF17CB" w:rsidRPr="00BF17CB">
        <w:rPr>
          <w:rFonts w:eastAsia="Times New Roman" w:cs="Arial"/>
          <w:color w:val="000000"/>
          <w:lang w:eastAsia="bg-BG"/>
        </w:rPr>
        <w:t>&lt;</w:t>
      </w:r>
      <w:r w:rsidR="00BF17CB">
        <w:rPr>
          <w:rFonts w:eastAsia="Times New Roman" w:cs="Arial"/>
          <w:color w:val="000000"/>
          <w:lang w:eastAsia="bg-BG"/>
        </w:rPr>
        <w:t xml:space="preserve"> </w:t>
      </w:r>
      <w:r w:rsidR="00BF17CB" w:rsidRPr="00BF17CB">
        <w:rPr>
          <w:rFonts w:eastAsia="Times New Roman" w:cs="Arial"/>
          <w:color w:val="000000"/>
          <w:lang w:eastAsia="bg-BG"/>
        </w:rPr>
        <w:t xml:space="preserve">10 </w:t>
      </w:r>
      <w:r w:rsidR="00BF17CB" w:rsidRPr="00BF17CB">
        <w:rPr>
          <w:rFonts w:eastAsia="Times New Roman" w:cs="Arial"/>
          <w:color w:val="000000"/>
          <w:lang w:val="en-US"/>
        </w:rPr>
        <w:t>ml/min/1,73 m</w:t>
      </w:r>
      <w:r w:rsidR="00BF17CB" w:rsidRPr="00BF17CB">
        <w:rPr>
          <w:rFonts w:eastAsia="Times New Roman" w:cs="Arial"/>
          <w:color w:val="000000"/>
          <w:vertAlign w:val="superscript"/>
          <w:lang w:val="en-US"/>
        </w:rPr>
        <w:t>2</w:t>
      </w:r>
      <w:r w:rsidR="00BF17CB" w:rsidRPr="00BF17CB">
        <w:rPr>
          <w:rFonts w:eastAsia="Times New Roman" w:cs="Arial"/>
          <w:color w:val="000000"/>
          <w:lang w:val="en-US"/>
        </w:rPr>
        <w:t xml:space="preserve">), AUC </w:t>
      </w:r>
      <w:r w:rsidR="00BF17CB" w:rsidRPr="00BF17CB">
        <w:rPr>
          <w:rFonts w:eastAsia="Times New Roman" w:cs="Arial"/>
          <w:color w:val="000000"/>
          <w:lang w:eastAsia="bg-BG"/>
        </w:rPr>
        <w:t>на ризатриптан е приблизително с 44 % по-голяма от тази при пациенти с нормална бъбречна функция. Максималната плазмена концентрация на ризатриптан при пациенти с всички степени на бъбречно увреждане е подобна на тази при здрави лица.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13A7B62A" w14:textId="248CFB41" w:rsidR="007A2185" w:rsidRPr="00BF17CB" w:rsidRDefault="00BF17CB" w:rsidP="0091385D">
      <w:pPr>
        <w:rPr>
          <w:rFonts w:cs="Arial"/>
        </w:rPr>
      </w:pPr>
      <w:r w:rsidRPr="00BF17CB">
        <w:rPr>
          <w:rFonts w:cs="Arial"/>
        </w:rPr>
        <w:t>Неклиничните данни не показват специален риск при хората въз основа на конвенционалните изпитвания за фармакология на безопасността, токсичността при многократно приложение, генотоксичността, канцерогенния потенциал, токсичността на репродукцията и развитието.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339590C3" w14:textId="77777777" w:rsidR="00BF17CB" w:rsidRPr="00BF17CB" w:rsidRDefault="00BF17CB" w:rsidP="00BF17CB">
      <w:pPr>
        <w:spacing w:line="240" w:lineRule="auto"/>
        <w:rPr>
          <w:rFonts w:eastAsia="Times New Roman" w:cs="Arial"/>
          <w:lang w:val="en-US" w:eastAsia="bg-BG"/>
        </w:rPr>
      </w:pPr>
      <w:r w:rsidRPr="00BF17CB">
        <w:rPr>
          <w:rFonts w:eastAsia="Times New Roman" w:cs="Arial"/>
          <w:color w:val="000000"/>
          <w:lang w:val="en-US"/>
        </w:rPr>
        <w:t xml:space="preserve">Actavis Group PTC </w:t>
      </w:r>
      <w:proofErr w:type="spellStart"/>
      <w:proofErr w:type="gramStart"/>
      <w:r w:rsidRPr="00BF17CB">
        <w:rPr>
          <w:rFonts w:eastAsia="Times New Roman" w:cs="Arial"/>
          <w:color w:val="000000"/>
          <w:lang w:val="en-US"/>
        </w:rPr>
        <w:t>ehf</w:t>
      </w:r>
      <w:proofErr w:type="spellEnd"/>
      <w:proofErr w:type="gramEnd"/>
      <w:r w:rsidRPr="00BF17CB">
        <w:rPr>
          <w:rFonts w:eastAsia="Times New Roman" w:cs="Arial"/>
          <w:color w:val="000000"/>
          <w:lang w:val="en-US"/>
        </w:rPr>
        <w:t>.</w:t>
      </w:r>
    </w:p>
    <w:p w14:paraId="4F02909F" w14:textId="147A77A5" w:rsidR="007A2185" w:rsidRPr="00BF17CB" w:rsidRDefault="00BF17CB" w:rsidP="00BF17CB">
      <w:pPr>
        <w:rPr>
          <w:rFonts w:eastAsia="Times New Roman" w:cs="Arial"/>
          <w:color w:val="000000"/>
          <w:lang w:val="en-US"/>
        </w:rPr>
      </w:pPr>
      <w:proofErr w:type="spellStart"/>
      <w:r w:rsidRPr="00BF17CB">
        <w:rPr>
          <w:rFonts w:eastAsia="Times New Roman" w:cs="Arial"/>
          <w:color w:val="000000"/>
          <w:lang w:val="en-US"/>
        </w:rPr>
        <w:t>Reykjavikurvegi</w:t>
      </w:r>
      <w:proofErr w:type="spellEnd"/>
      <w:r w:rsidRPr="00BF17CB">
        <w:rPr>
          <w:rFonts w:eastAsia="Times New Roman" w:cs="Arial"/>
          <w:color w:val="000000"/>
          <w:lang w:val="en-US"/>
        </w:rPr>
        <w:t xml:space="preserve"> 76-78</w:t>
      </w:r>
    </w:p>
    <w:p w14:paraId="50638455" w14:textId="77777777" w:rsidR="00BF17CB" w:rsidRPr="00BF17CB" w:rsidRDefault="00BF17CB" w:rsidP="00BF17CB">
      <w:pPr>
        <w:spacing w:line="240" w:lineRule="auto"/>
        <w:rPr>
          <w:rFonts w:eastAsia="Times New Roman" w:cs="Arial"/>
          <w:lang w:eastAsia="bg-BG"/>
        </w:rPr>
      </w:pPr>
      <w:r w:rsidRPr="00BF17CB">
        <w:rPr>
          <w:rFonts w:eastAsia="Times New Roman" w:cs="Arial"/>
          <w:color w:val="000000"/>
          <w:lang w:eastAsia="bg-BG"/>
        </w:rPr>
        <w:t>220 Hafnarfjörður</w:t>
      </w:r>
    </w:p>
    <w:p w14:paraId="394CA75E" w14:textId="14D89702" w:rsidR="00BF17CB" w:rsidRPr="00BF17CB" w:rsidRDefault="00BF17CB" w:rsidP="00BF17CB">
      <w:pPr>
        <w:rPr>
          <w:rFonts w:cs="Arial"/>
        </w:rPr>
      </w:pPr>
      <w:r w:rsidRPr="00BF17CB">
        <w:rPr>
          <w:rFonts w:eastAsia="Times New Roman" w:cs="Arial"/>
          <w:color w:val="000000"/>
          <w:lang w:eastAsia="bg-BG"/>
        </w:rPr>
        <w:t>Исландия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40E55946" w:rsidR="007A2185" w:rsidRPr="00BF17CB" w:rsidRDefault="00BF17CB" w:rsidP="0091385D">
      <w:pPr>
        <w:rPr>
          <w:rFonts w:cs="Arial"/>
        </w:rPr>
      </w:pPr>
      <w:r w:rsidRPr="00BF17CB">
        <w:rPr>
          <w:rFonts w:cs="Arial"/>
        </w:rPr>
        <w:t>Рег. №20110625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6C57D8B6" w14:textId="7F112F89" w:rsidR="007A2185" w:rsidRPr="00BF17CB" w:rsidRDefault="00BF17CB" w:rsidP="0091385D">
      <w:pPr>
        <w:rPr>
          <w:rFonts w:cs="Arial"/>
        </w:rPr>
      </w:pPr>
      <w:r w:rsidRPr="00BF17CB">
        <w:rPr>
          <w:rFonts w:cs="Arial"/>
        </w:rPr>
        <w:t>24.10.2011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4CF0A6D7" w:rsidR="007A2185" w:rsidRPr="00BF17CB" w:rsidRDefault="00BF17CB" w:rsidP="0091385D">
      <w:pPr>
        <w:rPr>
          <w:rFonts w:cs="Arial"/>
        </w:rPr>
      </w:pPr>
      <w:r w:rsidRPr="00BF17CB">
        <w:rPr>
          <w:rFonts w:cs="Arial"/>
        </w:rPr>
        <w:t>Септември 2014 г.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022FF"/>
    <w:multiLevelType w:val="hybridMultilevel"/>
    <w:tmpl w:val="A22ABE94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C2AA1"/>
    <w:multiLevelType w:val="hybridMultilevel"/>
    <w:tmpl w:val="18F26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31"/>
  </w:num>
  <w:num w:numId="12">
    <w:abstractNumId w:val="14"/>
  </w:num>
  <w:num w:numId="13">
    <w:abstractNumId w:val="19"/>
  </w:num>
  <w:num w:numId="14">
    <w:abstractNumId w:val="11"/>
  </w:num>
  <w:num w:numId="15">
    <w:abstractNumId w:val="30"/>
  </w:num>
  <w:num w:numId="16">
    <w:abstractNumId w:val="9"/>
  </w:num>
  <w:num w:numId="17">
    <w:abstractNumId w:val="24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8"/>
  </w:num>
  <w:num w:numId="25">
    <w:abstractNumId w:val="22"/>
  </w:num>
  <w:num w:numId="26">
    <w:abstractNumId w:val="21"/>
  </w:num>
  <w:num w:numId="27">
    <w:abstractNumId w:val="32"/>
  </w:num>
  <w:num w:numId="28">
    <w:abstractNumId w:val="6"/>
  </w:num>
  <w:num w:numId="29">
    <w:abstractNumId w:val="20"/>
  </w:num>
  <w:num w:numId="30">
    <w:abstractNumId w:val="36"/>
  </w:num>
  <w:num w:numId="31">
    <w:abstractNumId w:val="5"/>
  </w:num>
  <w:num w:numId="32">
    <w:abstractNumId w:val="34"/>
  </w:num>
  <w:num w:numId="33">
    <w:abstractNumId w:val="29"/>
  </w:num>
  <w:num w:numId="34">
    <w:abstractNumId w:val="33"/>
  </w:num>
  <w:num w:numId="35">
    <w:abstractNumId w:val="13"/>
  </w:num>
  <w:num w:numId="36">
    <w:abstractNumId w:val="3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15BA1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17CB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3889</Words>
  <Characters>22170</Characters>
  <Application>Microsoft Office Word</Application>
  <DocSecurity>0</DocSecurity>
  <Lines>184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2023-04-04T23:30:00Z</dcterms:created>
  <dcterms:modified xsi:type="dcterms:W3CDTF">2023-04-04T23:30:00Z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