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79516554" w14:textId="2C771B5E" w:rsidR="00DB32D3" w:rsidRDefault="00DD466D" w:rsidP="005726E3">
      <w:pPr>
        <w:pStyle w:val="Heading1"/>
      </w:pPr>
      <w:r>
        <w:t>1.ИМЕ НА ЛЕКАРСТВЕНИЯ ПРОДУКТ</w:t>
      </w:r>
    </w:p>
    <w:p w14:paraId="7061AFC6" w14:textId="6EA13BD5" w:rsidR="000E084A" w:rsidRDefault="000E084A" w:rsidP="000E084A"/>
    <w:p w14:paraId="6D9A3225" w14:textId="77777777" w:rsidR="000E084A" w:rsidRPr="000E084A" w:rsidRDefault="000E084A" w:rsidP="000E084A">
      <w:pPr>
        <w:rPr>
          <w:sz w:val="24"/>
          <w:szCs w:val="24"/>
          <w:lang w:val="ru-RU"/>
        </w:rPr>
      </w:pPr>
      <w:proofErr w:type="spellStart"/>
      <w:r w:rsidRPr="000E084A">
        <w:rPr>
          <w:lang w:eastAsia="bg-BG"/>
        </w:rPr>
        <w:t>Ромазик</w:t>
      </w:r>
      <w:proofErr w:type="spellEnd"/>
      <w:r w:rsidRPr="000E084A">
        <w:rPr>
          <w:lang w:eastAsia="bg-BG"/>
        </w:rPr>
        <w:t xml:space="preserve"> 15 </w:t>
      </w:r>
      <w:r w:rsidRPr="000E084A">
        <w:rPr>
          <w:lang w:val="en-US"/>
        </w:rPr>
        <w:t>mg</w:t>
      </w:r>
      <w:r w:rsidRPr="000E084A">
        <w:rPr>
          <w:lang w:val="ru-RU"/>
        </w:rPr>
        <w:t xml:space="preserve"> </w:t>
      </w:r>
      <w:r w:rsidRPr="000E084A">
        <w:rPr>
          <w:lang w:eastAsia="bg-BG"/>
        </w:rPr>
        <w:t>филмирани таблетки</w:t>
      </w:r>
    </w:p>
    <w:p w14:paraId="4F829E31" w14:textId="77777777" w:rsidR="000E084A" w:rsidRPr="000E084A" w:rsidRDefault="000E084A" w:rsidP="000E084A">
      <w:pPr>
        <w:rPr>
          <w:sz w:val="24"/>
          <w:szCs w:val="24"/>
          <w:lang w:val="ru-RU"/>
        </w:rPr>
      </w:pPr>
      <w:proofErr w:type="spellStart"/>
      <w:r w:rsidRPr="000E084A">
        <w:rPr>
          <w:lang w:eastAsia="bg-BG"/>
        </w:rPr>
        <w:t>Ромазик</w:t>
      </w:r>
      <w:proofErr w:type="spellEnd"/>
      <w:r w:rsidRPr="000E084A">
        <w:rPr>
          <w:lang w:eastAsia="bg-BG"/>
        </w:rPr>
        <w:t xml:space="preserve"> 30 </w:t>
      </w:r>
      <w:r w:rsidRPr="000E084A">
        <w:rPr>
          <w:lang w:val="en-US"/>
        </w:rPr>
        <w:t>mg</w:t>
      </w:r>
      <w:r w:rsidRPr="000E084A">
        <w:rPr>
          <w:lang w:val="ru-RU"/>
        </w:rPr>
        <w:t xml:space="preserve"> </w:t>
      </w:r>
      <w:r w:rsidRPr="000E084A">
        <w:rPr>
          <w:lang w:eastAsia="bg-BG"/>
        </w:rPr>
        <w:t>филмирани таблетки</w:t>
      </w:r>
    </w:p>
    <w:p w14:paraId="0C314B51" w14:textId="77777777" w:rsidR="000E084A" w:rsidRPr="00692BD9" w:rsidRDefault="000E084A" w:rsidP="000E084A">
      <w:pPr>
        <w:rPr>
          <w:lang w:val="ru-RU"/>
        </w:rPr>
      </w:pPr>
    </w:p>
    <w:p w14:paraId="60FB953E" w14:textId="48E17423" w:rsidR="000E084A" w:rsidRPr="000E084A" w:rsidRDefault="000E084A" w:rsidP="000E084A">
      <w:pPr>
        <w:rPr>
          <w:sz w:val="24"/>
          <w:szCs w:val="24"/>
          <w:lang w:val="en-US"/>
        </w:rPr>
      </w:pPr>
      <w:proofErr w:type="spellStart"/>
      <w:r w:rsidRPr="000E084A">
        <w:rPr>
          <w:lang w:val="en-US"/>
        </w:rPr>
        <w:t>Romazic</w:t>
      </w:r>
      <w:proofErr w:type="spellEnd"/>
      <w:r w:rsidRPr="000E084A">
        <w:rPr>
          <w:lang w:val="en-US"/>
        </w:rPr>
        <w:t xml:space="preserve"> </w:t>
      </w:r>
      <w:r w:rsidRPr="000E084A">
        <w:rPr>
          <w:lang w:eastAsia="bg-BG"/>
        </w:rPr>
        <w:t xml:space="preserve">15 </w:t>
      </w:r>
      <w:r w:rsidRPr="000E084A">
        <w:rPr>
          <w:lang w:val="en-US"/>
        </w:rPr>
        <w:t>mg film-coated tablets</w:t>
      </w:r>
    </w:p>
    <w:p w14:paraId="3293308B" w14:textId="3306E3AF" w:rsidR="000E084A" w:rsidRDefault="000E084A" w:rsidP="000E084A">
      <w:pPr>
        <w:rPr>
          <w:lang w:val="en-US"/>
        </w:rPr>
      </w:pPr>
      <w:proofErr w:type="spellStart"/>
      <w:r w:rsidRPr="000E084A">
        <w:rPr>
          <w:lang w:val="en-US"/>
        </w:rPr>
        <w:t>Romazic</w:t>
      </w:r>
      <w:proofErr w:type="spellEnd"/>
      <w:r w:rsidRPr="000E084A">
        <w:rPr>
          <w:lang w:val="en-US"/>
        </w:rPr>
        <w:t xml:space="preserve"> 30 mg film-coated tablets</w:t>
      </w:r>
    </w:p>
    <w:p w14:paraId="2A598180" w14:textId="77777777" w:rsidR="000E084A" w:rsidRPr="000E084A" w:rsidRDefault="000E084A" w:rsidP="000E084A">
      <w:pPr>
        <w:rPr>
          <w:lang w:val="en-US"/>
        </w:rPr>
      </w:pPr>
    </w:p>
    <w:p w14:paraId="48E6CABE" w14:textId="5A232BC8" w:rsidR="00DB32D3" w:rsidRDefault="00DD466D" w:rsidP="005726E3">
      <w:pPr>
        <w:pStyle w:val="Heading1"/>
      </w:pPr>
      <w:r>
        <w:t>2. КАЧЕСТВЕН И КОЛИЧЕСТВЕН СЪСТАВ</w:t>
      </w:r>
    </w:p>
    <w:p w14:paraId="12536AD4" w14:textId="25361252" w:rsidR="000E084A" w:rsidRDefault="000E084A" w:rsidP="000E084A"/>
    <w:p w14:paraId="7756550B" w14:textId="77777777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0E084A">
        <w:rPr>
          <w:rFonts w:eastAsia="Times New Roman" w:cs="Arial"/>
          <w:color w:val="000000"/>
          <w:lang w:eastAsia="bg-BG"/>
        </w:rPr>
        <w:t>Ромазик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15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филмирани таблетки: всяка таблетка съдържа 15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</w:rPr>
        <w:t xml:space="preserve">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</w:t>
      </w:r>
      <w:r w:rsidRPr="000E084A">
        <w:rPr>
          <w:rFonts w:eastAsia="Times New Roman" w:cs="Arial"/>
          <w:color w:val="000000"/>
        </w:rPr>
        <w:t>(</w:t>
      </w:r>
      <w:r w:rsidRPr="000E084A">
        <w:rPr>
          <w:rFonts w:eastAsia="Times New Roman" w:cs="Arial"/>
          <w:color w:val="000000"/>
          <w:lang w:val="en-US"/>
        </w:rPr>
        <w:t>rosuvastatin</w:t>
      </w:r>
      <w:r w:rsidRPr="000E084A">
        <w:rPr>
          <w:rFonts w:eastAsia="Times New Roman" w:cs="Arial"/>
          <w:color w:val="000000"/>
        </w:rPr>
        <w:t xml:space="preserve">), </w:t>
      </w:r>
      <w:r w:rsidRPr="000E084A">
        <w:rPr>
          <w:rFonts w:eastAsia="Times New Roman" w:cs="Arial"/>
          <w:color w:val="000000"/>
          <w:lang w:eastAsia="bg-BG"/>
        </w:rPr>
        <w:t xml:space="preserve">(като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калций), </w:t>
      </w:r>
      <w:r w:rsidRPr="000E084A">
        <w:rPr>
          <w:rFonts w:eastAsia="Times New Roman" w:cs="Arial"/>
          <w:color w:val="000000"/>
        </w:rPr>
        <w:t>(</w:t>
      </w:r>
      <w:r w:rsidRPr="000E084A">
        <w:rPr>
          <w:rFonts w:eastAsia="Times New Roman" w:cs="Arial"/>
          <w:color w:val="000000"/>
          <w:lang w:val="en-US"/>
        </w:rPr>
        <w:t>as</w:t>
      </w:r>
      <w:r w:rsidRPr="000E084A">
        <w:rPr>
          <w:rFonts w:eastAsia="Times New Roman" w:cs="Arial"/>
          <w:color w:val="000000"/>
        </w:rPr>
        <w:t xml:space="preserve"> </w:t>
      </w:r>
      <w:r w:rsidRPr="000E084A">
        <w:rPr>
          <w:rFonts w:eastAsia="Times New Roman" w:cs="Arial"/>
          <w:color w:val="000000"/>
          <w:lang w:val="en-US"/>
        </w:rPr>
        <w:t>rosuvastatin</w:t>
      </w:r>
      <w:r w:rsidRPr="000E084A">
        <w:rPr>
          <w:rFonts w:eastAsia="Times New Roman" w:cs="Arial"/>
          <w:color w:val="000000"/>
        </w:rPr>
        <w:t xml:space="preserve"> </w:t>
      </w:r>
      <w:r w:rsidRPr="000E084A">
        <w:rPr>
          <w:rFonts w:eastAsia="Times New Roman" w:cs="Arial"/>
          <w:color w:val="000000"/>
          <w:lang w:val="en-US"/>
        </w:rPr>
        <w:t>calcium</w:t>
      </w:r>
      <w:r w:rsidRPr="000E084A">
        <w:rPr>
          <w:rFonts w:eastAsia="Times New Roman" w:cs="Arial"/>
          <w:color w:val="000000"/>
        </w:rPr>
        <w:t>).</w:t>
      </w:r>
    </w:p>
    <w:p w14:paraId="46098912" w14:textId="77777777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0E084A">
        <w:rPr>
          <w:rFonts w:eastAsia="Times New Roman" w:cs="Arial"/>
          <w:color w:val="000000"/>
          <w:lang w:eastAsia="bg-BG"/>
        </w:rPr>
        <w:t>Ромазик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филмирани таблетки: всяка таблетка съдържа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</w:rPr>
        <w:t xml:space="preserve">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</w:t>
      </w:r>
      <w:r w:rsidRPr="000E084A">
        <w:rPr>
          <w:rFonts w:eastAsia="Times New Roman" w:cs="Arial"/>
          <w:color w:val="000000"/>
        </w:rPr>
        <w:t>(</w:t>
      </w:r>
      <w:r w:rsidRPr="000E084A">
        <w:rPr>
          <w:rFonts w:eastAsia="Times New Roman" w:cs="Arial"/>
          <w:color w:val="000000"/>
          <w:lang w:val="en-US"/>
        </w:rPr>
        <w:t>rosuvastatin</w:t>
      </w:r>
      <w:r w:rsidRPr="000E084A">
        <w:rPr>
          <w:rFonts w:eastAsia="Times New Roman" w:cs="Arial"/>
          <w:color w:val="000000"/>
        </w:rPr>
        <w:t xml:space="preserve">), </w:t>
      </w:r>
      <w:r w:rsidRPr="000E084A">
        <w:rPr>
          <w:rFonts w:eastAsia="Times New Roman" w:cs="Arial"/>
          <w:color w:val="000000"/>
          <w:lang w:eastAsia="bg-BG"/>
        </w:rPr>
        <w:t xml:space="preserve">(като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калций), </w:t>
      </w:r>
      <w:r w:rsidRPr="000E084A">
        <w:rPr>
          <w:rFonts w:eastAsia="Times New Roman" w:cs="Arial"/>
          <w:color w:val="000000"/>
        </w:rPr>
        <w:t>(</w:t>
      </w:r>
      <w:r w:rsidRPr="000E084A">
        <w:rPr>
          <w:rFonts w:eastAsia="Times New Roman" w:cs="Arial"/>
          <w:color w:val="000000"/>
          <w:lang w:val="en-US"/>
        </w:rPr>
        <w:t>as</w:t>
      </w:r>
      <w:r w:rsidRPr="000E084A">
        <w:rPr>
          <w:rFonts w:eastAsia="Times New Roman" w:cs="Arial"/>
          <w:color w:val="000000"/>
        </w:rPr>
        <w:t xml:space="preserve"> </w:t>
      </w:r>
      <w:r w:rsidRPr="000E084A">
        <w:rPr>
          <w:rFonts w:eastAsia="Times New Roman" w:cs="Arial"/>
          <w:color w:val="000000"/>
          <w:lang w:val="en-US"/>
        </w:rPr>
        <w:t>rosuvastatin</w:t>
      </w:r>
      <w:r w:rsidRPr="000E084A">
        <w:rPr>
          <w:rFonts w:eastAsia="Times New Roman" w:cs="Arial"/>
          <w:color w:val="000000"/>
        </w:rPr>
        <w:t xml:space="preserve"> </w:t>
      </w:r>
      <w:r w:rsidRPr="000E084A">
        <w:rPr>
          <w:rFonts w:eastAsia="Times New Roman" w:cs="Arial"/>
          <w:color w:val="000000"/>
          <w:lang w:val="en-US"/>
        </w:rPr>
        <w:t>calcium</w:t>
      </w:r>
      <w:r w:rsidRPr="000E084A">
        <w:rPr>
          <w:rFonts w:eastAsia="Times New Roman" w:cs="Arial"/>
          <w:color w:val="000000"/>
        </w:rPr>
        <w:t>).</w:t>
      </w:r>
    </w:p>
    <w:p w14:paraId="36E7CDDC" w14:textId="77777777" w:rsidR="000E084A" w:rsidRPr="00692BD9" w:rsidRDefault="000E084A" w:rsidP="000E084A">
      <w:pPr>
        <w:spacing w:line="240" w:lineRule="auto"/>
        <w:rPr>
          <w:rFonts w:eastAsia="Times New Roman" w:cs="Arial"/>
          <w:color w:val="000000"/>
        </w:rPr>
      </w:pPr>
    </w:p>
    <w:p w14:paraId="76DC5DF7" w14:textId="3ECF6F26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0E084A">
        <w:rPr>
          <w:rFonts w:eastAsia="Times New Roman" w:cs="Arial"/>
          <w:color w:val="000000"/>
          <w:lang w:val="en-US"/>
        </w:rPr>
        <w:t>Romazic</w:t>
      </w:r>
      <w:proofErr w:type="spellEnd"/>
      <w:r w:rsidRPr="000E084A">
        <w:rPr>
          <w:rFonts w:eastAsia="Times New Roman" w:cs="Arial"/>
          <w:color w:val="000000"/>
          <w:lang w:val="en-US"/>
        </w:rPr>
        <w:t xml:space="preserve"> 15 mg film-coated tablets:</w:t>
      </w:r>
    </w:p>
    <w:p w14:paraId="7F0DB22E" w14:textId="22F4778B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 xml:space="preserve">Помощно вещество </w:t>
      </w:r>
      <w:r w:rsidRPr="000E084A">
        <w:rPr>
          <w:rFonts w:eastAsia="Times New Roman" w:cs="Arial"/>
          <w:color w:val="000000"/>
          <w:u w:val="single"/>
          <w:lang w:val="en-US"/>
        </w:rPr>
        <w:t>c</w:t>
      </w:r>
      <w:r w:rsidRPr="000E084A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0E084A">
        <w:rPr>
          <w:rFonts w:eastAsia="Times New Roman" w:cs="Arial"/>
          <w:color w:val="000000"/>
          <w:u w:val="single"/>
          <w:lang w:eastAsia="bg-BG"/>
        </w:rPr>
        <w:t>известно действие:</w:t>
      </w:r>
      <w:r w:rsidRPr="000E084A">
        <w:rPr>
          <w:rFonts w:eastAsia="Times New Roman" w:cs="Arial"/>
          <w:color w:val="000000"/>
          <w:lang w:eastAsia="bg-BG"/>
        </w:rPr>
        <w:t xml:space="preserve"> лактоза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0E084A">
        <w:rPr>
          <w:rFonts w:eastAsia="Times New Roman" w:cs="Arial"/>
          <w:color w:val="000000"/>
          <w:lang w:eastAsia="bg-BG"/>
        </w:rPr>
        <w:t>.</w:t>
      </w:r>
    </w:p>
    <w:p w14:paraId="3FB5DC41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798CD1" w14:textId="39745A38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0E084A">
        <w:rPr>
          <w:rFonts w:eastAsia="Times New Roman" w:cs="Arial"/>
          <w:color w:val="000000"/>
          <w:lang w:eastAsia="bg-BG"/>
        </w:rPr>
        <w:t>Ромазик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филмирани таблетки:</w:t>
      </w:r>
    </w:p>
    <w:p w14:paraId="111BFC61" w14:textId="77777777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>Помощно вещество с известно действие:</w:t>
      </w:r>
      <w:r w:rsidRPr="000E084A">
        <w:rPr>
          <w:rFonts w:eastAsia="Times New Roman" w:cs="Arial"/>
          <w:color w:val="000000"/>
          <w:lang w:eastAsia="bg-BG"/>
        </w:rPr>
        <w:t xml:space="preserve"> лактоза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0E084A">
        <w:rPr>
          <w:rFonts w:eastAsia="Times New Roman" w:cs="Arial"/>
          <w:color w:val="000000"/>
          <w:lang w:eastAsia="bg-BG"/>
        </w:rPr>
        <w:t>.</w:t>
      </w:r>
    </w:p>
    <w:p w14:paraId="2A69D746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9ADCF88" w14:textId="179AD854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0E084A">
        <w:rPr>
          <w:rFonts w:eastAsia="Times New Roman" w:cs="Arial"/>
          <w:color w:val="000000"/>
          <w:lang w:eastAsia="bg-BG"/>
        </w:rPr>
        <w:t>Ромазик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15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филмирани таблетки: всяка таблетка съдържа 124,717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монохидрат</w:t>
      </w:r>
      <w:proofErr w:type="spellEnd"/>
    </w:p>
    <w:p w14:paraId="26699C52" w14:textId="046034BE" w:rsidR="000E084A" w:rsidRDefault="000E084A" w:rsidP="000E084A">
      <w:pPr>
        <w:rPr>
          <w:rFonts w:eastAsia="Times New Roman" w:cs="Arial"/>
          <w:color w:val="000000"/>
          <w:lang w:eastAsia="bg-BG"/>
        </w:rPr>
      </w:pPr>
      <w:proofErr w:type="spellStart"/>
      <w:r w:rsidRPr="000E084A">
        <w:rPr>
          <w:rFonts w:eastAsia="Times New Roman" w:cs="Arial"/>
          <w:color w:val="000000"/>
          <w:lang w:eastAsia="bg-BG"/>
        </w:rPr>
        <w:t>Ромазик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филмирани таблетки: всяка таблетка съдържа 249,435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монохидрат</w:t>
      </w:r>
      <w:proofErr w:type="spellEnd"/>
    </w:p>
    <w:p w14:paraId="79D409C1" w14:textId="77777777" w:rsidR="000E084A" w:rsidRPr="000E084A" w:rsidRDefault="000E084A" w:rsidP="000E084A">
      <w:pPr>
        <w:rPr>
          <w:rFonts w:cs="Arial"/>
        </w:rPr>
      </w:pPr>
    </w:p>
    <w:p w14:paraId="614984C4" w14:textId="69DE4F7A" w:rsidR="008A6AF2" w:rsidRDefault="00DD466D" w:rsidP="002C50EE">
      <w:pPr>
        <w:pStyle w:val="Heading1"/>
      </w:pPr>
      <w:r>
        <w:t>3. ЛЕКАРСТВЕНА ФОРМА</w:t>
      </w:r>
    </w:p>
    <w:p w14:paraId="109BE3B3" w14:textId="477AFE7A" w:rsidR="000E084A" w:rsidRDefault="000E084A" w:rsidP="000E084A"/>
    <w:p w14:paraId="43527CCA" w14:textId="77777777" w:rsidR="000E084A" w:rsidRPr="000E084A" w:rsidRDefault="000E084A" w:rsidP="000E084A">
      <w:pPr>
        <w:rPr>
          <w:sz w:val="24"/>
          <w:szCs w:val="24"/>
        </w:rPr>
      </w:pPr>
      <w:r w:rsidRPr="000E084A">
        <w:rPr>
          <w:lang w:eastAsia="bg-BG"/>
        </w:rPr>
        <w:t>Филмирана таблетка</w:t>
      </w:r>
    </w:p>
    <w:p w14:paraId="0EED16DA" w14:textId="77777777" w:rsidR="000E084A" w:rsidRDefault="000E084A" w:rsidP="000E084A">
      <w:pPr>
        <w:rPr>
          <w:lang w:eastAsia="bg-BG"/>
        </w:rPr>
      </w:pPr>
    </w:p>
    <w:p w14:paraId="4E8A23A7" w14:textId="6BDCC136" w:rsidR="000E084A" w:rsidRPr="000E084A" w:rsidRDefault="000E084A" w:rsidP="000E084A">
      <w:pPr>
        <w:rPr>
          <w:sz w:val="24"/>
          <w:szCs w:val="24"/>
        </w:rPr>
      </w:pPr>
      <w:proofErr w:type="spellStart"/>
      <w:r w:rsidRPr="000E084A">
        <w:rPr>
          <w:lang w:eastAsia="bg-BG"/>
        </w:rPr>
        <w:t>Ромазик</w:t>
      </w:r>
      <w:proofErr w:type="spellEnd"/>
      <w:r w:rsidRPr="000E084A">
        <w:rPr>
          <w:lang w:eastAsia="bg-BG"/>
        </w:rPr>
        <w:t xml:space="preserve"> 15 </w:t>
      </w:r>
      <w:r w:rsidRPr="000E084A">
        <w:rPr>
          <w:lang w:val="en-US"/>
        </w:rPr>
        <w:t>mg</w:t>
      </w:r>
      <w:r w:rsidRPr="000E084A">
        <w:rPr>
          <w:lang w:val="ru-RU"/>
        </w:rPr>
        <w:t xml:space="preserve"> </w:t>
      </w:r>
      <w:r w:rsidRPr="000E084A">
        <w:rPr>
          <w:lang w:eastAsia="bg-BG"/>
        </w:rPr>
        <w:t>филмирани таблетки: бели или почти бели, продълговати и двойноизпъкнали филмирани таблетки, гравирани с ”15” от едната страна.</w:t>
      </w:r>
    </w:p>
    <w:p w14:paraId="2486A871" w14:textId="77777777" w:rsidR="000E084A" w:rsidRPr="000E084A" w:rsidRDefault="000E084A" w:rsidP="000E084A">
      <w:pPr>
        <w:rPr>
          <w:sz w:val="24"/>
          <w:szCs w:val="24"/>
        </w:rPr>
      </w:pPr>
      <w:proofErr w:type="spellStart"/>
      <w:r w:rsidRPr="000E084A">
        <w:rPr>
          <w:lang w:eastAsia="bg-BG"/>
        </w:rPr>
        <w:t>Ромазик</w:t>
      </w:r>
      <w:proofErr w:type="spellEnd"/>
      <w:r w:rsidRPr="000E084A">
        <w:rPr>
          <w:lang w:eastAsia="bg-BG"/>
        </w:rPr>
        <w:t xml:space="preserve"> 30 </w:t>
      </w:r>
      <w:r w:rsidRPr="000E084A">
        <w:rPr>
          <w:lang w:val="en-US"/>
        </w:rPr>
        <w:t>mg</w:t>
      </w:r>
      <w:r w:rsidRPr="000E084A">
        <w:rPr>
          <w:lang w:val="ru-RU"/>
        </w:rPr>
        <w:t xml:space="preserve"> </w:t>
      </w:r>
      <w:r w:rsidRPr="000E084A">
        <w:rPr>
          <w:lang w:eastAsia="bg-BG"/>
        </w:rPr>
        <w:t>филмирани таблетки: бели или почти бели, продълговати и двойноизпъкнали филмирани таблетки, гравирани с ”30” от едната страна и с делителна черта от другата.</w:t>
      </w:r>
    </w:p>
    <w:p w14:paraId="54816DDA" w14:textId="54696F39" w:rsidR="000E084A" w:rsidRPr="000E084A" w:rsidRDefault="000E084A" w:rsidP="000E084A">
      <w:r w:rsidRPr="000E084A">
        <w:rPr>
          <w:lang w:eastAsia="bg-BG"/>
        </w:rPr>
        <w:t>Таблетката може да бъде разделена на равни дози.</w:t>
      </w:r>
    </w:p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0771830A" w14:textId="62BD7B5C" w:rsidR="00DB32D3" w:rsidRDefault="002C50EE" w:rsidP="000E084A">
      <w:pPr>
        <w:pStyle w:val="Heading2"/>
        <w:tabs>
          <w:tab w:val="left" w:pos="3994"/>
        </w:tabs>
      </w:pPr>
      <w:r>
        <w:t>4.1. Терапевтични показания</w:t>
      </w:r>
      <w:r w:rsidR="000E084A">
        <w:tab/>
      </w:r>
    </w:p>
    <w:p w14:paraId="1A326C7D" w14:textId="1B78B8C0" w:rsidR="000E084A" w:rsidRDefault="000E084A" w:rsidP="000E084A"/>
    <w:p w14:paraId="362D704F" w14:textId="77777777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 xml:space="preserve">Лечение на </w:t>
      </w:r>
      <w:proofErr w:type="spellStart"/>
      <w:r w:rsidRPr="000E084A">
        <w:rPr>
          <w:rFonts w:eastAsia="Times New Roman" w:cs="Arial"/>
          <w:color w:val="000000"/>
          <w:u w:val="single"/>
          <w:lang w:eastAsia="bg-BG"/>
        </w:rPr>
        <w:t>хиперхолестеролемия</w:t>
      </w:r>
      <w:proofErr w:type="spellEnd"/>
    </w:p>
    <w:p w14:paraId="083A66D6" w14:textId="77777777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r w:rsidRPr="000E084A">
        <w:rPr>
          <w:rFonts w:eastAsia="Times New Roman" w:cs="Arial"/>
          <w:color w:val="000000"/>
          <w:lang w:eastAsia="bg-BG"/>
        </w:rPr>
        <w:lastRenderedPageBreak/>
        <w:t xml:space="preserve">Възрастни, младежи и деца на или над 6-годишна възраст с първична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(тип </w:t>
      </w:r>
      <w:r w:rsidRPr="000E084A">
        <w:rPr>
          <w:rFonts w:eastAsia="Times New Roman" w:cs="Arial"/>
          <w:color w:val="000000"/>
          <w:lang w:val="en-US"/>
        </w:rPr>
        <w:t>II</w:t>
      </w:r>
      <w:r w:rsidRPr="000E084A">
        <w:rPr>
          <w:rFonts w:eastAsia="Times New Roman" w:cs="Arial"/>
          <w:color w:val="000000"/>
          <w:lang w:eastAsia="bg-BG"/>
        </w:rPr>
        <w:t xml:space="preserve">а) или смесена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дислипидемия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(тип </w:t>
      </w:r>
      <w:r w:rsidRPr="000E084A">
        <w:rPr>
          <w:rFonts w:eastAsia="Times New Roman" w:cs="Arial"/>
          <w:color w:val="000000"/>
          <w:lang w:val="en-US"/>
        </w:rPr>
        <w:t>IIb</w:t>
      </w:r>
      <w:r w:rsidRPr="000E084A">
        <w:rPr>
          <w:rFonts w:eastAsia="Times New Roman" w:cs="Arial"/>
          <w:color w:val="000000"/>
          <w:lang w:eastAsia="bg-BG"/>
        </w:rPr>
        <w:t>) като добавка към диетата, когато резултатът от диетата и други нефармакологични мерки (напр. физическите упражнения, намаляване на теглото) не е задоволителен.</w:t>
      </w:r>
    </w:p>
    <w:p w14:paraId="4387D4F1" w14:textId="77777777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r w:rsidRPr="000E084A">
        <w:rPr>
          <w:rFonts w:eastAsia="Times New Roman" w:cs="Arial"/>
          <w:color w:val="000000"/>
          <w:lang w:eastAsia="bg-BG"/>
        </w:rPr>
        <w:t xml:space="preserve">Възрастни, младежи и деца на или над 6-годишна възраст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хомозиготна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фамилна</w:t>
      </w:r>
    </w:p>
    <w:p w14:paraId="4D00FA0A" w14:textId="77777777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0E084A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като добавка към диетата, както и с друго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липидопонижаващо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лечение (напр. </w:t>
      </w:r>
      <w:r w:rsidRPr="000E084A">
        <w:rPr>
          <w:rFonts w:eastAsia="Times New Roman" w:cs="Arial"/>
          <w:color w:val="000000"/>
          <w:lang w:val="en-US"/>
        </w:rPr>
        <w:t>LDL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афереза</w:t>
      </w:r>
      <w:proofErr w:type="spellEnd"/>
      <w:r w:rsidRPr="000E084A">
        <w:rPr>
          <w:rFonts w:eastAsia="Times New Roman" w:cs="Arial"/>
          <w:color w:val="000000"/>
          <w:lang w:eastAsia="bg-BG"/>
        </w:rPr>
        <w:t>) или когато това лечение не е подходящо.</w:t>
      </w:r>
    </w:p>
    <w:p w14:paraId="43A6A0E7" w14:textId="77777777" w:rsidR="000E084A" w:rsidRPr="000E084A" w:rsidRDefault="000E084A" w:rsidP="000E084A">
      <w:pPr>
        <w:rPr>
          <w:rFonts w:eastAsia="Times New Roman" w:cs="Arial"/>
          <w:color w:val="000000"/>
          <w:u w:val="single"/>
          <w:lang w:eastAsia="bg-BG"/>
        </w:rPr>
      </w:pPr>
    </w:p>
    <w:p w14:paraId="01546037" w14:textId="6A77A2B2" w:rsidR="000E084A" w:rsidRPr="000E084A" w:rsidRDefault="000E084A" w:rsidP="000E084A">
      <w:pPr>
        <w:rPr>
          <w:rFonts w:eastAsia="Times New Roman" w:cs="Arial"/>
          <w:color w:val="000000"/>
          <w:u w:val="single"/>
          <w:lang w:eastAsia="bg-BG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>Профилактика на сърдечносъдови инциденти</w:t>
      </w:r>
    </w:p>
    <w:p w14:paraId="3AA8BEE7" w14:textId="77777777" w:rsidR="000E084A" w:rsidRPr="000E084A" w:rsidRDefault="000E084A" w:rsidP="000E08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84A">
        <w:rPr>
          <w:rFonts w:eastAsia="Times New Roman" w:cs="Arial"/>
          <w:color w:val="000000"/>
          <w:lang w:eastAsia="bg-BG"/>
        </w:rPr>
        <w:t>Профилактика на значими сърдечносъдови инциденти при пациенти, които се очаква да имат висок риск за първи сърдечносъдов инцидент (вж. точка 5.1), като допълнение към коригиране на други рискови фактори.</w:t>
      </w:r>
    </w:p>
    <w:p w14:paraId="0AA96C45" w14:textId="77777777" w:rsidR="000E084A" w:rsidRPr="000E084A" w:rsidRDefault="000E084A" w:rsidP="000E084A"/>
    <w:p w14:paraId="7647A102" w14:textId="497E55C9" w:rsidR="00DB32D3" w:rsidRDefault="002C50EE" w:rsidP="005726E3">
      <w:pPr>
        <w:pStyle w:val="Heading2"/>
      </w:pPr>
      <w:r>
        <w:t>4.2. Дозировка и начин на приложение</w:t>
      </w:r>
    </w:p>
    <w:p w14:paraId="0EADCC60" w14:textId="3C8635DF" w:rsidR="000E084A" w:rsidRDefault="000E084A" w:rsidP="000E084A"/>
    <w:p w14:paraId="65913F0D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>Преди започване на лечението, пациентът трябва да бъде поставен на стандартна холестерол- понижаваща диета, която трябва да продължи и по време на лечението. Дозата трябва да се индивидуализира в зависимост от целта на лечението и отговора на пациента, като се използват актуалните консенсусни препоръки.</w:t>
      </w:r>
    </w:p>
    <w:p w14:paraId="102CBDCD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proofErr w:type="spellStart"/>
      <w:r w:rsidRPr="000E084A">
        <w:rPr>
          <w:rFonts w:eastAsia="Times New Roman" w:cs="Arial"/>
          <w:color w:val="000000"/>
          <w:lang w:eastAsia="bg-BG"/>
        </w:rPr>
        <w:t>Ромазик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може да се приема по всяко време на деня, с или без храна.</w:t>
      </w:r>
    </w:p>
    <w:p w14:paraId="0E0CDBA7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F7A206A" w14:textId="5F42503B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 xml:space="preserve">Лечение на </w:t>
      </w:r>
      <w:proofErr w:type="spellStart"/>
      <w:r w:rsidRPr="000E084A">
        <w:rPr>
          <w:rFonts w:eastAsia="Times New Roman" w:cs="Arial"/>
          <w:color w:val="000000"/>
          <w:u w:val="single"/>
          <w:lang w:eastAsia="bg-BG"/>
        </w:rPr>
        <w:t>хиперхолестеролемия</w:t>
      </w:r>
      <w:proofErr w:type="spellEnd"/>
    </w:p>
    <w:p w14:paraId="2B3A4C2A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Препоръчителната начална доза е 5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или 10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перорално веднъж дневно, както при пациенти, които не са приемали стативи, така и при преминаване от друг инхибитор на </w:t>
      </w:r>
      <w:r w:rsidRPr="000E084A">
        <w:rPr>
          <w:rFonts w:eastAsia="Times New Roman" w:cs="Arial"/>
          <w:color w:val="000000"/>
          <w:lang w:val="en-US"/>
        </w:rPr>
        <w:t>HMG</w:t>
      </w:r>
      <w:r w:rsidRPr="000E084A">
        <w:rPr>
          <w:rFonts w:eastAsia="Times New Roman" w:cs="Arial"/>
          <w:color w:val="000000"/>
          <w:lang w:val="ru-RU"/>
        </w:rPr>
        <w:t xml:space="preserve">-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СоА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. Изборът на начална доза зависи от нивото на серумния холестерол, бъдещия сърдечносъдов риск и потенциалния риск от поява на нежелани лекарствени реакции (вж. по- долу). При необходимост дозата може да се коригира като след 4 седмици се премине на следващото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дозово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ниво (вж. точка 5.1). Предвид повишената честота на докладване на нежелани реакции при доза от 40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в сравнение с по-ниските дози (вж. точка 4.8), последно титриране до доза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или до максималната доза от 40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трябва да се предприема само при пациенти с тежка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с висок сърдечносъдов риск (особено тези с фамилна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), които не достигат прицелните ниша на холестерола при лечение с 20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и при които ще се провежда рутинно проследяване в хода на лечението (вж. точка 4.4). При започване на лечение с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или 40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се препоръчва постоянно наблюдение на пациента от специалист.</w:t>
      </w:r>
    </w:p>
    <w:p w14:paraId="5600FE73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688AFEF" w14:textId="6D4A49E0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>Профилактика на сърдечносъдови инциденти</w:t>
      </w:r>
    </w:p>
    <w:p w14:paraId="74D26B5E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В проучване за намаляване на риска от сърдечносъдови инциденти, използваната доза е била 20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дневно (вж. точка 5.1).</w:t>
      </w:r>
    </w:p>
    <w:p w14:paraId="32383A28" w14:textId="77777777" w:rsidR="000E084A" w:rsidRPr="000E084A" w:rsidRDefault="000E084A" w:rsidP="000E084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76DE59E" w14:textId="7F2E672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5E0EAA99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>Употребата при деца трябва да се провежда само от специалисти.</w:t>
      </w:r>
    </w:p>
    <w:p w14:paraId="70CAB4E9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B3A55E" w14:textId="321BD518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>Деца и младежи на възраст 6 до 17 години (стадий &lt;</w:t>
      </w:r>
      <w:r w:rsidRPr="000E084A">
        <w:rPr>
          <w:rFonts w:eastAsia="Times New Roman" w:cs="Arial"/>
          <w:color w:val="000000"/>
          <w:u w:val="single"/>
          <w:lang w:val="en-US"/>
        </w:rPr>
        <w:t>II</w:t>
      </w:r>
      <w:r w:rsidRPr="000E084A">
        <w:rPr>
          <w:rFonts w:eastAsia="Times New Roman" w:cs="Arial"/>
          <w:color w:val="000000"/>
          <w:u w:val="single"/>
          <w:lang w:eastAsia="bg-BG"/>
        </w:rPr>
        <w:t>-</w:t>
      </w:r>
      <w:r w:rsidRPr="000E084A">
        <w:rPr>
          <w:rFonts w:eastAsia="Times New Roman" w:cs="Arial"/>
          <w:color w:val="000000"/>
          <w:u w:val="single"/>
          <w:lang w:val="en-US"/>
        </w:rPr>
        <w:t>V</w:t>
      </w:r>
      <w:r w:rsidRPr="000E084A">
        <w:rPr>
          <w:rFonts w:eastAsia="Times New Roman" w:cs="Arial"/>
          <w:color w:val="000000"/>
          <w:u w:val="single"/>
          <w:lang w:eastAsia="bg-BG"/>
        </w:rPr>
        <w:t xml:space="preserve"> по Танер)</w:t>
      </w:r>
    </w:p>
    <w:p w14:paraId="17770DF3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DBF5AB" w14:textId="2B8B3B84" w:rsidR="000E084A" w:rsidRPr="000E084A" w:rsidRDefault="000E084A" w:rsidP="000E084A">
      <w:pPr>
        <w:spacing w:line="240" w:lineRule="auto"/>
        <w:rPr>
          <w:rFonts w:eastAsia="Times New Roman" w:cs="Arial"/>
        </w:rPr>
      </w:pPr>
      <w:proofErr w:type="spellStart"/>
      <w:r w:rsidRPr="000E084A">
        <w:rPr>
          <w:rFonts w:eastAsia="Times New Roman" w:cs="Arial"/>
          <w:color w:val="000000"/>
          <w:u w:val="single"/>
          <w:lang w:eastAsia="bg-BG"/>
        </w:rPr>
        <w:t>Хетерозиготна</w:t>
      </w:r>
      <w:proofErr w:type="spellEnd"/>
      <w:r w:rsidRPr="000E084A">
        <w:rPr>
          <w:rFonts w:eastAsia="Times New Roman" w:cs="Arial"/>
          <w:color w:val="000000"/>
          <w:u w:val="single"/>
          <w:lang w:eastAsia="bg-BG"/>
        </w:rPr>
        <w:t xml:space="preserve"> фамилна </w:t>
      </w:r>
      <w:proofErr w:type="spellStart"/>
      <w:r w:rsidRPr="000E084A">
        <w:rPr>
          <w:rFonts w:eastAsia="Times New Roman" w:cs="Arial"/>
          <w:color w:val="000000"/>
          <w:u w:val="single"/>
          <w:lang w:eastAsia="bg-BG"/>
        </w:rPr>
        <w:t>хиперхолестеролемия</w:t>
      </w:r>
      <w:proofErr w:type="spellEnd"/>
    </w:p>
    <w:p w14:paraId="0A6C77F7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При деца и младежи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обичайната начална доза е 5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дневно.</w:t>
      </w:r>
    </w:p>
    <w:p w14:paraId="0FFD27EE" w14:textId="77777777" w:rsidR="000E084A" w:rsidRPr="000E084A" w:rsidRDefault="000E084A" w:rsidP="000E084A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lastRenderedPageBreak/>
        <w:t xml:space="preserve">При деца от 6 до 9-тодишна възраст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обичайния обхват на дозата е 5-10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перорално веднъж дневно. Безопасността и ефикасността на дози по-големи от 10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не са проучвани при тази популация.</w:t>
      </w:r>
    </w:p>
    <w:p w14:paraId="6C522A65" w14:textId="5FE930AC" w:rsidR="000E084A" w:rsidRPr="000E084A" w:rsidRDefault="000E084A" w:rsidP="000E084A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При деца от 10 до 17-тодишна възраст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обичайния обхват на дозата е 5-20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перорално веднъж дневно. Безопасността и ефикасността на дози по-големи от 20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не са проучвани при тази популация.</w:t>
      </w:r>
    </w:p>
    <w:p w14:paraId="3624F09A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314A5F" w14:textId="7DF18915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Трябва да се провежда титриране до максималната доза от 20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дневно, съгласно индивидуалния отговор и поносимост на педиатричните пациенти, както се препоръчва в препоръките за лечение на деца (вж. точка 4.4). Децата и младежите трябва да се подложат на стандартна холестерол-понижаваща диета преди да се започне лечение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; тази диета трябва да продължи по време на лечението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</w:p>
    <w:p w14:paraId="234908B2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8FEE4B9" w14:textId="422F1518" w:rsidR="000E084A" w:rsidRPr="000E084A" w:rsidRDefault="000E084A" w:rsidP="000E084A">
      <w:pPr>
        <w:spacing w:line="240" w:lineRule="auto"/>
        <w:rPr>
          <w:rFonts w:eastAsia="Times New Roman" w:cs="Arial"/>
        </w:rPr>
      </w:pPr>
      <w:proofErr w:type="spellStart"/>
      <w:r w:rsidRPr="000E084A">
        <w:rPr>
          <w:rFonts w:eastAsia="Times New Roman" w:cs="Arial"/>
          <w:color w:val="000000"/>
          <w:u w:val="single"/>
          <w:lang w:eastAsia="bg-BG"/>
        </w:rPr>
        <w:t>Хомозиготна</w:t>
      </w:r>
      <w:proofErr w:type="spellEnd"/>
      <w:r w:rsidRPr="000E084A">
        <w:rPr>
          <w:rFonts w:eastAsia="Times New Roman" w:cs="Arial"/>
          <w:color w:val="000000"/>
          <w:u w:val="single"/>
          <w:lang w:eastAsia="bg-BG"/>
        </w:rPr>
        <w:t xml:space="preserve"> фамилна </w:t>
      </w:r>
      <w:proofErr w:type="spellStart"/>
      <w:r w:rsidRPr="000E084A">
        <w:rPr>
          <w:rFonts w:eastAsia="Times New Roman" w:cs="Arial"/>
          <w:color w:val="000000"/>
          <w:u w:val="single"/>
          <w:lang w:eastAsia="bg-BG"/>
        </w:rPr>
        <w:t>хиперхолестеролемия</w:t>
      </w:r>
      <w:proofErr w:type="spellEnd"/>
    </w:p>
    <w:p w14:paraId="55994840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При деца и младежи на възраст 6 до 17 години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хомозиготна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препоръчваната максимална доза е 20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дневно.</w:t>
      </w:r>
    </w:p>
    <w:p w14:paraId="74759E2E" w14:textId="43DF5960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0E084A">
        <w:rPr>
          <w:rFonts w:eastAsia="Times New Roman" w:cs="Arial"/>
          <w:color w:val="000000"/>
          <w:lang w:eastAsia="bg-BG"/>
        </w:rPr>
        <w:t xml:space="preserve">Началната доза е 5-10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перорално веднъж дневно в зависимост от възрастта, теглото и предшестващия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>.</w:t>
      </w:r>
    </w:p>
    <w:p w14:paraId="6A748101" w14:textId="1285E7FF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3FEDC7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Титрирането до максималната доза от 20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дневно трябва да се провежда съгласно индивидуалния отговор и поносимост на педиатричните пациенти, както се препоръчва в препоръките за лечение на деца (вж. точка 4.4). Децата и младежите трябва да се подложат на стандартна холестерол-понижаваща диета преди да се започне лечение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; диетата трябва да се продължи по време на лечението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>.</w:t>
      </w:r>
    </w:p>
    <w:p w14:paraId="5A91C0C9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Опитът при тази популация с дози, различни от 20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е ограничен.</w:t>
      </w:r>
    </w:p>
    <w:p w14:paraId="249DC287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Дози от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и 40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не са подходящи да употреба при педиатрични пациенти.</w:t>
      </w:r>
    </w:p>
    <w:p w14:paraId="0FD5FFE5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33C70E9" w14:textId="5E9EDECB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>Деца по-малки от 6 години</w:t>
      </w:r>
    </w:p>
    <w:p w14:paraId="50C47981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Безопасността и ефикасността на употребата при деца по-малки от 6 години не са проучвани. Следователно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Ромазик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не се препоръчва за употреба при деца по-малки от 6 години.</w:t>
      </w:r>
    </w:p>
    <w:p w14:paraId="232C5C05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76220E" w14:textId="1FC6A81E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 xml:space="preserve">Употреба при </w:t>
      </w:r>
      <w:proofErr w:type="spellStart"/>
      <w:r w:rsidRPr="000E084A">
        <w:rPr>
          <w:rFonts w:eastAsia="Times New Roman" w:cs="Arial"/>
          <w:color w:val="000000"/>
          <w:u w:val="single"/>
          <w:lang w:eastAsia="bg-BG"/>
        </w:rPr>
        <w:t>папиенти</w:t>
      </w:r>
      <w:proofErr w:type="spellEnd"/>
      <w:r w:rsidRPr="000E084A">
        <w:rPr>
          <w:rFonts w:eastAsia="Times New Roman" w:cs="Arial"/>
          <w:color w:val="000000"/>
          <w:u w:val="single"/>
          <w:lang w:eastAsia="bg-BG"/>
        </w:rPr>
        <w:t xml:space="preserve"> в старческа възраст</w:t>
      </w:r>
    </w:p>
    <w:p w14:paraId="7B0544E8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Препоръчителната начална доза при пациенти &gt; 70 годишна възраст е 5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(вж. точка 4.4). Не е необходимо друго коригиране на дозировката в зависимост от възрастта.</w:t>
      </w:r>
    </w:p>
    <w:p w14:paraId="71C6FB27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4315F9C" w14:textId="77D2EC7A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 xml:space="preserve">Дозиране пои </w:t>
      </w:r>
      <w:proofErr w:type="spellStart"/>
      <w:r w:rsidRPr="000E084A">
        <w:rPr>
          <w:rFonts w:eastAsia="Times New Roman" w:cs="Arial"/>
          <w:color w:val="000000"/>
          <w:u w:val="single"/>
          <w:lang w:eastAsia="bg-BG"/>
        </w:rPr>
        <w:t>папиенти</w:t>
      </w:r>
      <w:proofErr w:type="spellEnd"/>
      <w:r w:rsidRPr="000E084A">
        <w:rPr>
          <w:rFonts w:eastAsia="Times New Roman" w:cs="Arial"/>
          <w:color w:val="000000"/>
          <w:u w:val="single"/>
          <w:lang w:eastAsia="bg-BG"/>
        </w:rPr>
        <w:t xml:space="preserve"> с бъбречна недостатъчност:</w:t>
      </w:r>
    </w:p>
    <w:p w14:paraId="452DA9BB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Не е необходима корекция на дозата при пациенти с леко до умерено увреждане на бъбречната функция. При пациенти с умерено увреждане препоръчителната начална доза е 5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на бъбречната функция (</w:t>
      </w:r>
      <w:proofErr w:type="spellStart"/>
      <w:r w:rsidRPr="000E084A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клирънс &lt; 60 </w:t>
      </w:r>
      <w:r w:rsidRPr="000E084A">
        <w:rPr>
          <w:rFonts w:eastAsia="Times New Roman" w:cs="Arial"/>
          <w:color w:val="000000"/>
          <w:lang w:val="en-US"/>
        </w:rPr>
        <w:t>ml</w:t>
      </w:r>
      <w:r w:rsidRPr="000E084A">
        <w:rPr>
          <w:rFonts w:eastAsia="Times New Roman" w:cs="Arial"/>
          <w:color w:val="000000"/>
          <w:lang w:val="ru-RU"/>
        </w:rPr>
        <w:t>/</w:t>
      </w:r>
      <w:r w:rsidRPr="000E084A">
        <w:rPr>
          <w:rFonts w:eastAsia="Times New Roman" w:cs="Arial"/>
          <w:color w:val="000000"/>
          <w:lang w:val="en-US"/>
        </w:rPr>
        <w:t>min</w:t>
      </w:r>
      <w:r w:rsidRPr="000E084A">
        <w:rPr>
          <w:rFonts w:eastAsia="Times New Roman" w:cs="Arial"/>
          <w:color w:val="000000"/>
          <w:lang w:val="ru-RU"/>
        </w:rPr>
        <w:t xml:space="preserve">). </w:t>
      </w:r>
      <w:r w:rsidRPr="000E084A">
        <w:rPr>
          <w:rFonts w:eastAsia="Times New Roman" w:cs="Arial"/>
          <w:color w:val="000000"/>
          <w:lang w:eastAsia="bg-BG"/>
        </w:rPr>
        <w:t xml:space="preserve">Дози от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и 40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са противопоказани при пациенти с умерено увреждане на бъбречната функция. Употребата 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при пациенти с тежко увреждане на бъбречната функция е противопоказана за всички дозировки (вж. точки 4.3 и 5.2)</w:t>
      </w:r>
    </w:p>
    <w:p w14:paraId="3F0C1392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D53E68" w14:textId="799E0AAA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>Дозиране при пациенти с увреждане на чернодробната функция:</w:t>
      </w:r>
    </w:p>
    <w:p w14:paraId="26C7DC99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Не е наблюдавана повишена системна експозиция 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при пациенти с оценка по скалата на </w:t>
      </w:r>
      <w:r w:rsidRPr="000E084A">
        <w:rPr>
          <w:rFonts w:eastAsia="Times New Roman" w:cs="Arial"/>
          <w:color w:val="000000"/>
          <w:lang w:val="en-US"/>
        </w:rPr>
        <w:t>Child</w:t>
      </w:r>
      <w:r w:rsidRPr="000E084A">
        <w:rPr>
          <w:rFonts w:eastAsia="Times New Roman" w:cs="Arial"/>
          <w:color w:val="000000"/>
          <w:lang w:val="ru-RU"/>
        </w:rPr>
        <w:t>-</w:t>
      </w:r>
      <w:r w:rsidRPr="000E084A">
        <w:rPr>
          <w:rFonts w:eastAsia="Times New Roman" w:cs="Arial"/>
          <w:color w:val="000000"/>
          <w:lang w:val="en-US"/>
        </w:rPr>
        <w:t>Pugh</w:t>
      </w:r>
      <w:r w:rsidRPr="000E084A">
        <w:rPr>
          <w:rFonts w:eastAsia="Times New Roman" w:cs="Arial"/>
          <w:color w:val="000000"/>
          <w:lang w:val="ru-RU"/>
        </w:rPr>
        <w:t xml:space="preserve">, </w:t>
      </w:r>
      <w:r w:rsidRPr="000E084A">
        <w:rPr>
          <w:rFonts w:eastAsia="Times New Roman" w:cs="Arial"/>
          <w:color w:val="000000"/>
          <w:lang w:eastAsia="bg-BG"/>
        </w:rPr>
        <w:t xml:space="preserve">равна на 7 или по-ниска. Въпреки това повишена системна експозиция е наблюдавана при пациенти с оценка по скалата на </w:t>
      </w:r>
      <w:r w:rsidRPr="000E084A">
        <w:rPr>
          <w:rFonts w:eastAsia="Times New Roman" w:cs="Arial"/>
          <w:color w:val="000000"/>
          <w:lang w:val="en-US"/>
        </w:rPr>
        <w:t>Child</w:t>
      </w:r>
      <w:r w:rsidRPr="000E084A">
        <w:rPr>
          <w:rFonts w:eastAsia="Times New Roman" w:cs="Arial"/>
          <w:color w:val="000000"/>
          <w:lang w:val="ru-RU"/>
        </w:rPr>
        <w:t>-</w:t>
      </w:r>
      <w:r w:rsidRPr="000E084A">
        <w:rPr>
          <w:rFonts w:eastAsia="Times New Roman" w:cs="Arial"/>
          <w:color w:val="000000"/>
          <w:lang w:val="en-US"/>
        </w:rPr>
        <w:t>Pugh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8 и </w:t>
      </w:r>
      <w:r w:rsidRPr="000E084A">
        <w:rPr>
          <w:rFonts w:eastAsia="Times New Roman" w:cs="Arial"/>
          <w:color w:val="000000"/>
          <w:lang w:eastAsia="bg-BG"/>
        </w:rPr>
        <w:lastRenderedPageBreak/>
        <w:t xml:space="preserve">9 (вж. точка 5.2). При тези пациенти трябва да се предприеме и оценка на бъбречната функция (вж. точка 4.4). Липсва опит при пациенти с оценка по скалата на </w:t>
      </w:r>
      <w:r w:rsidRPr="000E084A">
        <w:rPr>
          <w:rFonts w:eastAsia="Times New Roman" w:cs="Arial"/>
          <w:color w:val="000000"/>
          <w:lang w:val="en-US"/>
        </w:rPr>
        <w:t>Child</w:t>
      </w:r>
      <w:r w:rsidRPr="000E084A">
        <w:rPr>
          <w:rFonts w:eastAsia="Times New Roman" w:cs="Arial"/>
          <w:color w:val="000000"/>
          <w:lang w:val="ru-RU"/>
        </w:rPr>
        <w:t>-</w:t>
      </w:r>
      <w:r w:rsidRPr="000E084A">
        <w:rPr>
          <w:rFonts w:eastAsia="Times New Roman" w:cs="Arial"/>
          <w:color w:val="000000"/>
          <w:lang w:val="en-US"/>
        </w:rPr>
        <w:t>Pugh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над 9.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е противопоказан при пациенти с активно чернодробно заболяване (вж. точка 4.3).</w:t>
      </w:r>
    </w:p>
    <w:p w14:paraId="32B9AB24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6691A1" w14:textId="4D578C99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>Раса</w:t>
      </w:r>
    </w:p>
    <w:p w14:paraId="65EDA23B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При пациенти от азиатски произход е наблюдавана повишена системна експозиция (вж. точки 4.3,4.4 и 5.2). Препоръчваната начална доза при пациенти от азиатски произход е 5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. </w:t>
      </w:r>
      <w:r w:rsidRPr="000E084A">
        <w:rPr>
          <w:rFonts w:eastAsia="Times New Roman" w:cs="Arial"/>
          <w:color w:val="000000"/>
          <w:lang w:eastAsia="bg-BG"/>
        </w:rPr>
        <w:t xml:space="preserve">При тези пациенти дози от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и 40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са противопоказани.</w:t>
      </w:r>
    </w:p>
    <w:p w14:paraId="1F253369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759BFB" w14:textId="17E74A9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>Генетичен полиморфизъм</w:t>
      </w:r>
    </w:p>
    <w:p w14:paraId="02EDD144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Известно е, че специфични типове на генетичен полиморфизъм могат да доведат до повишена експозиция 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(вж. точка 5.2). За пациенти, за които е известно, че имат специфичен тип генетичен полиморфизъм, се препоръчва по-ниска доза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>.</w:t>
      </w:r>
    </w:p>
    <w:p w14:paraId="28D9D4E1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81D273" w14:textId="7132119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 xml:space="preserve">Дозиране при пациенти, предразположени към развитие на </w:t>
      </w:r>
      <w:proofErr w:type="spellStart"/>
      <w:r w:rsidRPr="000E084A">
        <w:rPr>
          <w:rFonts w:eastAsia="Times New Roman" w:cs="Arial"/>
          <w:color w:val="000000"/>
          <w:u w:val="single"/>
          <w:lang w:eastAsia="bg-BG"/>
        </w:rPr>
        <w:t>миопатия</w:t>
      </w:r>
      <w:proofErr w:type="spellEnd"/>
    </w:p>
    <w:p w14:paraId="27738130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При пациента с предразполагащи фактори за развитие 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препоръчителната начална доза е 5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(вж. точка 4.4).</w:t>
      </w:r>
    </w:p>
    <w:p w14:paraId="152FDF23" w14:textId="77777777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lang w:eastAsia="bg-BG"/>
        </w:rPr>
        <w:t xml:space="preserve">При някои от тези пациенти е противопоказано приложението на дози от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и 40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>(вж. точка 4.3).</w:t>
      </w:r>
    </w:p>
    <w:p w14:paraId="7136CD71" w14:textId="77777777" w:rsidR="000E084A" w:rsidRPr="000E084A" w:rsidRDefault="000E084A" w:rsidP="000E08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900D3E" w14:textId="47C87B81" w:rsidR="000E084A" w:rsidRPr="000E084A" w:rsidRDefault="000E084A" w:rsidP="000E084A">
      <w:pPr>
        <w:spacing w:line="240" w:lineRule="auto"/>
        <w:rPr>
          <w:rFonts w:eastAsia="Times New Roman" w:cs="Arial"/>
        </w:rPr>
      </w:pPr>
      <w:r w:rsidRPr="000E084A">
        <w:rPr>
          <w:rFonts w:eastAsia="Times New Roman" w:cs="Arial"/>
          <w:color w:val="000000"/>
          <w:u w:val="single"/>
          <w:lang w:eastAsia="bg-BG"/>
        </w:rPr>
        <w:t>Съпътстваща терапия</w:t>
      </w:r>
    </w:p>
    <w:p w14:paraId="61BB043F" w14:textId="451D9C8B" w:rsidR="000E084A" w:rsidRPr="000E084A" w:rsidRDefault="000E084A" w:rsidP="000E084A">
      <w:pPr>
        <w:spacing w:line="240" w:lineRule="auto"/>
        <w:rPr>
          <w:rFonts w:eastAsia="Times New Roman" w:cs="Arial"/>
        </w:rPr>
      </w:pP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е субстрат на различни транспортни протеини (напр. ОАТР1В1 и </w:t>
      </w:r>
      <w:r w:rsidRPr="000E084A">
        <w:rPr>
          <w:rFonts w:eastAsia="Times New Roman" w:cs="Arial"/>
          <w:color w:val="000000"/>
          <w:lang w:val="en-US"/>
        </w:rPr>
        <w:t>BCRP</w:t>
      </w:r>
      <w:r w:rsidRPr="000E084A">
        <w:rPr>
          <w:rFonts w:eastAsia="Times New Roman" w:cs="Arial"/>
          <w:color w:val="000000"/>
          <w:lang w:val="ru-RU"/>
        </w:rPr>
        <w:t xml:space="preserve">). </w:t>
      </w:r>
      <w:r w:rsidRPr="000E084A">
        <w:rPr>
          <w:rFonts w:eastAsia="Times New Roman" w:cs="Arial"/>
          <w:color w:val="000000"/>
          <w:lang w:eastAsia="bg-BG"/>
        </w:rPr>
        <w:t xml:space="preserve">Рискът от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(включително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) се повишава, когато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е приложен едновременно с някои медицински продукти, които могат да повишат плазмената му концентрация поради взаимодействие с тези транспортни протеини (напр. циклоспорин и някои</w:t>
      </w:r>
      <w:r w:rsidRPr="000E084A">
        <w:rPr>
          <w:rFonts w:eastAsia="Times New Roman" w:cs="Arial"/>
          <w:lang w:val="ru-RU"/>
        </w:rPr>
        <w:t xml:space="preserve">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инхибитори, включително комбинации от ритонавир и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, лопинавир и/или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типранавир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; вижте точки 4.4. и 4.5). Когато е възможно </w:t>
      </w:r>
      <w:r w:rsidRPr="000E084A">
        <w:rPr>
          <w:rFonts w:eastAsia="Times New Roman" w:cs="Arial"/>
          <w:i/>
          <w:iCs/>
          <w:color w:val="000000"/>
          <w:lang w:eastAsia="bg-BG"/>
        </w:rPr>
        <w:t>трябва</w:t>
      </w:r>
      <w:r w:rsidRPr="000E084A">
        <w:rPr>
          <w:rFonts w:eastAsia="Times New Roman" w:cs="Arial"/>
          <w:color w:val="000000"/>
          <w:lang w:eastAsia="bg-BG"/>
        </w:rPr>
        <w:t xml:space="preserve"> да се обсъди </w:t>
      </w:r>
      <w:r w:rsidRPr="000E084A">
        <w:rPr>
          <w:rFonts w:eastAsia="Times New Roman" w:cs="Arial"/>
          <w:i/>
          <w:iCs/>
          <w:color w:val="000000"/>
          <w:lang w:eastAsia="bg-BG"/>
        </w:rPr>
        <w:t xml:space="preserve">алтернативно </w:t>
      </w:r>
      <w:r w:rsidRPr="000E084A">
        <w:rPr>
          <w:rFonts w:eastAsia="Times New Roman" w:cs="Arial"/>
          <w:color w:val="000000"/>
          <w:lang w:eastAsia="bg-BG"/>
        </w:rPr>
        <w:t xml:space="preserve">лечение и ако е необходимо, да се прекрати временно лечението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. В случаи, когато едновременното прилагане на тези медицински продукти с 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е неизбежно,</w:t>
      </w:r>
      <w:r w:rsidRPr="000E084A">
        <w:rPr>
          <w:rFonts w:eastAsia="Times New Roman" w:cs="Arial"/>
          <w:color w:val="000000"/>
          <w:lang w:val="ru-RU" w:eastAsia="bg-BG"/>
        </w:rPr>
        <w:t xml:space="preserve"> </w:t>
      </w:r>
      <w:r w:rsidRPr="000E084A">
        <w:rPr>
          <w:rFonts w:cs="Arial"/>
        </w:rPr>
        <w:t xml:space="preserve">трябва внимателно да се прецени съотношението полза/риск от едновременното лечение и дозирането на </w:t>
      </w:r>
      <w:proofErr w:type="spellStart"/>
      <w:r w:rsidRPr="000E084A">
        <w:rPr>
          <w:rFonts w:cs="Arial"/>
        </w:rPr>
        <w:t>розувастатин</w:t>
      </w:r>
      <w:proofErr w:type="spellEnd"/>
      <w:r w:rsidRPr="000E084A">
        <w:rPr>
          <w:rFonts w:cs="Arial"/>
        </w:rPr>
        <w:t xml:space="preserve"> (вж. точка 4.5).</w:t>
      </w:r>
    </w:p>
    <w:p w14:paraId="06954C7C" w14:textId="303B349B" w:rsidR="000E084A" w:rsidRPr="000E084A" w:rsidRDefault="000E084A" w:rsidP="000E084A"/>
    <w:p w14:paraId="74903285" w14:textId="1C0B4D73" w:rsidR="00DB32D3" w:rsidRDefault="002C50EE" w:rsidP="005726E3">
      <w:pPr>
        <w:pStyle w:val="Heading2"/>
      </w:pPr>
      <w:r>
        <w:t>4.3. Противопоказания</w:t>
      </w:r>
    </w:p>
    <w:p w14:paraId="78A6FD28" w14:textId="6A5DF047" w:rsidR="000E084A" w:rsidRDefault="000E084A" w:rsidP="000E084A"/>
    <w:p w14:paraId="0571C993" w14:textId="77777777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0E084A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0E084A">
        <w:rPr>
          <w:rFonts w:eastAsia="Times New Roman" w:cs="Arial"/>
          <w:color w:val="000000"/>
          <w:lang w:eastAsia="bg-BG"/>
        </w:rPr>
        <w:t xml:space="preserve"> е противопоказан:</w:t>
      </w:r>
    </w:p>
    <w:p w14:paraId="6FB77498" w14:textId="77777777" w:rsidR="000E084A" w:rsidRPr="005E44CF" w:rsidRDefault="000E084A" w:rsidP="000E084A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при пациенти със свръхчувствителност към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или към някое от помощните вещества, изброени в точка 6.1.</w:t>
      </w:r>
    </w:p>
    <w:p w14:paraId="40F77012" w14:textId="77777777" w:rsidR="000E084A" w:rsidRPr="005E44CF" w:rsidRDefault="000E084A" w:rsidP="000E084A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при пациенти с активно чернодробно заболяване, включително неуточнено, продължително покачване на серумните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всяко покачване на серумна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трансаминаза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три пъти над горната референтна граница </w:t>
      </w:r>
      <w:r w:rsidRPr="005E44CF">
        <w:rPr>
          <w:rFonts w:eastAsia="Times New Roman" w:cs="Arial"/>
          <w:color w:val="000000"/>
          <w:lang w:val="ru-RU"/>
        </w:rPr>
        <w:t>(</w:t>
      </w:r>
      <w:r w:rsidRPr="005E44CF">
        <w:rPr>
          <w:rFonts w:eastAsia="Times New Roman" w:cs="Arial"/>
          <w:color w:val="000000"/>
          <w:lang w:val="en-US"/>
        </w:rPr>
        <w:t>ULN</w:t>
      </w:r>
      <w:r w:rsidRPr="005E44CF">
        <w:rPr>
          <w:rFonts w:eastAsia="Times New Roman" w:cs="Arial"/>
          <w:color w:val="000000"/>
          <w:lang w:val="ru-RU"/>
        </w:rPr>
        <w:t>).</w:t>
      </w:r>
    </w:p>
    <w:p w14:paraId="0EFC6EE1" w14:textId="77777777" w:rsidR="000E084A" w:rsidRPr="005E44CF" w:rsidRDefault="000E084A" w:rsidP="000E084A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при пациенти с тежко увреждане на бъбречната функция (</w:t>
      </w:r>
      <w:proofErr w:type="spellStart"/>
      <w:r w:rsidRPr="005E44CF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клирънс &lt; 30 </w:t>
      </w:r>
      <w:r w:rsidRPr="005E44CF">
        <w:rPr>
          <w:rFonts w:eastAsia="Times New Roman" w:cs="Arial"/>
          <w:color w:val="000000"/>
          <w:lang w:val="en-US"/>
        </w:rPr>
        <w:t>ml</w:t>
      </w:r>
      <w:r w:rsidRPr="005E44CF">
        <w:rPr>
          <w:rFonts w:eastAsia="Times New Roman" w:cs="Arial"/>
          <w:color w:val="000000"/>
          <w:lang w:val="ru-RU"/>
        </w:rPr>
        <w:t>/</w:t>
      </w:r>
      <w:r w:rsidRPr="005E44CF">
        <w:rPr>
          <w:rFonts w:eastAsia="Times New Roman" w:cs="Arial"/>
          <w:color w:val="000000"/>
          <w:lang w:val="en-US"/>
        </w:rPr>
        <w:t>min</w:t>
      </w:r>
      <w:r w:rsidRPr="005E44CF">
        <w:rPr>
          <w:rFonts w:eastAsia="Times New Roman" w:cs="Arial"/>
          <w:color w:val="000000"/>
          <w:lang w:val="ru-RU"/>
        </w:rPr>
        <w:t>)</w:t>
      </w:r>
    </w:p>
    <w:p w14:paraId="313C5AEB" w14:textId="77777777" w:rsidR="000E084A" w:rsidRPr="005E44CF" w:rsidRDefault="000E084A" w:rsidP="000E084A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при пациенти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</w:p>
    <w:p w14:paraId="3EBAB5C3" w14:textId="77777777" w:rsidR="000E084A" w:rsidRPr="005E44CF" w:rsidRDefault="000E084A" w:rsidP="000E084A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при пациенти, приемащи едновременно циклоспорин</w:t>
      </w:r>
    </w:p>
    <w:p w14:paraId="163F7347" w14:textId="256C16FD" w:rsidR="000E084A" w:rsidRPr="005E44CF" w:rsidRDefault="000E084A" w:rsidP="000E084A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по време на бременност, кърмене и при жени в детеродна възраст, които не използват подходящи контрацептивни средства</w:t>
      </w:r>
    </w:p>
    <w:p w14:paraId="59BF3E1E" w14:textId="77777777" w:rsidR="000E084A" w:rsidRPr="005E44CF" w:rsidRDefault="000E084A" w:rsidP="000E084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361FC5" w14:textId="1BDBC91E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r w:rsidRPr="000E084A">
        <w:rPr>
          <w:rFonts w:eastAsia="Times New Roman" w:cs="Arial"/>
          <w:color w:val="000000"/>
          <w:lang w:eastAsia="bg-BG"/>
        </w:rPr>
        <w:lastRenderedPageBreak/>
        <w:t xml:space="preserve">Дози от 30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и 40 </w:t>
      </w:r>
      <w:r w:rsidRPr="000E084A">
        <w:rPr>
          <w:rFonts w:eastAsia="Times New Roman" w:cs="Arial"/>
          <w:color w:val="000000"/>
          <w:lang w:val="en-US"/>
        </w:rPr>
        <w:t>mg</w:t>
      </w:r>
      <w:r w:rsidRPr="000E084A">
        <w:rPr>
          <w:rFonts w:eastAsia="Times New Roman" w:cs="Arial"/>
          <w:color w:val="000000"/>
          <w:lang w:val="ru-RU"/>
        </w:rPr>
        <w:t xml:space="preserve"> </w:t>
      </w:r>
      <w:r w:rsidRPr="000E084A">
        <w:rPr>
          <w:rFonts w:eastAsia="Times New Roman" w:cs="Arial"/>
          <w:color w:val="000000"/>
          <w:lang w:eastAsia="bg-BG"/>
        </w:rPr>
        <w:t xml:space="preserve">са противопоказани при пациенти с предразполагащи фактори за развитие на </w:t>
      </w:r>
      <w:proofErr w:type="spellStart"/>
      <w:r w:rsidRPr="000E084A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0E084A">
        <w:rPr>
          <w:rFonts w:eastAsia="Times New Roman" w:cs="Arial"/>
          <w:color w:val="000000"/>
          <w:lang w:eastAsia="bg-BG"/>
        </w:rPr>
        <w:t>/</w:t>
      </w:r>
      <w:proofErr w:type="spellStart"/>
      <w:r w:rsidRPr="000E084A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0E084A">
        <w:rPr>
          <w:rFonts w:eastAsia="Times New Roman" w:cs="Arial"/>
          <w:color w:val="000000"/>
          <w:lang w:eastAsia="bg-BG"/>
        </w:rPr>
        <w:t>.</w:t>
      </w:r>
    </w:p>
    <w:p w14:paraId="066D8C28" w14:textId="77777777" w:rsidR="000E084A" w:rsidRPr="000E084A" w:rsidRDefault="000E084A" w:rsidP="000E084A">
      <w:pPr>
        <w:spacing w:line="240" w:lineRule="auto"/>
        <w:rPr>
          <w:rFonts w:eastAsia="Times New Roman" w:cs="Arial"/>
          <w:sz w:val="24"/>
          <w:szCs w:val="24"/>
        </w:rPr>
      </w:pPr>
      <w:r w:rsidRPr="000E084A">
        <w:rPr>
          <w:rFonts w:eastAsia="Times New Roman" w:cs="Arial"/>
          <w:color w:val="000000"/>
          <w:lang w:eastAsia="bg-BG"/>
        </w:rPr>
        <w:t>Такива фактори са:</w:t>
      </w:r>
    </w:p>
    <w:p w14:paraId="172E2174" w14:textId="77777777" w:rsidR="000E084A" w:rsidRPr="005E44CF" w:rsidRDefault="000E084A" w:rsidP="000E084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умерено по степен увреждане на бъбречната функция (</w:t>
      </w:r>
      <w:proofErr w:type="spellStart"/>
      <w:r w:rsidRPr="005E44CF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клирънс &lt; 60 </w:t>
      </w:r>
      <w:r w:rsidRPr="005E44CF">
        <w:rPr>
          <w:rFonts w:eastAsia="Times New Roman" w:cs="Arial"/>
          <w:color w:val="000000"/>
          <w:lang w:val="en-US"/>
        </w:rPr>
        <w:t>ml</w:t>
      </w:r>
      <w:r w:rsidRPr="005E44CF">
        <w:rPr>
          <w:rFonts w:eastAsia="Times New Roman" w:cs="Arial"/>
          <w:color w:val="000000"/>
          <w:lang w:val="ru-RU"/>
        </w:rPr>
        <w:t>/</w:t>
      </w:r>
      <w:r w:rsidRPr="005E44CF">
        <w:rPr>
          <w:rFonts w:eastAsia="Times New Roman" w:cs="Arial"/>
          <w:color w:val="000000"/>
          <w:lang w:val="en-US"/>
        </w:rPr>
        <w:t>min</w:t>
      </w:r>
      <w:r w:rsidRPr="005E44CF">
        <w:rPr>
          <w:rFonts w:eastAsia="Times New Roman" w:cs="Arial"/>
          <w:color w:val="000000"/>
          <w:lang w:val="ru-RU"/>
        </w:rPr>
        <w:t>)</w:t>
      </w:r>
    </w:p>
    <w:p w14:paraId="430B5544" w14:textId="77777777" w:rsidR="000E084A" w:rsidRPr="005E44CF" w:rsidRDefault="000E084A" w:rsidP="000E084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хипотиреоидизъм</w:t>
      </w:r>
      <w:proofErr w:type="spellEnd"/>
    </w:p>
    <w:p w14:paraId="753A7F9F" w14:textId="77777777" w:rsidR="000E084A" w:rsidRPr="005E44CF" w:rsidRDefault="000E084A" w:rsidP="000E084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лична или фамилна анамнеза за наследствени мускулни заболявалия</w:t>
      </w:r>
    </w:p>
    <w:p w14:paraId="131F7DB9" w14:textId="21CC102B" w:rsidR="000E084A" w:rsidRPr="005E44CF" w:rsidRDefault="000E084A" w:rsidP="000E084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 xml:space="preserve">анамнеза за проява на мускулна токсичност към друг инхибитор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</w:t>
      </w:r>
      <w:r w:rsidR="00692BD9">
        <w:rPr>
          <w:rFonts w:eastAsia="Times New Roman" w:cs="Arial"/>
          <w:color w:val="000000"/>
          <w:lang w:eastAsia="bg-BG"/>
        </w:rPr>
        <w:t>т</w:t>
      </w:r>
      <w:r w:rsidRPr="005E44CF">
        <w:rPr>
          <w:rFonts w:eastAsia="Times New Roman" w:cs="Arial"/>
          <w:color w:val="000000"/>
          <w:lang w:eastAsia="bg-BG"/>
        </w:rPr>
        <w:t>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фибрат</w:t>
      </w:r>
      <w:proofErr w:type="spellEnd"/>
    </w:p>
    <w:p w14:paraId="0B3FD3F7" w14:textId="77777777" w:rsidR="000E084A" w:rsidRPr="005E44CF" w:rsidRDefault="000E084A" w:rsidP="000E084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злоупотреба с алкохол</w:t>
      </w:r>
    </w:p>
    <w:p w14:paraId="4672A451" w14:textId="77777777" w:rsidR="000E084A" w:rsidRPr="005E44CF" w:rsidRDefault="000E084A" w:rsidP="000E084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ситуации, при които може да се наблюдава повишаване на плазмените нива</w:t>
      </w:r>
    </w:p>
    <w:p w14:paraId="57F0249A" w14:textId="77777777" w:rsidR="000E084A" w:rsidRPr="005E44CF" w:rsidRDefault="000E084A" w:rsidP="000E084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пациенти с азиатски произход</w:t>
      </w:r>
    </w:p>
    <w:p w14:paraId="76665AFC" w14:textId="77777777" w:rsidR="005E44CF" w:rsidRPr="005E44CF" w:rsidRDefault="000E084A" w:rsidP="000E084A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съпътстващо приложение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фибрати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</w:t>
      </w:r>
    </w:p>
    <w:p w14:paraId="44670DE0" w14:textId="38943301" w:rsidR="000E084A" w:rsidRPr="005E44CF" w:rsidRDefault="000E084A" w:rsidP="005E44CF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(Вижте точки 4.4,4.5 и 5.2).</w:t>
      </w:r>
    </w:p>
    <w:p w14:paraId="30D7C90F" w14:textId="77777777" w:rsidR="000E084A" w:rsidRPr="000E084A" w:rsidRDefault="000E084A" w:rsidP="000E084A"/>
    <w:p w14:paraId="76DC8E58" w14:textId="4DB0A8AC" w:rsidR="00DB32D3" w:rsidRDefault="002C50EE" w:rsidP="005726E3">
      <w:pPr>
        <w:pStyle w:val="Heading2"/>
      </w:pPr>
      <w:r>
        <w:t>4.4. Специални предупреждения и предпазни мерки при употреба</w:t>
      </w:r>
    </w:p>
    <w:p w14:paraId="0D43AE3F" w14:textId="78805F9B" w:rsidR="005E44CF" w:rsidRDefault="005E44CF" w:rsidP="005E44CF"/>
    <w:p w14:paraId="676B3532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Влияние върху бъбреците</w:t>
      </w:r>
    </w:p>
    <w:p w14:paraId="16E4AC56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При пациенти, лекувани с по-високи дози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по-конкретно 40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, </w:t>
      </w:r>
      <w:r w:rsidRPr="005E44CF">
        <w:rPr>
          <w:rFonts w:eastAsia="Times New Roman" w:cs="Arial"/>
          <w:color w:val="000000"/>
          <w:lang w:eastAsia="bg-BG"/>
        </w:rPr>
        <w:t xml:space="preserve">е наблюдавана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протеинурия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установена при изследване с тест-ленти, с предимно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тубулен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произход и в повечето случаи с преходен или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интермитентен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характер. Няма данни дали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протеинурията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има прогностичен характер за остро или прогресивно бъбречно заболяване (вж. точка 4.8). Докладваната честота на сериозни бъбречни увреди при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постмаркетинговата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употреба е по- висока при дозировка от 40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. </w:t>
      </w:r>
      <w:r w:rsidRPr="005E44CF">
        <w:rPr>
          <w:rFonts w:eastAsia="Times New Roman" w:cs="Arial"/>
          <w:color w:val="000000"/>
          <w:lang w:eastAsia="bg-BG"/>
        </w:rPr>
        <w:t xml:space="preserve">По време на рутинното проследяване на пациенти, обичайно третирани с дози от 30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40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, </w:t>
      </w:r>
      <w:r w:rsidRPr="005E44CF">
        <w:rPr>
          <w:rFonts w:eastAsia="Times New Roman" w:cs="Arial"/>
          <w:color w:val="000000"/>
          <w:lang w:eastAsia="bg-BG"/>
        </w:rPr>
        <w:t>трябва да се прави и оценка на бъбречната функция.</w:t>
      </w:r>
    </w:p>
    <w:p w14:paraId="78E57131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DB42BAB" w14:textId="2617C4CB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Влияние върху скелетната мускулатура</w:t>
      </w:r>
    </w:p>
    <w:p w14:paraId="63FC2373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Съобщавани са ефекти върху скелетната мускулатура в това число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миалгия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рядко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при приложение на всички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дозови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режими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особено при дози над 20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>.</w:t>
      </w:r>
    </w:p>
    <w:p w14:paraId="5AE8D4EF" w14:textId="73843FFD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Много рядко са съобщавани случаи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при употреба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в комбинация с инхибитор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</w:t>
      </w:r>
      <w:r w:rsidR="00AF72E3">
        <w:rPr>
          <w:rFonts w:eastAsia="Times New Roman" w:cs="Arial"/>
          <w:color w:val="000000"/>
          <w:lang w:eastAsia="bg-BG"/>
        </w:rPr>
        <w:t>т</w:t>
      </w:r>
      <w:r w:rsidRPr="005E44CF">
        <w:rPr>
          <w:rFonts w:eastAsia="Times New Roman" w:cs="Arial"/>
          <w:color w:val="000000"/>
          <w:lang w:eastAsia="bg-BG"/>
        </w:rPr>
        <w:t>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Не може да бъде изключено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фармакодинамично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взаимодействие (вж. точка 4.5) и е необходимо внимание при комбинираното им прилагане, Както при другите инхибитори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>, докладваната честота на</w:t>
      </w:r>
    </w:p>
    <w:p w14:paraId="6FE0AA67" w14:textId="5D4675AA" w:rsidR="005E44CF" w:rsidRPr="005E44CF" w:rsidRDefault="005E44CF" w:rsidP="005E44CF">
      <w:pPr>
        <w:rPr>
          <w:rFonts w:eastAsia="Times New Roman" w:cs="Arial"/>
          <w:color w:val="000000"/>
          <w:lang w:val="ru-RU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свързана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по време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постмаркетинговата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употреба е по-в</w:t>
      </w:r>
      <w:r w:rsidR="00AF72E3">
        <w:rPr>
          <w:rFonts w:eastAsia="Times New Roman" w:cs="Arial"/>
          <w:color w:val="000000"/>
          <w:lang w:eastAsia="bg-BG"/>
        </w:rPr>
        <w:t>и</w:t>
      </w:r>
      <w:r w:rsidRPr="005E44CF">
        <w:rPr>
          <w:rFonts w:eastAsia="Times New Roman" w:cs="Arial"/>
          <w:color w:val="000000"/>
          <w:lang w:eastAsia="bg-BG"/>
        </w:rPr>
        <w:t>сока</w:t>
      </w:r>
      <w:r w:rsidRPr="005E44CF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при дозировка от 40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>.</w:t>
      </w:r>
    </w:p>
    <w:p w14:paraId="12E06E0C" w14:textId="46EA7490" w:rsidR="005E44CF" w:rsidRPr="005E44CF" w:rsidRDefault="005E44CF" w:rsidP="005E44CF">
      <w:pPr>
        <w:rPr>
          <w:rFonts w:eastAsia="Times New Roman" w:cs="Arial"/>
          <w:color w:val="000000"/>
          <w:lang w:val="ru-RU"/>
        </w:rPr>
      </w:pPr>
    </w:p>
    <w:p w14:paraId="5A4A662E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i/>
          <w:iCs/>
          <w:color w:val="000000"/>
          <w:lang w:eastAsia="bg-BG"/>
        </w:rPr>
        <w:t xml:space="preserve">Изследване на </w:t>
      </w:r>
      <w:proofErr w:type="spellStart"/>
      <w:r w:rsidRPr="005E44CF">
        <w:rPr>
          <w:rFonts w:eastAsia="Times New Roman" w:cs="Arial"/>
          <w:i/>
          <w:iCs/>
          <w:color w:val="000000"/>
          <w:lang w:eastAsia="bg-BG"/>
        </w:rPr>
        <w:t>креатинкиназата</w:t>
      </w:r>
      <w:proofErr w:type="spellEnd"/>
    </w:p>
    <w:p w14:paraId="733ED7F0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Креатинкиназата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(СК) не трябва да се изследва след физическо натоварване или при наличие на друга правдоподобна причина за увеличение на СК, която може да затрудни интерпретацията на резултата. Ако нивото на СК е значително повишено на изходно ниво (&gt; 5 пъти над горната референтна граница), трябва да се извърши повторен тест за потвърждаване в рамките на 5-7 дни. Ако се потвърди изходното ниво на СК &gt; 5 пъти над </w:t>
      </w:r>
      <w:r w:rsidRPr="005E44CF">
        <w:rPr>
          <w:rFonts w:eastAsia="Times New Roman" w:cs="Arial"/>
          <w:color w:val="000000"/>
          <w:lang w:val="en-US"/>
        </w:rPr>
        <w:t>ULN</w:t>
      </w:r>
      <w:r w:rsidRPr="005E44CF">
        <w:rPr>
          <w:rFonts w:eastAsia="Times New Roman" w:cs="Arial"/>
          <w:color w:val="000000"/>
          <w:lang w:val="ru-RU"/>
        </w:rPr>
        <w:t xml:space="preserve">, </w:t>
      </w:r>
      <w:r w:rsidRPr="005E44CF">
        <w:rPr>
          <w:rFonts w:eastAsia="Times New Roman" w:cs="Arial"/>
          <w:color w:val="000000"/>
          <w:lang w:eastAsia="bg-BG"/>
        </w:rPr>
        <w:t>лечението не трябва да се започва.</w:t>
      </w:r>
    </w:p>
    <w:p w14:paraId="01D67A82" w14:textId="77777777" w:rsidR="005E44CF" w:rsidRPr="005E44CF" w:rsidRDefault="005E44CF" w:rsidP="005E44C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CEEFB3D" w14:textId="5F5CAFF0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i/>
          <w:iCs/>
          <w:color w:val="000000"/>
          <w:lang w:eastAsia="bg-BG"/>
        </w:rPr>
        <w:t>Преди лечението</w:t>
      </w:r>
    </w:p>
    <w:p w14:paraId="0729201E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lastRenderedPageBreak/>
        <w:t xml:space="preserve">Както и други инхибитори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трябва да бъде предписван с особено внимание при пациенти, за които са налице фактори, предразполагащи развитие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/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>. Такива фактори са:</w:t>
      </w:r>
    </w:p>
    <w:p w14:paraId="300A6B03" w14:textId="77777777" w:rsidR="005E44CF" w:rsidRPr="005E44CF" w:rsidRDefault="005E44CF" w:rsidP="005E44C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>увреждане на бъбречната функция</w:t>
      </w:r>
    </w:p>
    <w:p w14:paraId="4066BB7E" w14:textId="77777777" w:rsidR="005E44CF" w:rsidRPr="005E44CF" w:rsidRDefault="005E44CF" w:rsidP="005E44C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хипотиреоидизъм</w:t>
      </w:r>
      <w:proofErr w:type="spellEnd"/>
    </w:p>
    <w:p w14:paraId="55BB395D" w14:textId="77777777" w:rsidR="005E44CF" w:rsidRPr="005E44CF" w:rsidRDefault="005E44CF" w:rsidP="005E44C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>лична или фамилна анамнеза за наследствено мускулно нарушение</w:t>
      </w:r>
    </w:p>
    <w:p w14:paraId="1D06C145" w14:textId="77777777" w:rsidR="005E44CF" w:rsidRPr="005E44CF" w:rsidRDefault="005E44CF" w:rsidP="005E44C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анамнеза за проява на мускулна токсичност към друг инхибитор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фибрат</w:t>
      </w:r>
      <w:proofErr w:type="spellEnd"/>
    </w:p>
    <w:p w14:paraId="0F11201B" w14:textId="77777777" w:rsidR="005E44CF" w:rsidRPr="005E44CF" w:rsidRDefault="005E44CF" w:rsidP="005E44C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>злоупотреба с алкохол</w:t>
      </w:r>
    </w:p>
    <w:p w14:paraId="0EC60D45" w14:textId="77777777" w:rsidR="005E44CF" w:rsidRPr="005E44CF" w:rsidRDefault="005E44CF" w:rsidP="005E44C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>възраст над 70 години</w:t>
      </w:r>
    </w:p>
    <w:p w14:paraId="58FEE3CF" w14:textId="77777777" w:rsidR="005E44CF" w:rsidRPr="005E44CF" w:rsidRDefault="005E44CF" w:rsidP="005E44C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>ситуации, при които може да се наблюдава повишаване на плазмените нива (</w:t>
      </w:r>
      <w:proofErr w:type="spellStart"/>
      <w:r w:rsidRPr="005E44CF">
        <w:rPr>
          <w:rFonts w:eastAsia="Times New Roman" w:cs="Arial"/>
          <w:color w:val="000000"/>
          <w:lang w:eastAsia="bg-BG"/>
        </w:rPr>
        <w:t>вж.точки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4.2, 4.5 и 5.2)</w:t>
      </w:r>
    </w:p>
    <w:p w14:paraId="737DAC33" w14:textId="5C1627BA" w:rsidR="005E44CF" w:rsidRPr="005E44CF" w:rsidRDefault="005E44CF" w:rsidP="005E44C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съпътстващо приложение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фибрати</w:t>
      </w:r>
      <w:proofErr w:type="spellEnd"/>
    </w:p>
    <w:p w14:paraId="374402E9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>При такива пациенти рискът от лечението трябва да се съобрази с възможната полза, като се препоръчва клинично наблюдение. Ако изходното ниво на СК е значително повишено (&gt; 5 пъти над горната референтна граница), лечението не трябва да започва.</w:t>
      </w:r>
    </w:p>
    <w:p w14:paraId="47306B27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Дози от 30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40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са противопоказани при пациенти с предразполагащи фактори за развитие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>/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>. Вижте точка 4.3.</w:t>
      </w:r>
    </w:p>
    <w:p w14:paraId="69BB1930" w14:textId="77777777" w:rsidR="005E44CF" w:rsidRPr="005E44CF" w:rsidRDefault="005E44CF" w:rsidP="005E44C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78B8E16" w14:textId="457662DA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i/>
          <w:iCs/>
          <w:color w:val="000000"/>
          <w:lang w:eastAsia="bg-BG"/>
        </w:rPr>
        <w:t>По време на лечението</w:t>
      </w:r>
    </w:p>
    <w:p w14:paraId="2FD6B072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Пациентите трябва да бъдат предупредени незабавно да съобщават за появата на необясними мускулни болки, усещане за слабост или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крампи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особено ако са свързани с неразположение или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фебрилитет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При тези пациенти трябва да се изследва нивото на СК. Терапията трябва да се прекрати, ако нивото на СК е значително повишено (&gt; 5 пъти над </w:t>
      </w:r>
      <w:r w:rsidRPr="005E44CF">
        <w:rPr>
          <w:rFonts w:eastAsia="Times New Roman" w:cs="Arial"/>
          <w:color w:val="000000"/>
          <w:lang w:val="en-US"/>
        </w:rPr>
        <w:t>ULN</w:t>
      </w:r>
      <w:r w:rsidRPr="005E44CF">
        <w:rPr>
          <w:rFonts w:eastAsia="Times New Roman" w:cs="Arial"/>
          <w:color w:val="000000"/>
          <w:lang w:val="ru-RU"/>
        </w:rPr>
        <w:t xml:space="preserve">) </w:t>
      </w:r>
      <w:r w:rsidRPr="005E44CF">
        <w:rPr>
          <w:rFonts w:eastAsia="Times New Roman" w:cs="Arial"/>
          <w:color w:val="000000"/>
          <w:lang w:eastAsia="bg-BG"/>
        </w:rPr>
        <w:t xml:space="preserve">или мускулните симптоми са тежки и причиняват дискомфорт по време на обичайната активност (дори нивото на СК да е &lt; 5 пъти над </w:t>
      </w:r>
      <w:r w:rsidRPr="005E44CF">
        <w:rPr>
          <w:rFonts w:eastAsia="Times New Roman" w:cs="Arial"/>
          <w:color w:val="000000"/>
          <w:lang w:val="en-US"/>
        </w:rPr>
        <w:t>ULN</w:t>
      </w:r>
      <w:r w:rsidRPr="005E44CF">
        <w:rPr>
          <w:rFonts w:eastAsia="Times New Roman" w:cs="Arial"/>
          <w:color w:val="000000"/>
          <w:lang w:val="ru-RU"/>
        </w:rPr>
        <w:t xml:space="preserve">). </w:t>
      </w:r>
      <w:r w:rsidRPr="005E44CF">
        <w:rPr>
          <w:rFonts w:eastAsia="Times New Roman" w:cs="Arial"/>
          <w:color w:val="000000"/>
          <w:lang w:eastAsia="bg-BG"/>
        </w:rPr>
        <w:t xml:space="preserve">Ако симптомите изчезнат и нивото на СК се нормализира, може да се помисли за възобновяване на лечението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или с алтернативен инхибитор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прилаган под наблюдение в най-ниска доза. Рутинното мониториране на нивото на СК при пациенти без симптоми не е основателно. Много рядко има съобщения за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имуномедиирана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некротизираща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(ИМНМ) по време на или след лечение със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ИМНМ се характеризира клинично със слабост на проксималната мускулатура и повишена серумна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креатининкиназа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което продължава въпреки прекратяване на лечението със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>.</w:t>
      </w:r>
    </w:p>
    <w:p w14:paraId="3AEC4C78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3AAD413" w14:textId="075AF0E2" w:rsidR="005E44CF" w:rsidRPr="00692BD9" w:rsidRDefault="005E44CF" w:rsidP="005E44CF">
      <w:pPr>
        <w:spacing w:line="240" w:lineRule="auto"/>
        <w:rPr>
          <w:rFonts w:eastAsia="Times New Roman" w:cs="Arial"/>
          <w:color w:val="000000"/>
          <w:lang w:val="ru-RU"/>
        </w:rPr>
      </w:pPr>
      <w:r w:rsidRPr="005E44CF">
        <w:rPr>
          <w:rFonts w:eastAsia="Times New Roman" w:cs="Arial"/>
          <w:color w:val="000000"/>
          <w:lang w:eastAsia="bg-BG"/>
        </w:rPr>
        <w:t xml:space="preserve">По време на клиничните изпитвания при малката група пациенти, при които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прилаган със съпътстващо лечение не са получени данни за увеличаване на ефектите върху скелетната мускулатура, Увеличение на честотата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миозит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наблюдавано обаче при пациенти, приемащи други инхибитори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заедно с производни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фибриновата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киселина, включващи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циклоспорин, никотинова киселина,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азолови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антимикотици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инхибитори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макролидни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антибиотици.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повишава риска от появата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ако се приема едновременно с някои инхибитори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Поради това комбинацията между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не е препоръчителна. Ползата от допълнително понижаване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липидниге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нива в резултат от комбинираното приемане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фибрати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ниацин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трябва да бъде внимателно преценена спрямо потенциалния риск от подобни комбинации. При дози от 30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40 </w:t>
      </w:r>
      <w:r w:rsidRPr="005E44CF">
        <w:rPr>
          <w:rFonts w:eastAsia="Times New Roman" w:cs="Arial"/>
          <w:color w:val="000000"/>
          <w:lang w:val="en-US"/>
        </w:rPr>
        <w:t>mg</w:t>
      </w:r>
    </w:p>
    <w:p w14:paraId="413668BB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съпътстващото лечение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фибрати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противопоказано (вж. точки 4.5 и 4.8).</w:t>
      </w:r>
    </w:p>
    <w:p w14:paraId="2B86869D" w14:textId="46D7C240" w:rsidR="005E44CF" w:rsidRPr="005E44CF" w:rsidRDefault="005E44CF" w:rsidP="005E44CF">
      <w:pPr>
        <w:rPr>
          <w:rFonts w:cs="Arial"/>
        </w:rPr>
      </w:pPr>
    </w:p>
    <w:p w14:paraId="14210A63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lastRenderedPageBreak/>
        <w:t>Ромазик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не трябва да се </w:t>
      </w:r>
      <w:r w:rsidRPr="005E44CF">
        <w:rPr>
          <w:rFonts w:eastAsia="Times New Roman" w:cs="Arial"/>
          <w:i/>
          <w:iCs/>
          <w:color w:val="000000"/>
          <w:lang w:eastAsia="bg-BG"/>
        </w:rPr>
        <w:t>прилага</w:t>
      </w:r>
      <w:r w:rsidRPr="005E44CF">
        <w:rPr>
          <w:rFonts w:eastAsia="Times New Roman" w:cs="Arial"/>
          <w:color w:val="000000"/>
          <w:lang w:eastAsia="bg-BG"/>
        </w:rPr>
        <w:t xml:space="preserve"> едновременно със системно лечение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 или в 7-дневен период след спирането му. При пациенти, при които системното използване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 е абсолютно необходимо, лечението със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трябва да се прекрати по време на лечението със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киселина. Докладвани са случаи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r w:rsidRPr="005E44CF">
        <w:rPr>
          <w:rFonts w:eastAsia="Times New Roman" w:cs="Arial"/>
          <w:i/>
          <w:iCs/>
          <w:color w:val="000000"/>
          <w:lang w:eastAsia="bg-BG"/>
        </w:rPr>
        <w:t>(вкл.</w:t>
      </w:r>
      <w:r w:rsidRPr="005E44CF">
        <w:rPr>
          <w:rFonts w:eastAsia="Times New Roman" w:cs="Arial"/>
          <w:color w:val="000000"/>
          <w:lang w:eastAsia="bg-BG"/>
        </w:rPr>
        <w:t xml:space="preserve"> някои фатални) при пациенти, получаващи в комбинация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(вж. точка 4.5). Пациентите трябва да бъдат посъветвани да потърсят медицинска консултация веднага, ако почувстват симптоми на мускулна слабост, болка или чувствителност.</w:t>
      </w:r>
    </w:p>
    <w:p w14:paraId="5298382D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Лечението със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може да бъде започнато отново седем дни след последната доза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киселина.</w:t>
      </w:r>
    </w:p>
    <w:p w14:paraId="34B009BD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При изключителни обстоятелства, когато е необходимо продължително системно лечение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киселина, напр. за лечение на тежки инфекции, необходимостта от едновременно прилагане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Ромазик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 трябва да се преценява за всеки отделен случай и под строго лекарско наблюдение.</w:t>
      </w:r>
    </w:p>
    <w:p w14:paraId="2EB7715F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726702" w14:textId="692E426E" w:rsidR="005E44CF" w:rsidRPr="005E44CF" w:rsidRDefault="005E44CF" w:rsidP="005E44CF">
      <w:pPr>
        <w:spacing w:line="240" w:lineRule="auto"/>
        <w:rPr>
          <w:rFonts w:eastAsia="Times New Roman" w:cs="Arial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не трябва да се употребява при пациенти с остри, сериозни състояния, показателни за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или предразполагащи към развитие на бъбречна недостатъчност вследствие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(напр. сепсис,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хипотензия</w:t>
      </w:r>
      <w:proofErr w:type="spellEnd"/>
      <w:r w:rsidRPr="005E44CF">
        <w:rPr>
          <w:rFonts w:eastAsia="Times New Roman" w:cs="Arial"/>
          <w:color w:val="000000"/>
          <w:lang w:eastAsia="bg-BG"/>
        </w:rPr>
        <w:t>, голяма операция, травма, тежки метаболитни, ендокринни и електролитни нарушения или неконтролирани гърчове).</w:t>
      </w:r>
    </w:p>
    <w:p w14:paraId="6190A90F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FE69F48" w14:textId="4E850EAC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Влияние върху черния дроб</w:t>
      </w:r>
    </w:p>
    <w:p w14:paraId="6D7941AE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Както при други инхибитори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трябва да се прилага внимателно при пациенти, които приемат голямо количество алкохол и/или имат анамнеза за заболяване на черния дроб.</w:t>
      </w:r>
    </w:p>
    <w:p w14:paraId="5FD996B6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Препоръчително е да се направят изследвания за оценка на функцията на черния дроб преди и 3 месеца след започване на лечението.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трябва да бъде преустановен или дозата трябва да бъде намалена, ако нивото на серумните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надвишава 3 пъти горната референта граница. Съобщената честота на сериозни нежелани реакции от страна на черния дроб, (състоящи се основно в увеличени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) по време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постмаркетинговата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употреба е по-висока при дозата от 40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>.</w:t>
      </w:r>
    </w:p>
    <w:p w14:paraId="2F4CC465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77B08A" w14:textId="05B296B8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При пациенти с вторична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причинена от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хипотиреоидизъм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нефротичен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синдром, основното заболяване трябва да се лекува преди започване на лечение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>.</w:t>
      </w:r>
    </w:p>
    <w:p w14:paraId="277FA526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FBC719A" w14:textId="2F172F55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Раса</w:t>
      </w:r>
    </w:p>
    <w:p w14:paraId="3B5F081F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>При пациенти от азиатски произход е наблюдавана повишена системна експозиция, в сравнение с тези от кавказка раса (вж. точки 4.2,4.3 и 5.2).</w:t>
      </w:r>
    </w:p>
    <w:p w14:paraId="0ADE6B04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7C76BAC" w14:textId="66EF7167" w:rsidR="005E44CF" w:rsidRPr="005E44CF" w:rsidRDefault="005E44CF" w:rsidP="005E44CF">
      <w:pPr>
        <w:spacing w:line="240" w:lineRule="auto"/>
        <w:rPr>
          <w:rFonts w:eastAsia="Times New Roman" w:cs="Arial"/>
        </w:rPr>
      </w:pP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Протеазни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инхибитори</w:t>
      </w:r>
    </w:p>
    <w:p w14:paraId="487A7A3A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Повишена системна експозиция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наблюдавана при лица, приемащи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едновременно с различни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инхибитори, в комбинация с ритонавир. Трябва да се обмисли както ползата от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липидопонижаване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чрез употреба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при пациент с ХИВ, приемащи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протазни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инхибитори, така и потенциала за повишена концентрация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когато се започва лечение и се повишава дозата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при пациенти, лекувани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инхибитори. Едновременното приложение с някои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инхибитори не се препоръчва, освен ако дозата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не се адаптира (вж. точки 4.2 и 4.5).</w:t>
      </w:r>
    </w:p>
    <w:p w14:paraId="7B839468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DAFED9F" w14:textId="11BC2FD4" w:rsidR="005E44CF" w:rsidRPr="005E44CF" w:rsidRDefault="005E44CF" w:rsidP="005E44CF">
      <w:pPr>
        <w:spacing w:line="240" w:lineRule="auto"/>
        <w:rPr>
          <w:rFonts w:eastAsia="Times New Roman" w:cs="Arial"/>
        </w:rPr>
      </w:pP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lastRenderedPageBreak/>
        <w:t>Интерстициална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белодробна болест</w:t>
      </w:r>
    </w:p>
    <w:p w14:paraId="013BAB7B" w14:textId="01E1430F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Съобщени са изолирани случаи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интерстициална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белодробна болест при прием на някои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особено при продължително лечение (вж. точка 4.8). Признаците могат да включват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диспнея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непродуктивна кашлица и влошаване на общото състояние (умора, отслабване на тегло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фебрилигет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). При подозрение, че пациентът е развил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интерстициална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белодробна болест, лечението със статия трябва да бъде преустановено.</w:t>
      </w:r>
    </w:p>
    <w:p w14:paraId="39D651DE" w14:textId="6E0F8D10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5BF432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 xml:space="preserve">Захарен диабет </w:t>
      </w:r>
      <w:r w:rsidRPr="005E44CF">
        <w:rPr>
          <w:rFonts w:eastAsia="Times New Roman" w:cs="Arial"/>
          <w:color w:val="000000"/>
          <w:u w:val="single"/>
          <w:lang w:val="ru-RU"/>
        </w:rPr>
        <w:t>(</w:t>
      </w:r>
      <w:r w:rsidRPr="005E44CF">
        <w:rPr>
          <w:rFonts w:eastAsia="Times New Roman" w:cs="Arial"/>
          <w:color w:val="000000"/>
          <w:u w:val="single"/>
          <w:lang w:val="en-US"/>
        </w:rPr>
        <w:t>Diabetes</w:t>
      </w:r>
      <w:r w:rsidRPr="005E44CF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5E44CF">
        <w:rPr>
          <w:rFonts w:eastAsia="Times New Roman" w:cs="Arial"/>
          <w:color w:val="000000"/>
          <w:u w:val="single"/>
          <w:lang w:val="en-US"/>
        </w:rPr>
        <w:t>mellitus</w:t>
      </w:r>
      <w:r w:rsidRPr="005E44CF">
        <w:rPr>
          <w:rFonts w:eastAsia="Times New Roman" w:cs="Arial"/>
          <w:color w:val="000000"/>
          <w:u w:val="single"/>
          <w:lang w:val="ru-RU"/>
        </w:rPr>
        <w:t>)</w:t>
      </w:r>
    </w:p>
    <w:p w14:paraId="3AB3E53A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Някои данни предполагат, че групата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статините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повишава кръвната захар и при някои пациенти с повишен риск от развитието на диабет може да доведат до ниво на хипергликемия, изискващо предприемането на подходящи мерки. Този риск, обаче, се компенсира от намаляването на съдовия риск при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стотините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поради което не трябва да бъде причина за спиране на лечението със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Пациентите с риск (глюкоза на гладно 5,6 до 6,9 </w:t>
      </w:r>
      <w:r w:rsidRPr="005E44CF">
        <w:rPr>
          <w:rFonts w:eastAsia="Times New Roman" w:cs="Arial"/>
          <w:color w:val="000000"/>
          <w:lang w:val="en-US"/>
        </w:rPr>
        <w:t>mmol</w:t>
      </w:r>
      <w:r w:rsidRPr="005E44CF">
        <w:rPr>
          <w:rFonts w:eastAsia="Times New Roman" w:cs="Arial"/>
          <w:color w:val="000000"/>
          <w:lang w:val="ru-RU"/>
        </w:rPr>
        <w:t>/</w:t>
      </w:r>
      <w:r w:rsidRPr="005E44CF">
        <w:rPr>
          <w:rFonts w:eastAsia="Times New Roman" w:cs="Arial"/>
          <w:color w:val="000000"/>
          <w:lang w:val="en-US"/>
        </w:rPr>
        <w:t>L</w:t>
      </w:r>
      <w:r w:rsidRPr="005E44CF">
        <w:rPr>
          <w:rFonts w:eastAsia="Times New Roman" w:cs="Arial"/>
          <w:color w:val="000000"/>
          <w:lang w:val="ru-RU"/>
        </w:rPr>
        <w:t xml:space="preserve">, </w:t>
      </w:r>
      <w:r w:rsidRPr="005E44CF">
        <w:rPr>
          <w:rFonts w:eastAsia="Times New Roman" w:cs="Arial"/>
          <w:color w:val="000000"/>
          <w:lang w:val="en-US"/>
        </w:rPr>
        <w:t>BMI</w:t>
      </w:r>
      <w:r w:rsidRPr="005E44CF">
        <w:rPr>
          <w:rFonts w:eastAsia="Times New Roman" w:cs="Arial"/>
          <w:color w:val="000000"/>
          <w:lang w:val="ru-RU"/>
        </w:rPr>
        <w:t>&gt;30</w:t>
      </w:r>
      <w:r w:rsidRPr="005E44CF">
        <w:rPr>
          <w:rFonts w:eastAsia="Times New Roman" w:cs="Arial"/>
          <w:color w:val="000000"/>
          <w:lang w:val="en-US"/>
        </w:rPr>
        <w:t>kg</w:t>
      </w:r>
      <w:r w:rsidRPr="005E44CF">
        <w:rPr>
          <w:rFonts w:eastAsia="Times New Roman" w:cs="Arial"/>
          <w:color w:val="000000"/>
          <w:lang w:val="ru-RU"/>
        </w:rPr>
        <w:t>/</w:t>
      </w:r>
      <w:r w:rsidRPr="005E44CF">
        <w:rPr>
          <w:rFonts w:eastAsia="Times New Roman" w:cs="Arial"/>
          <w:color w:val="000000"/>
          <w:lang w:val="en-US"/>
        </w:rPr>
        <w:t>m</w:t>
      </w:r>
      <w:r w:rsidRPr="005E44CF">
        <w:rPr>
          <w:rFonts w:eastAsia="Times New Roman" w:cs="Arial"/>
          <w:color w:val="000000"/>
          <w:vertAlign w:val="superscript"/>
          <w:lang w:val="ru-RU"/>
        </w:rPr>
        <w:t>2</w:t>
      </w:r>
      <w:r w:rsidRPr="005E44CF">
        <w:rPr>
          <w:rFonts w:eastAsia="Times New Roman" w:cs="Arial"/>
          <w:color w:val="000000"/>
          <w:lang w:val="ru-RU"/>
        </w:rPr>
        <w:t xml:space="preserve">, </w:t>
      </w:r>
      <w:r w:rsidRPr="005E44CF">
        <w:rPr>
          <w:rFonts w:eastAsia="Times New Roman" w:cs="Arial"/>
          <w:color w:val="000000"/>
          <w:lang w:eastAsia="bg-BG"/>
        </w:rPr>
        <w:t xml:space="preserve">повишени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триглицериди</w:t>
      </w:r>
      <w:proofErr w:type="spellEnd"/>
      <w:r w:rsidRPr="005E44CF">
        <w:rPr>
          <w:rFonts w:eastAsia="Times New Roman" w:cs="Arial"/>
          <w:color w:val="000000"/>
          <w:lang w:eastAsia="bg-BG"/>
        </w:rPr>
        <w:t>, хипертония) трябва да бъдат проследявани както клинично, така и биохимично съгласно националните препоръки.</w:t>
      </w:r>
    </w:p>
    <w:p w14:paraId="522E81AA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6DAB5A" w14:textId="712276A5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В проучването </w:t>
      </w:r>
      <w:r w:rsidRPr="005E44CF">
        <w:rPr>
          <w:rFonts w:eastAsia="Times New Roman" w:cs="Arial"/>
          <w:color w:val="000000"/>
          <w:lang w:val="en-US"/>
        </w:rPr>
        <w:t>JUPITER</w:t>
      </w:r>
      <w:r w:rsidRPr="005E44CF">
        <w:rPr>
          <w:rFonts w:eastAsia="Times New Roman" w:cs="Arial"/>
          <w:color w:val="000000"/>
          <w:lang w:val="ru-RU"/>
        </w:rPr>
        <w:t xml:space="preserve">, </w:t>
      </w:r>
      <w:r w:rsidRPr="005E44CF">
        <w:rPr>
          <w:rFonts w:eastAsia="Times New Roman" w:cs="Arial"/>
          <w:color w:val="000000"/>
          <w:lang w:eastAsia="bg-BG"/>
        </w:rPr>
        <w:t xml:space="preserve">съобщаваната обща честота на захарен диабет е била 2,8% при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2,3% при плацебо, предимно при пациенти с глюкоза на гладно 5,6 до 6,9 </w:t>
      </w:r>
      <w:r w:rsidRPr="005E44CF">
        <w:rPr>
          <w:rFonts w:eastAsia="Times New Roman" w:cs="Arial"/>
          <w:color w:val="000000"/>
          <w:lang w:val="en-US"/>
        </w:rPr>
        <w:t>mmol</w:t>
      </w:r>
      <w:r w:rsidRPr="005E44CF">
        <w:rPr>
          <w:rFonts w:eastAsia="Times New Roman" w:cs="Arial"/>
          <w:color w:val="000000"/>
          <w:lang w:val="ru-RU"/>
        </w:rPr>
        <w:t>/</w:t>
      </w:r>
      <w:r w:rsidRPr="005E44CF">
        <w:rPr>
          <w:rFonts w:eastAsia="Times New Roman" w:cs="Arial"/>
          <w:color w:val="000000"/>
          <w:lang w:val="en-US"/>
        </w:rPr>
        <w:t>L</w:t>
      </w:r>
      <w:r w:rsidRPr="005E44CF">
        <w:rPr>
          <w:rFonts w:eastAsia="Times New Roman" w:cs="Arial"/>
          <w:color w:val="000000"/>
          <w:lang w:val="ru-RU"/>
        </w:rPr>
        <w:t>.</w:t>
      </w:r>
    </w:p>
    <w:p w14:paraId="44D71B99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45367E5" w14:textId="5D313BFC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Тежки кожни нежелани реакции</w:t>
      </w:r>
    </w:p>
    <w:p w14:paraId="6EC5B1FA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При лечение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се съобщава за тежки кожни нежелани реакции, включващи синдром на </w:t>
      </w:r>
      <w:r w:rsidRPr="005E44CF">
        <w:rPr>
          <w:rFonts w:eastAsia="Times New Roman" w:cs="Arial"/>
          <w:color w:val="000000"/>
          <w:lang w:val="en-US"/>
        </w:rPr>
        <w:t>Stevens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val="en-US"/>
        </w:rPr>
        <w:t>Johnson</w:t>
      </w:r>
      <w:r w:rsidRPr="005E44CF">
        <w:rPr>
          <w:rFonts w:eastAsia="Times New Roman" w:cs="Arial"/>
          <w:color w:val="000000"/>
          <w:lang w:val="ru-RU"/>
        </w:rPr>
        <w:t xml:space="preserve"> (</w:t>
      </w:r>
      <w:r w:rsidRPr="005E44CF">
        <w:rPr>
          <w:rFonts w:eastAsia="Times New Roman" w:cs="Arial"/>
          <w:color w:val="000000"/>
          <w:lang w:val="en-US"/>
        </w:rPr>
        <w:t>SJS</w:t>
      </w:r>
      <w:r w:rsidRPr="005E44CF">
        <w:rPr>
          <w:rFonts w:eastAsia="Times New Roman" w:cs="Arial"/>
          <w:color w:val="000000"/>
          <w:lang w:val="ru-RU"/>
        </w:rPr>
        <w:t xml:space="preserve">) </w:t>
      </w:r>
      <w:r w:rsidRPr="005E44CF">
        <w:rPr>
          <w:rFonts w:eastAsia="Times New Roman" w:cs="Arial"/>
          <w:color w:val="000000"/>
          <w:lang w:eastAsia="bg-BG"/>
        </w:rPr>
        <w:t xml:space="preserve">и лекарствена реакция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еозинофилия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системни симптоми </w:t>
      </w:r>
      <w:r w:rsidRPr="005E44CF">
        <w:rPr>
          <w:rFonts w:eastAsia="Times New Roman" w:cs="Arial"/>
          <w:color w:val="000000"/>
          <w:lang w:val="ru-RU"/>
        </w:rPr>
        <w:t>(</w:t>
      </w:r>
      <w:r w:rsidRPr="005E44CF">
        <w:rPr>
          <w:rFonts w:eastAsia="Times New Roman" w:cs="Arial"/>
          <w:color w:val="000000"/>
          <w:lang w:val="en-US"/>
        </w:rPr>
        <w:t>DRESS</w:t>
      </w:r>
      <w:r w:rsidRPr="005E44CF">
        <w:rPr>
          <w:rFonts w:eastAsia="Times New Roman" w:cs="Arial"/>
          <w:color w:val="000000"/>
          <w:lang w:val="ru-RU"/>
        </w:rPr>
        <w:t xml:space="preserve">), </w:t>
      </w:r>
      <w:r w:rsidRPr="005E44CF">
        <w:rPr>
          <w:rFonts w:eastAsia="Times New Roman" w:cs="Arial"/>
          <w:color w:val="000000"/>
          <w:lang w:eastAsia="bg-BG"/>
        </w:rPr>
        <w:t xml:space="preserve">които може да са животозастрашаващи или с летален изход. При предписването на лекарствения продукт пациентите трябва да бъдат информирани за признаците и симптомите на тежки кожни реакции и да бъдат наблюдавани с повишено внимание. Ако се появят признаци и симптоми, показателни за тази реакция, приложението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Ромазик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r w:rsidRPr="005E44CF">
        <w:rPr>
          <w:rFonts w:eastAsia="Times New Roman" w:cs="Arial"/>
          <w:i/>
          <w:iCs/>
          <w:color w:val="000000"/>
          <w:lang w:eastAsia="bg-BG"/>
        </w:rPr>
        <w:t>трябва</w:t>
      </w:r>
      <w:r w:rsidRPr="005E44CF">
        <w:rPr>
          <w:rFonts w:eastAsia="Times New Roman" w:cs="Arial"/>
          <w:color w:val="000000"/>
          <w:lang w:eastAsia="bg-BG"/>
        </w:rPr>
        <w:t xml:space="preserve"> незабавно да се преустанови и да се обмисли алтернативно лечение.</w:t>
      </w:r>
    </w:p>
    <w:p w14:paraId="3149B257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Ако пациентът е развил сериозна реакция, като например </w:t>
      </w:r>
      <w:r w:rsidRPr="005E44CF">
        <w:rPr>
          <w:rFonts w:eastAsia="Times New Roman" w:cs="Arial"/>
          <w:color w:val="000000"/>
          <w:lang w:val="en-US"/>
        </w:rPr>
        <w:t>SJS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или </w:t>
      </w:r>
      <w:r w:rsidRPr="005E44CF">
        <w:rPr>
          <w:rFonts w:eastAsia="Times New Roman" w:cs="Arial"/>
          <w:color w:val="000000"/>
          <w:lang w:val="en-US"/>
        </w:rPr>
        <w:t>DRESS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при употребата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Ромазик</w:t>
      </w:r>
      <w:proofErr w:type="spellEnd"/>
      <w:r w:rsidRPr="005E44CF">
        <w:rPr>
          <w:rFonts w:eastAsia="Times New Roman" w:cs="Arial"/>
          <w:color w:val="000000"/>
          <w:lang w:eastAsia="bg-BG"/>
        </w:rPr>
        <w:t>, лечението с това лекарството не трябва никога да се подновява при този пациент.</w:t>
      </w:r>
    </w:p>
    <w:p w14:paraId="45855569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4B8A72" w14:textId="0B4A8963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40B2543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Оценяването на линейното израстване (височина), тегло, </w:t>
      </w:r>
      <w:r w:rsidRPr="005E44CF">
        <w:rPr>
          <w:rFonts w:eastAsia="Times New Roman" w:cs="Arial"/>
          <w:color w:val="000000"/>
          <w:lang w:val="en-US"/>
        </w:rPr>
        <w:t>BMI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(индекс на телесната маса), </w:t>
      </w:r>
      <w:r w:rsidRPr="005E44CF">
        <w:rPr>
          <w:rFonts w:eastAsia="Times New Roman" w:cs="Arial"/>
          <w:i/>
          <w:iCs/>
          <w:color w:val="000000"/>
          <w:lang w:eastAsia="bg-BG"/>
        </w:rPr>
        <w:t xml:space="preserve">и </w:t>
      </w:r>
      <w:r w:rsidRPr="005E44CF">
        <w:rPr>
          <w:rFonts w:eastAsia="Times New Roman" w:cs="Arial"/>
          <w:color w:val="000000"/>
          <w:lang w:eastAsia="bg-BG"/>
        </w:rPr>
        <w:t xml:space="preserve">вторичните полови белези на половото съзряване по скалата на </w:t>
      </w:r>
      <w:r w:rsidRPr="005E44CF">
        <w:rPr>
          <w:rFonts w:eastAsia="Times New Roman" w:cs="Arial"/>
          <w:color w:val="000000"/>
          <w:lang w:val="en-US"/>
        </w:rPr>
        <w:t>Tanner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при педиатрични пациенти на възраст 6 до 17 години приемащи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ограничено до двугодишен период. След две години на третиране по време на проучването, не е забелязан никакъв ефект върху растежа, теглото, </w:t>
      </w:r>
      <w:r w:rsidRPr="005E44CF">
        <w:rPr>
          <w:rFonts w:eastAsia="Times New Roman" w:cs="Arial"/>
          <w:color w:val="000000"/>
          <w:lang w:val="en-US"/>
        </w:rPr>
        <w:t>BMI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>или половото съзряване (вж. точка 5.1).</w:t>
      </w:r>
    </w:p>
    <w:p w14:paraId="214C086E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AA139E8" w14:textId="272A6AB2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В клинично проучване на деца и младежи приемащи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за 52 седмици, повишаване на СК &gt;10</w:t>
      </w:r>
      <w:proofErr w:type="spellStart"/>
      <w:r w:rsidRPr="005E44CF">
        <w:rPr>
          <w:rFonts w:eastAsia="Times New Roman" w:cs="Arial"/>
          <w:color w:val="000000"/>
          <w:lang w:val="en-US"/>
        </w:rPr>
        <w:t>xULN</w:t>
      </w:r>
      <w:proofErr w:type="spellEnd"/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>и мускулните симптоми след упражнение или повишена физическа активност са наблюдавани по-често в сравнение с наблюдения от клинични проучвания при възрастни (вж. точка 4.8).</w:t>
      </w:r>
    </w:p>
    <w:p w14:paraId="0BC70D46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374676" w14:textId="7CEC2EA9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Непоносимост към лактоза</w:t>
      </w:r>
    </w:p>
    <w:p w14:paraId="1196D3CB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lastRenderedPageBreak/>
        <w:t xml:space="preserve">Пациенти с редки наследствени дефекти като непоносимост към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галактоза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общ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лактазен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дефицит или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глюкозо-галактозна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малабсорбция не трябва да приемат този лекарствен продукт.</w:t>
      </w:r>
    </w:p>
    <w:p w14:paraId="48D24FA5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247CBB1" w14:textId="6E54DDEA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Други помощни вещества</w:t>
      </w:r>
    </w:p>
    <w:p w14:paraId="5E43FB46" w14:textId="3F6C306D" w:rsid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r w:rsidRPr="005E44CF">
        <w:rPr>
          <w:rFonts w:eastAsia="Times New Roman" w:cs="Arial"/>
          <w:color w:val="000000"/>
          <w:lang w:val="en-US"/>
        </w:rPr>
        <w:t>mmol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натрий (23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) </w:t>
      </w:r>
      <w:r w:rsidRPr="005E44CF">
        <w:rPr>
          <w:rFonts w:eastAsia="Times New Roman" w:cs="Arial"/>
          <w:color w:val="000000"/>
          <w:lang w:eastAsia="bg-BG"/>
        </w:rPr>
        <w:t>за таблетка, т.е. практически не съдържа натрий.</w:t>
      </w:r>
    </w:p>
    <w:p w14:paraId="348AABBA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</w:p>
    <w:p w14:paraId="62F27C9B" w14:textId="46EAC826" w:rsidR="00DB32D3" w:rsidRDefault="002C50EE" w:rsidP="005726E3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80D41E2" w14:textId="6FA53A0A" w:rsidR="005E44CF" w:rsidRDefault="005E44CF" w:rsidP="005E44CF"/>
    <w:p w14:paraId="676CCEE6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i/>
          <w:iCs/>
          <w:color w:val="000000"/>
          <w:lang w:eastAsia="bg-BG"/>
        </w:rPr>
        <w:t xml:space="preserve">Ефект на едновременно приложени лекарствени продукти върху </w:t>
      </w:r>
      <w:proofErr w:type="spellStart"/>
      <w:r w:rsidRPr="005E44CF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i/>
          <w:iCs/>
          <w:color w:val="000000"/>
          <w:lang w:eastAsia="bg-BG"/>
        </w:rPr>
        <w:t>,</w:t>
      </w:r>
    </w:p>
    <w:p w14:paraId="0084CFA2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44A4776" w14:textId="11E104E0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Инхибитори на транспортните протеини</w:t>
      </w:r>
    </w:p>
    <w:p w14:paraId="40A46803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субстрат на определени транспортни протеини, включително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транспортера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на чернодробния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захват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ОАТР1В1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ефлукс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транспортера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r w:rsidRPr="005E44CF">
        <w:rPr>
          <w:rFonts w:eastAsia="Times New Roman" w:cs="Arial"/>
          <w:color w:val="000000"/>
          <w:lang w:val="en-US"/>
        </w:rPr>
        <w:t>BCRP</w:t>
      </w:r>
      <w:r w:rsidRPr="005E44CF">
        <w:rPr>
          <w:rFonts w:eastAsia="Times New Roman" w:cs="Arial"/>
          <w:color w:val="000000"/>
          <w:lang w:val="ru-RU"/>
        </w:rPr>
        <w:t>.</w:t>
      </w:r>
      <w:r w:rsidRPr="005E44CF">
        <w:rPr>
          <w:rFonts w:eastAsia="Times New Roman" w:cs="Arial"/>
          <w:color w:val="000000"/>
          <w:lang w:eastAsia="bg-BG"/>
        </w:rPr>
        <w:t xml:space="preserve"> Едновременното пр</w:t>
      </w:r>
      <w:r w:rsidRPr="005E44CF">
        <w:rPr>
          <w:rFonts w:eastAsia="Times New Roman" w:cs="Arial"/>
          <w:color w:val="000000"/>
          <w:u w:val="single"/>
          <w:lang w:eastAsia="bg-BG"/>
        </w:rPr>
        <w:t>иложе</w:t>
      </w:r>
      <w:r w:rsidRPr="005E44CF">
        <w:rPr>
          <w:rFonts w:eastAsia="Times New Roman" w:cs="Arial"/>
          <w:color w:val="000000"/>
          <w:lang w:eastAsia="bg-BG"/>
        </w:rPr>
        <w:t xml:space="preserve">ние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 лекарствени продукти, които са инхибитори на тези протеини, може да доведе до повишаване на плазмената концентрация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повишен риск от</w:t>
      </w:r>
    </w:p>
    <w:p w14:paraId="7E371560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(вж. точки 4.2,4.4 и 4.5 и Таблица 1).</w:t>
      </w:r>
    </w:p>
    <w:p w14:paraId="06E4C833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23BFF5C" w14:textId="03E86E86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Циклоспорин</w:t>
      </w:r>
    </w:p>
    <w:p w14:paraId="0C634D5D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При съпътстващо приложение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циклоспорин, стойностите на </w:t>
      </w:r>
      <w:r w:rsidRPr="005E44CF">
        <w:rPr>
          <w:rFonts w:eastAsia="Times New Roman" w:cs="Arial"/>
          <w:color w:val="000000"/>
          <w:lang w:val="en-US"/>
        </w:rPr>
        <w:t>AUC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са били средно 7 пъти по-високи от тези, наблюдавани при здрави доброволци (вж. Таблица 1).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противопоказан при пациенти, едновременно получаващи циклоспорин (вж. точка 4.3).</w:t>
      </w:r>
    </w:p>
    <w:p w14:paraId="589BA7CC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>Съпътстващото приложение не е повлияло плазмените концентрации на циклоспорин.</w:t>
      </w:r>
    </w:p>
    <w:p w14:paraId="6A09728F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6813418" w14:textId="75521C02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Протеазни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инхибитори</w:t>
      </w:r>
    </w:p>
    <w:p w14:paraId="05B867A5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Въпреки, че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точият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механизъм на взаимодействие не е известен, едновременното приложение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инхибитори може рязко да повиши експозицията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(вж. Таблица 1). Например едновременното приложение на 10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комбиниран продукт, състоящ се от два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инхибитора (300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/100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ритонавир) по време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фармакокинетично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проучване при здрави доброволци, се асоциира с приблизително трикратно нарастване на </w:t>
      </w:r>
      <w:r w:rsidRPr="005E44CF">
        <w:rPr>
          <w:rFonts w:eastAsia="Times New Roman" w:cs="Arial"/>
          <w:color w:val="000000"/>
          <w:lang w:val="en-US"/>
        </w:rPr>
        <w:t>AUC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Стах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Едновременното приложение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някои комбинации от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инхибитори може да се има предвид след внимателно преценяване на корекциите на дозата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>, въз основа на очакваното повишение на експозицията му (вж. точки 4.2,4.4 и 4.5 Таблица 1).</w:t>
      </w:r>
    </w:p>
    <w:p w14:paraId="57C2CCC6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6CE023" w14:textId="077CBF4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Гемфиброзил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и други </w:t>
      </w: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липидопонижаващи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продукти</w:t>
      </w:r>
    </w:p>
    <w:p w14:paraId="01DF653A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Съпътстващото приложение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довело до двукратно повишение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Стах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r w:rsidRPr="005E44CF">
        <w:rPr>
          <w:rFonts w:eastAsia="Times New Roman" w:cs="Arial"/>
          <w:color w:val="000000"/>
          <w:lang w:val="en-US"/>
        </w:rPr>
        <w:t>AUC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(вж. точка 4.4).</w:t>
      </w:r>
    </w:p>
    <w:p w14:paraId="723B129F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Въз основа на данни от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проучвания за специфични лекарствени взаимодействия, не се очаква взаимодействие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но е възможна поява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фармакодинамични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взаимодействия.</w:t>
      </w:r>
    </w:p>
    <w:p w14:paraId="5F465293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други фибрата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липидопонижаващите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дози (в дози &gt; или равни на 1 </w:t>
      </w:r>
      <w:r w:rsidRPr="005E44CF">
        <w:rPr>
          <w:rFonts w:eastAsia="Times New Roman" w:cs="Arial"/>
          <w:color w:val="000000"/>
          <w:lang w:val="en-US"/>
        </w:rPr>
        <w:t>g</w:t>
      </w:r>
      <w:r w:rsidRPr="005E44CF">
        <w:rPr>
          <w:rFonts w:eastAsia="Times New Roman" w:cs="Arial"/>
          <w:color w:val="000000"/>
          <w:lang w:eastAsia="bg-BG"/>
        </w:rPr>
        <w:t xml:space="preserve">/ден)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ниацин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(никотинова киселина) повишават риска от появата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при комбиниране с инхибитори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>(</w:t>
      </w:r>
      <w:proofErr w:type="spellStart"/>
      <w:r w:rsidRPr="005E44CF">
        <w:rPr>
          <w:rFonts w:eastAsia="Times New Roman" w:cs="Arial"/>
          <w:color w:val="000000"/>
          <w:lang w:eastAsia="bg-BG"/>
        </w:rPr>
        <w:t>хидроксиметил-глутарил-коензим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А)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вероятно поради факта, че те могат да предизвикат появата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lastRenderedPageBreak/>
        <w:t xml:space="preserve">и при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монотерапия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Дозата от 40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е противопоказана при съпътстващо лечение с фибрата (вж. точки </w:t>
      </w:r>
      <w:r w:rsidRPr="005E44CF">
        <w:rPr>
          <w:rFonts w:eastAsia="Times New Roman" w:cs="Arial"/>
          <w:i/>
          <w:iCs/>
          <w:color w:val="000000"/>
          <w:lang w:eastAsia="bg-BG"/>
        </w:rPr>
        <w:t>4.3</w:t>
      </w:r>
      <w:r w:rsidRPr="005E44CF">
        <w:rPr>
          <w:rFonts w:eastAsia="Times New Roman" w:cs="Arial"/>
          <w:color w:val="000000"/>
          <w:lang w:eastAsia="bg-BG"/>
        </w:rPr>
        <w:t xml:space="preserve"> и 4.4). При тези пациенти лечението трябва да започне с доза от 5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>.</w:t>
      </w:r>
    </w:p>
    <w:p w14:paraId="39A8E90B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7DAC911" w14:textId="6736BACB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Езетимиб</w:t>
      </w:r>
      <w:proofErr w:type="spellEnd"/>
    </w:p>
    <w:p w14:paraId="0F6047BA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Съпътстващата употреба на 10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10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води до 1,2 кратно повишение на </w:t>
      </w:r>
      <w:r w:rsidRPr="005E44CF">
        <w:rPr>
          <w:rFonts w:eastAsia="Times New Roman" w:cs="Arial"/>
          <w:color w:val="000000"/>
          <w:lang w:val="en-US"/>
        </w:rPr>
        <w:t>AUC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при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хиперхолестеролемични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пациенти (Таблица 1). Това не може да се изключи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фармакодинамично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взаимодействие между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5E44CF">
        <w:rPr>
          <w:rFonts w:eastAsia="Times New Roman" w:cs="Arial"/>
          <w:color w:val="000000"/>
          <w:lang w:eastAsia="bg-BG"/>
        </w:rPr>
        <w:t>, което да има като резултат нежелани реакции (вж. точка 4.4).</w:t>
      </w:r>
    </w:p>
    <w:p w14:paraId="678FF02B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BAC6709" w14:textId="20012909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Антиапиди</w:t>
      </w:r>
      <w:proofErr w:type="spellEnd"/>
    </w:p>
    <w:p w14:paraId="1FF9B484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Едновременното приложение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антиацвдна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суспензия, съдържаща алуминиев и магнезиев хидроксид е довело до намаляване на плазмената концентрация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 около 50%.</w:t>
      </w:r>
    </w:p>
    <w:p w14:paraId="498EE353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Този ефект е бил отслабен, когато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антиацидите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са давани 2 часа след приема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>. Клиничното значение на това взаимодействие не е изследвано.</w:t>
      </w:r>
    </w:p>
    <w:p w14:paraId="780DAF22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9B3C9E9" w14:textId="17FDA0C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Еритромицин</w:t>
      </w:r>
      <w:proofErr w:type="spellEnd"/>
    </w:p>
    <w:p w14:paraId="5155B28E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Съпътстващата употреба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довела до намаляване с 20% на </w:t>
      </w:r>
      <w:r w:rsidRPr="005E44CF">
        <w:rPr>
          <w:rFonts w:eastAsia="Times New Roman" w:cs="Arial"/>
          <w:color w:val="000000"/>
          <w:lang w:val="en-US"/>
        </w:rPr>
        <w:t>AUC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>и с 30% на С</w:t>
      </w:r>
      <w:r w:rsidRPr="005E44CF">
        <w:rPr>
          <w:rFonts w:eastAsia="Times New Roman" w:cs="Arial"/>
          <w:color w:val="000000"/>
          <w:vertAlign w:val="subscript"/>
          <w:lang w:val="en-US"/>
        </w:rPr>
        <w:t>max</w:t>
      </w:r>
      <w:r w:rsidRPr="005E44CF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Взаимодействието може да е предизвикано от повишения чревен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мотилитет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вследствие на приемането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5E44CF">
        <w:rPr>
          <w:rFonts w:eastAsia="Times New Roman" w:cs="Arial"/>
          <w:color w:val="000000"/>
          <w:lang w:eastAsia="bg-BG"/>
        </w:rPr>
        <w:t>.</w:t>
      </w:r>
    </w:p>
    <w:p w14:paraId="0B4AD9F6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AFD34A" w14:textId="40049813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 xml:space="preserve">Ензими от системата на </w:t>
      </w: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цитохром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Р450</w:t>
      </w:r>
    </w:p>
    <w:p w14:paraId="7749B8B0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Резултати от </w:t>
      </w:r>
      <w:r w:rsidRPr="005E44CF">
        <w:rPr>
          <w:rFonts w:eastAsia="Times New Roman" w:cs="Arial"/>
          <w:i/>
          <w:iCs/>
          <w:color w:val="000000"/>
          <w:lang w:val="en-US"/>
        </w:rPr>
        <w:t>in</w:t>
      </w:r>
      <w:r w:rsidRPr="005E44C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5E44CF">
        <w:rPr>
          <w:rFonts w:eastAsia="Times New Roman" w:cs="Arial"/>
          <w:i/>
          <w:iCs/>
          <w:color w:val="000000"/>
          <w:lang w:val="en-US"/>
        </w:rPr>
        <w:t>vitro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</w:t>
      </w:r>
      <w:r w:rsidRPr="005E44CF">
        <w:rPr>
          <w:rFonts w:eastAsia="Times New Roman" w:cs="Arial"/>
          <w:i/>
          <w:iCs/>
          <w:color w:val="000000"/>
          <w:lang w:val="en-US"/>
        </w:rPr>
        <w:t>in</w:t>
      </w:r>
      <w:r w:rsidRPr="005E44C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5E44CF">
        <w:rPr>
          <w:rFonts w:eastAsia="Times New Roman" w:cs="Arial"/>
          <w:i/>
          <w:iCs/>
          <w:color w:val="000000"/>
          <w:lang w:val="en-US"/>
        </w:rPr>
        <w:t>vivo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проучвания показват, че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не е нито инхибитор, нито индуктор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Р450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изоензимите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В прибавка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лош субстрат н</w:t>
      </w:r>
      <w:r w:rsidRPr="005E44CF">
        <w:rPr>
          <w:rFonts w:eastAsia="Times New Roman" w:cs="Arial"/>
          <w:color w:val="000000"/>
          <w:u w:val="single"/>
          <w:lang w:eastAsia="bg-BG"/>
        </w:rPr>
        <w:t xml:space="preserve">а тези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изоензими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Следователно, не се очакват лекарствени взаимодействия като резултат от 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Р450-медиирания метаболизъм. Не са наблюдавани клинично значими взаимодействия между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флуконазол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(инхибитор на </w:t>
      </w:r>
      <w:r w:rsidRPr="005E44CF">
        <w:rPr>
          <w:rFonts w:eastAsia="Times New Roman" w:cs="Arial"/>
          <w:color w:val="000000"/>
          <w:lang w:val="en-US"/>
        </w:rPr>
        <w:t>CYP</w:t>
      </w:r>
      <w:r w:rsidRPr="005E44CF">
        <w:rPr>
          <w:rFonts w:eastAsia="Times New Roman" w:cs="Arial"/>
          <w:color w:val="000000"/>
          <w:lang w:val="ru-RU"/>
        </w:rPr>
        <w:t>2</w:t>
      </w:r>
      <w:r w:rsidRPr="005E44CF">
        <w:rPr>
          <w:rFonts w:eastAsia="Times New Roman" w:cs="Arial"/>
          <w:color w:val="000000"/>
          <w:lang w:val="en-US"/>
        </w:rPr>
        <w:t>C</w:t>
      </w:r>
      <w:r w:rsidRPr="005E44CF">
        <w:rPr>
          <w:rFonts w:eastAsia="Times New Roman" w:cs="Arial"/>
          <w:color w:val="000000"/>
          <w:lang w:val="ru-RU"/>
        </w:rPr>
        <w:t>9</w:t>
      </w:r>
      <w:r w:rsidRPr="005E44CF">
        <w:rPr>
          <w:rFonts w:eastAsia="Times New Roman" w:cs="Arial"/>
          <w:color w:val="000000"/>
          <w:lang w:eastAsia="bg-BG"/>
        </w:rPr>
        <w:t xml:space="preserve"> и </w:t>
      </w:r>
      <w:r w:rsidRPr="005E44CF">
        <w:rPr>
          <w:rFonts w:eastAsia="Times New Roman" w:cs="Arial"/>
          <w:color w:val="000000"/>
          <w:lang w:val="en-US"/>
        </w:rPr>
        <w:t>CYP</w:t>
      </w:r>
      <w:r w:rsidRPr="005E44CF">
        <w:rPr>
          <w:rFonts w:eastAsia="Times New Roman" w:cs="Arial"/>
          <w:color w:val="000000"/>
          <w:lang w:val="ru-RU"/>
        </w:rPr>
        <w:t>3</w:t>
      </w:r>
      <w:r w:rsidRPr="005E44CF">
        <w:rPr>
          <w:rFonts w:eastAsia="Times New Roman" w:cs="Arial"/>
          <w:color w:val="000000"/>
          <w:lang w:val="en-US"/>
        </w:rPr>
        <w:t>A</w:t>
      </w:r>
      <w:r w:rsidRPr="005E44CF">
        <w:rPr>
          <w:rFonts w:eastAsia="Times New Roman" w:cs="Arial"/>
          <w:color w:val="000000"/>
          <w:lang w:val="ru-RU"/>
        </w:rPr>
        <w:t>4</w:t>
      </w:r>
      <w:r w:rsidRPr="005E44CF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кетоконазол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(инхибитор на </w:t>
      </w:r>
      <w:r w:rsidRPr="005E44CF">
        <w:rPr>
          <w:rFonts w:eastAsia="Times New Roman" w:cs="Arial"/>
          <w:color w:val="000000"/>
          <w:lang w:val="en-US"/>
        </w:rPr>
        <w:t>CYP</w:t>
      </w:r>
      <w:r w:rsidRPr="005E44CF">
        <w:rPr>
          <w:rFonts w:eastAsia="Times New Roman" w:cs="Arial"/>
          <w:color w:val="000000"/>
          <w:lang w:val="ru-RU"/>
        </w:rPr>
        <w:t>2</w:t>
      </w:r>
      <w:r w:rsidRPr="005E44CF">
        <w:rPr>
          <w:rFonts w:eastAsia="Times New Roman" w:cs="Arial"/>
          <w:color w:val="000000"/>
          <w:lang w:val="en-US"/>
        </w:rPr>
        <w:t>A</w:t>
      </w:r>
      <w:r w:rsidRPr="005E44CF">
        <w:rPr>
          <w:rFonts w:eastAsia="Times New Roman" w:cs="Arial"/>
          <w:color w:val="000000"/>
          <w:lang w:val="ru-RU"/>
        </w:rPr>
        <w:t xml:space="preserve">6 </w:t>
      </w:r>
      <w:r w:rsidRPr="005E44CF">
        <w:rPr>
          <w:rFonts w:eastAsia="Times New Roman" w:cs="Arial"/>
          <w:color w:val="000000"/>
          <w:lang w:eastAsia="bg-BG"/>
        </w:rPr>
        <w:t xml:space="preserve">и </w:t>
      </w:r>
      <w:r w:rsidRPr="005E44CF">
        <w:rPr>
          <w:rFonts w:eastAsia="Times New Roman" w:cs="Arial"/>
          <w:color w:val="000000"/>
          <w:lang w:val="en-US"/>
        </w:rPr>
        <w:t>CYP</w:t>
      </w:r>
      <w:r w:rsidRPr="005E44CF">
        <w:rPr>
          <w:rFonts w:eastAsia="Times New Roman" w:cs="Arial"/>
          <w:color w:val="000000"/>
          <w:lang w:val="ru-RU"/>
        </w:rPr>
        <w:t>3</w:t>
      </w:r>
      <w:r w:rsidRPr="005E44CF">
        <w:rPr>
          <w:rFonts w:eastAsia="Times New Roman" w:cs="Arial"/>
          <w:color w:val="000000"/>
          <w:lang w:val="en-US"/>
        </w:rPr>
        <w:t>A</w:t>
      </w:r>
      <w:r w:rsidRPr="005E44CF">
        <w:rPr>
          <w:rFonts w:eastAsia="Times New Roman" w:cs="Arial"/>
          <w:color w:val="000000"/>
          <w:lang w:val="ru-RU"/>
        </w:rPr>
        <w:t>4).</w:t>
      </w:r>
    </w:p>
    <w:p w14:paraId="5F1A7A8B" w14:textId="77777777" w:rsidR="005E44CF" w:rsidRPr="005E44CF" w:rsidRDefault="005E44CF" w:rsidP="005E44CF">
      <w:pPr>
        <w:rPr>
          <w:rFonts w:eastAsia="Times New Roman" w:cs="Arial"/>
          <w:color w:val="000000"/>
          <w:u w:val="single"/>
          <w:lang w:eastAsia="bg-BG"/>
        </w:rPr>
      </w:pPr>
    </w:p>
    <w:p w14:paraId="518E7577" w14:textId="15DC13E5" w:rsidR="005E44CF" w:rsidRPr="005E44CF" w:rsidRDefault="005E44CF" w:rsidP="005E44CF">
      <w:pPr>
        <w:rPr>
          <w:rFonts w:eastAsia="Times New Roman" w:cs="Arial"/>
          <w:color w:val="000000"/>
          <w:u w:val="single"/>
          <w:lang w:eastAsia="bg-BG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 xml:space="preserve">Взаимодействия, които изискват корекция на дозата </w:t>
      </w: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(вж. също Таблица 1).</w:t>
      </w:r>
    </w:p>
    <w:p w14:paraId="026453AF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Когато е необходимо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да се прилага заедно с други лекарствени продукти, за които е известно, че повишават експозицията му, дозите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трябва да се коригират.</w:t>
      </w:r>
    </w:p>
    <w:p w14:paraId="5DEB152C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Започва се с доза 5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веднъж дневно, ако очакваното повишение на експозицията </w:t>
      </w:r>
      <w:r w:rsidRPr="005E44CF">
        <w:rPr>
          <w:rFonts w:eastAsia="Times New Roman" w:cs="Arial"/>
          <w:color w:val="000000"/>
          <w:lang w:val="ru-RU"/>
        </w:rPr>
        <w:t>(</w:t>
      </w:r>
      <w:r w:rsidRPr="005E44CF">
        <w:rPr>
          <w:rFonts w:eastAsia="Times New Roman" w:cs="Arial"/>
          <w:color w:val="000000"/>
          <w:lang w:val="en-US"/>
        </w:rPr>
        <w:t>AUC</w:t>
      </w:r>
      <w:r w:rsidRPr="005E44CF">
        <w:rPr>
          <w:rFonts w:eastAsia="Times New Roman" w:cs="Arial"/>
          <w:color w:val="000000"/>
          <w:lang w:val="ru-RU"/>
        </w:rPr>
        <w:t xml:space="preserve">) </w:t>
      </w:r>
      <w:r w:rsidRPr="005E44CF">
        <w:rPr>
          <w:rFonts w:eastAsia="Times New Roman" w:cs="Arial"/>
          <w:color w:val="000000"/>
          <w:lang w:eastAsia="bg-BG"/>
        </w:rPr>
        <w:t xml:space="preserve">е приблизително двукратно или по-голямо. Максималната дневна доза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трябва да се коригира така, че очакваната експозиция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да няма вероятност да надвиши тази на 40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дневна доза от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приеман без взаимодействащи лекарствени продукти, например, доза от 20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(1,9-пъти повишение), и доза 10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 комбинация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5E44CF">
        <w:rPr>
          <w:rFonts w:eastAsia="Times New Roman" w:cs="Arial"/>
          <w:color w:val="000000"/>
          <w:lang w:eastAsia="bg-BG"/>
        </w:rPr>
        <w:t>/ритонавир (3,1-пъти повишение).</w:t>
      </w:r>
    </w:p>
    <w:p w14:paraId="444E8348" w14:textId="77777777" w:rsidR="005E44CF" w:rsidRPr="005E44CF" w:rsidRDefault="005E44CF" w:rsidP="005E44CF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E982676" w14:textId="2B10F332" w:rsidR="005E44CF" w:rsidRPr="005E44CF" w:rsidRDefault="005E44CF" w:rsidP="005E44CF">
      <w:pPr>
        <w:spacing w:line="240" w:lineRule="auto"/>
        <w:jc w:val="center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b/>
          <w:bCs/>
          <w:color w:val="000000"/>
          <w:lang w:eastAsia="bg-BG"/>
        </w:rPr>
        <w:t xml:space="preserve">Таблица 1 Ефект на едновременно прилаган лекарствен продукт върху експозицията на </w:t>
      </w:r>
      <w:proofErr w:type="spellStart"/>
      <w:r w:rsidRPr="005E44CF">
        <w:rPr>
          <w:rFonts w:eastAsia="Times New Roman" w:cs="Arial"/>
          <w:b/>
          <w:bCs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5E44CF">
        <w:rPr>
          <w:rFonts w:eastAsia="Times New Roman" w:cs="Arial"/>
          <w:b/>
          <w:bCs/>
          <w:color w:val="000000"/>
          <w:lang w:val="ru-RU"/>
        </w:rPr>
        <w:t>(</w:t>
      </w:r>
      <w:r w:rsidRPr="005E44CF">
        <w:rPr>
          <w:rFonts w:eastAsia="Times New Roman" w:cs="Arial"/>
          <w:b/>
          <w:bCs/>
          <w:color w:val="000000"/>
          <w:lang w:val="en-US"/>
        </w:rPr>
        <w:t>AUC</w:t>
      </w:r>
      <w:r w:rsidRPr="005E44CF">
        <w:rPr>
          <w:rFonts w:eastAsia="Times New Roman" w:cs="Arial"/>
          <w:b/>
          <w:bCs/>
          <w:color w:val="000000"/>
          <w:lang w:val="ru-RU"/>
        </w:rPr>
        <w:t xml:space="preserve">; </w:t>
      </w:r>
      <w:r w:rsidRPr="005E44CF">
        <w:rPr>
          <w:rFonts w:eastAsia="Times New Roman" w:cs="Arial"/>
          <w:b/>
          <w:bCs/>
          <w:color w:val="000000"/>
          <w:lang w:eastAsia="bg-BG"/>
        </w:rPr>
        <w:t>в низходящ ред) от публикувани клинични</w:t>
      </w:r>
    </w:p>
    <w:p w14:paraId="36F3F329" w14:textId="06CB31A0" w:rsidR="005E44CF" w:rsidRDefault="005E44CF" w:rsidP="005E44CF">
      <w:pPr>
        <w:jc w:val="center"/>
        <w:rPr>
          <w:rFonts w:eastAsia="Times New Roman" w:cs="Arial"/>
          <w:b/>
          <w:bCs/>
          <w:color w:val="000000"/>
          <w:u w:val="single"/>
          <w:lang w:eastAsia="bg-BG"/>
        </w:rPr>
      </w:pPr>
      <w:r w:rsidRPr="005E44CF">
        <w:rPr>
          <w:rFonts w:eastAsia="Times New Roman" w:cs="Arial"/>
          <w:b/>
          <w:bCs/>
          <w:color w:val="000000"/>
          <w:u w:val="single"/>
          <w:lang w:eastAsia="bg-BG"/>
        </w:rPr>
        <w:t>проучвания</w:t>
      </w:r>
    </w:p>
    <w:p w14:paraId="3C3B8611" w14:textId="286EA13C" w:rsidR="005E44CF" w:rsidRDefault="005E44CF" w:rsidP="005E44CF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6"/>
        <w:gridCol w:w="2632"/>
        <w:gridCol w:w="2742"/>
      </w:tblGrid>
      <w:tr w:rsidR="005E44CF" w14:paraId="3C49DD10" w14:textId="77777777" w:rsidTr="005E44CF">
        <w:tc>
          <w:tcPr>
            <w:tcW w:w="4077" w:type="dxa"/>
          </w:tcPr>
          <w:p w14:paraId="1D6337AC" w14:textId="5DE287AB" w:rsidR="005E44CF" w:rsidRDefault="005E44CF" w:rsidP="005E44CF">
            <w:pPr>
              <w:rPr>
                <w:rFonts w:cs="Arial"/>
              </w:rPr>
            </w:pPr>
            <w:proofErr w:type="spellStart"/>
            <w:r>
              <w:rPr>
                <w:b/>
                <w:bCs/>
              </w:rPr>
              <w:t>Дозов</w:t>
            </w:r>
            <w:proofErr w:type="spellEnd"/>
            <w:r>
              <w:rPr>
                <w:b/>
                <w:bCs/>
              </w:rPr>
              <w:t xml:space="preserve"> режим на взаимодействащото лекарство</w:t>
            </w:r>
          </w:p>
        </w:tc>
        <w:tc>
          <w:tcPr>
            <w:tcW w:w="2694" w:type="dxa"/>
          </w:tcPr>
          <w:p w14:paraId="025B84B3" w14:textId="567B8D0D" w:rsidR="005E44CF" w:rsidRDefault="005E44CF" w:rsidP="005E44CF">
            <w:pPr>
              <w:rPr>
                <w:rFonts w:cs="Arial"/>
              </w:rPr>
            </w:pPr>
            <w:proofErr w:type="spellStart"/>
            <w:r>
              <w:rPr>
                <w:b/>
                <w:bCs/>
              </w:rPr>
              <w:t>Дозов</w:t>
            </w:r>
            <w:proofErr w:type="spellEnd"/>
            <w:r>
              <w:rPr>
                <w:b/>
                <w:bCs/>
              </w:rPr>
              <w:t xml:space="preserve"> режим на </w:t>
            </w:r>
            <w:proofErr w:type="spellStart"/>
            <w:r>
              <w:rPr>
                <w:b/>
                <w:bCs/>
              </w:rPr>
              <w:t>розувастатин</w:t>
            </w:r>
            <w:proofErr w:type="spellEnd"/>
          </w:p>
        </w:tc>
        <w:tc>
          <w:tcPr>
            <w:tcW w:w="2805" w:type="dxa"/>
          </w:tcPr>
          <w:p w14:paraId="0BFE77E2" w14:textId="5CDF1512" w:rsidR="005E44CF" w:rsidRDefault="005E44CF" w:rsidP="005E44CF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Промяна в </w:t>
            </w:r>
            <w:r>
              <w:rPr>
                <w:b/>
                <w:bCs/>
                <w:lang w:val="en-US"/>
              </w:rPr>
              <w:t>AUC</w:t>
            </w:r>
            <w:r w:rsidRPr="005E44C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на </w:t>
            </w:r>
            <w:proofErr w:type="spellStart"/>
            <w:r>
              <w:rPr>
                <w:b/>
                <w:bCs/>
              </w:rPr>
              <w:t>розувастатин</w:t>
            </w:r>
            <w:proofErr w:type="spellEnd"/>
            <w:r>
              <w:rPr>
                <w:b/>
                <w:bCs/>
              </w:rPr>
              <w:t>*</w:t>
            </w:r>
          </w:p>
        </w:tc>
      </w:tr>
      <w:tr w:rsidR="005E44CF" w14:paraId="735D314B" w14:textId="77777777" w:rsidTr="005E44CF">
        <w:tc>
          <w:tcPr>
            <w:tcW w:w="4077" w:type="dxa"/>
          </w:tcPr>
          <w:p w14:paraId="78B295FA" w14:textId="75383C36" w:rsidR="005E44CF" w:rsidRDefault="005E44CF" w:rsidP="005E44CF">
            <w:pPr>
              <w:rPr>
                <w:rFonts w:cs="Arial"/>
              </w:rPr>
            </w:pPr>
            <w:r>
              <w:lastRenderedPageBreak/>
              <w:t xml:space="preserve">Циклоспорин 75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 xml:space="preserve">два пъти дневно до 200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>два пъти дневно, 6 месеца</w:t>
            </w:r>
          </w:p>
        </w:tc>
        <w:tc>
          <w:tcPr>
            <w:tcW w:w="2694" w:type="dxa"/>
          </w:tcPr>
          <w:p w14:paraId="76308D4E" w14:textId="096ADA4F" w:rsidR="005E44CF" w:rsidRDefault="005E44CF" w:rsidP="005E44CF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 </w:t>
            </w:r>
            <w:r>
              <w:t>веднъж дневно, 10 дни</w:t>
            </w:r>
          </w:p>
        </w:tc>
        <w:tc>
          <w:tcPr>
            <w:tcW w:w="2805" w:type="dxa"/>
          </w:tcPr>
          <w:p w14:paraId="3FA9E258" w14:textId="6345B162" w:rsidR="005E44CF" w:rsidRDefault="005E44CF" w:rsidP="005E44CF">
            <w:pPr>
              <w:rPr>
                <w:rFonts w:cs="Arial"/>
              </w:rPr>
            </w:pPr>
            <w:r>
              <w:t>7,1 пъти ↑</w:t>
            </w:r>
          </w:p>
        </w:tc>
      </w:tr>
      <w:tr w:rsidR="005E44CF" w14:paraId="17CB160C" w14:textId="77777777" w:rsidTr="005E44CF">
        <w:tc>
          <w:tcPr>
            <w:tcW w:w="4077" w:type="dxa"/>
          </w:tcPr>
          <w:p w14:paraId="5938F697" w14:textId="03B2EEA5" w:rsidR="005E44CF" w:rsidRDefault="005E44CF" w:rsidP="005E44CF">
            <w:pPr>
              <w:rPr>
                <w:rFonts w:cs="Arial"/>
              </w:rPr>
            </w:pPr>
            <w:proofErr w:type="spellStart"/>
            <w:r>
              <w:t>Регорафениб</w:t>
            </w:r>
            <w:proofErr w:type="spellEnd"/>
            <w:r>
              <w:t xml:space="preserve"> 160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, </w:t>
            </w:r>
            <w:r>
              <w:t>веднъж дневно, 14 дни</w:t>
            </w:r>
          </w:p>
        </w:tc>
        <w:tc>
          <w:tcPr>
            <w:tcW w:w="2694" w:type="dxa"/>
          </w:tcPr>
          <w:p w14:paraId="7958F1DE" w14:textId="0279F4F4" w:rsidR="005E44CF" w:rsidRDefault="005E44CF" w:rsidP="005E44CF">
            <w:pPr>
              <w:rPr>
                <w:rFonts w:cs="Arial"/>
              </w:rPr>
            </w:pPr>
            <w:r>
              <w:t xml:space="preserve">5 </w:t>
            </w:r>
            <w:r>
              <w:rPr>
                <w:lang w:val="en-US"/>
              </w:rPr>
              <w:t xml:space="preserve">mg, </w:t>
            </w:r>
            <w:r>
              <w:t>еднократна доза</w:t>
            </w:r>
          </w:p>
        </w:tc>
        <w:tc>
          <w:tcPr>
            <w:tcW w:w="2805" w:type="dxa"/>
          </w:tcPr>
          <w:p w14:paraId="6443CAE1" w14:textId="1BB6F349" w:rsidR="005E44CF" w:rsidRDefault="005E44CF" w:rsidP="005E44CF">
            <w:pPr>
              <w:rPr>
                <w:rFonts w:cs="Arial"/>
              </w:rPr>
            </w:pPr>
            <w:r>
              <w:t>3,8 пъти ↑</w:t>
            </w:r>
          </w:p>
        </w:tc>
      </w:tr>
      <w:tr w:rsidR="005E44CF" w14:paraId="3A88B444" w14:textId="77777777" w:rsidTr="005E44CF">
        <w:tc>
          <w:tcPr>
            <w:tcW w:w="4077" w:type="dxa"/>
          </w:tcPr>
          <w:p w14:paraId="65198AF2" w14:textId="549FE54D" w:rsidR="005E44CF" w:rsidRDefault="005E44CF" w:rsidP="005E44CF">
            <w:pPr>
              <w:rPr>
                <w:rFonts w:cs="Arial"/>
              </w:rPr>
            </w:pPr>
            <w:proofErr w:type="spellStart"/>
            <w:r>
              <w:t>Атазанавир</w:t>
            </w:r>
            <w:proofErr w:type="spellEnd"/>
            <w:r>
              <w:t xml:space="preserve"> 300 </w:t>
            </w:r>
            <w:r>
              <w:rPr>
                <w:lang w:val="en-US"/>
              </w:rPr>
              <w:t>mg</w:t>
            </w:r>
            <w:r>
              <w:t xml:space="preserve">/ритонавир 100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>веднъж дневно, 8 дни</w:t>
            </w:r>
          </w:p>
        </w:tc>
        <w:tc>
          <w:tcPr>
            <w:tcW w:w="2694" w:type="dxa"/>
          </w:tcPr>
          <w:p w14:paraId="1FF455C9" w14:textId="152CAB25" w:rsidR="005E44CF" w:rsidRDefault="005E44CF" w:rsidP="005E44CF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еднократна доза</w:t>
            </w:r>
          </w:p>
        </w:tc>
        <w:tc>
          <w:tcPr>
            <w:tcW w:w="2805" w:type="dxa"/>
          </w:tcPr>
          <w:p w14:paraId="7B8BBAC3" w14:textId="6DAE5AB1" w:rsidR="005E44CF" w:rsidRDefault="005E44CF" w:rsidP="005E44CF">
            <w:pPr>
              <w:rPr>
                <w:rFonts w:cs="Arial"/>
              </w:rPr>
            </w:pPr>
            <w:r>
              <w:t>3,1 пъти ↑</w:t>
            </w:r>
          </w:p>
        </w:tc>
      </w:tr>
      <w:tr w:rsidR="005E44CF" w14:paraId="06E00FB6" w14:textId="77777777" w:rsidTr="005E44CF">
        <w:tc>
          <w:tcPr>
            <w:tcW w:w="4077" w:type="dxa"/>
          </w:tcPr>
          <w:p w14:paraId="29785E0F" w14:textId="54DA379A" w:rsidR="005E44CF" w:rsidRDefault="005E44CF" w:rsidP="005E44CF">
            <w:pPr>
              <w:rPr>
                <w:rFonts w:cs="Arial"/>
              </w:rPr>
            </w:pPr>
            <w:proofErr w:type="spellStart"/>
            <w:r>
              <w:t>Велпатасвир</w:t>
            </w:r>
            <w:proofErr w:type="spellEnd"/>
            <w:r>
              <w:t xml:space="preserve"> 100 </w:t>
            </w:r>
            <w:r>
              <w:rPr>
                <w:lang w:val="en-US"/>
              </w:rPr>
              <w:t xml:space="preserve">mg </w:t>
            </w:r>
            <w:r>
              <w:t>веднъж дневно</w:t>
            </w:r>
          </w:p>
        </w:tc>
        <w:tc>
          <w:tcPr>
            <w:tcW w:w="2694" w:type="dxa"/>
          </w:tcPr>
          <w:p w14:paraId="09BD38A0" w14:textId="52940029" w:rsidR="005E44CF" w:rsidRDefault="005E44CF" w:rsidP="005E44CF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еднократна доза</w:t>
            </w:r>
          </w:p>
        </w:tc>
        <w:tc>
          <w:tcPr>
            <w:tcW w:w="2805" w:type="dxa"/>
          </w:tcPr>
          <w:p w14:paraId="3B31F711" w14:textId="12D71058" w:rsidR="005E44CF" w:rsidRDefault="005E44CF" w:rsidP="005E44CF">
            <w:pPr>
              <w:rPr>
                <w:rFonts w:cs="Arial"/>
              </w:rPr>
            </w:pPr>
            <w:r>
              <w:t>2,7 пъти ↑</w:t>
            </w:r>
          </w:p>
        </w:tc>
      </w:tr>
      <w:tr w:rsidR="005E44CF" w14:paraId="71F588B9" w14:textId="77777777" w:rsidTr="005E44CF">
        <w:tc>
          <w:tcPr>
            <w:tcW w:w="4077" w:type="dxa"/>
          </w:tcPr>
          <w:p w14:paraId="5CC765FF" w14:textId="5F9AC593" w:rsidR="005E44CF" w:rsidRDefault="005E44CF" w:rsidP="005E44CF">
            <w:pPr>
              <w:rPr>
                <w:rFonts w:cs="Arial"/>
              </w:rPr>
            </w:pPr>
            <w:proofErr w:type="spellStart"/>
            <w:r>
              <w:t>Омбитасвир</w:t>
            </w:r>
            <w:proofErr w:type="spellEnd"/>
            <w:r>
              <w:t xml:space="preserve"> 25 </w:t>
            </w:r>
            <w:r>
              <w:rPr>
                <w:lang w:val="en-US"/>
              </w:rPr>
              <w:t>mg</w:t>
            </w:r>
            <w:r>
              <w:t>/</w:t>
            </w:r>
            <w:proofErr w:type="spellStart"/>
            <w:r>
              <w:t>паритапревир</w:t>
            </w:r>
            <w:proofErr w:type="spellEnd"/>
            <w:r>
              <w:t xml:space="preserve"> 150 </w:t>
            </w:r>
            <w:r>
              <w:rPr>
                <w:lang w:val="en-US"/>
              </w:rPr>
              <w:t>mg</w:t>
            </w:r>
            <w:r>
              <w:t xml:space="preserve">/ ритонавир 100 </w:t>
            </w:r>
            <w:r>
              <w:rPr>
                <w:lang w:val="en-US"/>
              </w:rPr>
              <w:t>mg</w:t>
            </w:r>
            <w:r w:rsidRPr="005E44CF">
              <w:t xml:space="preserve"> </w:t>
            </w:r>
            <w:r>
              <w:t xml:space="preserve">веднъж дневно / </w:t>
            </w:r>
            <w:proofErr w:type="spellStart"/>
            <w:r>
              <w:t>дазабувир</w:t>
            </w:r>
            <w:proofErr w:type="spellEnd"/>
            <w:r>
              <w:t xml:space="preserve"> 400 </w:t>
            </w:r>
            <w:r>
              <w:rPr>
                <w:lang w:val="en-US"/>
              </w:rPr>
              <w:t>mg</w:t>
            </w:r>
            <w:r w:rsidRPr="005E44CF">
              <w:t xml:space="preserve"> </w:t>
            </w:r>
            <w:r>
              <w:t>2 пъти дневно, 14 дни</w:t>
            </w:r>
          </w:p>
        </w:tc>
        <w:tc>
          <w:tcPr>
            <w:tcW w:w="2694" w:type="dxa"/>
          </w:tcPr>
          <w:p w14:paraId="68A0E045" w14:textId="4F9A8ECA" w:rsidR="005E44CF" w:rsidRDefault="005E44CF" w:rsidP="005E44CF">
            <w:pPr>
              <w:rPr>
                <w:rFonts w:cs="Arial"/>
              </w:rPr>
            </w:pPr>
            <w:r>
              <w:t xml:space="preserve">5 </w:t>
            </w:r>
            <w:r>
              <w:rPr>
                <w:lang w:val="en-US"/>
              </w:rPr>
              <w:t xml:space="preserve">mg, </w:t>
            </w:r>
            <w:r>
              <w:t>еднократна доза</w:t>
            </w:r>
          </w:p>
        </w:tc>
        <w:tc>
          <w:tcPr>
            <w:tcW w:w="2805" w:type="dxa"/>
          </w:tcPr>
          <w:p w14:paraId="7EC8A1D6" w14:textId="7764B4EB" w:rsidR="005E44CF" w:rsidRDefault="005E44CF" w:rsidP="005E44CF">
            <w:pPr>
              <w:rPr>
                <w:rFonts w:cs="Arial"/>
              </w:rPr>
            </w:pPr>
            <w:r>
              <w:t>2,6 пъти ↑</w:t>
            </w:r>
          </w:p>
        </w:tc>
      </w:tr>
      <w:tr w:rsidR="005E44CF" w14:paraId="45B4D667" w14:textId="77777777" w:rsidTr="005E44CF">
        <w:tc>
          <w:tcPr>
            <w:tcW w:w="4077" w:type="dxa"/>
          </w:tcPr>
          <w:p w14:paraId="738B1651" w14:textId="6D7D9DE5" w:rsidR="005E44CF" w:rsidRDefault="005E44CF" w:rsidP="005E44CF">
            <w:pPr>
              <w:rPr>
                <w:rFonts w:cs="Arial"/>
              </w:rPr>
            </w:pPr>
            <w:proofErr w:type="spellStart"/>
            <w:r>
              <w:t>Гразопревир</w:t>
            </w:r>
            <w:proofErr w:type="spellEnd"/>
            <w:r>
              <w:t xml:space="preserve"> 200 </w:t>
            </w:r>
            <w:r>
              <w:rPr>
                <w:lang w:val="en-US"/>
              </w:rPr>
              <w:t>mg</w:t>
            </w:r>
            <w:r>
              <w:t>/</w:t>
            </w:r>
            <w:proofErr w:type="spellStart"/>
            <w:r>
              <w:t>елбасвир</w:t>
            </w:r>
            <w:proofErr w:type="spellEnd"/>
            <w:r>
              <w:t xml:space="preserve"> 50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>веднъж дневно, 11 дни</w:t>
            </w:r>
          </w:p>
        </w:tc>
        <w:tc>
          <w:tcPr>
            <w:tcW w:w="2694" w:type="dxa"/>
          </w:tcPr>
          <w:p w14:paraId="39E41E08" w14:textId="071F4438" w:rsidR="005E44CF" w:rsidRDefault="005E44CF" w:rsidP="005E44CF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еднократна доза</w:t>
            </w:r>
          </w:p>
        </w:tc>
        <w:tc>
          <w:tcPr>
            <w:tcW w:w="2805" w:type="dxa"/>
          </w:tcPr>
          <w:p w14:paraId="7F60F570" w14:textId="5588CCB8" w:rsidR="005E44CF" w:rsidRDefault="005E44CF" w:rsidP="005E44CF">
            <w:pPr>
              <w:rPr>
                <w:rFonts w:cs="Arial"/>
              </w:rPr>
            </w:pPr>
            <w:r>
              <w:t>2,3 пъти ↑</w:t>
            </w:r>
          </w:p>
        </w:tc>
      </w:tr>
      <w:tr w:rsidR="005E44CF" w14:paraId="2E2CFCDE" w14:textId="77777777" w:rsidTr="005E44CF">
        <w:tc>
          <w:tcPr>
            <w:tcW w:w="4077" w:type="dxa"/>
          </w:tcPr>
          <w:p w14:paraId="45920C0D" w14:textId="7C228768" w:rsidR="005E44CF" w:rsidRDefault="005E44CF" w:rsidP="005E44CF">
            <w:pPr>
              <w:rPr>
                <w:rFonts w:cs="Arial"/>
              </w:rPr>
            </w:pPr>
            <w:proofErr w:type="spellStart"/>
            <w:r>
              <w:t>Глекапревир</w:t>
            </w:r>
            <w:proofErr w:type="spellEnd"/>
            <w:r>
              <w:t xml:space="preserve"> 400 </w:t>
            </w:r>
            <w:r>
              <w:rPr>
                <w:lang w:val="en-US"/>
              </w:rPr>
              <w:t>mg</w:t>
            </w:r>
            <w:r>
              <w:t>/</w:t>
            </w:r>
            <w:proofErr w:type="spellStart"/>
            <w:r>
              <w:t>пибрентасвир</w:t>
            </w:r>
            <w:proofErr w:type="spellEnd"/>
            <w:r>
              <w:t xml:space="preserve"> 120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>веднъж дневно, 7 дни</w:t>
            </w:r>
          </w:p>
        </w:tc>
        <w:tc>
          <w:tcPr>
            <w:tcW w:w="2694" w:type="dxa"/>
          </w:tcPr>
          <w:p w14:paraId="0EE53860" w14:textId="53B19572" w:rsidR="005E44CF" w:rsidRDefault="005E44CF" w:rsidP="005E44CF">
            <w:pPr>
              <w:rPr>
                <w:rFonts w:cs="Arial"/>
              </w:rPr>
            </w:pPr>
            <w:r>
              <w:t xml:space="preserve">5 </w:t>
            </w:r>
            <w:r>
              <w:rPr>
                <w:lang w:val="en-US"/>
              </w:rPr>
              <w:t xml:space="preserve">mg </w:t>
            </w:r>
            <w:r>
              <w:t>веднъж дневно, 7 дни</w:t>
            </w:r>
          </w:p>
        </w:tc>
        <w:tc>
          <w:tcPr>
            <w:tcW w:w="2805" w:type="dxa"/>
          </w:tcPr>
          <w:p w14:paraId="0AB072B3" w14:textId="5EBF0935" w:rsidR="005E44CF" w:rsidRDefault="005E44CF" w:rsidP="005E44CF">
            <w:pPr>
              <w:rPr>
                <w:rFonts w:cs="Arial"/>
              </w:rPr>
            </w:pPr>
            <w:r>
              <w:t>2,2 пъти ↑</w:t>
            </w:r>
          </w:p>
        </w:tc>
      </w:tr>
      <w:tr w:rsidR="005E44CF" w14:paraId="16135EE7" w14:textId="77777777" w:rsidTr="005E44CF">
        <w:tc>
          <w:tcPr>
            <w:tcW w:w="4077" w:type="dxa"/>
          </w:tcPr>
          <w:p w14:paraId="0EEDA133" w14:textId="61D12B71" w:rsidR="005E44CF" w:rsidRDefault="005E44CF" w:rsidP="005E44CF">
            <w:pPr>
              <w:rPr>
                <w:rFonts w:cs="Arial"/>
              </w:rPr>
            </w:pPr>
            <w:r>
              <w:t xml:space="preserve">Лопинавир 400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/ </w:t>
            </w:r>
            <w:r>
              <w:t xml:space="preserve">ритонавир 100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>два пъти дневно, 17 дни</w:t>
            </w:r>
          </w:p>
        </w:tc>
        <w:tc>
          <w:tcPr>
            <w:tcW w:w="2694" w:type="dxa"/>
          </w:tcPr>
          <w:p w14:paraId="4D4DDF1E" w14:textId="307C6B30" w:rsidR="005E44CF" w:rsidRDefault="005E44CF" w:rsidP="005E44CF">
            <w:pPr>
              <w:rPr>
                <w:rFonts w:cs="Arial"/>
              </w:rPr>
            </w:pPr>
            <w:r>
              <w:t xml:space="preserve">20 </w:t>
            </w:r>
            <w:r>
              <w:rPr>
                <w:lang w:val="en-US"/>
              </w:rPr>
              <w:t xml:space="preserve">mg </w:t>
            </w:r>
            <w:r>
              <w:t>веднъж дневно, 7 дни</w:t>
            </w:r>
          </w:p>
        </w:tc>
        <w:tc>
          <w:tcPr>
            <w:tcW w:w="2805" w:type="dxa"/>
          </w:tcPr>
          <w:p w14:paraId="3F756794" w14:textId="3028E1D0" w:rsidR="005E44CF" w:rsidRDefault="005E44CF" w:rsidP="005E44CF">
            <w:pPr>
              <w:rPr>
                <w:rFonts w:cs="Arial"/>
              </w:rPr>
            </w:pPr>
            <w:r>
              <w:t>2,1 пъти ↑</w:t>
            </w:r>
          </w:p>
        </w:tc>
      </w:tr>
      <w:tr w:rsidR="005E44CF" w14:paraId="52F40895" w14:textId="77777777" w:rsidTr="005E44CF">
        <w:tc>
          <w:tcPr>
            <w:tcW w:w="4077" w:type="dxa"/>
          </w:tcPr>
          <w:p w14:paraId="002C77FF" w14:textId="2B6BA615" w:rsidR="005E44CF" w:rsidRDefault="005E44CF" w:rsidP="005E44CF">
            <w:pPr>
              <w:rPr>
                <w:rFonts w:cs="Arial"/>
              </w:rPr>
            </w:pPr>
            <w:proofErr w:type="spellStart"/>
            <w:r>
              <w:t>Клопидогрел</w:t>
            </w:r>
            <w:proofErr w:type="spellEnd"/>
            <w:r>
              <w:t xml:space="preserve"> 300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 xml:space="preserve">натоварваща доза, последвана от 75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>на 24 часа</w:t>
            </w:r>
          </w:p>
        </w:tc>
        <w:tc>
          <w:tcPr>
            <w:tcW w:w="2694" w:type="dxa"/>
          </w:tcPr>
          <w:p w14:paraId="45042E54" w14:textId="5BCF2BF9" w:rsidR="005E44CF" w:rsidRDefault="005E44CF" w:rsidP="005E44CF">
            <w:pPr>
              <w:rPr>
                <w:rFonts w:cs="Arial"/>
              </w:rPr>
            </w:pPr>
            <w:r>
              <w:t xml:space="preserve">20 </w:t>
            </w:r>
            <w:r>
              <w:rPr>
                <w:lang w:val="en-US"/>
              </w:rPr>
              <w:t xml:space="preserve">mg, </w:t>
            </w:r>
            <w:r>
              <w:t>еднократна доза</w:t>
            </w:r>
          </w:p>
        </w:tc>
        <w:tc>
          <w:tcPr>
            <w:tcW w:w="2805" w:type="dxa"/>
          </w:tcPr>
          <w:p w14:paraId="4C722B4D" w14:textId="35D6E013" w:rsidR="005E44CF" w:rsidRDefault="005E44CF" w:rsidP="005E44CF">
            <w:pPr>
              <w:rPr>
                <w:rFonts w:cs="Arial"/>
              </w:rPr>
            </w:pPr>
            <w:r>
              <w:t>2 пъти ↑</w:t>
            </w:r>
          </w:p>
        </w:tc>
      </w:tr>
      <w:tr w:rsidR="005E44CF" w14:paraId="4712D1BD" w14:textId="77777777" w:rsidTr="005E44CF">
        <w:tc>
          <w:tcPr>
            <w:tcW w:w="4077" w:type="dxa"/>
          </w:tcPr>
          <w:p w14:paraId="76FA0D46" w14:textId="174ED16B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Гемфиброзил</w:t>
            </w:r>
            <w:proofErr w:type="spellEnd"/>
            <w:r w:rsidRPr="005E44CF">
              <w:rPr>
                <w:rFonts w:cs="Arial"/>
              </w:rPr>
              <w:t xml:space="preserve"> 600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 </w:t>
            </w:r>
            <w:r w:rsidRPr="005E44CF">
              <w:rPr>
                <w:rFonts w:cs="Arial"/>
              </w:rPr>
              <w:t>два пъти дневно, 7 дни</w:t>
            </w:r>
          </w:p>
        </w:tc>
        <w:tc>
          <w:tcPr>
            <w:tcW w:w="2694" w:type="dxa"/>
          </w:tcPr>
          <w:p w14:paraId="71DC2BC4" w14:textId="45C4A7B3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80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еднократна доза</w:t>
            </w:r>
          </w:p>
        </w:tc>
        <w:tc>
          <w:tcPr>
            <w:tcW w:w="2805" w:type="dxa"/>
          </w:tcPr>
          <w:p w14:paraId="2687E96D" w14:textId="24624FDA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1,9 пъти ↑</w:t>
            </w:r>
          </w:p>
        </w:tc>
      </w:tr>
      <w:tr w:rsidR="005E44CF" w14:paraId="118E84DB" w14:textId="77777777" w:rsidTr="005E44CF">
        <w:tc>
          <w:tcPr>
            <w:tcW w:w="4077" w:type="dxa"/>
          </w:tcPr>
          <w:p w14:paraId="38052304" w14:textId="6A9E1F28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Елтромбопаг</w:t>
            </w:r>
            <w:proofErr w:type="spellEnd"/>
            <w:r w:rsidRPr="005E44CF">
              <w:rPr>
                <w:rFonts w:cs="Arial"/>
              </w:rPr>
              <w:t xml:space="preserve"> 75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 </w:t>
            </w:r>
            <w:r w:rsidRPr="005E44CF">
              <w:rPr>
                <w:rFonts w:cs="Arial"/>
              </w:rPr>
              <w:t>веднъж дневно, 5 дни</w:t>
            </w:r>
          </w:p>
        </w:tc>
        <w:tc>
          <w:tcPr>
            <w:tcW w:w="2694" w:type="dxa"/>
          </w:tcPr>
          <w:p w14:paraId="381D24C0" w14:textId="4F1E2DE1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10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еднократна доза</w:t>
            </w:r>
          </w:p>
        </w:tc>
        <w:tc>
          <w:tcPr>
            <w:tcW w:w="2805" w:type="dxa"/>
          </w:tcPr>
          <w:p w14:paraId="51179A7D" w14:textId="53D2DD3D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1,6 пъти ↑</w:t>
            </w:r>
          </w:p>
        </w:tc>
      </w:tr>
      <w:tr w:rsidR="005E44CF" w14:paraId="02008E25" w14:textId="77777777" w:rsidTr="005E44CF">
        <w:tc>
          <w:tcPr>
            <w:tcW w:w="4077" w:type="dxa"/>
          </w:tcPr>
          <w:p w14:paraId="238B7810" w14:textId="5B7E5875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Дарунавир</w:t>
            </w:r>
            <w:proofErr w:type="spellEnd"/>
            <w:r w:rsidRPr="005E44CF">
              <w:rPr>
                <w:rFonts w:cs="Arial"/>
              </w:rPr>
              <w:t xml:space="preserve"> 600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/ </w:t>
            </w:r>
            <w:r w:rsidRPr="005E44CF">
              <w:rPr>
                <w:rFonts w:cs="Arial"/>
              </w:rPr>
              <w:t xml:space="preserve">ритонавир 100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 </w:t>
            </w:r>
            <w:r w:rsidRPr="005E44CF">
              <w:rPr>
                <w:rFonts w:cs="Arial"/>
              </w:rPr>
              <w:t>два пъти дневно, 7 дни</w:t>
            </w:r>
          </w:p>
        </w:tc>
        <w:tc>
          <w:tcPr>
            <w:tcW w:w="2694" w:type="dxa"/>
          </w:tcPr>
          <w:p w14:paraId="3889C1A0" w14:textId="19145E8B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10 </w:t>
            </w:r>
            <w:r w:rsidRPr="005E44CF">
              <w:rPr>
                <w:rFonts w:cs="Arial"/>
                <w:lang w:val="en-US"/>
              </w:rPr>
              <w:t xml:space="preserve">mg </w:t>
            </w:r>
            <w:r w:rsidRPr="005E44CF">
              <w:rPr>
                <w:rFonts w:cs="Arial"/>
              </w:rPr>
              <w:t>веднъж дневно, 7 дни</w:t>
            </w:r>
          </w:p>
        </w:tc>
        <w:tc>
          <w:tcPr>
            <w:tcW w:w="2805" w:type="dxa"/>
          </w:tcPr>
          <w:p w14:paraId="17D5D95D" w14:textId="3D7BAC66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1,5 пъти ↑</w:t>
            </w:r>
          </w:p>
        </w:tc>
      </w:tr>
      <w:tr w:rsidR="005E44CF" w14:paraId="77E19270" w14:textId="77777777" w:rsidTr="005E44CF">
        <w:tc>
          <w:tcPr>
            <w:tcW w:w="4077" w:type="dxa"/>
          </w:tcPr>
          <w:p w14:paraId="6A59CE3F" w14:textId="4C919DD8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Типранавир</w:t>
            </w:r>
            <w:proofErr w:type="spellEnd"/>
            <w:r w:rsidRPr="005E44CF">
              <w:rPr>
                <w:rFonts w:cs="Arial"/>
              </w:rPr>
              <w:t xml:space="preserve"> 500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</w:rPr>
              <w:t xml:space="preserve">/ ритонавир 200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</w:rPr>
              <w:t xml:space="preserve"> </w:t>
            </w:r>
            <w:r w:rsidRPr="005E44CF">
              <w:rPr>
                <w:rFonts w:cs="Arial"/>
                <w:lang w:val="en-US"/>
              </w:rPr>
              <w:t>BID</w:t>
            </w:r>
            <w:r w:rsidRPr="005E44CF">
              <w:rPr>
                <w:rFonts w:cs="Arial"/>
              </w:rPr>
              <w:t xml:space="preserve">, 11 </w:t>
            </w:r>
            <w:r w:rsidRPr="005E44CF">
              <w:rPr>
                <w:rFonts w:cs="Arial"/>
                <w:b/>
                <w:bCs/>
              </w:rPr>
              <w:t>ДНИ</w:t>
            </w:r>
          </w:p>
        </w:tc>
        <w:tc>
          <w:tcPr>
            <w:tcW w:w="2694" w:type="dxa"/>
          </w:tcPr>
          <w:p w14:paraId="124A388F" w14:textId="09614AAD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10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еднократна доза</w:t>
            </w:r>
          </w:p>
        </w:tc>
        <w:tc>
          <w:tcPr>
            <w:tcW w:w="2805" w:type="dxa"/>
          </w:tcPr>
          <w:p w14:paraId="44687F1F" w14:textId="747A9534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1,4 пъти ↑</w:t>
            </w:r>
          </w:p>
        </w:tc>
      </w:tr>
      <w:tr w:rsidR="005E44CF" w14:paraId="0CF8B1B3" w14:textId="77777777" w:rsidTr="005E44CF">
        <w:tc>
          <w:tcPr>
            <w:tcW w:w="4077" w:type="dxa"/>
          </w:tcPr>
          <w:p w14:paraId="23BBCC26" w14:textId="1DBADB3D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Дронедарон</w:t>
            </w:r>
            <w:proofErr w:type="spellEnd"/>
            <w:r w:rsidRPr="005E44CF">
              <w:rPr>
                <w:rFonts w:cs="Arial"/>
              </w:rPr>
              <w:t xml:space="preserve"> 400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 </w:t>
            </w:r>
            <w:r w:rsidRPr="005E44CF">
              <w:rPr>
                <w:rFonts w:cs="Arial"/>
              </w:rPr>
              <w:t>два пъти дневно</w:t>
            </w:r>
          </w:p>
        </w:tc>
        <w:tc>
          <w:tcPr>
            <w:tcW w:w="2694" w:type="dxa"/>
          </w:tcPr>
          <w:p w14:paraId="76939236" w14:textId="247963A4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Не е налична</w:t>
            </w:r>
          </w:p>
        </w:tc>
        <w:tc>
          <w:tcPr>
            <w:tcW w:w="2805" w:type="dxa"/>
          </w:tcPr>
          <w:p w14:paraId="165D1B9A" w14:textId="5FF0520F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1,4 пъти ↑</w:t>
            </w:r>
          </w:p>
        </w:tc>
      </w:tr>
      <w:tr w:rsidR="005E44CF" w14:paraId="4BFECB2F" w14:textId="77777777" w:rsidTr="005E44CF">
        <w:tc>
          <w:tcPr>
            <w:tcW w:w="4077" w:type="dxa"/>
          </w:tcPr>
          <w:p w14:paraId="3BC5CFD5" w14:textId="2188EE3B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Итраконазол</w:t>
            </w:r>
            <w:proofErr w:type="spellEnd"/>
            <w:r w:rsidRPr="005E44CF">
              <w:rPr>
                <w:rFonts w:cs="Arial"/>
              </w:rPr>
              <w:t xml:space="preserve"> 200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 </w:t>
            </w:r>
            <w:r w:rsidRPr="005E44CF">
              <w:rPr>
                <w:rFonts w:cs="Arial"/>
              </w:rPr>
              <w:t>веднъж дневно, 5 дни</w:t>
            </w:r>
          </w:p>
        </w:tc>
        <w:tc>
          <w:tcPr>
            <w:tcW w:w="2694" w:type="dxa"/>
          </w:tcPr>
          <w:p w14:paraId="2EC2F3E0" w14:textId="1D280CAD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10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еднократна доза</w:t>
            </w:r>
          </w:p>
        </w:tc>
        <w:tc>
          <w:tcPr>
            <w:tcW w:w="2805" w:type="dxa"/>
          </w:tcPr>
          <w:p w14:paraId="08129585" w14:textId="247B0804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1,4 пъти ↑**</w:t>
            </w:r>
          </w:p>
        </w:tc>
      </w:tr>
      <w:tr w:rsidR="005E44CF" w14:paraId="58EF3CC1" w14:textId="77777777" w:rsidTr="005E44CF">
        <w:tc>
          <w:tcPr>
            <w:tcW w:w="4077" w:type="dxa"/>
          </w:tcPr>
          <w:p w14:paraId="08C5A8F0" w14:textId="1EEF39A7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Езетимиб</w:t>
            </w:r>
            <w:proofErr w:type="spellEnd"/>
            <w:r w:rsidRPr="005E44CF">
              <w:rPr>
                <w:rFonts w:cs="Arial"/>
              </w:rPr>
              <w:t xml:space="preserve"> 10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 </w:t>
            </w:r>
            <w:r w:rsidRPr="005E44CF">
              <w:rPr>
                <w:rFonts w:cs="Arial"/>
              </w:rPr>
              <w:t>веднъж дневно, 14 дни</w:t>
            </w:r>
          </w:p>
        </w:tc>
        <w:tc>
          <w:tcPr>
            <w:tcW w:w="2694" w:type="dxa"/>
          </w:tcPr>
          <w:p w14:paraId="21EEB104" w14:textId="5A8377FC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10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веднъж дневно, 14 дни</w:t>
            </w:r>
          </w:p>
        </w:tc>
        <w:tc>
          <w:tcPr>
            <w:tcW w:w="2805" w:type="dxa"/>
          </w:tcPr>
          <w:p w14:paraId="5D09B846" w14:textId="009EE0DB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1,2 пъти ↑**</w:t>
            </w:r>
          </w:p>
        </w:tc>
      </w:tr>
      <w:tr w:rsidR="005E44CF" w14:paraId="23D8F752" w14:textId="77777777" w:rsidTr="005E44CF">
        <w:tc>
          <w:tcPr>
            <w:tcW w:w="4077" w:type="dxa"/>
          </w:tcPr>
          <w:p w14:paraId="6CFAA475" w14:textId="6A24F105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Фосампренавир</w:t>
            </w:r>
            <w:proofErr w:type="spellEnd"/>
            <w:r w:rsidRPr="005E44CF">
              <w:rPr>
                <w:rFonts w:cs="Arial"/>
              </w:rPr>
              <w:t xml:space="preserve"> 700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/ </w:t>
            </w:r>
            <w:r w:rsidRPr="005E44CF">
              <w:rPr>
                <w:rFonts w:cs="Arial"/>
              </w:rPr>
              <w:t xml:space="preserve">ритонавир 100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 </w:t>
            </w:r>
            <w:r w:rsidRPr="005E44CF">
              <w:rPr>
                <w:rFonts w:cs="Arial"/>
              </w:rPr>
              <w:t>два пъти дневно, 8 дни</w:t>
            </w:r>
          </w:p>
        </w:tc>
        <w:tc>
          <w:tcPr>
            <w:tcW w:w="2694" w:type="dxa"/>
          </w:tcPr>
          <w:p w14:paraId="66840F5E" w14:textId="263F4741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10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еднократна доза</w:t>
            </w:r>
          </w:p>
        </w:tc>
        <w:tc>
          <w:tcPr>
            <w:tcW w:w="2805" w:type="dxa"/>
          </w:tcPr>
          <w:p w14:paraId="734E7485" w14:textId="649D3FE9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↔</w:t>
            </w:r>
          </w:p>
        </w:tc>
      </w:tr>
      <w:tr w:rsidR="005E44CF" w14:paraId="600E8D55" w14:textId="77777777" w:rsidTr="005E44CF">
        <w:tc>
          <w:tcPr>
            <w:tcW w:w="4077" w:type="dxa"/>
          </w:tcPr>
          <w:p w14:paraId="5594D8EF" w14:textId="7FA9A96E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Алеглитазар</w:t>
            </w:r>
            <w:proofErr w:type="spellEnd"/>
            <w:r w:rsidRPr="005E44CF">
              <w:rPr>
                <w:rFonts w:cs="Arial"/>
              </w:rPr>
              <w:t xml:space="preserve"> 0,3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7 дни</w:t>
            </w:r>
          </w:p>
        </w:tc>
        <w:tc>
          <w:tcPr>
            <w:tcW w:w="2694" w:type="dxa"/>
          </w:tcPr>
          <w:p w14:paraId="4A5321FD" w14:textId="2AD5CE5C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40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7 дни</w:t>
            </w:r>
          </w:p>
        </w:tc>
        <w:tc>
          <w:tcPr>
            <w:tcW w:w="2805" w:type="dxa"/>
          </w:tcPr>
          <w:p w14:paraId="724BC697" w14:textId="675A5A63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↔</w:t>
            </w:r>
          </w:p>
        </w:tc>
      </w:tr>
      <w:tr w:rsidR="005E44CF" w14:paraId="20B2C976" w14:textId="77777777" w:rsidTr="005E44CF">
        <w:tc>
          <w:tcPr>
            <w:tcW w:w="4077" w:type="dxa"/>
          </w:tcPr>
          <w:p w14:paraId="2950E719" w14:textId="104A864C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Силимарин</w:t>
            </w:r>
            <w:proofErr w:type="spellEnd"/>
            <w:r w:rsidRPr="005E44CF">
              <w:rPr>
                <w:rFonts w:cs="Arial"/>
              </w:rPr>
              <w:t xml:space="preserve"> 140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 </w:t>
            </w:r>
            <w:r w:rsidRPr="005E44CF">
              <w:rPr>
                <w:rFonts w:cs="Arial"/>
              </w:rPr>
              <w:t>три пъти дневно, 5 дни</w:t>
            </w:r>
          </w:p>
        </w:tc>
        <w:tc>
          <w:tcPr>
            <w:tcW w:w="2694" w:type="dxa"/>
          </w:tcPr>
          <w:p w14:paraId="1FBE6F2B" w14:textId="160ECE87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10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еднократна доза</w:t>
            </w:r>
          </w:p>
        </w:tc>
        <w:tc>
          <w:tcPr>
            <w:tcW w:w="2805" w:type="dxa"/>
          </w:tcPr>
          <w:p w14:paraId="67BB8A3A" w14:textId="5115DE5E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↔</w:t>
            </w:r>
          </w:p>
        </w:tc>
      </w:tr>
      <w:tr w:rsidR="005E44CF" w14:paraId="7CC5BF81" w14:textId="77777777" w:rsidTr="005E44CF">
        <w:tc>
          <w:tcPr>
            <w:tcW w:w="4077" w:type="dxa"/>
          </w:tcPr>
          <w:p w14:paraId="05E7670C" w14:textId="4F00A75F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Фенофибрат</w:t>
            </w:r>
            <w:proofErr w:type="spellEnd"/>
            <w:r w:rsidRPr="005E44CF">
              <w:rPr>
                <w:rFonts w:cs="Arial"/>
              </w:rPr>
              <w:t xml:space="preserve"> 67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 </w:t>
            </w:r>
            <w:r w:rsidRPr="005E44CF">
              <w:rPr>
                <w:rFonts w:cs="Arial"/>
              </w:rPr>
              <w:t>три пъти дневно, 7 дни</w:t>
            </w:r>
          </w:p>
        </w:tc>
        <w:tc>
          <w:tcPr>
            <w:tcW w:w="2694" w:type="dxa"/>
          </w:tcPr>
          <w:p w14:paraId="1968ED29" w14:textId="6721BE94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10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7 дни</w:t>
            </w:r>
          </w:p>
        </w:tc>
        <w:tc>
          <w:tcPr>
            <w:tcW w:w="2805" w:type="dxa"/>
          </w:tcPr>
          <w:p w14:paraId="695F0167" w14:textId="14991028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↔</w:t>
            </w:r>
          </w:p>
        </w:tc>
      </w:tr>
      <w:tr w:rsidR="005E44CF" w14:paraId="44D785D3" w14:textId="77777777" w:rsidTr="005E44CF">
        <w:tc>
          <w:tcPr>
            <w:tcW w:w="4077" w:type="dxa"/>
          </w:tcPr>
          <w:p w14:paraId="4950B811" w14:textId="4F0D8095" w:rsidR="005E44CF" w:rsidRPr="005E44CF" w:rsidRDefault="005E44CF" w:rsidP="005E44CF">
            <w:pPr>
              <w:rPr>
                <w:rFonts w:cs="Arial"/>
              </w:rPr>
            </w:pPr>
            <w:proofErr w:type="spellStart"/>
            <w:r w:rsidRPr="005E44CF">
              <w:rPr>
                <w:rFonts w:cs="Arial"/>
              </w:rPr>
              <w:t>Рифампин</w:t>
            </w:r>
            <w:proofErr w:type="spellEnd"/>
            <w:r w:rsidRPr="005E44CF">
              <w:rPr>
                <w:rFonts w:cs="Arial"/>
              </w:rPr>
              <w:t xml:space="preserve"> 450 </w:t>
            </w:r>
            <w:r w:rsidRPr="005E44CF">
              <w:rPr>
                <w:rFonts w:cs="Arial"/>
                <w:lang w:val="en-US"/>
              </w:rPr>
              <w:t>mg</w:t>
            </w:r>
            <w:r w:rsidRPr="005E44CF">
              <w:rPr>
                <w:rFonts w:cs="Arial"/>
                <w:lang w:val="ru-RU"/>
              </w:rPr>
              <w:t xml:space="preserve"> </w:t>
            </w:r>
            <w:r w:rsidRPr="005E44CF">
              <w:rPr>
                <w:rFonts w:cs="Arial"/>
              </w:rPr>
              <w:t>веднъж дневно, 7 дни</w:t>
            </w:r>
          </w:p>
        </w:tc>
        <w:tc>
          <w:tcPr>
            <w:tcW w:w="2694" w:type="dxa"/>
          </w:tcPr>
          <w:p w14:paraId="38B235EC" w14:textId="540ABADB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 xml:space="preserve">20 </w:t>
            </w:r>
            <w:r w:rsidRPr="005E44CF">
              <w:rPr>
                <w:rFonts w:cs="Arial"/>
                <w:lang w:val="en-US"/>
              </w:rPr>
              <w:t xml:space="preserve">mg, </w:t>
            </w:r>
            <w:r w:rsidRPr="005E44CF">
              <w:rPr>
                <w:rFonts w:cs="Arial"/>
              </w:rPr>
              <w:t>еднократна доза</w:t>
            </w:r>
          </w:p>
        </w:tc>
        <w:tc>
          <w:tcPr>
            <w:tcW w:w="2805" w:type="dxa"/>
          </w:tcPr>
          <w:p w14:paraId="27CB7F18" w14:textId="3AAF3E86" w:rsidR="005E44CF" w:rsidRPr="005E44CF" w:rsidRDefault="005E44CF" w:rsidP="005E44CF">
            <w:pPr>
              <w:rPr>
                <w:rFonts w:cs="Arial"/>
              </w:rPr>
            </w:pPr>
            <w:r w:rsidRPr="005E44CF">
              <w:rPr>
                <w:rFonts w:cs="Arial"/>
              </w:rPr>
              <w:t>↔</w:t>
            </w:r>
          </w:p>
        </w:tc>
      </w:tr>
      <w:tr w:rsidR="005E44CF" w14:paraId="02F1461C" w14:textId="77777777" w:rsidTr="005E44CF">
        <w:tc>
          <w:tcPr>
            <w:tcW w:w="4077" w:type="dxa"/>
          </w:tcPr>
          <w:p w14:paraId="1B35BBC8" w14:textId="040499D9" w:rsidR="005E44CF" w:rsidRDefault="005E44CF" w:rsidP="005E44CF">
            <w:pPr>
              <w:rPr>
                <w:rFonts w:cs="Arial"/>
              </w:rPr>
            </w:pPr>
            <w:proofErr w:type="spellStart"/>
            <w:r>
              <w:t>Кетоконазол</w:t>
            </w:r>
            <w:proofErr w:type="spellEnd"/>
            <w:r>
              <w:t xml:space="preserve"> 200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>два пъти дневно, 7 дни</w:t>
            </w:r>
          </w:p>
        </w:tc>
        <w:tc>
          <w:tcPr>
            <w:tcW w:w="2694" w:type="dxa"/>
          </w:tcPr>
          <w:p w14:paraId="7771B01C" w14:textId="3F8EBB07" w:rsidR="005E44CF" w:rsidRDefault="005E44CF" w:rsidP="005E44CF">
            <w:pPr>
              <w:rPr>
                <w:rFonts w:cs="Arial"/>
              </w:rPr>
            </w:pPr>
            <w:r>
              <w:t xml:space="preserve">80 </w:t>
            </w:r>
            <w:r>
              <w:rPr>
                <w:lang w:val="en-US"/>
              </w:rPr>
              <w:t xml:space="preserve">mg, </w:t>
            </w:r>
            <w:r>
              <w:t>еднократна доза</w:t>
            </w:r>
          </w:p>
        </w:tc>
        <w:tc>
          <w:tcPr>
            <w:tcW w:w="2805" w:type="dxa"/>
          </w:tcPr>
          <w:p w14:paraId="5F7E14D0" w14:textId="61A9C0ED" w:rsidR="005E44CF" w:rsidRDefault="005E44CF" w:rsidP="005E44CF">
            <w:pPr>
              <w:rPr>
                <w:rFonts w:cs="Arial"/>
              </w:rPr>
            </w:pPr>
            <w:r>
              <w:t>↔</w:t>
            </w:r>
          </w:p>
        </w:tc>
      </w:tr>
      <w:tr w:rsidR="005E44CF" w14:paraId="040720DA" w14:textId="77777777" w:rsidTr="005E44CF">
        <w:tc>
          <w:tcPr>
            <w:tcW w:w="4077" w:type="dxa"/>
          </w:tcPr>
          <w:p w14:paraId="7D1B4BC7" w14:textId="485B2594" w:rsidR="005E44CF" w:rsidRDefault="005E44CF" w:rsidP="005E44CF">
            <w:pPr>
              <w:rPr>
                <w:rFonts w:cs="Arial"/>
              </w:rPr>
            </w:pPr>
            <w:proofErr w:type="spellStart"/>
            <w:r>
              <w:lastRenderedPageBreak/>
              <w:t>Флуконазол</w:t>
            </w:r>
            <w:proofErr w:type="spellEnd"/>
            <w:r>
              <w:t xml:space="preserve"> 200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>веднъж дневно, 11 дни</w:t>
            </w:r>
          </w:p>
        </w:tc>
        <w:tc>
          <w:tcPr>
            <w:tcW w:w="2694" w:type="dxa"/>
          </w:tcPr>
          <w:p w14:paraId="1B370690" w14:textId="6BBD84AA" w:rsidR="005E44CF" w:rsidRDefault="005E44CF" w:rsidP="005E44CF">
            <w:pPr>
              <w:rPr>
                <w:rFonts w:cs="Arial"/>
              </w:rPr>
            </w:pPr>
            <w:r>
              <w:t xml:space="preserve">80 </w:t>
            </w:r>
            <w:r>
              <w:rPr>
                <w:lang w:val="en-US"/>
              </w:rPr>
              <w:t xml:space="preserve">mg, </w:t>
            </w:r>
            <w:r>
              <w:t>еднократна доза</w:t>
            </w:r>
          </w:p>
        </w:tc>
        <w:tc>
          <w:tcPr>
            <w:tcW w:w="2805" w:type="dxa"/>
          </w:tcPr>
          <w:p w14:paraId="290370B2" w14:textId="60976F28" w:rsidR="005E44CF" w:rsidRDefault="005E44CF" w:rsidP="005E44CF">
            <w:pPr>
              <w:rPr>
                <w:rFonts w:cs="Arial"/>
              </w:rPr>
            </w:pPr>
            <w:r>
              <w:t>↔</w:t>
            </w:r>
          </w:p>
        </w:tc>
      </w:tr>
      <w:tr w:rsidR="005E44CF" w14:paraId="7E32935F" w14:textId="77777777" w:rsidTr="005E44CF">
        <w:tc>
          <w:tcPr>
            <w:tcW w:w="4077" w:type="dxa"/>
          </w:tcPr>
          <w:p w14:paraId="208409EA" w14:textId="2C90460C" w:rsidR="005E44CF" w:rsidRDefault="005E44CF" w:rsidP="005E44CF">
            <w:pPr>
              <w:rPr>
                <w:rFonts w:cs="Arial"/>
              </w:rPr>
            </w:pPr>
            <w:proofErr w:type="spellStart"/>
            <w:r>
              <w:t>Еритромицин</w:t>
            </w:r>
            <w:proofErr w:type="spellEnd"/>
            <w:r>
              <w:t xml:space="preserve"> 500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>четири пъти дневно, 7 дни</w:t>
            </w:r>
          </w:p>
        </w:tc>
        <w:tc>
          <w:tcPr>
            <w:tcW w:w="2694" w:type="dxa"/>
          </w:tcPr>
          <w:p w14:paraId="047D0AC3" w14:textId="35DBFF25" w:rsidR="005E44CF" w:rsidRDefault="005E44CF" w:rsidP="005E44CF">
            <w:pPr>
              <w:rPr>
                <w:rFonts w:cs="Arial"/>
              </w:rPr>
            </w:pPr>
            <w:r>
              <w:t xml:space="preserve">80 </w:t>
            </w:r>
            <w:r>
              <w:rPr>
                <w:lang w:val="en-US"/>
              </w:rPr>
              <w:t xml:space="preserve">mg, </w:t>
            </w:r>
            <w:r>
              <w:t>еднократна доза</w:t>
            </w:r>
          </w:p>
        </w:tc>
        <w:tc>
          <w:tcPr>
            <w:tcW w:w="2805" w:type="dxa"/>
          </w:tcPr>
          <w:p w14:paraId="4C128985" w14:textId="53D7FE8A" w:rsidR="005E44CF" w:rsidRDefault="005E44CF" w:rsidP="005E44CF">
            <w:pPr>
              <w:rPr>
                <w:rFonts w:cs="Arial"/>
              </w:rPr>
            </w:pPr>
            <w:r>
              <w:t>20%↓</w:t>
            </w:r>
          </w:p>
        </w:tc>
      </w:tr>
      <w:tr w:rsidR="005E44CF" w14:paraId="0BD3C1BF" w14:textId="77777777" w:rsidTr="005E44CF">
        <w:tc>
          <w:tcPr>
            <w:tcW w:w="4077" w:type="dxa"/>
          </w:tcPr>
          <w:p w14:paraId="754C9E77" w14:textId="204CD4A5" w:rsidR="005E44CF" w:rsidRDefault="005E44CF" w:rsidP="005E44CF">
            <w:pPr>
              <w:rPr>
                <w:rFonts w:cs="Arial"/>
              </w:rPr>
            </w:pPr>
            <w:proofErr w:type="spellStart"/>
            <w:r>
              <w:t>Байкалин</w:t>
            </w:r>
            <w:proofErr w:type="spellEnd"/>
            <w:r>
              <w:t xml:space="preserve"> 50 </w:t>
            </w:r>
            <w:r>
              <w:rPr>
                <w:lang w:val="en-US"/>
              </w:rPr>
              <w:t>mg</w:t>
            </w:r>
            <w:r w:rsidRPr="005E44CF">
              <w:rPr>
                <w:lang w:val="ru-RU"/>
              </w:rPr>
              <w:t xml:space="preserve"> </w:t>
            </w:r>
            <w:r>
              <w:t>три пъти дневно, 14 дни</w:t>
            </w:r>
          </w:p>
        </w:tc>
        <w:tc>
          <w:tcPr>
            <w:tcW w:w="2694" w:type="dxa"/>
          </w:tcPr>
          <w:p w14:paraId="17683E48" w14:textId="3E866F9F" w:rsidR="005E44CF" w:rsidRDefault="005E44CF" w:rsidP="005E44CF">
            <w:pPr>
              <w:rPr>
                <w:rFonts w:cs="Arial"/>
              </w:rPr>
            </w:pPr>
            <w:r>
              <w:t xml:space="preserve">20 </w:t>
            </w:r>
            <w:r>
              <w:rPr>
                <w:lang w:val="en-US"/>
              </w:rPr>
              <w:t xml:space="preserve">mg, </w:t>
            </w:r>
            <w:r>
              <w:t>еднократна доза</w:t>
            </w:r>
          </w:p>
        </w:tc>
        <w:tc>
          <w:tcPr>
            <w:tcW w:w="2805" w:type="dxa"/>
          </w:tcPr>
          <w:p w14:paraId="152A1E29" w14:textId="4674EAA6" w:rsidR="005E44CF" w:rsidRDefault="005E44CF" w:rsidP="005E44CF">
            <w:pPr>
              <w:rPr>
                <w:rFonts w:cs="Arial"/>
              </w:rPr>
            </w:pPr>
            <w:r>
              <w:t>47%↓</w:t>
            </w:r>
          </w:p>
        </w:tc>
      </w:tr>
      <w:tr w:rsidR="005E44CF" w14:paraId="0770CEDD" w14:textId="77777777" w:rsidTr="005E44CF">
        <w:tc>
          <w:tcPr>
            <w:tcW w:w="9576" w:type="dxa"/>
            <w:gridSpan w:val="3"/>
          </w:tcPr>
          <w:p w14:paraId="50F37EA4" w14:textId="77777777" w:rsidR="005E44CF" w:rsidRPr="005E44CF" w:rsidRDefault="005E44CF" w:rsidP="005E44CF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5E44CF">
              <w:rPr>
                <w:rFonts w:eastAsia="Times New Roman" w:cs="Arial"/>
                <w:color w:val="000000"/>
                <w:lang w:eastAsia="bg-BG"/>
              </w:rPr>
              <w:t xml:space="preserve">*Данните, посочени като х пъти промяна, представят просто съотношение между едновременно приложение и приложение на </w:t>
            </w:r>
            <w:proofErr w:type="spellStart"/>
            <w:r w:rsidRPr="005E44CF">
              <w:rPr>
                <w:rFonts w:eastAsia="Times New Roman" w:cs="Arial"/>
                <w:color w:val="000000"/>
                <w:lang w:eastAsia="bg-BG"/>
              </w:rPr>
              <w:t>розувастатин</w:t>
            </w:r>
            <w:proofErr w:type="spellEnd"/>
            <w:r w:rsidRPr="005E44CF">
              <w:rPr>
                <w:rFonts w:eastAsia="Times New Roman" w:cs="Arial"/>
                <w:color w:val="000000"/>
                <w:lang w:eastAsia="bg-BG"/>
              </w:rPr>
              <w:t xml:space="preserve"> самостоятелно. Данните, посочени като % представят процента разлика, отнесен към самостоятелното приложение на </w:t>
            </w:r>
            <w:proofErr w:type="spellStart"/>
            <w:r w:rsidRPr="005E44CF">
              <w:rPr>
                <w:rFonts w:eastAsia="Times New Roman" w:cs="Arial"/>
                <w:color w:val="000000"/>
                <w:lang w:eastAsia="bg-BG"/>
              </w:rPr>
              <w:t>розувастатин</w:t>
            </w:r>
            <w:proofErr w:type="spellEnd"/>
            <w:r w:rsidRPr="005E44CF">
              <w:rPr>
                <w:rFonts w:eastAsia="Times New Roman" w:cs="Arial"/>
                <w:color w:val="000000"/>
                <w:lang w:eastAsia="bg-BG"/>
              </w:rPr>
              <w:t>.</w:t>
            </w:r>
          </w:p>
          <w:p w14:paraId="284E45C7" w14:textId="77777777" w:rsidR="005E44CF" w:rsidRPr="005E44CF" w:rsidRDefault="005E44CF" w:rsidP="005E44CF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5E44CF">
              <w:rPr>
                <w:rFonts w:eastAsia="Times New Roman" w:cs="Arial"/>
                <w:color w:val="000000"/>
                <w:lang w:eastAsia="bg-BG"/>
              </w:rPr>
              <w:t xml:space="preserve">Повишаването е посочено като </w:t>
            </w:r>
            <w:r w:rsidRPr="005E44CF">
              <w:rPr>
                <w:rFonts w:eastAsia="Times New Roman" w:cs="Arial"/>
                <w:color w:val="000000"/>
                <w:lang w:val="ru-RU"/>
              </w:rPr>
              <w:t>“</w:t>
            </w:r>
            <w:r w:rsidRPr="005E44CF">
              <w:rPr>
                <w:rFonts w:eastAsia="Times New Roman" w:cs="Arial"/>
                <w:color w:val="000000"/>
                <w:lang w:eastAsia="bg-BG"/>
              </w:rPr>
              <w:t>↑</w:t>
            </w:r>
            <w:r w:rsidRPr="005E44CF">
              <w:rPr>
                <w:rFonts w:eastAsia="Times New Roman" w:cs="Arial"/>
                <w:color w:val="000000"/>
                <w:lang w:val="ru-RU"/>
              </w:rPr>
              <w:t xml:space="preserve">”, </w:t>
            </w:r>
            <w:r w:rsidRPr="005E44CF">
              <w:rPr>
                <w:rFonts w:eastAsia="Times New Roman" w:cs="Arial"/>
                <w:color w:val="000000"/>
                <w:lang w:eastAsia="bg-BG"/>
              </w:rPr>
              <w:t>без промяна като “↔”, понижението като “↓”.</w:t>
            </w:r>
          </w:p>
          <w:p w14:paraId="5DD7A1DB" w14:textId="6C289979" w:rsidR="005E44CF" w:rsidRPr="005E44CF" w:rsidRDefault="005E44CF" w:rsidP="005E44CF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lang w:eastAsia="bg-BG"/>
              </w:rPr>
              <w:t>**</w:t>
            </w:r>
            <w:r w:rsidRPr="005E44CF">
              <w:rPr>
                <w:rFonts w:eastAsia="Times New Roman" w:cs="Arial"/>
                <w:color w:val="000000"/>
                <w:lang w:eastAsia="bg-BG"/>
              </w:rPr>
              <w:t>Няколко проучвания за взаимодействие са проведени</w:t>
            </w:r>
            <w:r w:rsidRPr="005E44CF">
              <w:rPr>
                <w:rFonts w:eastAsia="Times New Roman" w:cs="Arial"/>
                <w:color w:val="000000"/>
                <w:vertAlign w:val="superscript"/>
                <w:lang w:eastAsia="bg-BG"/>
              </w:rPr>
              <w:t>0</w:t>
            </w:r>
            <w:r w:rsidRPr="005E44CF">
              <w:rPr>
                <w:rFonts w:eastAsia="Times New Roman" w:cs="Arial"/>
                <w:color w:val="000000"/>
                <w:lang w:eastAsia="bg-BG"/>
              </w:rPr>
              <w:t xml:space="preserve"> различни дозировки </w:t>
            </w:r>
            <w:proofErr w:type="spellStart"/>
            <w:r w:rsidRPr="005E44CF">
              <w:rPr>
                <w:rFonts w:eastAsia="Times New Roman" w:cs="Arial"/>
                <w:color w:val="000000"/>
                <w:lang w:eastAsia="bg-BG"/>
              </w:rPr>
              <w:t>розувастатин</w:t>
            </w:r>
            <w:proofErr w:type="spellEnd"/>
            <w:r w:rsidRPr="005E44CF">
              <w:rPr>
                <w:rFonts w:eastAsia="Times New Roman" w:cs="Arial"/>
                <w:color w:val="000000"/>
                <w:lang w:eastAsia="bg-BG"/>
              </w:rPr>
              <w:t>. Таблицата представя най-значимото съотношение.</w:t>
            </w:r>
          </w:p>
          <w:p w14:paraId="6EC14494" w14:textId="01AA7376" w:rsidR="005E44CF" w:rsidRPr="005E44CF" w:rsidRDefault="005E44CF" w:rsidP="005E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CF">
              <w:rPr>
                <w:rFonts w:eastAsia="Times New Roman" w:cs="Arial"/>
                <w:color w:val="000000"/>
                <w:lang w:val="en-US"/>
              </w:rPr>
              <w:t>OD</w:t>
            </w:r>
            <w:r w:rsidRPr="005E44CF">
              <w:rPr>
                <w:rFonts w:eastAsia="Times New Roman" w:cs="Arial"/>
                <w:color w:val="000000"/>
                <w:lang w:val="ru-RU"/>
              </w:rPr>
              <w:t xml:space="preserve"> </w:t>
            </w:r>
            <w:r w:rsidRPr="005E44CF">
              <w:rPr>
                <w:rFonts w:eastAsia="Times New Roman" w:cs="Arial"/>
                <w:color w:val="000000"/>
                <w:lang w:eastAsia="bg-BG"/>
              </w:rPr>
              <w:t xml:space="preserve">= веднъж дневно; </w:t>
            </w:r>
            <w:r w:rsidRPr="005E44CF">
              <w:rPr>
                <w:rFonts w:eastAsia="Times New Roman" w:cs="Arial"/>
                <w:color w:val="000000"/>
                <w:lang w:val="en-US"/>
              </w:rPr>
              <w:t>BID</w:t>
            </w:r>
            <w:r w:rsidRPr="005E44CF">
              <w:rPr>
                <w:rFonts w:eastAsia="Times New Roman" w:cs="Arial"/>
                <w:color w:val="000000"/>
                <w:lang w:val="ru-RU"/>
              </w:rPr>
              <w:t xml:space="preserve"> </w:t>
            </w:r>
            <w:r w:rsidRPr="005E44CF">
              <w:rPr>
                <w:rFonts w:eastAsia="Times New Roman" w:cs="Arial"/>
                <w:color w:val="000000"/>
                <w:lang w:eastAsia="bg-BG"/>
              </w:rPr>
              <w:t xml:space="preserve">= два пъти дневно; </w:t>
            </w:r>
            <w:r w:rsidRPr="005E44CF">
              <w:rPr>
                <w:rFonts w:eastAsia="Times New Roman" w:cs="Arial"/>
                <w:color w:val="000000"/>
                <w:lang w:val="en-US"/>
              </w:rPr>
              <w:t>TID</w:t>
            </w:r>
            <w:r w:rsidRPr="005E44CF">
              <w:rPr>
                <w:rFonts w:eastAsia="Times New Roman" w:cs="Arial"/>
                <w:color w:val="000000"/>
                <w:lang w:val="ru-RU"/>
              </w:rPr>
              <w:t xml:space="preserve"> </w:t>
            </w:r>
            <w:r w:rsidRPr="005E44CF">
              <w:rPr>
                <w:rFonts w:eastAsia="Times New Roman" w:cs="Arial"/>
                <w:color w:val="000000"/>
                <w:lang w:eastAsia="bg-BG"/>
              </w:rPr>
              <w:t xml:space="preserve">= три пъти дневно; </w:t>
            </w:r>
            <w:r w:rsidRPr="005E44CF">
              <w:rPr>
                <w:rFonts w:eastAsia="Times New Roman" w:cs="Arial"/>
                <w:color w:val="000000"/>
                <w:lang w:val="en-US"/>
              </w:rPr>
              <w:t>QID</w:t>
            </w:r>
            <w:r w:rsidRPr="005E44CF">
              <w:rPr>
                <w:rFonts w:eastAsia="Times New Roman" w:cs="Arial"/>
                <w:color w:val="000000"/>
                <w:lang w:val="ru-RU"/>
              </w:rPr>
              <w:t xml:space="preserve"> </w:t>
            </w:r>
            <w:r w:rsidRPr="005E44CF">
              <w:rPr>
                <w:rFonts w:eastAsia="Times New Roman" w:cs="Arial"/>
                <w:color w:val="000000"/>
                <w:lang w:eastAsia="bg-BG"/>
              </w:rPr>
              <w:t>= четири пъти дневно</w:t>
            </w:r>
          </w:p>
        </w:tc>
      </w:tr>
    </w:tbl>
    <w:p w14:paraId="6C275465" w14:textId="6C94B44F" w:rsidR="005E44CF" w:rsidRDefault="005E44CF" w:rsidP="005E44CF">
      <w:pPr>
        <w:rPr>
          <w:rFonts w:cs="Arial"/>
        </w:rPr>
      </w:pPr>
    </w:p>
    <w:p w14:paraId="77D8373B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i/>
          <w:iCs/>
          <w:color w:val="000000"/>
          <w:lang w:eastAsia="bg-BG"/>
        </w:rPr>
        <w:t xml:space="preserve">Ефект на </w:t>
      </w:r>
      <w:proofErr w:type="spellStart"/>
      <w:r w:rsidRPr="005E44CF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i/>
          <w:iCs/>
          <w:color w:val="000000"/>
          <w:lang w:eastAsia="bg-BG"/>
        </w:rPr>
        <w:t xml:space="preserve"> върху едновременно приемани лекарствени продукти</w:t>
      </w:r>
    </w:p>
    <w:p w14:paraId="1A4AC9E4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CCBC36D" w14:textId="57B6C906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Антагонисти на витамин К</w:t>
      </w:r>
    </w:p>
    <w:p w14:paraId="70150323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Подобно на други инхибитори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започването на лечение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или титрирането на дозата му при пациенти, приемащи антагонисти на витамин </w:t>
      </w:r>
      <w:r w:rsidRPr="005E44CF">
        <w:rPr>
          <w:rFonts w:eastAsia="Times New Roman" w:cs="Arial"/>
          <w:i/>
          <w:iCs/>
          <w:color w:val="000000"/>
          <w:lang w:eastAsia="bg-BG"/>
        </w:rPr>
        <w:t>К</w:t>
      </w:r>
      <w:r w:rsidRPr="005E44CF">
        <w:rPr>
          <w:rFonts w:eastAsia="Times New Roman" w:cs="Arial"/>
          <w:color w:val="000000"/>
          <w:lang w:eastAsia="bg-BG"/>
        </w:rPr>
        <w:t xml:space="preserve"> (като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или други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кумаринови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антикоагуланти) може да доведе до повишаване на </w:t>
      </w:r>
      <w:r w:rsidRPr="005E44CF">
        <w:rPr>
          <w:rFonts w:eastAsia="Times New Roman" w:cs="Arial"/>
          <w:color w:val="000000"/>
          <w:lang w:val="en-US"/>
        </w:rPr>
        <w:t>International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val="en-US"/>
        </w:rPr>
        <w:t>Normalised</w:t>
      </w:r>
      <w:proofErr w:type="spellEnd"/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val="en-US"/>
        </w:rPr>
        <w:t>Ratio</w:t>
      </w:r>
      <w:r w:rsidRPr="005E44CF">
        <w:rPr>
          <w:rFonts w:eastAsia="Times New Roman" w:cs="Arial"/>
          <w:color w:val="000000"/>
          <w:lang w:val="ru-RU"/>
        </w:rPr>
        <w:t xml:space="preserve"> (</w:t>
      </w:r>
      <w:r w:rsidRPr="005E44CF">
        <w:rPr>
          <w:rFonts w:eastAsia="Times New Roman" w:cs="Arial"/>
          <w:color w:val="000000"/>
          <w:lang w:val="en-US"/>
        </w:rPr>
        <w:t>INR</w:t>
      </w:r>
      <w:r w:rsidRPr="005E44CF">
        <w:rPr>
          <w:rFonts w:eastAsia="Times New Roman" w:cs="Arial"/>
          <w:color w:val="000000"/>
          <w:lang w:val="ru-RU"/>
        </w:rPr>
        <w:t xml:space="preserve">). </w:t>
      </w:r>
      <w:r w:rsidRPr="005E44CF">
        <w:rPr>
          <w:rFonts w:eastAsia="Times New Roman" w:cs="Arial"/>
          <w:color w:val="000000"/>
          <w:lang w:eastAsia="bg-BG"/>
        </w:rPr>
        <w:t xml:space="preserve">Прекъсването на лечението или намаляването на дозата на титриране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може да доведе до намаление на </w:t>
      </w:r>
      <w:r w:rsidRPr="005E44CF">
        <w:rPr>
          <w:rFonts w:eastAsia="Times New Roman" w:cs="Arial"/>
          <w:color w:val="000000"/>
          <w:lang w:val="en-US"/>
        </w:rPr>
        <w:t>INR</w:t>
      </w:r>
      <w:r w:rsidRPr="005E44CF">
        <w:rPr>
          <w:rFonts w:eastAsia="Times New Roman" w:cs="Arial"/>
          <w:color w:val="000000"/>
          <w:lang w:val="ru-RU"/>
        </w:rPr>
        <w:t xml:space="preserve">. </w:t>
      </w:r>
      <w:r w:rsidRPr="005E44CF">
        <w:rPr>
          <w:rFonts w:eastAsia="Times New Roman" w:cs="Arial"/>
          <w:color w:val="000000"/>
          <w:lang w:eastAsia="bg-BG"/>
        </w:rPr>
        <w:t xml:space="preserve">При подобни случаи е желателно мониториране на </w:t>
      </w:r>
      <w:r w:rsidRPr="005E44CF">
        <w:rPr>
          <w:rFonts w:eastAsia="Times New Roman" w:cs="Arial"/>
          <w:color w:val="000000"/>
          <w:lang w:val="en-US"/>
        </w:rPr>
        <w:t>INR</w:t>
      </w:r>
      <w:r w:rsidRPr="005E44CF">
        <w:rPr>
          <w:rFonts w:eastAsia="Times New Roman" w:cs="Arial"/>
          <w:color w:val="000000"/>
          <w:lang w:val="ru-RU"/>
        </w:rPr>
        <w:t>.</w:t>
      </w:r>
    </w:p>
    <w:p w14:paraId="4599D1B1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264E0C" w14:textId="422FFA15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Перорални контрацептиви/</w:t>
      </w: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хормонзаместителна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терапия</w:t>
      </w:r>
    </w:p>
    <w:p w14:paraId="658D17C5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Съпътстващата употреба на перорални контрацептиви е довела до повишаване на </w:t>
      </w:r>
      <w:r w:rsidRPr="005E44CF">
        <w:rPr>
          <w:rFonts w:eastAsia="Times New Roman" w:cs="Arial"/>
          <w:color w:val="000000"/>
          <w:lang w:val="en-US"/>
        </w:rPr>
        <w:t>AUC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етинилестрадиол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норгестрел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съответно с 26% и 34%. Тези повишени плазмени нива трябва да вземат под внимание, когато се определя дозировката на пероралните контрацептиви. Няма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данни за пациенти, които приемат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хормонозаместителна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терапия. Ето защо взаимодействието, описано по-горе не може да бъде изключено. Въпреки това тази комбинация е била широко прилагана при жени по време на клинични изпитвания и е понасяна добре.</w:t>
      </w:r>
    </w:p>
    <w:p w14:paraId="769AD9C3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0D5D2AE" w14:textId="390E59E1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Други лекарствени продукти</w:t>
      </w:r>
    </w:p>
    <w:p w14:paraId="15121FDA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004F8D" w14:textId="2DA1038E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Дигоксин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>:</w:t>
      </w:r>
    </w:p>
    <w:p w14:paraId="64F8B541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Въз основа на данните от клинични проучвания за специфични лекарствени взаимодействия, не се очаква клинично значимо взаимодействие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5E44CF">
        <w:rPr>
          <w:rFonts w:eastAsia="Times New Roman" w:cs="Arial"/>
          <w:color w:val="000000"/>
          <w:lang w:eastAsia="bg-BG"/>
        </w:rPr>
        <w:t>.</w:t>
      </w:r>
    </w:p>
    <w:p w14:paraId="44E6A752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4E6112" w14:textId="735CA9B0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киселина</w:t>
      </w:r>
    </w:p>
    <w:p w14:paraId="3DEEBCF1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Не са провеждани проучвания върху взаимодействието между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киселина. Рискът от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може да се увеличи при едновременното прилагане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 (системно)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 Механизмът на това взаимодействие (бил той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фармакодинамичен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фармакокинетичен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или и двете) не е известен досега. Има съобщения за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(включително фатална) при пациенти, които са получавали тази комбинация.</w:t>
      </w:r>
    </w:p>
    <w:p w14:paraId="0AD33562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lastRenderedPageBreak/>
        <w:t xml:space="preserve">Ако системно лечение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 е необходимо, лечението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трявба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да се прекрати, докато продължава лечението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киселина. </w:t>
      </w:r>
      <w:r w:rsidRPr="005E44CF">
        <w:rPr>
          <w:rFonts w:eastAsia="Times New Roman" w:cs="Arial"/>
          <w:b/>
          <w:bCs/>
          <w:color w:val="000000"/>
          <w:lang w:eastAsia="bg-BG"/>
        </w:rPr>
        <w:t>Вижте също точка 4.4.</w:t>
      </w:r>
    </w:p>
    <w:p w14:paraId="63B39D2F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</w:p>
    <w:p w14:paraId="6BA116A2" w14:textId="5FADBB4C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1FD6368F" w14:textId="05CA386F" w:rsidR="005E44CF" w:rsidRDefault="005E44CF" w:rsidP="005E44CF">
      <w:pPr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Проучвания за взаимодействие са провеждани само при възрастни. Степента на взаимодействията в педиатричната популация не е известна.</w:t>
      </w:r>
    </w:p>
    <w:p w14:paraId="39E3BA17" w14:textId="77777777" w:rsidR="005E44CF" w:rsidRPr="005E44CF" w:rsidRDefault="005E44CF" w:rsidP="005E44CF">
      <w:pPr>
        <w:rPr>
          <w:rFonts w:cs="Arial"/>
        </w:rPr>
      </w:pPr>
    </w:p>
    <w:p w14:paraId="006BE4EC" w14:textId="7066CDEF" w:rsidR="00DB32D3" w:rsidRDefault="002C50EE" w:rsidP="005726E3">
      <w:pPr>
        <w:pStyle w:val="Heading2"/>
      </w:pPr>
      <w:r>
        <w:t>4.6. Фертилитет, бременност и кърмене</w:t>
      </w:r>
    </w:p>
    <w:p w14:paraId="32F731E7" w14:textId="504229EF" w:rsidR="005E44CF" w:rsidRDefault="005E44CF" w:rsidP="005E44CF"/>
    <w:p w14:paraId="1A477C0D" w14:textId="77777777" w:rsidR="005E44CF" w:rsidRPr="005E44CF" w:rsidRDefault="005E44CF" w:rsidP="005E44CF">
      <w:pPr>
        <w:rPr>
          <w:sz w:val="24"/>
          <w:szCs w:val="24"/>
        </w:rPr>
      </w:pPr>
      <w:proofErr w:type="spellStart"/>
      <w:r w:rsidRPr="005E44CF">
        <w:rPr>
          <w:lang w:eastAsia="bg-BG"/>
        </w:rPr>
        <w:t>Розувастатин</w:t>
      </w:r>
      <w:proofErr w:type="spellEnd"/>
      <w:r w:rsidRPr="005E44CF">
        <w:rPr>
          <w:lang w:eastAsia="bg-BG"/>
        </w:rPr>
        <w:t xml:space="preserve"> е противопоказан по време на бременност и кърмене.</w:t>
      </w:r>
    </w:p>
    <w:p w14:paraId="436ECCFC" w14:textId="77777777" w:rsidR="005E44CF" w:rsidRPr="005E44CF" w:rsidRDefault="005E44CF" w:rsidP="005E44CF">
      <w:pPr>
        <w:rPr>
          <w:sz w:val="24"/>
          <w:szCs w:val="24"/>
        </w:rPr>
      </w:pPr>
      <w:r w:rsidRPr="005E44CF">
        <w:rPr>
          <w:lang w:eastAsia="bg-BG"/>
        </w:rPr>
        <w:t>Жени с детероден потенциал трябва да прилагат подходящи контрацептивни мерки.</w:t>
      </w:r>
    </w:p>
    <w:p w14:paraId="0CBAC1F8" w14:textId="77777777" w:rsidR="005E44CF" w:rsidRPr="005E44CF" w:rsidRDefault="005E44CF" w:rsidP="005E44CF">
      <w:pPr>
        <w:rPr>
          <w:sz w:val="24"/>
          <w:szCs w:val="24"/>
        </w:rPr>
      </w:pPr>
      <w:r w:rsidRPr="005E44CF">
        <w:rPr>
          <w:lang w:eastAsia="bg-BG"/>
        </w:rPr>
        <w:t xml:space="preserve">Тъй като холестеролът и другите продукти на </w:t>
      </w:r>
      <w:proofErr w:type="spellStart"/>
      <w:r w:rsidRPr="005E44CF">
        <w:rPr>
          <w:lang w:eastAsia="bg-BG"/>
        </w:rPr>
        <w:t>холестероловата</w:t>
      </w:r>
      <w:proofErr w:type="spellEnd"/>
      <w:r w:rsidRPr="005E44CF">
        <w:rPr>
          <w:lang w:eastAsia="bg-BG"/>
        </w:rPr>
        <w:t xml:space="preserve"> биосинтезата са от съществено значение за развитието на плода, потенциалният риск от инхибиране на </w:t>
      </w:r>
      <w:r w:rsidRPr="005E44CF">
        <w:rPr>
          <w:lang w:val="en-US"/>
        </w:rPr>
        <w:t>HMG</w:t>
      </w:r>
      <w:r w:rsidRPr="005E44CF">
        <w:rPr>
          <w:lang w:val="ru-RU"/>
        </w:rPr>
        <w:t>-</w:t>
      </w:r>
      <w:r w:rsidRPr="005E44CF">
        <w:rPr>
          <w:lang w:val="en-US"/>
        </w:rPr>
        <w:t>CoA</w:t>
      </w:r>
      <w:r w:rsidRPr="005E44CF">
        <w:rPr>
          <w:lang w:val="ru-RU"/>
        </w:rPr>
        <w:t xml:space="preserve"> </w:t>
      </w:r>
      <w:proofErr w:type="spellStart"/>
      <w:r w:rsidRPr="005E44CF">
        <w:rPr>
          <w:lang w:eastAsia="bg-BG"/>
        </w:rPr>
        <w:t>редуктазата</w:t>
      </w:r>
      <w:proofErr w:type="spellEnd"/>
      <w:r w:rsidRPr="005E44CF">
        <w:rPr>
          <w:lang w:eastAsia="bg-BG"/>
        </w:rPr>
        <w:t xml:space="preserve"> надвишава предимствата от лечение по време на бременност. Проучванията при животни осигуряват ограничени данни за репродуктивна токсичност (вж. точка 5.3). Ако пациентка забременее по време на лечението с това лекарство, приемът трябва да бъде преустановен незабавно.</w:t>
      </w:r>
    </w:p>
    <w:p w14:paraId="69BFDCE1" w14:textId="77777777" w:rsidR="005E44CF" w:rsidRDefault="005E44CF" w:rsidP="005E44CF">
      <w:pPr>
        <w:rPr>
          <w:lang w:eastAsia="bg-BG"/>
        </w:rPr>
      </w:pPr>
    </w:p>
    <w:p w14:paraId="73AFFDCA" w14:textId="41A81F26" w:rsidR="005E44CF" w:rsidRPr="005E44CF" w:rsidRDefault="005E44CF" w:rsidP="005E44CF">
      <w:pPr>
        <w:rPr>
          <w:sz w:val="24"/>
          <w:szCs w:val="24"/>
        </w:rPr>
      </w:pPr>
      <w:proofErr w:type="spellStart"/>
      <w:r w:rsidRPr="005E44CF">
        <w:rPr>
          <w:lang w:eastAsia="bg-BG"/>
        </w:rPr>
        <w:t>Розувастатин</w:t>
      </w:r>
      <w:proofErr w:type="spellEnd"/>
      <w:r w:rsidRPr="005E44CF">
        <w:rPr>
          <w:lang w:eastAsia="bg-BG"/>
        </w:rPr>
        <w:t xml:space="preserve"> се </w:t>
      </w:r>
      <w:proofErr w:type="spellStart"/>
      <w:r w:rsidRPr="005E44CF">
        <w:rPr>
          <w:lang w:eastAsia="bg-BG"/>
        </w:rPr>
        <w:t>екскретира</w:t>
      </w:r>
      <w:proofErr w:type="spellEnd"/>
      <w:r w:rsidRPr="005E44CF">
        <w:rPr>
          <w:lang w:eastAsia="bg-BG"/>
        </w:rPr>
        <w:t xml:space="preserve"> в млякото на плъхове. Няма установени данни за отделяне в млякото при хората. (Вижте точка 4.3)</w:t>
      </w:r>
    </w:p>
    <w:p w14:paraId="154F8673" w14:textId="77777777" w:rsidR="005E44CF" w:rsidRPr="005E44CF" w:rsidRDefault="005E44CF" w:rsidP="005E44CF"/>
    <w:p w14:paraId="128BA3A8" w14:textId="0089890C" w:rsidR="00DB32D3" w:rsidRDefault="002C50EE" w:rsidP="005726E3">
      <w:pPr>
        <w:pStyle w:val="Heading2"/>
      </w:pPr>
      <w:r>
        <w:t>4.7. Ефекти върху способността за шофиране и работа с машини</w:t>
      </w:r>
    </w:p>
    <w:p w14:paraId="375B34A7" w14:textId="40FFB35A" w:rsidR="005E44CF" w:rsidRDefault="005E44CF" w:rsidP="005E44CF"/>
    <w:p w14:paraId="4D8D42F2" w14:textId="77777777" w:rsidR="005E44CF" w:rsidRPr="005E44CF" w:rsidRDefault="005E44CF" w:rsidP="005E44CF">
      <w:pPr>
        <w:rPr>
          <w:sz w:val="24"/>
          <w:szCs w:val="24"/>
        </w:rPr>
      </w:pPr>
      <w:r w:rsidRPr="005E44CF">
        <w:rPr>
          <w:lang w:eastAsia="bg-BG"/>
        </w:rPr>
        <w:t xml:space="preserve">Проучвания за установяване на влиянието на </w:t>
      </w:r>
      <w:proofErr w:type="spellStart"/>
      <w:r w:rsidRPr="005E44CF">
        <w:rPr>
          <w:lang w:eastAsia="bg-BG"/>
        </w:rPr>
        <w:t>розувастатин</w:t>
      </w:r>
      <w:proofErr w:type="spellEnd"/>
      <w:r w:rsidRPr="005E44CF">
        <w:rPr>
          <w:lang w:eastAsia="bg-BG"/>
        </w:rPr>
        <w:t xml:space="preserve"> върху способността за шофиране и работа с машини не са провеждани. Въпреки това, въз основа на </w:t>
      </w:r>
      <w:proofErr w:type="spellStart"/>
      <w:r w:rsidRPr="005E44CF">
        <w:rPr>
          <w:lang w:eastAsia="bg-BG"/>
        </w:rPr>
        <w:t>фармакодинамичните</w:t>
      </w:r>
      <w:proofErr w:type="spellEnd"/>
      <w:r w:rsidRPr="005E44CF">
        <w:rPr>
          <w:lang w:eastAsia="bg-BG"/>
        </w:rPr>
        <w:t xml:space="preserve"> му свойства, е малко вероятно </w:t>
      </w:r>
      <w:proofErr w:type="spellStart"/>
      <w:r w:rsidRPr="005E44CF">
        <w:rPr>
          <w:lang w:eastAsia="bg-BG"/>
        </w:rPr>
        <w:t>розувастатин</w:t>
      </w:r>
      <w:proofErr w:type="spellEnd"/>
      <w:r w:rsidRPr="005E44CF">
        <w:rPr>
          <w:lang w:eastAsia="bg-BG"/>
        </w:rPr>
        <w:t xml:space="preserve"> да повлияе неблагоприятно тези способности. При шофиране или работа с машини трябва да се има предвид, че по време на лечението може да се появи световъртеж.</w:t>
      </w:r>
    </w:p>
    <w:p w14:paraId="2C9049FB" w14:textId="77777777" w:rsidR="005E44CF" w:rsidRPr="005E44CF" w:rsidRDefault="005E44CF" w:rsidP="005E44CF"/>
    <w:p w14:paraId="44CE30A3" w14:textId="3F4E20BF" w:rsidR="007122AD" w:rsidRDefault="002C50EE" w:rsidP="00936AD0">
      <w:pPr>
        <w:pStyle w:val="Heading2"/>
      </w:pPr>
      <w:r>
        <w:t>4.8. Нежелани лекарствени реакции</w:t>
      </w:r>
    </w:p>
    <w:p w14:paraId="334B0944" w14:textId="60AF5349" w:rsidR="005E44CF" w:rsidRDefault="005E44CF" w:rsidP="005E44CF"/>
    <w:p w14:paraId="4AE4CA78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Нежеланите лекарствени реакции, наблюдавани при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обикновено са леки и преходни. В контролирани клинични проучвания по-малко от 4% от пациентите, лекувани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са прекъснали лечението поради нежелани реакции.</w:t>
      </w:r>
    </w:p>
    <w:p w14:paraId="2CC23D9D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383077" w14:textId="376B5C5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Табличен списък на нежеланите реакции</w:t>
      </w:r>
    </w:p>
    <w:p w14:paraId="69A3A567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A81B05" w14:textId="32C278DE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 xml:space="preserve">По-долу са изброени нежелани лекарствени реакции за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въз основа на данни от клинични проучвания и разширен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постмаркетингов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опит. Нежеланите реакции са класифицирани съобразно честотата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системо</w:t>
      </w:r>
      <w:proofErr w:type="spellEnd"/>
      <w:r w:rsidRPr="005E44CF">
        <w:rPr>
          <w:rFonts w:eastAsia="Times New Roman" w:cs="Arial"/>
          <w:color w:val="000000"/>
          <w:lang w:eastAsia="bg-BG"/>
        </w:rPr>
        <w:t>-органния клас.</w:t>
      </w:r>
    </w:p>
    <w:p w14:paraId="06A5CEF3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218E31" w14:textId="460D4891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t>Честотата на нежеланите реакции е класифицирана съобразно следната конвенция: чести (≥1/100 до &lt;1/10); нечести (≥1/1 000 до &lt; 1/100); редки (≥ 1/10 000 до &lt; 1/1 000); много редки (&lt;1/10 000); с неизвестна честота (от наличните данни не може да бъде направена оценка).</w:t>
      </w:r>
    </w:p>
    <w:p w14:paraId="1C48C59F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78FC14" w14:textId="2DBEAB46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lang w:eastAsia="bg-BG"/>
        </w:rPr>
        <w:lastRenderedPageBreak/>
        <w:t>Таблица 2</w:t>
      </w:r>
      <w:r w:rsidRPr="005E44CF">
        <w:rPr>
          <w:rFonts w:eastAsia="Times New Roman" w:cs="Arial"/>
          <w:color w:val="000000"/>
          <w:lang w:val="ru-RU" w:eastAsia="bg-BG"/>
        </w:rPr>
        <w:t xml:space="preserve">: </w:t>
      </w:r>
      <w:r w:rsidRPr="005E44CF">
        <w:rPr>
          <w:rFonts w:eastAsia="Times New Roman" w:cs="Arial"/>
          <w:color w:val="000000"/>
          <w:lang w:eastAsia="bg-BG"/>
        </w:rPr>
        <w:t xml:space="preserve">Нежеланите реакции, въз основа на данни от клинични опит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5E44CF">
        <w:rPr>
          <w:rFonts w:eastAsia="Times New Roman" w:cs="Arial"/>
          <w:sz w:val="24"/>
          <w:szCs w:val="24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>проучвания</w:t>
      </w:r>
    </w:p>
    <w:p w14:paraId="411B12B4" w14:textId="06BD5D19" w:rsidR="005E44CF" w:rsidRDefault="005E44CF" w:rsidP="005E44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1528"/>
        <w:gridCol w:w="1180"/>
        <w:gridCol w:w="1601"/>
        <w:gridCol w:w="1544"/>
        <w:gridCol w:w="1683"/>
      </w:tblGrid>
      <w:tr w:rsidR="005E44CF" w14:paraId="4D16EB76" w14:textId="77777777" w:rsidTr="005E44CF">
        <w:tc>
          <w:tcPr>
            <w:tcW w:w="1859" w:type="dxa"/>
          </w:tcPr>
          <w:p w14:paraId="57AFD561" w14:textId="2A7EE4A6" w:rsidR="005E44CF" w:rsidRDefault="005E44CF" w:rsidP="005E44CF">
            <w:proofErr w:type="spellStart"/>
            <w:r>
              <w:rPr>
                <w:b/>
                <w:bCs/>
              </w:rPr>
              <w:t>Системо</w:t>
            </w:r>
            <w:proofErr w:type="spellEnd"/>
            <w:r>
              <w:rPr>
                <w:b/>
                <w:bCs/>
              </w:rPr>
              <w:t>- органни класове</w:t>
            </w:r>
          </w:p>
        </w:tc>
        <w:tc>
          <w:tcPr>
            <w:tcW w:w="1565" w:type="dxa"/>
          </w:tcPr>
          <w:p w14:paraId="0F99C5BB" w14:textId="6116818E" w:rsidR="005E44CF" w:rsidRDefault="005E44CF" w:rsidP="005E44CF">
            <w:r>
              <w:rPr>
                <w:b/>
                <w:bCs/>
              </w:rPr>
              <w:t>Чести</w:t>
            </w:r>
          </w:p>
        </w:tc>
        <w:tc>
          <w:tcPr>
            <w:tcW w:w="1207" w:type="dxa"/>
          </w:tcPr>
          <w:p w14:paraId="19434218" w14:textId="377508D7" w:rsidR="005E44CF" w:rsidRDefault="005E44CF" w:rsidP="005E44CF">
            <w:r>
              <w:rPr>
                <w:b/>
                <w:bCs/>
              </w:rPr>
              <w:t>Нечести</w:t>
            </w:r>
          </w:p>
        </w:tc>
        <w:tc>
          <w:tcPr>
            <w:tcW w:w="1640" w:type="dxa"/>
          </w:tcPr>
          <w:p w14:paraId="444B5E2C" w14:textId="1FE0FB4C" w:rsidR="005E44CF" w:rsidRDefault="005E44CF" w:rsidP="005E44CF">
            <w:r>
              <w:rPr>
                <w:b/>
                <w:bCs/>
              </w:rPr>
              <w:t>Редки</w:t>
            </w:r>
          </w:p>
        </w:tc>
        <w:tc>
          <w:tcPr>
            <w:tcW w:w="1581" w:type="dxa"/>
          </w:tcPr>
          <w:p w14:paraId="1A689474" w14:textId="15154843" w:rsidR="005E44CF" w:rsidRDefault="005E44CF" w:rsidP="005E44CF">
            <w:r>
              <w:rPr>
                <w:b/>
                <w:bCs/>
              </w:rPr>
              <w:t>Много редки</w:t>
            </w:r>
          </w:p>
        </w:tc>
        <w:tc>
          <w:tcPr>
            <w:tcW w:w="1724" w:type="dxa"/>
          </w:tcPr>
          <w:p w14:paraId="3913F125" w14:textId="6C81E7E9" w:rsidR="005E44CF" w:rsidRDefault="005E44CF" w:rsidP="005E44CF">
            <w:r>
              <w:rPr>
                <w:b/>
                <w:bCs/>
              </w:rPr>
              <w:t>С неизвестна честота</w:t>
            </w:r>
          </w:p>
        </w:tc>
      </w:tr>
      <w:tr w:rsidR="005E44CF" w14:paraId="3387FB8F" w14:textId="77777777" w:rsidTr="005E44CF">
        <w:tc>
          <w:tcPr>
            <w:tcW w:w="1859" w:type="dxa"/>
          </w:tcPr>
          <w:p w14:paraId="0353F19A" w14:textId="4EAAD0FA" w:rsidR="005E44CF" w:rsidRDefault="005E44CF" w:rsidP="005E44CF">
            <w:r>
              <w:t>Нарушения на кръвта и лимфната система</w:t>
            </w:r>
          </w:p>
        </w:tc>
        <w:tc>
          <w:tcPr>
            <w:tcW w:w="1565" w:type="dxa"/>
          </w:tcPr>
          <w:p w14:paraId="46684B5B" w14:textId="77777777" w:rsidR="005E44CF" w:rsidRDefault="005E44CF" w:rsidP="005E44CF"/>
        </w:tc>
        <w:tc>
          <w:tcPr>
            <w:tcW w:w="1207" w:type="dxa"/>
          </w:tcPr>
          <w:p w14:paraId="2A1FB48F" w14:textId="77777777" w:rsidR="005E44CF" w:rsidRDefault="005E44CF" w:rsidP="005E44CF"/>
        </w:tc>
        <w:tc>
          <w:tcPr>
            <w:tcW w:w="1640" w:type="dxa"/>
          </w:tcPr>
          <w:p w14:paraId="1D5E9BE8" w14:textId="0A1FE010" w:rsidR="005E44CF" w:rsidRDefault="005E44CF" w:rsidP="005E44CF">
            <w:proofErr w:type="spellStart"/>
            <w:r>
              <w:t>Тромбоцито</w:t>
            </w:r>
            <w:proofErr w:type="spellEnd"/>
            <w:r>
              <w:t>- пения</w:t>
            </w:r>
          </w:p>
        </w:tc>
        <w:tc>
          <w:tcPr>
            <w:tcW w:w="1581" w:type="dxa"/>
          </w:tcPr>
          <w:p w14:paraId="518FD179" w14:textId="77777777" w:rsidR="005E44CF" w:rsidRDefault="005E44CF" w:rsidP="005E44CF"/>
        </w:tc>
        <w:tc>
          <w:tcPr>
            <w:tcW w:w="1724" w:type="dxa"/>
          </w:tcPr>
          <w:p w14:paraId="1563DFA8" w14:textId="77777777" w:rsidR="005E44CF" w:rsidRDefault="005E44CF" w:rsidP="005E44CF"/>
        </w:tc>
      </w:tr>
      <w:tr w:rsidR="005E44CF" w14:paraId="2976F7A3" w14:textId="77777777" w:rsidTr="005E44CF">
        <w:tc>
          <w:tcPr>
            <w:tcW w:w="1859" w:type="dxa"/>
          </w:tcPr>
          <w:p w14:paraId="02CA7A64" w14:textId="03E3861B" w:rsidR="005E44CF" w:rsidRDefault="005E44CF" w:rsidP="005E44CF">
            <w:r>
              <w:t>Нарушения на имунната система</w:t>
            </w:r>
          </w:p>
        </w:tc>
        <w:tc>
          <w:tcPr>
            <w:tcW w:w="1565" w:type="dxa"/>
          </w:tcPr>
          <w:p w14:paraId="2CC5EED9" w14:textId="77777777" w:rsidR="005E44CF" w:rsidRDefault="005E44CF" w:rsidP="005E44CF"/>
        </w:tc>
        <w:tc>
          <w:tcPr>
            <w:tcW w:w="1207" w:type="dxa"/>
          </w:tcPr>
          <w:p w14:paraId="4068CE3B" w14:textId="77777777" w:rsidR="005E44CF" w:rsidRDefault="005E44CF" w:rsidP="005E44CF"/>
        </w:tc>
        <w:tc>
          <w:tcPr>
            <w:tcW w:w="1640" w:type="dxa"/>
          </w:tcPr>
          <w:p w14:paraId="0FBC7E49" w14:textId="4A9C6771" w:rsidR="005E44CF" w:rsidRDefault="005E44CF" w:rsidP="005E44CF">
            <w:r>
              <w:t>Свръхчув</w:t>
            </w:r>
            <w:r>
              <w:softHyphen/>
              <w:t>ствителност, включително ангиоедем</w:t>
            </w:r>
          </w:p>
        </w:tc>
        <w:tc>
          <w:tcPr>
            <w:tcW w:w="1581" w:type="dxa"/>
          </w:tcPr>
          <w:p w14:paraId="4D45699F" w14:textId="77777777" w:rsidR="005E44CF" w:rsidRDefault="005E44CF" w:rsidP="005E44CF"/>
        </w:tc>
        <w:tc>
          <w:tcPr>
            <w:tcW w:w="1724" w:type="dxa"/>
          </w:tcPr>
          <w:p w14:paraId="7AF1CDF4" w14:textId="77777777" w:rsidR="005E44CF" w:rsidRDefault="005E44CF" w:rsidP="005E44CF"/>
        </w:tc>
      </w:tr>
      <w:tr w:rsidR="005E44CF" w14:paraId="40DF5FC2" w14:textId="77777777" w:rsidTr="005E44CF">
        <w:tc>
          <w:tcPr>
            <w:tcW w:w="1859" w:type="dxa"/>
            <w:vAlign w:val="bottom"/>
          </w:tcPr>
          <w:p w14:paraId="5406F491" w14:textId="7CE4DEE7" w:rsidR="005E44CF" w:rsidRPr="005E44CF" w:rsidRDefault="005E44CF" w:rsidP="005E44CF">
            <w:pPr>
              <w:rPr>
                <w:lang w:val="en-US"/>
              </w:rPr>
            </w:pPr>
            <w:r w:rsidRPr="005E44CF">
              <w:t>Нарушения на ендокринната система</w:t>
            </w:r>
          </w:p>
        </w:tc>
        <w:tc>
          <w:tcPr>
            <w:tcW w:w="1565" w:type="dxa"/>
          </w:tcPr>
          <w:p w14:paraId="29E13C0A" w14:textId="73482CBD" w:rsidR="005E44CF" w:rsidRPr="005E44CF" w:rsidRDefault="005E44CF" w:rsidP="005E44CF">
            <w:r w:rsidRPr="005E44CF">
              <w:t>Захарен диабет</w:t>
            </w:r>
            <w:r w:rsidRPr="005E44CF">
              <w:rPr>
                <w:vertAlign w:val="superscript"/>
              </w:rPr>
              <w:t>1</w:t>
            </w:r>
          </w:p>
        </w:tc>
        <w:tc>
          <w:tcPr>
            <w:tcW w:w="1207" w:type="dxa"/>
          </w:tcPr>
          <w:p w14:paraId="40C90B8C" w14:textId="77777777" w:rsidR="005E44CF" w:rsidRPr="005E44CF" w:rsidRDefault="005E44CF" w:rsidP="005E44CF"/>
        </w:tc>
        <w:tc>
          <w:tcPr>
            <w:tcW w:w="1640" w:type="dxa"/>
          </w:tcPr>
          <w:p w14:paraId="7BCCD15F" w14:textId="77777777" w:rsidR="005E44CF" w:rsidRPr="005E44CF" w:rsidRDefault="005E44CF" w:rsidP="005E44CF"/>
        </w:tc>
        <w:tc>
          <w:tcPr>
            <w:tcW w:w="1581" w:type="dxa"/>
          </w:tcPr>
          <w:p w14:paraId="7B892FB4" w14:textId="77777777" w:rsidR="005E44CF" w:rsidRPr="005E44CF" w:rsidRDefault="005E44CF" w:rsidP="005E44CF"/>
        </w:tc>
        <w:tc>
          <w:tcPr>
            <w:tcW w:w="1724" w:type="dxa"/>
          </w:tcPr>
          <w:p w14:paraId="58F818E1" w14:textId="77777777" w:rsidR="005E44CF" w:rsidRPr="005E44CF" w:rsidRDefault="005E44CF" w:rsidP="005E44CF"/>
        </w:tc>
      </w:tr>
      <w:tr w:rsidR="005E44CF" w14:paraId="4A5F1D8C" w14:textId="77777777" w:rsidTr="005E44CF">
        <w:tc>
          <w:tcPr>
            <w:tcW w:w="1859" w:type="dxa"/>
            <w:vAlign w:val="bottom"/>
          </w:tcPr>
          <w:p w14:paraId="54695E28" w14:textId="32E9535C" w:rsidR="005E44CF" w:rsidRPr="005E44CF" w:rsidRDefault="005E44CF" w:rsidP="005E44CF">
            <w:r w:rsidRPr="005E44CF">
              <w:t>Психични нарушения</w:t>
            </w:r>
          </w:p>
        </w:tc>
        <w:tc>
          <w:tcPr>
            <w:tcW w:w="1565" w:type="dxa"/>
          </w:tcPr>
          <w:p w14:paraId="694E05B6" w14:textId="77777777" w:rsidR="005E44CF" w:rsidRPr="005E44CF" w:rsidRDefault="005E44CF" w:rsidP="005E44CF"/>
        </w:tc>
        <w:tc>
          <w:tcPr>
            <w:tcW w:w="1207" w:type="dxa"/>
          </w:tcPr>
          <w:p w14:paraId="713E0782" w14:textId="77777777" w:rsidR="005E44CF" w:rsidRPr="005E44CF" w:rsidRDefault="005E44CF" w:rsidP="005E44CF"/>
        </w:tc>
        <w:tc>
          <w:tcPr>
            <w:tcW w:w="1640" w:type="dxa"/>
          </w:tcPr>
          <w:p w14:paraId="73B2F1BF" w14:textId="77777777" w:rsidR="005E44CF" w:rsidRPr="005E44CF" w:rsidRDefault="005E44CF" w:rsidP="005E44CF"/>
        </w:tc>
        <w:tc>
          <w:tcPr>
            <w:tcW w:w="1581" w:type="dxa"/>
          </w:tcPr>
          <w:p w14:paraId="32F11F67" w14:textId="77777777" w:rsidR="005E44CF" w:rsidRPr="005E44CF" w:rsidRDefault="005E44CF" w:rsidP="005E44CF"/>
        </w:tc>
        <w:tc>
          <w:tcPr>
            <w:tcW w:w="1724" w:type="dxa"/>
          </w:tcPr>
          <w:p w14:paraId="674E855D" w14:textId="3C2FBE46" w:rsidR="005E44CF" w:rsidRPr="005E44CF" w:rsidRDefault="005E44CF" w:rsidP="005E44CF">
            <w:r w:rsidRPr="005E44CF">
              <w:t>Депресия</w:t>
            </w:r>
          </w:p>
        </w:tc>
      </w:tr>
      <w:tr w:rsidR="005E44CF" w14:paraId="2C581489" w14:textId="77777777" w:rsidTr="005E44CF">
        <w:tc>
          <w:tcPr>
            <w:tcW w:w="1859" w:type="dxa"/>
          </w:tcPr>
          <w:p w14:paraId="3DFD58C1" w14:textId="0EA352B5" w:rsidR="005E44CF" w:rsidRPr="005E44CF" w:rsidRDefault="005E44CF" w:rsidP="005E44CF">
            <w:r w:rsidRPr="005E44CF">
              <w:t>Нарушения на нервната система</w:t>
            </w:r>
          </w:p>
        </w:tc>
        <w:tc>
          <w:tcPr>
            <w:tcW w:w="1565" w:type="dxa"/>
          </w:tcPr>
          <w:p w14:paraId="3B42B63C" w14:textId="2AA8A3FA" w:rsidR="005E44CF" w:rsidRPr="005E44CF" w:rsidRDefault="005E44CF" w:rsidP="005E44CF">
            <w:r w:rsidRPr="005E44CF">
              <w:t>Главоболие; замаяност</w:t>
            </w:r>
          </w:p>
        </w:tc>
        <w:tc>
          <w:tcPr>
            <w:tcW w:w="1207" w:type="dxa"/>
          </w:tcPr>
          <w:p w14:paraId="0955F8A3" w14:textId="77777777" w:rsidR="005E44CF" w:rsidRPr="005E44CF" w:rsidRDefault="005E44CF" w:rsidP="005E44CF"/>
        </w:tc>
        <w:tc>
          <w:tcPr>
            <w:tcW w:w="1640" w:type="dxa"/>
          </w:tcPr>
          <w:p w14:paraId="42303AB7" w14:textId="77777777" w:rsidR="005E44CF" w:rsidRPr="005E44CF" w:rsidRDefault="005E44CF" w:rsidP="005E44CF"/>
        </w:tc>
        <w:tc>
          <w:tcPr>
            <w:tcW w:w="1581" w:type="dxa"/>
          </w:tcPr>
          <w:p w14:paraId="4F494C7B" w14:textId="22A76678" w:rsidR="005E44CF" w:rsidRPr="005E44CF" w:rsidRDefault="005E44CF" w:rsidP="005E44CF">
            <w:proofErr w:type="spellStart"/>
            <w:r w:rsidRPr="005E44CF">
              <w:t>Полиневро</w:t>
            </w:r>
            <w:proofErr w:type="spellEnd"/>
            <w:r w:rsidRPr="005E44CF">
              <w:t xml:space="preserve">- </w:t>
            </w:r>
            <w:proofErr w:type="spellStart"/>
            <w:r w:rsidRPr="005E44CF">
              <w:t>патия</w:t>
            </w:r>
            <w:proofErr w:type="spellEnd"/>
            <w:r w:rsidRPr="005E44CF">
              <w:t>; загуба на паметта</w:t>
            </w:r>
          </w:p>
        </w:tc>
        <w:tc>
          <w:tcPr>
            <w:tcW w:w="1724" w:type="dxa"/>
            <w:vAlign w:val="bottom"/>
          </w:tcPr>
          <w:p w14:paraId="4A07E7E5" w14:textId="0B12C95C" w:rsidR="005E44CF" w:rsidRPr="005E44CF" w:rsidRDefault="005E44CF" w:rsidP="005E44CF">
            <w:r w:rsidRPr="005E44CF">
              <w:t xml:space="preserve">Периферна невропатия, нарушения на съня, включително </w:t>
            </w:r>
            <w:proofErr w:type="spellStart"/>
            <w:r w:rsidRPr="005E44CF">
              <w:t>инсомния</w:t>
            </w:r>
            <w:proofErr w:type="spellEnd"/>
            <w:r w:rsidRPr="005E44CF">
              <w:t xml:space="preserve"> и кошмари</w:t>
            </w:r>
          </w:p>
        </w:tc>
      </w:tr>
      <w:tr w:rsidR="005E44CF" w14:paraId="1ABCF1AD" w14:textId="77777777" w:rsidTr="005E44CF">
        <w:tc>
          <w:tcPr>
            <w:tcW w:w="1859" w:type="dxa"/>
            <w:vAlign w:val="bottom"/>
          </w:tcPr>
          <w:p w14:paraId="4A18852A" w14:textId="6AC39800" w:rsidR="005E44CF" w:rsidRPr="005E44CF" w:rsidRDefault="005E44CF" w:rsidP="005E44CF">
            <w:r w:rsidRPr="005E44CF">
              <w:t xml:space="preserve">Респираторни, гръдни и </w:t>
            </w:r>
            <w:proofErr w:type="spellStart"/>
            <w:r w:rsidRPr="005E44CF">
              <w:t>медиастинални</w:t>
            </w:r>
            <w:proofErr w:type="spellEnd"/>
            <w:r w:rsidRPr="005E44CF">
              <w:t xml:space="preserve"> нарушения</w:t>
            </w:r>
          </w:p>
        </w:tc>
        <w:tc>
          <w:tcPr>
            <w:tcW w:w="1565" w:type="dxa"/>
          </w:tcPr>
          <w:p w14:paraId="29B97B58" w14:textId="77777777" w:rsidR="005E44CF" w:rsidRPr="005E44CF" w:rsidRDefault="005E44CF" w:rsidP="005E44CF"/>
        </w:tc>
        <w:tc>
          <w:tcPr>
            <w:tcW w:w="1207" w:type="dxa"/>
          </w:tcPr>
          <w:p w14:paraId="4BBDA5B3" w14:textId="77777777" w:rsidR="005E44CF" w:rsidRPr="005E44CF" w:rsidRDefault="005E44CF" w:rsidP="005E44CF"/>
        </w:tc>
        <w:tc>
          <w:tcPr>
            <w:tcW w:w="1640" w:type="dxa"/>
          </w:tcPr>
          <w:p w14:paraId="458AAFD9" w14:textId="77777777" w:rsidR="005E44CF" w:rsidRPr="005E44CF" w:rsidRDefault="005E44CF" w:rsidP="005E44CF"/>
        </w:tc>
        <w:tc>
          <w:tcPr>
            <w:tcW w:w="1581" w:type="dxa"/>
          </w:tcPr>
          <w:p w14:paraId="74890047" w14:textId="77777777" w:rsidR="005E44CF" w:rsidRPr="005E44CF" w:rsidRDefault="005E44CF" w:rsidP="005E44CF"/>
        </w:tc>
        <w:tc>
          <w:tcPr>
            <w:tcW w:w="1724" w:type="dxa"/>
          </w:tcPr>
          <w:p w14:paraId="46DCABF0" w14:textId="6CAB2013" w:rsidR="005E44CF" w:rsidRPr="005E44CF" w:rsidRDefault="005E44CF" w:rsidP="005E44CF">
            <w:r w:rsidRPr="005E44CF">
              <w:t xml:space="preserve">Кашлица </w:t>
            </w:r>
            <w:proofErr w:type="spellStart"/>
            <w:r w:rsidRPr="005E44CF">
              <w:t>Диспнея</w:t>
            </w:r>
            <w:proofErr w:type="spellEnd"/>
          </w:p>
        </w:tc>
      </w:tr>
      <w:tr w:rsidR="005E44CF" w14:paraId="6F5AE34A" w14:textId="77777777" w:rsidTr="005E44CF">
        <w:tc>
          <w:tcPr>
            <w:tcW w:w="1859" w:type="dxa"/>
          </w:tcPr>
          <w:p w14:paraId="5D904B5E" w14:textId="7BFA5E34" w:rsidR="005E44CF" w:rsidRPr="005E44CF" w:rsidRDefault="005E44CF" w:rsidP="005E44CF">
            <w:r w:rsidRPr="005E44CF">
              <w:t>Стомашно- чревни нарушения</w:t>
            </w:r>
          </w:p>
        </w:tc>
        <w:tc>
          <w:tcPr>
            <w:tcW w:w="1565" w:type="dxa"/>
            <w:vAlign w:val="bottom"/>
          </w:tcPr>
          <w:p w14:paraId="03A846F8" w14:textId="4EFCE0E8" w:rsidR="005E44CF" w:rsidRPr="005E44CF" w:rsidRDefault="005E44CF" w:rsidP="005E44CF">
            <w:r w:rsidRPr="005E44CF">
              <w:t>Констипация Гадене Абдоминална болка</w:t>
            </w:r>
          </w:p>
        </w:tc>
        <w:tc>
          <w:tcPr>
            <w:tcW w:w="1207" w:type="dxa"/>
          </w:tcPr>
          <w:p w14:paraId="69B74832" w14:textId="77777777" w:rsidR="005E44CF" w:rsidRPr="005E44CF" w:rsidRDefault="005E44CF" w:rsidP="005E44CF"/>
        </w:tc>
        <w:tc>
          <w:tcPr>
            <w:tcW w:w="1640" w:type="dxa"/>
          </w:tcPr>
          <w:p w14:paraId="37599788" w14:textId="564D1366" w:rsidR="005E44CF" w:rsidRPr="005E44CF" w:rsidRDefault="005E44CF" w:rsidP="005E44CF">
            <w:proofErr w:type="spellStart"/>
            <w:r w:rsidRPr="005E44CF">
              <w:t>Панкреатит</w:t>
            </w:r>
            <w:proofErr w:type="spellEnd"/>
          </w:p>
        </w:tc>
        <w:tc>
          <w:tcPr>
            <w:tcW w:w="1581" w:type="dxa"/>
          </w:tcPr>
          <w:p w14:paraId="03170F6E" w14:textId="77777777" w:rsidR="005E44CF" w:rsidRPr="005E44CF" w:rsidRDefault="005E44CF" w:rsidP="005E44CF"/>
        </w:tc>
        <w:tc>
          <w:tcPr>
            <w:tcW w:w="1724" w:type="dxa"/>
          </w:tcPr>
          <w:p w14:paraId="26B7AC54" w14:textId="65EE1834" w:rsidR="005E44CF" w:rsidRPr="005E44CF" w:rsidRDefault="005E44CF" w:rsidP="005E44CF">
            <w:r w:rsidRPr="005E44CF">
              <w:t>Диария</w:t>
            </w:r>
          </w:p>
        </w:tc>
      </w:tr>
      <w:tr w:rsidR="005E44CF" w14:paraId="6B4F5997" w14:textId="77777777" w:rsidTr="005E44CF">
        <w:tc>
          <w:tcPr>
            <w:tcW w:w="1859" w:type="dxa"/>
            <w:vAlign w:val="bottom"/>
          </w:tcPr>
          <w:p w14:paraId="0CCE7763" w14:textId="7A236F29" w:rsidR="005E44CF" w:rsidRPr="005E44CF" w:rsidRDefault="005E44CF" w:rsidP="005E44CF">
            <w:proofErr w:type="spellStart"/>
            <w:r w:rsidRPr="005E44CF">
              <w:t>Хепатобилиарни</w:t>
            </w:r>
            <w:proofErr w:type="spellEnd"/>
            <w:r w:rsidRPr="005E44CF">
              <w:t xml:space="preserve"> нарушения</w:t>
            </w:r>
          </w:p>
        </w:tc>
        <w:tc>
          <w:tcPr>
            <w:tcW w:w="1565" w:type="dxa"/>
          </w:tcPr>
          <w:p w14:paraId="67C6BAD9" w14:textId="77777777" w:rsidR="005E44CF" w:rsidRPr="005E44CF" w:rsidRDefault="005E44CF" w:rsidP="005E44CF"/>
        </w:tc>
        <w:tc>
          <w:tcPr>
            <w:tcW w:w="1207" w:type="dxa"/>
          </w:tcPr>
          <w:p w14:paraId="4DFB0547" w14:textId="77777777" w:rsidR="005E44CF" w:rsidRPr="005E44CF" w:rsidRDefault="005E44CF" w:rsidP="005E44CF"/>
        </w:tc>
        <w:tc>
          <w:tcPr>
            <w:tcW w:w="1640" w:type="dxa"/>
            <w:vAlign w:val="bottom"/>
          </w:tcPr>
          <w:p w14:paraId="32064498" w14:textId="3C6C63CB" w:rsidR="005E44CF" w:rsidRPr="005E44CF" w:rsidRDefault="005E44CF" w:rsidP="005E44CF">
            <w:r w:rsidRPr="005E44CF">
              <w:t xml:space="preserve">Повишени </w:t>
            </w:r>
            <w:proofErr w:type="spellStart"/>
            <w:r w:rsidRPr="005E44CF">
              <w:t>трансамннази</w:t>
            </w:r>
            <w:proofErr w:type="spellEnd"/>
          </w:p>
        </w:tc>
        <w:tc>
          <w:tcPr>
            <w:tcW w:w="1581" w:type="dxa"/>
            <w:vAlign w:val="bottom"/>
          </w:tcPr>
          <w:p w14:paraId="35823FDB" w14:textId="253D2BCE" w:rsidR="005E44CF" w:rsidRPr="005E44CF" w:rsidRDefault="005E44CF" w:rsidP="005E44CF">
            <w:r w:rsidRPr="005E44CF">
              <w:t>Жълтеница хепатит</w:t>
            </w:r>
          </w:p>
        </w:tc>
        <w:tc>
          <w:tcPr>
            <w:tcW w:w="1724" w:type="dxa"/>
          </w:tcPr>
          <w:p w14:paraId="60D876B8" w14:textId="77777777" w:rsidR="005E44CF" w:rsidRPr="005E44CF" w:rsidRDefault="005E44CF" w:rsidP="005E44CF"/>
        </w:tc>
      </w:tr>
      <w:tr w:rsidR="005E44CF" w14:paraId="1F92FD71" w14:textId="77777777" w:rsidTr="005E44CF">
        <w:tc>
          <w:tcPr>
            <w:tcW w:w="1859" w:type="dxa"/>
          </w:tcPr>
          <w:p w14:paraId="5E2CF382" w14:textId="36C63522" w:rsidR="005E44CF" w:rsidRPr="005E44CF" w:rsidRDefault="005E44CF" w:rsidP="005E44CF">
            <w:r w:rsidRPr="005E44CF">
              <w:t>Нарушения на кожата и подкожната тъкан</w:t>
            </w:r>
          </w:p>
        </w:tc>
        <w:tc>
          <w:tcPr>
            <w:tcW w:w="1565" w:type="dxa"/>
          </w:tcPr>
          <w:p w14:paraId="7D86B397" w14:textId="77777777" w:rsidR="005E44CF" w:rsidRPr="005E44CF" w:rsidRDefault="005E44CF" w:rsidP="005E44CF"/>
        </w:tc>
        <w:tc>
          <w:tcPr>
            <w:tcW w:w="1207" w:type="dxa"/>
          </w:tcPr>
          <w:p w14:paraId="33A4A13E" w14:textId="6CF13523" w:rsidR="005E44CF" w:rsidRPr="005E44CF" w:rsidRDefault="005E44CF" w:rsidP="005E44CF">
            <w:r w:rsidRPr="005E44CF">
              <w:t>Сърбеж, обрив, уртикария</w:t>
            </w:r>
          </w:p>
        </w:tc>
        <w:tc>
          <w:tcPr>
            <w:tcW w:w="1640" w:type="dxa"/>
          </w:tcPr>
          <w:p w14:paraId="4DCA84E4" w14:textId="77777777" w:rsidR="005E44CF" w:rsidRPr="005E44CF" w:rsidRDefault="005E44CF" w:rsidP="005E44CF"/>
        </w:tc>
        <w:tc>
          <w:tcPr>
            <w:tcW w:w="1581" w:type="dxa"/>
          </w:tcPr>
          <w:p w14:paraId="6D58EF99" w14:textId="77777777" w:rsidR="005E44CF" w:rsidRPr="005E44CF" w:rsidRDefault="005E44CF" w:rsidP="005E44CF"/>
        </w:tc>
        <w:tc>
          <w:tcPr>
            <w:tcW w:w="1724" w:type="dxa"/>
            <w:vAlign w:val="bottom"/>
          </w:tcPr>
          <w:p w14:paraId="07ECB972" w14:textId="7C906D1B" w:rsidR="005E44CF" w:rsidRPr="005E44CF" w:rsidRDefault="005E44CF" w:rsidP="005E44CF">
            <w:r w:rsidRPr="005E44CF">
              <w:t xml:space="preserve">Синдром на </w:t>
            </w:r>
            <w:r w:rsidRPr="005E44CF">
              <w:rPr>
                <w:lang w:val="en-US"/>
              </w:rPr>
              <w:t>Stevens</w:t>
            </w:r>
            <w:r w:rsidRPr="005E44CF">
              <w:rPr>
                <w:lang w:val="ru-RU"/>
              </w:rPr>
              <w:t>-</w:t>
            </w:r>
            <w:r w:rsidRPr="005E44CF">
              <w:rPr>
                <w:lang w:val="en-US"/>
              </w:rPr>
              <w:t>Johnson</w:t>
            </w:r>
            <w:r w:rsidRPr="005E44CF">
              <w:rPr>
                <w:lang w:val="ru-RU"/>
              </w:rPr>
              <w:t xml:space="preserve"> </w:t>
            </w:r>
            <w:r w:rsidRPr="005E44CF">
              <w:t xml:space="preserve">Лекарствена реакция с </w:t>
            </w:r>
            <w:proofErr w:type="spellStart"/>
            <w:r w:rsidRPr="005E44CF">
              <w:t>еозинофилия</w:t>
            </w:r>
            <w:proofErr w:type="spellEnd"/>
            <w:r w:rsidRPr="005E44CF">
              <w:t xml:space="preserve"> и системни симптоми </w:t>
            </w:r>
            <w:r w:rsidRPr="005E44CF">
              <w:rPr>
                <w:lang w:val="ru-RU"/>
              </w:rPr>
              <w:t>(</w:t>
            </w:r>
            <w:r w:rsidRPr="005E44CF">
              <w:rPr>
                <w:lang w:val="en-US"/>
              </w:rPr>
              <w:t>DRESS</w:t>
            </w:r>
            <w:r w:rsidRPr="005E44CF">
              <w:rPr>
                <w:lang w:val="ru-RU"/>
              </w:rPr>
              <w:t>)</w:t>
            </w:r>
          </w:p>
        </w:tc>
      </w:tr>
      <w:tr w:rsidR="005E44CF" w14:paraId="0798AFB9" w14:textId="77777777" w:rsidTr="005E44CF">
        <w:tc>
          <w:tcPr>
            <w:tcW w:w="1859" w:type="dxa"/>
          </w:tcPr>
          <w:p w14:paraId="6511A646" w14:textId="4BB6AC81" w:rsidR="005E44CF" w:rsidRPr="005E44CF" w:rsidRDefault="005E44CF" w:rsidP="005E44CF">
            <w:r w:rsidRPr="005E44CF">
              <w:lastRenderedPageBreak/>
              <w:t>Нарушения на мускулно- скелетната система и съединителната тъкан</w:t>
            </w:r>
          </w:p>
        </w:tc>
        <w:tc>
          <w:tcPr>
            <w:tcW w:w="1565" w:type="dxa"/>
          </w:tcPr>
          <w:p w14:paraId="7124BD8B" w14:textId="3A04A8E8" w:rsidR="005E44CF" w:rsidRPr="005E44CF" w:rsidRDefault="005E44CF" w:rsidP="005E44CF">
            <w:proofErr w:type="spellStart"/>
            <w:r w:rsidRPr="005E44CF">
              <w:t>Миалгия</w:t>
            </w:r>
            <w:proofErr w:type="spellEnd"/>
          </w:p>
        </w:tc>
        <w:tc>
          <w:tcPr>
            <w:tcW w:w="1207" w:type="dxa"/>
          </w:tcPr>
          <w:p w14:paraId="29886FD7" w14:textId="77777777" w:rsidR="005E44CF" w:rsidRPr="005E44CF" w:rsidRDefault="005E44CF" w:rsidP="005E44CF"/>
        </w:tc>
        <w:tc>
          <w:tcPr>
            <w:tcW w:w="1640" w:type="dxa"/>
            <w:vAlign w:val="bottom"/>
          </w:tcPr>
          <w:p w14:paraId="5FD0902A" w14:textId="77777777" w:rsidR="005E44CF" w:rsidRPr="005E44CF" w:rsidRDefault="005E44CF" w:rsidP="005E44CF">
            <w:proofErr w:type="spellStart"/>
            <w:r w:rsidRPr="005E44CF">
              <w:t>Миопатия</w:t>
            </w:r>
            <w:proofErr w:type="spellEnd"/>
            <w:r w:rsidRPr="005E44CF">
              <w:t xml:space="preserve"> (включително </w:t>
            </w:r>
            <w:proofErr w:type="spellStart"/>
            <w:r w:rsidRPr="005E44CF">
              <w:t>миозит</w:t>
            </w:r>
            <w:proofErr w:type="spellEnd"/>
            <w:r w:rsidRPr="005E44CF">
              <w:t xml:space="preserve">) и </w:t>
            </w:r>
            <w:proofErr w:type="spellStart"/>
            <w:r w:rsidRPr="005E44CF">
              <w:t>рабдомиолиза</w:t>
            </w:r>
            <w:proofErr w:type="spellEnd"/>
          </w:p>
          <w:p w14:paraId="5F378AD3" w14:textId="77777777" w:rsidR="005E44CF" w:rsidRPr="005E44CF" w:rsidRDefault="005E44CF" w:rsidP="005E44CF">
            <w:proofErr w:type="spellStart"/>
            <w:r w:rsidRPr="005E44CF">
              <w:t>Лупус</w:t>
            </w:r>
            <w:proofErr w:type="spellEnd"/>
            <w:r w:rsidRPr="005E44CF">
              <w:t>- подобен синдром</w:t>
            </w:r>
          </w:p>
          <w:p w14:paraId="723745C6" w14:textId="70D5AC3F" w:rsidR="005E44CF" w:rsidRPr="005E44CF" w:rsidRDefault="005E44CF" w:rsidP="005E44CF">
            <w:r w:rsidRPr="005E44CF">
              <w:t>Разкъсване на мускулите</w:t>
            </w:r>
          </w:p>
        </w:tc>
        <w:tc>
          <w:tcPr>
            <w:tcW w:w="1581" w:type="dxa"/>
          </w:tcPr>
          <w:p w14:paraId="4D7C9F63" w14:textId="503DE6CB" w:rsidR="005E44CF" w:rsidRPr="005E44CF" w:rsidRDefault="005E44CF" w:rsidP="005E44CF">
            <w:proofErr w:type="spellStart"/>
            <w:r w:rsidRPr="005E44CF">
              <w:t>Артралгия</w:t>
            </w:r>
            <w:proofErr w:type="spellEnd"/>
          </w:p>
        </w:tc>
        <w:tc>
          <w:tcPr>
            <w:tcW w:w="1724" w:type="dxa"/>
          </w:tcPr>
          <w:p w14:paraId="40FB6684" w14:textId="71CBE7F7" w:rsidR="005E44CF" w:rsidRPr="005E44CF" w:rsidRDefault="005E44CF" w:rsidP="005E44CF">
            <w:r w:rsidRPr="005E44CF">
              <w:t xml:space="preserve">Нарушения в сухожилията, понякога усложнени с </w:t>
            </w:r>
            <w:proofErr w:type="spellStart"/>
            <w:r w:rsidRPr="005E44CF">
              <w:t>руптури</w:t>
            </w:r>
            <w:proofErr w:type="spellEnd"/>
            <w:r w:rsidRPr="005E44CF">
              <w:t xml:space="preserve"> </w:t>
            </w:r>
            <w:proofErr w:type="spellStart"/>
            <w:r w:rsidRPr="005E44CF">
              <w:t>Имуномедиира</w:t>
            </w:r>
            <w:proofErr w:type="spellEnd"/>
            <w:r w:rsidRPr="005E44CF">
              <w:t xml:space="preserve"> на </w:t>
            </w:r>
            <w:proofErr w:type="spellStart"/>
            <w:r w:rsidRPr="005E44CF">
              <w:t>некротизираща</w:t>
            </w:r>
            <w:proofErr w:type="spellEnd"/>
            <w:r w:rsidRPr="005E44CF">
              <w:t xml:space="preserve"> </w:t>
            </w:r>
            <w:proofErr w:type="spellStart"/>
            <w:r w:rsidRPr="005E44CF">
              <w:t>миопатия</w:t>
            </w:r>
            <w:proofErr w:type="spellEnd"/>
          </w:p>
        </w:tc>
      </w:tr>
      <w:tr w:rsidR="005E44CF" w14:paraId="35269123" w14:textId="77777777" w:rsidTr="005E44CF">
        <w:tc>
          <w:tcPr>
            <w:tcW w:w="1859" w:type="dxa"/>
            <w:vAlign w:val="bottom"/>
          </w:tcPr>
          <w:p w14:paraId="0799F08D" w14:textId="368ECFFD" w:rsidR="005E44CF" w:rsidRPr="005E44CF" w:rsidRDefault="005E44CF" w:rsidP="005E44CF">
            <w:r w:rsidRPr="005E44CF">
              <w:t>Нарушения на бъбреците и пикочните пътища</w:t>
            </w:r>
          </w:p>
        </w:tc>
        <w:tc>
          <w:tcPr>
            <w:tcW w:w="1565" w:type="dxa"/>
          </w:tcPr>
          <w:p w14:paraId="37AE085F" w14:textId="77777777" w:rsidR="005E44CF" w:rsidRPr="005E44CF" w:rsidRDefault="005E44CF" w:rsidP="005E44CF"/>
        </w:tc>
        <w:tc>
          <w:tcPr>
            <w:tcW w:w="1207" w:type="dxa"/>
          </w:tcPr>
          <w:p w14:paraId="2A83F25D" w14:textId="77777777" w:rsidR="005E44CF" w:rsidRPr="005E44CF" w:rsidRDefault="005E44CF" w:rsidP="005E44CF"/>
        </w:tc>
        <w:tc>
          <w:tcPr>
            <w:tcW w:w="1640" w:type="dxa"/>
          </w:tcPr>
          <w:p w14:paraId="22F5A910" w14:textId="77777777" w:rsidR="005E44CF" w:rsidRPr="005E44CF" w:rsidRDefault="005E44CF" w:rsidP="005E44CF"/>
        </w:tc>
        <w:tc>
          <w:tcPr>
            <w:tcW w:w="1581" w:type="dxa"/>
          </w:tcPr>
          <w:p w14:paraId="45638508" w14:textId="1FCDEE0F" w:rsidR="005E44CF" w:rsidRPr="005E44CF" w:rsidRDefault="005E44CF" w:rsidP="005E44CF">
            <w:proofErr w:type="spellStart"/>
            <w:r w:rsidRPr="005E44CF">
              <w:t>Хематурия</w:t>
            </w:r>
            <w:proofErr w:type="spellEnd"/>
          </w:p>
        </w:tc>
        <w:tc>
          <w:tcPr>
            <w:tcW w:w="1724" w:type="dxa"/>
          </w:tcPr>
          <w:p w14:paraId="15F362EB" w14:textId="77777777" w:rsidR="005E44CF" w:rsidRPr="005E44CF" w:rsidRDefault="005E44CF" w:rsidP="005E44CF"/>
        </w:tc>
      </w:tr>
      <w:tr w:rsidR="005E44CF" w14:paraId="44B81ADE" w14:textId="77777777" w:rsidTr="005E44CF">
        <w:tc>
          <w:tcPr>
            <w:tcW w:w="1859" w:type="dxa"/>
          </w:tcPr>
          <w:p w14:paraId="239AB54C" w14:textId="3A32846D" w:rsidR="005E44CF" w:rsidRPr="005E44CF" w:rsidRDefault="005E44CF" w:rsidP="005E44CF">
            <w:r w:rsidRPr="005E44CF">
              <w:t xml:space="preserve">Нарушения на въз про изводите </w:t>
            </w:r>
            <w:proofErr w:type="spellStart"/>
            <w:r w:rsidRPr="005E44CF">
              <w:t>лната</w:t>
            </w:r>
            <w:proofErr w:type="spellEnd"/>
            <w:r w:rsidRPr="005E44CF">
              <w:t xml:space="preserve"> система и гърдата</w:t>
            </w:r>
          </w:p>
        </w:tc>
        <w:tc>
          <w:tcPr>
            <w:tcW w:w="1565" w:type="dxa"/>
          </w:tcPr>
          <w:p w14:paraId="0129E653" w14:textId="77777777" w:rsidR="005E44CF" w:rsidRPr="005E44CF" w:rsidRDefault="005E44CF" w:rsidP="005E44CF"/>
        </w:tc>
        <w:tc>
          <w:tcPr>
            <w:tcW w:w="1207" w:type="dxa"/>
          </w:tcPr>
          <w:p w14:paraId="3F75BD18" w14:textId="77777777" w:rsidR="005E44CF" w:rsidRPr="005E44CF" w:rsidRDefault="005E44CF" w:rsidP="005E44CF"/>
        </w:tc>
        <w:tc>
          <w:tcPr>
            <w:tcW w:w="1640" w:type="dxa"/>
          </w:tcPr>
          <w:p w14:paraId="22E40B60" w14:textId="77777777" w:rsidR="005E44CF" w:rsidRPr="005E44CF" w:rsidRDefault="005E44CF" w:rsidP="005E44CF"/>
        </w:tc>
        <w:tc>
          <w:tcPr>
            <w:tcW w:w="1581" w:type="dxa"/>
          </w:tcPr>
          <w:p w14:paraId="21953606" w14:textId="3F0F0E4F" w:rsidR="005E44CF" w:rsidRPr="005E44CF" w:rsidRDefault="005E44CF" w:rsidP="005E44CF">
            <w:proofErr w:type="spellStart"/>
            <w:r w:rsidRPr="005E44CF">
              <w:t>Гинекомастия</w:t>
            </w:r>
            <w:proofErr w:type="spellEnd"/>
          </w:p>
        </w:tc>
        <w:tc>
          <w:tcPr>
            <w:tcW w:w="1724" w:type="dxa"/>
          </w:tcPr>
          <w:p w14:paraId="744636FA" w14:textId="77777777" w:rsidR="005E44CF" w:rsidRPr="005E44CF" w:rsidRDefault="005E44CF" w:rsidP="005E44CF"/>
        </w:tc>
      </w:tr>
      <w:tr w:rsidR="005E44CF" w14:paraId="1E62310F" w14:textId="77777777" w:rsidTr="005E44CF">
        <w:tc>
          <w:tcPr>
            <w:tcW w:w="1859" w:type="dxa"/>
            <w:vAlign w:val="bottom"/>
          </w:tcPr>
          <w:p w14:paraId="65EB8ED6" w14:textId="3FA4B5D4" w:rsidR="005E44CF" w:rsidRPr="005E44CF" w:rsidRDefault="005E44CF" w:rsidP="005E44CF">
            <w:r w:rsidRPr="005E44CF">
              <w:t>Общи нарушения и ефекти на мястото на приложение</w:t>
            </w:r>
          </w:p>
        </w:tc>
        <w:tc>
          <w:tcPr>
            <w:tcW w:w="1565" w:type="dxa"/>
          </w:tcPr>
          <w:p w14:paraId="18D39FEE" w14:textId="2CE06AA5" w:rsidR="005E44CF" w:rsidRPr="005E44CF" w:rsidRDefault="005E44CF" w:rsidP="005E44CF">
            <w:proofErr w:type="spellStart"/>
            <w:r w:rsidRPr="005E44CF">
              <w:t>Астения</w:t>
            </w:r>
            <w:proofErr w:type="spellEnd"/>
          </w:p>
        </w:tc>
        <w:tc>
          <w:tcPr>
            <w:tcW w:w="1207" w:type="dxa"/>
          </w:tcPr>
          <w:p w14:paraId="09AB2E6D" w14:textId="77777777" w:rsidR="005E44CF" w:rsidRPr="005E44CF" w:rsidRDefault="005E44CF" w:rsidP="005E44CF"/>
        </w:tc>
        <w:tc>
          <w:tcPr>
            <w:tcW w:w="1640" w:type="dxa"/>
          </w:tcPr>
          <w:p w14:paraId="0720D196" w14:textId="77777777" w:rsidR="005E44CF" w:rsidRPr="005E44CF" w:rsidRDefault="005E44CF" w:rsidP="005E44CF"/>
        </w:tc>
        <w:tc>
          <w:tcPr>
            <w:tcW w:w="1581" w:type="dxa"/>
            <w:vAlign w:val="bottom"/>
          </w:tcPr>
          <w:p w14:paraId="11150DA2" w14:textId="77777777" w:rsidR="005E44CF" w:rsidRPr="005E44CF" w:rsidRDefault="005E44CF" w:rsidP="005E44CF"/>
        </w:tc>
        <w:tc>
          <w:tcPr>
            <w:tcW w:w="1724" w:type="dxa"/>
          </w:tcPr>
          <w:p w14:paraId="6FB8C4C8" w14:textId="3868139C" w:rsidR="005E44CF" w:rsidRPr="005E44CF" w:rsidRDefault="005E44CF" w:rsidP="005E44CF">
            <w:r w:rsidRPr="005E44CF">
              <w:t>Оток</w:t>
            </w:r>
          </w:p>
        </w:tc>
      </w:tr>
      <w:tr w:rsidR="005E44CF" w14:paraId="3458534D" w14:textId="77777777" w:rsidTr="005E44CF">
        <w:tc>
          <w:tcPr>
            <w:tcW w:w="9576" w:type="dxa"/>
            <w:gridSpan w:val="6"/>
          </w:tcPr>
          <w:p w14:paraId="3B187549" w14:textId="0CA32FAA" w:rsidR="005E44CF" w:rsidRDefault="005E44CF" w:rsidP="005E44CF">
            <w:r>
              <w:rPr>
                <w:vertAlign w:val="superscript"/>
              </w:rPr>
              <w:t>1</w:t>
            </w:r>
            <w:r>
              <w:t xml:space="preserve">Честотата зависи от наличието или липсата на рискови фактори (кръвна захар на гладно ≥5,6 </w:t>
            </w:r>
            <w:r>
              <w:rPr>
                <w:lang w:val="en-US"/>
              </w:rPr>
              <w:t>mmol</w:t>
            </w:r>
            <w:r w:rsidRPr="005E44CF">
              <w:rPr>
                <w:lang w:val="ru-RU"/>
              </w:rPr>
              <w:t xml:space="preserve"> </w:t>
            </w:r>
            <w:r>
              <w:rPr>
                <w:lang w:val="en-US"/>
              </w:rPr>
              <w:t>BMI</w:t>
            </w:r>
            <w:r w:rsidRPr="005E44CF">
              <w:rPr>
                <w:lang w:val="ru-RU"/>
              </w:rPr>
              <w:t xml:space="preserve">&gt;30 </w:t>
            </w:r>
            <w:r>
              <w:rPr>
                <w:lang w:val="en-US"/>
              </w:rPr>
              <w:t>kg</w:t>
            </w:r>
            <w:r w:rsidRPr="005E44CF">
              <w:rPr>
                <w:lang w:val="ru-RU"/>
              </w:rPr>
              <w:t>/</w:t>
            </w:r>
            <w:r>
              <w:rPr>
                <w:lang w:val="en-US"/>
              </w:rPr>
              <w:t>m</w:t>
            </w:r>
            <w:r w:rsidRPr="005E44CF">
              <w:rPr>
                <w:vertAlign w:val="superscript"/>
                <w:lang w:val="ru-RU"/>
              </w:rPr>
              <w:t>2</w:t>
            </w:r>
            <w:r w:rsidRPr="005E44CF">
              <w:rPr>
                <w:lang w:val="ru-RU"/>
              </w:rPr>
              <w:t xml:space="preserve">, </w:t>
            </w:r>
            <w:r>
              <w:t xml:space="preserve">повишени </w:t>
            </w:r>
            <w:proofErr w:type="spellStart"/>
            <w:r>
              <w:t>триглицериди</w:t>
            </w:r>
            <w:proofErr w:type="spellEnd"/>
            <w:r>
              <w:t>, анамнеза за хипертония).</w:t>
            </w:r>
          </w:p>
        </w:tc>
      </w:tr>
    </w:tbl>
    <w:p w14:paraId="29A93232" w14:textId="6B683BA9" w:rsidR="005E44CF" w:rsidRDefault="005E44CF" w:rsidP="005E44CF"/>
    <w:p w14:paraId="0CF0170D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Както при другите инхибитори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появата на нежелани лекарствени реакции изглежда е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дозозависима</w:t>
      </w:r>
      <w:proofErr w:type="spellEnd"/>
      <w:r w:rsidRPr="005E44CF">
        <w:rPr>
          <w:rFonts w:eastAsia="Times New Roman" w:cs="Arial"/>
          <w:color w:val="000000"/>
          <w:lang w:eastAsia="bg-BG"/>
        </w:rPr>
        <w:t>.</w:t>
      </w:r>
    </w:p>
    <w:p w14:paraId="14086711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B0FDF9" w14:textId="13FAB542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Ефекти върху бъбреците</w:t>
      </w:r>
    </w:p>
    <w:p w14:paraId="2E0C38C3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При пациенти, лекувани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наблюдавана установена с тест-лентички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протеинурия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която е с предимно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тубулен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произход. При &lt; 1% от пациентите, приемащи 10 и 20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при приблизително 3% от пациентите, лекувани с 40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са наблюдавани промени на количеството протеин в урината от отрицателен резултат или следи, към ++.</w:t>
      </w:r>
    </w:p>
    <w:p w14:paraId="25EA5BB2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Незначително отклонение в посока от отрицателен резултат или следи към + е наблюдавано при доза от 20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>.</w:t>
      </w:r>
    </w:p>
    <w:p w14:paraId="2ACC80C0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В повечето случаи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протеинурията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намалява или изчезва спонтанно в процеса на лечението. От прегледа на данните при клиничните опити и пост-маркетинговите проучвания, до сега не е идентифицирана причинна връзка между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протеинурията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остро или прогресивно бъбречно заболяване.</w:t>
      </w:r>
    </w:p>
    <w:p w14:paraId="02740B5D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При пациенти, третирани с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е наблюдавана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хематурия</w:t>
      </w:r>
      <w:proofErr w:type="spellEnd"/>
      <w:r w:rsidRPr="005E44CF">
        <w:rPr>
          <w:rFonts w:eastAsia="Times New Roman" w:cs="Arial"/>
          <w:color w:val="000000"/>
          <w:lang w:eastAsia="bg-BG"/>
        </w:rPr>
        <w:t>, но клиничните данни сочат, че честотата й е ниска.</w:t>
      </w:r>
    </w:p>
    <w:p w14:paraId="7BDE4CA1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8E49872" w14:textId="2166B299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Ефекти върху скелетната мускулатура</w:t>
      </w:r>
    </w:p>
    <w:p w14:paraId="34B926F5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Въздействия върху скелетната мускулатура като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миалгия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(вкл.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миозит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) и рядко -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със или без остра бъбречна недостатъчност, са съобщавани при пациенти, лекувани с всички дози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особено с дози над 20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>.</w:t>
      </w:r>
    </w:p>
    <w:p w14:paraId="3E1851CE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lastRenderedPageBreak/>
        <w:t xml:space="preserve">Увеличение на нивото на СК, вследствие на увеличаване на дозата, е наблюдавано при малък брой пациенти, приемащи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>; повечето от случаите са леки, безсимптомни и преходни. Ако нивото на СК се повиши (&gt; 5 пъти над горната референтна граница), лечението трябва да бъде преустановено (вж. точка 4.4).</w:t>
      </w:r>
    </w:p>
    <w:p w14:paraId="0BBF3E6F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072CA5" w14:textId="1A2EAD68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Ефекти върху черния дроб</w:t>
      </w:r>
    </w:p>
    <w:p w14:paraId="1C48837F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Както при други инхибитори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увеличение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трансаминазите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свързано с дозировката е наблюдавано при малък брой пациенти, приемащи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>; повечето от случаите са леки, безсимптомни и преходни.</w:t>
      </w:r>
    </w:p>
    <w:p w14:paraId="7BDAB395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4E9528A" w14:textId="42CADF06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 xml:space="preserve">При употребата на някои </w:t>
      </w: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статини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са съобщавани следните нежелани реакции:</w:t>
      </w:r>
    </w:p>
    <w:p w14:paraId="64B14BE1" w14:textId="77777777" w:rsidR="005E44CF" w:rsidRPr="005E44CF" w:rsidRDefault="005E44CF" w:rsidP="005E44CF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>Сексуална дисфункция</w:t>
      </w:r>
    </w:p>
    <w:p w14:paraId="58E0E940" w14:textId="3278F08E" w:rsidR="005E44CF" w:rsidRPr="005E44CF" w:rsidRDefault="005E44CF" w:rsidP="005E44CF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 xml:space="preserve">Изолирани случаи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интерстициална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белодробна болест, особено при продължително лечение (вж. точка 4.4).</w:t>
      </w:r>
    </w:p>
    <w:p w14:paraId="47613077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Съобщената честота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сериозни събития, свързани с увреждане на бъбречната функция и сериозни събития, свързани с увреждане на чернодробната функция (състоящи се предимно в увеличени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), е по-висока при дозата от 40 </w:t>
      </w:r>
      <w:r w:rsidRPr="005E44CF">
        <w:rPr>
          <w:rFonts w:eastAsia="Times New Roman" w:cs="Arial"/>
          <w:color w:val="000000"/>
          <w:lang w:val="en-US"/>
        </w:rPr>
        <w:t>mg</w:t>
      </w:r>
      <w:r w:rsidRPr="005E44CF">
        <w:rPr>
          <w:rFonts w:eastAsia="Times New Roman" w:cs="Arial"/>
          <w:color w:val="000000"/>
          <w:lang w:val="ru-RU"/>
        </w:rPr>
        <w:t>.</w:t>
      </w:r>
    </w:p>
    <w:p w14:paraId="4F23588C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68D1480" w14:textId="00B8DDD8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 xml:space="preserve">Педиатрична </w:t>
      </w: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популапия</w:t>
      </w:r>
      <w:proofErr w:type="spellEnd"/>
    </w:p>
    <w:p w14:paraId="1D587973" w14:textId="77777777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Повишаване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креатинкиназата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r w:rsidRPr="005E44CF">
        <w:rPr>
          <w:rFonts w:eastAsia="Times New Roman" w:cs="Arial"/>
          <w:color w:val="000000"/>
          <w:lang w:val="ru-RU"/>
        </w:rPr>
        <w:t>&gt;10</w:t>
      </w:r>
      <w:proofErr w:type="spellStart"/>
      <w:r w:rsidRPr="005E44CF">
        <w:rPr>
          <w:rFonts w:eastAsia="Times New Roman" w:cs="Arial"/>
          <w:color w:val="000000"/>
          <w:lang w:val="en-US"/>
        </w:rPr>
        <w:t>xULN</w:t>
      </w:r>
      <w:proofErr w:type="spellEnd"/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мускулни симптоми след упражнения или повишена физическа активност са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набюдавани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по-често в едно 52-седмично клинично проучване на деца и младежи в сравнение с възрастните (вж. точка 4.4). В други аспекти, профилът на безопасност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сходен при деца и младежи в сравнение с възрастните.</w:t>
      </w:r>
    </w:p>
    <w:p w14:paraId="5E7C6DD8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637E97F" w14:textId="1A08CBBA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110349BC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 Изпълнителна агенция по лекарствата </w:t>
      </w:r>
    </w:p>
    <w:p w14:paraId="4B6E3C64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ул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.,Дамян Груев” № 8 </w:t>
      </w:r>
    </w:p>
    <w:p w14:paraId="77EF44B8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 xml:space="preserve">1303 София </w:t>
      </w:r>
    </w:p>
    <w:p w14:paraId="0841850B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5E44CF">
        <w:rPr>
          <w:rFonts w:eastAsia="Times New Roman" w:cs="Arial"/>
          <w:color w:val="000000"/>
          <w:lang w:eastAsia="bg-BG"/>
        </w:rPr>
        <w:t xml:space="preserve">Тел.:+35 928903417 </w:t>
      </w:r>
    </w:p>
    <w:p w14:paraId="0A059A3C" w14:textId="312C36DD" w:rsidR="005E44CF" w:rsidRPr="005E44CF" w:rsidRDefault="005E44CF" w:rsidP="005E44CF">
      <w:pPr>
        <w:spacing w:line="240" w:lineRule="auto"/>
        <w:rPr>
          <w:rFonts w:eastAsia="Times New Roman" w:cs="Arial"/>
        </w:rPr>
      </w:pPr>
      <w:r w:rsidRPr="005E44CF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5E44CF">
          <w:rPr>
            <w:rFonts w:eastAsia="Times New Roman" w:cs="Arial"/>
            <w:color w:val="000000"/>
            <w:u w:val="single"/>
            <w:lang w:val="en-US"/>
          </w:rPr>
          <w:t>www</w:t>
        </w:r>
        <w:r w:rsidRPr="005E44CF">
          <w:rPr>
            <w:rFonts w:eastAsia="Times New Roman" w:cs="Arial"/>
            <w:color w:val="000000"/>
            <w:u w:val="single"/>
            <w:lang w:val="ru-RU"/>
          </w:rPr>
          <w:t>.</w:t>
        </w:r>
        <w:proofErr w:type="spellStart"/>
        <w:r w:rsidRPr="005E44CF">
          <w:rPr>
            <w:rFonts w:eastAsia="Times New Roman" w:cs="Arial"/>
            <w:color w:val="000000"/>
            <w:u w:val="single"/>
            <w:lang w:val="en-US"/>
          </w:rPr>
          <w:t>bda</w:t>
        </w:r>
        <w:proofErr w:type="spellEnd"/>
        <w:r w:rsidRPr="005E44CF">
          <w:rPr>
            <w:rFonts w:eastAsia="Times New Roman" w:cs="Arial"/>
            <w:color w:val="000000"/>
            <w:u w:val="single"/>
            <w:lang w:val="ru-RU"/>
          </w:rPr>
          <w:t>.</w:t>
        </w:r>
        <w:proofErr w:type="spellStart"/>
        <w:r w:rsidRPr="005E44CF">
          <w:rPr>
            <w:rFonts w:eastAsia="Times New Roman" w:cs="Arial"/>
            <w:color w:val="000000"/>
            <w:u w:val="single"/>
            <w:lang w:val="en-US"/>
          </w:rPr>
          <w:t>bg</w:t>
        </w:r>
        <w:proofErr w:type="spellEnd"/>
      </w:hyperlink>
    </w:p>
    <w:p w14:paraId="18C5B75C" w14:textId="77777777" w:rsidR="005E44CF" w:rsidRPr="005E44CF" w:rsidRDefault="005E44CF" w:rsidP="005E44CF"/>
    <w:p w14:paraId="5A87DBA3" w14:textId="1AAF5B91" w:rsidR="007122AD" w:rsidRDefault="002C50EE" w:rsidP="00936AD0">
      <w:pPr>
        <w:pStyle w:val="Heading2"/>
      </w:pPr>
      <w:r>
        <w:t>4.9. Предозиране</w:t>
      </w:r>
    </w:p>
    <w:p w14:paraId="545884A5" w14:textId="62E585E8" w:rsidR="005E44CF" w:rsidRDefault="005E44CF" w:rsidP="005E44CF"/>
    <w:p w14:paraId="1A4EF890" w14:textId="544DD56E" w:rsidR="005E44CF" w:rsidRPr="005E44CF" w:rsidRDefault="005E44CF" w:rsidP="005E44CF">
      <w:r>
        <w:t>В случай на предозиране, специфично лечение няма. При предозиране, пациентът трябва да се лекува симптоматично и да се започнат поддържащи мерки, според нуждите. Трябва да се следят чернодробната функция и нивата на СК. Малко вероятно е, хемодиализата да бъде от полза.</w:t>
      </w:r>
    </w:p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6339E404" w14:textId="4901AD5C" w:rsidR="00875EEC" w:rsidRDefault="002C50EE" w:rsidP="005726E3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60647870" w14:textId="096D4E9C" w:rsidR="005E44CF" w:rsidRDefault="005E44CF" w:rsidP="005E44CF"/>
    <w:p w14:paraId="13568E3D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b/>
          <w:bCs/>
          <w:color w:val="000000"/>
          <w:lang w:eastAsia="bg-BG"/>
        </w:rPr>
        <w:t>Фармакотерапевтичиа</w:t>
      </w:r>
      <w:proofErr w:type="spellEnd"/>
      <w:r w:rsidRPr="005E44CF">
        <w:rPr>
          <w:rFonts w:eastAsia="Times New Roman" w:cs="Arial"/>
          <w:b/>
          <w:bCs/>
          <w:color w:val="000000"/>
          <w:lang w:eastAsia="bg-BG"/>
        </w:rPr>
        <w:t xml:space="preserve"> група: </w:t>
      </w:r>
      <w:r w:rsidRPr="005E44CF">
        <w:rPr>
          <w:rFonts w:eastAsia="Times New Roman" w:cs="Arial"/>
          <w:color w:val="000000"/>
          <w:lang w:eastAsia="bg-BG"/>
        </w:rPr>
        <w:t xml:space="preserve">Инхибитори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</w:t>
      </w:r>
      <w:r w:rsidRPr="005E44CF">
        <w:rPr>
          <w:rFonts w:eastAsia="Times New Roman" w:cs="Arial"/>
          <w:b/>
          <w:bCs/>
          <w:color w:val="000000"/>
          <w:lang w:eastAsia="bg-BG"/>
        </w:rPr>
        <w:t xml:space="preserve">АТС код: </w:t>
      </w:r>
      <w:r w:rsidRPr="005E44CF">
        <w:rPr>
          <w:rFonts w:eastAsia="Times New Roman" w:cs="Arial"/>
          <w:color w:val="000000"/>
          <w:lang w:eastAsia="bg-BG"/>
        </w:rPr>
        <w:t>С10А А07</w:t>
      </w:r>
    </w:p>
    <w:p w14:paraId="12BDDC6F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A9B7FD7" w14:textId="2689E25D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color w:val="000000"/>
          <w:u w:val="single"/>
          <w:lang w:eastAsia="bg-BG"/>
        </w:rPr>
        <w:lastRenderedPageBreak/>
        <w:t>Механизъм на действие</w:t>
      </w:r>
    </w:p>
    <w:p w14:paraId="3A845876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селективен и конкурентен инхибитор на </w:t>
      </w:r>
      <w:r w:rsidRPr="005E44CF">
        <w:rPr>
          <w:rFonts w:eastAsia="Times New Roman" w:cs="Arial"/>
          <w:color w:val="000000"/>
          <w:lang w:val="en-US"/>
        </w:rPr>
        <w:t>HMG</w:t>
      </w:r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CoA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скорост- ограничаващият ензим, който превръща З-хидрокси-3-метилглутарил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коензим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А в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мевалонат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прекурсор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на холестерола. Основното място на действие на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е черния дроб, прицелният орган за намаляване нивото на холестерола.</w:t>
      </w:r>
    </w:p>
    <w:p w14:paraId="02427C5D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увеличава броя на чернодробните </w:t>
      </w:r>
      <w:r w:rsidRPr="005E44CF">
        <w:rPr>
          <w:rFonts w:eastAsia="Times New Roman" w:cs="Arial"/>
          <w:color w:val="000000"/>
          <w:lang w:val="en-US"/>
        </w:rPr>
        <w:t>LDL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рецептори върху клетъчната повърхност, като засилва залавянето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катаболизма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на </w:t>
      </w:r>
      <w:r w:rsidRPr="005E44CF">
        <w:rPr>
          <w:rFonts w:eastAsia="Times New Roman" w:cs="Arial"/>
          <w:color w:val="000000"/>
          <w:lang w:val="en-US"/>
        </w:rPr>
        <w:t>LDL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инхибира чернодробната синтеза на </w:t>
      </w:r>
      <w:r w:rsidRPr="005E44CF">
        <w:rPr>
          <w:rFonts w:eastAsia="Times New Roman" w:cs="Arial"/>
          <w:color w:val="000000"/>
          <w:lang w:val="en-US"/>
        </w:rPr>
        <w:t>VLDL</w:t>
      </w:r>
      <w:r w:rsidRPr="005E44CF">
        <w:rPr>
          <w:rFonts w:eastAsia="Times New Roman" w:cs="Arial"/>
          <w:color w:val="000000"/>
          <w:lang w:val="ru-RU"/>
        </w:rPr>
        <w:t xml:space="preserve">, </w:t>
      </w:r>
      <w:r w:rsidRPr="005E44CF">
        <w:rPr>
          <w:rFonts w:eastAsia="Times New Roman" w:cs="Arial"/>
          <w:color w:val="000000"/>
          <w:lang w:eastAsia="bg-BG"/>
        </w:rPr>
        <w:t xml:space="preserve">като по този начин намалява общия брой на </w:t>
      </w:r>
      <w:r w:rsidRPr="005E44CF">
        <w:rPr>
          <w:rFonts w:eastAsia="Times New Roman" w:cs="Arial"/>
          <w:color w:val="000000"/>
          <w:lang w:val="en-US"/>
        </w:rPr>
        <w:t>VLDL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</w:t>
      </w:r>
      <w:r w:rsidRPr="005E44CF">
        <w:rPr>
          <w:rFonts w:eastAsia="Times New Roman" w:cs="Arial"/>
          <w:color w:val="000000"/>
          <w:lang w:val="en-US"/>
        </w:rPr>
        <w:t>LDL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>частици.</w:t>
      </w:r>
    </w:p>
    <w:p w14:paraId="57F1AFFE" w14:textId="77777777" w:rsidR="005E44CF" w:rsidRPr="005E44CF" w:rsidRDefault="005E44CF" w:rsidP="005E44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BA9B8ED" w14:textId="18BE4F3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u w:val="single"/>
          <w:lang w:eastAsia="bg-BG"/>
        </w:rPr>
        <w:t>Фармакодинамичии</w:t>
      </w:r>
      <w:proofErr w:type="spellEnd"/>
      <w:r w:rsidRPr="005E44CF">
        <w:rPr>
          <w:rFonts w:eastAsia="Times New Roman" w:cs="Arial"/>
          <w:color w:val="000000"/>
          <w:u w:val="single"/>
          <w:lang w:eastAsia="bg-BG"/>
        </w:rPr>
        <w:t xml:space="preserve"> ефекти</w:t>
      </w:r>
    </w:p>
    <w:p w14:paraId="49283E55" w14:textId="77777777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намалява повишения </w:t>
      </w:r>
      <w:r w:rsidRPr="005E44CF">
        <w:rPr>
          <w:rFonts w:eastAsia="Times New Roman" w:cs="Arial"/>
          <w:color w:val="000000"/>
          <w:lang w:val="en-US"/>
        </w:rPr>
        <w:t>LDL</w:t>
      </w:r>
      <w:r w:rsidRPr="005E44CF">
        <w:rPr>
          <w:rFonts w:eastAsia="Times New Roman" w:cs="Arial"/>
          <w:color w:val="000000"/>
          <w:lang w:eastAsia="bg-BG"/>
        </w:rPr>
        <w:t xml:space="preserve">-холестерол, общия холестерол 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триглицеридите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и повишава </w:t>
      </w:r>
      <w:r w:rsidRPr="005E44CF">
        <w:rPr>
          <w:rFonts w:eastAsia="Times New Roman" w:cs="Arial"/>
          <w:color w:val="000000"/>
          <w:lang w:val="en-US"/>
        </w:rPr>
        <w:t>HDL</w:t>
      </w:r>
      <w:r w:rsidRPr="005E44CF">
        <w:rPr>
          <w:rFonts w:eastAsia="Times New Roman" w:cs="Arial"/>
          <w:color w:val="000000"/>
          <w:lang w:eastAsia="bg-BG"/>
        </w:rPr>
        <w:t xml:space="preserve">-холестерола. Той също понижава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АроВ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, поп </w:t>
      </w:r>
      <w:r w:rsidRPr="005E44CF">
        <w:rPr>
          <w:rFonts w:eastAsia="Times New Roman" w:cs="Arial"/>
          <w:color w:val="000000"/>
          <w:lang w:val="en-US"/>
        </w:rPr>
        <w:t>HDL</w:t>
      </w:r>
      <w:r w:rsidRPr="005E44CF">
        <w:rPr>
          <w:rFonts w:eastAsia="Times New Roman" w:cs="Arial"/>
          <w:color w:val="000000"/>
          <w:lang w:eastAsia="bg-BG"/>
        </w:rPr>
        <w:t xml:space="preserve">-холестерола, </w:t>
      </w:r>
      <w:r w:rsidRPr="005E44CF">
        <w:rPr>
          <w:rFonts w:eastAsia="Times New Roman" w:cs="Arial"/>
          <w:color w:val="000000"/>
          <w:lang w:val="en-US"/>
        </w:rPr>
        <w:t>VLDL</w:t>
      </w:r>
      <w:r w:rsidRPr="005E44CF">
        <w:rPr>
          <w:rFonts w:eastAsia="Times New Roman" w:cs="Arial"/>
          <w:color w:val="000000"/>
          <w:lang w:eastAsia="bg-BG"/>
        </w:rPr>
        <w:t xml:space="preserve">- холестерола, </w:t>
      </w:r>
      <w:r w:rsidRPr="005E44CF">
        <w:rPr>
          <w:rFonts w:eastAsia="Times New Roman" w:cs="Arial"/>
          <w:color w:val="000000"/>
          <w:lang w:val="en-US"/>
        </w:rPr>
        <w:t>VLDL</w:t>
      </w:r>
      <w:r w:rsidRPr="005E44CF">
        <w:rPr>
          <w:rFonts w:eastAsia="Times New Roman" w:cs="Arial"/>
          <w:color w:val="000000"/>
          <w:lang w:eastAsia="bg-BG"/>
        </w:rPr>
        <w:t>-</w:t>
      </w:r>
      <w:proofErr w:type="spellStart"/>
      <w:r w:rsidRPr="005E44CF">
        <w:rPr>
          <w:rFonts w:eastAsia="Times New Roman" w:cs="Arial"/>
          <w:color w:val="000000"/>
          <w:lang w:eastAsia="bg-BG"/>
        </w:rPr>
        <w:t>триглицеридите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и увеличава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АроА</w:t>
      </w:r>
      <w:proofErr w:type="spellEnd"/>
      <w:r w:rsidRPr="005E44CF">
        <w:rPr>
          <w:rFonts w:eastAsia="Times New Roman" w:cs="Arial"/>
          <w:color w:val="000000"/>
          <w:lang w:val="ru-RU"/>
        </w:rPr>
        <w:t>-</w:t>
      </w:r>
      <w:r w:rsidRPr="005E44CF">
        <w:rPr>
          <w:rFonts w:eastAsia="Times New Roman" w:cs="Arial"/>
          <w:color w:val="000000"/>
          <w:lang w:val="en-US"/>
        </w:rPr>
        <w:t>I</w:t>
      </w:r>
      <w:r w:rsidRPr="005E44CF">
        <w:rPr>
          <w:rFonts w:eastAsia="Times New Roman" w:cs="Arial"/>
          <w:color w:val="000000"/>
          <w:lang w:val="ru-RU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(вж. таблица 3). </w:t>
      </w:r>
      <w:proofErr w:type="spellStart"/>
      <w:r w:rsidRPr="005E44CF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5E44CF">
        <w:rPr>
          <w:rFonts w:eastAsia="Times New Roman" w:cs="Arial"/>
          <w:color w:val="000000"/>
          <w:lang w:eastAsia="bg-BG"/>
        </w:rPr>
        <w:t xml:space="preserve"> също понижава и съотношението </w:t>
      </w:r>
      <w:r w:rsidRPr="005E44CF">
        <w:rPr>
          <w:rFonts w:eastAsia="Times New Roman" w:cs="Arial"/>
          <w:color w:val="000000"/>
          <w:lang w:val="en-US"/>
        </w:rPr>
        <w:t>LDL</w:t>
      </w:r>
      <w:r w:rsidRPr="005E44CF">
        <w:rPr>
          <w:rFonts w:eastAsia="Times New Roman" w:cs="Arial"/>
          <w:color w:val="000000"/>
        </w:rPr>
        <w:t>-</w:t>
      </w:r>
      <w:r w:rsidRPr="005E44CF">
        <w:rPr>
          <w:rFonts w:eastAsia="Times New Roman" w:cs="Arial"/>
          <w:color w:val="000000"/>
          <w:lang w:val="en-US"/>
        </w:rPr>
        <w:t>C</w:t>
      </w:r>
      <w:r w:rsidRPr="005E44CF">
        <w:rPr>
          <w:rFonts w:eastAsia="Times New Roman" w:cs="Arial"/>
          <w:color w:val="000000"/>
        </w:rPr>
        <w:t>/</w:t>
      </w:r>
      <w:r w:rsidRPr="005E44CF">
        <w:rPr>
          <w:rFonts w:eastAsia="Times New Roman" w:cs="Arial"/>
          <w:color w:val="000000"/>
          <w:lang w:val="en-US"/>
        </w:rPr>
        <w:t>HDL</w:t>
      </w:r>
      <w:r w:rsidRPr="005E44CF">
        <w:rPr>
          <w:rFonts w:eastAsia="Times New Roman" w:cs="Arial"/>
          <w:color w:val="000000"/>
        </w:rPr>
        <w:t>-</w:t>
      </w:r>
      <w:r w:rsidRPr="005E44CF">
        <w:rPr>
          <w:rFonts w:eastAsia="Times New Roman" w:cs="Arial"/>
          <w:color w:val="000000"/>
          <w:lang w:val="en-US"/>
        </w:rPr>
        <w:t>C</w:t>
      </w:r>
      <w:r w:rsidRPr="005E44CF">
        <w:rPr>
          <w:rFonts w:eastAsia="Times New Roman" w:cs="Arial"/>
          <w:color w:val="000000"/>
        </w:rPr>
        <w:t xml:space="preserve">, </w:t>
      </w:r>
      <w:r w:rsidRPr="005E44CF">
        <w:rPr>
          <w:rFonts w:eastAsia="Times New Roman" w:cs="Arial"/>
          <w:color w:val="000000"/>
          <w:lang w:eastAsia="bg-BG"/>
        </w:rPr>
        <w:t>общ холестерол</w:t>
      </w:r>
      <w:r w:rsidRPr="005E44CF">
        <w:rPr>
          <w:rFonts w:eastAsia="Times New Roman" w:cs="Arial"/>
          <w:color w:val="000000"/>
        </w:rPr>
        <w:t>/</w:t>
      </w:r>
      <w:r w:rsidRPr="005E44CF">
        <w:rPr>
          <w:rFonts w:eastAsia="Times New Roman" w:cs="Arial"/>
          <w:color w:val="000000"/>
          <w:lang w:val="en-US"/>
        </w:rPr>
        <w:t>HDL</w:t>
      </w:r>
      <w:r w:rsidRPr="005E44CF">
        <w:rPr>
          <w:rFonts w:eastAsia="Times New Roman" w:cs="Arial"/>
          <w:color w:val="000000"/>
        </w:rPr>
        <w:t>-</w:t>
      </w:r>
      <w:r w:rsidRPr="005E44CF">
        <w:rPr>
          <w:rFonts w:eastAsia="Times New Roman" w:cs="Arial"/>
          <w:color w:val="000000"/>
          <w:lang w:val="en-US"/>
        </w:rPr>
        <w:t>C</w:t>
      </w:r>
      <w:r w:rsidRPr="005E44CF">
        <w:rPr>
          <w:rFonts w:eastAsia="Times New Roman" w:cs="Arial"/>
          <w:color w:val="000000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</w:t>
      </w:r>
      <w:r w:rsidRPr="005E44CF">
        <w:rPr>
          <w:rFonts w:eastAsia="Times New Roman" w:cs="Arial"/>
          <w:color w:val="000000"/>
          <w:lang w:val="en-US"/>
        </w:rPr>
        <w:t>non</w:t>
      </w:r>
      <w:r w:rsidRPr="005E44CF">
        <w:rPr>
          <w:rFonts w:eastAsia="Times New Roman" w:cs="Arial"/>
          <w:color w:val="000000"/>
        </w:rPr>
        <w:t xml:space="preserve"> </w:t>
      </w:r>
      <w:r w:rsidRPr="005E44CF">
        <w:rPr>
          <w:rFonts w:eastAsia="Times New Roman" w:cs="Arial"/>
          <w:color w:val="000000"/>
          <w:lang w:val="en-US"/>
        </w:rPr>
        <w:t>HDL</w:t>
      </w:r>
      <w:r w:rsidRPr="005E44CF">
        <w:rPr>
          <w:rFonts w:eastAsia="Times New Roman" w:cs="Arial"/>
          <w:color w:val="000000"/>
        </w:rPr>
        <w:t>-</w:t>
      </w:r>
      <w:r w:rsidRPr="005E44CF">
        <w:rPr>
          <w:rFonts w:eastAsia="Times New Roman" w:cs="Arial"/>
          <w:color w:val="000000"/>
          <w:lang w:val="en-US"/>
        </w:rPr>
        <w:t>C</w:t>
      </w:r>
      <w:r w:rsidRPr="005E44CF">
        <w:rPr>
          <w:rFonts w:eastAsia="Times New Roman" w:cs="Arial"/>
          <w:color w:val="000000"/>
        </w:rPr>
        <w:t>/</w:t>
      </w:r>
      <w:r w:rsidRPr="005E44CF">
        <w:rPr>
          <w:rFonts w:eastAsia="Times New Roman" w:cs="Arial"/>
          <w:color w:val="000000"/>
          <w:lang w:val="en-US"/>
        </w:rPr>
        <w:t>HDL</w:t>
      </w:r>
      <w:r w:rsidRPr="005E44CF">
        <w:rPr>
          <w:rFonts w:eastAsia="Times New Roman" w:cs="Arial"/>
          <w:color w:val="000000"/>
        </w:rPr>
        <w:t>-</w:t>
      </w:r>
      <w:r w:rsidRPr="005E44CF">
        <w:rPr>
          <w:rFonts w:eastAsia="Times New Roman" w:cs="Arial"/>
          <w:color w:val="000000"/>
          <w:lang w:val="en-US"/>
        </w:rPr>
        <w:t>C</w:t>
      </w:r>
      <w:r w:rsidRPr="005E44CF">
        <w:rPr>
          <w:rFonts w:eastAsia="Times New Roman" w:cs="Arial"/>
          <w:color w:val="000000"/>
        </w:rPr>
        <w:t xml:space="preserve"> </w:t>
      </w:r>
      <w:r w:rsidRPr="005E44C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5E44CF">
        <w:rPr>
          <w:rFonts w:eastAsia="Times New Roman" w:cs="Arial"/>
          <w:color w:val="000000"/>
          <w:lang w:eastAsia="bg-BG"/>
        </w:rPr>
        <w:t>АроВ</w:t>
      </w:r>
      <w:proofErr w:type="spellEnd"/>
      <w:r w:rsidRPr="005E44CF">
        <w:rPr>
          <w:rFonts w:eastAsia="Times New Roman" w:cs="Arial"/>
          <w:color w:val="000000"/>
          <w:lang w:eastAsia="bg-BG"/>
        </w:rPr>
        <w:t>/</w:t>
      </w:r>
      <w:proofErr w:type="spellStart"/>
      <w:r w:rsidRPr="005E44CF">
        <w:rPr>
          <w:rFonts w:eastAsia="Times New Roman" w:cs="Arial"/>
          <w:color w:val="000000"/>
          <w:lang w:eastAsia="bg-BG"/>
        </w:rPr>
        <w:t>АроА</w:t>
      </w:r>
      <w:proofErr w:type="spellEnd"/>
      <w:r w:rsidRPr="005E44CF">
        <w:rPr>
          <w:rFonts w:eastAsia="Times New Roman" w:cs="Arial"/>
          <w:color w:val="000000"/>
          <w:lang w:eastAsia="bg-BG"/>
        </w:rPr>
        <w:t>-</w:t>
      </w:r>
      <w:r w:rsidRPr="005E44CF">
        <w:rPr>
          <w:rFonts w:eastAsia="Times New Roman" w:cs="Arial"/>
          <w:color w:val="000000"/>
          <w:lang w:val="en-US"/>
        </w:rPr>
        <w:t>I</w:t>
      </w:r>
      <w:r w:rsidRPr="005E44CF">
        <w:rPr>
          <w:rFonts w:eastAsia="Times New Roman" w:cs="Arial"/>
          <w:color w:val="000000"/>
          <w:lang w:eastAsia="bg-BG"/>
        </w:rPr>
        <w:t>.</w:t>
      </w:r>
    </w:p>
    <w:p w14:paraId="1B9FC0E7" w14:textId="77777777" w:rsidR="005E44CF" w:rsidRPr="005E44CF" w:rsidRDefault="005E44CF" w:rsidP="005E44CF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7EC1261" w14:textId="42CFD8B5" w:rsidR="005E44CF" w:rsidRPr="005E44CF" w:rsidRDefault="005E44CF" w:rsidP="005E44CF">
      <w:pPr>
        <w:spacing w:line="240" w:lineRule="auto"/>
        <w:rPr>
          <w:rFonts w:eastAsia="Times New Roman" w:cs="Arial"/>
          <w:sz w:val="24"/>
          <w:szCs w:val="24"/>
        </w:rPr>
      </w:pPr>
      <w:r w:rsidRPr="005E44CF">
        <w:rPr>
          <w:rFonts w:eastAsia="Times New Roman" w:cs="Arial"/>
          <w:b/>
          <w:bCs/>
          <w:color w:val="000000"/>
          <w:lang w:eastAsia="bg-BG"/>
        </w:rPr>
        <w:t>Таблица 3 Отговор на дозата при пациенти с пър</w:t>
      </w:r>
      <w:r>
        <w:rPr>
          <w:rFonts w:eastAsia="Times New Roman" w:cs="Arial"/>
          <w:b/>
          <w:bCs/>
          <w:color w:val="000000"/>
          <w:lang w:eastAsia="bg-BG"/>
        </w:rPr>
        <w:t xml:space="preserve">вична </w:t>
      </w:r>
      <w:proofErr w:type="spellStart"/>
      <w:r>
        <w:rPr>
          <w:rFonts w:eastAsia="Times New Roman" w:cs="Arial"/>
          <w:b/>
          <w:bCs/>
          <w:color w:val="000000"/>
          <w:lang w:eastAsia="bg-BG"/>
        </w:rPr>
        <w:t>хиперхолестеролемия</w:t>
      </w:r>
      <w:proofErr w:type="spellEnd"/>
      <w:r>
        <w:rPr>
          <w:rFonts w:eastAsia="Times New Roman" w:cs="Arial"/>
          <w:b/>
          <w:bCs/>
          <w:color w:val="000000"/>
          <w:lang w:eastAsia="bg-BG"/>
        </w:rPr>
        <w:t xml:space="preserve"> (тип </w:t>
      </w:r>
      <w:r>
        <w:rPr>
          <w:rFonts w:eastAsia="Times New Roman" w:cs="Arial"/>
          <w:b/>
          <w:bCs/>
          <w:color w:val="000000"/>
          <w:lang w:val="en-US" w:eastAsia="bg-BG"/>
        </w:rPr>
        <w:t>II</w:t>
      </w:r>
      <w:r>
        <w:rPr>
          <w:rFonts w:eastAsia="Times New Roman" w:cs="Arial"/>
          <w:b/>
          <w:bCs/>
          <w:color w:val="000000"/>
          <w:lang w:eastAsia="bg-BG"/>
        </w:rPr>
        <w:t>а и II</w:t>
      </w:r>
      <w:r>
        <w:rPr>
          <w:rFonts w:eastAsia="Times New Roman" w:cs="Arial"/>
          <w:b/>
          <w:bCs/>
          <w:color w:val="000000"/>
          <w:lang w:val="en-US" w:eastAsia="bg-BG"/>
        </w:rPr>
        <w:t>b</w:t>
      </w:r>
      <w:r w:rsidRPr="005E44CF">
        <w:rPr>
          <w:rFonts w:eastAsia="Times New Roman" w:cs="Arial"/>
          <w:b/>
          <w:bCs/>
          <w:color w:val="000000"/>
          <w:lang w:eastAsia="bg-BG"/>
        </w:rPr>
        <w:t xml:space="preserve">) (коригиран среден процент </w:t>
      </w:r>
      <w:proofErr w:type="spellStart"/>
      <w:r w:rsidRPr="005E44CF">
        <w:rPr>
          <w:rFonts w:eastAsia="Times New Roman" w:cs="Arial"/>
          <w:b/>
          <w:bCs/>
          <w:color w:val="000000"/>
          <w:lang w:eastAsia="bg-BG"/>
        </w:rPr>
        <w:t>иа</w:t>
      </w:r>
      <w:proofErr w:type="spellEnd"/>
      <w:r w:rsidRPr="005E44CF">
        <w:rPr>
          <w:rFonts w:eastAsia="Times New Roman" w:cs="Arial"/>
          <w:b/>
          <w:bCs/>
          <w:color w:val="000000"/>
          <w:lang w:eastAsia="bg-BG"/>
        </w:rPr>
        <w:t xml:space="preserve"> промяна спрямо изходното ниво):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981"/>
        <w:gridCol w:w="1016"/>
        <w:gridCol w:w="987"/>
        <w:gridCol w:w="1019"/>
        <w:gridCol w:w="989"/>
        <w:gridCol w:w="1170"/>
        <w:gridCol w:w="1028"/>
        <w:gridCol w:w="1038"/>
      </w:tblGrid>
      <w:tr w:rsidR="00ED5AD3" w14:paraId="28491909" w14:textId="77777777" w:rsidTr="005E44CF">
        <w:tc>
          <w:tcPr>
            <w:tcW w:w="1064" w:type="dxa"/>
          </w:tcPr>
          <w:p w14:paraId="3F3F7055" w14:textId="2A6CBB8F" w:rsidR="00ED5AD3" w:rsidRPr="00ED5AD3" w:rsidRDefault="00ED5AD3" w:rsidP="00ED5AD3">
            <w:r w:rsidRPr="00ED5AD3">
              <w:rPr>
                <w:b/>
                <w:bCs/>
                <w:lang w:eastAsia="bg-BG"/>
              </w:rPr>
              <w:t>Доза</w:t>
            </w:r>
          </w:p>
        </w:tc>
        <w:tc>
          <w:tcPr>
            <w:tcW w:w="1064" w:type="dxa"/>
          </w:tcPr>
          <w:p w14:paraId="7FC54DE8" w14:textId="28641BBE" w:rsidR="00ED5AD3" w:rsidRPr="00ED5AD3" w:rsidRDefault="00ED5AD3" w:rsidP="00ED5AD3">
            <w:r w:rsidRPr="00ED5AD3">
              <w:rPr>
                <w:b/>
                <w:bCs/>
              </w:rPr>
              <w:t>N</w:t>
            </w:r>
          </w:p>
        </w:tc>
        <w:tc>
          <w:tcPr>
            <w:tcW w:w="1064" w:type="dxa"/>
          </w:tcPr>
          <w:p w14:paraId="4F4AC61A" w14:textId="238903BE" w:rsidR="00ED5AD3" w:rsidRPr="00ED5AD3" w:rsidRDefault="00ED5AD3" w:rsidP="00ED5AD3">
            <w:r w:rsidRPr="00ED5AD3">
              <w:rPr>
                <w:b/>
                <w:bCs/>
              </w:rPr>
              <w:t>LDL-C</w:t>
            </w:r>
          </w:p>
        </w:tc>
        <w:tc>
          <w:tcPr>
            <w:tcW w:w="1064" w:type="dxa"/>
          </w:tcPr>
          <w:p w14:paraId="029EA100" w14:textId="5A6160F2" w:rsidR="00ED5AD3" w:rsidRPr="00ED5AD3" w:rsidRDefault="00ED5AD3" w:rsidP="00ED5AD3">
            <w:r w:rsidRPr="00ED5AD3">
              <w:rPr>
                <w:b/>
                <w:bCs/>
              </w:rPr>
              <w:t>TC</w:t>
            </w:r>
          </w:p>
        </w:tc>
        <w:tc>
          <w:tcPr>
            <w:tcW w:w="1064" w:type="dxa"/>
          </w:tcPr>
          <w:p w14:paraId="1A933067" w14:textId="64D10458" w:rsidR="00ED5AD3" w:rsidRPr="00ED5AD3" w:rsidRDefault="00ED5AD3" w:rsidP="00ED5AD3">
            <w:r w:rsidRPr="00ED5AD3">
              <w:rPr>
                <w:b/>
                <w:bCs/>
              </w:rPr>
              <w:t>HDL-C</w:t>
            </w:r>
          </w:p>
        </w:tc>
        <w:tc>
          <w:tcPr>
            <w:tcW w:w="1064" w:type="dxa"/>
          </w:tcPr>
          <w:p w14:paraId="1BB4AA20" w14:textId="41A09B68" w:rsidR="00ED5AD3" w:rsidRPr="00ED5AD3" w:rsidRDefault="00ED5AD3" w:rsidP="00ED5AD3">
            <w:r w:rsidRPr="00ED5AD3">
              <w:rPr>
                <w:b/>
                <w:bCs/>
              </w:rPr>
              <w:t>TG</w:t>
            </w:r>
          </w:p>
        </w:tc>
        <w:tc>
          <w:tcPr>
            <w:tcW w:w="1064" w:type="dxa"/>
          </w:tcPr>
          <w:p w14:paraId="7CEF5BC6" w14:textId="4976ACC9" w:rsidR="00ED5AD3" w:rsidRPr="00ED5AD3" w:rsidRDefault="00ED5AD3" w:rsidP="00ED5AD3">
            <w:proofErr w:type="spellStart"/>
            <w:r w:rsidRPr="00ED5AD3">
              <w:rPr>
                <w:b/>
                <w:bCs/>
              </w:rPr>
              <w:t>NonHDL</w:t>
            </w:r>
            <w:proofErr w:type="spellEnd"/>
            <w:r w:rsidRPr="00ED5AD3">
              <w:rPr>
                <w:b/>
                <w:bCs/>
              </w:rPr>
              <w:t>-C</w:t>
            </w:r>
          </w:p>
        </w:tc>
        <w:tc>
          <w:tcPr>
            <w:tcW w:w="1064" w:type="dxa"/>
          </w:tcPr>
          <w:p w14:paraId="05A0A615" w14:textId="68CF8A36" w:rsidR="00ED5AD3" w:rsidRPr="00ED5AD3" w:rsidRDefault="00ED5AD3" w:rsidP="00ED5AD3">
            <w:proofErr w:type="spellStart"/>
            <w:r w:rsidRPr="00ED5AD3">
              <w:rPr>
                <w:b/>
                <w:bCs/>
              </w:rPr>
              <w:t>ApoB</w:t>
            </w:r>
            <w:proofErr w:type="spellEnd"/>
          </w:p>
        </w:tc>
        <w:tc>
          <w:tcPr>
            <w:tcW w:w="1064" w:type="dxa"/>
          </w:tcPr>
          <w:p w14:paraId="7F101D83" w14:textId="7CF628BC" w:rsidR="00ED5AD3" w:rsidRPr="00ED5AD3" w:rsidRDefault="00ED5AD3" w:rsidP="00ED5AD3">
            <w:proofErr w:type="spellStart"/>
            <w:r w:rsidRPr="00ED5AD3">
              <w:rPr>
                <w:b/>
                <w:bCs/>
              </w:rPr>
              <w:t>ApoA</w:t>
            </w:r>
            <w:proofErr w:type="spellEnd"/>
            <w:r w:rsidRPr="00ED5AD3">
              <w:rPr>
                <w:b/>
                <w:bCs/>
              </w:rPr>
              <w:t>-I</w:t>
            </w:r>
          </w:p>
        </w:tc>
      </w:tr>
      <w:tr w:rsidR="00ED5AD3" w14:paraId="58FABBAB" w14:textId="77777777" w:rsidTr="005E44CF">
        <w:tc>
          <w:tcPr>
            <w:tcW w:w="1064" w:type="dxa"/>
          </w:tcPr>
          <w:p w14:paraId="17523E39" w14:textId="0A859C73" w:rsidR="00ED5AD3" w:rsidRPr="00ED5AD3" w:rsidRDefault="00ED5AD3" w:rsidP="00ED5AD3">
            <w:r w:rsidRPr="00ED5AD3">
              <w:rPr>
                <w:lang w:eastAsia="bg-BG"/>
              </w:rPr>
              <w:t>Плацебо</w:t>
            </w:r>
          </w:p>
        </w:tc>
        <w:tc>
          <w:tcPr>
            <w:tcW w:w="1064" w:type="dxa"/>
          </w:tcPr>
          <w:p w14:paraId="4929BCEA" w14:textId="42CFADD6" w:rsidR="00ED5AD3" w:rsidRPr="00ED5AD3" w:rsidRDefault="00ED5AD3" w:rsidP="00ED5AD3">
            <w:r w:rsidRPr="00ED5AD3">
              <w:t>13</w:t>
            </w:r>
          </w:p>
        </w:tc>
        <w:tc>
          <w:tcPr>
            <w:tcW w:w="1064" w:type="dxa"/>
          </w:tcPr>
          <w:p w14:paraId="61413D4A" w14:textId="344CBE37" w:rsidR="00ED5AD3" w:rsidRPr="00ED5AD3" w:rsidRDefault="00ED5AD3" w:rsidP="00ED5AD3">
            <w:r w:rsidRPr="00ED5AD3">
              <w:t>-7</w:t>
            </w:r>
          </w:p>
        </w:tc>
        <w:tc>
          <w:tcPr>
            <w:tcW w:w="1064" w:type="dxa"/>
          </w:tcPr>
          <w:p w14:paraId="1ED92962" w14:textId="7F2A04CA" w:rsidR="00ED5AD3" w:rsidRPr="00ED5AD3" w:rsidRDefault="00ED5AD3" w:rsidP="00ED5AD3">
            <w:r w:rsidRPr="00ED5AD3">
              <w:t>-5</w:t>
            </w:r>
          </w:p>
        </w:tc>
        <w:tc>
          <w:tcPr>
            <w:tcW w:w="1064" w:type="dxa"/>
          </w:tcPr>
          <w:p w14:paraId="0C1564DA" w14:textId="0A06BE29" w:rsidR="00ED5AD3" w:rsidRPr="00ED5AD3" w:rsidRDefault="00ED5AD3" w:rsidP="00ED5AD3">
            <w:r w:rsidRPr="00ED5AD3">
              <w:t>3</w:t>
            </w:r>
          </w:p>
        </w:tc>
        <w:tc>
          <w:tcPr>
            <w:tcW w:w="1064" w:type="dxa"/>
          </w:tcPr>
          <w:p w14:paraId="2BCAC747" w14:textId="3FB9D947" w:rsidR="00ED5AD3" w:rsidRPr="00ED5AD3" w:rsidRDefault="00ED5AD3" w:rsidP="00ED5AD3">
            <w:r w:rsidRPr="00ED5AD3">
              <w:t>-3</w:t>
            </w:r>
          </w:p>
        </w:tc>
        <w:tc>
          <w:tcPr>
            <w:tcW w:w="1064" w:type="dxa"/>
          </w:tcPr>
          <w:p w14:paraId="1D4BBE98" w14:textId="57D13CFA" w:rsidR="00ED5AD3" w:rsidRPr="00ED5AD3" w:rsidRDefault="00ED5AD3" w:rsidP="00ED5AD3">
            <w:r w:rsidRPr="00ED5AD3">
              <w:t>-7</w:t>
            </w:r>
          </w:p>
        </w:tc>
        <w:tc>
          <w:tcPr>
            <w:tcW w:w="1064" w:type="dxa"/>
          </w:tcPr>
          <w:p w14:paraId="7DDB91DA" w14:textId="111D27E7" w:rsidR="00ED5AD3" w:rsidRPr="00ED5AD3" w:rsidRDefault="00ED5AD3" w:rsidP="00ED5AD3">
            <w:r w:rsidRPr="00ED5AD3">
              <w:t>-3</w:t>
            </w:r>
          </w:p>
        </w:tc>
        <w:tc>
          <w:tcPr>
            <w:tcW w:w="1064" w:type="dxa"/>
          </w:tcPr>
          <w:p w14:paraId="6B7740B8" w14:textId="26907DAB" w:rsidR="00ED5AD3" w:rsidRPr="00ED5AD3" w:rsidRDefault="00ED5AD3" w:rsidP="00ED5AD3">
            <w:r w:rsidRPr="00ED5AD3">
              <w:t>0</w:t>
            </w:r>
          </w:p>
        </w:tc>
      </w:tr>
      <w:tr w:rsidR="00ED5AD3" w14:paraId="323F9165" w14:textId="77777777" w:rsidTr="005E44CF">
        <w:tc>
          <w:tcPr>
            <w:tcW w:w="1064" w:type="dxa"/>
          </w:tcPr>
          <w:p w14:paraId="25FE6D75" w14:textId="1031DE2B" w:rsidR="00ED5AD3" w:rsidRPr="00ED5AD3" w:rsidRDefault="00ED5AD3" w:rsidP="00ED5AD3">
            <w:r w:rsidRPr="00ED5AD3">
              <w:rPr>
                <w:lang w:eastAsia="bg-BG"/>
              </w:rPr>
              <w:t xml:space="preserve">5 </w:t>
            </w:r>
            <w:proofErr w:type="spellStart"/>
            <w:r w:rsidRPr="00ED5AD3">
              <w:t>mg</w:t>
            </w:r>
            <w:proofErr w:type="spellEnd"/>
          </w:p>
        </w:tc>
        <w:tc>
          <w:tcPr>
            <w:tcW w:w="1064" w:type="dxa"/>
          </w:tcPr>
          <w:p w14:paraId="2CB9EF48" w14:textId="6424D150" w:rsidR="00ED5AD3" w:rsidRPr="00ED5AD3" w:rsidRDefault="00ED5AD3" w:rsidP="00ED5AD3">
            <w:r w:rsidRPr="00ED5AD3">
              <w:t>17</w:t>
            </w:r>
          </w:p>
        </w:tc>
        <w:tc>
          <w:tcPr>
            <w:tcW w:w="1064" w:type="dxa"/>
          </w:tcPr>
          <w:p w14:paraId="741D6576" w14:textId="737EE504" w:rsidR="00ED5AD3" w:rsidRPr="00ED5AD3" w:rsidRDefault="00ED5AD3" w:rsidP="00ED5AD3">
            <w:r w:rsidRPr="00ED5AD3">
              <w:t>-45</w:t>
            </w:r>
          </w:p>
        </w:tc>
        <w:tc>
          <w:tcPr>
            <w:tcW w:w="1064" w:type="dxa"/>
          </w:tcPr>
          <w:p w14:paraId="26CA4493" w14:textId="6624CD6D" w:rsidR="00ED5AD3" w:rsidRPr="00ED5AD3" w:rsidRDefault="00ED5AD3" w:rsidP="00ED5AD3">
            <w:r w:rsidRPr="00ED5AD3">
              <w:t>-33</w:t>
            </w:r>
          </w:p>
        </w:tc>
        <w:tc>
          <w:tcPr>
            <w:tcW w:w="1064" w:type="dxa"/>
          </w:tcPr>
          <w:p w14:paraId="38B573AD" w14:textId="2CE9BBEB" w:rsidR="00ED5AD3" w:rsidRPr="00ED5AD3" w:rsidRDefault="00ED5AD3" w:rsidP="00ED5AD3">
            <w:r w:rsidRPr="00ED5AD3">
              <w:t>13</w:t>
            </w:r>
          </w:p>
        </w:tc>
        <w:tc>
          <w:tcPr>
            <w:tcW w:w="1064" w:type="dxa"/>
          </w:tcPr>
          <w:p w14:paraId="24237723" w14:textId="1DDB00BD" w:rsidR="00ED5AD3" w:rsidRPr="00ED5AD3" w:rsidRDefault="00ED5AD3" w:rsidP="00ED5AD3">
            <w:r w:rsidRPr="00ED5AD3">
              <w:t>-35</w:t>
            </w:r>
          </w:p>
        </w:tc>
        <w:tc>
          <w:tcPr>
            <w:tcW w:w="1064" w:type="dxa"/>
          </w:tcPr>
          <w:p w14:paraId="7F9E3188" w14:textId="75B80861" w:rsidR="00ED5AD3" w:rsidRPr="00ED5AD3" w:rsidRDefault="00ED5AD3" w:rsidP="00ED5AD3">
            <w:r w:rsidRPr="00ED5AD3">
              <w:t>-44</w:t>
            </w:r>
          </w:p>
        </w:tc>
        <w:tc>
          <w:tcPr>
            <w:tcW w:w="1064" w:type="dxa"/>
          </w:tcPr>
          <w:p w14:paraId="72DF3AF8" w14:textId="30267A82" w:rsidR="00ED5AD3" w:rsidRPr="00ED5AD3" w:rsidRDefault="00ED5AD3" w:rsidP="00ED5AD3">
            <w:r w:rsidRPr="00ED5AD3">
              <w:t>-38</w:t>
            </w:r>
          </w:p>
        </w:tc>
        <w:tc>
          <w:tcPr>
            <w:tcW w:w="1064" w:type="dxa"/>
          </w:tcPr>
          <w:p w14:paraId="78E63300" w14:textId="4F369E13" w:rsidR="00ED5AD3" w:rsidRPr="00ED5AD3" w:rsidRDefault="00ED5AD3" w:rsidP="00ED5AD3">
            <w:r w:rsidRPr="00ED5AD3">
              <w:t>4</w:t>
            </w:r>
          </w:p>
        </w:tc>
      </w:tr>
      <w:tr w:rsidR="00ED5AD3" w14:paraId="22ED76C2" w14:textId="77777777" w:rsidTr="005E44CF">
        <w:tc>
          <w:tcPr>
            <w:tcW w:w="1064" w:type="dxa"/>
          </w:tcPr>
          <w:p w14:paraId="4BB9960C" w14:textId="7D5B185D" w:rsidR="00ED5AD3" w:rsidRPr="00ED5AD3" w:rsidRDefault="00ED5AD3" w:rsidP="00ED5AD3">
            <w:r w:rsidRPr="00ED5AD3">
              <w:rPr>
                <w:lang w:eastAsia="bg-BG"/>
              </w:rPr>
              <w:t xml:space="preserve">10 </w:t>
            </w:r>
            <w:proofErr w:type="spellStart"/>
            <w:r w:rsidRPr="00ED5AD3">
              <w:t>mg</w:t>
            </w:r>
            <w:proofErr w:type="spellEnd"/>
          </w:p>
        </w:tc>
        <w:tc>
          <w:tcPr>
            <w:tcW w:w="1064" w:type="dxa"/>
          </w:tcPr>
          <w:p w14:paraId="29BE39B4" w14:textId="2AC2A358" w:rsidR="00ED5AD3" w:rsidRPr="00ED5AD3" w:rsidRDefault="00ED5AD3" w:rsidP="00ED5AD3">
            <w:r w:rsidRPr="00ED5AD3">
              <w:t>17</w:t>
            </w:r>
          </w:p>
        </w:tc>
        <w:tc>
          <w:tcPr>
            <w:tcW w:w="1064" w:type="dxa"/>
          </w:tcPr>
          <w:p w14:paraId="01B88516" w14:textId="08012EAE" w:rsidR="00ED5AD3" w:rsidRPr="00ED5AD3" w:rsidRDefault="00ED5AD3" w:rsidP="00ED5AD3">
            <w:r w:rsidRPr="00ED5AD3">
              <w:t>-52</w:t>
            </w:r>
          </w:p>
        </w:tc>
        <w:tc>
          <w:tcPr>
            <w:tcW w:w="1064" w:type="dxa"/>
          </w:tcPr>
          <w:p w14:paraId="1ED6568A" w14:textId="3068762B" w:rsidR="00ED5AD3" w:rsidRPr="00ED5AD3" w:rsidRDefault="00ED5AD3" w:rsidP="00ED5AD3">
            <w:r w:rsidRPr="00ED5AD3">
              <w:t>-36</w:t>
            </w:r>
          </w:p>
        </w:tc>
        <w:tc>
          <w:tcPr>
            <w:tcW w:w="1064" w:type="dxa"/>
          </w:tcPr>
          <w:p w14:paraId="1FC2B2CB" w14:textId="328A28DD" w:rsidR="00ED5AD3" w:rsidRPr="00ED5AD3" w:rsidRDefault="00ED5AD3" w:rsidP="00ED5AD3">
            <w:r w:rsidRPr="00ED5AD3">
              <w:t>14</w:t>
            </w:r>
          </w:p>
        </w:tc>
        <w:tc>
          <w:tcPr>
            <w:tcW w:w="1064" w:type="dxa"/>
          </w:tcPr>
          <w:p w14:paraId="0B51EB3E" w14:textId="794E6692" w:rsidR="00ED5AD3" w:rsidRPr="00ED5AD3" w:rsidRDefault="00ED5AD3" w:rsidP="00ED5AD3">
            <w:r w:rsidRPr="00ED5AD3">
              <w:t>-10</w:t>
            </w:r>
          </w:p>
        </w:tc>
        <w:tc>
          <w:tcPr>
            <w:tcW w:w="1064" w:type="dxa"/>
          </w:tcPr>
          <w:p w14:paraId="60BA66AA" w14:textId="4FC1E965" w:rsidR="00ED5AD3" w:rsidRPr="00ED5AD3" w:rsidRDefault="00ED5AD3" w:rsidP="00ED5AD3">
            <w:r w:rsidRPr="00ED5AD3">
              <w:rPr>
                <w:i/>
                <w:iCs/>
              </w:rPr>
              <w:t>-48</w:t>
            </w:r>
          </w:p>
        </w:tc>
        <w:tc>
          <w:tcPr>
            <w:tcW w:w="1064" w:type="dxa"/>
          </w:tcPr>
          <w:p w14:paraId="6A0169FD" w14:textId="5D23B95B" w:rsidR="00ED5AD3" w:rsidRPr="00ED5AD3" w:rsidRDefault="00ED5AD3" w:rsidP="00ED5AD3">
            <w:r w:rsidRPr="00ED5AD3">
              <w:t>-42</w:t>
            </w:r>
          </w:p>
        </w:tc>
        <w:tc>
          <w:tcPr>
            <w:tcW w:w="1064" w:type="dxa"/>
          </w:tcPr>
          <w:p w14:paraId="534BEDC5" w14:textId="3E8AC6F4" w:rsidR="00ED5AD3" w:rsidRPr="00ED5AD3" w:rsidRDefault="00ED5AD3" w:rsidP="00ED5AD3">
            <w:r w:rsidRPr="00ED5AD3">
              <w:t>4</w:t>
            </w:r>
          </w:p>
        </w:tc>
      </w:tr>
      <w:tr w:rsidR="00ED5AD3" w14:paraId="06D71F8B" w14:textId="77777777" w:rsidTr="005E44CF">
        <w:tc>
          <w:tcPr>
            <w:tcW w:w="1064" w:type="dxa"/>
          </w:tcPr>
          <w:p w14:paraId="0AF1C24D" w14:textId="6CFF51E2" w:rsidR="00ED5AD3" w:rsidRPr="00ED5AD3" w:rsidRDefault="00ED5AD3" w:rsidP="00ED5AD3">
            <w:r w:rsidRPr="00ED5AD3">
              <w:rPr>
                <w:lang w:eastAsia="bg-BG"/>
              </w:rPr>
              <w:t xml:space="preserve">20 </w:t>
            </w:r>
            <w:proofErr w:type="spellStart"/>
            <w:r w:rsidRPr="00ED5AD3">
              <w:t>mg</w:t>
            </w:r>
            <w:proofErr w:type="spellEnd"/>
          </w:p>
        </w:tc>
        <w:tc>
          <w:tcPr>
            <w:tcW w:w="1064" w:type="dxa"/>
          </w:tcPr>
          <w:p w14:paraId="77B7C4EF" w14:textId="19F543BD" w:rsidR="00ED5AD3" w:rsidRPr="00ED5AD3" w:rsidRDefault="00ED5AD3" w:rsidP="00ED5AD3">
            <w:r w:rsidRPr="00ED5AD3">
              <w:t>17</w:t>
            </w:r>
          </w:p>
        </w:tc>
        <w:tc>
          <w:tcPr>
            <w:tcW w:w="1064" w:type="dxa"/>
          </w:tcPr>
          <w:p w14:paraId="600AF12B" w14:textId="71346E38" w:rsidR="00ED5AD3" w:rsidRPr="00ED5AD3" w:rsidRDefault="00ED5AD3" w:rsidP="00ED5AD3">
            <w:r w:rsidRPr="00ED5AD3">
              <w:t>-55</w:t>
            </w:r>
          </w:p>
        </w:tc>
        <w:tc>
          <w:tcPr>
            <w:tcW w:w="1064" w:type="dxa"/>
          </w:tcPr>
          <w:p w14:paraId="1ED2F1A3" w14:textId="03753BE8" w:rsidR="00ED5AD3" w:rsidRPr="00ED5AD3" w:rsidRDefault="00ED5AD3" w:rsidP="00ED5AD3">
            <w:r w:rsidRPr="00ED5AD3">
              <w:t>-40</w:t>
            </w:r>
          </w:p>
        </w:tc>
        <w:tc>
          <w:tcPr>
            <w:tcW w:w="1064" w:type="dxa"/>
          </w:tcPr>
          <w:p w14:paraId="1D8CCD17" w14:textId="4387D393" w:rsidR="00ED5AD3" w:rsidRPr="00ED5AD3" w:rsidRDefault="00ED5AD3" w:rsidP="00ED5AD3">
            <w:r w:rsidRPr="00ED5AD3">
              <w:t>8</w:t>
            </w:r>
          </w:p>
        </w:tc>
        <w:tc>
          <w:tcPr>
            <w:tcW w:w="1064" w:type="dxa"/>
          </w:tcPr>
          <w:p w14:paraId="3DA49AC9" w14:textId="4CCC9341" w:rsidR="00ED5AD3" w:rsidRPr="00ED5AD3" w:rsidRDefault="00ED5AD3" w:rsidP="00ED5AD3">
            <w:r w:rsidRPr="00ED5AD3">
              <w:t>-23</w:t>
            </w:r>
          </w:p>
        </w:tc>
        <w:tc>
          <w:tcPr>
            <w:tcW w:w="1064" w:type="dxa"/>
          </w:tcPr>
          <w:p w14:paraId="6ED2EA08" w14:textId="5F3A112F" w:rsidR="00ED5AD3" w:rsidRPr="00ED5AD3" w:rsidRDefault="00ED5AD3" w:rsidP="00ED5AD3">
            <w:r w:rsidRPr="00ED5AD3">
              <w:t>-51</w:t>
            </w:r>
          </w:p>
        </w:tc>
        <w:tc>
          <w:tcPr>
            <w:tcW w:w="1064" w:type="dxa"/>
          </w:tcPr>
          <w:p w14:paraId="2C692D05" w14:textId="51B2197B" w:rsidR="00ED5AD3" w:rsidRPr="00ED5AD3" w:rsidRDefault="00ED5AD3" w:rsidP="00ED5AD3">
            <w:r w:rsidRPr="00ED5AD3">
              <w:t>-46</w:t>
            </w:r>
          </w:p>
        </w:tc>
        <w:tc>
          <w:tcPr>
            <w:tcW w:w="1064" w:type="dxa"/>
          </w:tcPr>
          <w:p w14:paraId="59F0D2E2" w14:textId="3888629E" w:rsidR="00ED5AD3" w:rsidRPr="00ED5AD3" w:rsidRDefault="00ED5AD3" w:rsidP="00ED5AD3">
            <w:r w:rsidRPr="00ED5AD3">
              <w:t>5</w:t>
            </w:r>
          </w:p>
        </w:tc>
      </w:tr>
      <w:tr w:rsidR="00ED5AD3" w14:paraId="2B1035D1" w14:textId="77777777" w:rsidTr="005E44CF">
        <w:tc>
          <w:tcPr>
            <w:tcW w:w="1064" w:type="dxa"/>
          </w:tcPr>
          <w:p w14:paraId="05E1B925" w14:textId="633C268E" w:rsidR="00ED5AD3" w:rsidRPr="00ED5AD3" w:rsidRDefault="00ED5AD3" w:rsidP="00ED5AD3">
            <w:r w:rsidRPr="00ED5AD3">
              <w:rPr>
                <w:lang w:eastAsia="bg-BG"/>
              </w:rPr>
              <w:t xml:space="preserve">40 </w:t>
            </w:r>
            <w:proofErr w:type="spellStart"/>
            <w:r w:rsidRPr="00ED5AD3">
              <w:t>mg</w:t>
            </w:r>
            <w:proofErr w:type="spellEnd"/>
          </w:p>
        </w:tc>
        <w:tc>
          <w:tcPr>
            <w:tcW w:w="1064" w:type="dxa"/>
          </w:tcPr>
          <w:p w14:paraId="3F8862E9" w14:textId="15A009A7" w:rsidR="00ED5AD3" w:rsidRPr="00ED5AD3" w:rsidRDefault="00ED5AD3" w:rsidP="00ED5AD3">
            <w:r w:rsidRPr="00ED5AD3">
              <w:t>18</w:t>
            </w:r>
          </w:p>
        </w:tc>
        <w:tc>
          <w:tcPr>
            <w:tcW w:w="1064" w:type="dxa"/>
          </w:tcPr>
          <w:p w14:paraId="6E474D66" w14:textId="379F0D02" w:rsidR="00ED5AD3" w:rsidRPr="00ED5AD3" w:rsidRDefault="00ED5AD3" w:rsidP="00ED5AD3">
            <w:r w:rsidRPr="00ED5AD3">
              <w:t>-63</w:t>
            </w:r>
          </w:p>
        </w:tc>
        <w:tc>
          <w:tcPr>
            <w:tcW w:w="1064" w:type="dxa"/>
          </w:tcPr>
          <w:p w14:paraId="40712A35" w14:textId="6BC2C830" w:rsidR="00ED5AD3" w:rsidRPr="00ED5AD3" w:rsidRDefault="00ED5AD3" w:rsidP="00ED5AD3">
            <w:r w:rsidRPr="00ED5AD3">
              <w:t>-46</w:t>
            </w:r>
          </w:p>
        </w:tc>
        <w:tc>
          <w:tcPr>
            <w:tcW w:w="1064" w:type="dxa"/>
          </w:tcPr>
          <w:p w14:paraId="506CF950" w14:textId="2A86B7B3" w:rsidR="00ED5AD3" w:rsidRPr="00ED5AD3" w:rsidRDefault="00ED5AD3" w:rsidP="00ED5AD3">
            <w:r w:rsidRPr="00ED5AD3">
              <w:t>10</w:t>
            </w:r>
          </w:p>
        </w:tc>
        <w:tc>
          <w:tcPr>
            <w:tcW w:w="1064" w:type="dxa"/>
          </w:tcPr>
          <w:p w14:paraId="7FA54587" w14:textId="0D4214FD" w:rsidR="00ED5AD3" w:rsidRPr="00ED5AD3" w:rsidRDefault="00ED5AD3" w:rsidP="00ED5AD3">
            <w:r w:rsidRPr="00ED5AD3">
              <w:t>-28</w:t>
            </w:r>
          </w:p>
        </w:tc>
        <w:tc>
          <w:tcPr>
            <w:tcW w:w="1064" w:type="dxa"/>
          </w:tcPr>
          <w:p w14:paraId="02695996" w14:textId="3B2BE1E9" w:rsidR="00ED5AD3" w:rsidRPr="00ED5AD3" w:rsidRDefault="00ED5AD3" w:rsidP="00ED5AD3">
            <w:r w:rsidRPr="00ED5AD3">
              <w:t>-60</w:t>
            </w:r>
          </w:p>
        </w:tc>
        <w:tc>
          <w:tcPr>
            <w:tcW w:w="1064" w:type="dxa"/>
          </w:tcPr>
          <w:p w14:paraId="1E9E879E" w14:textId="1D8683BC" w:rsidR="00ED5AD3" w:rsidRPr="00ED5AD3" w:rsidRDefault="00ED5AD3" w:rsidP="00ED5AD3">
            <w:r w:rsidRPr="00ED5AD3">
              <w:t>-54</w:t>
            </w:r>
          </w:p>
        </w:tc>
        <w:tc>
          <w:tcPr>
            <w:tcW w:w="1064" w:type="dxa"/>
          </w:tcPr>
          <w:p w14:paraId="42C56DC0" w14:textId="4C787FD7" w:rsidR="00ED5AD3" w:rsidRPr="00ED5AD3" w:rsidRDefault="00ED5AD3" w:rsidP="00ED5AD3">
            <w:r w:rsidRPr="00ED5AD3">
              <w:t>0</w:t>
            </w:r>
          </w:p>
        </w:tc>
      </w:tr>
    </w:tbl>
    <w:p w14:paraId="416D7C0E" w14:textId="2D962601" w:rsidR="005E44CF" w:rsidRDefault="005E44CF" w:rsidP="005E44CF"/>
    <w:p w14:paraId="01E465BF" w14:textId="77777777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>Терапевтичният ефект се забелязва в рамките на 1 седмица от началото на лечението и 90% от максималния отговор се постига до 2 седмици. Максималният отговор обикновено се постига към 4-та седмица и след това се поддържа.</w:t>
      </w:r>
    </w:p>
    <w:p w14:paraId="7D491798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1FF195" w14:textId="3DAEFDBD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0E83A685" w14:textId="77777777" w:rsidR="00ED5AD3" w:rsidRPr="00ED5AD3" w:rsidRDefault="00ED5AD3" w:rsidP="00ED5AD3">
      <w:pPr>
        <w:spacing w:line="240" w:lineRule="auto"/>
        <w:rPr>
          <w:rFonts w:eastAsia="Times New Roman" w:cs="Arial"/>
        </w:rPr>
      </w:pP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ефективен при възрастни, страдащи от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със или без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хипертриглицеридемия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независимо от расова принадлежност, пол или възраст, както и при специални групи като диабетици или пациенти с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>.</w:t>
      </w:r>
    </w:p>
    <w:p w14:paraId="43498376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6C8684" w14:textId="77777777" w:rsidR="00ED5AD3" w:rsidRPr="00ED5AD3" w:rsidRDefault="00ED5AD3" w:rsidP="00ED5AD3">
      <w:pPr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Обобщените данни от клиничните проучвания от фаза Ш показват, че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ефективен при лечение на голяма част от пациенти с тип </w:t>
      </w:r>
      <w:proofErr w:type="spellStart"/>
      <w:r w:rsidRPr="00ED5AD3">
        <w:rPr>
          <w:rFonts w:eastAsia="Times New Roman" w:cs="Arial"/>
          <w:color w:val="000000"/>
          <w:lang w:val="en-US"/>
        </w:rPr>
        <w:t>IIa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или </w:t>
      </w:r>
      <w:r w:rsidRPr="00ED5AD3">
        <w:rPr>
          <w:rFonts w:eastAsia="Times New Roman" w:cs="Arial"/>
          <w:color w:val="000000"/>
          <w:lang w:val="en-US"/>
        </w:rPr>
        <w:t>IIb</w:t>
      </w:r>
      <w:r w:rsidRPr="00ED5AD3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(средна изходна стойност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eastAsia="bg-BG"/>
        </w:rPr>
        <w:t xml:space="preserve">-холестерол - около </w:t>
      </w:r>
      <w:r w:rsidRPr="00ED5AD3">
        <w:rPr>
          <w:rFonts w:eastAsia="Times New Roman" w:cs="Arial"/>
          <w:color w:val="000000"/>
          <w:lang w:val="ru-RU"/>
        </w:rPr>
        <w:t>4,8</w:t>
      </w:r>
      <w:r w:rsidRPr="00ED5AD3">
        <w:rPr>
          <w:rFonts w:eastAsia="Times New Roman" w:cs="Arial"/>
          <w:color w:val="000000"/>
          <w:lang w:val="en-US"/>
        </w:rPr>
        <w:t>mmol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L</w:t>
      </w:r>
      <w:r w:rsidRPr="00ED5AD3">
        <w:rPr>
          <w:rFonts w:eastAsia="Times New Roman" w:cs="Arial"/>
          <w:color w:val="000000"/>
          <w:lang w:val="ru-RU"/>
        </w:rPr>
        <w:t xml:space="preserve">), </w:t>
      </w:r>
      <w:r w:rsidRPr="00ED5AD3">
        <w:rPr>
          <w:rFonts w:eastAsia="Times New Roman" w:cs="Arial"/>
          <w:color w:val="000000"/>
          <w:lang w:eastAsia="bg-BG"/>
        </w:rPr>
        <w:t xml:space="preserve">според определените от Европейското Дружество по Атеросклероза прицелни стойности </w:t>
      </w:r>
      <w:r w:rsidRPr="00ED5AD3">
        <w:rPr>
          <w:rFonts w:eastAsia="Times New Roman" w:cs="Arial"/>
          <w:color w:val="000000"/>
          <w:lang w:val="ru-RU"/>
        </w:rPr>
        <w:t>(</w:t>
      </w:r>
      <w:r w:rsidRPr="00ED5AD3">
        <w:rPr>
          <w:rFonts w:eastAsia="Times New Roman" w:cs="Arial"/>
          <w:color w:val="000000"/>
          <w:lang w:val="en-US"/>
        </w:rPr>
        <w:t>EAS</w:t>
      </w:r>
      <w:r w:rsidRPr="00ED5AD3">
        <w:rPr>
          <w:rFonts w:eastAsia="Times New Roman" w:cs="Arial"/>
          <w:color w:val="000000"/>
          <w:lang w:val="ru-RU"/>
        </w:rPr>
        <w:t xml:space="preserve">; </w:t>
      </w:r>
      <w:r w:rsidRPr="00ED5AD3">
        <w:rPr>
          <w:rFonts w:eastAsia="Times New Roman" w:cs="Arial"/>
          <w:color w:val="000000"/>
          <w:lang w:eastAsia="bg-BG"/>
        </w:rPr>
        <w:t>1998); около 80% от</w:t>
      </w:r>
      <w:r w:rsidRPr="00ED5AD3">
        <w:rPr>
          <w:rFonts w:eastAsia="Times New Roman" w:cs="Arial"/>
          <w:color w:val="000000"/>
          <w:lang w:val="ru-RU" w:eastAsia="bg-BG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пациентите на 10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са достигнали желаните стойности на холестерол в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eastAsia="bg-BG"/>
        </w:rPr>
        <w:t xml:space="preserve">-холестерол (&lt; 3 </w:t>
      </w:r>
      <w:r w:rsidRPr="00ED5AD3">
        <w:rPr>
          <w:rFonts w:eastAsia="Times New Roman" w:cs="Arial"/>
          <w:color w:val="000000"/>
          <w:lang w:val="en-US"/>
        </w:rPr>
        <w:t>mmol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L</w:t>
      </w:r>
      <w:r w:rsidRPr="00ED5AD3">
        <w:rPr>
          <w:rFonts w:eastAsia="Times New Roman" w:cs="Arial"/>
          <w:color w:val="000000"/>
          <w:lang w:val="ru-RU"/>
        </w:rPr>
        <w:t xml:space="preserve">), </w:t>
      </w:r>
      <w:r w:rsidRPr="00ED5AD3">
        <w:rPr>
          <w:rFonts w:eastAsia="Times New Roman" w:cs="Arial"/>
          <w:color w:val="000000"/>
          <w:lang w:eastAsia="bg-BG"/>
        </w:rPr>
        <w:t xml:space="preserve">според </w:t>
      </w:r>
      <w:r w:rsidRPr="00ED5AD3">
        <w:rPr>
          <w:rFonts w:eastAsia="Times New Roman" w:cs="Arial"/>
          <w:color w:val="000000"/>
          <w:lang w:val="en-US"/>
        </w:rPr>
        <w:t>EAS</w:t>
      </w:r>
      <w:r w:rsidRPr="00ED5AD3">
        <w:rPr>
          <w:rFonts w:eastAsia="Times New Roman" w:cs="Arial"/>
          <w:color w:val="000000"/>
          <w:lang w:val="ru-RU"/>
        </w:rPr>
        <w:t>.</w:t>
      </w:r>
    </w:p>
    <w:p w14:paraId="29251C57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5714B39" w14:textId="5D2680B9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В едно мащабно проучване с форсирано титриране на дозата, 435 пациенти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са лекувани с 20 </w:t>
      </w:r>
      <w:r w:rsidRPr="00ED5AD3">
        <w:rPr>
          <w:rFonts w:eastAsia="Times New Roman" w:cs="Arial"/>
          <w:i/>
          <w:iCs/>
          <w:color w:val="000000"/>
          <w:lang w:val="en-US"/>
        </w:rPr>
        <w:t>mg</w:t>
      </w:r>
      <w:r w:rsidRPr="00ED5AD3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ED5AD3">
        <w:rPr>
          <w:rFonts w:eastAsia="Times New Roman" w:cs="Arial"/>
          <w:i/>
          <w:iCs/>
          <w:color w:val="000000"/>
          <w:lang w:eastAsia="bg-BG"/>
        </w:rPr>
        <w:t>до</w:t>
      </w:r>
      <w:r w:rsidRPr="00ED5AD3">
        <w:rPr>
          <w:rFonts w:eastAsia="Times New Roman" w:cs="Arial"/>
          <w:color w:val="000000"/>
          <w:lang w:eastAsia="bg-BG"/>
        </w:rPr>
        <w:t xml:space="preserve"> 80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. </w:t>
      </w:r>
      <w:r w:rsidRPr="00ED5AD3">
        <w:rPr>
          <w:rFonts w:eastAsia="Times New Roman" w:cs="Arial"/>
          <w:color w:val="000000"/>
          <w:lang w:eastAsia="bg-BG"/>
        </w:rPr>
        <w:t xml:space="preserve">Всички дозировки показват положителен резултат върху липидните показатели и лечение до постигане на целта. След достигане на дневна доза от 40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(12-седмично лечение),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намалява с 53 %. 33 % от пациентите достигат стойностите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според </w:t>
      </w:r>
      <w:r w:rsidRPr="00ED5AD3">
        <w:rPr>
          <w:rFonts w:eastAsia="Times New Roman" w:cs="Arial"/>
          <w:color w:val="000000"/>
          <w:lang w:val="en-US"/>
        </w:rPr>
        <w:t>EAS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(&lt;3 </w:t>
      </w:r>
      <w:proofErr w:type="spellStart"/>
      <w:r w:rsidRPr="00ED5AD3">
        <w:rPr>
          <w:rFonts w:eastAsia="Times New Roman" w:cs="Arial"/>
          <w:color w:val="000000"/>
          <w:lang w:val="en-US"/>
        </w:rPr>
        <w:t>tnmol</w:t>
      </w:r>
      <w:proofErr w:type="spellEnd"/>
      <w:r w:rsidRPr="00ED5AD3">
        <w:rPr>
          <w:rFonts w:eastAsia="Times New Roman" w:cs="Arial"/>
          <w:color w:val="000000"/>
          <w:lang w:val="ru-RU"/>
        </w:rPr>
        <w:t>/1).</w:t>
      </w:r>
    </w:p>
    <w:p w14:paraId="365F984F" w14:textId="77777777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В едно отворено проучване с форсирано титриране на дозата при 42 пациенти (вкл. 8 педиатрични)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хомозиготна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са отчетени резултатите от </w:t>
      </w:r>
      <w:r w:rsidRPr="00ED5AD3">
        <w:rPr>
          <w:rFonts w:eastAsia="Times New Roman" w:cs="Arial"/>
          <w:color w:val="000000"/>
          <w:lang w:eastAsia="bg-BG"/>
        </w:rPr>
        <w:lastRenderedPageBreak/>
        <w:t xml:space="preserve">приемане на 20 - 40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. Като цяло в групата средното понижение на в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 xml:space="preserve">- </w:t>
      </w:r>
      <w:r w:rsidRPr="00ED5AD3">
        <w:rPr>
          <w:rFonts w:eastAsia="Times New Roman" w:cs="Arial"/>
          <w:color w:val="000000"/>
          <w:lang w:eastAsia="bg-BG"/>
        </w:rPr>
        <w:t>холестерола е 22%.</w:t>
      </w:r>
    </w:p>
    <w:p w14:paraId="5F0FA7BD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62D6EF" w14:textId="0FBCF500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При клинични изпитвания с ограничен брой пациенти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показва адитивна ефикасност при намаляване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триглицеридите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когато е приеман в комбинация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и увеличаване на нивото на 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eastAsia="bg-BG"/>
        </w:rPr>
        <w:t xml:space="preserve">-холестерол, в комбинация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ниацин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(вж. точка 4.4).</w:t>
      </w:r>
    </w:p>
    <w:p w14:paraId="5FAB0140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DC4632" w14:textId="76A2D3F9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В едно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многоцентрово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двойносляпо, плацебо-контролирано проучване </w:t>
      </w:r>
      <w:r w:rsidRPr="00ED5AD3">
        <w:rPr>
          <w:rFonts w:eastAsia="Times New Roman" w:cs="Arial"/>
          <w:color w:val="000000"/>
          <w:lang w:val="ru-RU"/>
        </w:rPr>
        <w:t>(</w:t>
      </w:r>
      <w:r w:rsidRPr="00ED5AD3">
        <w:rPr>
          <w:rFonts w:eastAsia="Times New Roman" w:cs="Arial"/>
          <w:color w:val="000000"/>
          <w:lang w:val="en-US"/>
        </w:rPr>
        <w:t>METEOR</w:t>
      </w:r>
      <w:r w:rsidRPr="00ED5AD3">
        <w:rPr>
          <w:rFonts w:eastAsia="Times New Roman" w:cs="Arial"/>
          <w:color w:val="000000"/>
          <w:lang w:val="ru-RU"/>
        </w:rPr>
        <w:t xml:space="preserve">), </w:t>
      </w:r>
      <w:r w:rsidRPr="00ED5AD3">
        <w:rPr>
          <w:rFonts w:eastAsia="Times New Roman" w:cs="Arial"/>
          <w:color w:val="000000"/>
          <w:lang w:eastAsia="bg-BG"/>
        </w:rPr>
        <w:t xml:space="preserve">984 пациента на възраст между 45 и 70 години с нисък риск за исхемична болест на сърцето (дефиниран като </w:t>
      </w:r>
      <w:r w:rsidRPr="00ED5AD3">
        <w:rPr>
          <w:rFonts w:eastAsia="Times New Roman" w:cs="Arial"/>
          <w:color w:val="000000"/>
          <w:lang w:val="en-US"/>
        </w:rPr>
        <w:t>Framingham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риск &lt; 10% за 10 години), със среден в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 xml:space="preserve">- </w:t>
      </w:r>
      <w:r w:rsidRPr="00ED5AD3">
        <w:rPr>
          <w:rFonts w:eastAsia="Times New Roman" w:cs="Arial"/>
          <w:color w:val="000000"/>
          <w:lang w:eastAsia="bg-BG"/>
        </w:rPr>
        <w:t xml:space="preserve">холестерол </w:t>
      </w:r>
      <w:r w:rsidRPr="00ED5AD3">
        <w:rPr>
          <w:rFonts w:eastAsia="Times New Roman" w:cs="Arial"/>
          <w:color w:val="000000"/>
          <w:lang w:val="ru-RU"/>
        </w:rPr>
        <w:t>4,0</w:t>
      </w:r>
      <w:r w:rsidRPr="00ED5AD3">
        <w:rPr>
          <w:rFonts w:eastAsia="Times New Roman" w:cs="Arial"/>
          <w:color w:val="000000"/>
          <w:lang w:val="en-US"/>
        </w:rPr>
        <w:t>mmol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L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(154,5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dl</w:t>
      </w:r>
      <w:r w:rsidRPr="00ED5AD3">
        <w:rPr>
          <w:rFonts w:eastAsia="Times New Roman" w:cs="Arial"/>
          <w:color w:val="000000"/>
          <w:lang w:val="ru-RU"/>
        </w:rPr>
        <w:t xml:space="preserve">), </w:t>
      </w:r>
      <w:r w:rsidRPr="00ED5AD3">
        <w:rPr>
          <w:rFonts w:eastAsia="Times New Roman" w:cs="Arial"/>
          <w:color w:val="000000"/>
          <w:lang w:eastAsia="bg-BG"/>
        </w:rPr>
        <w:t xml:space="preserve">но със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субклинична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атеросклероза, установена чрез измерване на дебелината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каротидната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интима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медия </w:t>
      </w:r>
      <w:r w:rsidRPr="00ED5AD3">
        <w:rPr>
          <w:rFonts w:eastAsia="Times New Roman" w:cs="Arial"/>
          <w:color w:val="000000"/>
          <w:lang w:val="ru-RU"/>
        </w:rPr>
        <w:t>(</w:t>
      </w:r>
      <w:r w:rsidRPr="00ED5AD3">
        <w:rPr>
          <w:rFonts w:eastAsia="Times New Roman" w:cs="Arial"/>
          <w:color w:val="000000"/>
          <w:lang w:val="en-US"/>
        </w:rPr>
        <w:t>Carotid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val="en-US"/>
        </w:rPr>
        <w:t>Intima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val="en-US"/>
        </w:rPr>
        <w:t>Media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val="en-US"/>
        </w:rPr>
        <w:t>Thickness</w:t>
      </w:r>
      <w:r w:rsidRPr="00ED5AD3">
        <w:rPr>
          <w:rFonts w:eastAsia="Times New Roman" w:cs="Arial"/>
          <w:color w:val="000000"/>
          <w:lang w:val="ru-RU"/>
        </w:rPr>
        <w:t xml:space="preserve">) </w:t>
      </w:r>
      <w:r w:rsidRPr="00ED5AD3">
        <w:rPr>
          <w:rFonts w:eastAsia="Times New Roman" w:cs="Arial"/>
          <w:color w:val="000000"/>
          <w:lang w:eastAsia="bg-BG"/>
        </w:rPr>
        <w:t xml:space="preserve">са били рандомизирани на 40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веднъж дневно или плацебо за 2 години.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значително забави прогресията до максималната стойност на </w:t>
      </w:r>
      <w:r w:rsidRPr="00ED5AD3">
        <w:rPr>
          <w:rFonts w:eastAsia="Times New Roman" w:cs="Arial"/>
          <w:color w:val="000000"/>
          <w:lang w:val="en-US"/>
        </w:rPr>
        <w:t>CIMT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на всички 12 места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каротидните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артерии, в </w:t>
      </w:r>
      <w:r w:rsidRPr="00ED5AD3">
        <w:rPr>
          <w:rFonts w:eastAsia="Times New Roman" w:cs="Arial"/>
          <w:i/>
          <w:iCs/>
          <w:color w:val="000000"/>
          <w:lang w:eastAsia="bg-BG"/>
        </w:rPr>
        <w:t>сравнение с</w:t>
      </w:r>
      <w:r w:rsidRPr="00ED5AD3">
        <w:rPr>
          <w:rFonts w:eastAsia="Times New Roman" w:cs="Arial"/>
          <w:color w:val="000000"/>
          <w:lang w:eastAsia="bg-BG"/>
        </w:rPr>
        <w:t xml:space="preserve"> плацебо -0,0145 </w:t>
      </w:r>
      <w:r w:rsidRPr="00ED5AD3">
        <w:rPr>
          <w:rFonts w:eastAsia="Times New Roman" w:cs="Arial"/>
          <w:color w:val="000000"/>
          <w:lang w:val="en-US"/>
        </w:rPr>
        <w:t>mm</w:t>
      </w:r>
      <w:r w:rsidRPr="00ED5AD3">
        <w:rPr>
          <w:rFonts w:eastAsia="Times New Roman" w:cs="Arial"/>
          <w:color w:val="000000"/>
          <w:lang w:eastAsia="bg-BG"/>
        </w:rPr>
        <w:t xml:space="preserve">/година [95% доверителен интервал - 0,0196, -0,0093; р&lt; 0,0001]. Промяната спрямо изходните стойности за групата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-0,0014 </w:t>
      </w:r>
      <w:r w:rsidRPr="00ED5AD3">
        <w:rPr>
          <w:rFonts w:eastAsia="Times New Roman" w:cs="Arial"/>
          <w:color w:val="000000"/>
          <w:lang w:val="en-US"/>
        </w:rPr>
        <w:t>mm</w:t>
      </w:r>
      <w:r w:rsidRPr="00ED5AD3">
        <w:rPr>
          <w:rFonts w:eastAsia="Times New Roman" w:cs="Arial"/>
          <w:color w:val="000000"/>
          <w:lang w:eastAsia="bg-BG"/>
        </w:rPr>
        <w:t>/година (-0,12%/година {</w:t>
      </w:r>
      <w:proofErr w:type="spellStart"/>
      <w:r w:rsidRPr="00ED5AD3">
        <w:rPr>
          <w:rFonts w:eastAsia="Times New Roman" w:cs="Arial"/>
          <w:color w:val="000000"/>
          <w:lang w:eastAsia="bg-BG"/>
        </w:rPr>
        <w:t>несигнификантно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}), в сравнение с групата на плацебо с прогресия от +0,0131 </w:t>
      </w:r>
      <w:r w:rsidRPr="00ED5AD3">
        <w:rPr>
          <w:rFonts w:eastAsia="Times New Roman" w:cs="Arial"/>
          <w:color w:val="000000"/>
          <w:lang w:val="en-US"/>
        </w:rPr>
        <w:t>mm</w:t>
      </w:r>
      <w:r w:rsidRPr="00ED5AD3">
        <w:rPr>
          <w:rFonts w:eastAsia="Times New Roman" w:cs="Arial"/>
          <w:color w:val="000000"/>
          <w:lang w:eastAsia="bg-BG"/>
        </w:rPr>
        <w:t xml:space="preserve">/година (1,12%/година {р &lt; 0,0001}). Не е демонстрирана директна взаимовръзка между понижението на С1МТ и понижения риск от сърдечносъдови събития. Популацията в проучването </w:t>
      </w:r>
      <w:r w:rsidRPr="00ED5AD3">
        <w:rPr>
          <w:rFonts w:eastAsia="Times New Roman" w:cs="Arial"/>
          <w:color w:val="000000"/>
          <w:lang w:val="en-US"/>
        </w:rPr>
        <w:t>METEOR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е с нисък риск от исхемична болест на сърцето и не е представителна за таргетната популация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40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. </w:t>
      </w:r>
      <w:r w:rsidRPr="00ED5AD3">
        <w:rPr>
          <w:rFonts w:eastAsia="Times New Roman" w:cs="Arial"/>
          <w:color w:val="000000"/>
          <w:lang w:eastAsia="bg-BG"/>
        </w:rPr>
        <w:t xml:space="preserve">Дозировката от 40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трябва да се предписва само на пациенти с тежка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>, с висок сърдечносъдов риск (вж. точка 4.2).</w:t>
      </w:r>
    </w:p>
    <w:p w14:paraId="63379770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B7DCEEC" w14:textId="3E5BCF97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В Обосновка за Приложението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за Първична Профилактика: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Интервенционално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Проучване за Оценка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</w:t>
      </w:r>
      <w:r w:rsidRPr="00ED5AD3">
        <w:rPr>
          <w:rFonts w:eastAsia="Times New Roman" w:cs="Arial"/>
          <w:color w:val="000000"/>
          <w:lang w:val="ru-RU"/>
        </w:rPr>
        <w:t>(</w:t>
      </w:r>
      <w:r w:rsidRPr="00ED5AD3">
        <w:rPr>
          <w:rFonts w:eastAsia="Times New Roman" w:cs="Arial"/>
          <w:color w:val="000000"/>
          <w:lang w:val="en-US"/>
        </w:rPr>
        <w:t>JUPITER</w:t>
      </w:r>
      <w:r w:rsidRPr="00ED5AD3">
        <w:rPr>
          <w:rFonts w:eastAsia="Times New Roman" w:cs="Arial"/>
          <w:color w:val="000000"/>
          <w:lang w:val="ru-RU"/>
        </w:rPr>
        <w:t xml:space="preserve">), </w:t>
      </w:r>
      <w:r w:rsidRPr="00ED5AD3">
        <w:rPr>
          <w:rFonts w:eastAsia="Times New Roman" w:cs="Arial"/>
          <w:color w:val="000000"/>
          <w:lang w:eastAsia="bg-BG"/>
        </w:rPr>
        <w:t xml:space="preserve">е изследван ефектът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върху появата на големи атеросклеротични, сърдечносъдови инциденти при 17 802 мъже (^ 50 години) и жени (≥60 години).</w:t>
      </w:r>
    </w:p>
    <w:p w14:paraId="7477F6A4" w14:textId="77777777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>Разделени на случаен принцип, участниците в изследването приемали плацебо (</w:t>
      </w:r>
      <w:r w:rsidRPr="00ED5AD3">
        <w:rPr>
          <w:rFonts w:eastAsia="Times New Roman" w:cs="Arial"/>
          <w:color w:val="000000"/>
          <w:lang w:val="en-US"/>
        </w:rPr>
        <w:t>n</w:t>
      </w:r>
      <w:r w:rsidRPr="00ED5AD3">
        <w:rPr>
          <w:rFonts w:eastAsia="Times New Roman" w:cs="Arial"/>
          <w:color w:val="000000"/>
          <w:lang w:eastAsia="bg-BG"/>
        </w:rPr>
        <w:t xml:space="preserve">=8901) или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по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>веднъж на ден (</w:t>
      </w:r>
      <w:r w:rsidRPr="00ED5AD3">
        <w:rPr>
          <w:rFonts w:eastAsia="Times New Roman" w:cs="Arial"/>
          <w:color w:val="000000"/>
          <w:lang w:val="en-US"/>
        </w:rPr>
        <w:t>n</w:t>
      </w:r>
      <w:r w:rsidRPr="00ED5AD3">
        <w:rPr>
          <w:rFonts w:eastAsia="Times New Roman" w:cs="Arial"/>
          <w:color w:val="000000"/>
          <w:lang w:val="ru-RU"/>
        </w:rPr>
        <w:t>=</w:t>
      </w:r>
      <w:r w:rsidRPr="00ED5AD3">
        <w:rPr>
          <w:rFonts w:eastAsia="Times New Roman" w:cs="Arial"/>
          <w:color w:val="000000"/>
          <w:lang w:eastAsia="bg-BG"/>
        </w:rPr>
        <w:t>8901) в продължение на 2 години.</w:t>
      </w:r>
    </w:p>
    <w:p w14:paraId="393DF9A6" w14:textId="77777777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В сравнение с плацебо групата, при групата, приемаща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концентрацията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 xml:space="preserve">- </w:t>
      </w:r>
      <w:r w:rsidRPr="00ED5AD3">
        <w:rPr>
          <w:rFonts w:eastAsia="Times New Roman" w:cs="Arial"/>
          <w:color w:val="000000"/>
          <w:lang w:eastAsia="bg-BG"/>
        </w:rPr>
        <w:t>холестерола е намаляла с 45% (р&lt;0.001).</w:t>
      </w:r>
    </w:p>
    <w:p w14:paraId="79E57E1A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99F29C0" w14:textId="7423A3DA" w:rsidR="00ED5AD3" w:rsidRPr="00692BD9" w:rsidRDefault="00ED5AD3" w:rsidP="00ED5AD3">
      <w:pPr>
        <w:spacing w:line="240" w:lineRule="auto"/>
        <w:rPr>
          <w:rFonts w:eastAsia="Times New Roman" w:cs="Arial"/>
          <w:lang w:val="ru-RU"/>
        </w:rPr>
      </w:pPr>
      <w:r w:rsidRPr="00ED5AD3">
        <w:rPr>
          <w:rFonts w:eastAsia="Times New Roman" w:cs="Arial"/>
          <w:color w:val="000000"/>
          <w:lang w:eastAsia="bg-BG"/>
        </w:rPr>
        <w:t xml:space="preserve">В </w:t>
      </w:r>
      <w:r w:rsidRPr="00ED5AD3">
        <w:rPr>
          <w:rFonts w:eastAsia="Times New Roman" w:cs="Arial"/>
          <w:color w:val="000000"/>
          <w:lang w:val="en-US"/>
        </w:rPr>
        <w:t>post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hoc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анализ на високо-рисковата подгрупа с изходен риск оценен по </w:t>
      </w:r>
      <w:r w:rsidRPr="00ED5AD3">
        <w:rPr>
          <w:rFonts w:eastAsia="Times New Roman" w:cs="Arial"/>
          <w:color w:val="000000"/>
          <w:lang w:val="en-US"/>
        </w:rPr>
        <w:t>Framingham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&gt;20% (1558 изследвани) се наблюдава значително намаляване на комбинираната крайна цел включваща смъртни случаи в следствие на сърдечносъдова смърт, инсулт и инфаркт на миокарда (р=0.028) при лечение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в сравнение с плацебо. Абсолютното намаление на риска за 1000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пациенто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-години беше 8.8. При тази високорискова група общата смъртност остава непроменена (р=0,193 В </w:t>
      </w:r>
      <w:r w:rsidRPr="00ED5AD3">
        <w:rPr>
          <w:rFonts w:eastAsia="Times New Roman" w:cs="Arial"/>
          <w:color w:val="000000"/>
          <w:lang w:val="en-US"/>
        </w:rPr>
        <w:t>post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hoc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анализ на високо-рисковата подгрупа при субекти (общ брой 9302) с изходен </w:t>
      </w:r>
      <w:r w:rsidRPr="00ED5AD3">
        <w:rPr>
          <w:rFonts w:eastAsia="Times New Roman" w:cs="Arial"/>
          <w:color w:val="000000"/>
          <w:lang w:val="en-US"/>
        </w:rPr>
        <w:t>SCORE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риск ≥5% (екстраполиран, с цел включване на лица над 65- годишна възраст) показва значително намаляване на комбинираната крайна цел включваща сърдечносъдова смърт, инсулт и инфаркт на миокарда (р=0,0003) при лечение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в сравнение с плацебо. Абсолютното намаляване на риска за честотата на събитията е 5,1 за 1000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пациенто</w:t>
      </w:r>
      <w:proofErr w:type="spellEnd"/>
      <w:r w:rsidRPr="00ED5AD3">
        <w:rPr>
          <w:rFonts w:eastAsia="Times New Roman" w:cs="Arial"/>
          <w:color w:val="000000"/>
          <w:lang w:eastAsia="bg-BG"/>
        </w:rPr>
        <w:t>-години. При тази високорискова група общата смъртност остана непроменена</w:t>
      </w:r>
      <w:r w:rsidRPr="00692BD9">
        <w:rPr>
          <w:rFonts w:eastAsia="Times New Roman" w:cs="Arial"/>
          <w:color w:val="000000"/>
          <w:lang w:val="ru-RU" w:eastAsia="bg-BG"/>
        </w:rPr>
        <w:t>.</w:t>
      </w:r>
    </w:p>
    <w:p w14:paraId="0A11796E" w14:textId="77777777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При изследването </w:t>
      </w:r>
      <w:r w:rsidRPr="00ED5AD3">
        <w:rPr>
          <w:rFonts w:eastAsia="Times New Roman" w:cs="Arial"/>
          <w:color w:val="000000"/>
          <w:lang w:val="en-US"/>
        </w:rPr>
        <w:t>JUPITER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6,6% от участниците, третирани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и 6,2% от</w:t>
      </w:r>
    </w:p>
    <w:p w14:paraId="6B97E812" w14:textId="5B6C19CC" w:rsidR="00ED5AD3" w:rsidRPr="00ED5AD3" w:rsidRDefault="00ED5AD3" w:rsidP="00ED5AD3">
      <w:pPr>
        <w:spacing w:line="240" w:lineRule="auto"/>
        <w:rPr>
          <w:rFonts w:eastAsia="Times New Roman" w:cs="Arial"/>
          <w:lang w:val="ru-RU"/>
        </w:rPr>
      </w:pPr>
      <w:r w:rsidRPr="00ED5AD3">
        <w:rPr>
          <w:rFonts w:eastAsia="Times New Roman" w:cs="Arial"/>
          <w:color w:val="000000"/>
          <w:lang w:eastAsia="bg-BG"/>
        </w:rPr>
        <w:t>третираните плацебо са прекъснали изследването, поради възникване на нежелани реакции.</w:t>
      </w:r>
    </w:p>
    <w:p w14:paraId="743CBC11" w14:textId="1651DE81" w:rsidR="00ED5AD3" w:rsidRPr="00ED5AD3" w:rsidRDefault="00ED5AD3" w:rsidP="005E44CF">
      <w:pPr>
        <w:rPr>
          <w:rFonts w:cs="Arial"/>
        </w:rPr>
      </w:pPr>
    </w:p>
    <w:p w14:paraId="0785E263" w14:textId="77777777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lastRenderedPageBreak/>
        <w:t xml:space="preserve">Най-честите случаи на нежелани реакции, при които е прекъснато лечението са били: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миалгия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(0,3%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0,2% плацебо), коремни болки (0,03%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0,02% плацебо) и обрив (0,02%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0,03% плацебо). Най-честите оплаквания с честота по-висока или равна на тази при плацебо са инфекция на пикочните пътища (8,7%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8,6% плацебо),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назофарингит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(7,6%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7,2% плацебо), болки в гърба (7,6%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6.9% плацебо) 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миалгия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(7,6%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>, 6,6% плацебо).</w:t>
      </w:r>
    </w:p>
    <w:p w14:paraId="3075E794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4AA0D2" w14:textId="70776BF7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68085C3F" w14:textId="77777777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В едно двойносляпо, рандомизирано,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мултицентрово</w:t>
      </w:r>
      <w:proofErr w:type="spellEnd"/>
      <w:r w:rsidRPr="00ED5AD3">
        <w:rPr>
          <w:rFonts w:eastAsia="Times New Roman" w:cs="Arial"/>
          <w:color w:val="000000"/>
          <w:lang w:eastAsia="bg-BG"/>
        </w:rPr>
        <w:t>, плацебо-контролирано, 12-седмично проучване (</w:t>
      </w:r>
      <w:r w:rsidRPr="00ED5AD3">
        <w:rPr>
          <w:rFonts w:eastAsia="Times New Roman" w:cs="Arial"/>
          <w:color w:val="000000"/>
          <w:lang w:val="en-US"/>
        </w:rPr>
        <w:t>n</w:t>
      </w:r>
      <w:r w:rsidRPr="00ED5AD3">
        <w:rPr>
          <w:rFonts w:eastAsia="Times New Roman" w:cs="Arial"/>
          <w:color w:val="000000"/>
          <w:lang w:eastAsia="bg-BG"/>
        </w:rPr>
        <w:t>=176,97 от мъжки пол и 79 от женски пол), последвано от 40-седмично (</w:t>
      </w:r>
      <w:r w:rsidRPr="00ED5AD3">
        <w:rPr>
          <w:rFonts w:eastAsia="Times New Roman" w:cs="Arial"/>
          <w:color w:val="000000"/>
          <w:lang w:val="en-US"/>
        </w:rPr>
        <w:t>n</w:t>
      </w:r>
      <w:r w:rsidRPr="00ED5AD3">
        <w:rPr>
          <w:rFonts w:eastAsia="Times New Roman" w:cs="Arial"/>
          <w:color w:val="000000"/>
          <w:lang w:eastAsia="bg-BG"/>
        </w:rPr>
        <w:t xml:space="preserve">=173,96 от мъжки пол и 77 от женски пол), открито, фаза титриране на дозата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пациенти на възраст 10 до 17 години (стадий </w:t>
      </w:r>
      <w:r w:rsidRPr="00ED5AD3">
        <w:rPr>
          <w:rFonts w:eastAsia="Times New Roman" w:cs="Arial"/>
          <w:color w:val="000000"/>
          <w:lang w:val="en-US"/>
        </w:rPr>
        <w:t>II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IV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по Танер, момичета поне 1 година след началото на менструацията) с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са получавали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5,10 или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или плацебо дневно за 12 седмици и след това всички са получавали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дневно за 40 седмици. В началото на проучването приблизително 30% от пациентите бяха 10 до 13 годишни и приблизително 17%, 18%, 40% и 25% са били в стадии </w:t>
      </w:r>
      <w:r w:rsidRPr="00ED5AD3">
        <w:rPr>
          <w:rFonts w:eastAsia="Times New Roman" w:cs="Arial"/>
          <w:color w:val="000000"/>
          <w:lang w:val="en-US"/>
        </w:rPr>
        <w:t>II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val="en-US"/>
        </w:rPr>
        <w:t>III</w:t>
      </w:r>
      <w:r w:rsidRPr="00ED5AD3">
        <w:rPr>
          <w:rFonts w:eastAsia="Times New Roman" w:cs="Arial"/>
          <w:color w:val="000000"/>
          <w:lang w:eastAsia="bg-BG"/>
        </w:rPr>
        <w:t>, IV и V по Танер, съответно.</w:t>
      </w:r>
    </w:p>
    <w:p w14:paraId="1B4FB29F" w14:textId="77777777" w:rsidR="00ED5AD3" w:rsidRPr="00692BD9" w:rsidRDefault="00ED5AD3" w:rsidP="00ED5AD3">
      <w:pPr>
        <w:spacing w:line="240" w:lineRule="auto"/>
        <w:rPr>
          <w:rFonts w:eastAsia="Times New Roman" w:cs="Arial"/>
          <w:color w:val="000000"/>
          <w:lang w:val="ru-RU"/>
        </w:rPr>
      </w:pPr>
    </w:p>
    <w:p w14:paraId="23C7D36D" w14:textId="3641F48E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eastAsia="bg-BG"/>
        </w:rPr>
        <w:t xml:space="preserve">-холестеролът </w:t>
      </w:r>
      <w:r w:rsidRPr="00ED5AD3">
        <w:rPr>
          <w:rFonts w:eastAsia="Times New Roman" w:cs="Arial"/>
          <w:i/>
          <w:iCs/>
          <w:color w:val="000000"/>
          <w:lang w:eastAsia="bg-BG"/>
        </w:rPr>
        <w:t>е бил</w:t>
      </w:r>
      <w:r w:rsidRPr="00ED5AD3">
        <w:rPr>
          <w:rFonts w:eastAsia="Times New Roman" w:cs="Arial"/>
          <w:color w:val="000000"/>
          <w:lang w:eastAsia="bg-BG"/>
        </w:rPr>
        <w:t xml:space="preserve"> понижен 38,3%, 44,6% и 50,0% от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5,10 и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>съответно, в сравнение с 0,7% за плацебо.</w:t>
      </w:r>
    </w:p>
    <w:p w14:paraId="7A8135E5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06BDB6" w14:textId="5B8438BB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В края на 40-седмичното, открито, целящо титруване, проучване, дозиране до максимум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веднъж дневно, 70 от 173 пациенти (40,5)% са постигнали целта за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eastAsia="bg-BG"/>
        </w:rPr>
        <w:t xml:space="preserve">-холестерол от по-малко от 2,8 </w:t>
      </w:r>
      <w:r w:rsidRPr="00ED5AD3">
        <w:rPr>
          <w:rFonts w:eastAsia="Times New Roman" w:cs="Arial"/>
          <w:color w:val="000000"/>
          <w:lang w:val="en-US"/>
        </w:rPr>
        <w:t>mmol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l</w:t>
      </w:r>
      <w:r w:rsidRPr="00ED5AD3">
        <w:rPr>
          <w:rFonts w:eastAsia="Times New Roman" w:cs="Arial"/>
          <w:color w:val="000000"/>
          <w:lang w:val="ru-RU"/>
        </w:rPr>
        <w:t>.</w:t>
      </w:r>
    </w:p>
    <w:p w14:paraId="21502E25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A8C309" w14:textId="49FD9BD6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След 52 седмици на изследваното лечение, не е установен никакъв ефект върху растежа, теглото, </w:t>
      </w:r>
      <w:r w:rsidRPr="00ED5AD3">
        <w:rPr>
          <w:rFonts w:eastAsia="Times New Roman" w:cs="Arial"/>
          <w:color w:val="000000"/>
          <w:lang w:val="en-US"/>
        </w:rPr>
        <w:t>BMI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>или половото съзряване (вж. точка 4.4). Това проучване (</w:t>
      </w:r>
      <w:r w:rsidRPr="00ED5AD3">
        <w:rPr>
          <w:rFonts w:eastAsia="Times New Roman" w:cs="Arial"/>
          <w:color w:val="000000"/>
          <w:lang w:val="en-US"/>
        </w:rPr>
        <w:t>n</w:t>
      </w:r>
      <w:r w:rsidRPr="00ED5AD3">
        <w:rPr>
          <w:rFonts w:eastAsia="Times New Roman" w:cs="Arial"/>
          <w:color w:val="000000"/>
          <w:lang w:eastAsia="bg-BG"/>
        </w:rPr>
        <w:t>=176) не е било предназначено за сравняване на редки нежелани лекарствени реакции.</w:t>
      </w:r>
    </w:p>
    <w:p w14:paraId="5594E303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4F1AE4" w14:textId="1C070D45" w:rsidR="00ED5AD3" w:rsidRPr="00ED5AD3" w:rsidRDefault="00ED5AD3" w:rsidP="00ED5AD3">
      <w:pPr>
        <w:spacing w:line="240" w:lineRule="auto"/>
        <w:rPr>
          <w:rFonts w:eastAsia="Times New Roman" w:cs="Arial"/>
        </w:rPr>
      </w:pP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проучван също в едно 2-годишно открито клинично проучване с титриране на дозата до желаната при 198 деца с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на възраст 6 до 17 години (88 момчета и 110 момичета, стадий по Танер &lt;</w:t>
      </w:r>
      <w:r w:rsidRPr="00ED5AD3">
        <w:rPr>
          <w:rFonts w:eastAsia="Times New Roman" w:cs="Arial"/>
          <w:color w:val="000000"/>
          <w:lang w:val="en-US"/>
        </w:rPr>
        <w:t>II</w:t>
      </w:r>
      <w:r w:rsidRPr="00ED5AD3">
        <w:rPr>
          <w:rFonts w:eastAsia="Times New Roman" w:cs="Arial"/>
          <w:color w:val="000000"/>
          <w:lang w:eastAsia="bg-BG"/>
        </w:rPr>
        <w:t>-</w:t>
      </w:r>
      <w:r w:rsidRPr="00ED5AD3">
        <w:rPr>
          <w:rFonts w:eastAsia="Times New Roman" w:cs="Arial"/>
          <w:color w:val="000000"/>
          <w:lang w:val="en-US"/>
        </w:rPr>
        <w:t>V</w:t>
      </w:r>
      <w:r w:rsidRPr="00ED5AD3">
        <w:rPr>
          <w:rFonts w:eastAsia="Times New Roman" w:cs="Arial"/>
          <w:color w:val="000000"/>
          <w:lang w:eastAsia="bg-BG"/>
        </w:rPr>
        <w:t xml:space="preserve">). Началната доза при всички пациенти е 5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веднъж дневно. При пациентите на възраст 6 до 9 години (п=64) дозата може да се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титрира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до максимална доза 10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>веднъж дневно, а при пациенти на възраст 10 до 17 години (</w:t>
      </w:r>
      <w:r w:rsidRPr="00ED5AD3">
        <w:rPr>
          <w:rFonts w:eastAsia="Times New Roman" w:cs="Arial"/>
          <w:color w:val="000000"/>
          <w:lang w:val="en-US"/>
        </w:rPr>
        <w:t>n</w:t>
      </w:r>
      <w:r w:rsidRPr="00ED5AD3">
        <w:rPr>
          <w:rFonts w:eastAsia="Times New Roman" w:cs="Arial"/>
          <w:color w:val="000000"/>
          <w:lang w:eastAsia="bg-BG"/>
        </w:rPr>
        <w:t xml:space="preserve">=134) до максимална доза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>веднъж дневно.</w:t>
      </w:r>
    </w:p>
    <w:p w14:paraId="633A6E16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C788E0" w14:textId="4BD5C6DA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След 24 месеца на лечение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</w:t>
      </w:r>
      <w:r w:rsidRPr="00ED5AD3">
        <w:rPr>
          <w:rFonts w:eastAsia="Times New Roman" w:cs="Arial"/>
          <w:color w:val="000000"/>
          <w:lang w:val="en-US"/>
        </w:rPr>
        <w:t>LS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на средния процент на намаление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спрямо изходната стойност е -43% (изходно ниво: 236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dl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 xml:space="preserve">месец 24: 133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dl</w:t>
      </w:r>
      <w:r w:rsidRPr="00ED5AD3">
        <w:rPr>
          <w:rFonts w:eastAsia="Times New Roman" w:cs="Arial"/>
          <w:color w:val="000000"/>
          <w:lang w:val="ru-RU"/>
        </w:rPr>
        <w:t xml:space="preserve">). </w:t>
      </w:r>
      <w:r w:rsidRPr="00ED5AD3">
        <w:rPr>
          <w:rFonts w:eastAsia="Times New Roman" w:cs="Arial"/>
          <w:color w:val="000000"/>
          <w:lang w:eastAsia="bg-BG"/>
        </w:rPr>
        <w:t xml:space="preserve">За всяка възрастова група, </w:t>
      </w:r>
      <w:r w:rsidRPr="00ED5AD3">
        <w:rPr>
          <w:rFonts w:eastAsia="Times New Roman" w:cs="Arial"/>
          <w:color w:val="000000"/>
          <w:lang w:val="en-US"/>
        </w:rPr>
        <w:t>LS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на средния процент на намаление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спрямо изходната стойност е -43% (изходно ниво: 234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dl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 xml:space="preserve">месец 24:124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dl</w:t>
      </w:r>
      <w:r w:rsidRPr="00ED5AD3">
        <w:rPr>
          <w:rFonts w:eastAsia="Times New Roman" w:cs="Arial"/>
          <w:color w:val="000000"/>
          <w:lang w:val="ru-RU"/>
        </w:rPr>
        <w:t xml:space="preserve">), </w:t>
      </w:r>
      <w:r w:rsidRPr="00ED5AD3">
        <w:rPr>
          <w:rFonts w:eastAsia="Times New Roman" w:cs="Arial"/>
          <w:color w:val="000000"/>
          <w:lang w:eastAsia="bg-BG"/>
        </w:rPr>
        <w:t xml:space="preserve">-45% (изходно ниво: 234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dl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 xml:space="preserve">124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dl</w:t>
      </w:r>
      <w:r w:rsidRPr="00ED5AD3">
        <w:rPr>
          <w:rFonts w:eastAsia="Times New Roman" w:cs="Arial"/>
          <w:color w:val="000000"/>
          <w:lang w:val="ru-RU"/>
        </w:rPr>
        <w:t xml:space="preserve">), </w:t>
      </w:r>
      <w:r w:rsidRPr="00ED5AD3">
        <w:rPr>
          <w:rFonts w:eastAsia="Times New Roman" w:cs="Arial"/>
          <w:color w:val="000000"/>
          <w:lang w:eastAsia="bg-BG"/>
        </w:rPr>
        <w:t xml:space="preserve">и -35% (изходно ниво: 241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dl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 xml:space="preserve">месец 24:153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dl</w:t>
      </w:r>
      <w:r w:rsidRPr="00ED5AD3">
        <w:rPr>
          <w:rFonts w:eastAsia="Times New Roman" w:cs="Arial"/>
          <w:color w:val="000000"/>
          <w:lang w:val="ru-RU"/>
        </w:rPr>
        <w:t xml:space="preserve">) </w:t>
      </w:r>
      <w:r w:rsidRPr="00ED5AD3">
        <w:rPr>
          <w:rFonts w:eastAsia="Times New Roman" w:cs="Arial"/>
          <w:color w:val="000000"/>
          <w:lang w:eastAsia="bg-BG"/>
        </w:rPr>
        <w:t>във възрастовите групи 6 до &lt;10,10 до &lt;14 и 14 до &lt;18 съответно.</w:t>
      </w:r>
    </w:p>
    <w:p w14:paraId="78363727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DAD05D" w14:textId="539E3A7A" w:rsidR="00ED5AD3" w:rsidRPr="00ED5AD3" w:rsidRDefault="00ED5AD3" w:rsidP="00ED5AD3">
      <w:pPr>
        <w:spacing w:line="240" w:lineRule="auto"/>
        <w:rPr>
          <w:rFonts w:eastAsia="Times New Roman" w:cs="Arial"/>
        </w:rPr>
      </w:pP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5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 xml:space="preserve">10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и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достигат също статистически значими средни промени спрямо изходно ниво за следните вторични показатели на липидите 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липопротеините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: 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 xml:space="preserve">ТС, </w:t>
      </w:r>
      <w:r w:rsidRPr="00ED5AD3">
        <w:rPr>
          <w:rFonts w:eastAsia="Times New Roman" w:cs="Arial"/>
          <w:color w:val="000000"/>
          <w:lang w:val="en-US"/>
        </w:rPr>
        <w:t>He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>,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val="en-US"/>
        </w:rPr>
        <w:t>TC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val="en-US"/>
        </w:rPr>
        <w:t>TG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 xml:space="preserve">не 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АроВ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АроВ</w:t>
      </w:r>
      <w:proofErr w:type="spellEnd"/>
      <w:r w:rsidRPr="00ED5AD3">
        <w:rPr>
          <w:rFonts w:eastAsia="Times New Roman" w:cs="Arial"/>
          <w:color w:val="000000"/>
          <w:lang w:eastAsia="bg-BG"/>
        </w:rPr>
        <w:t>/АроА-1, Всяка от тези промени е в посока на подобрен липиден отговор и се поддържа в продължение на 2 години.</w:t>
      </w:r>
    </w:p>
    <w:p w14:paraId="2F7D51D8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787B91" w14:textId="52EED564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lastRenderedPageBreak/>
        <w:t>Не се установява ефект върху растежа, теглото, ИТМ или половото съзряване след 24 месеца на лечение (</w:t>
      </w:r>
      <w:proofErr w:type="spellStart"/>
      <w:r w:rsidRPr="00ED5AD3">
        <w:rPr>
          <w:rFonts w:eastAsia="Times New Roman" w:cs="Arial"/>
          <w:color w:val="000000"/>
          <w:lang w:eastAsia="bg-BG"/>
        </w:rPr>
        <w:t>вж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точка 4.4).</w:t>
      </w:r>
    </w:p>
    <w:p w14:paraId="6ADFDDB6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8037F1D" w14:textId="77777777" w:rsidR="00ED5AD3" w:rsidRPr="00ED5AD3" w:rsidRDefault="00ED5AD3" w:rsidP="00ED5AD3">
      <w:pPr>
        <w:rPr>
          <w:rFonts w:eastAsia="Times New Roman" w:cs="Arial"/>
        </w:rPr>
      </w:pP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изследван в двойносляпо, рандомизирано,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мултицентрово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плацебо- контролирано кръстосано проучване с доза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 xml:space="preserve">веднъж дневно срещу плацебо, при 14 деца и юноши (на възраст от 6 до 17 години)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хомозиготна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. Проучването включва активна 4-седмична въвеждаща фаза с диета, по време на която пациентите са лекувани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10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>кръстосана фаза, която се състои от 6-седмичен</w:t>
      </w:r>
      <w:r w:rsidRPr="00ED5AD3">
        <w:rPr>
          <w:rFonts w:eastAsia="Times New Roman" w:cs="Arial"/>
          <w:color w:val="000000"/>
          <w:lang w:val="ru-RU" w:eastAsia="bg-BG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период на лечение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предшестван или следван от 6-седмичен период на плацебо и 12-седмична поддържаща фаза, по време на която всички пациенти са били лекувани с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. Пациентите, които са започнали проучването на терапия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афереза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я продължават по време на цялото проучване.</w:t>
      </w:r>
    </w:p>
    <w:p w14:paraId="0F9365DF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30375E" w14:textId="12422BB4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Наблюдавана е статистически значима (р=0.005) редукция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(22,3%, 85,4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dL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или 2,2 </w:t>
      </w:r>
      <w:r w:rsidRPr="00ED5AD3">
        <w:rPr>
          <w:rFonts w:eastAsia="Times New Roman" w:cs="Arial"/>
          <w:color w:val="000000"/>
          <w:lang w:val="en-US"/>
        </w:rPr>
        <w:t>mmol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L</w:t>
      </w:r>
      <w:r w:rsidRPr="00ED5AD3">
        <w:rPr>
          <w:rFonts w:eastAsia="Times New Roman" w:cs="Arial"/>
          <w:color w:val="000000"/>
          <w:lang w:val="ru-RU"/>
        </w:rPr>
        <w:t xml:space="preserve">) </w:t>
      </w:r>
      <w:r w:rsidRPr="00ED5AD3">
        <w:rPr>
          <w:rFonts w:eastAsia="Times New Roman" w:cs="Arial"/>
          <w:color w:val="000000"/>
          <w:lang w:eastAsia="bg-BG"/>
        </w:rPr>
        <w:t xml:space="preserve">след 6 седмичното лечение с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спрямо плацебо. Наблюдавана е статистически значима редукция на Общ-С (20,1%, р=0,003), </w:t>
      </w:r>
      <w:r w:rsidRPr="00ED5AD3">
        <w:rPr>
          <w:rFonts w:eastAsia="Times New Roman" w:cs="Arial"/>
          <w:color w:val="000000"/>
          <w:lang w:val="en-US"/>
        </w:rPr>
        <w:t>non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(22,9%, р=0,003) 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АроВ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(17,1%, </w:t>
      </w:r>
      <w:r w:rsidRPr="00ED5AD3">
        <w:rPr>
          <w:rFonts w:eastAsia="Times New Roman" w:cs="Arial"/>
          <w:color w:val="000000"/>
          <w:lang w:val="en-US"/>
        </w:rPr>
        <w:t>p</w:t>
      </w:r>
      <w:r w:rsidRPr="00ED5AD3">
        <w:rPr>
          <w:rFonts w:eastAsia="Times New Roman" w:cs="Arial"/>
          <w:color w:val="000000"/>
          <w:lang w:val="ru-RU"/>
        </w:rPr>
        <w:t xml:space="preserve">=0.024). </w:t>
      </w:r>
      <w:r w:rsidRPr="00ED5AD3">
        <w:rPr>
          <w:rFonts w:eastAsia="Times New Roman" w:cs="Arial"/>
          <w:color w:val="000000"/>
          <w:lang w:eastAsia="bg-BG"/>
        </w:rPr>
        <w:t xml:space="preserve">Редукция се наблюдава също при </w:t>
      </w:r>
      <w:r w:rsidRPr="00ED5AD3">
        <w:rPr>
          <w:rFonts w:eastAsia="Times New Roman" w:cs="Arial"/>
          <w:color w:val="000000"/>
          <w:lang w:val="en-US"/>
        </w:rPr>
        <w:t>TG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>Общ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val="en-US"/>
        </w:rPr>
        <w:t>non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, </w:t>
      </w:r>
      <w:r w:rsidRPr="00ED5AD3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АроВ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/АроА-1 след 6 седмичното лечение с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спрямо плацебо.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Редукцияна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след 6 седмичното лечение с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>, което е последвало 6 седмичен период на плацебо, е била поддържана повече от 12 седмици на продължително лечение.</w:t>
      </w:r>
    </w:p>
    <w:p w14:paraId="19C8D958" w14:textId="77777777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Един пациент е имал следваща редукция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(8,0%), Общ-С (6,7%) и </w:t>
      </w:r>
      <w:r w:rsidRPr="00ED5AD3">
        <w:rPr>
          <w:rFonts w:eastAsia="Times New Roman" w:cs="Arial"/>
          <w:color w:val="000000"/>
          <w:lang w:val="en-US"/>
        </w:rPr>
        <w:t>non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(7,4%), последваща 6 седмично лечение с 40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>след повишаване на дозата.</w:t>
      </w:r>
    </w:p>
    <w:p w14:paraId="39918C3D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46CC0A" w14:textId="24B7C872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По време на разширено отворено лечение при 9 от тези пациенти с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до 90 седмици редукцията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>е поддържана в рамките на -12,1% до -21,3%.</w:t>
      </w:r>
    </w:p>
    <w:p w14:paraId="51DF7DFB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0E6D45" w14:textId="1FBDDD4C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При 7 пациенти (деца и юноши с отчетени резултати) (на възраст от 8 до 17 години)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хомозиготна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при отвореното проучване с форсирано титриране (вж. по-горе), процентната редукция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(21,0%), Общ-С (19,2%) и </w:t>
      </w:r>
      <w:r w:rsidRPr="00ED5AD3">
        <w:rPr>
          <w:rFonts w:eastAsia="Times New Roman" w:cs="Arial"/>
          <w:color w:val="000000"/>
          <w:lang w:val="en-US"/>
        </w:rPr>
        <w:t>non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HDL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(21,0%) от изходната стойност след 6-седмично лечение с 20 </w:t>
      </w:r>
      <w:r w:rsidRPr="00ED5AD3">
        <w:rPr>
          <w:rFonts w:eastAsia="Times New Roman" w:cs="Arial"/>
          <w:color w:val="000000"/>
          <w:lang w:val="en-US"/>
        </w:rPr>
        <w:t>mg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била съвместима с тази, наблюдавана в споменатото преди проучване при деца и юноши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хомозиготна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>.</w:t>
      </w:r>
    </w:p>
    <w:p w14:paraId="06504687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82B2C1" w14:textId="05F0EA11" w:rsidR="00ED5AD3" w:rsidRPr="00ED5AD3" w:rsidRDefault="00ED5AD3" w:rsidP="00ED5AD3">
      <w:pPr>
        <w:spacing w:line="240" w:lineRule="auto"/>
        <w:rPr>
          <w:rFonts w:eastAsia="Times New Roman"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Европейската агенция по лекарствата освобождава от задължението за предоставяне на резултатите от проучванията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при всички подгрупи от педиатричната популация за лечение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хомозиготна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първично комбинирана (смесена)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дислипидемия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и за профилактика на сърдечно-съдовите събития (вж. точка 4.2 за информация относно употреба в педиатрията).</w:t>
      </w:r>
    </w:p>
    <w:p w14:paraId="5DD1BB86" w14:textId="50AE4CEF" w:rsidR="00ED5AD3" w:rsidRPr="005E44CF" w:rsidRDefault="00ED5AD3" w:rsidP="005E44CF"/>
    <w:p w14:paraId="346B622B" w14:textId="47D4B95A" w:rsidR="00875EEC" w:rsidRDefault="002C50EE" w:rsidP="005726E3">
      <w:pPr>
        <w:pStyle w:val="Heading2"/>
      </w:pPr>
      <w:r>
        <w:t>5.2. Фармакокинетични свойства</w:t>
      </w:r>
    </w:p>
    <w:p w14:paraId="46D78611" w14:textId="553F01E2" w:rsidR="00ED5AD3" w:rsidRDefault="00ED5AD3" w:rsidP="00ED5AD3"/>
    <w:p w14:paraId="3776073D" w14:textId="77777777" w:rsidR="00ED5AD3" w:rsidRPr="00ED5AD3" w:rsidRDefault="00ED5AD3" w:rsidP="00ED5AD3">
      <w:pPr>
        <w:pStyle w:val="Heading3"/>
        <w:rPr>
          <w:rFonts w:eastAsia="Times New Roman"/>
          <w:u w:val="single"/>
        </w:rPr>
      </w:pPr>
      <w:r w:rsidRPr="00ED5AD3">
        <w:rPr>
          <w:rFonts w:eastAsia="Times New Roman"/>
          <w:u w:val="single"/>
          <w:lang w:eastAsia="bg-BG"/>
        </w:rPr>
        <w:t>Абсорбция</w:t>
      </w:r>
    </w:p>
    <w:p w14:paraId="460086E7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t>Максимални плазмени нива се достигат приблизително 5 часа след перорално приемане. Абсолютната бионаличност е приблизително 20%.</w:t>
      </w:r>
    </w:p>
    <w:p w14:paraId="38EDBB78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D441A4C" w14:textId="2348BFAB" w:rsidR="00ED5AD3" w:rsidRPr="00ED5AD3" w:rsidRDefault="00ED5AD3" w:rsidP="00ED5AD3">
      <w:pPr>
        <w:pStyle w:val="Heading3"/>
        <w:rPr>
          <w:rFonts w:eastAsia="Times New Roman"/>
          <w:u w:val="single"/>
        </w:rPr>
      </w:pPr>
      <w:r w:rsidRPr="00ED5AD3">
        <w:rPr>
          <w:rFonts w:eastAsia="Times New Roman"/>
          <w:u w:val="single"/>
          <w:lang w:eastAsia="bg-BG"/>
        </w:rPr>
        <w:lastRenderedPageBreak/>
        <w:t>Разпределение</w:t>
      </w:r>
    </w:p>
    <w:p w14:paraId="58B188EF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се поема основно от черният дроб, който е основното място на синтезиране на холестерола и клирънс на </w:t>
      </w:r>
      <w:r w:rsidRPr="00ED5AD3">
        <w:rPr>
          <w:rFonts w:eastAsia="Times New Roman" w:cs="Arial"/>
          <w:color w:val="000000"/>
          <w:lang w:val="en-US"/>
        </w:rPr>
        <w:t>LDL</w:t>
      </w:r>
      <w:r w:rsidRPr="00ED5AD3">
        <w:rPr>
          <w:rFonts w:eastAsia="Times New Roman" w:cs="Arial"/>
          <w:color w:val="000000"/>
          <w:lang w:eastAsia="bg-BG"/>
        </w:rPr>
        <w:t xml:space="preserve">-холестерола. Обемът на разпределение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приблизително </w:t>
      </w:r>
      <w:r w:rsidRPr="00ED5AD3">
        <w:rPr>
          <w:rFonts w:eastAsia="Times New Roman" w:cs="Arial"/>
          <w:color w:val="000000"/>
          <w:lang w:val="ru-RU"/>
        </w:rPr>
        <w:t>134</w:t>
      </w:r>
      <w:r w:rsidRPr="00ED5AD3">
        <w:rPr>
          <w:rFonts w:eastAsia="Times New Roman" w:cs="Arial"/>
          <w:color w:val="000000"/>
          <w:lang w:val="en-US"/>
        </w:rPr>
        <w:t>L</w:t>
      </w:r>
      <w:r w:rsidRPr="00ED5AD3">
        <w:rPr>
          <w:rFonts w:eastAsia="Times New Roman" w:cs="Arial"/>
          <w:color w:val="000000"/>
          <w:lang w:val="ru-RU"/>
        </w:rPr>
        <w:t xml:space="preserve">.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свързан с плазмените протеини, предимно с албумин, приблизително в 90%.</w:t>
      </w:r>
    </w:p>
    <w:p w14:paraId="64AEDC5D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DF22ED" w14:textId="5ECFCB15" w:rsidR="00ED5AD3" w:rsidRPr="00ED5AD3" w:rsidRDefault="00ED5AD3" w:rsidP="00ED5AD3">
      <w:pPr>
        <w:pStyle w:val="Heading3"/>
        <w:rPr>
          <w:rFonts w:eastAsia="Times New Roman"/>
          <w:u w:val="single"/>
        </w:rPr>
      </w:pPr>
      <w:r w:rsidRPr="00ED5AD3">
        <w:rPr>
          <w:rFonts w:eastAsia="Times New Roman"/>
          <w:u w:val="single"/>
          <w:lang w:eastAsia="bg-BG"/>
        </w:rPr>
        <w:t>Биотрансформация</w:t>
      </w:r>
    </w:p>
    <w:p w14:paraId="644B995D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t xml:space="preserve">Метаболизмът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ограничен (приблизително 10%). </w:t>
      </w:r>
      <w:r w:rsidRPr="00ED5AD3">
        <w:rPr>
          <w:rFonts w:eastAsia="Times New Roman" w:cs="Arial"/>
          <w:i/>
          <w:iCs/>
          <w:color w:val="000000"/>
          <w:lang w:val="en-US"/>
        </w:rPr>
        <w:t>In</w:t>
      </w:r>
      <w:r w:rsidRPr="00ED5AD3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ED5AD3">
        <w:rPr>
          <w:rFonts w:eastAsia="Times New Roman" w:cs="Arial"/>
          <w:i/>
          <w:iCs/>
          <w:color w:val="000000"/>
          <w:lang w:val="en-US"/>
        </w:rPr>
        <w:t>vitro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проучвания на метаболизма с използване на човешки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хепатоциги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показват, че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неподходящ субстрат за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Р450 обусловеният метаболизъм. </w:t>
      </w:r>
      <w:r w:rsidRPr="00ED5AD3">
        <w:rPr>
          <w:rFonts w:eastAsia="Times New Roman" w:cs="Arial"/>
          <w:color w:val="000000"/>
          <w:lang w:val="en-US"/>
        </w:rPr>
        <w:t>CYP</w:t>
      </w:r>
      <w:r w:rsidRPr="00ED5AD3">
        <w:rPr>
          <w:rFonts w:eastAsia="Times New Roman" w:cs="Arial"/>
          <w:color w:val="000000"/>
          <w:lang w:val="ru-RU"/>
        </w:rPr>
        <w:t>2</w:t>
      </w:r>
      <w:r w:rsidRPr="00ED5AD3">
        <w:rPr>
          <w:rFonts w:eastAsia="Times New Roman" w:cs="Arial"/>
          <w:color w:val="000000"/>
          <w:lang w:val="en-US"/>
        </w:rPr>
        <w:t>C</w:t>
      </w:r>
      <w:r w:rsidRPr="00ED5AD3">
        <w:rPr>
          <w:rFonts w:eastAsia="Times New Roman" w:cs="Arial"/>
          <w:color w:val="000000"/>
          <w:lang w:val="ru-RU"/>
        </w:rPr>
        <w:t xml:space="preserve">9 </w:t>
      </w:r>
      <w:r w:rsidRPr="00ED5AD3">
        <w:rPr>
          <w:rFonts w:eastAsia="Times New Roman" w:cs="Arial"/>
          <w:color w:val="000000"/>
          <w:lang w:eastAsia="bg-BG"/>
        </w:rPr>
        <w:t xml:space="preserve">е основният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изоензим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който участва в метаболизма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</w:t>
      </w:r>
      <w:r w:rsidRPr="00ED5AD3">
        <w:rPr>
          <w:rFonts w:eastAsia="Times New Roman" w:cs="Arial"/>
          <w:color w:val="000000"/>
          <w:lang w:val="en-US"/>
        </w:rPr>
        <w:t>a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2С19, ЗА4 и </w:t>
      </w:r>
      <w:r w:rsidRPr="00ED5AD3">
        <w:rPr>
          <w:rFonts w:eastAsia="Times New Roman" w:cs="Arial"/>
          <w:color w:val="000000"/>
          <w:lang w:val="ru-RU"/>
        </w:rPr>
        <w:t>2</w:t>
      </w:r>
      <w:r w:rsidRPr="00ED5AD3">
        <w:rPr>
          <w:rFonts w:eastAsia="Times New Roman" w:cs="Arial"/>
          <w:color w:val="000000"/>
          <w:lang w:val="en-US"/>
        </w:rPr>
        <w:t>D</w:t>
      </w:r>
      <w:r w:rsidRPr="00ED5AD3">
        <w:rPr>
          <w:rFonts w:eastAsia="Times New Roman" w:cs="Arial"/>
          <w:color w:val="000000"/>
          <w:lang w:val="ru-RU"/>
        </w:rPr>
        <w:t xml:space="preserve">6 </w:t>
      </w:r>
      <w:r w:rsidRPr="00ED5AD3">
        <w:rPr>
          <w:rFonts w:eastAsia="Times New Roman" w:cs="Arial"/>
          <w:color w:val="000000"/>
          <w:lang w:eastAsia="bg-BG"/>
        </w:rPr>
        <w:t>участват в по-малка степен.</w:t>
      </w:r>
    </w:p>
    <w:p w14:paraId="434778A0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t xml:space="preserve">Основните метаболити </w:t>
      </w:r>
      <w:r w:rsidRPr="00ED5AD3">
        <w:rPr>
          <w:rFonts w:eastAsia="Times New Roman" w:cs="Arial"/>
          <w:color w:val="000000"/>
          <w:lang w:val="en-US"/>
        </w:rPr>
        <w:t>ca</w:t>
      </w:r>
      <w:r w:rsidRPr="00ED5AD3">
        <w:rPr>
          <w:rFonts w:eastAsia="Times New Roman" w:cs="Arial"/>
          <w:color w:val="000000"/>
          <w:lang w:eastAsia="bg-BG"/>
        </w:rPr>
        <w:t xml:space="preserve"> </w:t>
      </w:r>
      <w:r w:rsidRPr="00ED5AD3">
        <w:rPr>
          <w:rFonts w:eastAsia="Times New Roman" w:cs="Arial"/>
          <w:color w:val="000000"/>
          <w:lang w:val="en-US"/>
        </w:rPr>
        <w:t>N</w:t>
      </w:r>
      <w:r w:rsidRPr="00ED5AD3">
        <w:rPr>
          <w:rFonts w:eastAsia="Times New Roman" w:cs="Arial"/>
          <w:color w:val="000000"/>
          <w:lang w:eastAsia="bg-BG"/>
        </w:rPr>
        <w:t>-</w:t>
      </w:r>
      <w:proofErr w:type="spellStart"/>
      <w:r w:rsidRPr="00ED5AD3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лактон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. </w:t>
      </w:r>
      <w:r w:rsidRPr="00ED5AD3">
        <w:rPr>
          <w:rFonts w:eastAsia="Times New Roman" w:cs="Arial"/>
          <w:color w:val="000000"/>
          <w:lang w:val="en-US"/>
        </w:rPr>
        <w:t>N</w:t>
      </w:r>
      <w:r w:rsidRPr="00ED5AD3">
        <w:rPr>
          <w:rFonts w:eastAsia="Times New Roman" w:cs="Arial"/>
          <w:color w:val="000000"/>
          <w:lang w:eastAsia="bg-BG"/>
        </w:rPr>
        <w:t>-</w:t>
      </w:r>
      <w:proofErr w:type="spellStart"/>
      <w:r w:rsidRPr="00ED5AD3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е около 50% по-малко активен в сравнение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докато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лактона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се счита за клинично неактивен.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представлява повече от 90% от активността на циркулиращия инхибитор на </w:t>
      </w:r>
      <w:r w:rsidRPr="00ED5AD3">
        <w:rPr>
          <w:rFonts w:eastAsia="Times New Roman" w:cs="Arial"/>
          <w:color w:val="000000"/>
          <w:lang w:val="en-US"/>
        </w:rPr>
        <w:t>HMG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CoA</w:t>
      </w:r>
      <w:r w:rsidRPr="00ED5AD3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ED5AD3">
        <w:rPr>
          <w:rFonts w:eastAsia="Times New Roman" w:cs="Arial"/>
          <w:color w:val="000000"/>
          <w:lang w:eastAsia="bg-BG"/>
        </w:rPr>
        <w:t>.</w:t>
      </w:r>
    </w:p>
    <w:p w14:paraId="414FC2E5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7EB64EC" w14:textId="133DB4DA" w:rsidR="00ED5AD3" w:rsidRPr="00ED5AD3" w:rsidRDefault="00ED5AD3" w:rsidP="00ED5AD3">
      <w:pPr>
        <w:pStyle w:val="Heading3"/>
        <w:rPr>
          <w:rFonts w:eastAsia="Times New Roman"/>
          <w:u w:val="single"/>
        </w:rPr>
      </w:pPr>
      <w:r w:rsidRPr="00ED5AD3">
        <w:rPr>
          <w:rFonts w:eastAsia="Times New Roman"/>
          <w:u w:val="single"/>
          <w:lang w:eastAsia="bg-BG"/>
        </w:rPr>
        <w:t>Елиминиране</w:t>
      </w:r>
    </w:p>
    <w:p w14:paraId="3EFDDBE2" w14:textId="77777777" w:rsidR="00ED5AD3" w:rsidRPr="00ED5AD3" w:rsidRDefault="00ED5AD3" w:rsidP="00ED5AD3">
      <w:pPr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t xml:space="preserve">Приблизително 90% от дозата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се елиминира като непроменено лекарство с фекалиите (състоящо се от абсорбирано и неабсорбирано активно вещество) като останалата</w:t>
      </w:r>
      <w:r w:rsidRPr="00ED5AD3">
        <w:rPr>
          <w:rFonts w:eastAsia="Times New Roman" w:cs="Arial"/>
          <w:color w:val="000000"/>
          <w:lang w:val="ru-RU" w:eastAsia="bg-BG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част се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 урината. Около 5% се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непроменен в урината. Плазменият му полуживот е около 19 часа. Времето на полуживот не се увеличава при по-високи дози. Средният плазмен клирънс е приблизително 50 литра/час (коефициент на вариабилност 21,7%). Както при други инхибитори на </w:t>
      </w:r>
      <w:r w:rsidRPr="00ED5AD3">
        <w:rPr>
          <w:rFonts w:eastAsia="Times New Roman" w:cs="Arial"/>
          <w:color w:val="000000"/>
          <w:lang w:val="en-US"/>
        </w:rPr>
        <w:t>HMG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CoA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, чернодробното поемане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включва мембранният преносител ОАТР-С. Този преносител е важен за чернодробното елиминиране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>.</w:t>
      </w:r>
    </w:p>
    <w:p w14:paraId="58339B59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BE93F73" w14:textId="49302CCD" w:rsidR="00ED5AD3" w:rsidRPr="00ED5AD3" w:rsidRDefault="00ED5AD3" w:rsidP="00ED5AD3">
      <w:pPr>
        <w:pStyle w:val="Heading3"/>
        <w:rPr>
          <w:rFonts w:eastAsia="Times New Roman"/>
          <w:u w:val="single"/>
        </w:rPr>
      </w:pPr>
      <w:r w:rsidRPr="00ED5AD3">
        <w:rPr>
          <w:rFonts w:eastAsia="Times New Roman"/>
          <w:u w:val="single"/>
          <w:lang w:eastAsia="bg-BG"/>
        </w:rPr>
        <w:t>Линейност</w:t>
      </w:r>
    </w:p>
    <w:p w14:paraId="2E33EA28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t xml:space="preserve">Системната експозиция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се увеличава пропорционално на приеманата доза. Няма промяна във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параметри при многократно дозиране.</w:t>
      </w:r>
    </w:p>
    <w:p w14:paraId="57EC52A9" w14:textId="77777777" w:rsidR="00ED5AD3" w:rsidRPr="00ED5AD3" w:rsidRDefault="00ED5AD3" w:rsidP="00ED5AD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8AAD008" w14:textId="4EDB8E3B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i/>
          <w:iCs/>
          <w:color w:val="000000"/>
          <w:lang w:eastAsia="bg-BG"/>
        </w:rPr>
        <w:t>Специални групи пациенти</w:t>
      </w:r>
    </w:p>
    <w:p w14:paraId="54001037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FB9207" w14:textId="202C0672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u w:val="single"/>
          <w:lang w:eastAsia="bg-BG"/>
        </w:rPr>
        <w:t>Възраст и пол</w:t>
      </w:r>
    </w:p>
    <w:p w14:paraId="2D1E0F8E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t xml:space="preserve">Възрастта и пола при възрастни нямат клинично значим ефект върху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фармакокинстиката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. Експозицията при деца и юноши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изглежда е сходна или по-ниска от тази при възрастни пациенти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дислипидемия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(вж. по-долу „Педиатрична популация“).</w:t>
      </w:r>
    </w:p>
    <w:p w14:paraId="042788F0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5477B8C" w14:textId="217AEECA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u w:val="single"/>
          <w:lang w:eastAsia="bg-BG"/>
        </w:rPr>
        <w:t>Раса</w:t>
      </w:r>
    </w:p>
    <w:p w14:paraId="525B9634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D5AD3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проучвания показват почти 2-кратно повишаване на средната </w:t>
      </w:r>
      <w:r w:rsidRPr="00ED5AD3">
        <w:rPr>
          <w:rFonts w:eastAsia="Times New Roman" w:cs="Arial"/>
          <w:color w:val="000000"/>
          <w:lang w:val="en-US"/>
        </w:rPr>
        <w:t>AUC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>и С</w:t>
      </w:r>
      <w:r w:rsidRPr="00ED5AD3">
        <w:rPr>
          <w:rFonts w:eastAsia="Times New Roman" w:cs="Arial"/>
          <w:color w:val="000000"/>
          <w:vertAlign w:val="subscript"/>
          <w:lang w:val="en-US"/>
        </w:rPr>
        <w:t>max</w:t>
      </w:r>
      <w:r w:rsidRPr="00ED5AD3">
        <w:rPr>
          <w:rFonts w:eastAsia="Times New Roman" w:cs="Arial"/>
          <w:color w:val="000000"/>
          <w:lang w:eastAsia="bg-BG"/>
        </w:rPr>
        <w:t xml:space="preserve"> при пациентите от азиатски произход (японци, китайци, филипинци, виетнамци и корейци) в сравнение с представителите на бялата раса.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Азиато-индианциге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показват приблизително 1,3- кратно повишаване на средната </w:t>
      </w:r>
      <w:r w:rsidRPr="00ED5AD3">
        <w:rPr>
          <w:rFonts w:eastAsia="Times New Roman" w:cs="Arial"/>
          <w:color w:val="000000"/>
          <w:lang w:val="en-US"/>
        </w:rPr>
        <w:t>AUC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>и С</w:t>
      </w:r>
      <w:r w:rsidRPr="00ED5AD3">
        <w:rPr>
          <w:rFonts w:eastAsia="Times New Roman" w:cs="Arial"/>
          <w:color w:val="000000"/>
          <w:vertAlign w:val="subscript"/>
          <w:lang w:val="en-US"/>
        </w:rPr>
        <w:t>max</w:t>
      </w:r>
      <w:r w:rsidRPr="00ED5AD3">
        <w:rPr>
          <w:rFonts w:eastAsia="Times New Roman" w:cs="Arial"/>
          <w:color w:val="000000"/>
          <w:lang w:eastAsia="bg-BG"/>
        </w:rPr>
        <w:t xml:space="preserve">. </w:t>
      </w:r>
      <w:proofErr w:type="spellStart"/>
      <w:r w:rsidRPr="00ED5AD3">
        <w:rPr>
          <w:rFonts w:eastAsia="Times New Roman" w:cs="Arial"/>
          <w:color w:val="000000"/>
          <w:lang w:eastAsia="bg-BG"/>
        </w:rPr>
        <w:t>Популационният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фармакокинетичен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анализ не показва клинично значими различия във фармакокинетиката между групите от бялата и черна раса.</w:t>
      </w:r>
    </w:p>
    <w:p w14:paraId="1F7EF590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E9E3BE8" w14:textId="7BBD1296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u w:val="single"/>
          <w:lang w:eastAsia="bg-BG"/>
        </w:rPr>
        <w:t>Бъбречна недостатъчност</w:t>
      </w:r>
    </w:p>
    <w:p w14:paraId="376D0627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lastRenderedPageBreak/>
        <w:t xml:space="preserve">В клинично проучване при лица с различна степен на увреждане на бъбречната функция, лекото до умерено бъбречно увреждане не е повлияло плазмените концентрации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или на неговия </w:t>
      </w:r>
      <w:r w:rsidRPr="00ED5AD3">
        <w:rPr>
          <w:rFonts w:eastAsia="Times New Roman" w:cs="Arial"/>
          <w:color w:val="000000"/>
          <w:lang w:val="en-US"/>
        </w:rPr>
        <w:t>N</w:t>
      </w:r>
      <w:r w:rsidRPr="00ED5AD3">
        <w:rPr>
          <w:rFonts w:eastAsia="Times New Roman" w:cs="Arial"/>
          <w:color w:val="000000"/>
          <w:lang w:eastAsia="bg-BG"/>
        </w:rPr>
        <w:t>-</w:t>
      </w:r>
      <w:proofErr w:type="spellStart"/>
      <w:r w:rsidRPr="00ED5AD3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метаболит.</w:t>
      </w:r>
    </w:p>
    <w:p w14:paraId="6C91DBF5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t>Обаче лица с тежко увреждане на бъбречната функция (</w:t>
      </w:r>
      <w:proofErr w:type="spellStart"/>
      <w:r w:rsidRPr="00ED5AD3">
        <w:rPr>
          <w:rFonts w:eastAsia="Times New Roman" w:cs="Arial"/>
          <w:color w:val="000000"/>
          <w:lang w:eastAsia="bg-BG"/>
        </w:rPr>
        <w:t>СгС</w:t>
      </w:r>
      <w:proofErr w:type="spellEnd"/>
      <w:r w:rsidRPr="00ED5AD3">
        <w:rPr>
          <w:rFonts w:eastAsia="Times New Roman" w:cs="Arial"/>
          <w:color w:val="000000"/>
          <w:lang w:val="en-US"/>
        </w:rPr>
        <w:t>l</w:t>
      </w:r>
      <w:r w:rsidRPr="00ED5AD3">
        <w:rPr>
          <w:rFonts w:eastAsia="Times New Roman" w:cs="Arial"/>
          <w:color w:val="000000"/>
          <w:lang w:eastAsia="bg-BG"/>
        </w:rPr>
        <w:t xml:space="preserve">&lt;30 </w:t>
      </w:r>
      <w:r w:rsidRPr="00ED5AD3">
        <w:rPr>
          <w:rFonts w:eastAsia="Times New Roman" w:cs="Arial"/>
          <w:color w:val="000000"/>
          <w:lang w:val="en-US"/>
        </w:rPr>
        <w:t>ml</w:t>
      </w:r>
      <w:r w:rsidRPr="00ED5AD3">
        <w:rPr>
          <w:rFonts w:eastAsia="Times New Roman" w:cs="Arial"/>
          <w:color w:val="000000"/>
          <w:lang w:val="ru-RU"/>
        </w:rPr>
        <w:t>/</w:t>
      </w:r>
      <w:r w:rsidRPr="00ED5AD3">
        <w:rPr>
          <w:rFonts w:eastAsia="Times New Roman" w:cs="Arial"/>
          <w:color w:val="000000"/>
          <w:lang w:val="en-US"/>
        </w:rPr>
        <w:t>min</w:t>
      </w:r>
      <w:r w:rsidRPr="00ED5AD3">
        <w:rPr>
          <w:rFonts w:eastAsia="Times New Roman" w:cs="Arial"/>
          <w:color w:val="000000"/>
          <w:lang w:val="ru-RU"/>
        </w:rPr>
        <w:t xml:space="preserve">) </w:t>
      </w:r>
      <w:r w:rsidRPr="00ED5AD3">
        <w:rPr>
          <w:rFonts w:eastAsia="Times New Roman" w:cs="Arial"/>
          <w:color w:val="000000"/>
          <w:lang w:eastAsia="bg-BG"/>
        </w:rPr>
        <w:t xml:space="preserve">са имали 3-кратно увеличение на плазмената концентрация в сравнение със здрави доброволци и 9 пъти по-висока концентрация на </w:t>
      </w:r>
      <w:r w:rsidRPr="00ED5AD3">
        <w:rPr>
          <w:rFonts w:eastAsia="Times New Roman" w:cs="Arial"/>
          <w:color w:val="000000"/>
          <w:lang w:val="en-US"/>
        </w:rPr>
        <w:t>N</w:t>
      </w:r>
      <w:r w:rsidRPr="00ED5AD3">
        <w:rPr>
          <w:rFonts w:eastAsia="Times New Roman" w:cs="Arial"/>
          <w:color w:val="000000"/>
          <w:lang w:eastAsia="bg-BG"/>
        </w:rPr>
        <w:t>-</w:t>
      </w:r>
      <w:proofErr w:type="spellStart"/>
      <w:r w:rsidRPr="00ED5AD3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метаболита. Равновесните плазмени концентрации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при пациенти на хемодиализа са приблизително 50% по-високи в сравнение със здрави доброволци.</w:t>
      </w:r>
    </w:p>
    <w:p w14:paraId="4E47F896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B04562" w14:textId="649F4C88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u w:val="single"/>
          <w:lang w:eastAsia="bg-BG"/>
        </w:rPr>
        <w:t>Чернодробна недостатъчност</w:t>
      </w:r>
    </w:p>
    <w:p w14:paraId="2F62925A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t xml:space="preserve">В клинично проучване при лица с различна степен на чернодробно увреждане не са получени данни за повишена експозиция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при пациенти с оценка по </w:t>
      </w:r>
      <w:r w:rsidRPr="00ED5AD3">
        <w:rPr>
          <w:rFonts w:eastAsia="Times New Roman" w:cs="Arial"/>
          <w:color w:val="000000"/>
          <w:lang w:val="en-US"/>
        </w:rPr>
        <w:t>Child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Pugh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7 или по- ниска. Въпреки това, при двама пациенти с оценка по </w:t>
      </w:r>
      <w:r w:rsidRPr="00ED5AD3">
        <w:rPr>
          <w:rFonts w:eastAsia="Times New Roman" w:cs="Arial"/>
          <w:color w:val="000000"/>
          <w:lang w:val="en-US"/>
        </w:rPr>
        <w:t>Child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Pugh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8 и 9 системната експозиция е била увеличена най-малко 2 пъти в сравнение с лица с по-ниска оценка по </w:t>
      </w:r>
      <w:r w:rsidRPr="00ED5AD3">
        <w:rPr>
          <w:rFonts w:eastAsia="Times New Roman" w:cs="Arial"/>
          <w:color w:val="000000"/>
          <w:lang w:val="en-US"/>
        </w:rPr>
        <w:t>Child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Pugh</w:t>
      </w:r>
      <w:r w:rsidRPr="00ED5AD3">
        <w:rPr>
          <w:rFonts w:eastAsia="Times New Roman" w:cs="Arial"/>
          <w:color w:val="000000"/>
          <w:lang w:val="ru-RU"/>
        </w:rPr>
        <w:t xml:space="preserve">. </w:t>
      </w:r>
      <w:r w:rsidRPr="00ED5AD3">
        <w:rPr>
          <w:rFonts w:eastAsia="Times New Roman" w:cs="Arial"/>
          <w:color w:val="000000"/>
          <w:lang w:eastAsia="bg-BG"/>
        </w:rPr>
        <w:t xml:space="preserve">Няма опит при пациенти с оценка по </w:t>
      </w:r>
      <w:r w:rsidRPr="00ED5AD3">
        <w:rPr>
          <w:rFonts w:eastAsia="Times New Roman" w:cs="Arial"/>
          <w:color w:val="000000"/>
          <w:lang w:val="en-US"/>
        </w:rPr>
        <w:t>Child</w:t>
      </w:r>
      <w:r w:rsidRPr="00ED5AD3">
        <w:rPr>
          <w:rFonts w:eastAsia="Times New Roman" w:cs="Arial"/>
          <w:color w:val="000000"/>
          <w:lang w:val="ru-RU"/>
        </w:rPr>
        <w:t>-</w:t>
      </w:r>
      <w:r w:rsidRPr="00ED5AD3">
        <w:rPr>
          <w:rFonts w:eastAsia="Times New Roman" w:cs="Arial"/>
          <w:color w:val="000000"/>
          <w:lang w:val="en-US"/>
        </w:rPr>
        <w:t>Pugh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>над 9.</w:t>
      </w:r>
    </w:p>
    <w:p w14:paraId="598D21AF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9540B0" w14:textId="3A188402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u w:val="single"/>
          <w:lang w:eastAsia="bg-BG"/>
        </w:rPr>
        <w:t>Генетичен полиморфизъм</w:t>
      </w:r>
    </w:p>
    <w:p w14:paraId="3FDF9068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t xml:space="preserve">Диспозицията на </w:t>
      </w:r>
      <w:r w:rsidRPr="00ED5AD3">
        <w:rPr>
          <w:rFonts w:eastAsia="Times New Roman" w:cs="Arial"/>
          <w:color w:val="000000"/>
          <w:lang w:val="en-US"/>
        </w:rPr>
        <w:t>of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val="en-US"/>
        </w:rPr>
        <w:t>HMG</w:t>
      </w:r>
      <w:r w:rsidRPr="00ED5AD3">
        <w:rPr>
          <w:rFonts w:eastAsia="Times New Roman" w:cs="Arial"/>
          <w:color w:val="000000"/>
          <w:lang w:eastAsia="bg-BG"/>
        </w:rPr>
        <w:t>-</w:t>
      </w:r>
      <w:proofErr w:type="spellStart"/>
      <w:r w:rsidRPr="00ED5AD3">
        <w:rPr>
          <w:rFonts w:eastAsia="Times New Roman" w:cs="Arial"/>
          <w:color w:val="000000"/>
          <w:lang w:eastAsia="bg-BG"/>
        </w:rPr>
        <w:t>СоА-редуктазните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инхибитори, включително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включва ОАТР1В1 и </w:t>
      </w:r>
      <w:r w:rsidRPr="00ED5AD3">
        <w:rPr>
          <w:rFonts w:eastAsia="Times New Roman" w:cs="Arial"/>
          <w:color w:val="000000"/>
          <w:lang w:val="en-US"/>
        </w:rPr>
        <w:t>BCRP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транспортери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. При пациентите с </w:t>
      </w:r>
      <w:r w:rsidRPr="00ED5AD3">
        <w:rPr>
          <w:rFonts w:eastAsia="Times New Roman" w:cs="Arial"/>
          <w:color w:val="000000"/>
          <w:lang w:val="en-US"/>
        </w:rPr>
        <w:t>SLCO</w:t>
      </w:r>
      <w:r w:rsidRPr="00ED5AD3">
        <w:rPr>
          <w:rFonts w:eastAsia="Times New Roman" w:cs="Arial"/>
          <w:color w:val="000000"/>
          <w:lang w:val="ru-RU"/>
        </w:rPr>
        <w:t>1</w:t>
      </w:r>
      <w:r w:rsidRPr="00ED5AD3">
        <w:rPr>
          <w:rFonts w:eastAsia="Times New Roman" w:cs="Arial"/>
          <w:color w:val="000000"/>
          <w:lang w:val="en-US"/>
        </w:rPr>
        <w:t>B</w:t>
      </w:r>
      <w:r w:rsidRPr="00ED5AD3">
        <w:rPr>
          <w:rFonts w:eastAsia="Times New Roman" w:cs="Arial"/>
          <w:color w:val="000000"/>
          <w:lang w:val="ru-RU"/>
        </w:rPr>
        <w:t xml:space="preserve">1 </w:t>
      </w:r>
      <w:r w:rsidRPr="00ED5AD3">
        <w:rPr>
          <w:rFonts w:eastAsia="Times New Roman" w:cs="Arial"/>
          <w:color w:val="000000"/>
          <w:lang w:eastAsia="bg-BG"/>
        </w:rPr>
        <w:t xml:space="preserve">(ОАТР1В1) и/или </w:t>
      </w:r>
      <w:r w:rsidRPr="00ED5AD3">
        <w:rPr>
          <w:rFonts w:eastAsia="Times New Roman" w:cs="Arial"/>
          <w:color w:val="000000"/>
          <w:lang w:val="en-US"/>
        </w:rPr>
        <w:t>ABCG</w:t>
      </w:r>
      <w:r w:rsidRPr="00ED5AD3">
        <w:rPr>
          <w:rFonts w:eastAsia="Times New Roman" w:cs="Arial"/>
          <w:color w:val="000000"/>
          <w:lang w:val="ru-RU"/>
        </w:rPr>
        <w:t>2 (</w:t>
      </w:r>
      <w:r w:rsidRPr="00ED5AD3">
        <w:rPr>
          <w:rFonts w:eastAsia="Times New Roman" w:cs="Arial"/>
          <w:color w:val="000000"/>
          <w:lang w:val="en-US"/>
        </w:rPr>
        <w:t>BCRP</w:t>
      </w:r>
      <w:r w:rsidRPr="00ED5AD3">
        <w:rPr>
          <w:rFonts w:eastAsia="Times New Roman" w:cs="Arial"/>
          <w:color w:val="000000"/>
          <w:lang w:val="ru-RU"/>
        </w:rPr>
        <w:t xml:space="preserve">) </w:t>
      </w:r>
      <w:r w:rsidRPr="00ED5AD3">
        <w:rPr>
          <w:rFonts w:eastAsia="Times New Roman" w:cs="Arial"/>
          <w:color w:val="000000"/>
          <w:lang w:eastAsia="bg-BG"/>
        </w:rPr>
        <w:t xml:space="preserve">генетичен полиморфизъм има риск от повишена експозиция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>.</w:t>
      </w:r>
    </w:p>
    <w:p w14:paraId="7EB3B1FB" w14:textId="77777777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lang w:eastAsia="bg-BG"/>
        </w:rPr>
        <w:t xml:space="preserve">Индивидуален полиморфизъм на </w:t>
      </w:r>
      <w:r w:rsidRPr="00ED5AD3">
        <w:rPr>
          <w:rFonts w:eastAsia="Times New Roman" w:cs="Arial"/>
          <w:color w:val="000000"/>
          <w:lang w:val="en-US"/>
        </w:rPr>
        <w:t>SLCO</w:t>
      </w:r>
      <w:r w:rsidRPr="00ED5AD3">
        <w:rPr>
          <w:rFonts w:eastAsia="Times New Roman" w:cs="Arial"/>
          <w:color w:val="000000"/>
          <w:lang w:val="ru-RU"/>
        </w:rPr>
        <w:t>1</w:t>
      </w:r>
      <w:r w:rsidRPr="00ED5AD3">
        <w:rPr>
          <w:rFonts w:eastAsia="Times New Roman" w:cs="Arial"/>
          <w:color w:val="000000"/>
          <w:lang w:val="en-US"/>
        </w:rPr>
        <w:t>B</w:t>
      </w:r>
      <w:r w:rsidRPr="00ED5AD3">
        <w:rPr>
          <w:rFonts w:eastAsia="Times New Roman" w:cs="Arial"/>
          <w:color w:val="000000"/>
          <w:lang w:val="ru-RU"/>
        </w:rPr>
        <w:t xml:space="preserve">1 </w:t>
      </w:r>
      <w:r w:rsidRPr="00ED5AD3">
        <w:rPr>
          <w:rFonts w:eastAsia="Times New Roman" w:cs="Arial"/>
          <w:color w:val="000000"/>
          <w:lang w:eastAsia="bg-BG"/>
        </w:rPr>
        <w:t xml:space="preserve">С.521СС и </w:t>
      </w:r>
      <w:r w:rsidRPr="00ED5AD3">
        <w:rPr>
          <w:rFonts w:eastAsia="Times New Roman" w:cs="Arial"/>
          <w:color w:val="000000"/>
          <w:lang w:val="en-US"/>
        </w:rPr>
        <w:t>ABCG</w:t>
      </w:r>
      <w:r w:rsidRPr="00ED5AD3">
        <w:rPr>
          <w:rFonts w:eastAsia="Times New Roman" w:cs="Arial"/>
          <w:color w:val="000000"/>
          <w:lang w:val="ru-RU"/>
        </w:rPr>
        <w:t xml:space="preserve">2 </w:t>
      </w:r>
      <w:r w:rsidRPr="00ED5AD3">
        <w:rPr>
          <w:rFonts w:eastAsia="Times New Roman" w:cs="Arial"/>
          <w:color w:val="000000"/>
          <w:lang w:eastAsia="bg-BG"/>
        </w:rPr>
        <w:t xml:space="preserve">с.421АА се асоциира с по-висока експозиция 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</w:t>
      </w:r>
      <w:r w:rsidRPr="00ED5AD3">
        <w:rPr>
          <w:rFonts w:eastAsia="Times New Roman" w:cs="Arial"/>
          <w:color w:val="000000"/>
          <w:lang w:val="ru-RU"/>
        </w:rPr>
        <w:t>(</w:t>
      </w:r>
      <w:r w:rsidRPr="00ED5AD3">
        <w:rPr>
          <w:rFonts w:eastAsia="Times New Roman" w:cs="Arial"/>
          <w:color w:val="000000"/>
          <w:lang w:val="en-US"/>
        </w:rPr>
        <w:t>AUC</w:t>
      </w:r>
      <w:r w:rsidRPr="00ED5AD3">
        <w:rPr>
          <w:rFonts w:eastAsia="Times New Roman" w:cs="Arial"/>
          <w:color w:val="000000"/>
          <w:lang w:val="ru-RU"/>
        </w:rPr>
        <w:t xml:space="preserve">) </w:t>
      </w:r>
      <w:r w:rsidRPr="00ED5AD3">
        <w:rPr>
          <w:rFonts w:eastAsia="Times New Roman" w:cs="Arial"/>
          <w:color w:val="000000"/>
          <w:lang w:eastAsia="bg-BG"/>
        </w:rPr>
        <w:t xml:space="preserve">в сравнение с </w:t>
      </w:r>
      <w:r w:rsidRPr="00ED5AD3">
        <w:rPr>
          <w:rFonts w:eastAsia="Times New Roman" w:cs="Arial"/>
          <w:color w:val="000000"/>
          <w:lang w:val="en-US"/>
        </w:rPr>
        <w:t>SLCO</w:t>
      </w:r>
      <w:r w:rsidRPr="00ED5AD3">
        <w:rPr>
          <w:rFonts w:eastAsia="Times New Roman" w:cs="Arial"/>
          <w:color w:val="000000"/>
          <w:lang w:val="ru-RU"/>
        </w:rPr>
        <w:t>1</w:t>
      </w:r>
      <w:r w:rsidRPr="00ED5AD3">
        <w:rPr>
          <w:rFonts w:eastAsia="Times New Roman" w:cs="Arial"/>
          <w:color w:val="000000"/>
          <w:lang w:val="en-US"/>
        </w:rPr>
        <w:t>B</w:t>
      </w:r>
      <w:r w:rsidRPr="00ED5AD3">
        <w:rPr>
          <w:rFonts w:eastAsia="Times New Roman" w:cs="Arial"/>
          <w:color w:val="000000"/>
          <w:lang w:val="ru-RU"/>
        </w:rPr>
        <w:t xml:space="preserve">1 </w:t>
      </w:r>
      <w:r w:rsidRPr="00ED5AD3">
        <w:rPr>
          <w:rFonts w:eastAsia="Times New Roman" w:cs="Arial"/>
          <w:color w:val="000000"/>
          <w:lang w:eastAsia="bg-BG"/>
        </w:rPr>
        <w:t xml:space="preserve">С.521ТТ или </w:t>
      </w:r>
      <w:r w:rsidRPr="00ED5AD3">
        <w:rPr>
          <w:rFonts w:eastAsia="Times New Roman" w:cs="Arial"/>
          <w:color w:val="000000"/>
          <w:lang w:val="en-US"/>
        </w:rPr>
        <w:t>ABCG</w:t>
      </w:r>
      <w:r w:rsidRPr="00ED5AD3">
        <w:rPr>
          <w:rFonts w:eastAsia="Times New Roman" w:cs="Arial"/>
          <w:color w:val="000000"/>
          <w:lang w:val="ru-RU"/>
        </w:rPr>
        <w:t xml:space="preserve">2 </w:t>
      </w:r>
      <w:r w:rsidRPr="00ED5AD3">
        <w:rPr>
          <w:rFonts w:eastAsia="Times New Roman" w:cs="Arial"/>
          <w:color w:val="000000"/>
          <w:lang w:eastAsia="bg-BG"/>
        </w:rPr>
        <w:t>С.421СС генотиповете. Тези специфични генотипове не са установени в клиничната практика, но при пациенти, за които е известно, че имат тези типове полиморфизъм, се препоръчва</w:t>
      </w:r>
      <w:r w:rsidRPr="00ED5AD3">
        <w:rPr>
          <w:rFonts w:eastAsia="Times New Roman" w:cs="Arial"/>
          <w:color w:val="000000"/>
          <w:lang w:val="ru-RU"/>
        </w:rPr>
        <w:t xml:space="preserve"> </w:t>
      </w:r>
      <w:r w:rsidRPr="00ED5AD3">
        <w:rPr>
          <w:rFonts w:eastAsia="Times New Roman" w:cs="Arial"/>
          <w:color w:val="000000"/>
          <w:lang w:eastAsia="bg-BG"/>
        </w:rPr>
        <w:t xml:space="preserve">по-ниската доза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>.</w:t>
      </w:r>
    </w:p>
    <w:p w14:paraId="658BC155" w14:textId="77777777" w:rsidR="00ED5AD3" w:rsidRPr="00ED5AD3" w:rsidRDefault="00ED5AD3" w:rsidP="00ED5AD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EBFDFF8" w14:textId="16521211" w:rsidR="00ED5AD3" w:rsidRPr="00ED5AD3" w:rsidRDefault="00ED5AD3" w:rsidP="00ED5AD3">
      <w:pPr>
        <w:spacing w:line="240" w:lineRule="auto"/>
        <w:rPr>
          <w:rFonts w:eastAsia="Times New Roman" w:cs="Arial"/>
          <w:sz w:val="24"/>
          <w:szCs w:val="24"/>
        </w:rPr>
      </w:pPr>
      <w:r w:rsidRPr="00ED5AD3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6D380E6B" w14:textId="7E238709" w:rsidR="00ED5AD3" w:rsidRPr="00ED5AD3" w:rsidRDefault="00ED5AD3" w:rsidP="00ED5AD3">
      <w:pPr>
        <w:rPr>
          <w:rFonts w:cs="Arial"/>
        </w:rPr>
      </w:pPr>
      <w:r w:rsidRPr="00ED5AD3">
        <w:rPr>
          <w:rFonts w:eastAsia="Times New Roman" w:cs="Arial"/>
          <w:color w:val="000000"/>
          <w:lang w:eastAsia="bg-BG"/>
        </w:rPr>
        <w:t xml:space="preserve">Две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проучвания с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(прилаган под формата на таблетки) при педиатрични пациенти с фамилна </w:t>
      </w:r>
      <w:proofErr w:type="spellStart"/>
      <w:r w:rsidRPr="00ED5AD3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ED5AD3">
        <w:rPr>
          <w:rFonts w:eastAsia="Times New Roman" w:cs="Arial"/>
          <w:color w:val="000000"/>
          <w:lang w:eastAsia="bg-BG"/>
        </w:rPr>
        <w:t xml:space="preserve"> на възраст 10 до 17 или 6 до 17 години</w:t>
      </w:r>
      <w:r w:rsidRPr="00ED5AD3">
        <w:rPr>
          <w:rFonts w:eastAsia="Times New Roman" w:cs="Arial"/>
          <w:color w:val="000000"/>
          <w:lang w:val="ru-RU" w:eastAsia="bg-BG"/>
        </w:rPr>
        <w:t xml:space="preserve"> </w:t>
      </w:r>
      <w:r w:rsidRPr="00ED5AD3">
        <w:rPr>
          <w:rFonts w:cs="Arial"/>
        </w:rPr>
        <w:t xml:space="preserve">(общо 214 пациенти) показват, че експозицията при педиатричните пациенти изглежда сравнима или по-ниска от тази при възрастните пациенти. Експозицията на </w:t>
      </w:r>
      <w:proofErr w:type="spellStart"/>
      <w:r w:rsidRPr="00ED5AD3">
        <w:rPr>
          <w:rFonts w:cs="Arial"/>
        </w:rPr>
        <w:t>розувастатин</w:t>
      </w:r>
      <w:proofErr w:type="spellEnd"/>
      <w:r w:rsidRPr="00ED5AD3">
        <w:rPr>
          <w:rFonts w:cs="Arial"/>
        </w:rPr>
        <w:t xml:space="preserve"> е била предвидима по отношение на дозата и времето в продължение на 2-годишен период.</w:t>
      </w:r>
    </w:p>
    <w:p w14:paraId="7E27FCC0" w14:textId="5F183A93" w:rsidR="00ED5AD3" w:rsidRPr="00ED5AD3" w:rsidRDefault="00ED5AD3" w:rsidP="00ED5AD3">
      <w:pPr>
        <w:rPr>
          <w:lang w:val="ru-RU"/>
        </w:rPr>
      </w:pPr>
    </w:p>
    <w:p w14:paraId="4F31844C" w14:textId="3F8BF7BD" w:rsidR="00875EEC" w:rsidRDefault="002C50EE" w:rsidP="005726E3">
      <w:pPr>
        <w:pStyle w:val="Heading2"/>
      </w:pPr>
      <w:r>
        <w:t>5.3. Предклинични данни за безопасност</w:t>
      </w:r>
    </w:p>
    <w:p w14:paraId="77ABDB6F" w14:textId="170E1FFF" w:rsidR="00ED5AD3" w:rsidRDefault="00ED5AD3" w:rsidP="00ED5AD3"/>
    <w:p w14:paraId="364EFB73" w14:textId="77777777" w:rsidR="00ED5AD3" w:rsidRPr="00ED5AD3" w:rsidRDefault="00ED5AD3" w:rsidP="00ED5AD3">
      <w:pPr>
        <w:rPr>
          <w:sz w:val="24"/>
          <w:szCs w:val="24"/>
        </w:rPr>
      </w:pPr>
      <w:r w:rsidRPr="00ED5AD3">
        <w:rPr>
          <w:lang w:eastAsia="bg-BG"/>
        </w:rPr>
        <w:t xml:space="preserve">Предклиничните данни не показват особен риск за хора, на базата на конвенционалните фармакологични изпитвания за безопасност, </w:t>
      </w:r>
      <w:proofErr w:type="spellStart"/>
      <w:r w:rsidRPr="00ED5AD3">
        <w:rPr>
          <w:lang w:eastAsia="bg-BG"/>
        </w:rPr>
        <w:t>генотоксичност</w:t>
      </w:r>
      <w:proofErr w:type="spellEnd"/>
      <w:r w:rsidRPr="00ED5AD3">
        <w:rPr>
          <w:lang w:eastAsia="bg-BG"/>
        </w:rPr>
        <w:t xml:space="preserve"> и канцерогенен потенциал. Специфични тестове за ефектите върху </w:t>
      </w:r>
      <w:proofErr w:type="spellStart"/>
      <w:r w:rsidRPr="00ED5AD3">
        <w:rPr>
          <w:lang w:val="en-US"/>
        </w:rPr>
        <w:t>hERG</w:t>
      </w:r>
      <w:proofErr w:type="spellEnd"/>
      <w:r w:rsidRPr="00ED5AD3">
        <w:rPr>
          <w:lang w:val="ru-RU"/>
        </w:rPr>
        <w:t xml:space="preserve"> </w:t>
      </w:r>
      <w:r w:rsidRPr="00ED5AD3">
        <w:rPr>
          <w:lang w:eastAsia="bg-BG"/>
        </w:rPr>
        <w:t xml:space="preserve">не са оценявани. Нежеланите реакции, които не се наблюдават при клиничните изпитвания, но се наблюдават при животни при нива на експозиция, подобни на нивата на клинична експозиция са както следва: В проучвания за токсичност на многократните дози се наблюдават </w:t>
      </w:r>
      <w:proofErr w:type="spellStart"/>
      <w:r w:rsidRPr="00ED5AD3">
        <w:rPr>
          <w:lang w:eastAsia="bg-BG"/>
        </w:rPr>
        <w:t>хистопатологични</w:t>
      </w:r>
      <w:proofErr w:type="spellEnd"/>
      <w:r w:rsidRPr="00ED5AD3">
        <w:rPr>
          <w:lang w:eastAsia="bg-BG"/>
        </w:rPr>
        <w:t xml:space="preserve"> промени в черния дроб, които вероятно се дължат на фармакологичното действие на </w:t>
      </w:r>
      <w:proofErr w:type="spellStart"/>
      <w:r w:rsidRPr="00ED5AD3">
        <w:rPr>
          <w:lang w:eastAsia="bg-BG"/>
        </w:rPr>
        <w:t>розувастатин</w:t>
      </w:r>
      <w:proofErr w:type="spellEnd"/>
      <w:r w:rsidRPr="00ED5AD3">
        <w:rPr>
          <w:lang w:eastAsia="bg-BG"/>
        </w:rPr>
        <w:t xml:space="preserve"> при мишки и плъхове, както и до по-малка степен с последици в жлъчния мехур при кучета, но не и при маймуни. Освен това, при по-високи дози е наблюдавана токсичност върху тестисите при маймуни и кучета. Налице е репродуктивна токсичност при плъхове, за която се съди по намалените размери и тегло на котилото и по намалената преживяемост на потомството. Тези резултати са наблюдавани при токсични </w:t>
      </w:r>
      <w:r w:rsidRPr="00ED5AD3">
        <w:rPr>
          <w:lang w:eastAsia="bg-BG"/>
        </w:rPr>
        <w:lastRenderedPageBreak/>
        <w:t>за майката дози на системна експозиция няколко пъти над нивото на терапевтична експозиция.</w:t>
      </w:r>
    </w:p>
    <w:p w14:paraId="13EE380E" w14:textId="77777777" w:rsidR="00ED5AD3" w:rsidRPr="00ED5AD3" w:rsidRDefault="00ED5AD3" w:rsidP="00ED5AD3"/>
    <w:p w14:paraId="1BA6531D" w14:textId="0F1135EF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224ECC6C" w14:textId="4405005C" w:rsidR="00ED5AD3" w:rsidRDefault="00ED5AD3" w:rsidP="00ED5AD3"/>
    <w:p w14:paraId="7D0E4F74" w14:textId="77777777" w:rsidR="00ED5AD3" w:rsidRPr="00692BD9" w:rsidRDefault="00ED5AD3" w:rsidP="00ED5AD3">
      <w:pPr>
        <w:rPr>
          <w:sz w:val="24"/>
          <w:szCs w:val="24"/>
        </w:rPr>
      </w:pPr>
      <w:r w:rsidRPr="00ED5AD3">
        <w:rPr>
          <w:lang w:val="en-US"/>
        </w:rPr>
        <w:t>Pharmaceutical</w:t>
      </w:r>
      <w:r w:rsidRPr="00692BD9">
        <w:t xml:space="preserve"> </w:t>
      </w:r>
      <w:r w:rsidRPr="00ED5AD3">
        <w:rPr>
          <w:lang w:val="en-US"/>
        </w:rPr>
        <w:t>Works</w:t>
      </w:r>
      <w:r w:rsidRPr="00692BD9">
        <w:t xml:space="preserve"> </w:t>
      </w:r>
      <w:r w:rsidRPr="00ED5AD3">
        <w:rPr>
          <w:lang w:val="en-US"/>
        </w:rPr>
        <w:t>POLPHARMA</w:t>
      </w:r>
      <w:r w:rsidRPr="00692BD9">
        <w:t xml:space="preserve"> </w:t>
      </w:r>
      <w:r w:rsidRPr="00ED5AD3">
        <w:rPr>
          <w:lang w:val="en-US"/>
        </w:rPr>
        <w:t>S</w:t>
      </w:r>
      <w:r w:rsidRPr="00692BD9">
        <w:t>.</w:t>
      </w:r>
      <w:r w:rsidRPr="00ED5AD3">
        <w:rPr>
          <w:lang w:val="en-US"/>
        </w:rPr>
        <w:t>A</w:t>
      </w:r>
      <w:r w:rsidRPr="00692BD9">
        <w:t>.</w:t>
      </w:r>
    </w:p>
    <w:p w14:paraId="290B1D49" w14:textId="77777777" w:rsidR="00ED5AD3" w:rsidRPr="00692BD9" w:rsidRDefault="00ED5AD3" w:rsidP="00ED5AD3">
      <w:pPr>
        <w:rPr>
          <w:sz w:val="24"/>
          <w:szCs w:val="24"/>
        </w:rPr>
      </w:pPr>
      <w:r w:rsidRPr="00692BD9">
        <w:t xml:space="preserve">19 </w:t>
      </w:r>
      <w:proofErr w:type="spellStart"/>
      <w:r w:rsidRPr="00ED5AD3">
        <w:rPr>
          <w:lang w:val="en-US"/>
        </w:rPr>
        <w:t>Pelplinska</w:t>
      </w:r>
      <w:proofErr w:type="spellEnd"/>
      <w:r w:rsidRPr="00692BD9">
        <w:t xml:space="preserve"> </w:t>
      </w:r>
      <w:r w:rsidRPr="00ED5AD3">
        <w:rPr>
          <w:lang w:val="en-US"/>
        </w:rPr>
        <w:t>Street</w:t>
      </w:r>
    </w:p>
    <w:p w14:paraId="2A6F5502" w14:textId="77777777" w:rsidR="00ED5AD3" w:rsidRPr="00692BD9" w:rsidRDefault="00ED5AD3" w:rsidP="00ED5AD3">
      <w:pPr>
        <w:rPr>
          <w:sz w:val="24"/>
          <w:szCs w:val="24"/>
        </w:rPr>
      </w:pPr>
      <w:r w:rsidRPr="00692BD9">
        <w:t xml:space="preserve">83-200 </w:t>
      </w:r>
      <w:proofErr w:type="spellStart"/>
      <w:r w:rsidRPr="00ED5AD3">
        <w:rPr>
          <w:lang w:val="en-US"/>
        </w:rPr>
        <w:t>Starogard</w:t>
      </w:r>
      <w:proofErr w:type="spellEnd"/>
      <w:r w:rsidRPr="00692BD9">
        <w:t xml:space="preserve"> </w:t>
      </w:r>
      <w:proofErr w:type="spellStart"/>
      <w:r w:rsidRPr="00ED5AD3">
        <w:rPr>
          <w:lang w:val="en-US"/>
        </w:rPr>
        <w:t>Gdanski</w:t>
      </w:r>
      <w:proofErr w:type="spellEnd"/>
    </w:p>
    <w:p w14:paraId="0C1CFF41" w14:textId="77777777" w:rsidR="00ED5AD3" w:rsidRPr="00692BD9" w:rsidRDefault="00ED5AD3" w:rsidP="00ED5AD3">
      <w:pPr>
        <w:rPr>
          <w:sz w:val="24"/>
          <w:szCs w:val="24"/>
        </w:rPr>
      </w:pPr>
      <w:r w:rsidRPr="00ED5AD3">
        <w:rPr>
          <w:lang w:eastAsia="bg-BG"/>
        </w:rPr>
        <w:t>Полша</w:t>
      </w:r>
    </w:p>
    <w:p w14:paraId="0EEB9AF2" w14:textId="77777777" w:rsidR="00ED5AD3" w:rsidRPr="00692BD9" w:rsidRDefault="00ED5AD3" w:rsidP="00ED5AD3"/>
    <w:p w14:paraId="508F3A54" w14:textId="4F7905B4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70DCA0DB" w14:textId="5B13E2EC" w:rsidR="00ED5AD3" w:rsidRDefault="00ED5AD3" w:rsidP="00ED5AD3"/>
    <w:p w14:paraId="7CA5B286" w14:textId="77777777" w:rsidR="00ED5AD3" w:rsidRPr="00ED5AD3" w:rsidRDefault="00ED5AD3" w:rsidP="00ED5AD3">
      <w:pPr>
        <w:rPr>
          <w:sz w:val="24"/>
          <w:szCs w:val="24"/>
          <w:lang w:val="ru-RU"/>
        </w:rPr>
      </w:pPr>
      <w:r w:rsidRPr="00ED5AD3">
        <w:rPr>
          <w:lang w:val="ru-RU"/>
        </w:rPr>
        <w:t xml:space="preserve">15 </w:t>
      </w:r>
      <w:r w:rsidRPr="00ED5AD3">
        <w:rPr>
          <w:lang w:val="en-US"/>
        </w:rPr>
        <w:t>mg</w:t>
      </w:r>
      <w:r w:rsidRPr="00ED5AD3">
        <w:rPr>
          <w:lang w:val="ru-RU"/>
        </w:rPr>
        <w:t>: 20200149</w:t>
      </w:r>
    </w:p>
    <w:p w14:paraId="7BBEC1CD" w14:textId="77777777" w:rsidR="00ED5AD3" w:rsidRPr="00ED5AD3" w:rsidRDefault="00ED5AD3" w:rsidP="00ED5AD3">
      <w:pPr>
        <w:rPr>
          <w:sz w:val="24"/>
          <w:szCs w:val="24"/>
          <w:lang w:val="ru-RU"/>
        </w:rPr>
      </w:pPr>
      <w:r w:rsidRPr="00ED5AD3">
        <w:rPr>
          <w:lang w:val="ru-RU"/>
        </w:rPr>
        <w:t xml:space="preserve">30 </w:t>
      </w:r>
      <w:r w:rsidRPr="00ED5AD3">
        <w:rPr>
          <w:lang w:val="en-US"/>
        </w:rPr>
        <w:t>mg</w:t>
      </w:r>
      <w:r w:rsidRPr="00ED5AD3">
        <w:rPr>
          <w:lang w:val="ru-RU"/>
        </w:rPr>
        <w:t>: 20200150</w:t>
      </w:r>
    </w:p>
    <w:p w14:paraId="24F57132" w14:textId="77777777" w:rsidR="00ED5AD3" w:rsidRPr="00ED5AD3" w:rsidRDefault="00ED5AD3" w:rsidP="00ED5AD3">
      <w:pPr>
        <w:rPr>
          <w:lang w:val="ru-RU"/>
        </w:rPr>
      </w:pPr>
    </w:p>
    <w:p w14:paraId="3BC5EC53" w14:textId="601DD0E1" w:rsidR="00875EEC" w:rsidRDefault="002C50EE" w:rsidP="005726E3">
      <w:pPr>
        <w:pStyle w:val="Heading1"/>
      </w:pPr>
      <w:r>
        <w:t>9. ДАТА НА ПЪРВО РАЗРЕШАВАНЕ/ПОДНОВЯВАНЕ НА РАЗРЕШЕНИЕТО ЗА УПОТРЕБА</w:t>
      </w:r>
    </w:p>
    <w:p w14:paraId="72E327DE" w14:textId="0F7D7194" w:rsidR="00ED5AD3" w:rsidRDefault="00ED5AD3" w:rsidP="00ED5AD3"/>
    <w:p w14:paraId="5A7AED0B" w14:textId="70FE50B7" w:rsidR="00ED5AD3" w:rsidRPr="00ED5AD3" w:rsidRDefault="00ED5AD3" w:rsidP="00ED5AD3">
      <w:pPr>
        <w:rPr>
          <w:sz w:val="24"/>
          <w:szCs w:val="24"/>
        </w:rPr>
      </w:pPr>
      <w:r w:rsidRPr="00ED5AD3">
        <w:rPr>
          <w:lang w:eastAsia="bg-BG"/>
        </w:rPr>
        <w:t>Дата на първо разрешаване: 17.09.2020</w:t>
      </w:r>
    </w:p>
    <w:p w14:paraId="43FB38A2" w14:textId="1E62F256" w:rsidR="007C605B" w:rsidRPr="003E3126" w:rsidRDefault="002C50EE" w:rsidP="005726E3">
      <w:pPr>
        <w:pStyle w:val="Heading1"/>
      </w:pPr>
      <w:r>
        <w:t>10. ДАТА НА АКТУАЛИЗИРАНЕ НА ТЕКСТА</w:t>
      </w:r>
      <w:bookmarkEnd w:id="0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873A3"/>
    <w:multiLevelType w:val="hybridMultilevel"/>
    <w:tmpl w:val="F708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E6E39"/>
    <w:multiLevelType w:val="hybridMultilevel"/>
    <w:tmpl w:val="8E3E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AC863D2"/>
    <w:multiLevelType w:val="hybridMultilevel"/>
    <w:tmpl w:val="74C8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08B5BF6"/>
    <w:multiLevelType w:val="hybridMultilevel"/>
    <w:tmpl w:val="6412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85C54"/>
    <w:multiLevelType w:val="hybridMultilevel"/>
    <w:tmpl w:val="8F0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596207395">
    <w:abstractNumId w:val="33"/>
  </w:num>
  <w:num w:numId="2" w16cid:durableId="1658067731">
    <w:abstractNumId w:val="0"/>
  </w:num>
  <w:num w:numId="3" w16cid:durableId="163127580">
    <w:abstractNumId w:val="17"/>
  </w:num>
  <w:num w:numId="4" w16cid:durableId="1236625559">
    <w:abstractNumId w:val="3"/>
  </w:num>
  <w:num w:numId="5" w16cid:durableId="1538195754">
    <w:abstractNumId w:val="1"/>
  </w:num>
  <w:num w:numId="6" w16cid:durableId="709694704">
    <w:abstractNumId w:val="20"/>
  </w:num>
  <w:num w:numId="7" w16cid:durableId="1997564111">
    <w:abstractNumId w:val="14"/>
  </w:num>
  <w:num w:numId="8" w16cid:durableId="321273977">
    <w:abstractNumId w:val="19"/>
  </w:num>
  <w:num w:numId="9" w16cid:durableId="1660773050">
    <w:abstractNumId w:val="2"/>
  </w:num>
  <w:num w:numId="10" w16cid:durableId="143860214">
    <w:abstractNumId w:val="4"/>
  </w:num>
  <w:num w:numId="11" w16cid:durableId="509835343">
    <w:abstractNumId w:val="36"/>
  </w:num>
  <w:num w:numId="12" w16cid:durableId="1600867171">
    <w:abstractNumId w:val="18"/>
  </w:num>
  <w:num w:numId="13" w16cid:durableId="463474530">
    <w:abstractNumId w:val="24"/>
  </w:num>
  <w:num w:numId="14" w16cid:durableId="832378252">
    <w:abstractNumId w:val="16"/>
  </w:num>
  <w:num w:numId="15" w16cid:durableId="1745756094">
    <w:abstractNumId w:val="35"/>
  </w:num>
  <w:num w:numId="16" w16cid:durableId="1289237728">
    <w:abstractNumId w:val="13"/>
  </w:num>
  <w:num w:numId="17" w16cid:durableId="1126895909">
    <w:abstractNumId w:val="29"/>
  </w:num>
  <w:num w:numId="18" w16cid:durableId="371924049">
    <w:abstractNumId w:val="10"/>
  </w:num>
  <w:num w:numId="19" w16cid:durableId="320894413">
    <w:abstractNumId w:val="31"/>
  </w:num>
  <w:num w:numId="20" w16cid:durableId="693961226">
    <w:abstractNumId w:val="28"/>
  </w:num>
  <w:num w:numId="21" w16cid:durableId="165485049">
    <w:abstractNumId w:val="22"/>
  </w:num>
  <w:num w:numId="22" w16cid:durableId="1882859905">
    <w:abstractNumId w:val="30"/>
  </w:num>
  <w:num w:numId="23" w16cid:durableId="2021543564">
    <w:abstractNumId w:val="23"/>
  </w:num>
  <w:num w:numId="24" w16cid:durableId="220870005">
    <w:abstractNumId w:val="11"/>
  </w:num>
  <w:num w:numId="25" w16cid:durableId="1511984698">
    <w:abstractNumId w:val="27"/>
  </w:num>
  <w:num w:numId="26" w16cid:durableId="1906332258">
    <w:abstractNumId w:val="26"/>
  </w:num>
  <w:num w:numId="27" w16cid:durableId="131407841">
    <w:abstractNumId w:val="37"/>
  </w:num>
  <w:num w:numId="28" w16cid:durableId="1982075743">
    <w:abstractNumId w:val="7"/>
  </w:num>
  <w:num w:numId="29" w16cid:durableId="737479857">
    <w:abstractNumId w:val="25"/>
  </w:num>
  <w:num w:numId="30" w16cid:durableId="1819492493">
    <w:abstractNumId w:val="40"/>
  </w:num>
  <w:num w:numId="31" w16cid:durableId="1199778634">
    <w:abstractNumId w:val="5"/>
  </w:num>
  <w:num w:numId="32" w16cid:durableId="1407343352">
    <w:abstractNumId w:val="39"/>
  </w:num>
  <w:num w:numId="33" w16cid:durableId="1350330431">
    <w:abstractNumId w:val="34"/>
  </w:num>
  <w:num w:numId="34" w16cid:durableId="1917208038">
    <w:abstractNumId w:val="38"/>
  </w:num>
  <w:num w:numId="35" w16cid:durableId="206962876">
    <w:abstractNumId w:val="8"/>
  </w:num>
  <w:num w:numId="36" w16cid:durableId="1651127856">
    <w:abstractNumId w:val="12"/>
  </w:num>
  <w:num w:numId="37" w16cid:durableId="2100103558">
    <w:abstractNumId w:val="15"/>
  </w:num>
  <w:num w:numId="38" w16cid:durableId="851577205">
    <w:abstractNumId w:val="21"/>
  </w:num>
  <w:num w:numId="39" w16cid:durableId="1423991197">
    <w:abstractNumId w:val="9"/>
  </w:num>
  <w:num w:numId="40" w16cid:durableId="1682663375">
    <w:abstractNumId w:val="32"/>
  </w:num>
  <w:num w:numId="41" w16cid:durableId="1501777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00"/>
    <w:rsid w:val="000E084A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726E3"/>
    <w:rsid w:val="00593A00"/>
    <w:rsid w:val="005A66D9"/>
    <w:rsid w:val="005E44CF"/>
    <w:rsid w:val="00605BCA"/>
    <w:rsid w:val="006158A1"/>
    <w:rsid w:val="00617B1F"/>
    <w:rsid w:val="00672487"/>
    <w:rsid w:val="00672600"/>
    <w:rsid w:val="00681D4A"/>
    <w:rsid w:val="00685882"/>
    <w:rsid w:val="00692BD9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AF72E3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B6364"/>
    <w:rsid w:val="00ED5AD3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8398</Words>
  <Characters>47873</Characters>
  <Application>Microsoft Office Word</Application>
  <DocSecurity>0</DocSecurity>
  <Lines>398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Maria Vasileva</cp:lastModifiedBy>
  <cp:revision>4</cp:revision>
  <dcterms:created xsi:type="dcterms:W3CDTF">2022-11-21T10:01:00Z</dcterms:created>
  <dcterms:modified xsi:type="dcterms:W3CDTF">2022-12-07T08:03:00Z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