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2C771B5E" w:rsidR="00DB32D3" w:rsidRDefault="00DD466D" w:rsidP="005726E3">
      <w:pPr>
        <w:pStyle w:val="Heading1"/>
      </w:pPr>
      <w:r>
        <w:t>1.ИМЕ НА ЛЕКАРСТВЕНИЯ ПРОДУКТ</w:t>
      </w:r>
    </w:p>
    <w:p w14:paraId="7061AFC6" w14:textId="6EA13BD5" w:rsidR="000E084A" w:rsidRDefault="000E084A" w:rsidP="000E084A"/>
    <w:p w14:paraId="6D9A3225" w14:textId="77777777" w:rsidR="000E084A" w:rsidRPr="000E084A" w:rsidRDefault="000E084A" w:rsidP="000E084A">
      <w:pPr>
        <w:rPr>
          <w:sz w:val="24"/>
          <w:szCs w:val="24"/>
          <w:lang w:val="ru-RU"/>
        </w:rPr>
      </w:pPr>
      <w:proofErr w:type="spellStart"/>
      <w:r w:rsidRPr="000E084A">
        <w:rPr>
          <w:lang w:eastAsia="bg-BG"/>
        </w:rPr>
        <w:t>Ромазик</w:t>
      </w:r>
      <w:proofErr w:type="spellEnd"/>
      <w:r w:rsidRPr="000E084A">
        <w:rPr>
          <w:lang w:eastAsia="bg-BG"/>
        </w:rPr>
        <w:t xml:space="preserve"> 15 </w:t>
      </w:r>
      <w:r w:rsidRPr="000E084A">
        <w:rPr>
          <w:lang w:val="en-US"/>
        </w:rPr>
        <w:t>mg</w:t>
      </w:r>
      <w:r w:rsidRPr="000E084A">
        <w:rPr>
          <w:lang w:val="ru-RU"/>
        </w:rPr>
        <w:t xml:space="preserve"> </w:t>
      </w:r>
      <w:r w:rsidRPr="000E084A">
        <w:rPr>
          <w:lang w:eastAsia="bg-BG"/>
        </w:rPr>
        <w:t>филмирани таблетки</w:t>
      </w:r>
    </w:p>
    <w:p w14:paraId="4F829E31" w14:textId="77777777" w:rsidR="000E084A" w:rsidRPr="000E084A" w:rsidRDefault="000E084A" w:rsidP="000E084A">
      <w:pPr>
        <w:rPr>
          <w:sz w:val="24"/>
          <w:szCs w:val="24"/>
          <w:lang w:val="ru-RU"/>
        </w:rPr>
      </w:pPr>
      <w:proofErr w:type="spellStart"/>
      <w:r w:rsidRPr="000E084A">
        <w:rPr>
          <w:lang w:eastAsia="bg-BG"/>
        </w:rPr>
        <w:t>Ромазик</w:t>
      </w:r>
      <w:proofErr w:type="spellEnd"/>
      <w:r w:rsidRPr="000E084A">
        <w:rPr>
          <w:lang w:eastAsia="bg-BG"/>
        </w:rPr>
        <w:t xml:space="preserve"> 30 </w:t>
      </w:r>
      <w:r w:rsidRPr="000E084A">
        <w:rPr>
          <w:lang w:val="en-US"/>
        </w:rPr>
        <w:t>mg</w:t>
      </w:r>
      <w:r w:rsidRPr="000E084A">
        <w:rPr>
          <w:lang w:val="ru-RU"/>
        </w:rPr>
        <w:t xml:space="preserve"> </w:t>
      </w:r>
      <w:r w:rsidRPr="000E084A">
        <w:rPr>
          <w:lang w:eastAsia="bg-BG"/>
        </w:rPr>
        <w:t>филмирани таблетки</w:t>
      </w:r>
    </w:p>
    <w:p w14:paraId="0C314B51" w14:textId="77777777" w:rsidR="000E084A" w:rsidRPr="00692BD9" w:rsidRDefault="000E084A" w:rsidP="000E084A">
      <w:pPr>
        <w:rPr>
          <w:lang w:val="ru-RU"/>
        </w:rPr>
      </w:pPr>
    </w:p>
    <w:p w14:paraId="60FB953E" w14:textId="48E17423" w:rsidR="000E084A" w:rsidRPr="000E084A" w:rsidRDefault="000E084A" w:rsidP="000E084A">
      <w:pPr>
        <w:rPr>
          <w:sz w:val="24"/>
          <w:szCs w:val="24"/>
          <w:lang w:val="en-US"/>
        </w:rPr>
      </w:pPr>
      <w:proofErr w:type="spellStart"/>
      <w:r w:rsidRPr="000E084A">
        <w:rPr>
          <w:lang w:val="en-US"/>
        </w:rPr>
        <w:t>Romazic</w:t>
      </w:r>
      <w:proofErr w:type="spellEnd"/>
      <w:r w:rsidRPr="000E084A">
        <w:rPr>
          <w:lang w:val="en-US"/>
        </w:rPr>
        <w:t xml:space="preserve"> </w:t>
      </w:r>
      <w:r w:rsidRPr="000E084A">
        <w:rPr>
          <w:lang w:eastAsia="bg-BG"/>
        </w:rPr>
        <w:t xml:space="preserve">15 </w:t>
      </w:r>
      <w:r w:rsidRPr="000E084A">
        <w:rPr>
          <w:lang w:val="en-US"/>
        </w:rPr>
        <w:t>mg film-coated tablets</w:t>
      </w:r>
    </w:p>
    <w:p w14:paraId="3293308B" w14:textId="3306E3AF" w:rsidR="000E084A" w:rsidRDefault="000E084A" w:rsidP="000E084A">
      <w:pPr>
        <w:rPr>
          <w:lang w:val="en-US"/>
        </w:rPr>
      </w:pPr>
      <w:proofErr w:type="spellStart"/>
      <w:r w:rsidRPr="000E084A">
        <w:rPr>
          <w:lang w:val="en-US"/>
        </w:rPr>
        <w:t>Romazic</w:t>
      </w:r>
      <w:proofErr w:type="spellEnd"/>
      <w:r w:rsidRPr="000E084A">
        <w:rPr>
          <w:lang w:val="en-US"/>
        </w:rPr>
        <w:t xml:space="preserve"> 30 mg film-coated tablets</w:t>
      </w:r>
    </w:p>
    <w:p w14:paraId="2A598180" w14:textId="77777777" w:rsidR="000E084A" w:rsidRPr="000E084A" w:rsidRDefault="000E084A" w:rsidP="000E084A">
      <w:pPr>
        <w:rPr>
          <w:lang w:val="en-US"/>
        </w:rPr>
      </w:pPr>
    </w:p>
    <w:p w14:paraId="48E6CABE" w14:textId="5A232BC8" w:rsidR="00DB32D3" w:rsidRDefault="00DD466D" w:rsidP="005726E3">
      <w:pPr>
        <w:pStyle w:val="Heading1"/>
      </w:pPr>
      <w:r>
        <w:t>2. КАЧЕСТВЕН И КОЛИЧЕСТВЕН СЪСТАВ</w:t>
      </w:r>
    </w:p>
    <w:p w14:paraId="12536AD4" w14:textId="25361252" w:rsidR="000E084A" w:rsidRDefault="000E084A" w:rsidP="000E084A"/>
    <w:p w14:paraId="7756550B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15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филмирани таблетки: всяка таблетка съдържа 15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</w:t>
      </w:r>
      <w:r w:rsidRPr="000E084A">
        <w:rPr>
          <w:rFonts w:eastAsia="Times New Roman" w:cs="Arial"/>
          <w:color w:val="000000"/>
        </w:rPr>
        <w:t>(</w:t>
      </w:r>
      <w:r w:rsidRPr="000E084A">
        <w:rPr>
          <w:rFonts w:eastAsia="Times New Roman" w:cs="Arial"/>
          <w:color w:val="000000"/>
          <w:lang w:val="en-US"/>
        </w:rPr>
        <w:t>rosuvastatin</w:t>
      </w:r>
      <w:r w:rsidRPr="000E084A">
        <w:rPr>
          <w:rFonts w:eastAsia="Times New Roman" w:cs="Arial"/>
          <w:color w:val="000000"/>
        </w:rPr>
        <w:t xml:space="preserve">), </w:t>
      </w:r>
      <w:r w:rsidRPr="000E084A">
        <w:rPr>
          <w:rFonts w:eastAsia="Times New Roman" w:cs="Arial"/>
          <w:color w:val="000000"/>
          <w:lang w:eastAsia="bg-BG"/>
        </w:rPr>
        <w:t xml:space="preserve">(като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калций), </w:t>
      </w:r>
      <w:r w:rsidRPr="000E084A">
        <w:rPr>
          <w:rFonts w:eastAsia="Times New Roman" w:cs="Arial"/>
          <w:color w:val="000000"/>
        </w:rPr>
        <w:t>(</w:t>
      </w:r>
      <w:r w:rsidRPr="000E084A">
        <w:rPr>
          <w:rFonts w:eastAsia="Times New Roman" w:cs="Arial"/>
          <w:color w:val="000000"/>
          <w:lang w:val="en-US"/>
        </w:rPr>
        <w:t>as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val="en-US"/>
        </w:rPr>
        <w:t>rosuvastatin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val="en-US"/>
        </w:rPr>
        <w:t>calcium</w:t>
      </w:r>
      <w:r w:rsidRPr="000E084A">
        <w:rPr>
          <w:rFonts w:eastAsia="Times New Roman" w:cs="Arial"/>
          <w:color w:val="000000"/>
        </w:rPr>
        <w:t>).</w:t>
      </w:r>
    </w:p>
    <w:p w14:paraId="46098912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филмирани таблетки: всяка таблетка съдържа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</w:t>
      </w:r>
      <w:r w:rsidRPr="000E084A">
        <w:rPr>
          <w:rFonts w:eastAsia="Times New Roman" w:cs="Arial"/>
          <w:color w:val="000000"/>
        </w:rPr>
        <w:t>(</w:t>
      </w:r>
      <w:r w:rsidRPr="000E084A">
        <w:rPr>
          <w:rFonts w:eastAsia="Times New Roman" w:cs="Arial"/>
          <w:color w:val="000000"/>
          <w:lang w:val="en-US"/>
        </w:rPr>
        <w:t>rosuvastatin</w:t>
      </w:r>
      <w:r w:rsidRPr="000E084A">
        <w:rPr>
          <w:rFonts w:eastAsia="Times New Roman" w:cs="Arial"/>
          <w:color w:val="000000"/>
        </w:rPr>
        <w:t xml:space="preserve">), </w:t>
      </w:r>
      <w:r w:rsidRPr="000E084A">
        <w:rPr>
          <w:rFonts w:eastAsia="Times New Roman" w:cs="Arial"/>
          <w:color w:val="000000"/>
          <w:lang w:eastAsia="bg-BG"/>
        </w:rPr>
        <w:t xml:space="preserve">(като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калций), </w:t>
      </w:r>
      <w:r w:rsidRPr="000E084A">
        <w:rPr>
          <w:rFonts w:eastAsia="Times New Roman" w:cs="Arial"/>
          <w:color w:val="000000"/>
        </w:rPr>
        <w:t>(</w:t>
      </w:r>
      <w:r w:rsidRPr="000E084A">
        <w:rPr>
          <w:rFonts w:eastAsia="Times New Roman" w:cs="Arial"/>
          <w:color w:val="000000"/>
          <w:lang w:val="en-US"/>
        </w:rPr>
        <w:t>as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val="en-US"/>
        </w:rPr>
        <w:t>rosuvastatin</w:t>
      </w:r>
      <w:r w:rsidRPr="000E084A">
        <w:rPr>
          <w:rFonts w:eastAsia="Times New Roman" w:cs="Arial"/>
          <w:color w:val="000000"/>
        </w:rPr>
        <w:t xml:space="preserve"> </w:t>
      </w:r>
      <w:r w:rsidRPr="000E084A">
        <w:rPr>
          <w:rFonts w:eastAsia="Times New Roman" w:cs="Arial"/>
          <w:color w:val="000000"/>
          <w:lang w:val="en-US"/>
        </w:rPr>
        <w:t>calcium</w:t>
      </w:r>
      <w:r w:rsidRPr="000E084A">
        <w:rPr>
          <w:rFonts w:eastAsia="Times New Roman" w:cs="Arial"/>
          <w:color w:val="000000"/>
        </w:rPr>
        <w:t>).</w:t>
      </w:r>
    </w:p>
    <w:p w14:paraId="36E7CDDC" w14:textId="77777777" w:rsidR="000E084A" w:rsidRPr="00692BD9" w:rsidRDefault="000E084A" w:rsidP="000E084A">
      <w:pPr>
        <w:spacing w:line="240" w:lineRule="auto"/>
        <w:rPr>
          <w:rFonts w:eastAsia="Times New Roman" w:cs="Arial"/>
          <w:color w:val="000000"/>
        </w:rPr>
      </w:pPr>
    </w:p>
    <w:p w14:paraId="76DC5DF7" w14:textId="3ECF6F26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val="en-US"/>
        </w:rPr>
        <w:t>Romazic</w:t>
      </w:r>
      <w:proofErr w:type="spellEnd"/>
      <w:r w:rsidRPr="000E084A">
        <w:rPr>
          <w:rFonts w:eastAsia="Times New Roman" w:cs="Arial"/>
          <w:color w:val="000000"/>
          <w:lang w:val="en-US"/>
        </w:rPr>
        <w:t xml:space="preserve"> 15 mg film-coated tablets:</w:t>
      </w:r>
    </w:p>
    <w:p w14:paraId="7F0DB22E" w14:textId="22F4778B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Помощно вещество </w:t>
      </w:r>
      <w:r w:rsidRPr="000E084A">
        <w:rPr>
          <w:rFonts w:eastAsia="Times New Roman" w:cs="Arial"/>
          <w:color w:val="000000"/>
          <w:u w:val="single"/>
          <w:lang w:val="en-US"/>
        </w:rPr>
        <w:t>c</w:t>
      </w:r>
      <w:r w:rsidRPr="000E084A">
        <w:rPr>
          <w:rFonts w:eastAsia="Times New Roman" w:cs="Arial"/>
          <w:color w:val="000000"/>
          <w:u w:val="single"/>
          <w:lang w:val="ru-RU"/>
        </w:rPr>
        <w:t xml:space="preserve"> </w:t>
      </w:r>
      <w:r w:rsidRPr="000E084A">
        <w:rPr>
          <w:rFonts w:eastAsia="Times New Roman" w:cs="Arial"/>
          <w:color w:val="000000"/>
          <w:u w:val="single"/>
          <w:lang w:eastAsia="bg-BG"/>
        </w:rPr>
        <w:t>известно действие:</w:t>
      </w:r>
      <w:r w:rsidRPr="000E084A">
        <w:rPr>
          <w:rFonts w:eastAsia="Times New Roman" w:cs="Arial"/>
          <w:color w:val="000000"/>
          <w:lang w:eastAsia="bg-BG"/>
        </w:rPr>
        <w:t xml:space="preserve"> лактоза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3FB5DC41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B798CD1" w14:textId="39745A38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филмирани таблетки:</w:t>
      </w:r>
    </w:p>
    <w:p w14:paraId="111BFC61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Помощно вещество с известно действие:</w:t>
      </w:r>
      <w:r w:rsidRPr="000E084A">
        <w:rPr>
          <w:rFonts w:eastAsia="Times New Roman" w:cs="Arial"/>
          <w:color w:val="000000"/>
          <w:lang w:eastAsia="bg-BG"/>
        </w:rPr>
        <w:t xml:space="preserve"> лактоза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2A69D746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ADCF88" w14:textId="179AD854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15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филмирани таблетки: всяка таблетка съдържа 124,717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монохидрат</w:t>
      </w:r>
      <w:proofErr w:type="spellEnd"/>
    </w:p>
    <w:p w14:paraId="26699C52" w14:textId="046034BE" w:rsidR="000E084A" w:rsidRDefault="000E084A" w:rsidP="000E084A">
      <w:pPr>
        <w:rPr>
          <w:rFonts w:eastAsia="Times New Roman" w:cs="Arial"/>
          <w:color w:val="000000"/>
          <w:lang w:eastAsia="bg-BG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филмирани таблетки: всяка таблетка съдържа 249,435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лактоза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монохидрат</w:t>
      </w:r>
      <w:proofErr w:type="spellEnd"/>
    </w:p>
    <w:p w14:paraId="79D409C1" w14:textId="77777777" w:rsidR="000E084A" w:rsidRPr="000E084A" w:rsidRDefault="000E084A" w:rsidP="000E084A">
      <w:pPr>
        <w:rPr>
          <w:rFonts w:cs="Arial"/>
        </w:rPr>
      </w:pPr>
    </w:p>
    <w:p w14:paraId="614984C4" w14:textId="69DE4F7A" w:rsidR="008A6AF2" w:rsidRDefault="00DD466D" w:rsidP="002C50EE">
      <w:pPr>
        <w:pStyle w:val="Heading1"/>
      </w:pPr>
      <w:r>
        <w:t>3. ЛЕКАРСТВЕНА ФОРМА</w:t>
      </w:r>
    </w:p>
    <w:p w14:paraId="109BE3B3" w14:textId="477AFE7A" w:rsidR="000E084A" w:rsidRDefault="000E084A" w:rsidP="000E084A"/>
    <w:p w14:paraId="43527CCA" w14:textId="77777777" w:rsidR="000E084A" w:rsidRPr="000E084A" w:rsidRDefault="000E084A" w:rsidP="000E084A">
      <w:pPr>
        <w:rPr>
          <w:sz w:val="24"/>
          <w:szCs w:val="24"/>
        </w:rPr>
      </w:pPr>
      <w:r w:rsidRPr="000E084A">
        <w:rPr>
          <w:lang w:eastAsia="bg-BG"/>
        </w:rPr>
        <w:t>Филмирана таблетка</w:t>
      </w:r>
    </w:p>
    <w:p w14:paraId="0EED16DA" w14:textId="77777777" w:rsidR="000E084A" w:rsidRDefault="000E084A" w:rsidP="000E084A">
      <w:pPr>
        <w:rPr>
          <w:lang w:eastAsia="bg-BG"/>
        </w:rPr>
      </w:pPr>
    </w:p>
    <w:p w14:paraId="4E8A23A7" w14:textId="6BDCC136" w:rsidR="000E084A" w:rsidRPr="000E084A" w:rsidRDefault="000E084A" w:rsidP="000E084A">
      <w:pPr>
        <w:rPr>
          <w:sz w:val="24"/>
          <w:szCs w:val="24"/>
        </w:rPr>
      </w:pPr>
      <w:proofErr w:type="spellStart"/>
      <w:r w:rsidRPr="000E084A">
        <w:rPr>
          <w:lang w:eastAsia="bg-BG"/>
        </w:rPr>
        <w:t>Ромазик</w:t>
      </w:r>
      <w:proofErr w:type="spellEnd"/>
      <w:r w:rsidRPr="000E084A">
        <w:rPr>
          <w:lang w:eastAsia="bg-BG"/>
        </w:rPr>
        <w:t xml:space="preserve"> 15 </w:t>
      </w:r>
      <w:r w:rsidRPr="000E084A">
        <w:rPr>
          <w:lang w:val="en-US"/>
        </w:rPr>
        <w:t>mg</w:t>
      </w:r>
      <w:r w:rsidRPr="000E084A">
        <w:rPr>
          <w:lang w:val="ru-RU"/>
        </w:rPr>
        <w:t xml:space="preserve"> </w:t>
      </w:r>
      <w:r w:rsidRPr="000E084A">
        <w:rPr>
          <w:lang w:eastAsia="bg-BG"/>
        </w:rPr>
        <w:t>филмирани таблетки: бели или почти бели, продълговати и двойноизпъкнали филмирани таблетки, гравирани с ”15” от едната страна.</w:t>
      </w:r>
    </w:p>
    <w:p w14:paraId="2486A871" w14:textId="77777777" w:rsidR="000E084A" w:rsidRPr="000E084A" w:rsidRDefault="000E084A" w:rsidP="000E084A">
      <w:pPr>
        <w:rPr>
          <w:sz w:val="24"/>
          <w:szCs w:val="24"/>
        </w:rPr>
      </w:pPr>
      <w:proofErr w:type="spellStart"/>
      <w:r w:rsidRPr="000E084A">
        <w:rPr>
          <w:lang w:eastAsia="bg-BG"/>
        </w:rPr>
        <w:t>Ромазик</w:t>
      </w:r>
      <w:proofErr w:type="spellEnd"/>
      <w:r w:rsidRPr="000E084A">
        <w:rPr>
          <w:lang w:eastAsia="bg-BG"/>
        </w:rPr>
        <w:t xml:space="preserve"> 30 </w:t>
      </w:r>
      <w:r w:rsidRPr="000E084A">
        <w:rPr>
          <w:lang w:val="en-US"/>
        </w:rPr>
        <w:t>mg</w:t>
      </w:r>
      <w:r w:rsidRPr="000E084A">
        <w:rPr>
          <w:lang w:val="ru-RU"/>
        </w:rPr>
        <w:t xml:space="preserve"> </w:t>
      </w:r>
      <w:r w:rsidRPr="000E084A">
        <w:rPr>
          <w:lang w:eastAsia="bg-BG"/>
        </w:rPr>
        <w:t>филмирани таблетки: бели или почти бели, продълговати и двойноизпъкнали филмирани таблетки, гравирани с ”30” от едната страна и с делителна черта от другата.</w:t>
      </w:r>
    </w:p>
    <w:p w14:paraId="54816DDA" w14:textId="54696F39" w:rsidR="000E084A" w:rsidRPr="000E084A" w:rsidRDefault="000E084A" w:rsidP="000E084A">
      <w:r w:rsidRPr="000E084A">
        <w:rPr>
          <w:lang w:eastAsia="bg-BG"/>
        </w:rPr>
        <w:t>Таблетката може да бъде разделена на равни дози.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0771830A" w14:textId="62BD7B5C" w:rsidR="00DB32D3" w:rsidRDefault="002C50EE" w:rsidP="000E084A">
      <w:pPr>
        <w:pStyle w:val="Heading2"/>
        <w:tabs>
          <w:tab w:val="left" w:pos="3994"/>
        </w:tabs>
      </w:pPr>
      <w:r>
        <w:t>4.1. Терапевтични показания</w:t>
      </w:r>
      <w:r w:rsidR="000E084A">
        <w:tab/>
      </w:r>
    </w:p>
    <w:p w14:paraId="1A326C7D" w14:textId="1B78B8C0" w:rsidR="000E084A" w:rsidRDefault="000E084A" w:rsidP="000E084A"/>
    <w:p w14:paraId="362D704F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хиперхолестеролемия</w:t>
      </w:r>
      <w:proofErr w:type="spellEnd"/>
    </w:p>
    <w:p w14:paraId="083A66D6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lang w:eastAsia="bg-BG"/>
        </w:rPr>
        <w:lastRenderedPageBreak/>
        <w:t xml:space="preserve">Възрастни, младежи и деца на или над 6-годишна възраст с първична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(тип </w:t>
      </w:r>
      <w:r w:rsidRPr="000E084A">
        <w:rPr>
          <w:rFonts w:eastAsia="Times New Roman" w:cs="Arial"/>
          <w:color w:val="000000"/>
          <w:lang w:val="en-US"/>
        </w:rPr>
        <w:t>II</w:t>
      </w:r>
      <w:r w:rsidRPr="000E084A">
        <w:rPr>
          <w:rFonts w:eastAsia="Times New Roman" w:cs="Arial"/>
          <w:color w:val="000000"/>
          <w:lang w:eastAsia="bg-BG"/>
        </w:rPr>
        <w:t xml:space="preserve">а) или смесена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дислипидемия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(тип </w:t>
      </w:r>
      <w:r w:rsidRPr="000E084A">
        <w:rPr>
          <w:rFonts w:eastAsia="Times New Roman" w:cs="Arial"/>
          <w:color w:val="000000"/>
          <w:lang w:val="en-US"/>
        </w:rPr>
        <w:t>IIb</w:t>
      </w:r>
      <w:r w:rsidRPr="000E084A">
        <w:rPr>
          <w:rFonts w:eastAsia="Times New Roman" w:cs="Arial"/>
          <w:color w:val="000000"/>
          <w:lang w:eastAsia="bg-BG"/>
        </w:rPr>
        <w:t>) като добавка към диетата, когато резултатът от диетата и други нефармакологични мерки (напр. физическите упражнения, намаляване на теглото) не е задоволителен.</w:t>
      </w:r>
    </w:p>
    <w:p w14:paraId="4387D4F1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lang w:eastAsia="bg-BG"/>
        </w:rPr>
        <w:t xml:space="preserve">Възрастни, младежи и деца на или над 6-годишна възраст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фамилна</w:t>
      </w:r>
    </w:p>
    <w:p w14:paraId="4D00FA0A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като добавка към диетата, както и с друго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липидопонижаващо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лечение (напр. </w:t>
      </w:r>
      <w:r w:rsidRPr="000E084A">
        <w:rPr>
          <w:rFonts w:eastAsia="Times New Roman" w:cs="Arial"/>
          <w:color w:val="000000"/>
          <w:lang w:val="en-US"/>
        </w:rPr>
        <w:t>LDL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афереза</w:t>
      </w:r>
      <w:proofErr w:type="spellEnd"/>
      <w:r w:rsidRPr="000E084A">
        <w:rPr>
          <w:rFonts w:eastAsia="Times New Roman" w:cs="Arial"/>
          <w:color w:val="000000"/>
          <w:lang w:eastAsia="bg-BG"/>
        </w:rPr>
        <w:t>) или когато това лечение не е подходящо.</w:t>
      </w:r>
    </w:p>
    <w:p w14:paraId="43A6A0E7" w14:textId="77777777" w:rsidR="000E084A" w:rsidRPr="000E084A" w:rsidRDefault="000E084A" w:rsidP="000E084A">
      <w:pPr>
        <w:rPr>
          <w:rFonts w:eastAsia="Times New Roman" w:cs="Arial"/>
          <w:color w:val="000000"/>
          <w:u w:val="single"/>
          <w:lang w:eastAsia="bg-BG"/>
        </w:rPr>
      </w:pPr>
    </w:p>
    <w:p w14:paraId="01546037" w14:textId="6A77A2B2" w:rsidR="000E084A" w:rsidRPr="000E084A" w:rsidRDefault="000E084A" w:rsidP="000E084A">
      <w:pPr>
        <w:rPr>
          <w:rFonts w:eastAsia="Times New Roman" w:cs="Arial"/>
          <w:color w:val="000000"/>
          <w:u w:val="single"/>
          <w:lang w:eastAsia="bg-BG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Профилактика на сърдечносъдови инциденти</w:t>
      </w:r>
    </w:p>
    <w:p w14:paraId="3AA8BEE7" w14:textId="77777777" w:rsidR="000E084A" w:rsidRPr="000E084A" w:rsidRDefault="000E084A" w:rsidP="000E08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84A">
        <w:rPr>
          <w:rFonts w:eastAsia="Times New Roman" w:cs="Arial"/>
          <w:color w:val="000000"/>
          <w:lang w:eastAsia="bg-BG"/>
        </w:rPr>
        <w:t>Профилактика на значими сърдечносъдови инциденти при пациенти, които се очаква да имат висок риск за първи сърдечносъдов инцидент (вж. точка 5.1), като допълнение към коригиране на други рискови фактори.</w:t>
      </w:r>
    </w:p>
    <w:p w14:paraId="0AA96C45" w14:textId="77777777" w:rsidR="000E084A" w:rsidRPr="000E084A" w:rsidRDefault="000E084A" w:rsidP="000E084A"/>
    <w:p w14:paraId="7647A102" w14:textId="497E55C9" w:rsidR="00DB32D3" w:rsidRDefault="002C50EE" w:rsidP="005726E3">
      <w:pPr>
        <w:pStyle w:val="Heading2"/>
      </w:pPr>
      <w:r>
        <w:t>4.2. Дозировка и начин на приложение</w:t>
      </w:r>
    </w:p>
    <w:p w14:paraId="0EADCC60" w14:textId="3C8635DF" w:rsidR="000E084A" w:rsidRDefault="000E084A" w:rsidP="000E084A"/>
    <w:p w14:paraId="65913F0D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>Преди започване на лечението, пациентът трябва да бъде поставен на стандартна холестерол- понижаваща диета, която трябва да продължи и по време на лечението. Дозата трябва да се индивидуализира в зависимост от целта на лечението и отговора на пациента, като се използват актуалните консенсусни препоръки.</w:t>
      </w:r>
    </w:p>
    <w:p w14:paraId="102CBDCD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може да се приема по всяко време на деня, с или без храна.</w:t>
      </w:r>
    </w:p>
    <w:p w14:paraId="0E0CDBA7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7A206A" w14:textId="5F42503B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Лечение на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хиперхолестеролемия</w:t>
      </w:r>
      <w:proofErr w:type="spellEnd"/>
    </w:p>
    <w:p w14:paraId="2B3A4C2A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Препоръчителната начална доза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или 10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перорално веднъж дневно, както при пациенти, които не са приемали стативи, така и при преминаване от друг инхибитор на </w:t>
      </w:r>
      <w:r w:rsidRPr="000E084A">
        <w:rPr>
          <w:rFonts w:eastAsia="Times New Roman" w:cs="Arial"/>
          <w:color w:val="000000"/>
          <w:lang w:val="en-US"/>
        </w:rPr>
        <w:t>HMG</w:t>
      </w:r>
      <w:r w:rsidRPr="000E084A">
        <w:rPr>
          <w:rFonts w:eastAsia="Times New Roman" w:cs="Arial"/>
          <w:color w:val="000000"/>
          <w:lang w:val="ru-RU"/>
        </w:rPr>
        <w:t xml:space="preserve">-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СоА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. Изборът на начална доза зависи от нивото на серумния холестерол, бъдещия сърдечносъдов риск и потенциалния риск от поява на нежелани лекарствени реакции (вж. по- долу). При необходимост дозата може да се коригира като след 4 седмици се премине на следващото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дозово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ниво (вж. точка 5.1). Предвид повишената честота на докладване на нежелани реакции при доза от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в сравнение с по-ниските дози (вж. точка 4.8), последно титриране до доза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или до максималната доза от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трябва да се предприема само при пациенти с тежка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с висок сърдечносъдов риск (особено тези с фамилна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), които не достигат прицелните ниша на холестерола при лечение с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при които ще се провежда рутинно проследяване в хода на лечението (вж. точка 4.4). При започване на лечение с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или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се препоръчва постоянно наблюдение на пациента от специалист.</w:t>
      </w:r>
    </w:p>
    <w:p w14:paraId="5600FE73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88AFEF" w14:textId="6D4A49E0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Профилактика на сърдечносъдови инциденти</w:t>
      </w:r>
    </w:p>
    <w:p w14:paraId="74D26B5E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В проучване за намаляване на риска от сърдечносъдови инциденти, използваната доза е била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дневно (вж. точка 5.1).</w:t>
      </w:r>
    </w:p>
    <w:p w14:paraId="32383A28" w14:textId="77777777" w:rsidR="000E084A" w:rsidRPr="000E084A" w:rsidRDefault="000E084A" w:rsidP="000E084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76DE59E" w14:textId="7F2E672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E0EAA99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>Употребата при деца трябва да се провежда само от специалисти.</w:t>
      </w:r>
    </w:p>
    <w:p w14:paraId="70CAB4E9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B3A55E" w14:textId="321BD518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Деца и младежи на възраст 6 до 17 години (стадий &lt;</w:t>
      </w:r>
      <w:r w:rsidRPr="000E084A">
        <w:rPr>
          <w:rFonts w:eastAsia="Times New Roman" w:cs="Arial"/>
          <w:color w:val="000000"/>
          <w:u w:val="single"/>
          <w:lang w:val="en-US"/>
        </w:rPr>
        <w:t>II</w:t>
      </w:r>
      <w:r w:rsidRPr="000E084A">
        <w:rPr>
          <w:rFonts w:eastAsia="Times New Roman" w:cs="Arial"/>
          <w:color w:val="000000"/>
          <w:u w:val="single"/>
          <w:lang w:eastAsia="bg-BG"/>
        </w:rPr>
        <w:t>-</w:t>
      </w:r>
      <w:r w:rsidRPr="000E084A">
        <w:rPr>
          <w:rFonts w:eastAsia="Times New Roman" w:cs="Arial"/>
          <w:color w:val="000000"/>
          <w:u w:val="single"/>
          <w:lang w:val="en-US"/>
        </w:rPr>
        <w:t>V</w:t>
      </w:r>
      <w:r w:rsidRPr="000E084A">
        <w:rPr>
          <w:rFonts w:eastAsia="Times New Roman" w:cs="Arial"/>
          <w:color w:val="000000"/>
          <w:u w:val="single"/>
          <w:lang w:eastAsia="bg-BG"/>
        </w:rPr>
        <w:t xml:space="preserve"> по Танер)</w:t>
      </w:r>
    </w:p>
    <w:p w14:paraId="17770DF3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DDBF5AB" w14:textId="2B8B3B84" w:rsidR="000E084A" w:rsidRPr="000E084A" w:rsidRDefault="000E084A" w:rsidP="000E084A">
      <w:pPr>
        <w:spacing w:line="240" w:lineRule="auto"/>
        <w:rPr>
          <w:rFonts w:eastAsia="Times New Roman" w:cs="Arial"/>
        </w:rPr>
      </w:pP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Хетерозиготна</w:t>
      </w:r>
      <w:proofErr w:type="spellEnd"/>
      <w:r w:rsidRPr="000E084A">
        <w:rPr>
          <w:rFonts w:eastAsia="Times New Roman" w:cs="Arial"/>
          <w:color w:val="000000"/>
          <w:u w:val="single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хиперхолестеролемия</w:t>
      </w:r>
      <w:proofErr w:type="spellEnd"/>
    </w:p>
    <w:p w14:paraId="0A6C77F7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деца и младежи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обичайната начална доза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дневно.</w:t>
      </w:r>
    </w:p>
    <w:p w14:paraId="0FFD27EE" w14:textId="77777777" w:rsidR="000E084A" w:rsidRPr="000E084A" w:rsidRDefault="000E084A" w:rsidP="000E084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lastRenderedPageBreak/>
        <w:t xml:space="preserve">При деца от 6 до 9-тодишна възраст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обичайния обхват на дозата е 5-10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перорално веднъж дневно. Безопасността и ефикасността на дози по-големи от 10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6C522A65" w14:textId="5FE930AC" w:rsidR="000E084A" w:rsidRPr="000E084A" w:rsidRDefault="000E084A" w:rsidP="000E084A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деца от 10 до 17-тодишна възраст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обичайния обхват на дозата е 5-20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перорално веднъж дневно. Безопасността и ефикасността на дози по-големи от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3624F09A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314A5F" w14:textId="7DF18915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Трябва да се провежда титриране до максималната доза от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дневно, съгласно индивидуалния отговор и поносимост на педиатричните пациенти, както се препоръчва в препоръките за лечение на деца (вж. точка 4.4). Децата и младежите трябва да се подложат на стандартна холестерол-понижаваща диета преди да се започне лечение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; тази диета трябва да продължи по време на лечението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</w:p>
    <w:p w14:paraId="234908B2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FEE4B9" w14:textId="422F1518" w:rsidR="000E084A" w:rsidRPr="000E084A" w:rsidRDefault="000E084A" w:rsidP="000E084A">
      <w:pPr>
        <w:spacing w:line="240" w:lineRule="auto"/>
        <w:rPr>
          <w:rFonts w:eastAsia="Times New Roman" w:cs="Arial"/>
        </w:rPr>
      </w:pP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Хомозиготна</w:t>
      </w:r>
      <w:proofErr w:type="spellEnd"/>
      <w:r w:rsidRPr="000E084A">
        <w:rPr>
          <w:rFonts w:eastAsia="Times New Roman" w:cs="Arial"/>
          <w:color w:val="000000"/>
          <w:u w:val="single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хиперхолестеролемия</w:t>
      </w:r>
      <w:proofErr w:type="spellEnd"/>
    </w:p>
    <w:p w14:paraId="55994840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деца и младежи на възраст 6 до 17 години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препоръчваната максимална доза е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дневно.</w:t>
      </w:r>
    </w:p>
    <w:p w14:paraId="74759E2E" w14:textId="43DF5960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0E084A">
        <w:rPr>
          <w:rFonts w:eastAsia="Times New Roman" w:cs="Arial"/>
          <w:color w:val="000000"/>
          <w:lang w:eastAsia="bg-BG"/>
        </w:rPr>
        <w:t xml:space="preserve">Началната доза е 5-10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перорално веднъж дневно в зависимост от възрастта, теглото и предшестващия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6A748101" w14:textId="1285E7FF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3FEDC7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Титрирането до максималната доза от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дневно трябва да се провежда съгласно индивидуалния отговор и поносимост на педиатричните пациенти, както се препоръчва в препоръките за лечение на деца (вж. точка 4.4). Децата и младежите трябва да се подложат на стандартна холестерол-понижаваща диета преди да се започне лечение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; диетата трябва да се продължи по време на лечението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5A91C0C9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Опитът при тази популация с дози, различни от 20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е ограничен.</w:t>
      </w:r>
    </w:p>
    <w:p w14:paraId="249DC287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Дози от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не са подходящи да употреба при педиатрични пациенти.</w:t>
      </w:r>
    </w:p>
    <w:p w14:paraId="0FD5FFE5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3C70E9" w14:textId="5E9EDECB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Деца по-малки от 6 години</w:t>
      </w:r>
    </w:p>
    <w:p w14:paraId="50C47981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Безопасността и ефикасността на употребата при деца по-малки от 6 години не са проучвани. Следователно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не се препоръчва за употреба при деца по-малки от 6 години.</w:t>
      </w:r>
    </w:p>
    <w:p w14:paraId="232C5C05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76220E" w14:textId="1FC6A81E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Употреба при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папиенти</w:t>
      </w:r>
      <w:proofErr w:type="spellEnd"/>
      <w:r w:rsidRPr="000E084A">
        <w:rPr>
          <w:rFonts w:eastAsia="Times New Roman" w:cs="Arial"/>
          <w:color w:val="000000"/>
          <w:u w:val="single"/>
          <w:lang w:eastAsia="bg-BG"/>
        </w:rPr>
        <w:t xml:space="preserve"> в старческа възраст</w:t>
      </w:r>
    </w:p>
    <w:p w14:paraId="7B0544E8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Препоръчителната начална доза при пациенти &gt; 70 годишна възраст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(вж. точка 4.4). Не е необходимо друго коригиране на дозировката в зависимост от възрастта.</w:t>
      </w:r>
    </w:p>
    <w:p w14:paraId="71C6FB27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315F9C" w14:textId="77D2EC7A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Дозиране пои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папиенти</w:t>
      </w:r>
      <w:proofErr w:type="spellEnd"/>
      <w:r w:rsidRPr="000E084A">
        <w:rPr>
          <w:rFonts w:eastAsia="Times New Roman" w:cs="Arial"/>
          <w:color w:val="000000"/>
          <w:u w:val="single"/>
          <w:lang w:eastAsia="bg-BG"/>
        </w:rPr>
        <w:t xml:space="preserve"> с бъбречна недостатъчност:</w:t>
      </w:r>
    </w:p>
    <w:p w14:paraId="452DA9BB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Не е необходима корекция на дозата при пациенти с леко до умерено увреждане на бъбречната функция. При пациенти с умерено увреждане препоръчителната начална доза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на бъбречната функция (</w:t>
      </w:r>
      <w:proofErr w:type="spellStart"/>
      <w:r w:rsidRPr="000E084A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клирънс &lt; 60 </w:t>
      </w:r>
      <w:r w:rsidRPr="000E084A">
        <w:rPr>
          <w:rFonts w:eastAsia="Times New Roman" w:cs="Arial"/>
          <w:color w:val="000000"/>
          <w:lang w:val="en-US"/>
        </w:rPr>
        <w:t>ml</w:t>
      </w:r>
      <w:r w:rsidRPr="000E084A">
        <w:rPr>
          <w:rFonts w:eastAsia="Times New Roman" w:cs="Arial"/>
          <w:color w:val="000000"/>
          <w:lang w:val="ru-RU"/>
        </w:rPr>
        <w:t>/</w:t>
      </w:r>
      <w:r w:rsidRPr="000E084A">
        <w:rPr>
          <w:rFonts w:eastAsia="Times New Roman" w:cs="Arial"/>
          <w:color w:val="000000"/>
          <w:lang w:val="en-US"/>
        </w:rPr>
        <w:t>min</w:t>
      </w:r>
      <w:r w:rsidRPr="000E084A">
        <w:rPr>
          <w:rFonts w:eastAsia="Times New Roman" w:cs="Arial"/>
          <w:color w:val="000000"/>
          <w:lang w:val="ru-RU"/>
        </w:rPr>
        <w:t xml:space="preserve">). </w:t>
      </w:r>
      <w:r w:rsidRPr="000E084A">
        <w:rPr>
          <w:rFonts w:eastAsia="Times New Roman" w:cs="Arial"/>
          <w:color w:val="000000"/>
          <w:lang w:eastAsia="bg-BG"/>
        </w:rPr>
        <w:t xml:space="preserve">Дози от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са противопоказани при пациенти с умерено увреждане на бъбречната функция. Употребата 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при пациенти с тежко увреждане на бъбречната функция е противопоказана за всички дозировки (вж. точки 4.3 и 5.2)</w:t>
      </w:r>
    </w:p>
    <w:p w14:paraId="3F0C1392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D53E68" w14:textId="799E0AAA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Дозиране при пациенти с увреждане на чернодробната функция:</w:t>
      </w:r>
    </w:p>
    <w:p w14:paraId="26C7DC99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Не е наблюдавана повишена системна експозиция 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при пациенти с оценка по скалата на </w:t>
      </w:r>
      <w:r w:rsidRPr="000E084A">
        <w:rPr>
          <w:rFonts w:eastAsia="Times New Roman" w:cs="Arial"/>
          <w:color w:val="000000"/>
          <w:lang w:val="en-US"/>
        </w:rPr>
        <w:t>Child</w:t>
      </w:r>
      <w:r w:rsidRPr="000E084A">
        <w:rPr>
          <w:rFonts w:eastAsia="Times New Roman" w:cs="Arial"/>
          <w:color w:val="000000"/>
          <w:lang w:val="ru-RU"/>
        </w:rPr>
        <w:t>-</w:t>
      </w:r>
      <w:r w:rsidRPr="000E084A">
        <w:rPr>
          <w:rFonts w:eastAsia="Times New Roman" w:cs="Arial"/>
          <w:color w:val="000000"/>
          <w:lang w:val="en-US"/>
        </w:rPr>
        <w:t>Pugh</w:t>
      </w:r>
      <w:r w:rsidRPr="000E084A">
        <w:rPr>
          <w:rFonts w:eastAsia="Times New Roman" w:cs="Arial"/>
          <w:color w:val="000000"/>
          <w:lang w:val="ru-RU"/>
        </w:rPr>
        <w:t xml:space="preserve">, </w:t>
      </w:r>
      <w:r w:rsidRPr="000E084A">
        <w:rPr>
          <w:rFonts w:eastAsia="Times New Roman" w:cs="Arial"/>
          <w:color w:val="000000"/>
          <w:lang w:eastAsia="bg-BG"/>
        </w:rPr>
        <w:t xml:space="preserve">равна на 7 или по-ниска. Въпреки това повишена системна експозиция е наблюдавана при пациенти с оценка по скалата на </w:t>
      </w:r>
      <w:r w:rsidRPr="000E084A">
        <w:rPr>
          <w:rFonts w:eastAsia="Times New Roman" w:cs="Arial"/>
          <w:color w:val="000000"/>
          <w:lang w:val="en-US"/>
        </w:rPr>
        <w:t>Child</w:t>
      </w:r>
      <w:r w:rsidRPr="000E084A">
        <w:rPr>
          <w:rFonts w:eastAsia="Times New Roman" w:cs="Arial"/>
          <w:color w:val="000000"/>
          <w:lang w:val="ru-RU"/>
        </w:rPr>
        <w:t>-</w:t>
      </w:r>
      <w:r w:rsidRPr="000E084A">
        <w:rPr>
          <w:rFonts w:eastAsia="Times New Roman" w:cs="Arial"/>
          <w:color w:val="000000"/>
          <w:lang w:val="en-US"/>
        </w:rPr>
        <w:t>Pugh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8 и </w:t>
      </w:r>
      <w:r w:rsidRPr="000E084A">
        <w:rPr>
          <w:rFonts w:eastAsia="Times New Roman" w:cs="Arial"/>
          <w:color w:val="000000"/>
          <w:lang w:eastAsia="bg-BG"/>
        </w:rPr>
        <w:lastRenderedPageBreak/>
        <w:t xml:space="preserve">9 (вж. точка 5.2). При тези пациенти трябва да се предприеме и оценка на бъбречната функция (вж. точка 4.4). Липсва опит при пациенти с оценка по скалата на </w:t>
      </w:r>
      <w:r w:rsidRPr="000E084A">
        <w:rPr>
          <w:rFonts w:eastAsia="Times New Roman" w:cs="Arial"/>
          <w:color w:val="000000"/>
          <w:lang w:val="en-US"/>
        </w:rPr>
        <w:t>Child</w:t>
      </w:r>
      <w:r w:rsidRPr="000E084A">
        <w:rPr>
          <w:rFonts w:eastAsia="Times New Roman" w:cs="Arial"/>
          <w:color w:val="000000"/>
          <w:lang w:val="ru-RU"/>
        </w:rPr>
        <w:t>-</w:t>
      </w:r>
      <w:r w:rsidRPr="000E084A">
        <w:rPr>
          <w:rFonts w:eastAsia="Times New Roman" w:cs="Arial"/>
          <w:color w:val="000000"/>
          <w:lang w:val="en-US"/>
        </w:rPr>
        <w:t>Pugh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над 9.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е противопоказан при пациенти с активно чернодробно заболяване (вж. точка 4.3).</w:t>
      </w:r>
    </w:p>
    <w:p w14:paraId="32B9AB24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6691A1" w14:textId="4D578C99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Раса</w:t>
      </w:r>
    </w:p>
    <w:p w14:paraId="65EDA23B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пациенти от азиатски произход е наблюдавана повишена системна експозиция (вж. точки 4.3,4.4 и 5.2). Препоръчваната начална доза при пациенти от азиатски произход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. </w:t>
      </w:r>
      <w:r w:rsidRPr="000E084A">
        <w:rPr>
          <w:rFonts w:eastAsia="Times New Roman" w:cs="Arial"/>
          <w:color w:val="000000"/>
          <w:lang w:eastAsia="bg-BG"/>
        </w:rPr>
        <w:t xml:space="preserve">При тези пациенти дози от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са противопоказани.</w:t>
      </w:r>
    </w:p>
    <w:p w14:paraId="1F253369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759BFB" w14:textId="17E74A9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Генетичен полиморфизъм</w:t>
      </w:r>
    </w:p>
    <w:p w14:paraId="02EDD144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Известно е, че специфични типове на генетичен полиморфизъм могат да доведат до повишена експозиция 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(вж. точка 5.2). За пациенти, за които е известно, че имат специфичен тип генетичен полиморфизъм, се препоръчва по-ниска доза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28D9D4E1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81D273" w14:textId="7132119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 xml:space="preserve">Дозиране при пациенти, предразположени към развитие на </w:t>
      </w:r>
      <w:proofErr w:type="spellStart"/>
      <w:r w:rsidRPr="000E084A">
        <w:rPr>
          <w:rFonts w:eastAsia="Times New Roman" w:cs="Arial"/>
          <w:color w:val="000000"/>
          <w:u w:val="single"/>
          <w:lang w:eastAsia="bg-BG"/>
        </w:rPr>
        <w:t>миопатия</w:t>
      </w:r>
      <w:proofErr w:type="spellEnd"/>
    </w:p>
    <w:p w14:paraId="27738130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пациента с предразполагащи фактори за развитие 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препоръчителната начална доза е 5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(вж. точка 4.4).</w:t>
      </w:r>
    </w:p>
    <w:p w14:paraId="152FDF23" w14:textId="77777777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lang w:eastAsia="bg-BG"/>
        </w:rPr>
        <w:t xml:space="preserve">При някои от тези пациенти е противопоказано приложението на дози от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>(вж. точка 4.3).</w:t>
      </w:r>
    </w:p>
    <w:p w14:paraId="7136CD71" w14:textId="77777777" w:rsidR="000E084A" w:rsidRPr="000E084A" w:rsidRDefault="000E084A" w:rsidP="000E084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900D3E" w14:textId="47C87B81" w:rsidR="000E084A" w:rsidRPr="000E084A" w:rsidRDefault="000E084A" w:rsidP="000E084A">
      <w:pPr>
        <w:spacing w:line="240" w:lineRule="auto"/>
        <w:rPr>
          <w:rFonts w:eastAsia="Times New Roman" w:cs="Arial"/>
        </w:rPr>
      </w:pPr>
      <w:r w:rsidRPr="000E084A">
        <w:rPr>
          <w:rFonts w:eastAsia="Times New Roman" w:cs="Arial"/>
          <w:color w:val="000000"/>
          <w:u w:val="single"/>
          <w:lang w:eastAsia="bg-BG"/>
        </w:rPr>
        <w:t>Съпътстваща терапия</w:t>
      </w:r>
    </w:p>
    <w:p w14:paraId="61BB043F" w14:textId="451D9C8B" w:rsidR="000E084A" w:rsidRPr="000E084A" w:rsidRDefault="000E084A" w:rsidP="000E084A">
      <w:pPr>
        <w:spacing w:line="240" w:lineRule="auto"/>
        <w:rPr>
          <w:rFonts w:eastAsia="Times New Roman" w:cs="Arial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е субстрат на различни транспортни протеини (напр. ОАТР1В1 и </w:t>
      </w:r>
      <w:r w:rsidRPr="000E084A">
        <w:rPr>
          <w:rFonts w:eastAsia="Times New Roman" w:cs="Arial"/>
          <w:color w:val="000000"/>
          <w:lang w:val="en-US"/>
        </w:rPr>
        <w:t>BCRP</w:t>
      </w:r>
      <w:r w:rsidRPr="000E084A">
        <w:rPr>
          <w:rFonts w:eastAsia="Times New Roman" w:cs="Arial"/>
          <w:color w:val="000000"/>
          <w:lang w:val="ru-RU"/>
        </w:rPr>
        <w:t xml:space="preserve">). </w:t>
      </w:r>
      <w:r w:rsidRPr="000E084A">
        <w:rPr>
          <w:rFonts w:eastAsia="Times New Roman" w:cs="Arial"/>
          <w:color w:val="000000"/>
          <w:lang w:eastAsia="bg-BG"/>
        </w:rPr>
        <w:t xml:space="preserve">Рискът от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(включително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) се повишава, когато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е приложен едновременно с някои медицински продукти, които могат да повишат плазмената му концентрация поради взаимодействие с тези транспортни протеини (напр. циклоспорин и някои</w:t>
      </w:r>
      <w:r w:rsidRPr="000E084A">
        <w:rPr>
          <w:rFonts w:eastAsia="Times New Roman" w:cs="Arial"/>
          <w:lang w:val="ru-RU"/>
        </w:rPr>
        <w:t xml:space="preserve">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инхибитори, включително комбинации от ритонавир и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атазанавир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, лопинавир и/или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типранавир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; вижте точки 4.4. и 4.5). Когато е възможно </w:t>
      </w:r>
      <w:r w:rsidRPr="000E084A">
        <w:rPr>
          <w:rFonts w:eastAsia="Times New Roman" w:cs="Arial"/>
          <w:i/>
          <w:iCs/>
          <w:color w:val="000000"/>
          <w:lang w:eastAsia="bg-BG"/>
        </w:rPr>
        <w:t>трябва</w:t>
      </w:r>
      <w:r w:rsidRPr="000E084A">
        <w:rPr>
          <w:rFonts w:eastAsia="Times New Roman" w:cs="Arial"/>
          <w:color w:val="000000"/>
          <w:lang w:eastAsia="bg-BG"/>
        </w:rPr>
        <w:t xml:space="preserve"> да се обсъди </w:t>
      </w:r>
      <w:r w:rsidRPr="000E084A">
        <w:rPr>
          <w:rFonts w:eastAsia="Times New Roman" w:cs="Arial"/>
          <w:i/>
          <w:iCs/>
          <w:color w:val="000000"/>
          <w:lang w:eastAsia="bg-BG"/>
        </w:rPr>
        <w:t xml:space="preserve">алтернативно </w:t>
      </w:r>
      <w:r w:rsidRPr="000E084A">
        <w:rPr>
          <w:rFonts w:eastAsia="Times New Roman" w:cs="Arial"/>
          <w:color w:val="000000"/>
          <w:lang w:eastAsia="bg-BG"/>
        </w:rPr>
        <w:t xml:space="preserve">лечение и ако е необходимо, да се прекрати временно лечението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. В случаи, когато едновременното прилагане на тези медицински продукти с 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е неизбежно,</w:t>
      </w:r>
      <w:r w:rsidRPr="000E084A">
        <w:rPr>
          <w:rFonts w:eastAsia="Times New Roman" w:cs="Arial"/>
          <w:color w:val="000000"/>
          <w:lang w:val="ru-RU" w:eastAsia="bg-BG"/>
        </w:rPr>
        <w:t xml:space="preserve"> </w:t>
      </w:r>
      <w:r w:rsidRPr="000E084A">
        <w:rPr>
          <w:rFonts w:cs="Arial"/>
        </w:rPr>
        <w:t xml:space="preserve">трябва внимателно да се прецени съотношението полза/риск от едновременното лечение и дозирането на </w:t>
      </w:r>
      <w:proofErr w:type="spellStart"/>
      <w:r w:rsidRPr="000E084A">
        <w:rPr>
          <w:rFonts w:cs="Arial"/>
        </w:rPr>
        <w:t>розувастатин</w:t>
      </w:r>
      <w:proofErr w:type="spellEnd"/>
      <w:r w:rsidRPr="000E084A">
        <w:rPr>
          <w:rFonts w:cs="Arial"/>
        </w:rPr>
        <w:t xml:space="preserve"> (вж. точка 4.5).</w:t>
      </w:r>
    </w:p>
    <w:p w14:paraId="06954C7C" w14:textId="303B349B" w:rsidR="000E084A" w:rsidRPr="000E084A" w:rsidRDefault="000E084A" w:rsidP="000E084A"/>
    <w:p w14:paraId="74903285" w14:textId="1C0B4D73" w:rsidR="00DB32D3" w:rsidRDefault="002C50EE" w:rsidP="005726E3">
      <w:pPr>
        <w:pStyle w:val="Heading2"/>
      </w:pPr>
      <w:r>
        <w:t>4.3. Противопоказания</w:t>
      </w:r>
    </w:p>
    <w:p w14:paraId="78A6FD28" w14:textId="6A5DF047" w:rsidR="000E084A" w:rsidRDefault="000E084A" w:rsidP="000E084A"/>
    <w:p w14:paraId="0571C993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0E084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0E084A">
        <w:rPr>
          <w:rFonts w:eastAsia="Times New Roman" w:cs="Arial"/>
          <w:color w:val="000000"/>
          <w:lang w:eastAsia="bg-BG"/>
        </w:rPr>
        <w:t xml:space="preserve"> е противопоказан:</w:t>
      </w:r>
    </w:p>
    <w:p w14:paraId="6FB77498" w14:textId="77777777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 със свръхчувствителност към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към някое от помощните вещества, изброени в точка 6.1.</w:t>
      </w:r>
    </w:p>
    <w:p w14:paraId="40F77012" w14:textId="77777777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 с активно чернодробно заболяване, включително неуточнено, продължително покачване на серумните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всяко покачване на серумна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три пъти над горната референтна граница </w:t>
      </w:r>
      <w:r w:rsidRPr="005E44CF">
        <w:rPr>
          <w:rFonts w:eastAsia="Times New Roman" w:cs="Arial"/>
          <w:color w:val="000000"/>
          <w:lang w:val="ru-RU"/>
        </w:rPr>
        <w:t>(</w:t>
      </w:r>
      <w:r w:rsidRPr="005E44CF">
        <w:rPr>
          <w:rFonts w:eastAsia="Times New Roman" w:cs="Arial"/>
          <w:color w:val="000000"/>
          <w:lang w:val="en-US"/>
        </w:rPr>
        <w:t>ULN</w:t>
      </w:r>
      <w:r w:rsidRPr="005E44CF">
        <w:rPr>
          <w:rFonts w:eastAsia="Times New Roman" w:cs="Arial"/>
          <w:color w:val="000000"/>
          <w:lang w:val="ru-RU"/>
        </w:rPr>
        <w:t>).</w:t>
      </w:r>
    </w:p>
    <w:p w14:paraId="0EFC6EE1" w14:textId="77777777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при пациенти с тежко увреждане на бъбречната функция (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клирънс &lt; 30 </w:t>
      </w:r>
      <w:r w:rsidRPr="005E44CF">
        <w:rPr>
          <w:rFonts w:eastAsia="Times New Roman" w:cs="Arial"/>
          <w:color w:val="000000"/>
          <w:lang w:val="en-US"/>
        </w:rPr>
        <w:t>ml</w:t>
      </w:r>
      <w:r w:rsidRPr="005E44CF">
        <w:rPr>
          <w:rFonts w:eastAsia="Times New Roman" w:cs="Arial"/>
          <w:color w:val="000000"/>
          <w:lang w:val="ru-RU"/>
        </w:rPr>
        <w:t>/</w:t>
      </w:r>
      <w:r w:rsidRPr="005E44CF">
        <w:rPr>
          <w:rFonts w:eastAsia="Times New Roman" w:cs="Arial"/>
          <w:color w:val="000000"/>
          <w:lang w:val="en-US"/>
        </w:rPr>
        <w:t>min</w:t>
      </w:r>
      <w:r w:rsidRPr="005E44CF">
        <w:rPr>
          <w:rFonts w:eastAsia="Times New Roman" w:cs="Arial"/>
          <w:color w:val="000000"/>
          <w:lang w:val="ru-RU"/>
        </w:rPr>
        <w:t>)</w:t>
      </w:r>
    </w:p>
    <w:p w14:paraId="313C5AEB" w14:textId="77777777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</w:p>
    <w:p w14:paraId="3EBAB5C3" w14:textId="77777777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при пациенти, приемащи едновременно циклоспорин</w:t>
      </w:r>
    </w:p>
    <w:p w14:paraId="163F7347" w14:textId="256C16FD" w:rsidR="000E084A" w:rsidRPr="005E44CF" w:rsidRDefault="000E084A" w:rsidP="000E084A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по време на бременност, кърмене и при жени в детеродна възраст, които не използват подходящи контрацептивни средства</w:t>
      </w:r>
    </w:p>
    <w:p w14:paraId="59BF3E1E" w14:textId="77777777" w:rsidR="000E084A" w:rsidRPr="005E44CF" w:rsidRDefault="000E084A" w:rsidP="000E084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361FC5" w14:textId="1BDBC91E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lang w:eastAsia="bg-BG"/>
        </w:rPr>
        <w:lastRenderedPageBreak/>
        <w:t xml:space="preserve">Дози от 30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и 40 </w:t>
      </w:r>
      <w:r w:rsidRPr="000E084A">
        <w:rPr>
          <w:rFonts w:eastAsia="Times New Roman" w:cs="Arial"/>
          <w:color w:val="000000"/>
          <w:lang w:val="en-US"/>
        </w:rPr>
        <w:t>mg</w:t>
      </w:r>
      <w:r w:rsidRPr="000E084A">
        <w:rPr>
          <w:rFonts w:eastAsia="Times New Roman" w:cs="Arial"/>
          <w:color w:val="000000"/>
          <w:lang w:val="ru-RU"/>
        </w:rPr>
        <w:t xml:space="preserve"> </w:t>
      </w:r>
      <w:r w:rsidRPr="000E084A">
        <w:rPr>
          <w:rFonts w:eastAsia="Times New Roman" w:cs="Arial"/>
          <w:color w:val="000000"/>
          <w:lang w:eastAsia="bg-BG"/>
        </w:rPr>
        <w:t xml:space="preserve">са противопоказани при пациенти с предразполагащи фактори за развитие на </w:t>
      </w:r>
      <w:proofErr w:type="spellStart"/>
      <w:r w:rsidRPr="000E084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0E084A">
        <w:rPr>
          <w:rFonts w:eastAsia="Times New Roman" w:cs="Arial"/>
          <w:color w:val="000000"/>
          <w:lang w:eastAsia="bg-BG"/>
        </w:rPr>
        <w:t>/</w:t>
      </w:r>
      <w:proofErr w:type="spellStart"/>
      <w:r w:rsidRPr="000E084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0E084A">
        <w:rPr>
          <w:rFonts w:eastAsia="Times New Roman" w:cs="Arial"/>
          <w:color w:val="000000"/>
          <w:lang w:eastAsia="bg-BG"/>
        </w:rPr>
        <w:t>.</w:t>
      </w:r>
    </w:p>
    <w:p w14:paraId="066D8C28" w14:textId="77777777" w:rsidR="000E084A" w:rsidRPr="000E084A" w:rsidRDefault="000E084A" w:rsidP="000E084A">
      <w:pPr>
        <w:spacing w:line="240" w:lineRule="auto"/>
        <w:rPr>
          <w:rFonts w:eastAsia="Times New Roman" w:cs="Arial"/>
          <w:sz w:val="24"/>
          <w:szCs w:val="24"/>
        </w:rPr>
      </w:pPr>
      <w:r w:rsidRPr="000E084A">
        <w:rPr>
          <w:rFonts w:eastAsia="Times New Roman" w:cs="Arial"/>
          <w:color w:val="000000"/>
          <w:lang w:eastAsia="bg-BG"/>
        </w:rPr>
        <w:t>Такива фактори са:</w:t>
      </w:r>
    </w:p>
    <w:p w14:paraId="172E2174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умерено по степен увреждане на бъбречната функция (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клирънс &lt; 60 </w:t>
      </w:r>
      <w:r w:rsidRPr="005E44CF">
        <w:rPr>
          <w:rFonts w:eastAsia="Times New Roman" w:cs="Arial"/>
          <w:color w:val="000000"/>
          <w:lang w:val="en-US"/>
        </w:rPr>
        <w:t>ml</w:t>
      </w:r>
      <w:r w:rsidRPr="005E44CF">
        <w:rPr>
          <w:rFonts w:eastAsia="Times New Roman" w:cs="Arial"/>
          <w:color w:val="000000"/>
          <w:lang w:val="ru-RU"/>
        </w:rPr>
        <w:t>/</w:t>
      </w:r>
      <w:r w:rsidRPr="005E44CF">
        <w:rPr>
          <w:rFonts w:eastAsia="Times New Roman" w:cs="Arial"/>
          <w:color w:val="000000"/>
          <w:lang w:val="en-US"/>
        </w:rPr>
        <w:t>min</w:t>
      </w:r>
      <w:r w:rsidRPr="005E44CF">
        <w:rPr>
          <w:rFonts w:eastAsia="Times New Roman" w:cs="Arial"/>
          <w:color w:val="000000"/>
          <w:lang w:val="ru-RU"/>
        </w:rPr>
        <w:t>)</w:t>
      </w:r>
    </w:p>
    <w:p w14:paraId="430B5544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</w:p>
    <w:p w14:paraId="753A7F9F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лична или фамилна анамнеза за наследствени мускулни заболявалия</w:t>
      </w:r>
    </w:p>
    <w:p w14:paraId="131F7DB9" w14:textId="21CC102B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анамнеза за проява на мускулна токсичност към друг инхибитор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</w:t>
      </w:r>
      <w:r w:rsidR="00692BD9">
        <w:rPr>
          <w:rFonts w:eastAsia="Times New Roman" w:cs="Arial"/>
          <w:color w:val="000000"/>
          <w:lang w:eastAsia="bg-BG"/>
        </w:rPr>
        <w:t>т</w:t>
      </w:r>
      <w:r w:rsidRPr="005E44CF">
        <w:rPr>
          <w:rFonts w:eastAsia="Times New Roman" w:cs="Arial"/>
          <w:color w:val="000000"/>
          <w:lang w:eastAsia="bg-BG"/>
        </w:rPr>
        <w:t>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</w:t>
      </w:r>
      <w:proofErr w:type="spellEnd"/>
    </w:p>
    <w:p w14:paraId="0B3FD3F7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злоупотреба с алкохол</w:t>
      </w:r>
    </w:p>
    <w:p w14:paraId="4672A451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ситуации, при които може да се наблюдава повишаване на плазмените нива</w:t>
      </w:r>
    </w:p>
    <w:p w14:paraId="57F0249A" w14:textId="77777777" w:rsidR="000E084A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пациенти с азиатски произход</w:t>
      </w:r>
    </w:p>
    <w:p w14:paraId="76665AFC" w14:textId="77777777" w:rsidR="005E44CF" w:rsidRPr="005E44CF" w:rsidRDefault="000E084A" w:rsidP="000E084A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</w:p>
    <w:p w14:paraId="44670DE0" w14:textId="38943301" w:rsidR="000E084A" w:rsidRPr="005E44CF" w:rsidRDefault="000E084A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(Вижте точки 4.4,4.5 и 5.2).</w:t>
      </w:r>
    </w:p>
    <w:p w14:paraId="30D7C90F" w14:textId="77777777" w:rsidR="000E084A" w:rsidRPr="000E084A" w:rsidRDefault="000E084A" w:rsidP="000E084A"/>
    <w:p w14:paraId="76DC8E58" w14:textId="4DB0A8AC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0D43AE3F" w14:textId="78805F9B" w:rsidR="005E44CF" w:rsidRDefault="005E44CF" w:rsidP="005E44CF"/>
    <w:p w14:paraId="676B3532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Влияние върху бъбреците</w:t>
      </w:r>
    </w:p>
    <w:p w14:paraId="16E4AC56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пациенти, лекувани с по-високи дози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по-конкретно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 xml:space="preserve">е наблюдавана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установена при изследване с тест-ленти, с предимно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тубулен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произход и в повечето случаи с преходен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интермитентен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характер. Няма данни дали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протеинурията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има прогностичен характер за остро или прогресивно бъбречно заболяване (вж. точка 4.8). Докладваната честота на сериозни бъбречни увреди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употреба е по- висока при дозировка от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. </w:t>
      </w:r>
      <w:r w:rsidRPr="005E44CF">
        <w:rPr>
          <w:rFonts w:eastAsia="Times New Roman" w:cs="Arial"/>
          <w:color w:val="000000"/>
          <w:lang w:eastAsia="bg-BG"/>
        </w:rPr>
        <w:t xml:space="preserve">По време на рутинното проследяване на пациенти, обичайно третирани с дози от 30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>трябва да се прави и оценка на бъбречната функция.</w:t>
      </w:r>
    </w:p>
    <w:p w14:paraId="78E57131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DB42BAB" w14:textId="2617C4CB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Влияние върху скелетната мускулатура</w:t>
      </w:r>
    </w:p>
    <w:p w14:paraId="63FC2373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Съобщавани са ефекти върху скелетната мускулатура в това число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рядко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приложение на всички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режими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особено при дози над 20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5AE8D4EF" w14:textId="73843FFD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Много рядко са съобщавани случаи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употреба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 комбинация с инхибитор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</w:t>
      </w:r>
      <w:r w:rsidR="00AF72E3">
        <w:rPr>
          <w:rFonts w:eastAsia="Times New Roman" w:cs="Arial"/>
          <w:color w:val="000000"/>
          <w:lang w:eastAsia="bg-BG"/>
        </w:rPr>
        <w:t>т</w:t>
      </w:r>
      <w:r w:rsidRPr="005E44CF">
        <w:rPr>
          <w:rFonts w:eastAsia="Times New Roman" w:cs="Arial"/>
          <w:color w:val="000000"/>
          <w:lang w:eastAsia="bg-BG"/>
        </w:rPr>
        <w:t>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Не може да бъде изключено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взаимодействие (вж. точка 4.5) и е необходимо внимание при комбинираното им прилагане, Както при другите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>, докладваната честота на</w:t>
      </w:r>
    </w:p>
    <w:p w14:paraId="6FE0AA67" w14:textId="5D4675AA" w:rsidR="005E44CF" w:rsidRPr="005E44CF" w:rsidRDefault="005E44CF" w:rsidP="005E44CF">
      <w:pPr>
        <w:rPr>
          <w:rFonts w:eastAsia="Times New Roman" w:cs="Arial"/>
          <w:color w:val="000000"/>
          <w:lang w:val="ru-RU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свързана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по време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употреба е по-в</w:t>
      </w:r>
      <w:r w:rsidR="00AF72E3">
        <w:rPr>
          <w:rFonts w:eastAsia="Times New Roman" w:cs="Arial"/>
          <w:color w:val="000000"/>
          <w:lang w:eastAsia="bg-BG"/>
        </w:rPr>
        <w:t>и</w:t>
      </w:r>
      <w:r w:rsidRPr="005E44CF">
        <w:rPr>
          <w:rFonts w:eastAsia="Times New Roman" w:cs="Arial"/>
          <w:color w:val="000000"/>
          <w:lang w:eastAsia="bg-BG"/>
        </w:rPr>
        <w:t>сока</w:t>
      </w:r>
      <w:r w:rsidRPr="005E44CF">
        <w:rPr>
          <w:rFonts w:eastAsia="Times New Roman" w:cs="Arial"/>
          <w:color w:val="000000"/>
          <w:vertAlign w:val="superscript"/>
          <w:lang w:eastAsia="bg-BG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при дозировка от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12E06E0C" w14:textId="46EA7490" w:rsidR="005E44CF" w:rsidRPr="005E44CF" w:rsidRDefault="005E44CF" w:rsidP="005E44CF">
      <w:pPr>
        <w:rPr>
          <w:rFonts w:eastAsia="Times New Roman" w:cs="Arial"/>
          <w:color w:val="000000"/>
          <w:lang w:val="ru-RU"/>
        </w:rPr>
      </w:pPr>
    </w:p>
    <w:p w14:paraId="5A4A662E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 xml:space="preserve">Изследване на </w:t>
      </w:r>
      <w:proofErr w:type="spellStart"/>
      <w:r w:rsidRPr="005E44CF">
        <w:rPr>
          <w:rFonts w:eastAsia="Times New Roman" w:cs="Arial"/>
          <w:i/>
          <w:iCs/>
          <w:color w:val="000000"/>
          <w:lang w:eastAsia="bg-BG"/>
        </w:rPr>
        <w:t>креатинкиназата</w:t>
      </w:r>
      <w:proofErr w:type="spellEnd"/>
    </w:p>
    <w:p w14:paraId="733ED7F0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Креатинкиназата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(СК) не трябва да се изследва след физическо натоварване или при наличие на друга правдоподобна причина за увеличение на СК, която може да затрудни интерпретацията на резултата. Ако нивото на СК е значително повишено на изходно ниво (&gt; 5 пъти над горната референтна граница), трябва да се извърши повторен тест за потвърждаване в рамките на 5-7 дни. Ако се потвърди изходното ниво на СК &gt; 5 пъти над </w:t>
      </w:r>
      <w:r w:rsidRPr="005E44CF">
        <w:rPr>
          <w:rFonts w:eastAsia="Times New Roman" w:cs="Arial"/>
          <w:color w:val="000000"/>
          <w:lang w:val="en-US"/>
        </w:rPr>
        <w:t>ULN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>лечението не трябва да се започва.</w:t>
      </w:r>
    </w:p>
    <w:p w14:paraId="01D67A82" w14:textId="77777777" w:rsidR="005E44CF" w:rsidRPr="005E44CF" w:rsidRDefault="005E44CF" w:rsidP="005E44C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EEFB3D" w14:textId="5F5CAFF0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>Преди лечението</w:t>
      </w:r>
    </w:p>
    <w:p w14:paraId="0729201E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lastRenderedPageBreak/>
        <w:t xml:space="preserve">Както и други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бъде предписван с особено внимание при пациенти, за които са налице фактори, предразполагащи развитие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/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>. Такива фактори са:</w:t>
      </w:r>
    </w:p>
    <w:p w14:paraId="300A6B03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увреждане на бъбречната функция</w:t>
      </w:r>
    </w:p>
    <w:p w14:paraId="4066BB7E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</w:p>
    <w:p w14:paraId="55BB395D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лична или фамилна анамнеза за наследствено мускулно нарушение</w:t>
      </w:r>
    </w:p>
    <w:p w14:paraId="1D06C145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анамнеза за проява на мускулна токсичност към друг инхибитор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</w:t>
      </w:r>
      <w:proofErr w:type="spellEnd"/>
    </w:p>
    <w:p w14:paraId="0F11201B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злоупотреба с алкохол</w:t>
      </w:r>
    </w:p>
    <w:p w14:paraId="0EC60D45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възраст над 70 години</w:t>
      </w:r>
    </w:p>
    <w:p w14:paraId="58FEE3CF" w14:textId="77777777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ситуации, при които може да се наблюдава повишаване на плазмените нива (</w:t>
      </w:r>
      <w:proofErr w:type="spellStart"/>
      <w:r w:rsidRPr="005E44CF">
        <w:rPr>
          <w:rFonts w:eastAsia="Times New Roman" w:cs="Arial"/>
          <w:color w:val="000000"/>
          <w:lang w:eastAsia="bg-BG"/>
        </w:rPr>
        <w:t>вж.точки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4.2, 4.5 и 5.2)</w:t>
      </w:r>
    </w:p>
    <w:p w14:paraId="737DAC33" w14:textId="5C1627BA" w:rsidR="005E44CF" w:rsidRPr="005E44CF" w:rsidRDefault="005E44CF" w:rsidP="005E44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фибрати</w:t>
      </w:r>
      <w:proofErr w:type="spellEnd"/>
    </w:p>
    <w:p w14:paraId="374402E9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При такива пациенти рискът от лечението трябва да се съобрази с възможната полза, като се препоръчва клинично наблюдение. Ако изходното ниво на СК е значително повишено (&gt; 5 пъти над горната референтна граница), лечението не трябва да започва.</w:t>
      </w:r>
    </w:p>
    <w:p w14:paraId="47306B27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Дози от 30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са противопоказани при пациенти с предразполагащи фактори за развитие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>/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>. Вижте точка 4.3.</w:t>
      </w:r>
    </w:p>
    <w:p w14:paraId="69BB1930" w14:textId="77777777" w:rsidR="005E44CF" w:rsidRPr="005E44CF" w:rsidRDefault="005E44CF" w:rsidP="005E44C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78B8E16" w14:textId="457662DA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>По време на лечението</w:t>
      </w:r>
    </w:p>
    <w:p w14:paraId="2FD6B072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Пациентите трябва да бъдат предупредени незабавно да съобщават за появата на необясними мускулни болки, усещане за слабост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крампи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особено ако са свързани с неразположение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фебрилитет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При тези пациенти трябва да се изследва нивото на СК. Терапията трябва да се прекрати, ако нивото на СК е значително повишено (&gt; 5 пъти над </w:t>
      </w:r>
      <w:r w:rsidRPr="005E44CF">
        <w:rPr>
          <w:rFonts w:eastAsia="Times New Roman" w:cs="Arial"/>
          <w:color w:val="000000"/>
          <w:lang w:val="en-US"/>
        </w:rPr>
        <w:t>ULN</w:t>
      </w:r>
      <w:r w:rsidRPr="005E44CF">
        <w:rPr>
          <w:rFonts w:eastAsia="Times New Roman" w:cs="Arial"/>
          <w:color w:val="000000"/>
          <w:lang w:val="ru-RU"/>
        </w:rPr>
        <w:t xml:space="preserve">) </w:t>
      </w:r>
      <w:r w:rsidRPr="005E44CF">
        <w:rPr>
          <w:rFonts w:eastAsia="Times New Roman" w:cs="Arial"/>
          <w:color w:val="000000"/>
          <w:lang w:eastAsia="bg-BG"/>
        </w:rPr>
        <w:t xml:space="preserve">или мускулните симптоми са тежки и причиняват дискомфорт по време на обичайната активност (дори нивото на СК да е &lt; 5 пъти над </w:t>
      </w:r>
      <w:r w:rsidRPr="005E44CF">
        <w:rPr>
          <w:rFonts w:eastAsia="Times New Roman" w:cs="Arial"/>
          <w:color w:val="000000"/>
          <w:lang w:val="en-US"/>
        </w:rPr>
        <w:t>ULN</w:t>
      </w:r>
      <w:r w:rsidRPr="005E44CF">
        <w:rPr>
          <w:rFonts w:eastAsia="Times New Roman" w:cs="Arial"/>
          <w:color w:val="000000"/>
          <w:lang w:val="ru-RU"/>
        </w:rPr>
        <w:t xml:space="preserve">). </w:t>
      </w:r>
      <w:r w:rsidRPr="005E44CF">
        <w:rPr>
          <w:rFonts w:eastAsia="Times New Roman" w:cs="Arial"/>
          <w:color w:val="000000"/>
          <w:lang w:eastAsia="bg-BG"/>
        </w:rPr>
        <w:t xml:space="preserve">Ако симптомите изчезнат и нивото на СК се нормализира, може да се помисли за възобновяване на лечението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с алтернативен инхибитор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прилаган под наблюдение в най-ниска доза. Рутинното мониториране на нивото на СК при пациенти без симптоми не е основателно. Много рядко има съобщения за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имуномедиирана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некротизираща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(ИМНМ) по време на или след лечение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включително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ИМНМ се характеризира клинично със слабост на проксималната мускулатура и повишена серумна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креатининкиназа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което продължава въпреки прекратяване на лечението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.</w:t>
      </w:r>
    </w:p>
    <w:p w14:paraId="3AEC4C78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AAD413" w14:textId="075AF0E2" w:rsidR="005E44CF" w:rsidRPr="00692BD9" w:rsidRDefault="005E44CF" w:rsidP="005E44CF">
      <w:pPr>
        <w:spacing w:line="240" w:lineRule="auto"/>
        <w:rPr>
          <w:rFonts w:eastAsia="Times New Roman" w:cs="Arial"/>
          <w:color w:val="000000"/>
          <w:lang w:val="ru-RU"/>
        </w:rPr>
      </w:pPr>
      <w:r w:rsidRPr="005E44CF">
        <w:rPr>
          <w:rFonts w:eastAsia="Times New Roman" w:cs="Arial"/>
          <w:color w:val="000000"/>
          <w:lang w:eastAsia="bg-BG"/>
        </w:rPr>
        <w:t xml:space="preserve">По време на клиничните изпитвания при малката група пациенти, при които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прилаган със съпътстващо лечение не са получени данни за увеличаване на ефектите върху скелетната мускулатура, Увеличение на честотата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миозит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наблюдавано обаче при пациенти, приемащи други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заедно с производни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фибриновата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киселина, включващи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циклоспорин, никотинова киселина,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азолови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антимикотици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макролидни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антибиотици.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повишава риска от появата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ако се приема едновременно с някои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Поради това комбинацията между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не е препоръчителна. Ползата от допълнително понижаване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липидниге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нива в резултат от комбинираното приемане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ниацин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бъде внимателно преценена спрямо потенциалния риск от подобни комбинации. При дози от 30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40 </w:t>
      </w:r>
      <w:r w:rsidRPr="005E44CF">
        <w:rPr>
          <w:rFonts w:eastAsia="Times New Roman" w:cs="Arial"/>
          <w:color w:val="000000"/>
          <w:lang w:val="en-US"/>
        </w:rPr>
        <w:t>mg</w:t>
      </w:r>
    </w:p>
    <w:p w14:paraId="413668BB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съпътстващото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противопоказано (вж. точки 4.5 и 4.8).</w:t>
      </w:r>
    </w:p>
    <w:p w14:paraId="2B86869D" w14:textId="46D7C240" w:rsidR="005E44CF" w:rsidRPr="005E44CF" w:rsidRDefault="005E44CF" w:rsidP="005E44CF">
      <w:pPr>
        <w:rPr>
          <w:rFonts w:cs="Arial"/>
        </w:rPr>
      </w:pPr>
    </w:p>
    <w:p w14:paraId="14210A63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lastRenderedPageBreak/>
        <w:t>Ромазик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не трябва да се </w:t>
      </w:r>
      <w:r w:rsidRPr="005E44CF">
        <w:rPr>
          <w:rFonts w:eastAsia="Times New Roman" w:cs="Arial"/>
          <w:i/>
          <w:iCs/>
          <w:color w:val="000000"/>
          <w:lang w:eastAsia="bg-BG"/>
        </w:rPr>
        <w:t>прилага</w:t>
      </w:r>
      <w:r w:rsidRPr="005E44CF">
        <w:rPr>
          <w:rFonts w:eastAsia="Times New Roman" w:cs="Arial"/>
          <w:color w:val="000000"/>
          <w:lang w:eastAsia="bg-BG"/>
        </w:rPr>
        <w:t xml:space="preserve"> едновременно със системно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или в 7-дневен период след спирането му. При пациенти, при които системното използване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е абсолютно необходимо, лечението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се прекрати по време на лечението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киселина. Докладвани са случаи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i/>
          <w:iCs/>
          <w:color w:val="000000"/>
          <w:lang w:eastAsia="bg-BG"/>
        </w:rPr>
        <w:t>(вкл.</w:t>
      </w:r>
      <w:r w:rsidRPr="005E44CF">
        <w:rPr>
          <w:rFonts w:eastAsia="Times New Roman" w:cs="Arial"/>
          <w:color w:val="000000"/>
          <w:lang w:eastAsia="bg-BG"/>
        </w:rPr>
        <w:t xml:space="preserve"> някои фатални) при пациенти, получаващи в комбинация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(вж. точка 4.5). Пациентите трябва да бъдат посъветвани да потърсят медицинска консултация веднага, ако почувстват симптоми на мускулна слабост, болка или чувствителност.</w:t>
      </w:r>
    </w:p>
    <w:p w14:paraId="5298382D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Лечението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може да бъде започнато отново седем дни след последната доза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киселина.</w:t>
      </w:r>
    </w:p>
    <w:p w14:paraId="34B009BD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изключителни обстоятелства, когато е необходимо продължително системно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киселина, напр. за лечение на тежки инфекции, необходимостта от едновременно прилагане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трябва да се преценява за всеки отделен случай и под строго лекарско наблюдение.</w:t>
      </w:r>
    </w:p>
    <w:p w14:paraId="2EB7715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726702" w14:textId="692E426E" w:rsidR="005E44CF" w:rsidRPr="005E44CF" w:rsidRDefault="005E44CF" w:rsidP="005E44CF">
      <w:p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не трябва да се употребява при пациенти с остри, сериозни състояния, показателни за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предразполагащи към развитие на бъбречна недостатъчност вследствие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(напр. сепсис,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5E44CF">
        <w:rPr>
          <w:rFonts w:eastAsia="Times New Roman" w:cs="Arial"/>
          <w:color w:val="000000"/>
          <w:lang w:eastAsia="bg-BG"/>
        </w:rPr>
        <w:t>, голяма операция, травма, тежки метаболитни, ендокринни и електролитни нарушения или неконтролирани гърчове).</w:t>
      </w:r>
    </w:p>
    <w:p w14:paraId="6190A90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FE69F48" w14:textId="4E850EAC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Влияние върху черния дроб</w:t>
      </w:r>
    </w:p>
    <w:p w14:paraId="6D7941AE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се прилага внимателно при пациенти, които приемат голямо количество алкохол и/или имат анамнеза за заболяване на черния дроб.</w:t>
      </w:r>
    </w:p>
    <w:p w14:paraId="5FD996B6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Препоръчително е да се направят изследвания за оценка на функцията на черния дроб преди и 3 месеца след започване на лечението.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бъде преустановен или дозата трябва да бъде намалена, ако нивото на серумните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надвишава 3 пъти горната референта граница. Съобщената честота на сериозни нежелани реакции от страна на черния дроб, (състоящи се основно в увеличени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) по време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употреба е по-висока при дозата от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2F4CC465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77B08A" w14:textId="05B296B8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 с вторична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причинена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нефротичен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синдром, основното заболяване трябва да се лекува преди започване на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.</w:t>
      </w:r>
    </w:p>
    <w:p w14:paraId="277FA526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BC719A" w14:textId="2F172F55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Раса</w:t>
      </w:r>
    </w:p>
    <w:p w14:paraId="3B5F081F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>При пациенти от азиатски произход е наблюдавана повишена системна експозиция, в сравнение с тези от кавказка раса (вж. точки 4.2,4.3 и 5.2).</w:t>
      </w:r>
    </w:p>
    <w:p w14:paraId="0ADE6B04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C76BAC" w14:textId="66EF7167" w:rsidR="005E44CF" w:rsidRPr="005E44CF" w:rsidRDefault="005E44CF" w:rsidP="005E44CF">
      <w:p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инхибитори</w:t>
      </w:r>
    </w:p>
    <w:p w14:paraId="487A7A3A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Повишена системна експозиция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наблюдавана при лица,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едновременно с различни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инхибитори, в комбинация с ритонавир. Трябва да се обмисли както ползата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липидопонижаване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чрез употреба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пациент с ХИВ,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инхибитори, така и потенциала за повишена концентрация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когато се започва лечение и се повишава дозата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пациенти, лекувани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инхибитори. Едновременното приложение с някои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 не се препоръчва, освен ако дозата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не се адаптира (вж. точки 4.2 и 4.5).</w:t>
      </w:r>
    </w:p>
    <w:p w14:paraId="7B839468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AFED9F" w14:textId="11BC2FD4" w:rsidR="005E44CF" w:rsidRPr="005E44CF" w:rsidRDefault="005E44CF" w:rsidP="005E44CF">
      <w:pPr>
        <w:spacing w:line="240" w:lineRule="auto"/>
        <w:rPr>
          <w:rFonts w:eastAsia="Times New Roman" w:cs="Arial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lastRenderedPageBreak/>
        <w:t>Интерстициална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белодробна болест</w:t>
      </w:r>
    </w:p>
    <w:p w14:paraId="013BAB7B" w14:textId="01E1430F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Съобщени са изолирани случаи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белодробна болест при прием на някои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особено при продължително лечение (вж. точка 4.8). Признаците могат да включват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диспнея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непродуктивна кашлица и влошаване на общото състояние (умора, отслабване на тегло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фебрилигет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). При подозрение, че пациентът е развил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белодробна болест, лечението със статия трябва да бъде преустановено.</w:t>
      </w:r>
    </w:p>
    <w:p w14:paraId="39D651DE" w14:textId="6E0F8D10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5BF432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 xml:space="preserve">Захарен диабет </w:t>
      </w:r>
      <w:r w:rsidRPr="005E44CF">
        <w:rPr>
          <w:rFonts w:eastAsia="Times New Roman" w:cs="Arial"/>
          <w:color w:val="000000"/>
          <w:u w:val="single"/>
          <w:lang w:val="ru-RU"/>
        </w:rPr>
        <w:t>(</w:t>
      </w:r>
      <w:r w:rsidRPr="005E44CF">
        <w:rPr>
          <w:rFonts w:eastAsia="Times New Roman" w:cs="Arial"/>
          <w:color w:val="000000"/>
          <w:u w:val="single"/>
          <w:lang w:val="en-US"/>
        </w:rPr>
        <w:t>Diabetes</w:t>
      </w:r>
      <w:r w:rsidRPr="005E44CF">
        <w:rPr>
          <w:rFonts w:eastAsia="Times New Roman" w:cs="Arial"/>
          <w:color w:val="000000"/>
          <w:u w:val="single"/>
          <w:lang w:val="ru-RU"/>
        </w:rPr>
        <w:t xml:space="preserve"> </w:t>
      </w:r>
      <w:r w:rsidRPr="005E44CF">
        <w:rPr>
          <w:rFonts w:eastAsia="Times New Roman" w:cs="Arial"/>
          <w:color w:val="000000"/>
          <w:u w:val="single"/>
          <w:lang w:val="en-US"/>
        </w:rPr>
        <w:t>mellitus</w:t>
      </w:r>
      <w:r w:rsidRPr="005E44CF">
        <w:rPr>
          <w:rFonts w:eastAsia="Times New Roman" w:cs="Arial"/>
          <w:color w:val="000000"/>
          <w:u w:val="single"/>
          <w:lang w:val="ru-RU"/>
        </w:rPr>
        <w:t>)</w:t>
      </w:r>
    </w:p>
    <w:p w14:paraId="3AB3E53A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Някои данни предполагат, че групата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повишава кръвната захар и при някои пациенти с повишен риск от развитието на диабет може да доведат до ниво на хипергликемия, изискващо предприемането на подходящи мерки. Този риск, обаче, се компенсира от намаляването на съдовия риск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стотините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поради което не трябва да бъде причина за спиране на лечението със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Пациентите с риск (глюкоза на гладно 5,6 до 6,9 </w:t>
      </w:r>
      <w:r w:rsidRPr="005E44CF">
        <w:rPr>
          <w:rFonts w:eastAsia="Times New Roman" w:cs="Arial"/>
          <w:color w:val="000000"/>
          <w:lang w:val="en-US"/>
        </w:rPr>
        <w:t>mmol</w:t>
      </w:r>
      <w:r w:rsidRPr="005E44CF">
        <w:rPr>
          <w:rFonts w:eastAsia="Times New Roman" w:cs="Arial"/>
          <w:color w:val="000000"/>
          <w:lang w:val="ru-RU"/>
        </w:rPr>
        <w:t>/</w:t>
      </w:r>
      <w:r w:rsidRPr="005E44CF">
        <w:rPr>
          <w:rFonts w:eastAsia="Times New Roman" w:cs="Arial"/>
          <w:color w:val="000000"/>
          <w:lang w:val="en-US"/>
        </w:rPr>
        <w:t>L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val="en-US"/>
        </w:rPr>
        <w:t>BMI</w:t>
      </w:r>
      <w:r w:rsidRPr="005E44CF">
        <w:rPr>
          <w:rFonts w:eastAsia="Times New Roman" w:cs="Arial"/>
          <w:color w:val="000000"/>
          <w:lang w:val="ru-RU"/>
        </w:rPr>
        <w:t>&gt;30</w:t>
      </w:r>
      <w:r w:rsidRPr="005E44CF">
        <w:rPr>
          <w:rFonts w:eastAsia="Times New Roman" w:cs="Arial"/>
          <w:color w:val="000000"/>
          <w:lang w:val="en-US"/>
        </w:rPr>
        <w:t>kg</w:t>
      </w:r>
      <w:r w:rsidRPr="005E44CF">
        <w:rPr>
          <w:rFonts w:eastAsia="Times New Roman" w:cs="Arial"/>
          <w:color w:val="000000"/>
          <w:lang w:val="ru-RU"/>
        </w:rPr>
        <w:t>/</w:t>
      </w:r>
      <w:r w:rsidRPr="005E44CF">
        <w:rPr>
          <w:rFonts w:eastAsia="Times New Roman" w:cs="Arial"/>
          <w:color w:val="000000"/>
          <w:lang w:val="en-US"/>
        </w:rPr>
        <w:t>m</w:t>
      </w:r>
      <w:r w:rsidRPr="005E44CF">
        <w:rPr>
          <w:rFonts w:eastAsia="Times New Roman" w:cs="Arial"/>
          <w:color w:val="000000"/>
          <w:vertAlign w:val="superscript"/>
          <w:lang w:val="ru-RU"/>
        </w:rPr>
        <w:t>2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 xml:space="preserve">повишени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триглицериди</w:t>
      </w:r>
      <w:proofErr w:type="spellEnd"/>
      <w:r w:rsidRPr="005E44CF">
        <w:rPr>
          <w:rFonts w:eastAsia="Times New Roman" w:cs="Arial"/>
          <w:color w:val="000000"/>
          <w:lang w:eastAsia="bg-BG"/>
        </w:rPr>
        <w:t>, хипертония) трябва да бъдат проследявани както клинично, така и биохимично съгласно националните препоръки.</w:t>
      </w:r>
    </w:p>
    <w:p w14:paraId="522E81AA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6DAB5A" w14:textId="712276A5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В проучването </w:t>
      </w:r>
      <w:r w:rsidRPr="005E44CF">
        <w:rPr>
          <w:rFonts w:eastAsia="Times New Roman" w:cs="Arial"/>
          <w:color w:val="000000"/>
          <w:lang w:val="en-US"/>
        </w:rPr>
        <w:t>JUPITER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 xml:space="preserve">съобщаваната обща честота на захарен диабет е била 2,8%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2,3% при плацебо, предимно при пациенти с глюкоза на гладно 5,6 до 6,9 </w:t>
      </w:r>
      <w:r w:rsidRPr="005E44CF">
        <w:rPr>
          <w:rFonts w:eastAsia="Times New Roman" w:cs="Arial"/>
          <w:color w:val="000000"/>
          <w:lang w:val="en-US"/>
        </w:rPr>
        <w:t>mmol</w:t>
      </w:r>
      <w:r w:rsidRPr="005E44CF">
        <w:rPr>
          <w:rFonts w:eastAsia="Times New Roman" w:cs="Arial"/>
          <w:color w:val="000000"/>
          <w:lang w:val="ru-RU"/>
        </w:rPr>
        <w:t>/</w:t>
      </w:r>
      <w:r w:rsidRPr="005E44CF">
        <w:rPr>
          <w:rFonts w:eastAsia="Times New Roman" w:cs="Arial"/>
          <w:color w:val="000000"/>
          <w:lang w:val="en-US"/>
        </w:rPr>
        <w:t>L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44D71B99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5367E5" w14:textId="5D313BFC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Тежки кожни нежелани реакции</w:t>
      </w:r>
    </w:p>
    <w:p w14:paraId="6EC5B1FA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се съобщава за тежки кожни нежелани реакции, включващи синдром на </w:t>
      </w:r>
      <w:r w:rsidRPr="005E44CF">
        <w:rPr>
          <w:rFonts w:eastAsia="Times New Roman" w:cs="Arial"/>
          <w:color w:val="000000"/>
          <w:lang w:val="en-US"/>
        </w:rPr>
        <w:t>Stevens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val="en-US"/>
        </w:rPr>
        <w:t>Johnson</w:t>
      </w:r>
      <w:r w:rsidRPr="005E44CF">
        <w:rPr>
          <w:rFonts w:eastAsia="Times New Roman" w:cs="Arial"/>
          <w:color w:val="000000"/>
          <w:lang w:val="ru-RU"/>
        </w:rPr>
        <w:t xml:space="preserve"> (</w:t>
      </w:r>
      <w:r w:rsidRPr="005E44CF">
        <w:rPr>
          <w:rFonts w:eastAsia="Times New Roman" w:cs="Arial"/>
          <w:color w:val="000000"/>
          <w:lang w:val="en-US"/>
        </w:rPr>
        <w:t>SJS</w:t>
      </w:r>
      <w:r w:rsidRPr="005E44CF">
        <w:rPr>
          <w:rFonts w:eastAsia="Times New Roman" w:cs="Arial"/>
          <w:color w:val="000000"/>
          <w:lang w:val="ru-RU"/>
        </w:rPr>
        <w:t xml:space="preserve">) </w:t>
      </w:r>
      <w:r w:rsidRPr="005E44CF">
        <w:rPr>
          <w:rFonts w:eastAsia="Times New Roman" w:cs="Arial"/>
          <w:color w:val="000000"/>
          <w:lang w:eastAsia="bg-BG"/>
        </w:rPr>
        <w:t xml:space="preserve">и лекарствена реакция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системни симптоми </w:t>
      </w:r>
      <w:r w:rsidRPr="005E44CF">
        <w:rPr>
          <w:rFonts w:eastAsia="Times New Roman" w:cs="Arial"/>
          <w:color w:val="000000"/>
          <w:lang w:val="ru-RU"/>
        </w:rPr>
        <w:t>(</w:t>
      </w:r>
      <w:r w:rsidRPr="005E44CF">
        <w:rPr>
          <w:rFonts w:eastAsia="Times New Roman" w:cs="Arial"/>
          <w:color w:val="000000"/>
          <w:lang w:val="en-US"/>
        </w:rPr>
        <w:t>DRESS</w:t>
      </w:r>
      <w:r w:rsidRPr="005E44CF">
        <w:rPr>
          <w:rFonts w:eastAsia="Times New Roman" w:cs="Arial"/>
          <w:color w:val="000000"/>
          <w:lang w:val="ru-RU"/>
        </w:rPr>
        <w:t xml:space="preserve">), </w:t>
      </w:r>
      <w:r w:rsidRPr="005E44CF">
        <w:rPr>
          <w:rFonts w:eastAsia="Times New Roman" w:cs="Arial"/>
          <w:color w:val="000000"/>
          <w:lang w:eastAsia="bg-BG"/>
        </w:rPr>
        <w:t xml:space="preserve">които може да са животозастрашаващи или с летален изход.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внимание. Ако се появят признаци и симптоми, показателни за тази реакция, приложението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i/>
          <w:iCs/>
          <w:color w:val="000000"/>
          <w:lang w:eastAsia="bg-BG"/>
        </w:rPr>
        <w:t>трябва</w:t>
      </w:r>
      <w:r w:rsidRPr="005E44CF">
        <w:rPr>
          <w:rFonts w:eastAsia="Times New Roman" w:cs="Arial"/>
          <w:color w:val="000000"/>
          <w:lang w:eastAsia="bg-BG"/>
        </w:rPr>
        <w:t xml:space="preserve"> незабавно да се преустанови и да се обмисли алтернативно лечение.</w:t>
      </w:r>
    </w:p>
    <w:p w14:paraId="3149B257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Ако пациентът е развил сериозна реакция, като например </w:t>
      </w:r>
      <w:r w:rsidRPr="005E44CF">
        <w:rPr>
          <w:rFonts w:eastAsia="Times New Roman" w:cs="Arial"/>
          <w:color w:val="000000"/>
          <w:lang w:val="en-US"/>
        </w:rPr>
        <w:t>SJS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или </w:t>
      </w:r>
      <w:r w:rsidRPr="005E44CF">
        <w:rPr>
          <w:rFonts w:eastAsia="Times New Roman" w:cs="Arial"/>
          <w:color w:val="000000"/>
          <w:lang w:val="en-US"/>
        </w:rPr>
        <w:t>DRESS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при употребата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Ромазик</w:t>
      </w:r>
      <w:proofErr w:type="spellEnd"/>
      <w:r w:rsidRPr="005E44CF">
        <w:rPr>
          <w:rFonts w:eastAsia="Times New Roman" w:cs="Arial"/>
          <w:color w:val="000000"/>
          <w:lang w:eastAsia="bg-BG"/>
        </w:rPr>
        <w:t>, лечението с това лекарството не трябва никога да се подновява при този пациент.</w:t>
      </w:r>
    </w:p>
    <w:p w14:paraId="45855569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4B8A72" w14:textId="0B4A8963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40B2543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Оценяването на линейното израстване (височина), тегло, </w:t>
      </w:r>
      <w:r w:rsidRPr="005E44CF">
        <w:rPr>
          <w:rFonts w:eastAsia="Times New Roman" w:cs="Arial"/>
          <w:color w:val="000000"/>
          <w:lang w:val="en-US"/>
        </w:rPr>
        <w:t>BMI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(индекс на телесната маса), </w:t>
      </w:r>
      <w:r w:rsidRPr="005E44CF">
        <w:rPr>
          <w:rFonts w:eastAsia="Times New Roman" w:cs="Arial"/>
          <w:i/>
          <w:iCs/>
          <w:color w:val="000000"/>
          <w:lang w:eastAsia="bg-BG"/>
        </w:rPr>
        <w:t xml:space="preserve">и </w:t>
      </w:r>
      <w:r w:rsidRPr="005E44CF">
        <w:rPr>
          <w:rFonts w:eastAsia="Times New Roman" w:cs="Arial"/>
          <w:color w:val="000000"/>
          <w:lang w:eastAsia="bg-BG"/>
        </w:rPr>
        <w:t xml:space="preserve">вторичните полови белези на половото съзряване по скалата на </w:t>
      </w:r>
      <w:r w:rsidRPr="005E44CF">
        <w:rPr>
          <w:rFonts w:eastAsia="Times New Roman" w:cs="Arial"/>
          <w:color w:val="000000"/>
          <w:lang w:val="en-US"/>
        </w:rPr>
        <w:t>Tanner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при педиатрични пациенти на възраст 6 до 17 години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ограничено до двугодишен период. След две години на третиране по време на проучването, не е забелязан никакъв ефект върху растежа, теглото, </w:t>
      </w:r>
      <w:r w:rsidRPr="005E44CF">
        <w:rPr>
          <w:rFonts w:eastAsia="Times New Roman" w:cs="Arial"/>
          <w:color w:val="000000"/>
          <w:lang w:val="en-US"/>
        </w:rPr>
        <w:t>BMI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или половото съзряване (вж. точка 5.1).</w:t>
      </w:r>
    </w:p>
    <w:p w14:paraId="214C086E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A139E8" w14:textId="272A6AB2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В клинично проучване на деца и младежи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за 52 седмици, повишаване на СК &gt;10</w:t>
      </w:r>
      <w:proofErr w:type="spellStart"/>
      <w:r w:rsidRPr="005E44CF">
        <w:rPr>
          <w:rFonts w:eastAsia="Times New Roman" w:cs="Arial"/>
          <w:color w:val="000000"/>
          <w:lang w:val="en-US"/>
        </w:rPr>
        <w:t>xULN</w:t>
      </w:r>
      <w:proofErr w:type="spellEnd"/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и мускулните симптоми след упражнение или повишена физическа активност са наблюдавани по-често в сравнение с наблюдения от клинични проучвания при възрастни (вж. точка 4.8).</w:t>
      </w:r>
    </w:p>
    <w:p w14:paraId="0BC70D46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374676" w14:textId="7CEC2EA9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Непоносимост към лактоза</w:t>
      </w:r>
    </w:p>
    <w:p w14:paraId="1196D3CB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lastRenderedPageBreak/>
        <w:t xml:space="preserve">Пациенти с редки наследствени дефекти като непоносимост към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галактоза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общ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малабсорбция не трябва да приемат този лекарствен продукт.</w:t>
      </w:r>
    </w:p>
    <w:p w14:paraId="48D24FA5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47CBB1" w14:textId="6E54DDEA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Други помощни вещества</w:t>
      </w:r>
    </w:p>
    <w:p w14:paraId="5E43FB46" w14:textId="3F6C306D" w:rsid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r w:rsidRPr="005E44CF">
        <w:rPr>
          <w:rFonts w:eastAsia="Times New Roman" w:cs="Arial"/>
          <w:color w:val="000000"/>
          <w:lang w:val="en-US"/>
        </w:rPr>
        <w:t>mmol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натрий (23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) </w:t>
      </w:r>
      <w:r w:rsidRPr="005E44CF">
        <w:rPr>
          <w:rFonts w:eastAsia="Times New Roman" w:cs="Arial"/>
          <w:color w:val="000000"/>
          <w:lang w:eastAsia="bg-BG"/>
        </w:rPr>
        <w:t>за таблетка, т.е. практически не съдържа натрий.</w:t>
      </w:r>
    </w:p>
    <w:p w14:paraId="348AABBA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</w:p>
    <w:p w14:paraId="62F27C9B" w14:textId="46EAC826" w:rsidR="00DB32D3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80D41E2" w14:textId="6FA53A0A" w:rsidR="005E44CF" w:rsidRDefault="005E44CF" w:rsidP="005E44CF"/>
    <w:p w14:paraId="676CCEE6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 xml:space="preserve">Ефект на едновременно приложени лекарствени продукти върху </w:t>
      </w:r>
      <w:proofErr w:type="spellStart"/>
      <w:r w:rsidRPr="005E44CF">
        <w:rPr>
          <w:rFonts w:eastAsia="Times New Roman" w:cs="Arial"/>
          <w:i/>
          <w:iCs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i/>
          <w:iCs/>
          <w:color w:val="000000"/>
          <w:lang w:eastAsia="bg-BG"/>
        </w:rPr>
        <w:t>,</w:t>
      </w:r>
    </w:p>
    <w:p w14:paraId="0084CFA2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44A4776" w14:textId="11E104E0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Инхибитори на транспортните протеини</w:t>
      </w:r>
    </w:p>
    <w:p w14:paraId="40A46803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субстрат на определени транспортни протеини, включително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транспортера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 чернодробния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захват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ОАТР1В1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ефлукс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транспортера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color w:val="000000"/>
          <w:lang w:val="en-US"/>
        </w:rPr>
        <w:t>BCRP</w:t>
      </w:r>
      <w:r w:rsidRPr="005E44CF">
        <w:rPr>
          <w:rFonts w:eastAsia="Times New Roman" w:cs="Arial"/>
          <w:color w:val="000000"/>
          <w:lang w:val="ru-RU"/>
        </w:rPr>
        <w:t>.</w:t>
      </w:r>
      <w:r w:rsidRPr="005E44CF">
        <w:rPr>
          <w:rFonts w:eastAsia="Times New Roman" w:cs="Arial"/>
          <w:color w:val="000000"/>
          <w:lang w:eastAsia="bg-BG"/>
        </w:rPr>
        <w:t xml:space="preserve"> Едновременното пр</w:t>
      </w:r>
      <w:r w:rsidRPr="005E44CF">
        <w:rPr>
          <w:rFonts w:eastAsia="Times New Roman" w:cs="Arial"/>
          <w:color w:val="000000"/>
          <w:u w:val="single"/>
          <w:lang w:eastAsia="bg-BG"/>
        </w:rPr>
        <w:t>иложе</w:t>
      </w:r>
      <w:r w:rsidRPr="005E44CF">
        <w:rPr>
          <w:rFonts w:eastAsia="Times New Roman" w:cs="Arial"/>
          <w:color w:val="000000"/>
          <w:lang w:eastAsia="bg-BG"/>
        </w:rPr>
        <w:t xml:space="preserve">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лекарствени продукти, които са инхибитори на тези протеини, може да доведе до повишаване на плазмената концентрация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повишен риск от</w:t>
      </w:r>
    </w:p>
    <w:p w14:paraId="7E371560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(вж. точки 4.2,4.4 и 4.5 и Таблица 1).</w:t>
      </w:r>
    </w:p>
    <w:p w14:paraId="06E4C833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23BFF5C" w14:textId="03E86E86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Циклоспорин</w:t>
      </w:r>
    </w:p>
    <w:p w14:paraId="0C634D5D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съпътстващо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циклоспорин, стойностите на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са били средно 7 пъти по-високи от тези, наблюдавани при здрави доброволци (вж. Таблица 1).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противопоказан при пациенти, едновременно получаващи циклоспорин (вж. точка 4.3).</w:t>
      </w:r>
    </w:p>
    <w:p w14:paraId="589BA7CC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>Съпътстващото приложение не е повлияло плазмените концентрации на циклоспорин.</w:t>
      </w:r>
    </w:p>
    <w:p w14:paraId="6A09728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813418" w14:textId="75521C02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инхибитори</w:t>
      </w:r>
    </w:p>
    <w:p w14:paraId="05B867A5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Въпреки, че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точият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механизъм на взаимодействие не е известен, едновременното приложение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 може рязко да повиши експозицията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(вж. Таблица 1). Например едновременното приложение на 10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комбиниран продукт, състоящ се от два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инхибитора (300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атазанавир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/100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ритонавир) по време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фармакокинетично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проучване при здрави доброволци, се асоциира с приблизително трикратно нарастване на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Стах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Едновременното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някои комбинации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инхибитори може да се има предвид след внимателно преценяване на корекциите на дозата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, въз основа на очакваното повишение на експозицията му (вж. точки 4.2,4.4 и 4.5 Таблица 1).</w:t>
      </w:r>
    </w:p>
    <w:p w14:paraId="57C2CCC6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6CE023" w14:textId="077CBF4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и други 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липидопонижаващи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продукти</w:t>
      </w:r>
    </w:p>
    <w:p w14:paraId="01DF653A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Съпътстващото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довело до двукратно повишение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Стах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723B129F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Въз основа на данни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проучвания за специфични лекарствени взаимодействия, не се очаква взаимодействие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но е възможна поява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фармакодинамични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взаимодействия.</w:t>
      </w:r>
    </w:p>
    <w:p w14:paraId="5F465293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други фибрата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липидопонижаващите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дози (в дози &gt; или равни на 1 </w:t>
      </w:r>
      <w:r w:rsidRPr="005E44CF">
        <w:rPr>
          <w:rFonts w:eastAsia="Times New Roman" w:cs="Arial"/>
          <w:color w:val="000000"/>
          <w:lang w:val="en-US"/>
        </w:rPr>
        <w:t>g</w:t>
      </w:r>
      <w:r w:rsidRPr="005E44CF">
        <w:rPr>
          <w:rFonts w:eastAsia="Times New Roman" w:cs="Arial"/>
          <w:color w:val="000000"/>
          <w:lang w:eastAsia="bg-BG"/>
        </w:rPr>
        <w:t xml:space="preserve">/ден)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ниацин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(никотинова киселина) повишават риска от появата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комбиниране с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(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хидроксиметил-глутарил-коензим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А)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вероятно поради факта, че те могат да предизвикат появата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lastRenderedPageBreak/>
        <w:t xml:space="preserve">и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Дозата от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е противопоказана при съпътстващо лечение с фибрата (вж. точки </w:t>
      </w:r>
      <w:r w:rsidRPr="005E44CF">
        <w:rPr>
          <w:rFonts w:eastAsia="Times New Roman" w:cs="Arial"/>
          <w:i/>
          <w:iCs/>
          <w:color w:val="000000"/>
          <w:lang w:eastAsia="bg-BG"/>
        </w:rPr>
        <w:t>4.3</w:t>
      </w:r>
      <w:r w:rsidRPr="005E44CF">
        <w:rPr>
          <w:rFonts w:eastAsia="Times New Roman" w:cs="Arial"/>
          <w:color w:val="000000"/>
          <w:lang w:eastAsia="bg-BG"/>
        </w:rPr>
        <w:t xml:space="preserve"> и 4.4). При тези пациенти лечението трябва да започне с доза от 5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39A8E90B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DAC911" w14:textId="6736BACB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Езетимиб</w:t>
      </w:r>
      <w:proofErr w:type="spellEnd"/>
    </w:p>
    <w:p w14:paraId="0F6047BA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Съпътстващата употреба на 10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10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води до 1,2 кратно повишение на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хиперхолестеролемични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пациенти (Таблица 1). Това не може да се изключи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взаимодействие между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5E44CF">
        <w:rPr>
          <w:rFonts w:eastAsia="Times New Roman" w:cs="Arial"/>
          <w:color w:val="000000"/>
          <w:lang w:eastAsia="bg-BG"/>
        </w:rPr>
        <w:t>, което да има като резултат нежелани реакции (вж. точка 4.4).</w:t>
      </w:r>
    </w:p>
    <w:p w14:paraId="678FF02B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AC6709" w14:textId="20012909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Антиапиди</w:t>
      </w:r>
      <w:proofErr w:type="spellEnd"/>
    </w:p>
    <w:p w14:paraId="1FF9B484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антиацвдна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суспензия, съдържаща алуминиев и магнезиев хидроксид е довело до намаляване на плазмената концентрация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около 50%.</w:t>
      </w:r>
    </w:p>
    <w:p w14:paraId="498EE353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Този ефект е бил отслабен, когато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са давани 2 часа след приема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. Клиничното значение на това взаимодействие не е изследвано.</w:t>
      </w:r>
    </w:p>
    <w:p w14:paraId="780DAF22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B3C9E9" w14:textId="17FDA0C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Еритромицин</w:t>
      </w:r>
      <w:proofErr w:type="spellEnd"/>
    </w:p>
    <w:p w14:paraId="5155B28E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Съпътстващата употреба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довела до намаляване с 20% на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и с 30% на С</w:t>
      </w:r>
      <w:r w:rsidRPr="005E44CF">
        <w:rPr>
          <w:rFonts w:eastAsia="Times New Roman" w:cs="Arial"/>
          <w:color w:val="000000"/>
          <w:vertAlign w:val="subscript"/>
          <w:lang w:val="en-US"/>
        </w:rPr>
        <w:t>max</w:t>
      </w:r>
      <w:r w:rsidRPr="005E44C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Взаимодействието може да е предизвикано от повишения чревен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мотилитет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вследствие на приемането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.</w:t>
      </w:r>
    </w:p>
    <w:p w14:paraId="0B4AD9F6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AFD34A" w14:textId="40049813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 xml:space="preserve">Ензими от системата на 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цитохром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Р450</w:t>
      </w:r>
    </w:p>
    <w:p w14:paraId="7749B8B0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Резултати от </w:t>
      </w:r>
      <w:r w:rsidRPr="005E44CF">
        <w:rPr>
          <w:rFonts w:eastAsia="Times New Roman" w:cs="Arial"/>
          <w:i/>
          <w:iCs/>
          <w:color w:val="000000"/>
          <w:lang w:val="en-US"/>
        </w:rPr>
        <w:t>in</w:t>
      </w:r>
      <w:r w:rsidRPr="005E44C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E44CF">
        <w:rPr>
          <w:rFonts w:eastAsia="Times New Roman" w:cs="Arial"/>
          <w:i/>
          <w:iCs/>
          <w:color w:val="000000"/>
          <w:lang w:val="en-US"/>
        </w:rPr>
        <w:t>vitro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r w:rsidRPr="005E44CF">
        <w:rPr>
          <w:rFonts w:eastAsia="Times New Roman" w:cs="Arial"/>
          <w:i/>
          <w:iCs/>
          <w:color w:val="000000"/>
          <w:lang w:val="en-US"/>
        </w:rPr>
        <w:t>in</w:t>
      </w:r>
      <w:r w:rsidRPr="005E44CF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5E44CF">
        <w:rPr>
          <w:rFonts w:eastAsia="Times New Roman" w:cs="Arial"/>
          <w:i/>
          <w:iCs/>
          <w:color w:val="000000"/>
          <w:lang w:val="en-US"/>
        </w:rPr>
        <w:t>vivo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проучвания показват, че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не е нито инхибитор, нито индуктор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Р450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изоензимите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В прибавка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лош субстрат н</w:t>
      </w:r>
      <w:r w:rsidRPr="005E44CF">
        <w:rPr>
          <w:rFonts w:eastAsia="Times New Roman" w:cs="Arial"/>
          <w:color w:val="000000"/>
          <w:u w:val="single"/>
          <w:lang w:eastAsia="bg-BG"/>
        </w:rPr>
        <w:t xml:space="preserve">а тези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изоензими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Следователно, не се очакват лекарствени взаимодействия като резултат от 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Р450-медиирания метаболизъм. Не са наблюдавани клинично значими взаимодействия между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флуконазол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(инхибитор на </w:t>
      </w:r>
      <w:r w:rsidRPr="005E44CF">
        <w:rPr>
          <w:rFonts w:eastAsia="Times New Roman" w:cs="Arial"/>
          <w:color w:val="000000"/>
          <w:lang w:val="en-US"/>
        </w:rPr>
        <w:t>CYP</w:t>
      </w:r>
      <w:r w:rsidRPr="005E44CF">
        <w:rPr>
          <w:rFonts w:eastAsia="Times New Roman" w:cs="Arial"/>
          <w:color w:val="000000"/>
          <w:lang w:val="ru-RU"/>
        </w:rPr>
        <w:t>2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  <w:lang w:val="ru-RU"/>
        </w:rPr>
        <w:t>9</w:t>
      </w:r>
      <w:r w:rsidRPr="005E44CF">
        <w:rPr>
          <w:rFonts w:eastAsia="Times New Roman" w:cs="Arial"/>
          <w:color w:val="000000"/>
          <w:lang w:eastAsia="bg-BG"/>
        </w:rPr>
        <w:t xml:space="preserve"> и </w:t>
      </w:r>
      <w:r w:rsidRPr="005E44CF">
        <w:rPr>
          <w:rFonts w:eastAsia="Times New Roman" w:cs="Arial"/>
          <w:color w:val="000000"/>
          <w:lang w:val="en-US"/>
        </w:rPr>
        <w:t>CYP</w:t>
      </w:r>
      <w:r w:rsidRPr="005E44CF">
        <w:rPr>
          <w:rFonts w:eastAsia="Times New Roman" w:cs="Arial"/>
          <w:color w:val="000000"/>
          <w:lang w:val="ru-RU"/>
        </w:rPr>
        <w:t>3</w:t>
      </w:r>
      <w:r w:rsidRPr="005E44CF">
        <w:rPr>
          <w:rFonts w:eastAsia="Times New Roman" w:cs="Arial"/>
          <w:color w:val="000000"/>
          <w:lang w:val="en-US"/>
        </w:rPr>
        <w:t>A</w:t>
      </w:r>
      <w:r w:rsidRPr="005E44CF">
        <w:rPr>
          <w:rFonts w:eastAsia="Times New Roman" w:cs="Arial"/>
          <w:color w:val="000000"/>
          <w:lang w:val="ru-RU"/>
        </w:rPr>
        <w:t>4</w:t>
      </w:r>
      <w:r w:rsidRPr="005E44CF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кетоконазол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(инхибитор на </w:t>
      </w:r>
      <w:r w:rsidRPr="005E44CF">
        <w:rPr>
          <w:rFonts w:eastAsia="Times New Roman" w:cs="Arial"/>
          <w:color w:val="000000"/>
          <w:lang w:val="en-US"/>
        </w:rPr>
        <w:t>CYP</w:t>
      </w:r>
      <w:r w:rsidRPr="005E44CF">
        <w:rPr>
          <w:rFonts w:eastAsia="Times New Roman" w:cs="Arial"/>
          <w:color w:val="000000"/>
          <w:lang w:val="ru-RU"/>
        </w:rPr>
        <w:t>2</w:t>
      </w:r>
      <w:r w:rsidRPr="005E44CF">
        <w:rPr>
          <w:rFonts w:eastAsia="Times New Roman" w:cs="Arial"/>
          <w:color w:val="000000"/>
          <w:lang w:val="en-US"/>
        </w:rPr>
        <w:t>A</w:t>
      </w:r>
      <w:r w:rsidRPr="005E44CF">
        <w:rPr>
          <w:rFonts w:eastAsia="Times New Roman" w:cs="Arial"/>
          <w:color w:val="000000"/>
          <w:lang w:val="ru-RU"/>
        </w:rPr>
        <w:t xml:space="preserve">6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r w:rsidRPr="005E44CF">
        <w:rPr>
          <w:rFonts w:eastAsia="Times New Roman" w:cs="Arial"/>
          <w:color w:val="000000"/>
          <w:lang w:val="en-US"/>
        </w:rPr>
        <w:t>CYP</w:t>
      </w:r>
      <w:r w:rsidRPr="005E44CF">
        <w:rPr>
          <w:rFonts w:eastAsia="Times New Roman" w:cs="Arial"/>
          <w:color w:val="000000"/>
          <w:lang w:val="ru-RU"/>
        </w:rPr>
        <w:t>3</w:t>
      </w:r>
      <w:r w:rsidRPr="005E44CF">
        <w:rPr>
          <w:rFonts w:eastAsia="Times New Roman" w:cs="Arial"/>
          <w:color w:val="000000"/>
          <w:lang w:val="en-US"/>
        </w:rPr>
        <w:t>A</w:t>
      </w:r>
      <w:r w:rsidRPr="005E44CF">
        <w:rPr>
          <w:rFonts w:eastAsia="Times New Roman" w:cs="Arial"/>
          <w:color w:val="000000"/>
          <w:lang w:val="ru-RU"/>
        </w:rPr>
        <w:t>4).</w:t>
      </w:r>
    </w:p>
    <w:p w14:paraId="5F1A7A8B" w14:textId="77777777" w:rsidR="005E44CF" w:rsidRPr="005E44CF" w:rsidRDefault="005E44CF" w:rsidP="005E44CF">
      <w:pPr>
        <w:rPr>
          <w:rFonts w:eastAsia="Times New Roman" w:cs="Arial"/>
          <w:color w:val="000000"/>
          <w:u w:val="single"/>
          <w:lang w:eastAsia="bg-BG"/>
        </w:rPr>
      </w:pPr>
    </w:p>
    <w:p w14:paraId="518E7577" w14:textId="15DC13E5" w:rsidR="005E44CF" w:rsidRPr="005E44CF" w:rsidRDefault="005E44CF" w:rsidP="005E44CF">
      <w:pPr>
        <w:rPr>
          <w:rFonts w:eastAsia="Times New Roman" w:cs="Arial"/>
          <w:color w:val="000000"/>
          <w:u w:val="single"/>
          <w:lang w:eastAsia="bg-BG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 xml:space="preserve">Взаимодействия, които изискват корекция на дозата 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(вж. също Таблица 1).</w:t>
      </w:r>
    </w:p>
    <w:p w14:paraId="026453AF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Когато е необходимо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да се прилага заедно с други лекарствени продукти, за които е известно, че повишават експозицията му, дозите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се коригират.</w:t>
      </w:r>
    </w:p>
    <w:p w14:paraId="5DEB152C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Започва се с доза 5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веднъж дневно, ако очакваното повишение на експозицията </w:t>
      </w:r>
      <w:r w:rsidRPr="005E44CF">
        <w:rPr>
          <w:rFonts w:eastAsia="Times New Roman" w:cs="Arial"/>
          <w:color w:val="000000"/>
          <w:lang w:val="ru-RU"/>
        </w:rPr>
        <w:t>(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) </w:t>
      </w:r>
      <w:r w:rsidRPr="005E44CF">
        <w:rPr>
          <w:rFonts w:eastAsia="Times New Roman" w:cs="Arial"/>
          <w:color w:val="000000"/>
          <w:lang w:eastAsia="bg-BG"/>
        </w:rPr>
        <w:t xml:space="preserve">е приблизително двукратно или по-голямо. Максималната дневна доза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трябва да се коригира така, че очакваната експозиция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да няма вероятност да надвиши тази на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дневна доза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приеман без взаимодействащи лекарствени продукти, например, доза от 20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(1,9-пъти повишение), и доза 10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 комбинация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атазанавир</w:t>
      </w:r>
      <w:proofErr w:type="spellEnd"/>
      <w:r w:rsidRPr="005E44CF">
        <w:rPr>
          <w:rFonts w:eastAsia="Times New Roman" w:cs="Arial"/>
          <w:color w:val="000000"/>
          <w:lang w:eastAsia="bg-BG"/>
        </w:rPr>
        <w:t>/ритонавир (3,1-пъти повишение).</w:t>
      </w:r>
    </w:p>
    <w:p w14:paraId="444E8348" w14:textId="77777777" w:rsidR="005E44CF" w:rsidRPr="005E44CF" w:rsidRDefault="005E44CF" w:rsidP="005E44C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E982676" w14:textId="2B10F332" w:rsidR="005E44CF" w:rsidRPr="005E44CF" w:rsidRDefault="005E44CF" w:rsidP="005E44CF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b/>
          <w:bCs/>
          <w:color w:val="000000"/>
          <w:lang w:eastAsia="bg-BG"/>
        </w:rPr>
        <w:t xml:space="preserve">Таблица 1 Ефект на едновременно прилаган лекарствен продукт върху експозицията на </w:t>
      </w:r>
      <w:proofErr w:type="spellStart"/>
      <w:r w:rsidRPr="005E44CF">
        <w:rPr>
          <w:rFonts w:eastAsia="Times New Roman" w:cs="Arial"/>
          <w:b/>
          <w:bCs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5E44CF">
        <w:rPr>
          <w:rFonts w:eastAsia="Times New Roman" w:cs="Arial"/>
          <w:b/>
          <w:bCs/>
          <w:color w:val="000000"/>
          <w:lang w:val="ru-RU"/>
        </w:rPr>
        <w:t>(</w:t>
      </w:r>
      <w:r w:rsidRPr="005E44CF">
        <w:rPr>
          <w:rFonts w:eastAsia="Times New Roman" w:cs="Arial"/>
          <w:b/>
          <w:bCs/>
          <w:color w:val="000000"/>
          <w:lang w:val="en-US"/>
        </w:rPr>
        <w:t>AUC</w:t>
      </w:r>
      <w:r w:rsidRPr="005E44CF">
        <w:rPr>
          <w:rFonts w:eastAsia="Times New Roman" w:cs="Arial"/>
          <w:b/>
          <w:bCs/>
          <w:color w:val="000000"/>
          <w:lang w:val="ru-RU"/>
        </w:rPr>
        <w:t xml:space="preserve">; </w:t>
      </w:r>
      <w:r w:rsidRPr="005E44CF">
        <w:rPr>
          <w:rFonts w:eastAsia="Times New Roman" w:cs="Arial"/>
          <w:b/>
          <w:bCs/>
          <w:color w:val="000000"/>
          <w:lang w:eastAsia="bg-BG"/>
        </w:rPr>
        <w:t>в низходящ ред) от публикувани клинични</w:t>
      </w:r>
    </w:p>
    <w:p w14:paraId="36F3F329" w14:textId="06CB31A0" w:rsidR="005E44CF" w:rsidRDefault="005E44CF" w:rsidP="005E44CF">
      <w:pPr>
        <w:jc w:val="center"/>
        <w:rPr>
          <w:rFonts w:eastAsia="Times New Roman" w:cs="Arial"/>
          <w:b/>
          <w:bCs/>
          <w:color w:val="000000"/>
          <w:u w:val="single"/>
          <w:lang w:eastAsia="bg-BG"/>
        </w:rPr>
      </w:pPr>
      <w:r w:rsidRPr="005E44CF">
        <w:rPr>
          <w:rFonts w:eastAsia="Times New Roman" w:cs="Arial"/>
          <w:b/>
          <w:bCs/>
          <w:color w:val="000000"/>
          <w:u w:val="single"/>
          <w:lang w:eastAsia="bg-BG"/>
        </w:rPr>
        <w:t>проучвания</w:t>
      </w:r>
    </w:p>
    <w:p w14:paraId="3C3B8611" w14:textId="286EA13C" w:rsidR="005E44CF" w:rsidRDefault="005E44CF" w:rsidP="005E44CF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6"/>
        <w:gridCol w:w="2632"/>
        <w:gridCol w:w="2742"/>
      </w:tblGrid>
      <w:tr w:rsidR="005E44CF" w14:paraId="3C49DD10" w14:textId="77777777" w:rsidTr="005E44CF">
        <w:tc>
          <w:tcPr>
            <w:tcW w:w="4077" w:type="dxa"/>
          </w:tcPr>
          <w:p w14:paraId="1D6337AC" w14:textId="5DE287AB" w:rsidR="005E44CF" w:rsidRDefault="005E44CF" w:rsidP="005E44CF">
            <w:pPr>
              <w:rPr>
                <w:rFonts w:cs="Arial"/>
              </w:rPr>
            </w:pPr>
            <w:proofErr w:type="spellStart"/>
            <w:r>
              <w:rPr>
                <w:b/>
                <w:bCs/>
              </w:rPr>
              <w:t>Дозов</w:t>
            </w:r>
            <w:proofErr w:type="spellEnd"/>
            <w:r>
              <w:rPr>
                <w:b/>
                <w:bCs/>
              </w:rPr>
              <w:t xml:space="preserve"> режим на взаимодействащото лекарство</w:t>
            </w:r>
          </w:p>
        </w:tc>
        <w:tc>
          <w:tcPr>
            <w:tcW w:w="2694" w:type="dxa"/>
          </w:tcPr>
          <w:p w14:paraId="025B84B3" w14:textId="567B8D0D" w:rsidR="005E44CF" w:rsidRDefault="005E44CF" w:rsidP="005E44CF">
            <w:pPr>
              <w:rPr>
                <w:rFonts w:cs="Arial"/>
              </w:rPr>
            </w:pPr>
            <w:proofErr w:type="spellStart"/>
            <w:r>
              <w:rPr>
                <w:b/>
                <w:bCs/>
              </w:rPr>
              <w:t>Дозов</w:t>
            </w:r>
            <w:proofErr w:type="spellEnd"/>
            <w:r>
              <w:rPr>
                <w:b/>
                <w:bCs/>
              </w:rPr>
              <w:t xml:space="preserve"> режим на </w:t>
            </w:r>
            <w:proofErr w:type="spellStart"/>
            <w:r>
              <w:rPr>
                <w:b/>
                <w:bCs/>
              </w:rPr>
              <w:t>розувастатин</w:t>
            </w:r>
            <w:proofErr w:type="spellEnd"/>
          </w:p>
        </w:tc>
        <w:tc>
          <w:tcPr>
            <w:tcW w:w="2805" w:type="dxa"/>
          </w:tcPr>
          <w:p w14:paraId="0BFE77E2" w14:textId="5CDF1512" w:rsidR="005E44CF" w:rsidRDefault="005E44CF" w:rsidP="005E44CF">
            <w:pPr>
              <w:rPr>
                <w:rFonts w:cs="Arial"/>
              </w:rPr>
            </w:pPr>
            <w:r>
              <w:rPr>
                <w:b/>
                <w:bCs/>
              </w:rPr>
              <w:t xml:space="preserve">Промяна в </w:t>
            </w:r>
            <w:r>
              <w:rPr>
                <w:b/>
                <w:bCs/>
                <w:lang w:val="en-US"/>
              </w:rPr>
              <w:t>AUC</w:t>
            </w:r>
            <w:r w:rsidRPr="005E44C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на </w:t>
            </w:r>
            <w:proofErr w:type="spellStart"/>
            <w:r>
              <w:rPr>
                <w:b/>
                <w:bCs/>
              </w:rPr>
              <w:t>розувастатин</w:t>
            </w:r>
            <w:proofErr w:type="spellEnd"/>
            <w:r>
              <w:rPr>
                <w:b/>
                <w:bCs/>
              </w:rPr>
              <w:t>*</w:t>
            </w:r>
          </w:p>
        </w:tc>
      </w:tr>
      <w:tr w:rsidR="005E44CF" w14:paraId="735D314B" w14:textId="77777777" w:rsidTr="005E44CF">
        <w:tc>
          <w:tcPr>
            <w:tcW w:w="4077" w:type="dxa"/>
          </w:tcPr>
          <w:p w14:paraId="78B295FA" w14:textId="75383C36" w:rsidR="005E44CF" w:rsidRDefault="005E44CF" w:rsidP="005E44CF">
            <w:pPr>
              <w:rPr>
                <w:rFonts w:cs="Arial"/>
              </w:rPr>
            </w:pPr>
            <w:r>
              <w:lastRenderedPageBreak/>
              <w:t xml:space="preserve">Циклоспорин 75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 xml:space="preserve">два пъти дневно до 200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два пъти дневно, 6 месеца</w:t>
            </w:r>
          </w:p>
        </w:tc>
        <w:tc>
          <w:tcPr>
            <w:tcW w:w="2694" w:type="dxa"/>
          </w:tcPr>
          <w:p w14:paraId="76308D4E" w14:textId="096ADA4F" w:rsidR="005E44CF" w:rsidRDefault="005E44CF" w:rsidP="005E44CF">
            <w:pPr>
              <w:rPr>
                <w:rFonts w:cs="Arial"/>
              </w:rPr>
            </w:pPr>
            <w:r>
              <w:t xml:space="preserve">10 </w:t>
            </w:r>
            <w:r>
              <w:rPr>
                <w:lang w:val="en-US"/>
              </w:rPr>
              <w:t xml:space="preserve">mg </w:t>
            </w:r>
            <w:r>
              <w:t>веднъж дневно, 10 дни</w:t>
            </w:r>
          </w:p>
        </w:tc>
        <w:tc>
          <w:tcPr>
            <w:tcW w:w="2805" w:type="dxa"/>
          </w:tcPr>
          <w:p w14:paraId="3FA9E258" w14:textId="6345B162" w:rsidR="005E44CF" w:rsidRDefault="005E44CF" w:rsidP="005E44CF">
            <w:pPr>
              <w:rPr>
                <w:rFonts w:cs="Arial"/>
              </w:rPr>
            </w:pPr>
            <w:r>
              <w:t>7,1 пъти ↑</w:t>
            </w:r>
          </w:p>
        </w:tc>
      </w:tr>
      <w:tr w:rsidR="005E44CF" w14:paraId="17CB160C" w14:textId="77777777" w:rsidTr="005E44CF">
        <w:tc>
          <w:tcPr>
            <w:tcW w:w="4077" w:type="dxa"/>
          </w:tcPr>
          <w:p w14:paraId="5938F697" w14:textId="03B2EEA5" w:rsidR="005E44CF" w:rsidRDefault="005E44CF" w:rsidP="005E44CF">
            <w:pPr>
              <w:rPr>
                <w:rFonts w:cs="Arial"/>
              </w:rPr>
            </w:pPr>
            <w:proofErr w:type="spellStart"/>
            <w:r>
              <w:t>Регорафениб</w:t>
            </w:r>
            <w:proofErr w:type="spellEnd"/>
            <w:r>
              <w:t xml:space="preserve"> 160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, </w:t>
            </w:r>
            <w:r>
              <w:t>веднъж дневно, 14 дни</w:t>
            </w:r>
          </w:p>
        </w:tc>
        <w:tc>
          <w:tcPr>
            <w:tcW w:w="2694" w:type="dxa"/>
          </w:tcPr>
          <w:p w14:paraId="7958F1DE" w14:textId="0279F4F4" w:rsidR="005E44CF" w:rsidRDefault="005E44CF" w:rsidP="005E44CF">
            <w:pPr>
              <w:rPr>
                <w:rFonts w:cs="Arial"/>
              </w:rPr>
            </w:pPr>
            <w:r>
              <w:t xml:space="preserve">5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6443CAE1" w14:textId="1BB6F349" w:rsidR="005E44CF" w:rsidRDefault="005E44CF" w:rsidP="005E44CF">
            <w:pPr>
              <w:rPr>
                <w:rFonts w:cs="Arial"/>
              </w:rPr>
            </w:pPr>
            <w:r>
              <w:t>3,8 пъти ↑</w:t>
            </w:r>
          </w:p>
        </w:tc>
      </w:tr>
      <w:tr w:rsidR="005E44CF" w14:paraId="3A88B444" w14:textId="77777777" w:rsidTr="005E44CF">
        <w:tc>
          <w:tcPr>
            <w:tcW w:w="4077" w:type="dxa"/>
          </w:tcPr>
          <w:p w14:paraId="65198AF2" w14:textId="549FE54D" w:rsidR="005E44CF" w:rsidRDefault="005E44CF" w:rsidP="005E44CF">
            <w:pPr>
              <w:rPr>
                <w:rFonts w:cs="Arial"/>
              </w:rPr>
            </w:pPr>
            <w:proofErr w:type="spellStart"/>
            <w:r>
              <w:t>Атазанавир</w:t>
            </w:r>
            <w:proofErr w:type="spellEnd"/>
            <w:r>
              <w:t xml:space="preserve"> 300 </w:t>
            </w:r>
            <w:r>
              <w:rPr>
                <w:lang w:val="en-US"/>
              </w:rPr>
              <w:t>mg</w:t>
            </w:r>
            <w:r>
              <w:t xml:space="preserve">/ритонавир 100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веднъж дневно, 8 дни</w:t>
            </w:r>
          </w:p>
        </w:tc>
        <w:tc>
          <w:tcPr>
            <w:tcW w:w="2694" w:type="dxa"/>
          </w:tcPr>
          <w:p w14:paraId="1FF455C9" w14:textId="152CAB25" w:rsidR="005E44CF" w:rsidRDefault="005E44CF" w:rsidP="005E44CF">
            <w:pPr>
              <w:rPr>
                <w:rFonts w:cs="Arial"/>
              </w:rPr>
            </w:pPr>
            <w:r>
              <w:t xml:space="preserve">10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7B8BBAC3" w14:textId="6DAE5AB1" w:rsidR="005E44CF" w:rsidRDefault="005E44CF" w:rsidP="005E44CF">
            <w:pPr>
              <w:rPr>
                <w:rFonts w:cs="Arial"/>
              </w:rPr>
            </w:pPr>
            <w:r>
              <w:t>3,1 пъти ↑</w:t>
            </w:r>
          </w:p>
        </w:tc>
      </w:tr>
      <w:tr w:rsidR="005E44CF" w14:paraId="06E00FB6" w14:textId="77777777" w:rsidTr="005E44CF">
        <w:tc>
          <w:tcPr>
            <w:tcW w:w="4077" w:type="dxa"/>
          </w:tcPr>
          <w:p w14:paraId="29785E0F" w14:textId="54DA379A" w:rsidR="005E44CF" w:rsidRDefault="005E44CF" w:rsidP="005E44CF">
            <w:pPr>
              <w:rPr>
                <w:rFonts w:cs="Arial"/>
              </w:rPr>
            </w:pPr>
            <w:proofErr w:type="spellStart"/>
            <w:r>
              <w:t>Велпатасвир</w:t>
            </w:r>
            <w:proofErr w:type="spellEnd"/>
            <w:r>
              <w:t xml:space="preserve"> 100 </w:t>
            </w:r>
            <w:r>
              <w:rPr>
                <w:lang w:val="en-US"/>
              </w:rPr>
              <w:t xml:space="preserve">mg </w:t>
            </w:r>
            <w:r>
              <w:t>веднъж дневно</w:t>
            </w:r>
          </w:p>
        </w:tc>
        <w:tc>
          <w:tcPr>
            <w:tcW w:w="2694" w:type="dxa"/>
          </w:tcPr>
          <w:p w14:paraId="09BD38A0" w14:textId="52940029" w:rsidR="005E44CF" w:rsidRDefault="005E44CF" w:rsidP="005E44CF">
            <w:pPr>
              <w:rPr>
                <w:rFonts w:cs="Arial"/>
              </w:rPr>
            </w:pPr>
            <w:r>
              <w:t xml:space="preserve">10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3B31F711" w14:textId="12D71058" w:rsidR="005E44CF" w:rsidRDefault="005E44CF" w:rsidP="005E44CF">
            <w:pPr>
              <w:rPr>
                <w:rFonts w:cs="Arial"/>
              </w:rPr>
            </w:pPr>
            <w:r>
              <w:t>2,7 пъти ↑</w:t>
            </w:r>
          </w:p>
        </w:tc>
      </w:tr>
      <w:tr w:rsidR="005E44CF" w14:paraId="71F588B9" w14:textId="77777777" w:rsidTr="005E44CF">
        <w:tc>
          <w:tcPr>
            <w:tcW w:w="4077" w:type="dxa"/>
          </w:tcPr>
          <w:p w14:paraId="5CC765FF" w14:textId="5F9AC593" w:rsidR="005E44CF" w:rsidRDefault="005E44CF" w:rsidP="005E44CF">
            <w:pPr>
              <w:rPr>
                <w:rFonts w:cs="Arial"/>
              </w:rPr>
            </w:pPr>
            <w:proofErr w:type="spellStart"/>
            <w:r>
              <w:t>Омбитасвир</w:t>
            </w:r>
            <w:proofErr w:type="spellEnd"/>
            <w:r>
              <w:t xml:space="preserve"> 25 </w:t>
            </w:r>
            <w:r>
              <w:rPr>
                <w:lang w:val="en-US"/>
              </w:rPr>
              <w:t>mg</w:t>
            </w:r>
            <w:r>
              <w:t>/</w:t>
            </w:r>
            <w:proofErr w:type="spellStart"/>
            <w:r>
              <w:t>паритапревир</w:t>
            </w:r>
            <w:proofErr w:type="spellEnd"/>
            <w:r>
              <w:t xml:space="preserve"> 150 </w:t>
            </w:r>
            <w:r>
              <w:rPr>
                <w:lang w:val="en-US"/>
              </w:rPr>
              <w:t>mg</w:t>
            </w:r>
            <w:r>
              <w:t xml:space="preserve">/ ритонавир 100 </w:t>
            </w:r>
            <w:r>
              <w:rPr>
                <w:lang w:val="en-US"/>
              </w:rPr>
              <w:t>mg</w:t>
            </w:r>
            <w:r w:rsidRPr="005E44CF">
              <w:t xml:space="preserve"> </w:t>
            </w:r>
            <w:r>
              <w:t xml:space="preserve">веднъж дневно / </w:t>
            </w:r>
            <w:proofErr w:type="spellStart"/>
            <w:r>
              <w:t>дазабувир</w:t>
            </w:r>
            <w:proofErr w:type="spellEnd"/>
            <w:r>
              <w:t xml:space="preserve"> 400 </w:t>
            </w:r>
            <w:r>
              <w:rPr>
                <w:lang w:val="en-US"/>
              </w:rPr>
              <w:t>mg</w:t>
            </w:r>
            <w:r w:rsidRPr="005E44CF">
              <w:t xml:space="preserve"> </w:t>
            </w:r>
            <w:r>
              <w:t>2 пъти дневно, 14 дни</w:t>
            </w:r>
          </w:p>
        </w:tc>
        <w:tc>
          <w:tcPr>
            <w:tcW w:w="2694" w:type="dxa"/>
          </w:tcPr>
          <w:p w14:paraId="68A0E045" w14:textId="4F9A8ECA" w:rsidR="005E44CF" w:rsidRDefault="005E44CF" w:rsidP="005E44CF">
            <w:pPr>
              <w:rPr>
                <w:rFonts w:cs="Arial"/>
              </w:rPr>
            </w:pPr>
            <w:r>
              <w:t xml:space="preserve">5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7EC8A1D6" w14:textId="7764B4EB" w:rsidR="005E44CF" w:rsidRDefault="005E44CF" w:rsidP="005E44CF">
            <w:pPr>
              <w:rPr>
                <w:rFonts w:cs="Arial"/>
              </w:rPr>
            </w:pPr>
            <w:r>
              <w:t>2,6 пъти ↑</w:t>
            </w:r>
          </w:p>
        </w:tc>
      </w:tr>
      <w:tr w:rsidR="005E44CF" w14:paraId="45B4D667" w14:textId="77777777" w:rsidTr="005E44CF">
        <w:tc>
          <w:tcPr>
            <w:tcW w:w="4077" w:type="dxa"/>
          </w:tcPr>
          <w:p w14:paraId="738B1651" w14:textId="6D7D9DE5" w:rsidR="005E44CF" w:rsidRDefault="005E44CF" w:rsidP="005E44CF">
            <w:pPr>
              <w:rPr>
                <w:rFonts w:cs="Arial"/>
              </w:rPr>
            </w:pPr>
            <w:proofErr w:type="spellStart"/>
            <w:r>
              <w:t>Гразопревир</w:t>
            </w:r>
            <w:proofErr w:type="spellEnd"/>
            <w:r>
              <w:t xml:space="preserve"> 200 </w:t>
            </w:r>
            <w:r>
              <w:rPr>
                <w:lang w:val="en-US"/>
              </w:rPr>
              <w:t>mg</w:t>
            </w:r>
            <w:r>
              <w:t>/</w:t>
            </w:r>
            <w:proofErr w:type="spellStart"/>
            <w:r>
              <w:t>елбасвир</w:t>
            </w:r>
            <w:proofErr w:type="spellEnd"/>
            <w:r>
              <w:t xml:space="preserve"> 50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веднъж дневно, 11 дни</w:t>
            </w:r>
          </w:p>
        </w:tc>
        <w:tc>
          <w:tcPr>
            <w:tcW w:w="2694" w:type="dxa"/>
          </w:tcPr>
          <w:p w14:paraId="39E41E08" w14:textId="071F4438" w:rsidR="005E44CF" w:rsidRDefault="005E44CF" w:rsidP="005E44CF">
            <w:pPr>
              <w:rPr>
                <w:rFonts w:cs="Arial"/>
              </w:rPr>
            </w:pPr>
            <w:r>
              <w:t xml:space="preserve">10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7F60F570" w14:textId="5588CCB8" w:rsidR="005E44CF" w:rsidRDefault="005E44CF" w:rsidP="005E44CF">
            <w:pPr>
              <w:rPr>
                <w:rFonts w:cs="Arial"/>
              </w:rPr>
            </w:pPr>
            <w:r>
              <w:t>2,3 пъти ↑</w:t>
            </w:r>
          </w:p>
        </w:tc>
      </w:tr>
      <w:tr w:rsidR="005E44CF" w14:paraId="2E2CFCDE" w14:textId="77777777" w:rsidTr="005E44CF">
        <w:tc>
          <w:tcPr>
            <w:tcW w:w="4077" w:type="dxa"/>
          </w:tcPr>
          <w:p w14:paraId="45920C0D" w14:textId="7C228768" w:rsidR="005E44CF" w:rsidRDefault="005E44CF" w:rsidP="005E44CF">
            <w:pPr>
              <w:rPr>
                <w:rFonts w:cs="Arial"/>
              </w:rPr>
            </w:pPr>
            <w:proofErr w:type="spellStart"/>
            <w:r>
              <w:t>Глекапревир</w:t>
            </w:r>
            <w:proofErr w:type="spellEnd"/>
            <w:r>
              <w:t xml:space="preserve"> 400 </w:t>
            </w:r>
            <w:r>
              <w:rPr>
                <w:lang w:val="en-US"/>
              </w:rPr>
              <w:t>mg</w:t>
            </w:r>
            <w:r>
              <w:t>/</w:t>
            </w:r>
            <w:proofErr w:type="spellStart"/>
            <w:r>
              <w:t>пибрентасвир</w:t>
            </w:r>
            <w:proofErr w:type="spellEnd"/>
            <w:r>
              <w:t xml:space="preserve"> 120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веднъж дневно, 7 дни</w:t>
            </w:r>
          </w:p>
        </w:tc>
        <w:tc>
          <w:tcPr>
            <w:tcW w:w="2694" w:type="dxa"/>
          </w:tcPr>
          <w:p w14:paraId="0EE53860" w14:textId="53B19572" w:rsidR="005E44CF" w:rsidRDefault="005E44CF" w:rsidP="005E44CF">
            <w:pPr>
              <w:rPr>
                <w:rFonts w:cs="Arial"/>
              </w:rPr>
            </w:pPr>
            <w:r>
              <w:t xml:space="preserve">5 </w:t>
            </w:r>
            <w:r>
              <w:rPr>
                <w:lang w:val="en-US"/>
              </w:rPr>
              <w:t xml:space="preserve">mg </w:t>
            </w:r>
            <w:r>
              <w:t>веднъж дневно, 7 дни</w:t>
            </w:r>
          </w:p>
        </w:tc>
        <w:tc>
          <w:tcPr>
            <w:tcW w:w="2805" w:type="dxa"/>
          </w:tcPr>
          <w:p w14:paraId="0AB072B3" w14:textId="5EBF0935" w:rsidR="005E44CF" w:rsidRDefault="005E44CF" w:rsidP="005E44CF">
            <w:pPr>
              <w:rPr>
                <w:rFonts w:cs="Arial"/>
              </w:rPr>
            </w:pPr>
            <w:r>
              <w:t>2,2 пъти ↑</w:t>
            </w:r>
          </w:p>
        </w:tc>
      </w:tr>
      <w:tr w:rsidR="005E44CF" w14:paraId="16135EE7" w14:textId="77777777" w:rsidTr="005E44CF">
        <w:tc>
          <w:tcPr>
            <w:tcW w:w="4077" w:type="dxa"/>
          </w:tcPr>
          <w:p w14:paraId="0EEDA133" w14:textId="61D12B71" w:rsidR="005E44CF" w:rsidRDefault="005E44CF" w:rsidP="005E44CF">
            <w:pPr>
              <w:rPr>
                <w:rFonts w:cs="Arial"/>
              </w:rPr>
            </w:pPr>
            <w:r>
              <w:t xml:space="preserve">Лопинавир 400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/ </w:t>
            </w:r>
            <w:r>
              <w:t xml:space="preserve">ритонавир 100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два пъти дневно, 17 дни</w:t>
            </w:r>
          </w:p>
        </w:tc>
        <w:tc>
          <w:tcPr>
            <w:tcW w:w="2694" w:type="dxa"/>
          </w:tcPr>
          <w:p w14:paraId="4D4DDF1E" w14:textId="307C6B30" w:rsidR="005E44CF" w:rsidRDefault="005E44CF" w:rsidP="005E44CF">
            <w:pPr>
              <w:rPr>
                <w:rFonts w:cs="Arial"/>
              </w:rPr>
            </w:pPr>
            <w:r>
              <w:t xml:space="preserve">20 </w:t>
            </w:r>
            <w:r>
              <w:rPr>
                <w:lang w:val="en-US"/>
              </w:rPr>
              <w:t xml:space="preserve">mg </w:t>
            </w:r>
            <w:r>
              <w:t>веднъж дневно, 7 дни</w:t>
            </w:r>
          </w:p>
        </w:tc>
        <w:tc>
          <w:tcPr>
            <w:tcW w:w="2805" w:type="dxa"/>
          </w:tcPr>
          <w:p w14:paraId="3F756794" w14:textId="3028E1D0" w:rsidR="005E44CF" w:rsidRDefault="005E44CF" w:rsidP="005E44CF">
            <w:pPr>
              <w:rPr>
                <w:rFonts w:cs="Arial"/>
              </w:rPr>
            </w:pPr>
            <w:r>
              <w:t>2,1 пъти ↑</w:t>
            </w:r>
          </w:p>
        </w:tc>
      </w:tr>
      <w:tr w:rsidR="005E44CF" w14:paraId="52F40895" w14:textId="77777777" w:rsidTr="005E44CF">
        <w:tc>
          <w:tcPr>
            <w:tcW w:w="4077" w:type="dxa"/>
          </w:tcPr>
          <w:p w14:paraId="002C77FF" w14:textId="2B6BA615" w:rsidR="005E44CF" w:rsidRDefault="005E44CF" w:rsidP="005E44CF">
            <w:pPr>
              <w:rPr>
                <w:rFonts w:cs="Arial"/>
              </w:rPr>
            </w:pPr>
            <w:proofErr w:type="spellStart"/>
            <w:r>
              <w:t>Клопидогрел</w:t>
            </w:r>
            <w:proofErr w:type="spellEnd"/>
            <w:r>
              <w:t xml:space="preserve"> 300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 xml:space="preserve">натоварваща доза, последвана от 75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на 24 часа</w:t>
            </w:r>
          </w:p>
        </w:tc>
        <w:tc>
          <w:tcPr>
            <w:tcW w:w="2694" w:type="dxa"/>
          </w:tcPr>
          <w:p w14:paraId="45042E54" w14:textId="5BCF2BF9" w:rsidR="005E44CF" w:rsidRDefault="005E44CF" w:rsidP="005E44CF">
            <w:pPr>
              <w:rPr>
                <w:rFonts w:cs="Arial"/>
              </w:rPr>
            </w:pPr>
            <w:r>
              <w:t xml:space="preserve">20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4C722B4D" w14:textId="35D6E013" w:rsidR="005E44CF" w:rsidRDefault="005E44CF" w:rsidP="005E44CF">
            <w:pPr>
              <w:rPr>
                <w:rFonts w:cs="Arial"/>
              </w:rPr>
            </w:pPr>
            <w:r>
              <w:t>2 пъти ↑</w:t>
            </w:r>
          </w:p>
        </w:tc>
      </w:tr>
      <w:tr w:rsidR="005E44CF" w14:paraId="4712D1BD" w14:textId="77777777" w:rsidTr="005E44CF">
        <w:tc>
          <w:tcPr>
            <w:tcW w:w="4077" w:type="dxa"/>
          </w:tcPr>
          <w:p w14:paraId="76FA0D46" w14:textId="174ED16B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Гемфиброзил</w:t>
            </w:r>
            <w:proofErr w:type="spellEnd"/>
            <w:r w:rsidRPr="005E44CF">
              <w:rPr>
                <w:rFonts w:cs="Arial"/>
              </w:rPr>
              <w:t xml:space="preserve"> 600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два пъти дневно, 7 дни</w:t>
            </w:r>
          </w:p>
        </w:tc>
        <w:tc>
          <w:tcPr>
            <w:tcW w:w="2694" w:type="dxa"/>
          </w:tcPr>
          <w:p w14:paraId="71DC2BC4" w14:textId="45C4A7B3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80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2687E96D" w14:textId="24624FDA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1,9 пъти ↑</w:t>
            </w:r>
          </w:p>
        </w:tc>
      </w:tr>
      <w:tr w:rsidR="005E44CF" w14:paraId="118E84DB" w14:textId="77777777" w:rsidTr="005E44CF">
        <w:tc>
          <w:tcPr>
            <w:tcW w:w="4077" w:type="dxa"/>
          </w:tcPr>
          <w:p w14:paraId="38052304" w14:textId="6A9E1F28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Елтромбопаг</w:t>
            </w:r>
            <w:proofErr w:type="spellEnd"/>
            <w:r w:rsidRPr="005E44CF">
              <w:rPr>
                <w:rFonts w:cs="Arial"/>
              </w:rPr>
              <w:t xml:space="preserve"> 75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веднъж дневно, 5 дни</w:t>
            </w:r>
          </w:p>
        </w:tc>
        <w:tc>
          <w:tcPr>
            <w:tcW w:w="2694" w:type="dxa"/>
          </w:tcPr>
          <w:p w14:paraId="381D24C0" w14:textId="4F1E2DE1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51179A7D" w14:textId="53D2DD3D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1,6 пъти ↑</w:t>
            </w:r>
          </w:p>
        </w:tc>
      </w:tr>
      <w:tr w:rsidR="005E44CF" w14:paraId="02008E25" w14:textId="77777777" w:rsidTr="005E44CF">
        <w:tc>
          <w:tcPr>
            <w:tcW w:w="4077" w:type="dxa"/>
          </w:tcPr>
          <w:p w14:paraId="238B7810" w14:textId="5B7E5875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Дарунавир</w:t>
            </w:r>
            <w:proofErr w:type="spellEnd"/>
            <w:r w:rsidRPr="005E44CF">
              <w:rPr>
                <w:rFonts w:cs="Arial"/>
              </w:rPr>
              <w:t xml:space="preserve"> 600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/ </w:t>
            </w:r>
            <w:r w:rsidRPr="005E44CF">
              <w:rPr>
                <w:rFonts w:cs="Arial"/>
              </w:rPr>
              <w:t xml:space="preserve">ритонавир 100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два пъти дневно, 7 дни</w:t>
            </w:r>
          </w:p>
        </w:tc>
        <w:tc>
          <w:tcPr>
            <w:tcW w:w="2694" w:type="dxa"/>
          </w:tcPr>
          <w:p w14:paraId="3889C1A0" w14:textId="19145E8B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 </w:t>
            </w:r>
            <w:r w:rsidRPr="005E44CF">
              <w:rPr>
                <w:rFonts w:cs="Arial"/>
              </w:rPr>
              <w:t>веднъж дневно, 7 дни</w:t>
            </w:r>
          </w:p>
        </w:tc>
        <w:tc>
          <w:tcPr>
            <w:tcW w:w="2805" w:type="dxa"/>
          </w:tcPr>
          <w:p w14:paraId="17D5D95D" w14:textId="3D7BAC66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1,5 пъти ↑</w:t>
            </w:r>
          </w:p>
        </w:tc>
      </w:tr>
      <w:tr w:rsidR="005E44CF" w14:paraId="77E19270" w14:textId="77777777" w:rsidTr="005E44CF">
        <w:tc>
          <w:tcPr>
            <w:tcW w:w="4077" w:type="dxa"/>
          </w:tcPr>
          <w:p w14:paraId="6A59CE3F" w14:textId="4C919DD8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Типранавир</w:t>
            </w:r>
            <w:proofErr w:type="spellEnd"/>
            <w:r w:rsidRPr="005E44CF">
              <w:rPr>
                <w:rFonts w:cs="Arial"/>
              </w:rPr>
              <w:t xml:space="preserve"> 500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</w:rPr>
              <w:t xml:space="preserve">/ ритонавир 200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</w:rPr>
              <w:t xml:space="preserve"> </w:t>
            </w:r>
            <w:r w:rsidRPr="005E44CF">
              <w:rPr>
                <w:rFonts w:cs="Arial"/>
                <w:lang w:val="en-US"/>
              </w:rPr>
              <w:t>BID</w:t>
            </w:r>
            <w:r w:rsidRPr="005E44CF">
              <w:rPr>
                <w:rFonts w:cs="Arial"/>
              </w:rPr>
              <w:t xml:space="preserve">, 11 </w:t>
            </w:r>
            <w:r w:rsidRPr="005E44CF">
              <w:rPr>
                <w:rFonts w:cs="Arial"/>
                <w:b/>
                <w:bCs/>
              </w:rPr>
              <w:t>ДНИ</w:t>
            </w:r>
          </w:p>
        </w:tc>
        <w:tc>
          <w:tcPr>
            <w:tcW w:w="2694" w:type="dxa"/>
          </w:tcPr>
          <w:p w14:paraId="124A388F" w14:textId="09614AAD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44687F1F" w14:textId="747A9534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1,4 пъти ↑</w:t>
            </w:r>
          </w:p>
        </w:tc>
      </w:tr>
      <w:tr w:rsidR="005E44CF" w14:paraId="0CF8B1B3" w14:textId="77777777" w:rsidTr="005E44CF">
        <w:tc>
          <w:tcPr>
            <w:tcW w:w="4077" w:type="dxa"/>
          </w:tcPr>
          <w:p w14:paraId="23BBCC26" w14:textId="1DBADB3D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Дронедарон</w:t>
            </w:r>
            <w:proofErr w:type="spellEnd"/>
            <w:r w:rsidRPr="005E44CF">
              <w:rPr>
                <w:rFonts w:cs="Arial"/>
              </w:rPr>
              <w:t xml:space="preserve"> 400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два пъти дневно</w:t>
            </w:r>
          </w:p>
        </w:tc>
        <w:tc>
          <w:tcPr>
            <w:tcW w:w="2694" w:type="dxa"/>
          </w:tcPr>
          <w:p w14:paraId="76939236" w14:textId="247963A4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Не е налична</w:t>
            </w:r>
          </w:p>
        </w:tc>
        <w:tc>
          <w:tcPr>
            <w:tcW w:w="2805" w:type="dxa"/>
          </w:tcPr>
          <w:p w14:paraId="165D1B9A" w14:textId="5FF0520F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1,4 пъти ↑</w:t>
            </w:r>
          </w:p>
        </w:tc>
      </w:tr>
      <w:tr w:rsidR="005E44CF" w14:paraId="4BFECB2F" w14:textId="77777777" w:rsidTr="005E44CF">
        <w:tc>
          <w:tcPr>
            <w:tcW w:w="4077" w:type="dxa"/>
          </w:tcPr>
          <w:p w14:paraId="3BC5CFD5" w14:textId="2188EE3B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Итраконазол</w:t>
            </w:r>
            <w:proofErr w:type="spellEnd"/>
            <w:r w:rsidRPr="005E44CF">
              <w:rPr>
                <w:rFonts w:cs="Arial"/>
              </w:rPr>
              <w:t xml:space="preserve"> 200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веднъж дневно, 5 дни</w:t>
            </w:r>
          </w:p>
        </w:tc>
        <w:tc>
          <w:tcPr>
            <w:tcW w:w="2694" w:type="dxa"/>
          </w:tcPr>
          <w:p w14:paraId="2EC2F3E0" w14:textId="1D280CAD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08129585" w14:textId="247B0804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1,4 пъти ↑**</w:t>
            </w:r>
          </w:p>
        </w:tc>
      </w:tr>
      <w:tr w:rsidR="005E44CF" w14:paraId="58EF3CC1" w14:textId="77777777" w:rsidTr="005E44CF">
        <w:tc>
          <w:tcPr>
            <w:tcW w:w="4077" w:type="dxa"/>
          </w:tcPr>
          <w:p w14:paraId="08C5A8F0" w14:textId="1EEF39A7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Езетимиб</w:t>
            </w:r>
            <w:proofErr w:type="spellEnd"/>
            <w:r w:rsidRPr="005E44CF">
              <w:rPr>
                <w:rFonts w:cs="Arial"/>
              </w:rPr>
              <w:t xml:space="preserve"> 10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веднъж дневно, 14 дни</w:t>
            </w:r>
          </w:p>
        </w:tc>
        <w:tc>
          <w:tcPr>
            <w:tcW w:w="2694" w:type="dxa"/>
          </w:tcPr>
          <w:p w14:paraId="21EEB104" w14:textId="5A8377FC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веднъж дневно, 14 дни</w:t>
            </w:r>
          </w:p>
        </w:tc>
        <w:tc>
          <w:tcPr>
            <w:tcW w:w="2805" w:type="dxa"/>
          </w:tcPr>
          <w:p w14:paraId="5D09B846" w14:textId="009EE0DB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1,2 пъти ↑**</w:t>
            </w:r>
          </w:p>
        </w:tc>
      </w:tr>
      <w:tr w:rsidR="005E44CF" w14:paraId="23D8F752" w14:textId="77777777" w:rsidTr="005E44CF">
        <w:tc>
          <w:tcPr>
            <w:tcW w:w="4077" w:type="dxa"/>
          </w:tcPr>
          <w:p w14:paraId="6CFAA475" w14:textId="6A24F105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Фосампренавир</w:t>
            </w:r>
            <w:proofErr w:type="spellEnd"/>
            <w:r w:rsidRPr="005E44CF">
              <w:rPr>
                <w:rFonts w:cs="Arial"/>
              </w:rPr>
              <w:t xml:space="preserve"> 700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/ </w:t>
            </w:r>
            <w:r w:rsidRPr="005E44CF">
              <w:rPr>
                <w:rFonts w:cs="Arial"/>
              </w:rPr>
              <w:t xml:space="preserve">ритонавир 100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два пъти дневно, 8 дни</w:t>
            </w:r>
          </w:p>
        </w:tc>
        <w:tc>
          <w:tcPr>
            <w:tcW w:w="2694" w:type="dxa"/>
          </w:tcPr>
          <w:p w14:paraId="66840F5E" w14:textId="263F4741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734E7485" w14:textId="649D3FE9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↔</w:t>
            </w:r>
          </w:p>
        </w:tc>
      </w:tr>
      <w:tr w:rsidR="005E44CF" w14:paraId="600E8D55" w14:textId="77777777" w:rsidTr="005E44CF">
        <w:tc>
          <w:tcPr>
            <w:tcW w:w="4077" w:type="dxa"/>
          </w:tcPr>
          <w:p w14:paraId="5594D8EF" w14:textId="7FA9A96E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Алеглитазар</w:t>
            </w:r>
            <w:proofErr w:type="spellEnd"/>
            <w:r w:rsidRPr="005E44CF">
              <w:rPr>
                <w:rFonts w:cs="Arial"/>
              </w:rPr>
              <w:t xml:space="preserve"> 0,3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7 дни</w:t>
            </w:r>
          </w:p>
        </w:tc>
        <w:tc>
          <w:tcPr>
            <w:tcW w:w="2694" w:type="dxa"/>
          </w:tcPr>
          <w:p w14:paraId="4A5321FD" w14:textId="2AD5CE5C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40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7 дни</w:t>
            </w:r>
          </w:p>
        </w:tc>
        <w:tc>
          <w:tcPr>
            <w:tcW w:w="2805" w:type="dxa"/>
          </w:tcPr>
          <w:p w14:paraId="724BC697" w14:textId="675A5A63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↔</w:t>
            </w:r>
          </w:p>
        </w:tc>
      </w:tr>
      <w:tr w:rsidR="005E44CF" w14:paraId="20B2C976" w14:textId="77777777" w:rsidTr="005E44CF">
        <w:tc>
          <w:tcPr>
            <w:tcW w:w="4077" w:type="dxa"/>
          </w:tcPr>
          <w:p w14:paraId="2950E719" w14:textId="104A864C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Силимарин</w:t>
            </w:r>
            <w:proofErr w:type="spellEnd"/>
            <w:r w:rsidRPr="005E44CF">
              <w:rPr>
                <w:rFonts w:cs="Arial"/>
              </w:rPr>
              <w:t xml:space="preserve"> 140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три пъти дневно, 5 дни</w:t>
            </w:r>
          </w:p>
        </w:tc>
        <w:tc>
          <w:tcPr>
            <w:tcW w:w="2694" w:type="dxa"/>
          </w:tcPr>
          <w:p w14:paraId="1FBE6F2B" w14:textId="160ECE87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67BB8A3A" w14:textId="5115DE5E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↔</w:t>
            </w:r>
          </w:p>
        </w:tc>
      </w:tr>
      <w:tr w:rsidR="005E44CF" w14:paraId="7CC5BF81" w14:textId="77777777" w:rsidTr="005E44CF">
        <w:tc>
          <w:tcPr>
            <w:tcW w:w="4077" w:type="dxa"/>
          </w:tcPr>
          <w:p w14:paraId="05E7670C" w14:textId="4F00A75F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Фенофибрат</w:t>
            </w:r>
            <w:proofErr w:type="spellEnd"/>
            <w:r w:rsidRPr="005E44CF">
              <w:rPr>
                <w:rFonts w:cs="Arial"/>
              </w:rPr>
              <w:t xml:space="preserve"> 67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три пъти дневно, 7 дни</w:t>
            </w:r>
          </w:p>
        </w:tc>
        <w:tc>
          <w:tcPr>
            <w:tcW w:w="2694" w:type="dxa"/>
          </w:tcPr>
          <w:p w14:paraId="1968ED29" w14:textId="6721BE94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10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7 дни</w:t>
            </w:r>
          </w:p>
        </w:tc>
        <w:tc>
          <w:tcPr>
            <w:tcW w:w="2805" w:type="dxa"/>
          </w:tcPr>
          <w:p w14:paraId="695F0167" w14:textId="14991028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↔</w:t>
            </w:r>
          </w:p>
        </w:tc>
      </w:tr>
      <w:tr w:rsidR="005E44CF" w14:paraId="44D785D3" w14:textId="77777777" w:rsidTr="005E44CF">
        <w:tc>
          <w:tcPr>
            <w:tcW w:w="4077" w:type="dxa"/>
          </w:tcPr>
          <w:p w14:paraId="4950B811" w14:textId="4F0D8095" w:rsidR="005E44CF" w:rsidRPr="005E44CF" w:rsidRDefault="005E44CF" w:rsidP="005E44CF">
            <w:pPr>
              <w:rPr>
                <w:rFonts w:cs="Arial"/>
              </w:rPr>
            </w:pPr>
            <w:proofErr w:type="spellStart"/>
            <w:r w:rsidRPr="005E44CF">
              <w:rPr>
                <w:rFonts w:cs="Arial"/>
              </w:rPr>
              <w:t>Рифампин</w:t>
            </w:r>
            <w:proofErr w:type="spellEnd"/>
            <w:r w:rsidRPr="005E44CF">
              <w:rPr>
                <w:rFonts w:cs="Arial"/>
              </w:rPr>
              <w:t xml:space="preserve"> 450 </w:t>
            </w:r>
            <w:r w:rsidRPr="005E44CF">
              <w:rPr>
                <w:rFonts w:cs="Arial"/>
                <w:lang w:val="en-US"/>
              </w:rPr>
              <w:t>mg</w:t>
            </w:r>
            <w:r w:rsidRPr="005E44CF">
              <w:rPr>
                <w:rFonts w:cs="Arial"/>
                <w:lang w:val="ru-RU"/>
              </w:rPr>
              <w:t xml:space="preserve"> </w:t>
            </w:r>
            <w:r w:rsidRPr="005E44CF">
              <w:rPr>
                <w:rFonts w:cs="Arial"/>
              </w:rPr>
              <w:t>веднъж дневно, 7 дни</w:t>
            </w:r>
          </w:p>
        </w:tc>
        <w:tc>
          <w:tcPr>
            <w:tcW w:w="2694" w:type="dxa"/>
          </w:tcPr>
          <w:p w14:paraId="38B235EC" w14:textId="540ABADB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 xml:space="preserve">20 </w:t>
            </w:r>
            <w:r w:rsidRPr="005E44CF">
              <w:rPr>
                <w:rFonts w:cs="Arial"/>
                <w:lang w:val="en-US"/>
              </w:rPr>
              <w:t xml:space="preserve">mg, </w:t>
            </w:r>
            <w:r w:rsidRPr="005E44CF">
              <w:rPr>
                <w:rFonts w:cs="Arial"/>
              </w:rPr>
              <w:t>еднократна доза</w:t>
            </w:r>
          </w:p>
        </w:tc>
        <w:tc>
          <w:tcPr>
            <w:tcW w:w="2805" w:type="dxa"/>
          </w:tcPr>
          <w:p w14:paraId="27CB7F18" w14:textId="3AAF3E86" w:rsidR="005E44CF" w:rsidRPr="005E44CF" w:rsidRDefault="005E44CF" w:rsidP="005E44CF">
            <w:pPr>
              <w:rPr>
                <w:rFonts w:cs="Arial"/>
              </w:rPr>
            </w:pPr>
            <w:r w:rsidRPr="005E44CF">
              <w:rPr>
                <w:rFonts w:cs="Arial"/>
              </w:rPr>
              <w:t>↔</w:t>
            </w:r>
          </w:p>
        </w:tc>
      </w:tr>
      <w:tr w:rsidR="005E44CF" w14:paraId="02F1461C" w14:textId="77777777" w:rsidTr="005E44CF">
        <w:tc>
          <w:tcPr>
            <w:tcW w:w="4077" w:type="dxa"/>
          </w:tcPr>
          <w:p w14:paraId="1B35BBC8" w14:textId="040499D9" w:rsidR="005E44CF" w:rsidRDefault="005E44CF" w:rsidP="005E44CF">
            <w:pPr>
              <w:rPr>
                <w:rFonts w:cs="Arial"/>
              </w:rPr>
            </w:pPr>
            <w:proofErr w:type="spellStart"/>
            <w:r>
              <w:t>Кетоконазол</w:t>
            </w:r>
            <w:proofErr w:type="spellEnd"/>
            <w:r>
              <w:t xml:space="preserve"> 200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два пъти дневно, 7 дни</w:t>
            </w:r>
          </w:p>
        </w:tc>
        <w:tc>
          <w:tcPr>
            <w:tcW w:w="2694" w:type="dxa"/>
          </w:tcPr>
          <w:p w14:paraId="7771B01C" w14:textId="3F8EBB07" w:rsidR="005E44CF" w:rsidRDefault="005E44CF" w:rsidP="005E44CF">
            <w:pPr>
              <w:rPr>
                <w:rFonts w:cs="Arial"/>
              </w:rPr>
            </w:pPr>
            <w:r>
              <w:t xml:space="preserve">80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5F7E14D0" w14:textId="61A9C0ED" w:rsidR="005E44CF" w:rsidRDefault="005E44CF" w:rsidP="005E44CF">
            <w:pPr>
              <w:rPr>
                <w:rFonts w:cs="Arial"/>
              </w:rPr>
            </w:pPr>
            <w:r>
              <w:t>↔</w:t>
            </w:r>
          </w:p>
        </w:tc>
      </w:tr>
      <w:tr w:rsidR="005E44CF" w14:paraId="040720DA" w14:textId="77777777" w:rsidTr="005E44CF">
        <w:tc>
          <w:tcPr>
            <w:tcW w:w="4077" w:type="dxa"/>
          </w:tcPr>
          <w:p w14:paraId="7D1B4BC7" w14:textId="485B2594" w:rsidR="005E44CF" w:rsidRDefault="005E44CF" w:rsidP="005E44CF">
            <w:pPr>
              <w:rPr>
                <w:rFonts w:cs="Arial"/>
              </w:rPr>
            </w:pPr>
            <w:proofErr w:type="spellStart"/>
            <w:r>
              <w:lastRenderedPageBreak/>
              <w:t>Флуконазол</w:t>
            </w:r>
            <w:proofErr w:type="spellEnd"/>
            <w:r>
              <w:t xml:space="preserve"> 200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веднъж дневно, 11 дни</w:t>
            </w:r>
          </w:p>
        </w:tc>
        <w:tc>
          <w:tcPr>
            <w:tcW w:w="2694" w:type="dxa"/>
          </w:tcPr>
          <w:p w14:paraId="1B370690" w14:textId="6BBD84AA" w:rsidR="005E44CF" w:rsidRDefault="005E44CF" w:rsidP="005E44CF">
            <w:pPr>
              <w:rPr>
                <w:rFonts w:cs="Arial"/>
              </w:rPr>
            </w:pPr>
            <w:r>
              <w:t xml:space="preserve">80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290370B2" w14:textId="60976F28" w:rsidR="005E44CF" w:rsidRDefault="005E44CF" w:rsidP="005E44CF">
            <w:pPr>
              <w:rPr>
                <w:rFonts w:cs="Arial"/>
              </w:rPr>
            </w:pPr>
            <w:r>
              <w:t>↔</w:t>
            </w:r>
          </w:p>
        </w:tc>
      </w:tr>
      <w:tr w:rsidR="005E44CF" w14:paraId="7E32935F" w14:textId="77777777" w:rsidTr="005E44CF">
        <w:tc>
          <w:tcPr>
            <w:tcW w:w="4077" w:type="dxa"/>
          </w:tcPr>
          <w:p w14:paraId="208409EA" w14:textId="2C90460C" w:rsidR="005E44CF" w:rsidRDefault="005E44CF" w:rsidP="005E44CF">
            <w:pPr>
              <w:rPr>
                <w:rFonts w:cs="Arial"/>
              </w:rPr>
            </w:pPr>
            <w:proofErr w:type="spellStart"/>
            <w:r>
              <w:t>Еритромицин</w:t>
            </w:r>
            <w:proofErr w:type="spellEnd"/>
            <w:r>
              <w:t xml:space="preserve"> 500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четири пъти дневно, 7 дни</w:t>
            </w:r>
          </w:p>
        </w:tc>
        <w:tc>
          <w:tcPr>
            <w:tcW w:w="2694" w:type="dxa"/>
          </w:tcPr>
          <w:p w14:paraId="047D0AC3" w14:textId="35DBFF25" w:rsidR="005E44CF" w:rsidRDefault="005E44CF" w:rsidP="005E44CF">
            <w:pPr>
              <w:rPr>
                <w:rFonts w:cs="Arial"/>
              </w:rPr>
            </w:pPr>
            <w:r>
              <w:t xml:space="preserve">80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4C128985" w14:textId="53D7FE8A" w:rsidR="005E44CF" w:rsidRDefault="005E44CF" w:rsidP="005E44CF">
            <w:pPr>
              <w:rPr>
                <w:rFonts w:cs="Arial"/>
              </w:rPr>
            </w:pPr>
            <w:r>
              <w:t>20%↓</w:t>
            </w:r>
          </w:p>
        </w:tc>
      </w:tr>
      <w:tr w:rsidR="005E44CF" w14:paraId="0BD3C1BF" w14:textId="77777777" w:rsidTr="005E44CF">
        <w:tc>
          <w:tcPr>
            <w:tcW w:w="4077" w:type="dxa"/>
          </w:tcPr>
          <w:p w14:paraId="754C9E77" w14:textId="204CD4A5" w:rsidR="005E44CF" w:rsidRDefault="005E44CF" w:rsidP="005E44CF">
            <w:pPr>
              <w:rPr>
                <w:rFonts w:cs="Arial"/>
              </w:rPr>
            </w:pPr>
            <w:proofErr w:type="spellStart"/>
            <w:r>
              <w:t>Байкалин</w:t>
            </w:r>
            <w:proofErr w:type="spellEnd"/>
            <w:r>
              <w:t xml:space="preserve"> 50 </w:t>
            </w:r>
            <w:r>
              <w:rPr>
                <w:lang w:val="en-US"/>
              </w:rPr>
              <w:t>mg</w:t>
            </w:r>
            <w:r w:rsidRPr="005E44CF">
              <w:rPr>
                <w:lang w:val="ru-RU"/>
              </w:rPr>
              <w:t xml:space="preserve"> </w:t>
            </w:r>
            <w:r>
              <w:t>три пъти дневно, 14 дни</w:t>
            </w:r>
          </w:p>
        </w:tc>
        <w:tc>
          <w:tcPr>
            <w:tcW w:w="2694" w:type="dxa"/>
          </w:tcPr>
          <w:p w14:paraId="17683E48" w14:textId="3E866F9F" w:rsidR="005E44CF" w:rsidRDefault="005E44CF" w:rsidP="005E44CF">
            <w:pPr>
              <w:rPr>
                <w:rFonts w:cs="Arial"/>
              </w:rPr>
            </w:pPr>
            <w:r>
              <w:t xml:space="preserve">20 </w:t>
            </w:r>
            <w:r>
              <w:rPr>
                <w:lang w:val="en-US"/>
              </w:rPr>
              <w:t xml:space="preserve">mg, </w:t>
            </w:r>
            <w:r>
              <w:t>еднократна доза</w:t>
            </w:r>
          </w:p>
        </w:tc>
        <w:tc>
          <w:tcPr>
            <w:tcW w:w="2805" w:type="dxa"/>
          </w:tcPr>
          <w:p w14:paraId="152A1E29" w14:textId="4674EAA6" w:rsidR="005E44CF" w:rsidRDefault="005E44CF" w:rsidP="005E44CF">
            <w:pPr>
              <w:rPr>
                <w:rFonts w:cs="Arial"/>
              </w:rPr>
            </w:pPr>
            <w:r>
              <w:t>47%↓</w:t>
            </w:r>
          </w:p>
        </w:tc>
      </w:tr>
      <w:tr w:rsidR="005E44CF" w14:paraId="0770CEDD" w14:textId="77777777" w:rsidTr="005E44CF">
        <w:tc>
          <w:tcPr>
            <w:tcW w:w="9576" w:type="dxa"/>
            <w:gridSpan w:val="3"/>
          </w:tcPr>
          <w:p w14:paraId="50F37EA4" w14:textId="77777777" w:rsidR="005E44CF" w:rsidRPr="005E44CF" w:rsidRDefault="005E44CF" w:rsidP="005E44CF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*Данните, посочени като х пъти промяна, представят просто съотношение между едновременно приложение и приложение на </w:t>
            </w:r>
            <w:proofErr w:type="spellStart"/>
            <w:r w:rsidRPr="005E44CF">
              <w:rPr>
                <w:rFonts w:eastAsia="Times New Roman" w:cs="Arial"/>
                <w:color w:val="000000"/>
                <w:lang w:eastAsia="bg-BG"/>
              </w:rPr>
              <w:t>розувастатин</w:t>
            </w:r>
            <w:proofErr w:type="spellEnd"/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 самостоятелно. Данните, посочени като % представят процента разлика, отнесен към самостоятелното приложение на </w:t>
            </w:r>
            <w:proofErr w:type="spellStart"/>
            <w:r w:rsidRPr="005E44CF">
              <w:rPr>
                <w:rFonts w:eastAsia="Times New Roman" w:cs="Arial"/>
                <w:color w:val="000000"/>
                <w:lang w:eastAsia="bg-BG"/>
              </w:rPr>
              <w:t>розувастатин</w:t>
            </w:r>
            <w:proofErr w:type="spellEnd"/>
            <w:r w:rsidRPr="005E44CF">
              <w:rPr>
                <w:rFonts w:eastAsia="Times New Roman" w:cs="Arial"/>
                <w:color w:val="000000"/>
                <w:lang w:eastAsia="bg-BG"/>
              </w:rPr>
              <w:t>.</w:t>
            </w:r>
          </w:p>
          <w:p w14:paraId="284E45C7" w14:textId="77777777" w:rsidR="005E44CF" w:rsidRPr="005E44CF" w:rsidRDefault="005E44CF" w:rsidP="005E44CF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Повишаването е посочено като 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>“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>↑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 xml:space="preserve">”, 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>без промяна като “↔”, понижението като “↓”.</w:t>
            </w:r>
          </w:p>
          <w:p w14:paraId="5DD7A1DB" w14:textId="6C289979" w:rsidR="005E44CF" w:rsidRPr="005E44CF" w:rsidRDefault="005E44CF" w:rsidP="005E44CF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lang w:eastAsia="bg-BG"/>
              </w:rPr>
              <w:t>**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>Няколко проучвания за взаимодействие са проведени</w:t>
            </w:r>
            <w:r w:rsidRPr="005E44CF">
              <w:rPr>
                <w:rFonts w:eastAsia="Times New Roman" w:cs="Arial"/>
                <w:color w:val="000000"/>
                <w:vertAlign w:val="superscript"/>
                <w:lang w:eastAsia="bg-BG"/>
              </w:rPr>
              <w:t>0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 различни дозировки </w:t>
            </w:r>
            <w:proofErr w:type="spellStart"/>
            <w:r w:rsidRPr="005E44CF">
              <w:rPr>
                <w:rFonts w:eastAsia="Times New Roman" w:cs="Arial"/>
                <w:color w:val="000000"/>
                <w:lang w:eastAsia="bg-BG"/>
              </w:rPr>
              <w:t>розувастатин</w:t>
            </w:r>
            <w:proofErr w:type="spellEnd"/>
            <w:r w:rsidRPr="005E44CF">
              <w:rPr>
                <w:rFonts w:eastAsia="Times New Roman" w:cs="Arial"/>
                <w:color w:val="000000"/>
                <w:lang w:eastAsia="bg-BG"/>
              </w:rPr>
              <w:t>. Таблицата представя най-значимото съотношение.</w:t>
            </w:r>
          </w:p>
          <w:p w14:paraId="6EC14494" w14:textId="01AA7376" w:rsidR="005E44CF" w:rsidRPr="005E44CF" w:rsidRDefault="005E44CF" w:rsidP="005E44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CF">
              <w:rPr>
                <w:rFonts w:eastAsia="Times New Roman" w:cs="Arial"/>
                <w:color w:val="000000"/>
                <w:lang w:val="en-US"/>
              </w:rPr>
              <w:t>OD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 xml:space="preserve"> 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= веднъж дневно; </w:t>
            </w:r>
            <w:r w:rsidRPr="005E44CF">
              <w:rPr>
                <w:rFonts w:eastAsia="Times New Roman" w:cs="Arial"/>
                <w:color w:val="000000"/>
                <w:lang w:val="en-US"/>
              </w:rPr>
              <w:t>BID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 xml:space="preserve"> 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= два пъти дневно; </w:t>
            </w:r>
            <w:r w:rsidRPr="005E44CF">
              <w:rPr>
                <w:rFonts w:eastAsia="Times New Roman" w:cs="Arial"/>
                <w:color w:val="000000"/>
                <w:lang w:val="en-US"/>
              </w:rPr>
              <w:t>TID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 xml:space="preserve"> 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 xml:space="preserve">= три пъти дневно; </w:t>
            </w:r>
            <w:r w:rsidRPr="005E44CF">
              <w:rPr>
                <w:rFonts w:eastAsia="Times New Roman" w:cs="Arial"/>
                <w:color w:val="000000"/>
                <w:lang w:val="en-US"/>
              </w:rPr>
              <w:t>QID</w:t>
            </w:r>
            <w:r w:rsidRPr="005E44CF">
              <w:rPr>
                <w:rFonts w:eastAsia="Times New Roman" w:cs="Arial"/>
                <w:color w:val="000000"/>
                <w:lang w:val="ru-RU"/>
              </w:rPr>
              <w:t xml:space="preserve"> </w:t>
            </w:r>
            <w:r w:rsidRPr="005E44CF">
              <w:rPr>
                <w:rFonts w:eastAsia="Times New Roman" w:cs="Arial"/>
                <w:color w:val="000000"/>
                <w:lang w:eastAsia="bg-BG"/>
              </w:rPr>
              <w:t>= четири пъти дневно</w:t>
            </w:r>
          </w:p>
        </w:tc>
      </w:tr>
    </w:tbl>
    <w:p w14:paraId="6C275465" w14:textId="6C94B44F" w:rsidR="005E44CF" w:rsidRDefault="005E44CF" w:rsidP="005E44CF">
      <w:pPr>
        <w:rPr>
          <w:rFonts w:cs="Arial"/>
        </w:rPr>
      </w:pPr>
    </w:p>
    <w:p w14:paraId="77D8373B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 xml:space="preserve">Ефект на </w:t>
      </w:r>
      <w:proofErr w:type="spellStart"/>
      <w:r w:rsidRPr="005E44CF">
        <w:rPr>
          <w:rFonts w:eastAsia="Times New Roman" w:cs="Arial"/>
          <w:i/>
          <w:iCs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i/>
          <w:iCs/>
          <w:color w:val="000000"/>
          <w:lang w:eastAsia="bg-BG"/>
        </w:rPr>
        <w:t xml:space="preserve"> върху едновременно приемани лекарствени продукти</w:t>
      </w:r>
    </w:p>
    <w:p w14:paraId="1A4AC9E4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CBC36D" w14:textId="57B6C906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Антагонисти на витамин К</w:t>
      </w:r>
    </w:p>
    <w:p w14:paraId="70150323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Подобно на други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започването на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титрирането на дозата му при пациенти, приемащи антагонисти на витамин </w:t>
      </w:r>
      <w:r w:rsidRPr="005E44CF">
        <w:rPr>
          <w:rFonts w:eastAsia="Times New Roman" w:cs="Arial"/>
          <w:i/>
          <w:iCs/>
          <w:color w:val="000000"/>
          <w:lang w:eastAsia="bg-BG"/>
        </w:rPr>
        <w:t>К</w:t>
      </w:r>
      <w:r w:rsidRPr="005E44CF">
        <w:rPr>
          <w:rFonts w:eastAsia="Times New Roman" w:cs="Arial"/>
          <w:color w:val="000000"/>
          <w:lang w:eastAsia="bg-BG"/>
        </w:rPr>
        <w:t xml:space="preserve"> (като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други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кумаринови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антикоагуланти) може да доведе до повишаване на </w:t>
      </w:r>
      <w:r w:rsidRPr="005E44CF">
        <w:rPr>
          <w:rFonts w:eastAsia="Times New Roman" w:cs="Arial"/>
          <w:color w:val="000000"/>
          <w:lang w:val="en-US"/>
        </w:rPr>
        <w:t>International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val="en-US"/>
        </w:rPr>
        <w:t>Normalised</w:t>
      </w:r>
      <w:proofErr w:type="spellEnd"/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val="en-US"/>
        </w:rPr>
        <w:t>Ratio</w:t>
      </w:r>
      <w:r w:rsidRPr="005E44CF">
        <w:rPr>
          <w:rFonts w:eastAsia="Times New Roman" w:cs="Arial"/>
          <w:color w:val="000000"/>
          <w:lang w:val="ru-RU"/>
        </w:rPr>
        <w:t xml:space="preserve"> (</w:t>
      </w:r>
      <w:r w:rsidRPr="005E44CF">
        <w:rPr>
          <w:rFonts w:eastAsia="Times New Roman" w:cs="Arial"/>
          <w:color w:val="000000"/>
          <w:lang w:val="en-US"/>
        </w:rPr>
        <w:t>INR</w:t>
      </w:r>
      <w:r w:rsidRPr="005E44CF">
        <w:rPr>
          <w:rFonts w:eastAsia="Times New Roman" w:cs="Arial"/>
          <w:color w:val="000000"/>
          <w:lang w:val="ru-RU"/>
        </w:rPr>
        <w:t xml:space="preserve">). </w:t>
      </w:r>
      <w:r w:rsidRPr="005E44CF">
        <w:rPr>
          <w:rFonts w:eastAsia="Times New Roman" w:cs="Arial"/>
          <w:color w:val="000000"/>
          <w:lang w:eastAsia="bg-BG"/>
        </w:rPr>
        <w:t xml:space="preserve">Прекъсването на лечението или намаляването на дозата на титриране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може да доведе до намаление на </w:t>
      </w:r>
      <w:r w:rsidRPr="005E44CF">
        <w:rPr>
          <w:rFonts w:eastAsia="Times New Roman" w:cs="Arial"/>
          <w:color w:val="000000"/>
          <w:lang w:val="en-US"/>
        </w:rPr>
        <w:t>INR</w:t>
      </w:r>
      <w:r w:rsidRPr="005E44CF">
        <w:rPr>
          <w:rFonts w:eastAsia="Times New Roman" w:cs="Arial"/>
          <w:color w:val="000000"/>
          <w:lang w:val="ru-RU"/>
        </w:rPr>
        <w:t xml:space="preserve">. </w:t>
      </w:r>
      <w:r w:rsidRPr="005E44CF">
        <w:rPr>
          <w:rFonts w:eastAsia="Times New Roman" w:cs="Arial"/>
          <w:color w:val="000000"/>
          <w:lang w:eastAsia="bg-BG"/>
        </w:rPr>
        <w:t xml:space="preserve">При подобни случаи е желателно мониториране на </w:t>
      </w:r>
      <w:r w:rsidRPr="005E44CF">
        <w:rPr>
          <w:rFonts w:eastAsia="Times New Roman" w:cs="Arial"/>
          <w:color w:val="000000"/>
          <w:lang w:val="en-US"/>
        </w:rPr>
        <w:t>INR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4599D1B1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264E0C" w14:textId="422FFA15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Перорални контрацептиви/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хормонзаместителна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терапия</w:t>
      </w:r>
    </w:p>
    <w:p w14:paraId="658D17C5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Съпътстващата употреба на перорални контрацептиви е довела до повишаване на </w:t>
      </w:r>
      <w:r w:rsidRPr="005E44CF">
        <w:rPr>
          <w:rFonts w:eastAsia="Times New Roman" w:cs="Arial"/>
          <w:color w:val="000000"/>
          <w:lang w:val="en-US"/>
        </w:rPr>
        <w:t>AUC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етинилестрадиол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норгестрел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съответно с 26% и 34%. Тези повишени плазмени нива трябва да вземат под внимание, когато се определя дозировката на пероралните контрацептиви. Няма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данни за пациенти, които приемат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хормонозаместителна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терапия. Ето защо взаимодействието, описано по-горе не може да бъде изключено. Въпреки това тази комбинация е била широко прилагана при жени по време на клинични изпитвания и е понасяна добре.</w:t>
      </w:r>
    </w:p>
    <w:p w14:paraId="769AD9C3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D5D2AE" w14:textId="390E59E1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Други лекарствени продукти</w:t>
      </w:r>
    </w:p>
    <w:p w14:paraId="15121FDA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004F8D" w14:textId="2DA1038E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Дигоксин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>:</w:t>
      </w:r>
    </w:p>
    <w:p w14:paraId="64F8B541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Въз основа на данните от клинични проучвания за специфични лекарствени взаимодействия, не се очаква клинично значимо взаимодействие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.</w:t>
      </w:r>
    </w:p>
    <w:p w14:paraId="44E6A752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44E6112" w14:textId="735CA9B0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киселина</w:t>
      </w:r>
    </w:p>
    <w:p w14:paraId="3DEEBCF1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Не са провеждани проучвания върху взаимодействието между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киселина. Рискът от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включително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може да се увеличи при едновременното прилагане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(системно)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 Механизмът на това взаимодействие (бил той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фармакодинамичен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фармакокинетичен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или и двете) не е известен досега. Има съобщения за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(включително фатална) при пациенти, които са получавали тази комбинация.</w:t>
      </w:r>
    </w:p>
    <w:p w14:paraId="0AD33562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lastRenderedPageBreak/>
        <w:t xml:space="preserve">Ако системно лечение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 е необходимо, лечението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трявба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да се прекрати, докато продължава лечението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киселина. </w:t>
      </w:r>
      <w:r w:rsidRPr="005E44CF">
        <w:rPr>
          <w:rFonts w:eastAsia="Times New Roman" w:cs="Arial"/>
          <w:b/>
          <w:bCs/>
          <w:color w:val="000000"/>
          <w:lang w:eastAsia="bg-BG"/>
        </w:rPr>
        <w:t>Вижте също точка 4.4.</w:t>
      </w:r>
    </w:p>
    <w:p w14:paraId="63B39D2F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</w:p>
    <w:p w14:paraId="6BA116A2" w14:textId="5FADBB4C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FD6368F" w14:textId="05CA386F" w:rsidR="005E44CF" w:rsidRDefault="005E44CF" w:rsidP="005E44CF">
      <w:pPr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Проучвания за взаимодействие са провеждани само при възрастни. Степента на взаимодействията в педиатричната популация не е известна.</w:t>
      </w:r>
    </w:p>
    <w:p w14:paraId="39E3BA17" w14:textId="77777777" w:rsidR="005E44CF" w:rsidRPr="005E44CF" w:rsidRDefault="005E44CF" w:rsidP="005E44CF">
      <w:pPr>
        <w:rPr>
          <w:rFonts w:cs="Arial"/>
        </w:rPr>
      </w:pPr>
    </w:p>
    <w:p w14:paraId="006BE4EC" w14:textId="7066CDEF" w:rsidR="00DB32D3" w:rsidRDefault="002C50EE" w:rsidP="005726E3">
      <w:pPr>
        <w:pStyle w:val="Heading2"/>
      </w:pPr>
      <w:r>
        <w:t>4.6. Фертилитет, бременност и кърмене</w:t>
      </w:r>
    </w:p>
    <w:p w14:paraId="32F731E7" w14:textId="504229EF" w:rsidR="005E44CF" w:rsidRDefault="005E44CF" w:rsidP="005E44CF"/>
    <w:p w14:paraId="1A477C0D" w14:textId="77777777" w:rsidR="005E44CF" w:rsidRPr="005E44CF" w:rsidRDefault="005E44CF" w:rsidP="005E44CF">
      <w:pPr>
        <w:rPr>
          <w:sz w:val="24"/>
          <w:szCs w:val="24"/>
        </w:rPr>
      </w:pPr>
      <w:proofErr w:type="spellStart"/>
      <w:r w:rsidRPr="005E44CF">
        <w:rPr>
          <w:lang w:eastAsia="bg-BG"/>
        </w:rPr>
        <w:t>Розувастатин</w:t>
      </w:r>
      <w:proofErr w:type="spellEnd"/>
      <w:r w:rsidRPr="005E44CF">
        <w:rPr>
          <w:lang w:eastAsia="bg-BG"/>
        </w:rPr>
        <w:t xml:space="preserve"> е противопоказан по време на бременност и кърмене.</w:t>
      </w:r>
    </w:p>
    <w:p w14:paraId="436ECCFC" w14:textId="77777777" w:rsidR="005E44CF" w:rsidRPr="005E44CF" w:rsidRDefault="005E44CF" w:rsidP="005E44CF">
      <w:pPr>
        <w:rPr>
          <w:sz w:val="24"/>
          <w:szCs w:val="24"/>
        </w:rPr>
      </w:pPr>
      <w:r w:rsidRPr="005E44CF">
        <w:rPr>
          <w:lang w:eastAsia="bg-BG"/>
        </w:rPr>
        <w:t>Жени с детероден потенциал трябва да прилагат подходящи контрацептивни мерки.</w:t>
      </w:r>
    </w:p>
    <w:p w14:paraId="0CBAC1F8" w14:textId="77777777" w:rsidR="005E44CF" w:rsidRPr="005E44CF" w:rsidRDefault="005E44CF" w:rsidP="005E44CF">
      <w:pPr>
        <w:rPr>
          <w:sz w:val="24"/>
          <w:szCs w:val="24"/>
        </w:rPr>
      </w:pPr>
      <w:r w:rsidRPr="005E44CF">
        <w:rPr>
          <w:lang w:eastAsia="bg-BG"/>
        </w:rPr>
        <w:t xml:space="preserve">Тъй като холестеролът и другите продукти на </w:t>
      </w:r>
      <w:proofErr w:type="spellStart"/>
      <w:r w:rsidRPr="005E44CF">
        <w:rPr>
          <w:lang w:eastAsia="bg-BG"/>
        </w:rPr>
        <w:t>холестероловата</w:t>
      </w:r>
      <w:proofErr w:type="spellEnd"/>
      <w:r w:rsidRPr="005E44CF">
        <w:rPr>
          <w:lang w:eastAsia="bg-BG"/>
        </w:rPr>
        <w:t xml:space="preserve"> биосинтезата са от съществено значение за развитието на плода, потенциалният риск от инхибиране на </w:t>
      </w:r>
      <w:r w:rsidRPr="005E44CF">
        <w:rPr>
          <w:lang w:val="en-US"/>
        </w:rPr>
        <w:t>HMG</w:t>
      </w:r>
      <w:r w:rsidRPr="005E44CF">
        <w:rPr>
          <w:lang w:val="ru-RU"/>
        </w:rPr>
        <w:t>-</w:t>
      </w:r>
      <w:r w:rsidRPr="005E44CF">
        <w:rPr>
          <w:lang w:val="en-US"/>
        </w:rPr>
        <w:t>CoA</w:t>
      </w:r>
      <w:r w:rsidRPr="005E44CF">
        <w:rPr>
          <w:lang w:val="ru-RU"/>
        </w:rPr>
        <w:t xml:space="preserve"> </w:t>
      </w:r>
      <w:proofErr w:type="spellStart"/>
      <w:r w:rsidRPr="005E44CF">
        <w:rPr>
          <w:lang w:eastAsia="bg-BG"/>
        </w:rPr>
        <w:t>редуктазата</w:t>
      </w:r>
      <w:proofErr w:type="spellEnd"/>
      <w:r w:rsidRPr="005E44CF">
        <w:rPr>
          <w:lang w:eastAsia="bg-BG"/>
        </w:rPr>
        <w:t xml:space="preserve"> надвишава предимствата от лечение по време на бременност. Проучванията при животни осигуряват ограничени данни за репродуктивна токсичност (вж. точка 5.3). Ако пациентка забременее по време на лечението с това лекарство, приемът трябва да бъде преустановен незабавно.</w:t>
      </w:r>
    </w:p>
    <w:p w14:paraId="69BFDCE1" w14:textId="77777777" w:rsidR="005E44CF" w:rsidRDefault="005E44CF" w:rsidP="005E44CF">
      <w:pPr>
        <w:rPr>
          <w:lang w:eastAsia="bg-BG"/>
        </w:rPr>
      </w:pPr>
    </w:p>
    <w:p w14:paraId="73AFFDCA" w14:textId="41A81F26" w:rsidR="005E44CF" w:rsidRPr="005E44CF" w:rsidRDefault="005E44CF" w:rsidP="005E44CF">
      <w:pPr>
        <w:rPr>
          <w:sz w:val="24"/>
          <w:szCs w:val="24"/>
        </w:rPr>
      </w:pPr>
      <w:proofErr w:type="spellStart"/>
      <w:r w:rsidRPr="005E44CF">
        <w:rPr>
          <w:lang w:eastAsia="bg-BG"/>
        </w:rPr>
        <w:t>Розувастатин</w:t>
      </w:r>
      <w:proofErr w:type="spellEnd"/>
      <w:r w:rsidRPr="005E44CF">
        <w:rPr>
          <w:lang w:eastAsia="bg-BG"/>
        </w:rPr>
        <w:t xml:space="preserve"> се </w:t>
      </w:r>
      <w:proofErr w:type="spellStart"/>
      <w:r w:rsidRPr="005E44CF">
        <w:rPr>
          <w:lang w:eastAsia="bg-BG"/>
        </w:rPr>
        <w:t>екскретира</w:t>
      </w:r>
      <w:proofErr w:type="spellEnd"/>
      <w:r w:rsidRPr="005E44CF">
        <w:rPr>
          <w:lang w:eastAsia="bg-BG"/>
        </w:rPr>
        <w:t xml:space="preserve"> в млякото на плъхове. Няма установени данни за отделяне в млякото при хората. (Вижте точка 4.3)</w:t>
      </w:r>
    </w:p>
    <w:p w14:paraId="154F8673" w14:textId="77777777" w:rsidR="005E44CF" w:rsidRPr="005E44CF" w:rsidRDefault="005E44CF" w:rsidP="005E44CF"/>
    <w:p w14:paraId="128BA3A8" w14:textId="0089890C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375B34A7" w14:textId="40FFB35A" w:rsidR="005E44CF" w:rsidRDefault="005E44CF" w:rsidP="005E44CF"/>
    <w:p w14:paraId="4D8D42F2" w14:textId="77777777" w:rsidR="005E44CF" w:rsidRPr="005E44CF" w:rsidRDefault="005E44CF" w:rsidP="005E44CF">
      <w:pPr>
        <w:rPr>
          <w:sz w:val="24"/>
          <w:szCs w:val="24"/>
        </w:rPr>
      </w:pPr>
      <w:r w:rsidRPr="005E44CF">
        <w:rPr>
          <w:lang w:eastAsia="bg-BG"/>
        </w:rPr>
        <w:t xml:space="preserve">Проучвания за установяване на влиянието на </w:t>
      </w:r>
      <w:proofErr w:type="spellStart"/>
      <w:r w:rsidRPr="005E44CF">
        <w:rPr>
          <w:lang w:eastAsia="bg-BG"/>
        </w:rPr>
        <w:t>розувастатин</w:t>
      </w:r>
      <w:proofErr w:type="spellEnd"/>
      <w:r w:rsidRPr="005E44CF">
        <w:rPr>
          <w:lang w:eastAsia="bg-BG"/>
        </w:rPr>
        <w:t xml:space="preserve"> върху способността за шофиране и работа с машини не са провеждани. Въпреки това, въз основа на </w:t>
      </w:r>
      <w:proofErr w:type="spellStart"/>
      <w:r w:rsidRPr="005E44CF">
        <w:rPr>
          <w:lang w:eastAsia="bg-BG"/>
        </w:rPr>
        <w:t>фармакодинамичните</w:t>
      </w:r>
      <w:proofErr w:type="spellEnd"/>
      <w:r w:rsidRPr="005E44CF">
        <w:rPr>
          <w:lang w:eastAsia="bg-BG"/>
        </w:rPr>
        <w:t xml:space="preserve"> му свойства, е малко вероятно </w:t>
      </w:r>
      <w:proofErr w:type="spellStart"/>
      <w:r w:rsidRPr="005E44CF">
        <w:rPr>
          <w:lang w:eastAsia="bg-BG"/>
        </w:rPr>
        <w:t>розувастатин</w:t>
      </w:r>
      <w:proofErr w:type="spellEnd"/>
      <w:r w:rsidRPr="005E44CF">
        <w:rPr>
          <w:lang w:eastAsia="bg-BG"/>
        </w:rPr>
        <w:t xml:space="preserve"> да повлияе неблагоприятно тези способности. При шофиране или работа с машини трябва да се има предвид, че по време на лечението може да се появи световъртеж.</w:t>
      </w:r>
    </w:p>
    <w:p w14:paraId="2C9049FB" w14:textId="77777777" w:rsidR="005E44CF" w:rsidRPr="005E44CF" w:rsidRDefault="005E44CF" w:rsidP="005E44CF"/>
    <w:p w14:paraId="44CE30A3" w14:textId="3F4E20BF" w:rsidR="007122AD" w:rsidRDefault="002C50EE" w:rsidP="00936AD0">
      <w:pPr>
        <w:pStyle w:val="Heading2"/>
      </w:pPr>
      <w:r>
        <w:t>4.8. Нежелани лекарствени реакции</w:t>
      </w:r>
    </w:p>
    <w:p w14:paraId="334B0944" w14:textId="60AF5349" w:rsidR="005E44CF" w:rsidRDefault="005E44CF" w:rsidP="005E44CF"/>
    <w:p w14:paraId="4AE4CA78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Нежеланите лекарствени реакции, наблюдавани при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обикновено са леки и преходни. В контролирани клинични проучвания по-малко от 4% от пациентите, лекувани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са прекъснали лечението поради нежелани реакции.</w:t>
      </w:r>
    </w:p>
    <w:p w14:paraId="2CC23D9D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383077" w14:textId="376B5C5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Табличен списък на нежеланите реакции</w:t>
      </w:r>
    </w:p>
    <w:p w14:paraId="69A3A567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A81B05" w14:textId="32C278DE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 xml:space="preserve">По-долу са изброени нежелани лекарствени реакции за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въз основа на данни от клинични проучвания и разширен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постмаркетингов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опит. Нежеланите реакции са класифицирани съобразно честотата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системо</w:t>
      </w:r>
      <w:proofErr w:type="spellEnd"/>
      <w:r w:rsidRPr="005E44CF">
        <w:rPr>
          <w:rFonts w:eastAsia="Times New Roman" w:cs="Arial"/>
          <w:color w:val="000000"/>
          <w:lang w:eastAsia="bg-BG"/>
        </w:rPr>
        <w:t>-органния клас.</w:t>
      </w:r>
    </w:p>
    <w:p w14:paraId="06A5CEF3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218E31" w14:textId="460D4891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t>Честотата на нежеланите реакции е класифицирана съобразно следната конвенция: чести (≥1/100 до &lt;1/10); нечести (≥1/1 000 до &lt; 1/100); редки (≥ 1/10 000 до &lt; 1/1 000); много редки (&lt;1/10 000); с неизвестна честота (от наличните данни не може да бъде направена оценка).</w:t>
      </w:r>
    </w:p>
    <w:p w14:paraId="1C48C59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78FC14" w14:textId="2DBEAB46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lang w:eastAsia="bg-BG"/>
        </w:rPr>
        <w:lastRenderedPageBreak/>
        <w:t>Таблица 2</w:t>
      </w:r>
      <w:r w:rsidRPr="005E44CF">
        <w:rPr>
          <w:rFonts w:eastAsia="Times New Roman" w:cs="Arial"/>
          <w:color w:val="000000"/>
          <w:lang w:val="ru-RU" w:eastAsia="bg-BG"/>
        </w:rPr>
        <w:t xml:space="preserve">: </w:t>
      </w:r>
      <w:r w:rsidRPr="005E44CF">
        <w:rPr>
          <w:rFonts w:eastAsia="Times New Roman" w:cs="Arial"/>
          <w:color w:val="000000"/>
          <w:lang w:eastAsia="bg-BG"/>
        </w:rPr>
        <w:t xml:space="preserve">Нежеланите реакции, въз основа на данни от клинични опит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постмаркетингови</w:t>
      </w:r>
      <w:proofErr w:type="spellEnd"/>
      <w:r w:rsidRPr="005E44CF">
        <w:rPr>
          <w:rFonts w:eastAsia="Times New Roman" w:cs="Arial"/>
          <w:sz w:val="24"/>
          <w:szCs w:val="24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проучвания</w:t>
      </w:r>
    </w:p>
    <w:p w14:paraId="411B12B4" w14:textId="06BD5D19" w:rsidR="005E44CF" w:rsidRDefault="005E44CF" w:rsidP="005E4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528"/>
        <w:gridCol w:w="1180"/>
        <w:gridCol w:w="1601"/>
        <w:gridCol w:w="1544"/>
        <w:gridCol w:w="1683"/>
      </w:tblGrid>
      <w:tr w:rsidR="005E44CF" w14:paraId="4D16EB76" w14:textId="77777777" w:rsidTr="005E44CF">
        <w:tc>
          <w:tcPr>
            <w:tcW w:w="1859" w:type="dxa"/>
          </w:tcPr>
          <w:p w14:paraId="57AFD561" w14:textId="2A7EE4A6" w:rsidR="005E44CF" w:rsidRDefault="005E44CF" w:rsidP="005E44CF">
            <w:proofErr w:type="spellStart"/>
            <w:r>
              <w:rPr>
                <w:b/>
                <w:bCs/>
              </w:rPr>
              <w:t>Системо</w:t>
            </w:r>
            <w:proofErr w:type="spellEnd"/>
            <w:r>
              <w:rPr>
                <w:b/>
                <w:bCs/>
              </w:rPr>
              <w:t>- органни класове</w:t>
            </w:r>
          </w:p>
        </w:tc>
        <w:tc>
          <w:tcPr>
            <w:tcW w:w="1565" w:type="dxa"/>
          </w:tcPr>
          <w:p w14:paraId="0F99C5BB" w14:textId="6116818E" w:rsidR="005E44CF" w:rsidRDefault="005E44CF" w:rsidP="005E44CF">
            <w:r>
              <w:rPr>
                <w:b/>
                <w:bCs/>
              </w:rPr>
              <w:t>Чести</w:t>
            </w:r>
          </w:p>
        </w:tc>
        <w:tc>
          <w:tcPr>
            <w:tcW w:w="1207" w:type="dxa"/>
          </w:tcPr>
          <w:p w14:paraId="19434218" w14:textId="377508D7" w:rsidR="005E44CF" w:rsidRDefault="005E44CF" w:rsidP="005E44CF">
            <w:r>
              <w:rPr>
                <w:b/>
                <w:bCs/>
              </w:rPr>
              <w:t>Нечести</w:t>
            </w:r>
          </w:p>
        </w:tc>
        <w:tc>
          <w:tcPr>
            <w:tcW w:w="1640" w:type="dxa"/>
          </w:tcPr>
          <w:p w14:paraId="444B5E2C" w14:textId="1FE0FB4C" w:rsidR="005E44CF" w:rsidRDefault="005E44CF" w:rsidP="005E44CF">
            <w:r>
              <w:rPr>
                <w:b/>
                <w:bCs/>
              </w:rPr>
              <w:t>Редки</w:t>
            </w:r>
          </w:p>
        </w:tc>
        <w:tc>
          <w:tcPr>
            <w:tcW w:w="1581" w:type="dxa"/>
          </w:tcPr>
          <w:p w14:paraId="1A689474" w14:textId="15154843" w:rsidR="005E44CF" w:rsidRDefault="005E44CF" w:rsidP="005E44CF">
            <w:r>
              <w:rPr>
                <w:b/>
                <w:bCs/>
              </w:rPr>
              <w:t>Много редки</w:t>
            </w:r>
          </w:p>
        </w:tc>
        <w:tc>
          <w:tcPr>
            <w:tcW w:w="1724" w:type="dxa"/>
          </w:tcPr>
          <w:p w14:paraId="3913F125" w14:textId="6C81E7E9" w:rsidR="005E44CF" w:rsidRDefault="005E44CF" w:rsidP="005E44CF">
            <w:r>
              <w:rPr>
                <w:b/>
                <w:bCs/>
              </w:rPr>
              <w:t>С неизвестна честота</w:t>
            </w:r>
          </w:p>
        </w:tc>
      </w:tr>
      <w:tr w:rsidR="005E44CF" w14:paraId="3387FB8F" w14:textId="77777777" w:rsidTr="005E44CF">
        <w:tc>
          <w:tcPr>
            <w:tcW w:w="1859" w:type="dxa"/>
          </w:tcPr>
          <w:p w14:paraId="0353F19A" w14:textId="4EAAD0FA" w:rsidR="005E44CF" w:rsidRDefault="005E44CF" w:rsidP="005E44CF">
            <w:r>
              <w:t>Нарушения на кръвта и лимфната система</w:t>
            </w:r>
          </w:p>
        </w:tc>
        <w:tc>
          <w:tcPr>
            <w:tcW w:w="1565" w:type="dxa"/>
          </w:tcPr>
          <w:p w14:paraId="46684B5B" w14:textId="77777777" w:rsidR="005E44CF" w:rsidRDefault="005E44CF" w:rsidP="005E44CF"/>
        </w:tc>
        <w:tc>
          <w:tcPr>
            <w:tcW w:w="1207" w:type="dxa"/>
          </w:tcPr>
          <w:p w14:paraId="2A1FB48F" w14:textId="77777777" w:rsidR="005E44CF" w:rsidRDefault="005E44CF" w:rsidP="005E44CF"/>
        </w:tc>
        <w:tc>
          <w:tcPr>
            <w:tcW w:w="1640" w:type="dxa"/>
          </w:tcPr>
          <w:p w14:paraId="1D5E9BE8" w14:textId="0A1FE010" w:rsidR="005E44CF" w:rsidRDefault="005E44CF" w:rsidP="005E44CF">
            <w:proofErr w:type="spellStart"/>
            <w:r>
              <w:t>Тромбоцито</w:t>
            </w:r>
            <w:proofErr w:type="spellEnd"/>
            <w:r>
              <w:t>- пения</w:t>
            </w:r>
          </w:p>
        </w:tc>
        <w:tc>
          <w:tcPr>
            <w:tcW w:w="1581" w:type="dxa"/>
          </w:tcPr>
          <w:p w14:paraId="518FD179" w14:textId="77777777" w:rsidR="005E44CF" w:rsidRDefault="005E44CF" w:rsidP="005E44CF"/>
        </w:tc>
        <w:tc>
          <w:tcPr>
            <w:tcW w:w="1724" w:type="dxa"/>
          </w:tcPr>
          <w:p w14:paraId="1563DFA8" w14:textId="77777777" w:rsidR="005E44CF" w:rsidRDefault="005E44CF" w:rsidP="005E44CF"/>
        </w:tc>
      </w:tr>
      <w:tr w:rsidR="005E44CF" w14:paraId="2976F7A3" w14:textId="77777777" w:rsidTr="005E44CF">
        <w:tc>
          <w:tcPr>
            <w:tcW w:w="1859" w:type="dxa"/>
          </w:tcPr>
          <w:p w14:paraId="02CA7A64" w14:textId="03E3861B" w:rsidR="005E44CF" w:rsidRDefault="005E44CF" w:rsidP="005E44CF">
            <w:r>
              <w:t>Нарушения на имунната система</w:t>
            </w:r>
          </w:p>
        </w:tc>
        <w:tc>
          <w:tcPr>
            <w:tcW w:w="1565" w:type="dxa"/>
          </w:tcPr>
          <w:p w14:paraId="2CC5EED9" w14:textId="77777777" w:rsidR="005E44CF" w:rsidRDefault="005E44CF" w:rsidP="005E44CF"/>
        </w:tc>
        <w:tc>
          <w:tcPr>
            <w:tcW w:w="1207" w:type="dxa"/>
          </w:tcPr>
          <w:p w14:paraId="4068CE3B" w14:textId="77777777" w:rsidR="005E44CF" w:rsidRDefault="005E44CF" w:rsidP="005E44CF"/>
        </w:tc>
        <w:tc>
          <w:tcPr>
            <w:tcW w:w="1640" w:type="dxa"/>
          </w:tcPr>
          <w:p w14:paraId="0FBC7E49" w14:textId="4A9C6771" w:rsidR="005E44CF" w:rsidRDefault="005E44CF" w:rsidP="005E44CF">
            <w:r>
              <w:t>Свръхчув</w:t>
            </w:r>
            <w:r>
              <w:softHyphen/>
              <w:t>ствителност, включително ангиоедем</w:t>
            </w:r>
          </w:p>
        </w:tc>
        <w:tc>
          <w:tcPr>
            <w:tcW w:w="1581" w:type="dxa"/>
          </w:tcPr>
          <w:p w14:paraId="4D45699F" w14:textId="77777777" w:rsidR="005E44CF" w:rsidRDefault="005E44CF" w:rsidP="005E44CF"/>
        </w:tc>
        <w:tc>
          <w:tcPr>
            <w:tcW w:w="1724" w:type="dxa"/>
          </w:tcPr>
          <w:p w14:paraId="7AF1CDF4" w14:textId="77777777" w:rsidR="005E44CF" w:rsidRDefault="005E44CF" w:rsidP="005E44CF"/>
        </w:tc>
      </w:tr>
      <w:tr w:rsidR="005E44CF" w14:paraId="40DF5FC2" w14:textId="77777777" w:rsidTr="005E44CF">
        <w:tc>
          <w:tcPr>
            <w:tcW w:w="1859" w:type="dxa"/>
            <w:vAlign w:val="bottom"/>
          </w:tcPr>
          <w:p w14:paraId="5406F491" w14:textId="7CE4DEE7" w:rsidR="005E44CF" w:rsidRPr="005E44CF" w:rsidRDefault="005E44CF" w:rsidP="005E44CF">
            <w:pPr>
              <w:rPr>
                <w:lang w:val="en-US"/>
              </w:rPr>
            </w:pPr>
            <w:r w:rsidRPr="005E44CF">
              <w:t>Нарушения на ендокринната система</w:t>
            </w:r>
          </w:p>
        </w:tc>
        <w:tc>
          <w:tcPr>
            <w:tcW w:w="1565" w:type="dxa"/>
          </w:tcPr>
          <w:p w14:paraId="29E13C0A" w14:textId="73482CBD" w:rsidR="005E44CF" w:rsidRPr="005E44CF" w:rsidRDefault="005E44CF" w:rsidP="005E44CF">
            <w:r w:rsidRPr="005E44CF">
              <w:t>Захарен диабет</w:t>
            </w:r>
            <w:r w:rsidRPr="005E44CF">
              <w:rPr>
                <w:vertAlign w:val="superscript"/>
              </w:rPr>
              <w:t>1</w:t>
            </w:r>
          </w:p>
        </w:tc>
        <w:tc>
          <w:tcPr>
            <w:tcW w:w="1207" w:type="dxa"/>
          </w:tcPr>
          <w:p w14:paraId="40C90B8C" w14:textId="77777777" w:rsidR="005E44CF" w:rsidRPr="005E44CF" w:rsidRDefault="005E44CF" w:rsidP="005E44CF"/>
        </w:tc>
        <w:tc>
          <w:tcPr>
            <w:tcW w:w="1640" w:type="dxa"/>
          </w:tcPr>
          <w:p w14:paraId="7BCCD15F" w14:textId="77777777" w:rsidR="005E44CF" w:rsidRPr="005E44CF" w:rsidRDefault="005E44CF" w:rsidP="005E44CF"/>
        </w:tc>
        <w:tc>
          <w:tcPr>
            <w:tcW w:w="1581" w:type="dxa"/>
          </w:tcPr>
          <w:p w14:paraId="7B892FB4" w14:textId="77777777" w:rsidR="005E44CF" w:rsidRPr="005E44CF" w:rsidRDefault="005E44CF" w:rsidP="005E44CF"/>
        </w:tc>
        <w:tc>
          <w:tcPr>
            <w:tcW w:w="1724" w:type="dxa"/>
          </w:tcPr>
          <w:p w14:paraId="58F818E1" w14:textId="77777777" w:rsidR="005E44CF" w:rsidRPr="005E44CF" w:rsidRDefault="005E44CF" w:rsidP="005E44CF"/>
        </w:tc>
      </w:tr>
      <w:tr w:rsidR="005E44CF" w14:paraId="4A5F1D8C" w14:textId="77777777" w:rsidTr="005E44CF">
        <w:tc>
          <w:tcPr>
            <w:tcW w:w="1859" w:type="dxa"/>
            <w:vAlign w:val="bottom"/>
          </w:tcPr>
          <w:p w14:paraId="54695E28" w14:textId="32E9535C" w:rsidR="005E44CF" w:rsidRPr="005E44CF" w:rsidRDefault="005E44CF" w:rsidP="005E44CF">
            <w:r w:rsidRPr="005E44CF">
              <w:t>Психични нарушения</w:t>
            </w:r>
          </w:p>
        </w:tc>
        <w:tc>
          <w:tcPr>
            <w:tcW w:w="1565" w:type="dxa"/>
          </w:tcPr>
          <w:p w14:paraId="694E05B6" w14:textId="77777777" w:rsidR="005E44CF" w:rsidRPr="005E44CF" w:rsidRDefault="005E44CF" w:rsidP="005E44CF"/>
        </w:tc>
        <w:tc>
          <w:tcPr>
            <w:tcW w:w="1207" w:type="dxa"/>
          </w:tcPr>
          <w:p w14:paraId="713E0782" w14:textId="77777777" w:rsidR="005E44CF" w:rsidRPr="005E44CF" w:rsidRDefault="005E44CF" w:rsidP="005E44CF"/>
        </w:tc>
        <w:tc>
          <w:tcPr>
            <w:tcW w:w="1640" w:type="dxa"/>
          </w:tcPr>
          <w:p w14:paraId="73B2F1BF" w14:textId="77777777" w:rsidR="005E44CF" w:rsidRPr="005E44CF" w:rsidRDefault="005E44CF" w:rsidP="005E44CF"/>
        </w:tc>
        <w:tc>
          <w:tcPr>
            <w:tcW w:w="1581" w:type="dxa"/>
          </w:tcPr>
          <w:p w14:paraId="32F11F67" w14:textId="77777777" w:rsidR="005E44CF" w:rsidRPr="005E44CF" w:rsidRDefault="005E44CF" w:rsidP="005E44CF"/>
        </w:tc>
        <w:tc>
          <w:tcPr>
            <w:tcW w:w="1724" w:type="dxa"/>
          </w:tcPr>
          <w:p w14:paraId="674E855D" w14:textId="3C2FBE46" w:rsidR="005E44CF" w:rsidRPr="005E44CF" w:rsidRDefault="005E44CF" w:rsidP="005E44CF">
            <w:r w:rsidRPr="005E44CF">
              <w:t>Депресия</w:t>
            </w:r>
          </w:p>
        </w:tc>
      </w:tr>
      <w:tr w:rsidR="005E44CF" w14:paraId="2C581489" w14:textId="77777777" w:rsidTr="005E44CF">
        <w:tc>
          <w:tcPr>
            <w:tcW w:w="1859" w:type="dxa"/>
          </w:tcPr>
          <w:p w14:paraId="3DFD58C1" w14:textId="0EA352B5" w:rsidR="005E44CF" w:rsidRPr="005E44CF" w:rsidRDefault="005E44CF" w:rsidP="005E44CF">
            <w:r w:rsidRPr="005E44CF">
              <w:t>Нарушения на нервната система</w:t>
            </w:r>
          </w:p>
        </w:tc>
        <w:tc>
          <w:tcPr>
            <w:tcW w:w="1565" w:type="dxa"/>
          </w:tcPr>
          <w:p w14:paraId="3B42B63C" w14:textId="2AA8A3FA" w:rsidR="005E44CF" w:rsidRPr="005E44CF" w:rsidRDefault="005E44CF" w:rsidP="005E44CF">
            <w:r w:rsidRPr="005E44CF">
              <w:t>Главоболие; замаяност</w:t>
            </w:r>
          </w:p>
        </w:tc>
        <w:tc>
          <w:tcPr>
            <w:tcW w:w="1207" w:type="dxa"/>
          </w:tcPr>
          <w:p w14:paraId="0955F8A3" w14:textId="77777777" w:rsidR="005E44CF" w:rsidRPr="005E44CF" w:rsidRDefault="005E44CF" w:rsidP="005E44CF"/>
        </w:tc>
        <w:tc>
          <w:tcPr>
            <w:tcW w:w="1640" w:type="dxa"/>
          </w:tcPr>
          <w:p w14:paraId="42303AB7" w14:textId="77777777" w:rsidR="005E44CF" w:rsidRPr="005E44CF" w:rsidRDefault="005E44CF" w:rsidP="005E44CF"/>
        </w:tc>
        <w:tc>
          <w:tcPr>
            <w:tcW w:w="1581" w:type="dxa"/>
          </w:tcPr>
          <w:p w14:paraId="4F494C7B" w14:textId="22A76678" w:rsidR="005E44CF" w:rsidRPr="005E44CF" w:rsidRDefault="005E44CF" w:rsidP="005E44CF">
            <w:proofErr w:type="spellStart"/>
            <w:r w:rsidRPr="005E44CF">
              <w:t>Полиневро</w:t>
            </w:r>
            <w:proofErr w:type="spellEnd"/>
            <w:r w:rsidRPr="005E44CF">
              <w:t xml:space="preserve">- </w:t>
            </w:r>
            <w:proofErr w:type="spellStart"/>
            <w:r w:rsidRPr="005E44CF">
              <w:t>патия</w:t>
            </w:r>
            <w:proofErr w:type="spellEnd"/>
            <w:r w:rsidRPr="005E44CF">
              <w:t>; загуба на паметта</w:t>
            </w:r>
          </w:p>
        </w:tc>
        <w:tc>
          <w:tcPr>
            <w:tcW w:w="1724" w:type="dxa"/>
            <w:vAlign w:val="bottom"/>
          </w:tcPr>
          <w:p w14:paraId="4A07E7E5" w14:textId="0B12C95C" w:rsidR="005E44CF" w:rsidRPr="005E44CF" w:rsidRDefault="005E44CF" w:rsidP="005E44CF">
            <w:r w:rsidRPr="005E44CF">
              <w:t xml:space="preserve">Периферна невропатия, нарушения на съня, включително </w:t>
            </w:r>
            <w:proofErr w:type="spellStart"/>
            <w:r w:rsidRPr="005E44CF">
              <w:t>инсомния</w:t>
            </w:r>
            <w:proofErr w:type="spellEnd"/>
            <w:r w:rsidRPr="005E44CF">
              <w:t xml:space="preserve"> и кошмари</w:t>
            </w:r>
          </w:p>
        </w:tc>
      </w:tr>
      <w:tr w:rsidR="005E44CF" w14:paraId="1ABCF1AD" w14:textId="77777777" w:rsidTr="005E44CF">
        <w:tc>
          <w:tcPr>
            <w:tcW w:w="1859" w:type="dxa"/>
            <w:vAlign w:val="bottom"/>
          </w:tcPr>
          <w:p w14:paraId="4A18852A" w14:textId="6AC39800" w:rsidR="005E44CF" w:rsidRPr="005E44CF" w:rsidRDefault="005E44CF" w:rsidP="005E44CF">
            <w:r w:rsidRPr="005E44CF">
              <w:t xml:space="preserve">Респираторни, гръдни и </w:t>
            </w:r>
            <w:proofErr w:type="spellStart"/>
            <w:r w:rsidRPr="005E44CF">
              <w:t>медиастинални</w:t>
            </w:r>
            <w:proofErr w:type="spellEnd"/>
            <w:r w:rsidRPr="005E44CF">
              <w:t xml:space="preserve"> нарушения</w:t>
            </w:r>
          </w:p>
        </w:tc>
        <w:tc>
          <w:tcPr>
            <w:tcW w:w="1565" w:type="dxa"/>
          </w:tcPr>
          <w:p w14:paraId="29B97B58" w14:textId="77777777" w:rsidR="005E44CF" w:rsidRPr="005E44CF" w:rsidRDefault="005E44CF" w:rsidP="005E44CF"/>
        </w:tc>
        <w:tc>
          <w:tcPr>
            <w:tcW w:w="1207" w:type="dxa"/>
          </w:tcPr>
          <w:p w14:paraId="4BBDA5B3" w14:textId="77777777" w:rsidR="005E44CF" w:rsidRPr="005E44CF" w:rsidRDefault="005E44CF" w:rsidP="005E44CF"/>
        </w:tc>
        <w:tc>
          <w:tcPr>
            <w:tcW w:w="1640" w:type="dxa"/>
          </w:tcPr>
          <w:p w14:paraId="458AAFD9" w14:textId="77777777" w:rsidR="005E44CF" w:rsidRPr="005E44CF" w:rsidRDefault="005E44CF" w:rsidP="005E44CF"/>
        </w:tc>
        <w:tc>
          <w:tcPr>
            <w:tcW w:w="1581" w:type="dxa"/>
          </w:tcPr>
          <w:p w14:paraId="74890047" w14:textId="77777777" w:rsidR="005E44CF" w:rsidRPr="005E44CF" w:rsidRDefault="005E44CF" w:rsidP="005E44CF"/>
        </w:tc>
        <w:tc>
          <w:tcPr>
            <w:tcW w:w="1724" w:type="dxa"/>
          </w:tcPr>
          <w:p w14:paraId="46DCABF0" w14:textId="6CAB2013" w:rsidR="005E44CF" w:rsidRPr="005E44CF" w:rsidRDefault="005E44CF" w:rsidP="005E44CF">
            <w:r w:rsidRPr="005E44CF">
              <w:t xml:space="preserve">Кашлица </w:t>
            </w:r>
            <w:proofErr w:type="spellStart"/>
            <w:r w:rsidRPr="005E44CF">
              <w:t>Диспнея</w:t>
            </w:r>
            <w:proofErr w:type="spellEnd"/>
          </w:p>
        </w:tc>
      </w:tr>
      <w:tr w:rsidR="005E44CF" w14:paraId="6F5AE34A" w14:textId="77777777" w:rsidTr="005E44CF">
        <w:tc>
          <w:tcPr>
            <w:tcW w:w="1859" w:type="dxa"/>
          </w:tcPr>
          <w:p w14:paraId="5D904B5E" w14:textId="7BFA5E34" w:rsidR="005E44CF" w:rsidRPr="005E44CF" w:rsidRDefault="005E44CF" w:rsidP="005E44CF">
            <w:r w:rsidRPr="005E44CF">
              <w:t>Стомашно- чревни нарушения</w:t>
            </w:r>
          </w:p>
        </w:tc>
        <w:tc>
          <w:tcPr>
            <w:tcW w:w="1565" w:type="dxa"/>
            <w:vAlign w:val="bottom"/>
          </w:tcPr>
          <w:p w14:paraId="03A846F8" w14:textId="4EFCE0E8" w:rsidR="005E44CF" w:rsidRPr="005E44CF" w:rsidRDefault="005E44CF" w:rsidP="005E44CF">
            <w:r w:rsidRPr="005E44CF">
              <w:t>Констипация Гадене Абдоминална болка</w:t>
            </w:r>
          </w:p>
        </w:tc>
        <w:tc>
          <w:tcPr>
            <w:tcW w:w="1207" w:type="dxa"/>
          </w:tcPr>
          <w:p w14:paraId="69B74832" w14:textId="77777777" w:rsidR="005E44CF" w:rsidRPr="005E44CF" w:rsidRDefault="005E44CF" w:rsidP="005E44CF"/>
        </w:tc>
        <w:tc>
          <w:tcPr>
            <w:tcW w:w="1640" w:type="dxa"/>
          </w:tcPr>
          <w:p w14:paraId="37599788" w14:textId="564D1366" w:rsidR="005E44CF" w:rsidRPr="005E44CF" w:rsidRDefault="005E44CF" w:rsidP="005E44CF">
            <w:proofErr w:type="spellStart"/>
            <w:r w:rsidRPr="005E44CF">
              <w:t>Панкреатит</w:t>
            </w:r>
            <w:proofErr w:type="spellEnd"/>
          </w:p>
        </w:tc>
        <w:tc>
          <w:tcPr>
            <w:tcW w:w="1581" w:type="dxa"/>
          </w:tcPr>
          <w:p w14:paraId="03170F6E" w14:textId="77777777" w:rsidR="005E44CF" w:rsidRPr="005E44CF" w:rsidRDefault="005E44CF" w:rsidP="005E44CF"/>
        </w:tc>
        <w:tc>
          <w:tcPr>
            <w:tcW w:w="1724" w:type="dxa"/>
          </w:tcPr>
          <w:p w14:paraId="26B7AC54" w14:textId="65EE1834" w:rsidR="005E44CF" w:rsidRPr="005E44CF" w:rsidRDefault="005E44CF" w:rsidP="005E44CF">
            <w:r w:rsidRPr="005E44CF">
              <w:t>Диария</w:t>
            </w:r>
          </w:p>
        </w:tc>
      </w:tr>
      <w:tr w:rsidR="005E44CF" w14:paraId="6B4F5997" w14:textId="77777777" w:rsidTr="005E44CF">
        <w:tc>
          <w:tcPr>
            <w:tcW w:w="1859" w:type="dxa"/>
            <w:vAlign w:val="bottom"/>
          </w:tcPr>
          <w:p w14:paraId="0CCE7763" w14:textId="7A236F29" w:rsidR="005E44CF" w:rsidRPr="005E44CF" w:rsidRDefault="005E44CF" w:rsidP="005E44CF">
            <w:proofErr w:type="spellStart"/>
            <w:r w:rsidRPr="005E44CF">
              <w:t>Хепатобилиарни</w:t>
            </w:r>
            <w:proofErr w:type="spellEnd"/>
            <w:r w:rsidRPr="005E44CF">
              <w:t xml:space="preserve"> нарушения</w:t>
            </w:r>
          </w:p>
        </w:tc>
        <w:tc>
          <w:tcPr>
            <w:tcW w:w="1565" w:type="dxa"/>
          </w:tcPr>
          <w:p w14:paraId="67C6BAD9" w14:textId="77777777" w:rsidR="005E44CF" w:rsidRPr="005E44CF" w:rsidRDefault="005E44CF" w:rsidP="005E44CF"/>
        </w:tc>
        <w:tc>
          <w:tcPr>
            <w:tcW w:w="1207" w:type="dxa"/>
          </w:tcPr>
          <w:p w14:paraId="4DFB0547" w14:textId="77777777" w:rsidR="005E44CF" w:rsidRPr="005E44CF" w:rsidRDefault="005E44CF" w:rsidP="005E44CF"/>
        </w:tc>
        <w:tc>
          <w:tcPr>
            <w:tcW w:w="1640" w:type="dxa"/>
            <w:vAlign w:val="bottom"/>
          </w:tcPr>
          <w:p w14:paraId="32064498" w14:textId="3C6C63CB" w:rsidR="005E44CF" w:rsidRPr="005E44CF" w:rsidRDefault="005E44CF" w:rsidP="005E44CF">
            <w:r w:rsidRPr="005E44CF">
              <w:t xml:space="preserve">Повишени </w:t>
            </w:r>
            <w:proofErr w:type="spellStart"/>
            <w:r w:rsidRPr="005E44CF">
              <w:t>трансамннази</w:t>
            </w:r>
            <w:proofErr w:type="spellEnd"/>
          </w:p>
        </w:tc>
        <w:tc>
          <w:tcPr>
            <w:tcW w:w="1581" w:type="dxa"/>
            <w:vAlign w:val="bottom"/>
          </w:tcPr>
          <w:p w14:paraId="35823FDB" w14:textId="253D2BCE" w:rsidR="005E44CF" w:rsidRPr="005E44CF" w:rsidRDefault="005E44CF" w:rsidP="005E44CF">
            <w:r w:rsidRPr="005E44CF">
              <w:t>Жълтеница хепатит</w:t>
            </w:r>
          </w:p>
        </w:tc>
        <w:tc>
          <w:tcPr>
            <w:tcW w:w="1724" w:type="dxa"/>
          </w:tcPr>
          <w:p w14:paraId="60D876B8" w14:textId="77777777" w:rsidR="005E44CF" w:rsidRPr="005E44CF" w:rsidRDefault="005E44CF" w:rsidP="005E44CF"/>
        </w:tc>
      </w:tr>
      <w:tr w:rsidR="005E44CF" w14:paraId="1F92FD71" w14:textId="77777777" w:rsidTr="005E44CF">
        <w:tc>
          <w:tcPr>
            <w:tcW w:w="1859" w:type="dxa"/>
          </w:tcPr>
          <w:p w14:paraId="5E2CF382" w14:textId="36C63522" w:rsidR="005E44CF" w:rsidRPr="005E44CF" w:rsidRDefault="005E44CF" w:rsidP="005E44CF">
            <w:r w:rsidRPr="005E44CF">
              <w:t>Нарушения на кожата и подкожната тъкан</w:t>
            </w:r>
          </w:p>
        </w:tc>
        <w:tc>
          <w:tcPr>
            <w:tcW w:w="1565" w:type="dxa"/>
          </w:tcPr>
          <w:p w14:paraId="7D86B397" w14:textId="77777777" w:rsidR="005E44CF" w:rsidRPr="005E44CF" w:rsidRDefault="005E44CF" w:rsidP="005E44CF"/>
        </w:tc>
        <w:tc>
          <w:tcPr>
            <w:tcW w:w="1207" w:type="dxa"/>
          </w:tcPr>
          <w:p w14:paraId="33A4A13E" w14:textId="6CF13523" w:rsidR="005E44CF" w:rsidRPr="005E44CF" w:rsidRDefault="005E44CF" w:rsidP="005E44CF">
            <w:r w:rsidRPr="005E44CF">
              <w:t>Сърбеж, обрив, уртикария</w:t>
            </w:r>
          </w:p>
        </w:tc>
        <w:tc>
          <w:tcPr>
            <w:tcW w:w="1640" w:type="dxa"/>
          </w:tcPr>
          <w:p w14:paraId="4DCA84E4" w14:textId="77777777" w:rsidR="005E44CF" w:rsidRPr="005E44CF" w:rsidRDefault="005E44CF" w:rsidP="005E44CF"/>
        </w:tc>
        <w:tc>
          <w:tcPr>
            <w:tcW w:w="1581" w:type="dxa"/>
          </w:tcPr>
          <w:p w14:paraId="6D58EF99" w14:textId="77777777" w:rsidR="005E44CF" w:rsidRPr="005E44CF" w:rsidRDefault="005E44CF" w:rsidP="005E44CF"/>
        </w:tc>
        <w:tc>
          <w:tcPr>
            <w:tcW w:w="1724" w:type="dxa"/>
            <w:vAlign w:val="bottom"/>
          </w:tcPr>
          <w:p w14:paraId="07ECB972" w14:textId="7C906D1B" w:rsidR="005E44CF" w:rsidRPr="005E44CF" w:rsidRDefault="005E44CF" w:rsidP="005E44CF">
            <w:r w:rsidRPr="005E44CF">
              <w:t xml:space="preserve">Синдром на </w:t>
            </w:r>
            <w:r w:rsidRPr="005E44CF">
              <w:rPr>
                <w:lang w:val="en-US"/>
              </w:rPr>
              <w:t>Stevens</w:t>
            </w:r>
            <w:r w:rsidRPr="005E44CF">
              <w:rPr>
                <w:lang w:val="ru-RU"/>
              </w:rPr>
              <w:t>-</w:t>
            </w:r>
            <w:r w:rsidRPr="005E44CF">
              <w:rPr>
                <w:lang w:val="en-US"/>
              </w:rPr>
              <w:t>Johnson</w:t>
            </w:r>
            <w:r w:rsidRPr="005E44CF">
              <w:rPr>
                <w:lang w:val="ru-RU"/>
              </w:rPr>
              <w:t xml:space="preserve"> </w:t>
            </w:r>
            <w:r w:rsidRPr="005E44CF">
              <w:t xml:space="preserve">Лекарствена реакция с </w:t>
            </w:r>
            <w:proofErr w:type="spellStart"/>
            <w:r w:rsidRPr="005E44CF">
              <w:t>еозинофилия</w:t>
            </w:r>
            <w:proofErr w:type="spellEnd"/>
            <w:r w:rsidRPr="005E44CF">
              <w:t xml:space="preserve"> и системни симптоми </w:t>
            </w:r>
            <w:r w:rsidRPr="005E44CF">
              <w:rPr>
                <w:lang w:val="ru-RU"/>
              </w:rPr>
              <w:t>(</w:t>
            </w:r>
            <w:r w:rsidRPr="005E44CF">
              <w:rPr>
                <w:lang w:val="en-US"/>
              </w:rPr>
              <w:t>DRESS</w:t>
            </w:r>
            <w:r w:rsidRPr="005E44CF">
              <w:rPr>
                <w:lang w:val="ru-RU"/>
              </w:rPr>
              <w:t>)</w:t>
            </w:r>
          </w:p>
        </w:tc>
      </w:tr>
      <w:tr w:rsidR="005E44CF" w14:paraId="0798AFB9" w14:textId="77777777" w:rsidTr="005E44CF">
        <w:tc>
          <w:tcPr>
            <w:tcW w:w="1859" w:type="dxa"/>
          </w:tcPr>
          <w:p w14:paraId="6511A646" w14:textId="4BB6AC81" w:rsidR="005E44CF" w:rsidRPr="005E44CF" w:rsidRDefault="005E44CF" w:rsidP="005E44CF">
            <w:r w:rsidRPr="005E44CF">
              <w:lastRenderedPageBreak/>
              <w:t>Нарушения на мускулно- скелетната система и съединителната тъкан</w:t>
            </w:r>
          </w:p>
        </w:tc>
        <w:tc>
          <w:tcPr>
            <w:tcW w:w="1565" w:type="dxa"/>
          </w:tcPr>
          <w:p w14:paraId="7124BD8B" w14:textId="3A04A8E8" w:rsidR="005E44CF" w:rsidRPr="005E44CF" w:rsidRDefault="005E44CF" w:rsidP="005E44CF">
            <w:proofErr w:type="spellStart"/>
            <w:r w:rsidRPr="005E44CF">
              <w:t>Миалгия</w:t>
            </w:r>
            <w:proofErr w:type="spellEnd"/>
          </w:p>
        </w:tc>
        <w:tc>
          <w:tcPr>
            <w:tcW w:w="1207" w:type="dxa"/>
          </w:tcPr>
          <w:p w14:paraId="29886FD7" w14:textId="77777777" w:rsidR="005E44CF" w:rsidRPr="005E44CF" w:rsidRDefault="005E44CF" w:rsidP="005E44CF"/>
        </w:tc>
        <w:tc>
          <w:tcPr>
            <w:tcW w:w="1640" w:type="dxa"/>
            <w:vAlign w:val="bottom"/>
          </w:tcPr>
          <w:p w14:paraId="5FD0902A" w14:textId="77777777" w:rsidR="005E44CF" w:rsidRPr="005E44CF" w:rsidRDefault="005E44CF" w:rsidP="005E44CF">
            <w:proofErr w:type="spellStart"/>
            <w:r w:rsidRPr="005E44CF">
              <w:t>Миопатия</w:t>
            </w:r>
            <w:proofErr w:type="spellEnd"/>
            <w:r w:rsidRPr="005E44CF">
              <w:t xml:space="preserve"> (включително </w:t>
            </w:r>
            <w:proofErr w:type="spellStart"/>
            <w:r w:rsidRPr="005E44CF">
              <w:t>миозит</w:t>
            </w:r>
            <w:proofErr w:type="spellEnd"/>
            <w:r w:rsidRPr="005E44CF">
              <w:t xml:space="preserve">) и </w:t>
            </w:r>
            <w:proofErr w:type="spellStart"/>
            <w:r w:rsidRPr="005E44CF">
              <w:t>рабдомиолиза</w:t>
            </w:r>
            <w:proofErr w:type="spellEnd"/>
          </w:p>
          <w:p w14:paraId="5F378AD3" w14:textId="77777777" w:rsidR="005E44CF" w:rsidRPr="005E44CF" w:rsidRDefault="005E44CF" w:rsidP="005E44CF">
            <w:proofErr w:type="spellStart"/>
            <w:r w:rsidRPr="005E44CF">
              <w:t>Лупус</w:t>
            </w:r>
            <w:proofErr w:type="spellEnd"/>
            <w:r w:rsidRPr="005E44CF">
              <w:t>- подобен синдром</w:t>
            </w:r>
          </w:p>
          <w:p w14:paraId="723745C6" w14:textId="70D5AC3F" w:rsidR="005E44CF" w:rsidRPr="005E44CF" w:rsidRDefault="005E44CF" w:rsidP="005E44CF">
            <w:r w:rsidRPr="005E44CF">
              <w:t>Разкъсване на мускулите</w:t>
            </w:r>
          </w:p>
        </w:tc>
        <w:tc>
          <w:tcPr>
            <w:tcW w:w="1581" w:type="dxa"/>
          </w:tcPr>
          <w:p w14:paraId="4D7C9F63" w14:textId="503DE6CB" w:rsidR="005E44CF" w:rsidRPr="005E44CF" w:rsidRDefault="005E44CF" w:rsidP="005E44CF">
            <w:proofErr w:type="spellStart"/>
            <w:r w:rsidRPr="005E44CF">
              <w:t>Артралгия</w:t>
            </w:r>
            <w:proofErr w:type="spellEnd"/>
          </w:p>
        </w:tc>
        <w:tc>
          <w:tcPr>
            <w:tcW w:w="1724" w:type="dxa"/>
          </w:tcPr>
          <w:p w14:paraId="40FB6684" w14:textId="71CBE7F7" w:rsidR="005E44CF" w:rsidRPr="005E44CF" w:rsidRDefault="005E44CF" w:rsidP="005E44CF">
            <w:r w:rsidRPr="005E44CF">
              <w:t xml:space="preserve">Нарушения в сухожилията, понякога усложнени с </w:t>
            </w:r>
            <w:proofErr w:type="spellStart"/>
            <w:r w:rsidRPr="005E44CF">
              <w:t>руптури</w:t>
            </w:r>
            <w:proofErr w:type="spellEnd"/>
            <w:r w:rsidRPr="005E44CF">
              <w:t xml:space="preserve"> </w:t>
            </w:r>
            <w:proofErr w:type="spellStart"/>
            <w:r w:rsidRPr="005E44CF">
              <w:t>Имуномедиира</w:t>
            </w:r>
            <w:proofErr w:type="spellEnd"/>
            <w:r w:rsidRPr="005E44CF">
              <w:t xml:space="preserve"> на </w:t>
            </w:r>
            <w:proofErr w:type="spellStart"/>
            <w:r w:rsidRPr="005E44CF">
              <w:t>некротизираща</w:t>
            </w:r>
            <w:proofErr w:type="spellEnd"/>
            <w:r w:rsidRPr="005E44CF">
              <w:t xml:space="preserve"> </w:t>
            </w:r>
            <w:proofErr w:type="spellStart"/>
            <w:r w:rsidRPr="005E44CF">
              <w:t>миопатия</w:t>
            </w:r>
            <w:proofErr w:type="spellEnd"/>
          </w:p>
        </w:tc>
      </w:tr>
      <w:tr w:rsidR="005E44CF" w14:paraId="35269123" w14:textId="77777777" w:rsidTr="005E44CF">
        <w:tc>
          <w:tcPr>
            <w:tcW w:w="1859" w:type="dxa"/>
            <w:vAlign w:val="bottom"/>
          </w:tcPr>
          <w:p w14:paraId="0799F08D" w14:textId="368ECFFD" w:rsidR="005E44CF" w:rsidRPr="005E44CF" w:rsidRDefault="005E44CF" w:rsidP="005E44CF">
            <w:r w:rsidRPr="005E44CF">
              <w:t>Нарушения на бъбреците и пикочните пътища</w:t>
            </w:r>
          </w:p>
        </w:tc>
        <w:tc>
          <w:tcPr>
            <w:tcW w:w="1565" w:type="dxa"/>
          </w:tcPr>
          <w:p w14:paraId="37AE085F" w14:textId="77777777" w:rsidR="005E44CF" w:rsidRPr="005E44CF" w:rsidRDefault="005E44CF" w:rsidP="005E44CF"/>
        </w:tc>
        <w:tc>
          <w:tcPr>
            <w:tcW w:w="1207" w:type="dxa"/>
          </w:tcPr>
          <w:p w14:paraId="2A83F25D" w14:textId="77777777" w:rsidR="005E44CF" w:rsidRPr="005E44CF" w:rsidRDefault="005E44CF" w:rsidP="005E44CF"/>
        </w:tc>
        <w:tc>
          <w:tcPr>
            <w:tcW w:w="1640" w:type="dxa"/>
          </w:tcPr>
          <w:p w14:paraId="22F5A910" w14:textId="77777777" w:rsidR="005E44CF" w:rsidRPr="005E44CF" w:rsidRDefault="005E44CF" w:rsidP="005E44CF"/>
        </w:tc>
        <w:tc>
          <w:tcPr>
            <w:tcW w:w="1581" w:type="dxa"/>
          </w:tcPr>
          <w:p w14:paraId="45638508" w14:textId="1FCDEE0F" w:rsidR="005E44CF" w:rsidRPr="005E44CF" w:rsidRDefault="005E44CF" w:rsidP="005E44CF">
            <w:proofErr w:type="spellStart"/>
            <w:r w:rsidRPr="005E44CF">
              <w:t>Хематурия</w:t>
            </w:r>
            <w:proofErr w:type="spellEnd"/>
          </w:p>
        </w:tc>
        <w:tc>
          <w:tcPr>
            <w:tcW w:w="1724" w:type="dxa"/>
          </w:tcPr>
          <w:p w14:paraId="15F362EB" w14:textId="77777777" w:rsidR="005E44CF" w:rsidRPr="005E44CF" w:rsidRDefault="005E44CF" w:rsidP="005E44CF"/>
        </w:tc>
      </w:tr>
      <w:tr w:rsidR="005E44CF" w14:paraId="44B81ADE" w14:textId="77777777" w:rsidTr="005E44CF">
        <w:tc>
          <w:tcPr>
            <w:tcW w:w="1859" w:type="dxa"/>
          </w:tcPr>
          <w:p w14:paraId="239AB54C" w14:textId="3A32846D" w:rsidR="005E44CF" w:rsidRPr="005E44CF" w:rsidRDefault="005E44CF" w:rsidP="005E44CF">
            <w:r w:rsidRPr="005E44CF">
              <w:t xml:space="preserve">Нарушения на въз про изводите </w:t>
            </w:r>
            <w:proofErr w:type="spellStart"/>
            <w:r w:rsidRPr="005E44CF">
              <w:t>лната</w:t>
            </w:r>
            <w:proofErr w:type="spellEnd"/>
            <w:r w:rsidRPr="005E44CF">
              <w:t xml:space="preserve"> система и гърдата</w:t>
            </w:r>
          </w:p>
        </w:tc>
        <w:tc>
          <w:tcPr>
            <w:tcW w:w="1565" w:type="dxa"/>
          </w:tcPr>
          <w:p w14:paraId="0129E653" w14:textId="77777777" w:rsidR="005E44CF" w:rsidRPr="005E44CF" w:rsidRDefault="005E44CF" w:rsidP="005E44CF"/>
        </w:tc>
        <w:tc>
          <w:tcPr>
            <w:tcW w:w="1207" w:type="dxa"/>
          </w:tcPr>
          <w:p w14:paraId="3F75BD18" w14:textId="77777777" w:rsidR="005E44CF" w:rsidRPr="005E44CF" w:rsidRDefault="005E44CF" w:rsidP="005E44CF"/>
        </w:tc>
        <w:tc>
          <w:tcPr>
            <w:tcW w:w="1640" w:type="dxa"/>
          </w:tcPr>
          <w:p w14:paraId="22E40B60" w14:textId="77777777" w:rsidR="005E44CF" w:rsidRPr="005E44CF" w:rsidRDefault="005E44CF" w:rsidP="005E44CF"/>
        </w:tc>
        <w:tc>
          <w:tcPr>
            <w:tcW w:w="1581" w:type="dxa"/>
          </w:tcPr>
          <w:p w14:paraId="21953606" w14:textId="3F0F0E4F" w:rsidR="005E44CF" w:rsidRPr="005E44CF" w:rsidRDefault="005E44CF" w:rsidP="005E44CF">
            <w:proofErr w:type="spellStart"/>
            <w:r w:rsidRPr="005E44CF">
              <w:t>Гинекомастия</w:t>
            </w:r>
            <w:proofErr w:type="spellEnd"/>
          </w:p>
        </w:tc>
        <w:tc>
          <w:tcPr>
            <w:tcW w:w="1724" w:type="dxa"/>
          </w:tcPr>
          <w:p w14:paraId="744636FA" w14:textId="77777777" w:rsidR="005E44CF" w:rsidRPr="005E44CF" w:rsidRDefault="005E44CF" w:rsidP="005E44CF"/>
        </w:tc>
      </w:tr>
      <w:tr w:rsidR="005E44CF" w14:paraId="1E62310F" w14:textId="77777777" w:rsidTr="005E44CF">
        <w:tc>
          <w:tcPr>
            <w:tcW w:w="1859" w:type="dxa"/>
            <w:vAlign w:val="bottom"/>
          </w:tcPr>
          <w:p w14:paraId="65EB8ED6" w14:textId="3FA4B5D4" w:rsidR="005E44CF" w:rsidRPr="005E44CF" w:rsidRDefault="005E44CF" w:rsidP="005E44CF">
            <w:r w:rsidRPr="005E44CF">
              <w:t>Общи нарушения и ефекти на мястото на приложение</w:t>
            </w:r>
          </w:p>
        </w:tc>
        <w:tc>
          <w:tcPr>
            <w:tcW w:w="1565" w:type="dxa"/>
          </w:tcPr>
          <w:p w14:paraId="18D39FEE" w14:textId="2CE06AA5" w:rsidR="005E44CF" w:rsidRPr="005E44CF" w:rsidRDefault="005E44CF" w:rsidP="005E44CF">
            <w:proofErr w:type="spellStart"/>
            <w:r w:rsidRPr="005E44CF">
              <w:t>Астения</w:t>
            </w:r>
            <w:proofErr w:type="spellEnd"/>
          </w:p>
        </w:tc>
        <w:tc>
          <w:tcPr>
            <w:tcW w:w="1207" w:type="dxa"/>
          </w:tcPr>
          <w:p w14:paraId="09AB2E6D" w14:textId="77777777" w:rsidR="005E44CF" w:rsidRPr="005E44CF" w:rsidRDefault="005E44CF" w:rsidP="005E44CF"/>
        </w:tc>
        <w:tc>
          <w:tcPr>
            <w:tcW w:w="1640" w:type="dxa"/>
          </w:tcPr>
          <w:p w14:paraId="0720D196" w14:textId="77777777" w:rsidR="005E44CF" w:rsidRPr="005E44CF" w:rsidRDefault="005E44CF" w:rsidP="005E44CF"/>
        </w:tc>
        <w:tc>
          <w:tcPr>
            <w:tcW w:w="1581" w:type="dxa"/>
            <w:vAlign w:val="bottom"/>
          </w:tcPr>
          <w:p w14:paraId="11150DA2" w14:textId="77777777" w:rsidR="005E44CF" w:rsidRPr="005E44CF" w:rsidRDefault="005E44CF" w:rsidP="005E44CF"/>
        </w:tc>
        <w:tc>
          <w:tcPr>
            <w:tcW w:w="1724" w:type="dxa"/>
          </w:tcPr>
          <w:p w14:paraId="6FB8C4C8" w14:textId="3868139C" w:rsidR="005E44CF" w:rsidRPr="005E44CF" w:rsidRDefault="005E44CF" w:rsidP="005E44CF">
            <w:r w:rsidRPr="005E44CF">
              <w:t>Оток</w:t>
            </w:r>
          </w:p>
        </w:tc>
      </w:tr>
      <w:tr w:rsidR="005E44CF" w14:paraId="3458534D" w14:textId="77777777" w:rsidTr="005E44CF">
        <w:tc>
          <w:tcPr>
            <w:tcW w:w="9576" w:type="dxa"/>
            <w:gridSpan w:val="6"/>
          </w:tcPr>
          <w:p w14:paraId="3B187549" w14:textId="0CA32FAA" w:rsidR="005E44CF" w:rsidRDefault="005E44CF" w:rsidP="005E44CF">
            <w:r>
              <w:rPr>
                <w:vertAlign w:val="superscript"/>
              </w:rPr>
              <w:t>1</w:t>
            </w:r>
            <w:r>
              <w:t xml:space="preserve">Честотата зависи от наличието или липсата на рискови фактори (кръвна захар на гладно ≥5,6 </w:t>
            </w:r>
            <w:r>
              <w:rPr>
                <w:lang w:val="en-US"/>
              </w:rPr>
              <w:t>mmol</w:t>
            </w:r>
            <w:r w:rsidRPr="005E44CF">
              <w:rPr>
                <w:lang w:val="ru-RU"/>
              </w:rPr>
              <w:t xml:space="preserve"> </w:t>
            </w:r>
            <w:r>
              <w:rPr>
                <w:lang w:val="en-US"/>
              </w:rPr>
              <w:t>BMI</w:t>
            </w:r>
            <w:r w:rsidRPr="005E44CF">
              <w:rPr>
                <w:lang w:val="ru-RU"/>
              </w:rPr>
              <w:t xml:space="preserve">&gt;30 </w:t>
            </w:r>
            <w:r>
              <w:rPr>
                <w:lang w:val="en-US"/>
              </w:rPr>
              <w:t>kg</w:t>
            </w:r>
            <w:r w:rsidRPr="005E44CF">
              <w:rPr>
                <w:lang w:val="ru-RU"/>
              </w:rPr>
              <w:t>/</w:t>
            </w:r>
            <w:r>
              <w:rPr>
                <w:lang w:val="en-US"/>
              </w:rPr>
              <w:t>m</w:t>
            </w:r>
            <w:r w:rsidRPr="005E44CF">
              <w:rPr>
                <w:vertAlign w:val="superscript"/>
                <w:lang w:val="ru-RU"/>
              </w:rPr>
              <w:t>2</w:t>
            </w:r>
            <w:r w:rsidRPr="005E44CF">
              <w:rPr>
                <w:lang w:val="ru-RU"/>
              </w:rPr>
              <w:t xml:space="preserve">, </w:t>
            </w:r>
            <w:r>
              <w:t xml:space="preserve">повишени </w:t>
            </w:r>
            <w:proofErr w:type="spellStart"/>
            <w:r>
              <w:t>триглицериди</w:t>
            </w:r>
            <w:proofErr w:type="spellEnd"/>
            <w:r>
              <w:t>, анамнеза за хипертония).</w:t>
            </w:r>
          </w:p>
        </w:tc>
      </w:tr>
    </w:tbl>
    <w:p w14:paraId="29A93232" w14:textId="6B683BA9" w:rsidR="005E44CF" w:rsidRDefault="005E44CF" w:rsidP="005E44CF"/>
    <w:p w14:paraId="0CF0170D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Както при другите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появата на нежелани лекарствени реакции изглежда е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дозозависима</w:t>
      </w:r>
      <w:proofErr w:type="spellEnd"/>
      <w:r w:rsidRPr="005E44CF">
        <w:rPr>
          <w:rFonts w:eastAsia="Times New Roman" w:cs="Arial"/>
          <w:color w:val="000000"/>
          <w:lang w:eastAsia="bg-BG"/>
        </w:rPr>
        <w:t>.</w:t>
      </w:r>
    </w:p>
    <w:p w14:paraId="14086711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B0FDF9" w14:textId="13FAB542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Ефекти върху бъбреците</w:t>
      </w:r>
    </w:p>
    <w:p w14:paraId="2E0C38C3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пациенти, лекувани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наблюдавана установена с тест-лентички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която е с предимно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тубулен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произход. При &lt; 1% от пациентите, приемащи 10 и 20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при приблизително 3% от пациентите, лекувани с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са наблюдавани промени на количеството протеин в урината от отрицателен резултат или следи, към ++.</w:t>
      </w:r>
    </w:p>
    <w:p w14:paraId="25EA5BB2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Незначително отклонение в посока от отрицателен резултат или следи към + е наблюдавано при доза от 20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2ACC80C0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В повечето случаи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протеинурията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намалява или изчезва спонтанно в процеса на лечението. От прегледа на данните при клиничните опити и пост-маркетинговите проучвания, до сега не е идентифицирана причинна връзка между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протеинурията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остро или прогресивно бъбречно заболяване.</w:t>
      </w:r>
    </w:p>
    <w:p w14:paraId="02740B5D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При пациенти, третирани с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е наблюдавана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хематурия</w:t>
      </w:r>
      <w:proofErr w:type="spellEnd"/>
      <w:r w:rsidRPr="005E44CF">
        <w:rPr>
          <w:rFonts w:eastAsia="Times New Roman" w:cs="Arial"/>
          <w:color w:val="000000"/>
          <w:lang w:eastAsia="bg-BG"/>
        </w:rPr>
        <w:t>, но клиничните данни сочат, че честотата й е ниска.</w:t>
      </w:r>
    </w:p>
    <w:p w14:paraId="7BDE4CA1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E49872" w14:textId="2166B299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Ефекти върху скелетната мускулатура</w:t>
      </w:r>
    </w:p>
    <w:p w14:paraId="34B926F5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Въздействия върху скелетната мускулатура като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(вкл.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миозит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) и рядко -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със или без остра бъбречна недостатъчност, са съобщавани при пациенти, лекувани с всички дози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особено с дози над 20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3E1851CE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lastRenderedPageBreak/>
        <w:t xml:space="preserve">Увеличение на нивото на СК, вследствие на увеличаване на дозата, е наблюдавано при малък брой пациенти,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; повечето от случаите са леки, безсимптомни и преходни. Ако нивото на СК се повиши (&gt; 5 пъти над горната референтна граница), лечението трябва да бъде преустановено (вж. точка 4.4).</w:t>
      </w:r>
    </w:p>
    <w:p w14:paraId="0BBF3E6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072CA5" w14:textId="1A2EAD68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Ефекти върху черния дроб</w:t>
      </w:r>
    </w:p>
    <w:p w14:paraId="1C48837F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увеличение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свързано с дозировката е наблюдавано при малък брой пациенти, приемащи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>; повечето от случаите са леки, безсимптомни и преходни.</w:t>
      </w:r>
    </w:p>
    <w:p w14:paraId="7BDAB395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E9528A" w14:textId="42CADF06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 xml:space="preserve">При употребата на някои 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статини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са съобщавани следните нежелани реакции:</w:t>
      </w:r>
    </w:p>
    <w:p w14:paraId="64B14BE1" w14:textId="77777777" w:rsidR="005E44CF" w:rsidRPr="005E44CF" w:rsidRDefault="005E44CF" w:rsidP="005E44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>Сексуална дисфункция</w:t>
      </w:r>
    </w:p>
    <w:p w14:paraId="58E0E940" w14:textId="3278F08E" w:rsidR="005E44CF" w:rsidRPr="005E44CF" w:rsidRDefault="005E44CF" w:rsidP="005E44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Изолирани случаи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белодробна болест, особено при продължително лечение (вж. точка 4.4).</w:t>
      </w:r>
    </w:p>
    <w:p w14:paraId="47613077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Съобщената честота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сериозни събития, свързани с увреждане на бъбречната функция и сериозни събития, свързани с увреждане на чернодробната функция (състоящи се предимно в увеличени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), е по-висока при дозата от 40 </w:t>
      </w:r>
      <w:r w:rsidRPr="005E44CF">
        <w:rPr>
          <w:rFonts w:eastAsia="Times New Roman" w:cs="Arial"/>
          <w:color w:val="000000"/>
          <w:lang w:val="en-US"/>
        </w:rPr>
        <w:t>mg</w:t>
      </w:r>
      <w:r w:rsidRPr="005E44CF">
        <w:rPr>
          <w:rFonts w:eastAsia="Times New Roman" w:cs="Arial"/>
          <w:color w:val="000000"/>
          <w:lang w:val="ru-RU"/>
        </w:rPr>
        <w:t>.</w:t>
      </w:r>
    </w:p>
    <w:p w14:paraId="4F23588C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8D1480" w14:textId="00B8DDD8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 xml:space="preserve">Педиатрична </w:t>
      </w: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популапия</w:t>
      </w:r>
      <w:proofErr w:type="spellEnd"/>
    </w:p>
    <w:p w14:paraId="1D587973" w14:textId="77777777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Повишаване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креатинкиназата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color w:val="000000"/>
          <w:lang w:val="ru-RU"/>
        </w:rPr>
        <w:t>&gt;10</w:t>
      </w:r>
      <w:proofErr w:type="spellStart"/>
      <w:r w:rsidRPr="005E44CF">
        <w:rPr>
          <w:rFonts w:eastAsia="Times New Roman" w:cs="Arial"/>
          <w:color w:val="000000"/>
          <w:lang w:val="en-US"/>
        </w:rPr>
        <w:t>xULN</w:t>
      </w:r>
      <w:proofErr w:type="spellEnd"/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мускулни симптоми след упражнения или повишена физическа активност са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набюдавани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по-често в едно 52-седмично клинично проучване на деца и младежи в сравнение с възрастните (вж. точка 4.4). В други аспекти, профилът на безопасност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сходен при деца и младежи в сравнение с възрастните.</w:t>
      </w:r>
    </w:p>
    <w:p w14:paraId="5E7C6DD8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37E97F" w14:textId="1A08CBBA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10349BC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</w:t>
      </w:r>
    </w:p>
    <w:p w14:paraId="4B6E3C64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ул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.,Дамян Груев” № 8 </w:t>
      </w:r>
    </w:p>
    <w:p w14:paraId="77EF44B8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1303 София </w:t>
      </w:r>
    </w:p>
    <w:p w14:paraId="0841850B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E44CF">
        <w:rPr>
          <w:rFonts w:eastAsia="Times New Roman" w:cs="Arial"/>
          <w:color w:val="000000"/>
          <w:lang w:eastAsia="bg-BG"/>
        </w:rPr>
        <w:t xml:space="preserve">Тел.:+35 928903417 </w:t>
      </w:r>
    </w:p>
    <w:p w14:paraId="0A059A3C" w14:textId="312C36DD" w:rsidR="005E44CF" w:rsidRPr="005E44CF" w:rsidRDefault="005E44CF" w:rsidP="005E44CF">
      <w:pPr>
        <w:spacing w:line="240" w:lineRule="auto"/>
        <w:rPr>
          <w:rFonts w:eastAsia="Times New Roman" w:cs="Arial"/>
        </w:rPr>
      </w:pPr>
      <w:r w:rsidRPr="005E44CF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5E44CF">
          <w:rPr>
            <w:rFonts w:eastAsia="Times New Roman" w:cs="Arial"/>
            <w:color w:val="000000"/>
            <w:u w:val="single"/>
            <w:lang w:val="en-US"/>
          </w:rPr>
          <w:t>www</w:t>
        </w:r>
        <w:r w:rsidRPr="005E44CF">
          <w:rPr>
            <w:rFonts w:eastAsia="Times New Roman" w:cs="Arial"/>
            <w:color w:val="000000"/>
            <w:u w:val="single"/>
            <w:lang w:val="ru-RU"/>
          </w:rPr>
          <w:t>.</w:t>
        </w:r>
        <w:proofErr w:type="spellStart"/>
        <w:r w:rsidRPr="005E44CF">
          <w:rPr>
            <w:rFonts w:eastAsia="Times New Roman" w:cs="Arial"/>
            <w:color w:val="000000"/>
            <w:u w:val="single"/>
            <w:lang w:val="en-US"/>
          </w:rPr>
          <w:t>bda</w:t>
        </w:r>
        <w:proofErr w:type="spellEnd"/>
        <w:r w:rsidRPr="005E44CF">
          <w:rPr>
            <w:rFonts w:eastAsia="Times New Roman" w:cs="Arial"/>
            <w:color w:val="000000"/>
            <w:u w:val="single"/>
            <w:lang w:val="ru-RU"/>
          </w:rPr>
          <w:t>.</w:t>
        </w:r>
        <w:proofErr w:type="spellStart"/>
        <w:r w:rsidRPr="005E44CF">
          <w:rPr>
            <w:rFonts w:eastAsia="Times New Roman" w:cs="Arial"/>
            <w:color w:val="000000"/>
            <w:u w:val="single"/>
            <w:lang w:val="en-US"/>
          </w:rPr>
          <w:t>bg</w:t>
        </w:r>
        <w:proofErr w:type="spellEnd"/>
      </w:hyperlink>
    </w:p>
    <w:p w14:paraId="18C5B75C" w14:textId="77777777" w:rsidR="005E44CF" w:rsidRPr="005E44CF" w:rsidRDefault="005E44CF" w:rsidP="005E44CF"/>
    <w:p w14:paraId="5A87DBA3" w14:textId="1AAF5B91" w:rsidR="007122AD" w:rsidRDefault="002C50EE" w:rsidP="00936AD0">
      <w:pPr>
        <w:pStyle w:val="Heading2"/>
      </w:pPr>
      <w:r>
        <w:t>4.9. Предозиране</w:t>
      </w:r>
    </w:p>
    <w:p w14:paraId="545884A5" w14:textId="62E585E8" w:rsidR="005E44CF" w:rsidRDefault="005E44CF" w:rsidP="005E44CF"/>
    <w:p w14:paraId="1A4EF890" w14:textId="544DD56E" w:rsidR="005E44CF" w:rsidRPr="005E44CF" w:rsidRDefault="005E44CF" w:rsidP="005E44CF">
      <w:r>
        <w:t>В случай на предозиране, специфично лечение няма. При предозиране, пациентът трябва да се лекува симптоматично и да се започнат поддържащи мерки, според нуждите. Трябва да се следят чернодробната функция и нивата на СК. Малко вероятно е, хемодиализата да бъде от полза.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6339E404" w14:textId="4901AD5C" w:rsidR="00875EEC" w:rsidRDefault="002C50EE" w:rsidP="005726E3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0647870" w14:textId="096D4E9C" w:rsidR="005E44CF" w:rsidRDefault="005E44CF" w:rsidP="005E44CF"/>
    <w:p w14:paraId="13568E3D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b/>
          <w:bCs/>
          <w:color w:val="000000"/>
          <w:lang w:eastAsia="bg-BG"/>
        </w:rPr>
        <w:t>Фармакотерапевтичиа</w:t>
      </w:r>
      <w:proofErr w:type="spellEnd"/>
      <w:r w:rsidRPr="005E44CF">
        <w:rPr>
          <w:rFonts w:eastAsia="Times New Roman" w:cs="Arial"/>
          <w:b/>
          <w:bCs/>
          <w:color w:val="000000"/>
          <w:lang w:eastAsia="bg-BG"/>
        </w:rPr>
        <w:t xml:space="preserve"> група: </w:t>
      </w:r>
      <w:r w:rsidRPr="005E44CF">
        <w:rPr>
          <w:rFonts w:eastAsia="Times New Roman" w:cs="Arial"/>
          <w:color w:val="000000"/>
          <w:lang w:eastAsia="bg-BG"/>
        </w:rPr>
        <w:t xml:space="preserve">Инхибитори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</w:t>
      </w:r>
      <w:r w:rsidRPr="005E44CF">
        <w:rPr>
          <w:rFonts w:eastAsia="Times New Roman" w:cs="Arial"/>
          <w:b/>
          <w:bCs/>
          <w:color w:val="000000"/>
          <w:lang w:eastAsia="bg-BG"/>
        </w:rPr>
        <w:t xml:space="preserve">АТС код: </w:t>
      </w:r>
      <w:r w:rsidRPr="005E44CF">
        <w:rPr>
          <w:rFonts w:eastAsia="Times New Roman" w:cs="Arial"/>
          <w:color w:val="000000"/>
          <w:lang w:eastAsia="bg-BG"/>
        </w:rPr>
        <w:t>С10А А07</w:t>
      </w:r>
    </w:p>
    <w:p w14:paraId="12BDDC6F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9B7FD7" w14:textId="2689E25D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color w:val="000000"/>
          <w:u w:val="single"/>
          <w:lang w:eastAsia="bg-BG"/>
        </w:rPr>
        <w:lastRenderedPageBreak/>
        <w:t>Механизъм на действие</w:t>
      </w:r>
    </w:p>
    <w:p w14:paraId="3A845876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селективен и конкурентен инхибитор на </w:t>
      </w:r>
      <w:r w:rsidRPr="005E44CF">
        <w:rPr>
          <w:rFonts w:eastAsia="Times New Roman" w:cs="Arial"/>
          <w:color w:val="000000"/>
          <w:lang w:val="en-US"/>
        </w:rPr>
        <w:t>HMG</w:t>
      </w:r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CoA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скорост- ограничаващият ензим, който превръща З-хидрокси-3-метилглутарил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коензим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А в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мевалонат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прекурсор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 холестерола. Основното място на действие на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е черния дроб, прицелният орган за намаляване нивото на холестерола.</w:t>
      </w:r>
    </w:p>
    <w:p w14:paraId="02427C5D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увеличава броя на чернодробните </w:t>
      </w:r>
      <w:r w:rsidRPr="005E44CF">
        <w:rPr>
          <w:rFonts w:eastAsia="Times New Roman" w:cs="Arial"/>
          <w:color w:val="000000"/>
          <w:lang w:val="en-US"/>
        </w:rPr>
        <w:t>LDL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рецептори върху клетъчната повърхност, като засилва залавянето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катаболизма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 </w:t>
      </w:r>
      <w:r w:rsidRPr="005E44CF">
        <w:rPr>
          <w:rFonts w:eastAsia="Times New Roman" w:cs="Arial"/>
          <w:color w:val="000000"/>
          <w:lang w:val="en-US"/>
        </w:rPr>
        <w:t>LDL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инхибира чернодробната синтеза на </w:t>
      </w:r>
      <w:r w:rsidRPr="005E44CF">
        <w:rPr>
          <w:rFonts w:eastAsia="Times New Roman" w:cs="Arial"/>
          <w:color w:val="000000"/>
          <w:lang w:val="en-US"/>
        </w:rPr>
        <w:t>VLDL</w:t>
      </w:r>
      <w:r w:rsidRPr="005E44CF">
        <w:rPr>
          <w:rFonts w:eastAsia="Times New Roman" w:cs="Arial"/>
          <w:color w:val="000000"/>
          <w:lang w:val="ru-RU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 xml:space="preserve">като по този начин намалява общия брой на </w:t>
      </w:r>
      <w:r w:rsidRPr="005E44CF">
        <w:rPr>
          <w:rFonts w:eastAsia="Times New Roman" w:cs="Arial"/>
          <w:color w:val="000000"/>
          <w:lang w:val="en-US"/>
        </w:rPr>
        <w:t>VLDL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r w:rsidRPr="005E44CF">
        <w:rPr>
          <w:rFonts w:eastAsia="Times New Roman" w:cs="Arial"/>
          <w:color w:val="000000"/>
          <w:lang w:val="en-US"/>
        </w:rPr>
        <w:t>LDL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>частици.</w:t>
      </w:r>
    </w:p>
    <w:p w14:paraId="57F1AFFE" w14:textId="77777777" w:rsidR="005E44CF" w:rsidRPr="005E44CF" w:rsidRDefault="005E44CF" w:rsidP="005E44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A9B8ED" w14:textId="18BE4F3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u w:val="single"/>
          <w:lang w:eastAsia="bg-BG"/>
        </w:rPr>
        <w:t>Фармакодинамичии</w:t>
      </w:r>
      <w:proofErr w:type="spellEnd"/>
      <w:r w:rsidRPr="005E44CF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49283E55" w14:textId="77777777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намалява повишения </w:t>
      </w:r>
      <w:r w:rsidRPr="005E44CF">
        <w:rPr>
          <w:rFonts w:eastAsia="Times New Roman" w:cs="Arial"/>
          <w:color w:val="000000"/>
          <w:lang w:val="en-US"/>
        </w:rPr>
        <w:t>LDL</w:t>
      </w:r>
      <w:r w:rsidRPr="005E44CF">
        <w:rPr>
          <w:rFonts w:eastAsia="Times New Roman" w:cs="Arial"/>
          <w:color w:val="000000"/>
          <w:lang w:eastAsia="bg-BG"/>
        </w:rPr>
        <w:t xml:space="preserve">-холестерол, общия холестерол 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и повишава 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  <w:lang w:eastAsia="bg-BG"/>
        </w:rPr>
        <w:t xml:space="preserve">-холестерола. Той също понижава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АроВ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, поп 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  <w:lang w:eastAsia="bg-BG"/>
        </w:rPr>
        <w:t xml:space="preserve">-холестерола, </w:t>
      </w:r>
      <w:r w:rsidRPr="005E44CF">
        <w:rPr>
          <w:rFonts w:eastAsia="Times New Roman" w:cs="Arial"/>
          <w:color w:val="000000"/>
          <w:lang w:val="en-US"/>
        </w:rPr>
        <w:t>VLDL</w:t>
      </w:r>
      <w:r w:rsidRPr="005E44CF">
        <w:rPr>
          <w:rFonts w:eastAsia="Times New Roman" w:cs="Arial"/>
          <w:color w:val="000000"/>
          <w:lang w:eastAsia="bg-BG"/>
        </w:rPr>
        <w:t xml:space="preserve">- холестерола, </w:t>
      </w:r>
      <w:r w:rsidRPr="005E44CF">
        <w:rPr>
          <w:rFonts w:eastAsia="Times New Roman" w:cs="Arial"/>
          <w:color w:val="000000"/>
          <w:lang w:val="en-US"/>
        </w:rPr>
        <w:t>VLDL</w:t>
      </w:r>
      <w:r w:rsidRPr="005E44CF">
        <w:rPr>
          <w:rFonts w:eastAsia="Times New Roman" w:cs="Arial"/>
          <w:color w:val="000000"/>
          <w:lang w:eastAsia="bg-BG"/>
        </w:rPr>
        <w:t>-</w:t>
      </w:r>
      <w:proofErr w:type="spellStart"/>
      <w:r w:rsidRPr="005E44CF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и увеличава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АроА</w:t>
      </w:r>
      <w:proofErr w:type="spellEnd"/>
      <w:r w:rsidRPr="005E44CF">
        <w:rPr>
          <w:rFonts w:eastAsia="Times New Roman" w:cs="Arial"/>
          <w:color w:val="000000"/>
          <w:lang w:val="ru-RU"/>
        </w:rPr>
        <w:t>-</w:t>
      </w:r>
      <w:r w:rsidRPr="005E44CF">
        <w:rPr>
          <w:rFonts w:eastAsia="Times New Roman" w:cs="Arial"/>
          <w:color w:val="000000"/>
          <w:lang w:val="en-US"/>
        </w:rPr>
        <w:t>I</w:t>
      </w:r>
      <w:r w:rsidRPr="005E44CF">
        <w:rPr>
          <w:rFonts w:eastAsia="Times New Roman" w:cs="Arial"/>
          <w:color w:val="000000"/>
          <w:lang w:val="ru-RU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(вж. таблица 3). </w:t>
      </w:r>
      <w:proofErr w:type="spellStart"/>
      <w:r w:rsidRPr="005E44CF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5E44CF">
        <w:rPr>
          <w:rFonts w:eastAsia="Times New Roman" w:cs="Arial"/>
          <w:color w:val="000000"/>
          <w:lang w:eastAsia="bg-BG"/>
        </w:rPr>
        <w:t xml:space="preserve"> също понижава и съотношението </w:t>
      </w:r>
      <w:r w:rsidRPr="005E44CF">
        <w:rPr>
          <w:rFonts w:eastAsia="Times New Roman" w:cs="Arial"/>
          <w:color w:val="000000"/>
          <w:lang w:val="en-US"/>
        </w:rPr>
        <w:t>LDL</w:t>
      </w:r>
      <w:r w:rsidRPr="005E44CF">
        <w:rPr>
          <w:rFonts w:eastAsia="Times New Roman" w:cs="Arial"/>
          <w:color w:val="000000"/>
        </w:rPr>
        <w:t>-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</w:rPr>
        <w:t>/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</w:rPr>
        <w:t>-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</w:rPr>
        <w:t xml:space="preserve">, </w:t>
      </w:r>
      <w:r w:rsidRPr="005E44CF">
        <w:rPr>
          <w:rFonts w:eastAsia="Times New Roman" w:cs="Arial"/>
          <w:color w:val="000000"/>
          <w:lang w:eastAsia="bg-BG"/>
        </w:rPr>
        <w:t>общ холестерол</w:t>
      </w:r>
      <w:r w:rsidRPr="005E44CF">
        <w:rPr>
          <w:rFonts w:eastAsia="Times New Roman" w:cs="Arial"/>
          <w:color w:val="000000"/>
        </w:rPr>
        <w:t>/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</w:rPr>
        <w:t>-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r w:rsidRPr="005E44CF">
        <w:rPr>
          <w:rFonts w:eastAsia="Times New Roman" w:cs="Arial"/>
          <w:color w:val="000000"/>
          <w:lang w:val="en-US"/>
        </w:rPr>
        <w:t>non</w:t>
      </w:r>
      <w:r w:rsidRPr="005E44CF">
        <w:rPr>
          <w:rFonts w:eastAsia="Times New Roman" w:cs="Arial"/>
          <w:color w:val="000000"/>
        </w:rPr>
        <w:t xml:space="preserve"> 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</w:rPr>
        <w:t>-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</w:rPr>
        <w:t>/</w:t>
      </w:r>
      <w:r w:rsidRPr="005E44CF">
        <w:rPr>
          <w:rFonts w:eastAsia="Times New Roman" w:cs="Arial"/>
          <w:color w:val="000000"/>
          <w:lang w:val="en-US"/>
        </w:rPr>
        <w:t>HDL</w:t>
      </w:r>
      <w:r w:rsidRPr="005E44CF">
        <w:rPr>
          <w:rFonts w:eastAsia="Times New Roman" w:cs="Arial"/>
          <w:color w:val="000000"/>
        </w:rPr>
        <w:t>-</w:t>
      </w:r>
      <w:r w:rsidRPr="005E44CF">
        <w:rPr>
          <w:rFonts w:eastAsia="Times New Roman" w:cs="Arial"/>
          <w:color w:val="000000"/>
          <w:lang w:val="en-US"/>
        </w:rPr>
        <w:t>C</w:t>
      </w:r>
      <w:r w:rsidRPr="005E44CF">
        <w:rPr>
          <w:rFonts w:eastAsia="Times New Roman" w:cs="Arial"/>
          <w:color w:val="000000"/>
        </w:rPr>
        <w:t xml:space="preserve"> </w:t>
      </w:r>
      <w:r w:rsidRPr="005E44CF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АроВ</w:t>
      </w:r>
      <w:proofErr w:type="spellEnd"/>
      <w:r w:rsidRPr="005E44CF">
        <w:rPr>
          <w:rFonts w:eastAsia="Times New Roman" w:cs="Arial"/>
          <w:color w:val="000000"/>
          <w:lang w:eastAsia="bg-BG"/>
        </w:rPr>
        <w:t>/</w:t>
      </w:r>
      <w:proofErr w:type="spellStart"/>
      <w:r w:rsidRPr="005E44CF">
        <w:rPr>
          <w:rFonts w:eastAsia="Times New Roman" w:cs="Arial"/>
          <w:color w:val="000000"/>
          <w:lang w:eastAsia="bg-BG"/>
        </w:rPr>
        <w:t>АроА</w:t>
      </w:r>
      <w:proofErr w:type="spellEnd"/>
      <w:r w:rsidRPr="005E44CF">
        <w:rPr>
          <w:rFonts w:eastAsia="Times New Roman" w:cs="Arial"/>
          <w:color w:val="000000"/>
          <w:lang w:eastAsia="bg-BG"/>
        </w:rPr>
        <w:t>-</w:t>
      </w:r>
      <w:r w:rsidRPr="005E44CF">
        <w:rPr>
          <w:rFonts w:eastAsia="Times New Roman" w:cs="Arial"/>
          <w:color w:val="000000"/>
          <w:lang w:val="en-US"/>
        </w:rPr>
        <w:t>I</w:t>
      </w:r>
      <w:r w:rsidRPr="005E44CF">
        <w:rPr>
          <w:rFonts w:eastAsia="Times New Roman" w:cs="Arial"/>
          <w:color w:val="000000"/>
          <w:lang w:eastAsia="bg-BG"/>
        </w:rPr>
        <w:t>.</w:t>
      </w:r>
    </w:p>
    <w:p w14:paraId="1B9FC0E7" w14:textId="77777777" w:rsidR="005E44CF" w:rsidRPr="005E44CF" w:rsidRDefault="005E44CF" w:rsidP="005E44C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7EC1261" w14:textId="42CFD8B5" w:rsidR="005E44CF" w:rsidRPr="005E44CF" w:rsidRDefault="005E44CF" w:rsidP="005E44CF">
      <w:pPr>
        <w:spacing w:line="240" w:lineRule="auto"/>
        <w:rPr>
          <w:rFonts w:eastAsia="Times New Roman" w:cs="Arial"/>
          <w:sz w:val="24"/>
          <w:szCs w:val="24"/>
        </w:rPr>
      </w:pPr>
      <w:r w:rsidRPr="005E44CF">
        <w:rPr>
          <w:rFonts w:eastAsia="Times New Roman" w:cs="Arial"/>
          <w:b/>
          <w:bCs/>
          <w:color w:val="000000"/>
          <w:lang w:eastAsia="bg-BG"/>
        </w:rPr>
        <w:t>Таблица 3 Отговор на дозата при пациенти с пър</w:t>
      </w:r>
      <w:r>
        <w:rPr>
          <w:rFonts w:eastAsia="Times New Roman" w:cs="Arial"/>
          <w:b/>
          <w:bCs/>
          <w:color w:val="000000"/>
          <w:lang w:eastAsia="bg-BG"/>
        </w:rPr>
        <w:t xml:space="preserve">вична </w:t>
      </w:r>
      <w:proofErr w:type="spellStart"/>
      <w:r>
        <w:rPr>
          <w:rFonts w:eastAsia="Times New Roman" w:cs="Arial"/>
          <w:b/>
          <w:bCs/>
          <w:color w:val="000000"/>
          <w:lang w:eastAsia="bg-BG"/>
        </w:rPr>
        <w:t>хиперхолестеролемия</w:t>
      </w:r>
      <w:proofErr w:type="spellEnd"/>
      <w:r>
        <w:rPr>
          <w:rFonts w:eastAsia="Times New Roman" w:cs="Arial"/>
          <w:b/>
          <w:bCs/>
          <w:color w:val="000000"/>
          <w:lang w:eastAsia="bg-BG"/>
        </w:rPr>
        <w:t xml:space="preserve"> (тип </w:t>
      </w:r>
      <w:r>
        <w:rPr>
          <w:rFonts w:eastAsia="Times New Roman" w:cs="Arial"/>
          <w:b/>
          <w:bCs/>
          <w:color w:val="000000"/>
          <w:lang w:val="en-US" w:eastAsia="bg-BG"/>
        </w:rPr>
        <w:t>II</w:t>
      </w:r>
      <w:r>
        <w:rPr>
          <w:rFonts w:eastAsia="Times New Roman" w:cs="Arial"/>
          <w:b/>
          <w:bCs/>
          <w:color w:val="000000"/>
          <w:lang w:eastAsia="bg-BG"/>
        </w:rPr>
        <w:t>а и II</w:t>
      </w:r>
      <w:r>
        <w:rPr>
          <w:rFonts w:eastAsia="Times New Roman" w:cs="Arial"/>
          <w:b/>
          <w:bCs/>
          <w:color w:val="000000"/>
          <w:lang w:val="en-US" w:eastAsia="bg-BG"/>
        </w:rPr>
        <w:t>b</w:t>
      </w:r>
      <w:r w:rsidRPr="005E44CF">
        <w:rPr>
          <w:rFonts w:eastAsia="Times New Roman" w:cs="Arial"/>
          <w:b/>
          <w:bCs/>
          <w:color w:val="000000"/>
          <w:lang w:eastAsia="bg-BG"/>
        </w:rPr>
        <w:t xml:space="preserve">) (коригиран среден процент </w:t>
      </w:r>
      <w:proofErr w:type="spellStart"/>
      <w:r w:rsidRPr="005E44CF">
        <w:rPr>
          <w:rFonts w:eastAsia="Times New Roman" w:cs="Arial"/>
          <w:b/>
          <w:bCs/>
          <w:color w:val="000000"/>
          <w:lang w:eastAsia="bg-BG"/>
        </w:rPr>
        <w:t>иа</w:t>
      </w:r>
      <w:proofErr w:type="spellEnd"/>
      <w:r w:rsidRPr="005E44CF">
        <w:rPr>
          <w:rFonts w:eastAsia="Times New Roman" w:cs="Arial"/>
          <w:b/>
          <w:bCs/>
          <w:color w:val="000000"/>
          <w:lang w:eastAsia="bg-BG"/>
        </w:rPr>
        <w:t xml:space="preserve"> промяна спрямо изходното ниво):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981"/>
        <w:gridCol w:w="1016"/>
        <w:gridCol w:w="987"/>
        <w:gridCol w:w="1019"/>
        <w:gridCol w:w="989"/>
        <w:gridCol w:w="1170"/>
        <w:gridCol w:w="1028"/>
        <w:gridCol w:w="1038"/>
      </w:tblGrid>
      <w:tr w:rsidR="00ED5AD3" w14:paraId="28491909" w14:textId="77777777" w:rsidTr="005E44CF">
        <w:tc>
          <w:tcPr>
            <w:tcW w:w="1064" w:type="dxa"/>
          </w:tcPr>
          <w:p w14:paraId="3F3F7055" w14:textId="2A6CBB8F" w:rsidR="00ED5AD3" w:rsidRPr="00ED5AD3" w:rsidRDefault="00ED5AD3" w:rsidP="00ED5AD3">
            <w:r w:rsidRPr="00ED5AD3">
              <w:rPr>
                <w:b/>
                <w:bCs/>
                <w:lang w:eastAsia="bg-BG"/>
              </w:rPr>
              <w:t>Доза</w:t>
            </w:r>
          </w:p>
        </w:tc>
        <w:tc>
          <w:tcPr>
            <w:tcW w:w="1064" w:type="dxa"/>
          </w:tcPr>
          <w:p w14:paraId="7FC54DE8" w14:textId="28641BBE" w:rsidR="00ED5AD3" w:rsidRPr="00ED5AD3" w:rsidRDefault="00ED5AD3" w:rsidP="00ED5AD3">
            <w:r w:rsidRPr="00ED5AD3">
              <w:rPr>
                <w:b/>
                <w:bCs/>
              </w:rPr>
              <w:t>N</w:t>
            </w:r>
          </w:p>
        </w:tc>
        <w:tc>
          <w:tcPr>
            <w:tcW w:w="1064" w:type="dxa"/>
          </w:tcPr>
          <w:p w14:paraId="4F4AC61A" w14:textId="238903BE" w:rsidR="00ED5AD3" w:rsidRPr="00ED5AD3" w:rsidRDefault="00ED5AD3" w:rsidP="00ED5AD3">
            <w:r w:rsidRPr="00ED5AD3">
              <w:rPr>
                <w:b/>
                <w:bCs/>
              </w:rPr>
              <w:t>LDL-C</w:t>
            </w:r>
          </w:p>
        </w:tc>
        <w:tc>
          <w:tcPr>
            <w:tcW w:w="1064" w:type="dxa"/>
          </w:tcPr>
          <w:p w14:paraId="029EA100" w14:textId="5A6160F2" w:rsidR="00ED5AD3" w:rsidRPr="00ED5AD3" w:rsidRDefault="00ED5AD3" w:rsidP="00ED5AD3">
            <w:r w:rsidRPr="00ED5AD3">
              <w:rPr>
                <w:b/>
                <w:bCs/>
              </w:rPr>
              <w:t>TC</w:t>
            </w:r>
          </w:p>
        </w:tc>
        <w:tc>
          <w:tcPr>
            <w:tcW w:w="1064" w:type="dxa"/>
          </w:tcPr>
          <w:p w14:paraId="1A933067" w14:textId="64D10458" w:rsidR="00ED5AD3" w:rsidRPr="00ED5AD3" w:rsidRDefault="00ED5AD3" w:rsidP="00ED5AD3">
            <w:r w:rsidRPr="00ED5AD3">
              <w:rPr>
                <w:b/>
                <w:bCs/>
              </w:rPr>
              <w:t>HDL-C</w:t>
            </w:r>
          </w:p>
        </w:tc>
        <w:tc>
          <w:tcPr>
            <w:tcW w:w="1064" w:type="dxa"/>
          </w:tcPr>
          <w:p w14:paraId="1BB4AA20" w14:textId="41A09B68" w:rsidR="00ED5AD3" w:rsidRPr="00ED5AD3" w:rsidRDefault="00ED5AD3" w:rsidP="00ED5AD3">
            <w:r w:rsidRPr="00ED5AD3">
              <w:rPr>
                <w:b/>
                <w:bCs/>
              </w:rPr>
              <w:t>TG</w:t>
            </w:r>
          </w:p>
        </w:tc>
        <w:tc>
          <w:tcPr>
            <w:tcW w:w="1064" w:type="dxa"/>
          </w:tcPr>
          <w:p w14:paraId="7CEF5BC6" w14:textId="4976ACC9" w:rsidR="00ED5AD3" w:rsidRPr="00ED5AD3" w:rsidRDefault="00ED5AD3" w:rsidP="00ED5AD3">
            <w:proofErr w:type="spellStart"/>
            <w:r w:rsidRPr="00ED5AD3">
              <w:rPr>
                <w:b/>
                <w:bCs/>
              </w:rPr>
              <w:t>NonHDL</w:t>
            </w:r>
            <w:proofErr w:type="spellEnd"/>
            <w:r w:rsidRPr="00ED5AD3">
              <w:rPr>
                <w:b/>
                <w:bCs/>
              </w:rPr>
              <w:t>-C</w:t>
            </w:r>
          </w:p>
        </w:tc>
        <w:tc>
          <w:tcPr>
            <w:tcW w:w="1064" w:type="dxa"/>
          </w:tcPr>
          <w:p w14:paraId="05A0A615" w14:textId="68CF8A36" w:rsidR="00ED5AD3" w:rsidRPr="00ED5AD3" w:rsidRDefault="00ED5AD3" w:rsidP="00ED5AD3">
            <w:proofErr w:type="spellStart"/>
            <w:r w:rsidRPr="00ED5AD3">
              <w:rPr>
                <w:b/>
                <w:bCs/>
              </w:rPr>
              <w:t>ApoB</w:t>
            </w:r>
            <w:proofErr w:type="spellEnd"/>
          </w:p>
        </w:tc>
        <w:tc>
          <w:tcPr>
            <w:tcW w:w="1064" w:type="dxa"/>
          </w:tcPr>
          <w:p w14:paraId="7F101D83" w14:textId="7CF628BC" w:rsidR="00ED5AD3" w:rsidRPr="00ED5AD3" w:rsidRDefault="00ED5AD3" w:rsidP="00ED5AD3">
            <w:proofErr w:type="spellStart"/>
            <w:r w:rsidRPr="00ED5AD3">
              <w:rPr>
                <w:b/>
                <w:bCs/>
              </w:rPr>
              <w:t>ApoA</w:t>
            </w:r>
            <w:proofErr w:type="spellEnd"/>
            <w:r w:rsidRPr="00ED5AD3">
              <w:rPr>
                <w:b/>
                <w:bCs/>
              </w:rPr>
              <w:t>-I</w:t>
            </w:r>
          </w:p>
        </w:tc>
      </w:tr>
      <w:tr w:rsidR="00ED5AD3" w14:paraId="58FABBAB" w14:textId="77777777" w:rsidTr="005E44CF">
        <w:tc>
          <w:tcPr>
            <w:tcW w:w="1064" w:type="dxa"/>
          </w:tcPr>
          <w:p w14:paraId="17523E39" w14:textId="0A859C73" w:rsidR="00ED5AD3" w:rsidRPr="00ED5AD3" w:rsidRDefault="00ED5AD3" w:rsidP="00ED5AD3">
            <w:r w:rsidRPr="00ED5AD3">
              <w:rPr>
                <w:lang w:eastAsia="bg-BG"/>
              </w:rPr>
              <w:t>Плацебо</w:t>
            </w:r>
          </w:p>
        </w:tc>
        <w:tc>
          <w:tcPr>
            <w:tcW w:w="1064" w:type="dxa"/>
          </w:tcPr>
          <w:p w14:paraId="4929BCEA" w14:textId="42CFADD6" w:rsidR="00ED5AD3" w:rsidRPr="00ED5AD3" w:rsidRDefault="00ED5AD3" w:rsidP="00ED5AD3">
            <w:r w:rsidRPr="00ED5AD3">
              <w:t>13</w:t>
            </w:r>
          </w:p>
        </w:tc>
        <w:tc>
          <w:tcPr>
            <w:tcW w:w="1064" w:type="dxa"/>
          </w:tcPr>
          <w:p w14:paraId="61413D4A" w14:textId="344CBE37" w:rsidR="00ED5AD3" w:rsidRPr="00ED5AD3" w:rsidRDefault="00ED5AD3" w:rsidP="00ED5AD3">
            <w:r w:rsidRPr="00ED5AD3">
              <w:t>-7</w:t>
            </w:r>
          </w:p>
        </w:tc>
        <w:tc>
          <w:tcPr>
            <w:tcW w:w="1064" w:type="dxa"/>
          </w:tcPr>
          <w:p w14:paraId="1ED92962" w14:textId="7F2A04CA" w:rsidR="00ED5AD3" w:rsidRPr="00ED5AD3" w:rsidRDefault="00ED5AD3" w:rsidP="00ED5AD3">
            <w:r w:rsidRPr="00ED5AD3">
              <w:t>-5</w:t>
            </w:r>
          </w:p>
        </w:tc>
        <w:tc>
          <w:tcPr>
            <w:tcW w:w="1064" w:type="dxa"/>
          </w:tcPr>
          <w:p w14:paraId="0C1564DA" w14:textId="0A06BE29" w:rsidR="00ED5AD3" w:rsidRPr="00ED5AD3" w:rsidRDefault="00ED5AD3" w:rsidP="00ED5AD3">
            <w:r w:rsidRPr="00ED5AD3">
              <w:t>3</w:t>
            </w:r>
          </w:p>
        </w:tc>
        <w:tc>
          <w:tcPr>
            <w:tcW w:w="1064" w:type="dxa"/>
          </w:tcPr>
          <w:p w14:paraId="2BCAC747" w14:textId="3FB9D947" w:rsidR="00ED5AD3" w:rsidRPr="00ED5AD3" w:rsidRDefault="00ED5AD3" w:rsidP="00ED5AD3">
            <w:r w:rsidRPr="00ED5AD3">
              <w:t>-3</w:t>
            </w:r>
          </w:p>
        </w:tc>
        <w:tc>
          <w:tcPr>
            <w:tcW w:w="1064" w:type="dxa"/>
          </w:tcPr>
          <w:p w14:paraId="1D4BBE98" w14:textId="57D13CFA" w:rsidR="00ED5AD3" w:rsidRPr="00ED5AD3" w:rsidRDefault="00ED5AD3" w:rsidP="00ED5AD3">
            <w:r w:rsidRPr="00ED5AD3">
              <w:t>-7</w:t>
            </w:r>
          </w:p>
        </w:tc>
        <w:tc>
          <w:tcPr>
            <w:tcW w:w="1064" w:type="dxa"/>
          </w:tcPr>
          <w:p w14:paraId="7DDB91DA" w14:textId="111D27E7" w:rsidR="00ED5AD3" w:rsidRPr="00ED5AD3" w:rsidRDefault="00ED5AD3" w:rsidP="00ED5AD3">
            <w:r w:rsidRPr="00ED5AD3">
              <w:t>-3</w:t>
            </w:r>
          </w:p>
        </w:tc>
        <w:tc>
          <w:tcPr>
            <w:tcW w:w="1064" w:type="dxa"/>
          </w:tcPr>
          <w:p w14:paraId="6B7740B8" w14:textId="26907DAB" w:rsidR="00ED5AD3" w:rsidRPr="00ED5AD3" w:rsidRDefault="00ED5AD3" w:rsidP="00ED5AD3">
            <w:r w:rsidRPr="00ED5AD3">
              <w:t>0</w:t>
            </w:r>
          </w:p>
        </w:tc>
      </w:tr>
      <w:tr w:rsidR="00ED5AD3" w14:paraId="323F9165" w14:textId="77777777" w:rsidTr="005E44CF">
        <w:tc>
          <w:tcPr>
            <w:tcW w:w="1064" w:type="dxa"/>
          </w:tcPr>
          <w:p w14:paraId="25FE6D75" w14:textId="1031DE2B" w:rsidR="00ED5AD3" w:rsidRPr="00ED5AD3" w:rsidRDefault="00ED5AD3" w:rsidP="00ED5AD3">
            <w:r w:rsidRPr="00ED5AD3">
              <w:rPr>
                <w:lang w:eastAsia="bg-BG"/>
              </w:rPr>
              <w:t xml:space="preserve">5 </w:t>
            </w:r>
            <w:proofErr w:type="spellStart"/>
            <w:r w:rsidRPr="00ED5AD3">
              <w:t>mg</w:t>
            </w:r>
            <w:proofErr w:type="spellEnd"/>
          </w:p>
        </w:tc>
        <w:tc>
          <w:tcPr>
            <w:tcW w:w="1064" w:type="dxa"/>
          </w:tcPr>
          <w:p w14:paraId="2CB9EF48" w14:textId="6424D150" w:rsidR="00ED5AD3" w:rsidRPr="00ED5AD3" w:rsidRDefault="00ED5AD3" w:rsidP="00ED5AD3">
            <w:r w:rsidRPr="00ED5AD3">
              <w:t>17</w:t>
            </w:r>
          </w:p>
        </w:tc>
        <w:tc>
          <w:tcPr>
            <w:tcW w:w="1064" w:type="dxa"/>
          </w:tcPr>
          <w:p w14:paraId="741D6576" w14:textId="737EE504" w:rsidR="00ED5AD3" w:rsidRPr="00ED5AD3" w:rsidRDefault="00ED5AD3" w:rsidP="00ED5AD3">
            <w:r w:rsidRPr="00ED5AD3">
              <w:t>-45</w:t>
            </w:r>
          </w:p>
        </w:tc>
        <w:tc>
          <w:tcPr>
            <w:tcW w:w="1064" w:type="dxa"/>
          </w:tcPr>
          <w:p w14:paraId="26CA4493" w14:textId="6624CD6D" w:rsidR="00ED5AD3" w:rsidRPr="00ED5AD3" w:rsidRDefault="00ED5AD3" w:rsidP="00ED5AD3">
            <w:r w:rsidRPr="00ED5AD3">
              <w:t>-33</w:t>
            </w:r>
          </w:p>
        </w:tc>
        <w:tc>
          <w:tcPr>
            <w:tcW w:w="1064" w:type="dxa"/>
          </w:tcPr>
          <w:p w14:paraId="38B573AD" w14:textId="2CE9BBEB" w:rsidR="00ED5AD3" w:rsidRPr="00ED5AD3" w:rsidRDefault="00ED5AD3" w:rsidP="00ED5AD3">
            <w:r w:rsidRPr="00ED5AD3">
              <w:t>13</w:t>
            </w:r>
          </w:p>
        </w:tc>
        <w:tc>
          <w:tcPr>
            <w:tcW w:w="1064" w:type="dxa"/>
          </w:tcPr>
          <w:p w14:paraId="24237723" w14:textId="1DDB00BD" w:rsidR="00ED5AD3" w:rsidRPr="00ED5AD3" w:rsidRDefault="00ED5AD3" w:rsidP="00ED5AD3">
            <w:r w:rsidRPr="00ED5AD3">
              <w:t>-35</w:t>
            </w:r>
          </w:p>
        </w:tc>
        <w:tc>
          <w:tcPr>
            <w:tcW w:w="1064" w:type="dxa"/>
          </w:tcPr>
          <w:p w14:paraId="7F9E3188" w14:textId="75B80861" w:rsidR="00ED5AD3" w:rsidRPr="00ED5AD3" w:rsidRDefault="00ED5AD3" w:rsidP="00ED5AD3">
            <w:r w:rsidRPr="00ED5AD3">
              <w:t>-44</w:t>
            </w:r>
          </w:p>
        </w:tc>
        <w:tc>
          <w:tcPr>
            <w:tcW w:w="1064" w:type="dxa"/>
          </w:tcPr>
          <w:p w14:paraId="72DF3AF8" w14:textId="30267A82" w:rsidR="00ED5AD3" w:rsidRPr="00ED5AD3" w:rsidRDefault="00ED5AD3" w:rsidP="00ED5AD3">
            <w:r w:rsidRPr="00ED5AD3">
              <w:t>-38</w:t>
            </w:r>
          </w:p>
        </w:tc>
        <w:tc>
          <w:tcPr>
            <w:tcW w:w="1064" w:type="dxa"/>
          </w:tcPr>
          <w:p w14:paraId="78E63300" w14:textId="4F369E13" w:rsidR="00ED5AD3" w:rsidRPr="00ED5AD3" w:rsidRDefault="00ED5AD3" w:rsidP="00ED5AD3">
            <w:r w:rsidRPr="00ED5AD3">
              <w:t>4</w:t>
            </w:r>
          </w:p>
        </w:tc>
      </w:tr>
      <w:tr w:rsidR="00ED5AD3" w14:paraId="22ED76C2" w14:textId="77777777" w:rsidTr="005E44CF">
        <w:tc>
          <w:tcPr>
            <w:tcW w:w="1064" w:type="dxa"/>
          </w:tcPr>
          <w:p w14:paraId="4BB9960C" w14:textId="7D5B185D" w:rsidR="00ED5AD3" w:rsidRPr="00ED5AD3" w:rsidRDefault="00ED5AD3" w:rsidP="00ED5AD3">
            <w:r w:rsidRPr="00ED5AD3">
              <w:rPr>
                <w:lang w:eastAsia="bg-BG"/>
              </w:rPr>
              <w:t xml:space="preserve">10 </w:t>
            </w:r>
            <w:proofErr w:type="spellStart"/>
            <w:r w:rsidRPr="00ED5AD3">
              <w:t>mg</w:t>
            </w:r>
            <w:proofErr w:type="spellEnd"/>
          </w:p>
        </w:tc>
        <w:tc>
          <w:tcPr>
            <w:tcW w:w="1064" w:type="dxa"/>
          </w:tcPr>
          <w:p w14:paraId="29BE39B4" w14:textId="2AC2A358" w:rsidR="00ED5AD3" w:rsidRPr="00ED5AD3" w:rsidRDefault="00ED5AD3" w:rsidP="00ED5AD3">
            <w:r w:rsidRPr="00ED5AD3">
              <w:t>17</w:t>
            </w:r>
          </w:p>
        </w:tc>
        <w:tc>
          <w:tcPr>
            <w:tcW w:w="1064" w:type="dxa"/>
          </w:tcPr>
          <w:p w14:paraId="01B88516" w14:textId="08012EAE" w:rsidR="00ED5AD3" w:rsidRPr="00ED5AD3" w:rsidRDefault="00ED5AD3" w:rsidP="00ED5AD3">
            <w:r w:rsidRPr="00ED5AD3">
              <w:t>-52</w:t>
            </w:r>
          </w:p>
        </w:tc>
        <w:tc>
          <w:tcPr>
            <w:tcW w:w="1064" w:type="dxa"/>
          </w:tcPr>
          <w:p w14:paraId="1ED6568A" w14:textId="3068762B" w:rsidR="00ED5AD3" w:rsidRPr="00ED5AD3" w:rsidRDefault="00ED5AD3" w:rsidP="00ED5AD3">
            <w:r w:rsidRPr="00ED5AD3">
              <w:t>-36</w:t>
            </w:r>
          </w:p>
        </w:tc>
        <w:tc>
          <w:tcPr>
            <w:tcW w:w="1064" w:type="dxa"/>
          </w:tcPr>
          <w:p w14:paraId="1FC2B2CB" w14:textId="328A28DD" w:rsidR="00ED5AD3" w:rsidRPr="00ED5AD3" w:rsidRDefault="00ED5AD3" w:rsidP="00ED5AD3">
            <w:r w:rsidRPr="00ED5AD3">
              <w:t>14</w:t>
            </w:r>
          </w:p>
        </w:tc>
        <w:tc>
          <w:tcPr>
            <w:tcW w:w="1064" w:type="dxa"/>
          </w:tcPr>
          <w:p w14:paraId="0B51EB3E" w14:textId="794E6692" w:rsidR="00ED5AD3" w:rsidRPr="00ED5AD3" w:rsidRDefault="00ED5AD3" w:rsidP="00ED5AD3">
            <w:r w:rsidRPr="00ED5AD3">
              <w:t>-10</w:t>
            </w:r>
          </w:p>
        </w:tc>
        <w:tc>
          <w:tcPr>
            <w:tcW w:w="1064" w:type="dxa"/>
          </w:tcPr>
          <w:p w14:paraId="60BA66AA" w14:textId="4FC1E965" w:rsidR="00ED5AD3" w:rsidRPr="00ED5AD3" w:rsidRDefault="00ED5AD3" w:rsidP="00ED5AD3">
            <w:r w:rsidRPr="00ED5AD3">
              <w:rPr>
                <w:i/>
                <w:iCs/>
              </w:rPr>
              <w:t>-48</w:t>
            </w:r>
          </w:p>
        </w:tc>
        <w:tc>
          <w:tcPr>
            <w:tcW w:w="1064" w:type="dxa"/>
          </w:tcPr>
          <w:p w14:paraId="6A0169FD" w14:textId="5D23B95B" w:rsidR="00ED5AD3" w:rsidRPr="00ED5AD3" w:rsidRDefault="00ED5AD3" w:rsidP="00ED5AD3">
            <w:r w:rsidRPr="00ED5AD3">
              <w:t>-42</w:t>
            </w:r>
          </w:p>
        </w:tc>
        <w:tc>
          <w:tcPr>
            <w:tcW w:w="1064" w:type="dxa"/>
          </w:tcPr>
          <w:p w14:paraId="534BEDC5" w14:textId="3E8AC6F4" w:rsidR="00ED5AD3" w:rsidRPr="00ED5AD3" w:rsidRDefault="00ED5AD3" w:rsidP="00ED5AD3">
            <w:r w:rsidRPr="00ED5AD3">
              <w:t>4</w:t>
            </w:r>
          </w:p>
        </w:tc>
      </w:tr>
      <w:tr w:rsidR="00ED5AD3" w14:paraId="06D71F8B" w14:textId="77777777" w:rsidTr="005E44CF">
        <w:tc>
          <w:tcPr>
            <w:tcW w:w="1064" w:type="dxa"/>
          </w:tcPr>
          <w:p w14:paraId="0AF1C24D" w14:textId="6CFF51E2" w:rsidR="00ED5AD3" w:rsidRPr="00ED5AD3" w:rsidRDefault="00ED5AD3" w:rsidP="00ED5AD3">
            <w:r w:rsidRPr="00ED5AD3">
              <w:rPr>
                <w:lang w:eastAsia="bg-BG"/>
              </w:rPr>
              <w:t xml:space="preserve">20 </w:t>
            </w:r>
            <w:proofErr w:type="spellStart"/>
            <w:r w:rsidRPr="00ED5AD3">
              <w:t>mg</w:t>
            </w:r>
            <w:proofErr w:type="spellEnd"/>
          </w:p>
        </w:tc>
        <w:tc>
          <w:tcPr>
            <w:tcW w:w="1064" w:type="dxa"/>
          </w:tcPr>
          <w:p w14:paraId="77B7C4EF" w14:textId="19F543BD" w:rsidR="00ED5AD3" w:rsidRPr="00ED5AD3" w:rsidRDefault="00ED5AD3" w:rsidP="00ED5AD3">
            <w:r w:rsidRPr="00ED5AD3">
              <w:t>17</w:t>
            </w:r>
          </w:p>
        </w:tc>
        <w:tc>
          <w:tcPr>
            <w:tcW w:w="1064" w:type="dxa"/>
          </w:tcPr>
          <w:p w14:paraId="600AF12B" w14:textId="71346E38" w:rsidR="00ED5AD3" w:rsidRPr="00ED5AD3" w:rsidRDefault="00ED5AD3" w:rsidP="00ED5AD3">
            <w:r w:rsidRPr="00ED5AD3">
              <w:t>-55</w:t>
            </w:r>
          </w:p>
        </w:tc>
        <w:tc>
          <w:tcPr>
            <w:tcW w:w="1064" w:type="dxa"/>
          </w:tcPr>
          <w:p w14:paraId="1ED2F1A3" w14:textId="03753BE8" w:rsidR="00ED5AD3" w:rsidRPr="00ED5AD3" w:rsidRDefault="00ED5AD3" w:rsidP="00ED5AD3">
            <w:r w:rsidRPr="00ED5AD3">
              <w:t>-40</w:t>
            </w:r>
          </w:p>
        </w:tc>
        <w:tc>
          <w:tcPr>
            <w:tcW w:w="1064" w:type="dxa"/>
          </w:tcPr>
          <w:p w14:paraId="1D8CCD17" w14:textId="4387D393" w:rsidR="00ED5AD3" w:rsidRPr="00ED5AD3" w:rsidRDefault="00ED5AD3" w:rsidP="00ED5AD3">
            <w:r w:rsidRPr="00ED5AD3">
              <w:t>8</w:t>
            </w:r>
          </w:p>
        </w:tc>
        <w:tc>
          <w:tcPr>
            <w:tcW w:w="1064" w:type="dxa"/>
          </w:tcPr>
          <w:p w14:paraId="3DA49AC9" w14:textId="4CCC9341" w:rsidR="00ED5AD3" w:rsidRPr="00ED5AD3" w:rsidRDefault="00ED5AD3" w:rsidP="00ED5AD3">
            <w:r w:rsidRPr="00ED5AD3">
              <w:t>-23</w:t>
            </w:r>
          </w:p>
        </w:tc>
        <w:tc>
          <w:tcPr>
            <w:tcW w:w="1064" w:type="dxa"/>
          </w:tcPr>
          <w:p w14:paraId="6ED2EA08" w14:textId="5F3A112F" w:rsidR="00ED5AD3" w:rsidRPr="00ED5AD3" w:rsidRDefault="00ED5AD3" w:rsidP="00ED5AD3">
            <w:r w:rsidRPr="00ED5AD3">
              <w:t>-51</w:t>
            </w:r>
          </w:p>
        </w:tc>
        <w:tc>
          <w:tcPr>
            <w:tcW w:w="1064" w:type="dxa"/>
          </w:tcPr>
          <w:p w14:paraId="2C692D05" w14:textId="51B2197B" w:rsidR="00ED5AD3" w:rsidRPr="00ED5AD3" w:rsidRDefault="00ED5AD3" w:rsidP="00ED5AD3">
            <w:r w:rsidRPr="00ED5AD3">
              <w:t>-46</w:t>
            </w:r>
          </w:p>
        </w:tc>
        <w:tc>
          <w:tcPr>
            <w:tcW w:w="1064" w:type="dxa"/>
          </w:tcPr>
          <w:p w14:paraId="59F0D2E2" w14:textId="3888629E" w:rsidR="00ED5AD3" w:rsidRPr="00ED5AD3" w:rsidRDefault="00ED5AD3" w:rsidP="00ED5AD3">
            <w:r w:rsidRPr="00ED5AD3">
              <w:t>5</w:t>
            </w:r>
          </w:p>
        </w:tc>
      </w:tr>
      <w:tr w:rsidR="00ED5AD3" w14:paraId="2B1035D1" w14:textId="77777777" w:rsidTr="005E44CF">
        <w:tc>
          <w:tcPr>
            <w:tcW w:w="1064" w:type="dxa"/>
          </w:tcPr>
          <w:p w14:paraId="05E1B925" w14:textId="633C268E" w:rsidR="00ED5AD3" w:rsidRPr="00ED5AD3" w:rsidRDefault="00ED5AD3" w:rsidP="00ED5AD3">
            <w:r w:rsidRPr="00ED5AD3">
              <w:rPr>
                <w:lang w:eastAsia="bg-BG"/>
              </w:rPr>
              <w:t xml:space="preserve">40 </w:t>
            </w:r>
            <w:proofErr w:type="spellStart"/>
            <w:r w:rsidRPr="00ED5AD3">
              <w:t>mg</w:t>
            </w:r>
            <w:proofErr w:type="spellEnd"/>
          </w:p>
        </w:tc>
        <w:tc>
          <w:tcPr>
            <w:tcW w:w="1064" w:type="dxa"/>
          </w:tcPr>
          <w:p w14:paraId="3F8862E9" w14:textId="15A009A7" w:rsidR="00ED5AD3" w:rsidRPr="00ED5AD3" w:rsidRDefault="00ED5AD3" w:rsidP="00ED5AD3">
            <w:r w:rsidRPr="00ED5AD3">
              <w:t>18</w:t>
            </w:r>
          </w:p>
        </w:tc>
        <w:tc>
          <w:tcPr>
            <w:tcW w:w="1064" w:type="dxa"/>
          </w:tcPr>
          <w:p w14:paraId="6E474D66" w14:textId="379F0D02" w:rsidR="00ED5AD3" w:rsidRPr="00ED5AD3" w:rsidRDefault="00ED5AD3" w:rsidP="00ED5AD3">
            <w:r w:rsidRPr="00ED5AD3">
              <w:t>-63</w:t>
            </w:r>
          </w:p>
        </w:tc>
        <w:tc>
          <w:tcPr>
            <w:tcW w:w="1064" w:type="dxa"/>
          </w:tcPr>
          <w:p w14:paraId="40712A35" w14:textId="6BC2C830" w:rsidR="00ED5AD3" w:rsidRPr="00ED5AD3" w:rsidRDefault="00ED5AD3" w:rsidP="00ED5AD3">
            <w:r w:rsidRPr="00ED5AD3">
              <w:t>-46</w:t>
            </w:r>
          </w:p>
        </w:tc>
        <w:tc>
          <w:tcPr>
            <w:tcW w:w="1064" w:type="dxa"/>
          </w:tcPr>
          <w:p w14:paraId="506CF950" w14:textId="2A86B7B3" w:rsidR="00ED5AD3" w:rsidRPr="00ED5AD3" w:rsidRDefault="00ED5AD3" w:rsidP="00ED5AD3">
            <w:r w:rsidRPr="00ED5AD3">
              <w:t>10</w:t>
            </w:r>
          </w:p>
        </w:tc>
        <w:tc>
          <w:tcPr>
            <w:tcW w:w="1064" w:type="dxa"/>
          </w:tcPr>
          <w:p w14:paraId="7FA54587" w14:textId="0D4214FD" w:rsidR="00ED5AD3" w:rsidRPr="00ED5AD3" w:rsidRDefault="00ED5AD3" w:rsidP="00ED5AD3">
            <w:r w:rsidRPr="00ED5AD3">
              <w:t>-28</w:t>
            </w:r>
          </w:p>
        </w:tc>
        <w:tc>
          <w:tcPr>
            <w:tcW w:w="1064" w:type="dxa"/>
          </w:tcPr>
          <w:p w14:paraId="02695996" w14:textId="3B2BE1E9" w:rsidR="00ED5AD3" w:rsidRPr="00ED5AD3" w:rsidRDefault="00ED5AD3" w:rsidP="00ED5AD3">
            <w:r w:rsidRPr="00ED5AD3">
              <w:t>-60</w:t>
            </w:r>
          </w:p>
        </w:tc>
        <w:tc>
          <w:tcPr>
            <w:tcW w:w="1064" w:type="dxa"/>
          </w:tcPr>
          <w:p w14:paraId="1E9E879E" w14:textId="1D8683BC" w:rsidR="00ED5AD3" w:rsidRPr="00ED5AD3" w:rsidRDefault="00ED5AD3" w:rsidP="00ED5AD3">
            <w:r w:rsidRPr="00ED5AD3">
              <w:t>-54</w:t>
            </w:r>
          </w:p>
        </w:tc>
        <w:tc>
          <w:tcPr>
            <w:tcW w:w="1064" w:type="dxa"/>
          </w:tcPr>
          <w:p w14:paraId="42C56DC0" w14:textId="4C787FD7" w:rsidR="00ED5AD3" w:rsidRPr="00ED5AD3" w:rsidRDefault="00ED5AD3" w:rsidP="00ED5AD3">
            <w:r w:rsidRPr="00ED5AD3">
              <w:t>0</w:t>
            </w:r>
          </w:p>
        </w:tc>
      </w:tr>
    </w:tbl>
    <w:p w14:paraId="416D7C0E" w14:textId="2D962601" w:rsidR="005E44CF" w:rsidRDefault="005E44CF" w:rsidP="005E44CF"/>
    <w:p w14:paraId="01E465BF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>Терапевтичният ефект се забелязва в рамките на 1 седмица от началото на лечението и 90% от максималния отговор се постига до 2 седмици. Максималният отговор обикновено се постига към 4-та седмица и след това се поддържа.</w:t>
      </w:r>
    </w:p>
    <w:p w14:paraId="7D491798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1FF195" w14:textId="3DAEFDBD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0E83A685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ефективен при възрастни, страдащи от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със или без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хипертриглицеридемия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независимо от расова принадлежност, пол или възраст, както и при специални групи като диабетици или пациенти с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43498376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6C8684" w14:textId="77777777" w:rsidR="00ED5AD3" w:rsidRPr="00ED5AD3" w:rsidRDefault="00ED5AD3" w:rsidP="00ED5AD3">
      <w:pPr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Обобщените данни от клиничните проучвания от фаза Ш показват, че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ефективен при лечение на голяма част от пациенти с тип </w:t>
      </w:r>
      <w:proofErr w:type="spellStart"/>
      <w:r w:rsidRPr="00ED5AD3">
        <w:rPr>
          <w:rFonts w:eastAsia="Times New Roman" w:cs="Arial"/>
          <w:color w:val="000000"/>
          <w:lang w:val="en-US"/>
        </w:rPr>
        <w:t>IIa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или </w:t>
      </w:r>
      <w:r w:rsidRPr="00ED5AD3">
        <w:rPr>
          <w:rFonts w:eastAsia="Times New Roman" w:cs="Arial"/>
          <w:color w:val="000000"/>
          <w:lang w:val="en-US"/>
        </w:rPr>
        <w:t>IIb</w:t>
      </w:r>
      <w:r w:rsidRPr="00ED5AD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(средна изходна стойност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 - около </w:t>
      </w:r>
      <w:r w:rsidRPr="00ED5AD3">
        <w:rPr>
          <w:rFonts w:eastAsia="Times New Roman" w:cs="Arial"/>
          <w:color w:val="000000"/>
          <w:lang w:val="ru-RU"/>
        </w:rPr>
        <w:t>4,8</w:t>
      </w:r>
      <w:r w:rsidRPr="00ED5AD3">
        <w:rPr>
          <w:rFonts w:eastAsia="Times New Roman" w:cs="Arial"/>
          <w:color w:val="000000"/>
          <w:lang w:val="en-US"/>
        </w:rPr>
        <w:t>mmol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според определените от Европейското Дружество по Атеросклероза прицелни стойности </w:t>
      </w:r>
      <w:r w:rsidRPr="00ED5AD3">
        <w:rPr>
          <w:rFonts w:eastAsia="Times New Roman" w:cs="Arial"/>
          <w:color w:val="000000"/>
          <w:lang w:val="ru-RU"/>
        </w:rPr>
        <w:t>(</w:t>
      </w:r>
      <w:r w:rsidRPr="00ED5AD3">
        <w:rPr>
          <w:rFonts w:eastAsia="Times New Roman" w:cs="Arial"/>
          <w:color w:val="000000"/>
          <w:lang w:val="en-US"/>
        </w:rPr>
        <w:t>EAS</w:t>
      </w:r>
      <w:r w:rsidRPr="00ED5AD3">
        <w:rPr>
          <w:rFonts w:eastAsia="Times New Roman" w:cs="Arial"/>
          <w:color w:val="000000"/>
          <w:lang w:val="ru-RU"/>
        </w:rPr>
        <w:t xml:space="preserve">; </w:t>
      </w:r>
      <w:r w:rsidRPr="00ED5AD3">
        <w:rPr>
          <w:rFonts w:eastAsia="Times New Roman" w:cs="Arial"/>
          <w:color w:val="000000"/>
          <w:lang w:eastAsia="bg-BG"/>
        </w:rPr>
        <w:t>1998); около 80% от</w:t>
      </w:r>
      <w:r w:rsidRPr="00ED5AD3">
        <w:rPr>
          <w:rFonts w:eastAsia="Times New Roman" w:cs="Arial"/>
          <w:color w:val="000000"/>
          <w:lang w:val="ru-RU" w:eastAsia="bg-BG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пациентите на 10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са достигнали желаните стойности на холестерол в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 (&lt; 3 </w:t>
      </w:r>
      <w:r w:rsidRPr="00ED5AD3">
        <w:rPr>
          <w:rFonts w:eastAsia="Times New Roman" w:cs="Arial"/>
          <w:color w:val="000000"/>
          <w:lang w:val="en-US"/>
        </w:rPr>
        <w:t>mmol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според </w:t>
      </w:r>
      <w:r w:rsidRPr="00ED5AD3">
        <w:rPr>
          <w:rFonts w:eastAsia="Times New Roman" w:cs="Arial"/>
          <w:color w:val="000000"/>
          <w:lang w:val="en-US"/>
        </w:rPr>
        <w:t>EAS</w:t>
      </w:r>
      <w:r w:rsidRPr="00ED5AD3">
        <w:rPr>
          <w:rFonts w:eastAsia="Times New Roman" w:cs="Arial"/>
          <w:color w:val="000000"/>
          <w:lang w:val="ru-RU"/>
        </w:rPr>
        <w:t>.</w:t>
      </w:r>
    </w:p>
    <w:p w14:paraId="29251C57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714B39" w14:textId="5D2680B9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едно мащабно проучване с форсирано титриране на дозата, 435 пациенти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са лекувани с 20 </w:t>
      </w:r>
      <w:r w:rsidRPr="00ED5AD3">
        <w:rPr>
          <w:rFonts w:eastAsia="Times New Roman" w:cs="Arial"/>
          <w:i/>
          <w:iCs/>
          <w:color w:val="000000"/>
          <w:lang w:val="en-US"/>
        </w:rPr>
        <w:t>mg</w:t>
      </w:r>
      <w:r w:rsidRPr="00ED5AD3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ED5AD3">
        <w:rPr>
          <w:rFonts w:eastAsia="Times New Roman" w:cs="Arial"/>
          <w:i/>
          <w:iCs/>
          <w:color w:val="000000"/>
          <w:lang w:eastAsia="bg-BG"/>
        </w:rPr>
        <w:t>до</w:t>
      </w:r>
      <w:r w:rsidRPr="00ED5AD3">
        <w:rPr>
          <w:rFonts w:eastAsia="Times New Roman" w:cs="Arial"/>
          <w:color w:val="000000"/>
          <w:lang w:eastAsia="bg-BG"/>
        </w:rPr>
        <w:t xml:space="preserve"> 80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. </w:t>
      </w:r>
      <w:r w:rsidRPr="00ED5AD3">
        <w:rPr>
          <w:rFonts w:eastAsia="Times New Roman" w:cs="Arial"/>
          <w:color w:val="000000"/>
          <w:lang w:eastAsia="bg-BG"/>
        </w:rPr>
        <w:t xml:space="preserve">Всички дозировки показват положителен резултат върху липидните показатели и лечение до постигане на целта. След достигане на дневна доза от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(12-седмично лечение),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намалява с 53 %. 33 % от пациентите достигат стойностите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според </w:t>
      </w:r>
      <w:r w:rsidRPr="00ED5AD3">
        <w:rPr>
          <w:rFonts w:eastAsia="Times New Roman" w:cs="Arial"/>
          <w:color w:val="000000"/>
          <w:lang w:val="en-US"/>
        </w:rPr>
        <w:t>EAS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(&lt;3 </w:t>
      </w:r>
      <w:proofErr w:type="spellStart"/>
      <w:r w:rsidRPr="00ED5AD3">
        <w:rPr>
          <w:rFonts w:eastAsia="Times New Roman" w:cs="Arial"/>
          <w:color w:val="000000"/>
          <w:lang w:val="en-US"/>
        </w:rPr>
        <w:t>tnmol</w:t>
      </w:r>
      <w:proofErr w:type="spellEnd"/>
      <w:r w:rsidRPr="00ED5AD3">
        <w:rPr>
          <w:rFonts w:eastAsia="Times New Roman" w:cs="Arial"/>
          <w:color w:val="000000"/>
          <w:lang w:val="ru-RU"/>
        </w:rPr>
        <w:t>/1).</w:t>
      </w:r>
    </w:p>
    <w:p w14:paraId="365F984F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едно отворено проучване с форсирано титриране на дозата при 42 пациенти (вкл. 8 педиатрични)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са отчетени резултатите от </w:t>
      </w:r>
      <w:r w:rsidRPr="00ED5AD3">
        <w:rPr>
          <w:rFonts w:eastAsia="Times New Roman" w:cs="Arial"/>
          <w:color w:val="000000"/>
          <w:lang w:eastAsia="bg-BG"/>
        </w:rPr>
        <w:lastRenderedPageBreak/>
        <w:t xml:space="preserve">приемане на 20 - 40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Като цяло в групата средното понижение на в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 xml:space="preserve">- </w:t>
      </w:r>
      <w:r w:rsidRPr="00ED5AD3">
        <w:rPr>
          <w:rFonts w:eastAsia="Times New Roman" w:cs="Arial"/>
          <w:color w:val="000000"/>
          <w:lang w:eastAsia="bg-BG"/>
        </w:rPr>
        <w:t>холестерола е 22%.</w:t>
      </w:r>
    </w:p>
    <w:p w14:paraId="5F0FA7BD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62D6EF" w14:textId="0FBCF500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При клинични изпитвания с ограничен брой пациенти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показва адитивна ефикасност при намаляване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когато е приеман в комбинация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 увеличаване на нивото на 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-холестерол, в комбинация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ниацин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(вж. точка 4.4).</w:t>
      </w:r>
    </w:p>
    <w:p w14:paraId="5FAB0140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DC4632" w14:textId="76A2D3F9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едно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двойносляпо, плацебо-контролирано проучване </w:t>
      </w:r>
      <w:r w:rsidRPr="00ED5AD3">
        <w:rPr>
          <w:rFonts w:eastAsia="Times New Roman" w:cs="Arial"/>
          <w:color w:val="000000"/>
          <w:lang w:val="ru-RU"/>
        </w:rPr>
        <w:t>(</w:t>
      </w:r>
      <w:r w:rsidRPr="00ED5AD3">
        <w:rPr>
          <w:rFonts w:eastAsia="Times New Roman" w:cs="Arial"/>
          <w:color w:val="000000"/>
          <w:lang w:val="en-US"/>
        </w:rPr>
        <w:t>METEOR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984 пациента на възраст между 45 и 70 години с нисък риск за исхемична болест на сърцето (дефиниран като </w:t>
      </w:r>
      <w:r w:rsidRPr="00ED5AD3">
        <w:rPr>
          <w:rFonts w:eastAsia="Times New Roman" w:cs="Arial"/>
          <w:color w:val="000000"/>
          <w:lang w:val="en-US"/>
        </w:rPr>
        <w:t>Framingham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риск &lt; 10% за 10 години), със среден в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 xml:space="preserve">- </w:t>
      </w:r>
      <w:r w:rsidRPr="00ED5AD3">
        <w:rPr>
          <w:rFonts w:eastAsia="Times New Roman" w:cs="Arial"/>
          <w:color w:val="000000"/>
          <w:lang w:eastAsia="bg-BG"/>
        </w:rPr>
        <w:t xml:space="preserve">холестерол </w:t>
      </w:r>
      <w:r w:rsidRPr="00ED5AD3">
        <w:rPr>
          <w:rFonts w:eastAsia="Times New Roman" w:cs="Arial"/>
          <w:color w:val="000000"/>
          <w:lang w:val="ru-RU"/>
        </w:rPr>
        <w:t>4,0</w:t>
      </w:r>
      <w:r w:rsidRPr="00ED5AD3">
        <w:rPr>
          <w:rFonts w:eastAsia="Times New Roman" w:cs="Arial"/>
          <w:color w:val="000000"/>
          <w:lang w:val="en-US"/>
        </w:rPr>
        <w:t>mmol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(154,5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но със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субклинична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атеросклероза, установена чрез измерване на дебелината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каротидната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интима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медия </w:t>
      </w:r>
      <w:r w:rsidRPr="00ED5AD3">
        <w:rPr>
          <w:rFonts w:eastAsia="Times New Roman" w:cs="Arial"/>
          <w:color w:val="000000"/>
          <w:lang w:val="ru-RU"/>
        </w:rPr>
        <w:t>(</w:t>
      </w:r>
      <w:r w:rsidRPr="00ED5AD3">
        <w:rPr>
          <w:rFonts w:eastAsia="Times New Roman" w:cs="Arial"/>
          <w:color w:val="000000"/>
          <w:lang w:val="en-US"/>
        </w:rPr>
        <w:t>Carotid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Intima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Media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Thickness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 xml:space="preserve">са били рандомизирани на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веднъж дневно или плацебо за 2 години.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значително забави прогресията до максималната стойност на </w:t>
      </w:r>
      <w:r w:rsidRPr="00ED5AD3">
        <w:rPr>
          <w:rFonts w:eastAsia="Times New Roman" w:cs="Arial"/>
          <w:color w:val="000000"/>
          <w:lang w:val="en-US"/>
        </w:rPr>
        <w:t>CIMT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на всички 12 места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каротидните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артерии, в </w:t>
      </w:r>
      <w:r w:rsidRPr="00ED5AD3">
        <w:rPr>
          <w:rFonts w:eastAsia="Times New Roman" w:cs="Arial"/>
          <w:i/>
          <w:iCs/>
          <w:color w:val="000000"/>
          <w:lang w:eastAsia="bg-BG"/>
        </w:rPr>
        <w:t>сравнение с</w:t>
      </w:r>
      <w:r w:rsidRPr="00ED5AD3">
        <w:rPr>
          <w:rFonts w:eastAsia="Times New Roman" w:cs="Arial"/>
          <w:color w:val="000000"/>
          <w:lang w:eastAsia="bg-BG"/>
        </w:rPr>
        <w:t xml:space="preserve"> плацебо -0,0145 </w:t>
      </w:r>
      <w:r w:rsidRPr="00ED5AD3">
        <w:rPr>
          <w:rFonts w:eastAsia="Times New Roman" w:cs="Arial"/>
          <w:color w:val="000000"/>
          <w:lang w:val="en-US"/>
        </w:rPr>
        <w:t>mm</w:t>
      </w:r>
      <w:r w:rsidRPr="00ED5AD3">
        <w:rPr>
          <w:rFonts w:eastAsia="Times New Roman" w:cs="Arial"/>
          <w:color w:val="000000"/>
          <w:lang w:eastAsia="bg-BG"/>
        </w:rPr>
        <w:t xml:space="preserve">/година [95% доверителен интервал - 0,0196, -0,0093; р&lt; 0,0001]. Промяната спрямо изходните стойности за групата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-0,0014 </w:t>
      </w:r>
      <w:r w:rsidRPr="00ED5AD3">
        <w:rPr>
          <w:rFonts w:eastAsia="Times New Roman" w:cs="Arial"/>
          <w:color w:val="000000"/>
          <w:lang w:val="en-US"/>
        </w:rPr>
        <w:t>mm</w:t>
      </w:r>
      <w:r w:rsidRPr="00ED5AD3">
        <w:rPr>
          <w:rFonts w:eastAsia="Times New Roman" w:cs="Arial"/>
          <w:color w:val="000000"/>
          <w:lang w:eastAsia="bg-BG"/>
        </w:rPr>
        <w:t>/година (-0,12%/година {</w:t>
      </w:r>
      <w:proofErr w:type="spellStart"/>
      <w:r w:rsidRPr="00ED5AD3">
        <w:rPr>
          <w:rFonts w:eastAsia="Times New Roman" w:cs="Arial"/>
          <w:color w:val="000000"/>
          <w:lang w:eastAsia="bg-BG"/>
        </w:rPr>
        <w:t>несигнификантно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}), в сравнение с групата на плацебо с прогресия от +0,0131 </w:t>
      </w:r>
      <w:r w:rsidRPr="00ED5AD3">
        <w:rPr>
          <w:rFonts w:eastAsia="Times New Roman" w:cs="Arial"/>
          <w:color w:val="000000"/>
          <w:lang w:val="en-US"/>
        </w:rPr>
        <w:t>mm</w:t>
      </w:r>
      <w:r w:rsidRPr="00ED5AD3">
        <w:rPr>
          <w:rFonts w:eastAsia="Times New Roman" w:cs="Arial"/>
          <w:color w:val="000000"/>
          <w:lang w:eastAsia="bg-BG"/>
        </w:rPr>
        <w:t xml:space="preserve">/година (1,12%/година {р &lt; 0,0001}). Не е демонстрирана директна взаимовръзка между понижението на С1МТ и понижения риск от сърдечносъдови събития. Популацията в проучването </w:t>
      </w:r>
      <w:r w:rsidRPr="00ED5AD3">
        <w:rPr>
          <w:rFonts w:eastAsia="Times New Roman" w:cs="Arial"/>
          <w:color w:val="000000"/>
          <w:lang w:val="en-US"/>
        </w:rPr>
        <w:t>METEOR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е с нисък риск от исхемична болест на сърцето и не е представителна за таргетната популация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. </w:t>
      </w:r>
      <w:r w:rsidRPr="00ED5AD3">
        <w:rPr>
          <w:rFonts w:eastAsia="Times New Roman" w:cs="Arial"/>
          <w:color w:val="000000"/>
          <w:lang w:eastAsia="bg-BG"/>
        </w:rPr>
        <w:t xml:space="preserve">Дозировката от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трябва да се предписва само на пациенти с тежка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>, с висок сърдечносъдов риск (вж. точка 4.2).</w:t>
      </w:r>
    </w:p>
    <w:p w14:paraId="63379770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7DCEEC" w14:textId="3E5BCF9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Обосновка за Приложението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за Първична Профилактика: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Интервенционално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Проучване за Оценка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</w:t>
      </w:r>
      <w:r w:rsidRPr="00ED5AD3">
        <w:rPr>
          <w:rFonts w:eastAsia="Times New Roman" w:cs="Arial"/>
          <w:color w:val="000000"/>
          <w:lang w:val="ru-RU"/>
        </w:rPr>
        <w:t>(</w:t>
      </w:r>
      <w:r w:rsidRPr="00ED5AD3">
        <w:rPr>
          <w:rFonts w:eastAsia="Times New Roman" w:cs="Arial"/>
          <w:color w:val="000000"/>
          <w:lang w:val="en-US"/>
        </w:rPr>
        <w:t>JUPITER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е изследван ефектът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върху появата на големи атеросклеротични, сърдечносъдови инциденти при 17 802 мъже (^ 50 години) и жени (≥60 години).</w:t>
      </w:r>
    </w:p>
    <w:p w14:paraId="7477F6A4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>Разделени на случаен принцип, участниците в изследването приемали плацебо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 xml:space="preserve">=8901) или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по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веднъж на ден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val="ru-RU"/>
        </w:rPr>
        <w:t>=</w:t>
      </w:r>
      <w:r w:rsidRPr="00ED5AD3">
        <w:rPr>
          <w:rFonts w:eastAsia="Times New Roman" w:cs="Arial"/>
          <w:color w:val="000000"/>
          <w:lang w:eastAsia="bg-BG"/>
        </w:rPr>
        <w:t>8901) в продължение на 2 години.</w:t>
      </w:r>
    </w:p>
    <w:p w14:paraId="393DF9A6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сравнение с плацебо групата, при групата, приемаща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концентрацията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 xml:space="preserve">- </w:t>
      </w:r>
      <w:r w:rsidRPr="00ED5AD3">
        <w:rPr>
          <w:rFonts w:eastAsia="Times New Roman" w:cs="Arial"/>
          <w:color w:val="000000"/>
          <w:lang w:eastAsia="bg-BG"/>
        </w:rPr>
        <w:t>холестерола е намаляла с 45% (р&lt;0.001).</w:t>
      </w:r>
    </w:p>
    <w:p w14:paraId="79E57E1A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9F29C0" w14:textId="7423A3DA" w:rsidR="00ED5AD3" w:rsidRPr="00692BD9" w:rsidRDefault="00ED5AD3" w:rsidP="00ED5AD3">
      <w:pPr>
        <w:spacing w:line="240" w:lineRule="auto"/>
        <w:rPr>
          <w:rFonts w:eastAsia="Times New Roman" w:cs="Arial"/>
          <w:lang w:val="ru-RU"/>
        </w:rPr>
      </w:pPr>
      <w:r w:rsidRPr="00ED5AD3">
        <w:rPr>
          <w:rFonts w:eastAsia="Times New Roman" w:cs="Arial"/>
          <w:color w:val="000000"/>
          <w:lang w:eastAsia="bg-BG"/>
        </w:rPr>
        <w:t xml:space="preserve">В </w:t>
      </w:r>
      <w:r w:rsidRPr="00ED5AD3">
        <w:rPr>
          <w:rFonts w:eastAsia="Times New Roman" w:cs="Arial"/>
          <w:color w:val="000000"/>
          <w:lang w:val="en-US"/>
        </w:rPr>
        <w:t>post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hoc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анализ на високо-рисковата подгрупа с изходен риск оценен по </w:t>
      </w:r>
      <w:r w:rsidRPr="00ED5AD3">
        <w:rPr>
          <w:rFonts w:eastAsia="Times New Roman" w:cs="Arial"/>
          <w:color w:val="000000"/>
          <w:lang w:val="en-US"/>
        </w:rPr>
        <w:t>Framingham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&gt;20% (1558 изследвани) се наблюдава значително намаляване на комбинираната крайна цел включваща смъртни случаи в следствие на сърдечносъдова смърт, инсулт и инфаркт на миокарда (р=0.028) при лечение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 сравнение с плацебо. Абсолютното намаление на риска за 1000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пациенто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-години беше 8.8. При тази високорискова група общата смъртност остава непроменена (р=0,193 В </w:t>
      </w:r>
      <w:r w:rsidRPr="00ED5AD3">
        <w:rPr>
          <w:rFonts w:eastAsia="Times New Roman" w:cs="Arial"/>
          <w:color w:val="000000"/>
          <w:lang w:val="en-US"/>
        </w:rPr>
        <w:t>post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hoc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анализ на високо-рисковата подгрупа при субекти (общ брой 9302) с изходен </w:t>
      </w:r>
      <w:r w:rsidRPr="00ED5AD3">
        <w:rPr>
          <w:rFonts w:eastAsia="Times New Roman" w:cs="Arial"/>
          <w:color w:val="000000"/>
          <w:lang w:val="en-US"/>
        </w:rPr>
        <w:t>SCORE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риск ≥5% (екстраполиран, с цел включване на лица над 65- годишна възраст) показва значително намаляване на комбинираната крайна цел включваща сърдечносъдова смърт, инсулт и инфаркт на миокарда (р=0,0003) при лечение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 сравнение с плацебо. Абсолютното намаляване на риска за честотата на събитията е 5,1 за 1000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пациенто</w:t>
      </w:r>
      <w:proofErr w:type="spellEnd"/>
      <w:r w:rsidRPr="00ED5AD3">
        <w:rPr>
          <w:rFonts w:eastAsia="Times New Roman" w:cs="Arial"/>
          <w:color w:val="000000"/>
          <w:lang w:eastAsia="bg-BG"/>
        </w:rPr>
        <w:t>-години. При тази високорискова група общата смъртност остана непроменена</w:t>
      </w:r>
      <w:r w:rsidRPr="00692BD9">
        <w:rPr>
          <w:rFonts w:eastAsia="Times New Roman" w:cs="Arial"/>
          <w:color w:val="000000"/>
          <w:lang w:val="ru-RU" w:eastAsia="bg-BG"/>
        </w:rPr>
        <w:t>.</w:t>
      </w:r>
    </w:p>
    <w:p w14:paraId="0A11796E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При изследването </w:t>
      </w:r>
      <w:r w:rsidRPr="00ED5AD3">
        <w:rPr>
          <w:rFonts w:eastAsia="Times New Roman" w:cs="Arial"/>
          <w:color w:val="000000"/>
          <w:lang w:val="en-US"/>
        </w:rPr>
        <w:t>JUPITER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6,6% от участниците, третирани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 6,2% от</w:t>
      </w:r>
    </w:p>
    <w:p w14:paraId="6B97E812" w14:textId="5B6C19CC" w:rsidR="00ED5AD3" w:rsidRPr="00ED5AD3" w:rsidRDefault="00ED5AD3" w:rsidP="00ED5AD3">
      <w:pPr>
        <w:spacing w:line="240" w:lineRule="auto"/>
        <w:rPr>
          <w:rFonts w:eastAsia="Times New Roman" w:cs="Arial"/>
          <w:lang w:val="ru-RU"/>
        </w:rPr>
      </w:pPr>
      <w:r w:rsidRPr="00ED5AD3">
        <w:rPr>
          <w:rFonts w:eastAsia="Times New Roman" w:cs="Arial"/>
          <w:color w:val="000000"/>
          <w:lang w:eastAsia="bg-BG"/>
        </w:rPr>
        <w:t>третираните плацебо са прекъснали изследването, поради възникване на нежелани реакции.</w:t>
      </w:r>
    </w:p>
    <w:p w14:paraId="743CBC11" w14:textId="1651DE81" w:rsidR="00ED5AD3" w:rsidRPr="00ED5AD3" w:rsidRDefault="00ED5AD3" w:rsidP="005E44CF">
      <w:pPr>
        <w:rPr>
          <w:rFonts w:cs="Arial"/>
        </w:rPr>
      </w:pPr>
    </w:p>
    <w:p w14:paraId="0785E263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lastRenderedPageBreak/>
        <w:t xml:space="preserve">Най-честите случаи на нежелани реакции, при които е прекъснато лечението са били: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(0,3%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0,2% плацебо), коремни болки (0,03%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0,02% плацебо) и обрив (0,02%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0,03% плацебо). Най-честите оплаквания с честота по-висока или равна на тази при плацебо са инфекция на пикочните пътища (8,7%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8,6% плацебо),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назофарингит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(7,6%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7,2% плацебо), болки в гърба (7,6%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6.9% плацебо) 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(7,6%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>, 6,6% плацебо).</w:t>
      </w:r>
    </w:p>
    <w:p w14:paraId="3075E794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4AA0D2" w14:textId="70776BF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68085C3F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едно двойносляпо, рандомизирано,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мултицентрово</w:t>
      </w:r>
      <w:proofErr w:type="spellEnd"/>
      <w:r w:rsidRPr="00ED5AD3">
        <w:rPr>
          <w:rFonts w:eastAsia="Times New Roman" w:cs="Arial"/>
          <w:color w:val="000000"/>
          <w:lang w:eastAsia="bg-BG"/>
        </w:rPr>
        <w:t>, плацебо-контролирано, 12-седмично проучване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=176,97 от мъжки пол и 79 от женски пол), последвано от 40-седмично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 xml:space="preserve">=173,96 от мъжки пол и 77 от женски пол), открито, фаза титриране на дозата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пациенти на възраст 10 до 17 години (стадий </w:t>
      </w:r>
      <w:r w:rsidRPr="00ED5AD3">
        <w:rPr>
          <w:rFonts w:eastAsia="Times New Roman" w:cs="Arial"/>
          <w:color w:val="000000"/>
          <w:lang w:val="en-US"/>
        </w:rPr>
        <w:t>II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IV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по Танер, момичета поне 1 година след началото на менструацията) с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са получавали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5,10 или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или плацебо дневно за 12 седмици и след това всички са получавали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дневно за 40 седмици. В началото на проучването приблизително 30% от пациентите бяха 10 до 13 годишни и приблизително 17%, 18%, 40% и 25% са били в стадии </w:t>
      </w:r>
      <w:r w:rsidRPr="00ED5AD3">
        <w:rPr>
          <w:rFonts w:eastAsia="Times New Roman" w:cs="Arial"/>
          <w:color w:val="000000"/>
          <w:lang w:val="en-US"/>
        </w:rPr>
        <w:t>II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III</w:t>
      </w:r>
      <w:r w:rsidRPr="00ED5AD3">
        <w:rPr>
          <w:rFonts w:eastAsia="Times New Roman" w:cs="Arial"/>
          <w:color w:val="000000"/>
          <w:lang w:eastAsia="bg-BG"/>
        </w:rPr>
        <w:t>, IV и V по Танер, съответно.</w:t>
      </w:r>
    </w:p>
    <w:p w14:paraId="1B4FB29F" w14:textId="77777777" w:rsidR="00ED5AD3" w:rsidRPr="00692BD9" w:rsidRDefault="00ED5AD3" w:rsidP="00ED5AD3">
      <w:pPr>
        <w:spacing w:line="240" w:lineRule="auto"/>
        <w:rPr>
          <w:rFonts w:eastAsia="Times New Roman" w:cs="Arial"/>
          <w:color w:val="000000"/>
          <w:lang w:val="ru-RU"/>
        </w:rPr>
      </w:pPr>
    </w:p>
    <w:p w14:paraId="23C7D36D" w14:textId="3641F48E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-холестеролът </w:t>
      </w:r>
      <w:r w:rsidRPr="00ED5AD3">
        <w:rPr>
          <w:rFonts w:eastAsia="Times New Roman" w:cs="Arial"/>
          <w:i/>
          <w:iCs/>
          <w:color w:val="000000"/>
          <w:lang w:eastAsia="bg-BG"/>
        </w:rPr>
        <w:t>е бил</w:t>
      </w:r>
      <w:r w:rsidRPr="00ED5AD3">
        <w:rPr>
          <w:rFonts w:eastAsia="Times New Roman" w:cs="Arial"/>
          <w:color w:val="000000"/>
          <w:lang w:eastAsia="bg-BG"/>
        </w:rPr>
        <w:t xml:space="preserve"> понижен 38,3%, 44,6% и 50,0% от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5,10 и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>съответно, в сравнение с 0,7% за плацебо.</w:t>
      </w:r>
    </w:p>
    <w:p w14:paraId="7A8135E5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06BDB6" w14:textId="5B8438BB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В края на 40-седмичното, открито, целящо титруване, проучване, дозиране до максимум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веднъж дневно, 70 от 173 пациенти (40,5)% са постигнали целта за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 от по-малко от 2,8 </w:t>
      </w:r>
      <w:r w:rsidRPr="00ED5AD3">
        <w:rPr>
          <w:rFonts w:eastAsia="Times New Roman" w:cs="Arial"/>
          <w:color w:val="000000"/>
          <w:lang w:val="en-US"/>
        </w:rPr>
        <w:t>mmol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>.</w:t>
      </w:r>
    </w:p>
    <w:p w14:paraId="21502E25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A8C309" w14:textId="49FD9BD6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След 52 седмици на изследваното лечение, не е установен никакъв ефект върху растежа, теглото, </w:t>
      </w:r>
      <w:r w:rsidRPr="00ED5AD3">
        <w:rPr>
          <w:rFonts w:eastAsia="Times New Roman" w:cs="Arial"/>
          <w:color w:val="000000"/>
          <w:lang w:val="en-US"/>
        </w:rPr>
        <w:t>BMI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или половото съзряване (вж. точка 4.4). Това проучване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=176) не е било предназначено за сравняване на редки нежелани лекарствени реакции.</w:t>
      </w:r>
    </w:p>
    <w:p w14:paraId="5594E303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4F1AE4" w14:textId="1C070D45" w:rsidR="00ED5AD3" w:rsidRPr="00ED5AD3" w:rsidRDefault="00ED5AD3" w:rsidP="00ED5AD3">
      <w:pPr>
        <w:spacing w:line="240" w:lineRule="auto"/>
        <w:rPr>
          <w:rFonts w:eastAsia="Times New Roman" w:cs="Arial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проучван също в едно 2-годишно открито клинично проучване с титриране на дозата до желаната при 198 деца с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на възраст 6 до 17 години (88 момчета и 110 момичета, стадий по Танер &lt;</w:t>
      </w:r>
      <w:r w:rsidRPr="00ED5AD3">
        <w:rPr>
          <w:rFonts w:eastAsia="Times New Roman" w:cs="Arial"/>
          <w:color w:val="000000"/>
          <w:lang w:val="en-US"/>
        </w:rPr>
        <w:t>II</w:t>
      </w:r>
      <w:r w:rsidRPr="00ED5AD3">
        <w:rPr>
          <w:rFonts w:eastAsia="Times New Roman" w:cs="Arial"/>
          <w:color w:val="000000"/>
          <w:lang w:eastAsia="bg-BG"/>
        </w:rPr>
        <w:t>-</w:t>
      </w:r>
      <w:r w:rsidRPr="00ED5AD3">
        <w:rPr>
          <w:rFonts w:eastAsia="Times New Roman" w:cs="Arial"/>
          <w:color w:val="000000"/>
          <w:lang w:val="en-US"/>
        </w:rPr>
        <w:t>V</w:t>
      </w:r>
      <w:r w:rsidRPr="00ED5AD3">
        <w:rPr>
          <w:rFonts w:eastAsia="Times New Roman" w:cs="Arial"/>
          <w:color w:val="000000"/>
          <w:lang w:eastAsia="bg-BG"/>
        </w:rPr>
        <w:t xml:space="preserve">). Началната доза при всички пациенти е 5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веднъж дневно. При пациентите на възраст 6 до 9 години (п=64) дозата може да се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титрира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до максимална доза 10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веднъж дневно, а при пациенти на възраст 10 до 17 години (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 xml:space="preserve">=134) до максимална доза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веднъж дневно.</w:t>
      </w:r>
    </w:p>
    <w:p w14:paraId="633A6E16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C788E0" w14:textId="4BD5C6DA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След 24 месеца на лечение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LS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спрямо изходната стойност е -43% (изходно ниво: 236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месец 24: 133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). </w:t>
      </w:r>
      <w:r w:rsidRPr="00ED5AD3">
        <w:rPr>
          <w:rFonts w:eastAsia="Times New Roman" w:cs="Arial"/>
          <w:color w:val="000000"/>
          <w:lang w:eastAsia="bg-BG"/>
        </w:rPr>
        <w:t xml:space="preserve">За всяка възрастова група, </w:t>
      </w:r>
      <w:r w:rsidRPr="00ED5AD3">
        <w:rPr>
          <w:rFonts w:eastAsia="Times New Roman" w:cs="Arial"/>
          <w:color w:val="000000"/>
          <w:lang w:val="en-US"/>
        </w:rPr>
        <w:t>LS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на средния процент на намаление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спрямо изходната стойност е -43% (изходно ниво: 234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месец 24:124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-45% (изходно ниво: 234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124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), </w:t>
      </w:r>
      <w:r w:rsidRPr="00ED5AD3">
        <w:rPr>
          <w:rFonts w:eastAsia="Times New Roman" w:cs="Arial"/>
          <w:color w:val="000000"/>
          <w:lang w:eastAsia="bg-BG"/>
        </w:rPr>
        <w:t xml:space="preserve">и -35% (изходно ниво: 241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месец 24:153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>във възрастовите групи 6 до &lt;10,10 до &lt;14 и 14 до &lt;18 съответно.</w:t>
      </w:r>
    </w:p>
    <w:p w14:paraId="78363727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DAD05D" w14:textId="539E3A7A" w:rsidR="00ED5AD3" w:rsidRPr="00ED5AD3" w:rsidRDefault="00ED5AD3" w:rsidP="00ED5AD3">
      <w:pPr>
        <w:spacing w:line="240" w:lineRule="auto"/>
        <w:rPr>
          <w:rFonts w:eastAsia="Times New Roman" w:cs="Arial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5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10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и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достигат също статистически значими средни промени спрямо изходно ниво за следните вторични показатели на липидите 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липопротеините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: 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ТС, </w:t>
      </w:r>
      <w:r w:rsidRPr="00ED5AD3">
        <w:rPr>
          <w:rFonts w:eastAsia="Times New Roman" w:cs="Arial"/>
          <w:color w:val="000000"/>
          <w:lang w:val="en-US"/>
        </w:rPr>
        <w:t>He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,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TC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TG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не 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АроВ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АроВ</w:t>
      </w:r>
      <w:proofErr w:type="spellEnd"/>
      <w:r w:rsidRPr="00ED5AD3">
        <w:rPr>
          <w:rFonts w:eastAsia="Times New Roman" w:cs="Arial"/>
          <w:color w:val="000000"/>
          <w:lang w:eastAsia="bg-BG"/>
        </w:rPr>
        <w:t>/АроА-1, Всяка от тези промени е в посока на подобрен липиден отговор и се поддържа в продължение на 2 години.</w:t>
      </w:r>
    </w:p>
    <w:p w14:paraId="2F7D51D8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787B91" w14:textId="52EED564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lastRenderedPageBreak/>
        <w:t>Не се установява ефект върху растежа, теглото, ИТМ или половото съзряване след 24 месеца на лечение (</w:t>
      </w:r>
      <w:proofErr w:type="spellStart"/>
      <w:r w:rsidRPr="00ED5AD3">
        <w:rPr>
          <w:rFonts w:eastAsia="Times New Roman" w:cs="Arial"/>
          <w:color w:val="000000"/>
          <w:lang w:eastAsia="bg-BG"/>
        </w:rPr>
        <w:t>вж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точка 4.4).</w:t>
      </w:r>
    </w:p>
    <w:p w14:paraId="6ADFDDB6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037F1D" w14:textId="77777777" w:rsidR="00ED5AD3" w:rsidRPr="00ED5AD3" w:rsidRDefault="00ED5AD3" w:rsidP="00ED5AD3">
      <w:pPr>
        <w:rPr>
          <w:rFonts w:eastAsia="Times New Roman" w:cs="Arial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изследван в двойносляпо, рандомизирано,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мултицентрово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плацебо- контролирано кръстосано проучване с доза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веднъж дневно срещу плацебо, при 14 деца и юноши (на възраст от 6 до 17 години)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Проучването включва активна 4-седмична въвеждаща фаза с диета, по време на която пациентите са лекувани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10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>кръстосана фаза, която се състои от 6-седмичен</w:t>
      </w:r>
      <w:r w:rsidRPr="00ED5AD3">
        <w:rPr>
          <w:rFonts w:eastAsia="Times New Roman" w:cs="Arial"/>
          <w:color w:val="000000"/>
          <w:lang w:val="ru-RU" w:eastAsia="bg-BG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период на лечение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предшестван или следван от 6-седмичен период на плацебо и 12-седмична поддържаща фаза, по време на която всички пациенти са били лекувани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Пациентите, които са започнали проучването на терапия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афереза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я продължават по време на цялото проучване.</w:t>
      </w:r>
    </w:p>
    <w:p w14:paraId="0F9365DF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30375E" w14:textId="12422BB4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Наблюдавана е статистически значима (р=0.005) редукция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(22,3%, 85,4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dL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или 2,2 </w:t>
      </w:r>
      <w:r w:rsidRPr="00ED5AD3">
        <w:rPr>
          <w:rFonts w:eastAsia="Times New Roman" w:cs="Arial"/>
          <w:color w:val="000000"/>
          <w:lang w:val="en-US"/>
        </w:rPr>
        <w:t>mmol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 xml:space="preserve">след 6 седмичното лечение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спрямо плацебо. Наблюдавана е статистически значима редукция на Общ-С (20,1%, р=0,003), </w:t>
      </w:r>
      <w:r w:rsidRPr="00ED5AD3">
        <w:rPr>
          <w:rFonts w:eastAsia="Times New Roman" w:cs="Arial"/>
          <w:color w:val="000000"/>
          <w:lang w:val="en-US"/>
        </w:rPr>
        <w:t>non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(22,9%, р=0,003) 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АроВ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(17,1%, </w:t>
      </w:r>
      <w:r w:rsidRPr="00ED5AD3">
        <w:rPr>
          <w:rFonts w:eastAsia="Times New Roman" w:cs="Arial"/>
          <w:color w:val="000000"/>
          <w:lang w:val="en-US"/>
        </w:rPr>
        <w:t>p</w:t>
      </w:r>
      <w:r w:rsidRPr="00ED5AD3">
        <w:rPr>
          <w:rFonts w:eastAsia="Times New Roman" w:cs="Arial"/>
          <w:color w:val="000000"/>
          <w:lang w:val="ru-RU"/>
        </w:rPr>
        <w:t xml:space="preserve">=0.024). </w:t>
      </w:r>
      <w:r w:rsidRPr="00ED5AD3">
        <w:rPr>
          <w:rFonts w:eastAsia="Times New Roman" w:cs="Arial"/>
          <w:color w:val="000000"/>
          <w:lang w:eastAsia="bg-BG"/>
        </w:rPr>
        <w:t xml:space="preserve">Редукция се наблюдава също при </w:t>
      </w:r>
      <w:r w:rsidRPr="00ED5AD3">
        <w:rPr>
          <w:rFonts w:eastAsia="Times New Roman" w:cs="Arial"/>
          <w:color w:val="000000"/>
          <w:lang w:val="en-US"/>
        </w:rPr>
        <w:t>TG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>Общ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non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, </w:t>
      </w:r>
      <w:r w:rsidRPr="00ED5AD3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АроВ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/АроА-1 след 6 седмичното лечение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спрямо плацебо.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Редукцияна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след 6 седмичното лечение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>, което е последвало 6 седмичен период на плацебо, е била поддържана повече от 12 седмици на продължително лечение.</w:t>
      </w:r>
    </w:p>
    <w:p w14:paraId="19C8D958" w14:textId="77777777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Един пациент е имал следваща редукция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(8,0%), Общ-С (6,7%) и </w:t>
      </w:r>
      <w:r w:rsidRPr="00ED5AD3">
        <w:rPr>
          <w:rFonts w:eastAsia="Times New Roman" w:cs="Arial"/>
          <w:color w:val="000000"/>
          <w:lang w:val="en-US"/>
        </w:rPr>
        <w:t>non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(7,4%), последваща 6 седмично лечение с 40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след повишаване на дозата.</w:t>
      </w:r>
    </w:p>
    <w:p w14:paraId="39918C3D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46CC0A" w14:textId="24B7C872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По време на разширено отворено лечение при 9 от тези пациенти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до 90 седмици редукцията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е поддържана в рамките на -12,1% до -21,3%.</w:t>
      </w:r>
    </w:p>
    <w:p w14:paraId="51DF7DFB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0E6D45" w14:textId="1FBDDD4C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При 7 пациенти (деца и юноши с отчетени резултати) (на възраст от 8 до 17 години)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при отвореното проучване с форсирано титриране (вж. по-горе), процентната редукция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(21,0%), Общ-С (19,2%) и </w:t>
      </w:r>
      <w:r w:rsidRPr="00ED5AD3">
        <w:rPr>
          <w:rFonts w:eastAsia="Times New Roman" w:cs="Arial"/>
          <w:color w:val="000000"/>
          <w:lang w:val="en-US"/>
        </w:rPr>
        <w:t>non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HDL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(21,0%) от изходната стойност след 6-седмично лечение с 20 </w:t>
      </w:r>
      <w:r w:rsidRPr="00ED5AD3">
        <w:rPr>
          <w:rFonts w:eastAsia="Times New Roman" w:cs="Arial"/>
          <w:color w:val="000000"/>
          <w:lang w:val="en-US"/>
        </w:rPr>
        <w:t>mg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била съвместима с тази, наблюдавана в споменатото преди проучване при деца и юноши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06504687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82B2C1" w14:textId="05F0EA11" w:rsidR="00ED5AD3" w:rsidRPr="00ED5AD3" w:rsidRDefault="00ED5AD3" w:rsidP="00ED5AD3">
      <w:pPr>
        <w:spacing w:line="240" w:lineRule="auto"/>
        <w:rPr>
          <w:rFonts w:eastAsia="Times New Roman"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Европейската агенция по лекарствата освобождава от задължението за предоставяне на резултатите от проучванията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при всички подгрупи от педиатричната популация за лечение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първично комбинирана (смесена)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дислипидемия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 за профилактика на сърдечно-съдовите събития (вж. точка 4.2 за информация относно употреба в педиатрията).</w:t>
      </w:r>
    </w:p>
    <w:p w14:paraId="5DD1BB86" w14:textId="50AE4CEF" w:rsidR="00ED5AD3" w:rsidRPr="005E44CF" w:rsidRDefault="00ED5AD3" w:rsidP="005E44CF"/>
    <w:p w14:paraId="346B622B" w14:textId="47D4B95A" w:rsidR="00875EEC" w:rsidRDefault="002C50EE" w:rsidP="005726E3">
      <w:pPr>
        <w:pStyle w:val="Heading2"/>
      </w:pPr>
      <w:r>
        <w:t>5.2. Фармакокинетични свойства</w:t>
      </w:r>
    </w:p>
    <w:p w14:paraId="46D78611" w14:textId="553F01E2" w:rsidR="00ED5AD3" w:rsidRDefault="00ED5AD3" w:rsidP="00ED5AD3"/>
    <w:p w14:paraId="3776073D" w14:textId="77777777" w:rsidR="00ED5AD3" w:rsidRPr="00ED5AD3" w:rsidRDefault="00ED5AD3" w:rsidP="00ED5AD3">
      <w:pPr>
        <w:pStyle w:val="Heading3"/>
        <w:rPr>
          <w:rFonts w:eastAsia="Times New Roman"/>
          <w:u w:val="single"/>
        </w:rPr>
      </w:pPr>
      <w:r w:rsidRPr="00ED5AD3">
        <w:rPr>
          <w:rFonts w:eastAsia="Times New Roman"/>
          <w:u w:val="single"/>
          <w:lang w:eastAsia="bg-BG"/>
        </w:rPr>
        <w:t>Абсорбция</w:t>
      </w:r>
    </w:p>
    <w:p w14:paraId="460086E7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>Максимални плазмени нива се достигат приблизително 5 часа след перорално приемане. Абсолютната бионаличност е приблизително 20%.</w:t>
      </w:r>
    </w:p>
    <w:p w14:paraId="38EDBB78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441A4C" w14:textId="2348BFAB" w:rsidR="00ED5AD3" w:rsidRPr="00ED5AD3" w:rsidRDefault="00ED5AD3" w:rsidP="00ED5AD3">
      <w:pPr>
        <w:pStyle w:val="Heading3"/>
        <w:rPr>
          <w:rFonts w:eastAsia="Times New Roman"/>
          <w:u w:val="single"/>
        </w:rPr>
      </w:pPr>
      <w:r w:rsidRPr="00ED5AD3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58B188EF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се поема основно от черният дроб, който е основното място на синтезиране на холестерола и клирънс на </w:t>
      </w:r>
      <w:r w:rsidRPr="00ED5AD3">
        <w:rPr>
          <w:rFonts w:eastAsia="Times New Roman" w:cs="Arial"/>
          <w:color w:val="000000"/>
          <w:lang w:val="en-US"/>
        </w:rPr>
        <w:t>LDL</w:t>
      </w:r>
      <w:r w:rsidRPr="00ED5AD3">
        <w:rPr>
          <w:rFonts w:eastAsia="Times New Roman" w:cs="Arial"/>
          <w:color w:val="000000"/>
          <w:lang w:eastAsia="bg-BG"/>
        </w:rPr>
        <w:t xml:space="preserve">-холестерола. Обемът на разпределение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приблизително </w:t>
      </w:r>
      <w:r w:rsidRPr="00ED5AD3">
        <w:rPr>
          <w:rFonts w:eastAsia="Times New Roman" w:cs="Arial"/>
          <w:color w:val="000000"/>
          <w:lang w:val="ru-RU"/>
        </w:rPr>
        <w:t>134</w:t>
      </w:r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val="ru-RU"/>
        </w:rPr>
        <w:t xml:space="preserve">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свързан с плазмените протеини, предимно с албумин, приблизително в 90%.</w:t>
      </w:r>
    </w:p>
    <w:p w14:paraId="64AEDC5D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DF22ED" w14:textId="5ECFCB15" w:rsidR="00ED5AD3" w:rsidRPr="00ED5AD3" w:rsidRDefault="00ED5AD3" w:rsidP="00ED5AD3">
      <w:pPr>
        <w:pStyle w:val="Heading3"/>
        <w:rPr>
          <w:rFonts w:eastAsia="Times New Roman"/>
          <w:u w:val="single"/>
        </w:rPr>
      </w:pPr>
      <w:r w:rsidRPr="00ED5AD3">
        <w:rPr>
          <w:rFonts w:eastAsia="Times New Roman"/>
          <w:u w:val="single"/>
          <w:lang w:eastAsia="bg-BG"/>
        </w:rPr>
        <w:t>Биотрансформация</w:t>
      </w:r>
    </w:p>
    <w:p w14:paraId="644B995D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Метаболизмът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ограничен (приблизително 10%). </w:t>
      </w:r>
      <w:r w:rsidRPr="00ED5AD3">
        <w:rPr>
          <w:rFonts w:eastAsia="Times New Roman" w:cs="Arial"/>
          <w:i/>
          <w:iCs/>
          <w:color w:val="000000"/>
          <w:lang w:val="en-US"/>
        </w:rPr>
        <w:t>In</w:t>
      </w:r>
      <w:r w:rsidRPr="00ED5AD3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ED5AD3">
        <w:rPr>
          <w:rFonts w:eastAsia="Times New Roman" w:cs="Arial"/>
          <w:i/>
          <w:iCs/>
          <w:color w:val="000000"/>
          <w:lang w:val="en-US"/>
        </w:rPr>
        <w:t>vitro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проучвания на метаболизма с използване на човешки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хепатоциги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показват, че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неподходящ субстрат за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Р450 обусловеният метаболизъм. </w:t>
      </w:r>
      <w:r w:rsidRPr="00ED5AD3">
        <w:rPr>
          <w:rFonts w:eastAsia="Times New Roman" w:cs="Arial"/>
          <w:color w:val="000000"/>
          <w:lang w:val="en-US"/>
        </w:rPr>
        <w:t>CYP</w:t>
      </w:r>
      <w:r w:rsidRPr="00ED5AD3">
        <w:rPr>
          <w:rFonts w:eastAsia="Times New Roman" w:cs="Arial"/>
          <w:color w:val="000000"/>
          <w:lang w:val="ru-RU"/>
        </w:rPr>
        <w:t>2</w:t>
      </w:r>
      <w:r w:rsidRPr="00ED5AD3">
        <w:rPr>
          <w:rFonts w:eastAsia="Times New Roman" w:cs="Arial"/>
          <w:color w:val="000000"/>
          <w:lang w:val="en-US"/>
        </w:rPr>
        <w:t>C</w:t>
      </w:r>
      <w:r w:rsidRPr="00ED5AD3">
        <w:rPr>
          <w:rFonts w:eastAsia="Times New Roman" w:cs="Arial"/>
          <w:color w:val="000000"/>
          <w:lang w:val="ru-RU"/>
        </w:rPr>
        <w:t xml:space="preserve">9 </w:t>
      </w:r>
      <w:r w:rsidRPr="00ED5AD3">
        <w:rPr>
          <w:rFonts w:eastAsia="Times New Roman" w:cs="Arial"/>
          <w:color w:val="000000"/>
          <w:lang w:eastAsia="bg-BG"/>
        </w:rPr>
        <w:t xml:space="preserve">е основният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изоензим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който участва в метаболизма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</w:t>
      </w:r>
      <w:r w:rsidRPr="00ED5AD3">
        <w:rPr>
          <w:rFonts w:eastAsia="Times New Roman" w:cs="Arial"/>
          <w:color w:val="000000"/>
          <w:lang w:val="en-US"/>
        </w:rPr>
        <w:t>a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2С19, ЗА4 и </w:t>
      </w:r>
      <w:r w:rsidRPr="00ED5AD3">
        <w:rPr>
          <w:rFonts w:eastAsia="Times New Roman" w:cs="Arial"/>
          <w:color w:val="000000"/>
          <w:lang w:val="ru-RU"/>
        </w:rPr>
        <w:t>2</w:t>
      </w:r>
      <w:r w:rsidRPr="00ED5AD3">
        <w:rPr>
          <w:rFonts w:eastAsia="Times New Roman" w:cs="Arial"/>
          <w:color w:val="000000"/>
          <w:lang w:val="en-US"/>
        </w:rPr>
        <w:t>D</w:t>
      </w:r>
      <w:r w:rsidRPr="00ED5AD3">
        <w:rPr>
          <w:rFonts w:eastAsia="Times New Roman" w:cs="Arial"/>
          <w:color w:val="000000"/>
          <w:lang w:val="ru-RU"/>
        </w:rPr>
        <w:t xml:space="preserve">6 </w:t>
      </w:r>
      <w:r w:rsidRPr="00ED5AD3">
        <w:rPr>
          <w:rFonts w:eastAsia="Times New Roman" w:cs="Arial"/>
          <w:color w:val="000000"/>
          <w:lang w:eastAsia="bg-BG"/>
        </w:rPr>
        <w:t>участват в по-малка степен.</w:t>
      </w:r>
    </w:p>
    <w:p w14:paraId="434778A0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Основните метаболити </w:t>
      </w:r>
      <w:r w:rsidRPr="00ED5AD3">
        <w:rPr>
          <w:rFonts w:eastAsia="Times New Roman" w:cs="Arial"/>
          <w:color w:val="000000"/>
          <w:lang w:val="en-US"/>
        </w:rPr>
        <w:t>ca</w:t>
      </w:r>
      <w:r w:rsidRPr="00ED5AD3">
        <w:rPr>
          <w:rFonts w:eastAsia="Times New Roman" w:cs="Arial"/>
          <w:color w:val="000000"/>
          <w:lang w:eastAsia="bg-BG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-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дезметил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лактон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-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дезметил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е около 50% по-малко активен в сравнение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докато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лактона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се счита за клинично неактивен.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представлява повече от 90% от активността на циркулиращия инхибитор на </w:t>
      </w:r>
      <w:r w:rsidRPr="00ED5AD3">
        <w:rPr>
          <w:rFonts w:eastAsia="Times New Roman" w:cs="Arial"/>
          <w:color w:val="000000"/>
          <w:lang w:val="en-US"/>
        </w:rPr>
        <w:t>HMG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CoA</w:t>
      </w:r>
      <w:r w:rsidRPr="00ED5AD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414FC2E5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EB64EC" w14:textId="133DB4DA" w:rsidR="00ED5AD3" w:rsidRPr="00ED5AD3" w:rsidRDefault="00ED5AD3" w:rsidP="00ED5AD3">
      <w:pPr>
        <w:pStyle w:val="Heading3"/>
        <w:rPr>
          <w:rFonts w:eastAsia="Times New Roman"/>
          <w:u w:val="single"/>
        </w:rPr>
      </w:pPr>
      <w:r w:rsidRPr="00ED5AD3">
        <w:rPr>
          <w:rFonts w:eastAsia="Times New Roman"/>
          <w:u w:val="single"/>
          <w:lang w:eastAsia="bg-BG"/>
        </w:rPr>
        <w:t>Елиминиране</w:t>
      </w:r>
    </w:p>
    <w:p w14:paraId="3EFDDBE2" w14:textId="77777777" w:rsidR="00ED5AD3" w:rsidRPr="00ED5AD3" w:rsidRDefault="00ED5AD3" w:rsidP="00ED5AD3">
      <w:pPr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Приблизително 90% от дозата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се елиминира като непроменено лекарство с фекалиите (състоящо се от абсорбирано и неабсорбирано активно вещество) като останалата</w:t>
      </w:r>
      <w:r w:rsidRPr="00ED5AD3">
        <w:rPr>
          <w:rFonts w:eastAsia="Times New Roman" w:cs="Arial"/>
          <w:color w:val="000000"/>
          <w:lang w:val="ru-RU" w:eastAsia="bg-BG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част се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 урината. Около 5% се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непроменен в урината. Плазменият му полуживот е около 19 часа. Времето на полуживот не се увеличава при по-високи дози. Средният плазмен клирънс е приблизително 50 литра/час (коефициент на вариабилност 21,7%). Както при други инхибитори на </w:t>
      </w:r>
      <w:r w:rsidRPr="00ED5AD3">
        <w:rPr>
          <w:rFonts w:eastAsia="Times New Roman" w:cs="Arial"/>
          <w:color w:val="000000"/>
          <w:lang w:val="en-US"/>
        </w:rPr>
        <w:t>HMG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CoA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, чернодробното поемане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включва мембранният преносител ОАТР-С. Този преносител е важен за чернодробното елиминиране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58339B59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E93F73" w14:textId="49302CCD" w:rsidR="00ED5AD3" w:rsidRPr="00ED5AD3" w:rsidRDefault="00ED5AD3" w:rsidP="00ED5AD3">
      <w:pPr>
        <w:pStyle w:val="Heading3"/>
        <w:rPr>
          <w:rFonts w:eastAsia="Times New Roman"/>
          <w:u w:val="single"/>
        </w:rPr>
      </w:pPr>
      <w:r w:rsidRPr="00ED5AD3">
        <w:rPr>
          <w:rFonts w:eastAsia="Times New Roman"/>
          <w:u w:val="single"/>
          <w:lang w:eastAsia="bg-BG"/>
        </w:rPr>
        <w:t>Линейност</w:t>
      </w:r>
    </w:p>
    <w:p w14:paraId="2E33EA28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Системната експозиция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се увеличава пропорционално на приеманата доза. Няма промяна във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параметри при многократно дозиране.</w:t>
      </w:r>
    </w:p>
    <w:p w14:paraId="57EC52A9" w14:textId="77777777" w:rsidR="00ED5AD3" w:rsidRPr="00ED5AD3" w:rsidRDefault="00ED5AD3" w:rsidP="00ED5AD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AAD008" w14:textId="4EDB8E3B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i/>
          <w:iCs/>
          <w:color w:val="000000"/>
          <w:lang w:eastAsia="bg-BG"/>
        </w:rPr>
        <w:t>Специални групи пациенти</w:t>
      </w:r>
    </w:p>
    <w:p w14:paraId="54001037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FB9207" w14:textId="202C0672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Възраст и пол</w:t>
      </w:r>
    </w:p>
    <w:p w14:paraId="2D1E0F8E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Възрастта и пола при възрастни нямат клинично значим ефект върху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фармакокинстиката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Експозицията при деца и юноши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изглежда е сходна или по-ниска от тази при възрастни пациенти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дислипидемия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(вж. по-долу „Педиатрична популация“).</w:t>
      </w:r>
    </w:p>
    <w:p w14:paraId="042788F0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477B8C" w14:textId="217AEECA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Раса</w:t>
      </w:r>
    </w:p>
    <w:p w14:paraId="525B9634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D5AD3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проучвания показват почти 2-кратно повишаване на средната </w:t>
      </w:r>
      <w:r w:rsidRPr="00ED5AD3">
        <w:rPr>
          <w:rFonts w:eastAsia="Times New Roman" w:cs="Arial"/>
          <w:color w:val="000000"/>
          <w:lang w:val="en-US"/>
        </w:rPr>
        <w:t>AUC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и С</w:t>
      </w:r>
      <w:r w:rsidRPr="00ED5AD3">
        <w:rPr>
          <w:rFonts w:eastAsia="Times New Roman" w:cs="Arial"/>
          <w:color w:val="000000"/>
          <w:vertAlign w:val="subscript"/>
          <w:lang w:val="en-US"/>
        </w:rPr>
        <w:t>max</w:t>
      </w:r>
      <w:r w:rsidRPr="00ED5AD3">
        <w:rPr>
          <w:rFonts w:eastAsia="Times New Roman" w:cs="Arial"/>
          <w:color w:val="000000"/>
          <w:lang w:eastAsia="bg-BG"/>
        </w:rPr>
        <w:t xml:space="preserve"> при пациентите от азиатски произход (японци, китайци, филипинци, виетнамци и корейци) в сравнение с представителите на бялата раса.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Азиато-индианциге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показват приблизително 1,3- кратно повишаване на средната </w:t>
      </w:r>
      <w:r w:rsidRPr="00ED5AD3">
        <w:rPr>
          <w:rFonts w:eastAsia="Times New Roman" w:cs="Arial"/>
          <w:color w:val="000000"/>
          <w:lang w:val="en-US"/>
        </w:rPr>
        <w:t>AUC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и С</w:t>
      </w:r>
      <w:r w:rsidRPr="00ED5AD3">
        <w:rPr>
          <w:rFonts w:eastAsia="Times New Roman" w:cs="Arial"/>
          <w:color w:val="000000"/>
          <w:vertAlign w:val="subscript"/>
          <w:lang w:val="en-US"/>
        </w:rPr>
        <w:t>max</w:t>
      </w:r>
      <w:r w:rsidRPr="00ED5AD3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ED5AD3">
        <w:rPr>
          <w:rFonts w:eastAsia="Times New Roman" w:cs="Arial"/>
          <w:color w:val="000000"/>
          <w:lang w:eastAsia="bg-BG"/>
        </w:rPr>
        <w:t>Популационният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фармакокинетичен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анализ не показва клинично значими различия във фармакокинетиката между групите от бялата и черна раса.</w:t>
      </w:r>
    </w:p>
    <w:p w14:paraId="1F7EF590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9E3BE8" w14:textId="7BBD1296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Бъбречна недостатъчност</w:t>
      </w:r>
    </w:p>
    <w:p w14:paraId="376D0627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lastRenderedPageBreak/>
        <w:t xml:space="preserve">В клинично проучване при лица с различна степен на увреждане на бъбречната функция, лекото до умерено бъбречно увреждане не е повлияло плазмените концентрации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или на неговия 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-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дезметил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метаболит.</w:t>
      </w:r>
    </w:p>
    <w:p w14:paraId="6C91DBF5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>Обаче лица с тежко увреждане на бъбречната функция (</w:t>
      </w:r>
      <w:proofErr w:type="spellStart"/>
      <w:r w:rsidRPr="00ED5AD3">
        <w:rPr>
          <w:rFonts w:eastAsia="Times New Roman" w:cs="Arial"/>
          <w:color w:val="000000"/>
          <w:lang w:eastAsia="bg-BG"/>
        </w:rPr>
        <w:t>СгС</w:t>
      </w:r>
      <w:proofErr w:type="spellEnd"/>
      <w:r w:rsidRPr="00ED5AD3">
        <w:rPr>
          <w:rFonts w:eastAsia="Times New Roman" w:cs="Arial"/>
          <w:color w:val="000000"/>
          <w:lang w:val="en-US"/>
        </w:rPr>
        <w:t>l</w:t>
      </w:r>
      <w:r w:rsidRPr="00ED5AD3">
        <w:rPr>
          <w:rFonts w:eastAsia="Times New Roman" w:cs="Arial"/>
          <w:color w:val="000000"/>
          <w:lang w:eastAsia="bg-BG"/>
        </w:rPr>
        <w:t xml:space="preserve">&lt;30 </w:t>
      </w:r>
      <w:r w:rsidRPr="00ED5AD3">
        <w:rPr>
          <w:rFonts w:eastAsia="Times New Roman" w:cs="Arial"/>
          <w:color w:val="000000"/>
          <w:lang w:val="en-US"/>
        </w:rPr>
        <w:t>ml</w:t>
      </w:r>
      <w:r w:rsidRPr="00ED5AD3">
        <w:rPr>
          <w:rFonts w:eastAsia="Times New Roman" w:cs="Arial"/>
          <w:color w:val="000000"/>
          <w:lang w:val="ru-RU"/>
        </w:rPr>
        <w:t>/</w:t>
      </w:r>
      <w:r w:rsidRPr="00ED5AD3">
        <w:rPr>
          <w:rFonts w:eastAsia="Times New Roman" w:cs="Arial"/>
          <w:color w:val="000000"/>
          <w:lang w:val="en-US"/>
        </w:rPr>
        <w:t>min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 xml:space="preserve">са имали 3-кратно увеличение на плазмената концентрация в сравнение със здрави доброволци и 9 пъти по-висока концентрация на </w:t>
      </w:r>
      <w:r w:rsidRPr="00ED5AD3">
        <w:rPr>
          <w:rFonts w:eastAsia="Times New Roman" w:cs="Arial"/>
          <w:color w:val="000000"/>
          <w:lang w:val="en-US"/>
        </w:rPr>
        <w:t>N</w:t>
      </w:r>
      <w:r w:rsidRPr="00ED5AD3">
        <w:rPr>
          <w:rFonts w:eastAsia="Times New Roman" w:cs="Arial"/>
          <w:color w:val="000000"/>
          <w:lang w:eastAsia="bg-BG"/>
        </w:rPr>
        <w:t>-</w:t>
      </w:r>
      <w:proofErr w:type="spellStart"/>
      <w:r w:rsidRPr="00ED5AD3">
        <w:rPr>
          <w:rFonts w:eastAsia="Times New Roman" w:cs="Arial"/>
          <w:color w:val="000000"/>
          <w:lang w:eastAsia="bg-BG"/>
        </w:rPr>
        <w:t>дезметил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метаболита. Равновесните плазмени концентрации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при пациенти на хемодиализа са приблизително 50% по-високи в сравнение със здрави доброволци.</w:t>
      </w:r>
    </w:p>
    <w:p w14:paraId="4E47F896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2B04562" w14:textId="649F4C88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Чернодробна недостатъчност</w:t>
      </w:r>
    </w:p>
    <w:p w14:paraId="2F62925A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В клинично проучване при лица с различна степен на чернодробно увреждане не са получени данни за повишена експозиция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при пациенти с оценка по </w:t>
      </w:r>
      <w:r w:rsidRPr="00ED5AD3">
        <w:rPr>
          <w:rFonts w:eastAsia="Times New Roman" w:cs="Arial"/>
          <w:color w:val="000000"/>
          <w:lang w:val="en-US"/>
        </w:rPr>
        <w:t>Child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Pugh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7 или по- ниска. Въпреки това, при двама пациенти с оценка по </w:t>
      </w:r>
      <w:r w:rsidRPr="00ED5AD3">
        <w:rPr>
          <w:rFonts w:eastAsia="Times New Roman" w:cs="Arial"/>
          <w:color w:val="000000"/>
          <w:lang w:val="en-US"/>
        </w:rPr>
        <w:t>Child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Pugh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8 и 9 системната експозиция е била увеличена най-малко 2 пъти в сравнение с лица с по-ниска оценка по </w:t>
      </w:r>
      <w:r w:rsidRPr="00ED5AD3">
        <w:rPr>
          <w:rFonts w:eastAsia="Times New Roman" w:cs="Arial"/>
          <w:color w:val="000000"/>
          <w:lang w:val="en-US"/>
        </w:rPr>
        <w:t>Child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Pugh</w:t>
      </w:r>
      <w:r w:rsidRPr="00ED5AD3">
        <w:rPr>
          <w:rFonts w:eastAsia="Times New Roman" w:cs="Arial"/>
          <w:color w:val="000000"/>
          <w:lang w:val="ru-RU"/>
        </w:rPr>
        <w:t xml:space="preserve">. </w:t>
      </w:r>
      <w:r w:rsidRPr="00ED5AD3">
        <w:rPr>
          <w:rFonts w:eastAsia="Times New Roman" w:cs="Arial"/>
          <w:color w:val="000000"/>
          <w:lang w:eastAsia="bg-BG"/>
        </w:rPr>
        <w:t xml:space="preserve">Няма опит при пациенти с оценка по </w:t>
      </w:r>
      <w:r w:rsidRPr="00ED5AD3">
        <w:rPr>
          <w:rFonts w:eastAsia="Times New Roman" w:cs="Arial"/>
          <w:color w:val="000000"/>
          <w:lang w:val="en-US"/>
        </w:rPr>
        <w:t>Child</w:t>
      </w:r>
      <w:r w:rsidRPr="00ED5AD3">
        <w:rPr>
          <w:rFonts w:eastAsia="Times New Roman" w:cs="Arial"/>
          <w:color w:val="000000"/>
          <w:lang w:val="ru-RU"/>
        </w:rPr>
        <w:t>-</w:t>
      </w:r>
      <w:r w:rsidRPr="00ED5AD3">
        <w:rPr>
          <w:rFonts w:eastAsia="Times New Roman" w:cs="Arial"/>
          <w:color w:val="000000"/>
          <w:lang w:val="en-US"/>
        </w:rPr>
        <w:t>Pugh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>над 9.</w:t>
      </w:r>
    </w:p>
    <w:p w14:paraId="598D21AF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9540B0" w14:textId="3A188402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Генетичен полиморфизъм</w:t>
      </w:r>
    </w:p>
    <w:p w14:paraId="3FDF9068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Диспозицията на </w:t>
      </w:r>
      <w:r w:rsidRPr="00ED5AD3">
        <w:rPr>
          <w:rFonts w:eastAsia="Times New Roman" w:cs="Arial"/>
          <w:color w:val="000000"/>
          <w:lang w:val="en-US"/>
        </w:rPr>
        <w:t>of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val="en-US"/>
        </w:rPr>
        <w:t>HMG</w:t>
      </w:r>
      <w:r w:rsidRPr="00ED5AD3">
        <w:rPr>
          <w:rFonts w:eastAsia="Times New Roman" w:cs="Arial"/>
          <w:color w:val="000000"/>
          <w:lang w:eastAsia="bg-BG"/>
        </w:rPr>
        <w:t>-</w:t>
      </w:r>
      <w:proofErr w:type="spellStart"/>
      <w:r w:rsidRPr="00ED5AD3">
        <w:rPr>
          <w:rFonts w:eastAsia="Times New Roman" w:cs="Arial"/>
          <w:color w:val="000000"/>
          <w:lang w:eastAsia="bg-BG"/>
        </w:rPr>
        <w:t>СоА-редуктазните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инхибитори, включително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включва ОАТР1В1 и </w:t>
      </w:r>
      <w:r w:rsidRPr="00ED5AD3">
        <w:rPr>
          <w:rFonts w:eastAsia="Times New Roman" w:cs="Arial"/>
          <w:color w:val="000000"/>
          <w:lang w:val="en-US"/>
        </w:rPr>
        <w:t>BCRP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транспортери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. При пациентите с </w:t>
      </w:r>
      <w:r w:rsidRPr="00ED5AD3">
        <w:rPr>
          <w:rFonts w:eastAsia="Times New Roman" w:cs="Arial"/>
          <w:color w:val="000000"/>
          <w:lang w:val="en-US"/>
        </w:rPr>
        <w:t>SLCO</w:t>
      </w:r>
      <w:r w:rsidRPr="00ED5AD3">
        <w:rPr>
          <w:rFonts w:eastAsia="Times New Roman" w:cs="Arial"/>
          <w:color w:val="000000"/>
          <w:lang w:val="ru-RU"/>
        </w:rPr>
        <w:t>1</w:t>
      </w:r>
      <w:r w:rsidRPr="00ED5AD3">
        <w:rPr>
          <w:rFonts w:eastAsia="Times New Roman" w:cs="Arial"/>
          <w:color w:val="000000"/>
          <w:lang w:val="en-US"/>
        </w:rPr>
        <w:t>B</w:t>
      </w:r>
      <w:r w:rsidRPr="00ED5AD3">
        <w:rPr>
          <w:rFonts w:eastAsia="Times New Roman" w:cs="Arial"/>
          <w:color w:val="000000"/>
          <w:lang w:val="ru-RU"/>
        </w:rPr>
        <w:t xml:space="preserve">1 </w:t>
      </w:r>
      <w:r w:rsidRPr="00ED5AD3">
        <w:rPr>
          <w:rFonts w:eastAsia="Times New Roman" w:cs="Arial"/>
          <w:color w:val="000000"/>
          <w:lang w:eastAsia="bg-BG"/>
        </w:rPr>
        <w:t xml:space="preserve">(ОАТР1В1) и/или </w:t>
      </w:r>
      <w:r w:rsidRPr="00ED5AD3">
        <w:rPr>
          <w:rFonts w:eastAsia="Times New Roman" w:cs="Arial"/>
          <w:color w:val="000000"/>
          <w:lang w:val="en-US"/>
        </w:rPr>
        <w:t>ABCG</w:t>
      </w:r>
      <w:r w:rsidRPr="00ED5AD3">
        <w:rPr>
          <w:rFonts w:eastAsia="Times New Roman" w:cs="Arial"/>
          <w:color w:val="000000"/>
          <w:lang w:val="ru-RU"/>
        </w:rPr>
        <w:t>2 (</w:t>
      </w:r>
      <w:r w:rsidRPr="00ED5AD3">
        <w:rPr>
          <w:rFonts w:eastAsia="Times New Roman" w:cs="Arial"/>
          <w:color w:val="000000"/>
          <w:lang w:val="en-US"/>
        </w:rPr>
        <w:t>BCRP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 xml:space="preserve">генетичен полиморфизъм има риск от повишена експозиция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7EB3B1FB" w14:textId="77777777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lang w:eastAsia="bg-BG"/>
        </w:rPr>
        <w:t xml:space="preserve">Индивидуален полиморфизъм на </w:t>
      </w:r>
      <w:r w:rsidRPr="00ED5AD3">
        <w:rPr>
          <w:rFonts w:eastAsia="Times New Roman" w:cs="Arial"/>
          <w:color w:val="000000"/>
          <w:lang w:val="en-US"/>
        </w:rPr>
        <w:t>SLCO</w:t>
      </w:r>
      <w:r w:rsidRPr="00ED5AD3">
        <w:rPr>
          <w:rFonts w:eastAsia="Times New Roman" w:cs="Arial"/>
          <w:color w:val="000000"/>
          <w:lang w:val="ru-RU"/>
        </w:rPr>
        <w:t>1</w:t>
      </w:r>
      <w:r w:rsidRPr="00ED5AD3">
        <w:rPr>
          <w:rFonts w:eastAsia="Times New Roman" w:cs="Arial"/>
          <w:color w:val="000000"/>
          <w:lang w:val="en-US"/>
        </w:rPr>
        <w:t>B</w:t>
      </w:r>
      <w:r w:rsidRPr="00ED5AD3">
        <w:rPr>
          <w:rFonts w:eastAsia="Times New Roman" w:cs="Arial"/>
          <w:color w:val="000000"/>
          <w:lang w:val="ru-RU"/>
        </w:rPr>
        <w:t xml:space="preserve">1 </w:t>
      </w:r>
      <w:r w:rsidRPr="00ED5AD3">
        <w:rPr>
          <w:rFonts w:eastAsia="Times New Roman" w:cs="Arial"/>
          <w:color w:val="000000"/>
          <w:lang w:eastAsia="bg-BG"/>
        </w:rPr>
        <w:t xml:space="preserve">С.521СС и </w:t>
      </w:r>
      <w:r w:rsidRPr="00ED5AD3">
        <w:rPr>
          <w:rFonts w:eastAsia="Times New Roman" w:cs="Arial"/>
          <w:color w:val="000000"/>
          <w:lang w:val="en-US"/>
        </w:rPr>
        <w:t>ABCG</w:t>
      </w:r>
      <w:r w:rsidRPr="00ED5AD3">
        <w:rPr>
          <w:rFonts w:eastAsia="Times New Roman" w:cs="Arial"/>
          <w:color w:val="000000"/>
          <w:lang w:val="ru-RU"/>
        </w:rPr>
        <w:t xml:space="preserve">2 </w:t>
      </w:r>
      <w:r w:rsidRPr="00ED5AD3">
        <w:rPr>
          <w:rFonts w:eastAsia="Times New Roman" w:cs="Arial"/>
          <w:color w:val="000000"/>
          <w:lang w:eastAsia="bg-BG"/>
        </w:rPr>
        <w:t xml:space="preserve">с.421АА се асоциира с по-висока експозиция 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</w:t>
      </w:r>
      <w:r w:rsidRPr="00ED5AD3">
        <w:rPr>
          <w:rFonts w:eastAsia="Times New Roman" w:cs="Arial"/>
          <w:color w:val="000000"/>
          <w:lang w:val="ru-RU"/>
        </w:rPr>
        <w:t>(</w:t>
      </w:r>
      <w:r w:rsidRPr="00ED5AD3">
        <w:rPr>
          <w:rFonts w:eastAsia="Times New Roman" w:cs="Arial"/>
          <w:color w:val="000000"/>
          <w:lang w:val="en-US"/>
        </w:rPr>
        <w:t>AUC</w:t>
      </w:r>
      <w:r w:rsidRPr="00ED5AD3">
        <w:rPr>
          <w:rFonts w:eastAsia="Times New Roman" w:cs="Arial"/>
          <w:color w:val="000000"/>
          <w:lang w:val="ru-RU"/>
        </w:rPr>
        <w:t xml:space="preserve">) </w:t>
      </w:r>
      <w:r w:rsidRPr="00ED5AD3">
        <w:rPr>
          <w:rFonts w:eastAsia="Times New Roman" w:cs="Arial"/>
          <w:color w:val="000000"/>
          <w:lang w:eastAsia="bg-BG"/>
        </w:rPr>
        <w:t xml:space="preserve">в сравнение с </w:t>
      </w:r>
      <w:r w:rsidRPr="00ED5AD3">
        <w:rPr>
          <w:rFonts w:eastAsia="Times New Roman" w:cs="Arial"/>
          <w:color w:val="000000"/>
          <w:lang w:val="en-US"/>
        </w:rPr>
        <w:t>SLCO</w:t>
      </w:r>
      <w:r w:rsidRPr="00ED5AD3">
        <w:rPr>
          <w:rFonts w:eastAsia="Times New Roman" w:cs="Arial"/>
          <w:color w:val="000000"/>
          <w:lang w:val="ru-RU"/>
        </w:rPr>
        <w:t>1</w:t>
      </w:r>
      <w:r w:rsidRPr="00ED5AD3">
        <w:rPr>
          <w:rFonts w:eastAsia="Times New Roman" w:cs="Arial"/>
          <w:color w:val="000000"/>
          <w:lang w:val="en-US"/>
        </w:rPr>
        <w:t>B</w:t>
      </w:r>
      <w:r w:rsidRPr="00ED5AD3">
        <w:rPr>
          <w:rFonts w:eastAsia="Times New Roman" w:cs="Arial"/>
          <w:color w:val="000000"/>
          <w:lang w:val="ru-RU"/>
        </w:rPr>
        <w:t xml:space="preserve">1 </w:t>
      </w:r>
      <w:r w:rsidRPr="00ED5AD3">
        <w:rPr>
          <w:rFonts w:eastAsia="Times New Roman" w:cs="Arial"/>
          <w:color w:val="000000"/>
          <w:lang w:eastAsia="bg-BG"/>
        </w:rPr>
        <w:t xml:space="preserve">С.521ТТ или </w:t>
      </w:r>
      <w:r w:rsidRPr="00ED5AD3">
        <w:rPr>
          <w:rFonts w:eastAsia="Times New Roman" w:cs="Arial"/>
          <w:color w:val="000000"/>
          <w:lang w:val="en-US"/>
        </w:rPr>
        <w:t>ABCG</w:t>
      </w:r>
      <w:r w:rsidRPr="00ED5AD3">
        <w:rPr>
          <w:rFonts w:eastAsia="Times New Roman" w:cs="Arial"/>
          <w:color w:val="000000"/>
          <w:lang w:val="ru-RU"/>
        </w:rPr>
        <w:t xml:space="preserve">2 </w:t>
      </w:r>
      <w:r w:rsidRPr="00ED5AD3">
        <w:rPr>
          <w:rFonts w:eastAsia="Times New Roman" w:cs="Arial"/>
          <w:color w:val="000000"/>
          <w:lang w:eastAsia="bg-BG"/>
        </w:rPr>
        <w:t>С.421СС генотиповете. Тези специфични генотипове не са установени в клиничната практика, но при пациенти, за които е известно, че имат тези типове полиморфизъм, се препоръчва</w:t>
      </w:r>
      <w:r w:rsidRPr="00ED5AD3">
        <w:rPr>
          <w:rFonts w:eastAsia="Times New Roman" w:cs="Arial"/>
          <w:color w:val="000000"/>
          <w:lang w:val="ru-RU"/>
        </w:rPr>
        <w:t xml:space="preserve"> </w:t>
      </w:r>
      <w:r w:rsidRPr="00ED5AD3">
        <w:rPr>
          <w:rFonts w:eastAsia="Times New Roman" w:cs="Arial"/>
          <w:color w:val="000000"/>
          <w:lang w:eastAsia="bg-BG"/>
        </w:rPr>
        <w:t xml:space="preserve">по-ниската доза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>.</w:t>
      </w:r>
    </w:p>
    <w:p w14:paraId="658BC155" w14:textId="77777777" w:rsidR="00ED5AD3" w:rsidRPr="00ED5AD3" w:rsidRDefault="00ED5AD3" w:rsidP="00ED5AD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BFDFF8" w14:textId="16521211" w:rsidR="00ED5AD3" w:rsidRPr="00ED5AD3" w:rsidRDefault="00ED5AD3" w:rsidP="00ED5AD3">
      <w:pPr>
        <w:spacing w:line="240" w:lineRule="auto"/>
        <w:rPr>
          <w:rFonts w:eastAsia="Times New Roman" w:cs="Arial"/>
          <w:sz w:val="24"/>
          <w:szCs w:val="24"/>
        </w:rPr>
      </w:pPr>
      <w:r w:rsidRPr="00ED5AD3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6D380E6B" w14:textId="7E238709" w:rsidR="00ED5AD3" w:rsidRPr="00ED5AD3" w:rsidRDefault="00ED5AD3" w:rsidP="00ED5AD3">
      <w:pPr>
        <w:rPr>
          <w:rFonts w:cs="Arial"/>
        </w:rPr>
      </w:pPr>
      <w:r w:rsidRPr="00ED5AD3">
        <w:rPr>
          <w:rFonts w:eastAsia="Times New Roman" w:cs="Arial"/>
          <w:color w:val="000000"/>
          <w:lang w:eastAsia="bg-BG"/>
        </w:rPr>
        <w:t xml:space="preserve">Две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проучвания с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(прилаган под формата на таблетки) при педиатрични пациенти с фамилна </w:t>
      </w:r>
      <w:proofErr w:type="spellStart"/>
      <w:r w:rsidRPr="00ED5AD3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ED5AD3">
        <w:rPr>
          <w:rFonts w:eastAsia="Times New Roman" w:cs="Arial"/>
          <w:color w:val="000000"/>
          <w:lang w:eastAsia="bg-BG"/>
        </w:rPr>
        <w:t xml:space="preserve"> на възраст 10 до 17 или 6 до 17 години</w:t>
      </w:r>
      <w:r w:rsidRPr="00ED5AD3">
        <w:rPr>
          <w:rFonts w:eastAsia="Times New Roman" w:cs="Arial"/>
          <w:color w:val="000000"/>
          <w:lang w:val="ru-RU" w:eastAsia="bg-BG"/>
        </w:rPr>
        <w:t xml:space="preserve"> </w:t>
      </w:r>
      <w:r w:rsidRPr="00ED5AD3">
        <w:rPr>
          <w:rFonts w:cs="Arial"/>
        </w:rPr>
        <w:t xml:space="preserve">(общо 214 пациенти) показват, че експозицията при педиатричните пациенти изглежда сравнима или по-ниска от тази при възрастните пациенти. Експозицията на </w:t>
      </w:r>
      <w:proofErr w:type="spellStart"/>
      <w:r w:rsidRPr="00ED5AD3">
        <w:rPr>
          <w:rFonts w:cs="Arial"/>
        </w:rPr>
        <w:t>розувастатин</w:t>
      </w:r>
      <w:proofErr w:type="spellEnd"/>
      <w:r w:rsidRPr="00ED5AD3">
        <w:rPr>
          <w:rFonts w:cs="Arial"/>
        </w:rPr>
        <w:t xml:space="preserve"> е била предвидима по отношение на дозата и времето в продължение на 2-годишен период.</w:t>
      </w:r>
    </w:p>
    <w:p w14:paraId="7E27FCC0" w14:textId="5F183A93" w:rsidR="00ED5AD3" w:rsidRPr="00ED5AD3" w:rsidRDefault="00ED5AD3" w:rsidP="00ED5AD3">
      <w:pPr>
        <w:rPr>
          <w:lang w:val="ru-RU"/>
        </w:rPr>
      </w:pPr>
    </w:p>
    <w:p w14:paraId="4F31844C" w14:textId="3F8BF7BD" w:rsidR="00875EEC" w:rsidRDefault="002C50EE" w:rsidP="005726E3">
      <w:pPr>
        <w:pStyle w:val="Heading2"/>
      </w:pPr>
      <w:r>
        <w:t>5.3. Предклинични данни за безопасност</w:t>
      </w:r>
    </w:p>
    <w:p w14:paraId="77ABDB6F" w14:textId="170E1FFF" w:rsidR="00ED5AD3" w:rsidRDefault="00ED5AD3" w:rsidP="00ED5AD3"/>
    <w:p w14:paraId="364EFB73" w14:textId="77777777" w:rsidR="00ED5AD3" w:rsidRPr="00ED5AD3" w:rsidRDefault="00ED5AD3" w:rsidP="00ED5AD3">
      <w:pPr>
        <w:rPr>
          <w:sz w:val="24"/>
          <w:szCs w:val="24"/>
        </w:rPr>
      </w:pPr>
      <w:r w:rsidRPr="00ED5AD3">
        <w:rPr>
          <w:lang w:eastAsia="bg-BG"/>
        </w:rPr>
        <w:t xml:space="preserve">Предклиничните данни не показват особен риск за хора, на базата на конвенционалните фармакологични изпитвания за безопасност, </w:t>
      </w:r>
      <w:proofErr w:type="spellStart"/>
      <w:r w:rsidRPr="00ED5AD3">
        <w:rPr>
          <w:lang w:eastAsia="bg-BG"/>
        </w:rPr>
        <w:t>генотоксичност</w:t>
      </w:r>
      <w:proofErr w:type="spellEnd"/>
      <w:r w:rsidRPr="00ED5AD3">
        <w:rPr>
          <w:lang w:eastAsia="bg-BG"/>
        </w:rPr>
        <w:t xml:space="preserve"> и канцерогенен потенциал. Специфични тестове за ефектите върху </w:t>
      </w:r>
      <w:proofErr w:type="spellStart"/>
      <w:r w:rsidRPr="00ED5AD3">
        <w:rPr>
          <w:lang w:val="en-US"/>
        </w:rPr>
        <w:t>hERG</w:t>
      </w:r>
      <w:proofErr w:type="spellEnd"/>
      <w:r w:rsidRPr="00ED5AD3">
        <w:rPr>
          <w:lang w:val="ru-RU"/>
        </w:rPr>
        <w:t xml:space="preserve"> </w:t>
      </w:r>
      <w:r w:rsidRPr="00ED5AD3">
        <w:rPr>
          <w:lang w:eastAsia="bg-BG"/>
        </w:rPr>
        <w:t xml:space="preserve">не са оценявани. Нежеланите реакции, които не се наблюдават при клиничните изпитвания, но се наблюдават при животни при нива на експозиция, подобни на нивата на клинична експозиция са както следва: В проучвания за токсичност на многократните дози се наблюдават </w:t>
      </w:r>
      <w:proofErr w:type="spellStart"/>
      <w:r w:rsidRPr="00ED5AD3">
        <w:rPr>
          <w:lang w:eastAsia="bg-BG"/>
        </w:rPr>
        <w:t>хистопатологични</w:t>
      </w:r>
      <w:proofErr w:type="spellEnd"/>
      <w:r w:rsidRPr="00ED5AD3">
        <w:rPr>
          <w:lang w:eastAsia="bg-BG"/>
        </w:rPr>
        <w:t xml:space="preserve"> промени в черния дроб, които вероятно се дължат на фармакологичното действие на </w:t>
      </w:r>
      <w:proofErr w:type="spellStart"/>
      <w:r w:rsidRPr="00ED5AD3">
        <w:rPr>
          <w:lang w:eastAsia="bg-BG"/>
        </w:rPr>
        <w:t>розувастатин</w:t>
      </w:r>
      <w:proofErr w:type="spellEnd"/>
      <w:r w:rsidRPr="00ED5AD3">
        <w:rPr>
          <w:lang w:eastAsia="bg-BG"/>
        </w:rPr>
        <w:t xml:space="preserve"> при мишки и плъхове, както и до по-малка степен с последици в жлъчния мехур при кучета, но не и при маймуни. Освен това, при по-високи дози е наблюдавана токсичност върху тестисите при маймуни и кучета. Налице е репродуктивна токсичност при плъхове, за която се съди по намалените размери и тегло на котилото и по намалената преживяемост на потомството. Тези резултати са наблюдавани при токсични </w:t>
      </w:r>
      <w:r w:rsidRPr="00ED5AD3">
        <w:rPr>
          <w:lang w:eastAsia="bg-BG"/>
        </w:rPr>
        <w:lastRenderedPageBreak/>
        <w:t>за майката дози на системна експозиция няколко пъти над нивото на терапевтична експозиция.</w:t>
      </w:r>
    </w:p>
    <w:p w14:paraId="13EE380E" w14:textId="77777777" w:rsidR="00ED5AD3" w:rsidRPr="00ED5AD3" w:rsidRDefault="00ED5AD3" w:rsidP="00ED5AD3"/>
    <w:p w14:paraId="1BA6531D" w14:textId="0F1135EF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224ECC6C" w14:textId="4405005C" w:rsidR="00ED5AD3" w:rsidRDefault="00ED5AD3" w:rsidP="00ED5AD3"/>
    <w:p w14:paraId="7D0E4F74" w14:textId="77777777" w:rsidR="00ED5AD3" w:rsidRPr="00692BD9" w:rsidRDefault="00ED5AD3" w:rsidP="00ED5AD3">
      <w:pPr>
        <w:rPr>
          <w:sz w:val="24"/>
          <w:szCs w:val="24"/>
        </w:rPr>
      </w:pPr>
      <w:r w:rsidRPr="00ED5AD3">
        <w:rPr>
          <w:lang w:val="en-US"/>
        </w:rPr>
        <w:t>Pharmaceutical</w:t>
      </w:r>
      <w:r w:rsidRPr="00692BD9">
        <w:t xml:space="preserve"> </w:t>
      </w:r>
      <w:r w:rsidRPr="00ED5AD3">
        <w:rPr>
          <w:lang w:val="en-US"/>
        </w:rPr>
        <w:t>Works</w:t>
      </w:r>
      <w:r w:rsidRPr="00692BD9">
        <w:t xml:space="preserve"> </w:t>
      </w:r>
      <w:r w:rsidRPr="00ED5AD3">
        <w:rPr>
          <w:lang w:val="en-US"/>
        </w:rPr>
        <w:t>POLPHARMA</w:t>
      </w:r>
      <w:r w:rsidRPr="00692BD9">
        <w:t xml:space="preserve"> </w:t>
      </w:r>
      <w:r w:rsidRPr="00ED5AD3">
        <w:rPr>
          <w:lang w:val="en-US"/>
        </w:rPr>
        <w:t>S</w:t>
      </w:r>
      <w:r w:rsidRPr="00692BD9">
        <w:t>.</w:t>
      </w:r>
      <w:r w:rsidRPr="00ED5AD3">
        <w:rPr>
          <w:lang w:val="en-US"/>
        </w:rPr>
        <w:t>A</w:t>
      </w:r>
      <w:r w:rsidRPr="00692BD9">
        <w:t>.</w:t>
      </w:r>
    </w:p>
    <w:p w14:paraId="290B1D49" w14:textId="77777777" w:rsidR="00ED5AD3" w:rsidRPr="00692BD9" w:rsidRDefault="00ED5AD3" w:rsidP="00ED5AD3">
      <w:pPr>
        <w:rPr>
          <w:sz w:val="24"/>
          <w:szCs w:val="24"/>
        </w:rPr>
      </w:pPr>
      <w:r w:rsidRPr="00692BD9">
        <w:t xml:space="preserve">19 </w:t>
      </w:r>
      <w:proofErr w:type="spellStart"/>
      <w:r w:rsidRPr="00ED5AD3">
        <w:rPr>
          <w:lang w:val="en-US"/>
        </w:rPr>
        <w:t>Pelplinska</w:t>
      </w:r>
      <w:proofErr w:type="spellEnd"/>
      <w:r w:rsidRPr="00692BD9">
        <w:t xml:space="preserve"> </w:t>
      </w:r>
      <w:r w:rsidRPr="00ED5AD3">
        <w:rPr>
          <w:lang w:val="en-US"/>
        </w:rPr>
        <w:t>Street</w:t>
      </w:r>
    </w:p>
    <w:p w14:paraId="2A6F5502" w14:textId="77777777" w:rsidR="00ED5AD3" w:rsidRPr="00692BD9" w:rsidRDefault="00ED5AD3" w:rsidP="00ED5AD3">
      <w:pPr>
        <w:rPr>
          <w:sz w:val="24"/>
          <w:szCs w:val="24"/>
        </w:rPr>
      </w:pPr>
      <w:r w:rsidRPr="00692BD9">
        <w:t xml:space="preserve">83-200 </w:t>
      </w:r>
      <w:proofErr w:type="spellStart"/>
      <w:r w:rsidRPr="00ED5AD3">
        <w:rPr>
          <w:lang w:val="en-US"/>
        </w:rPr>
        <w:t>Starogard</w:t>
      </w:r>
      <w:proofErr w:type="spellEnd"/>
      <w:r w:rsidRPr="00692BD9">
        <w:t xml:space="preserve"> </w:t>
      </w:r>
      <w:proofErr w:type="spellStart"/>
      <w:r w:rsidRPr="00ED5AD3">
        <w:rPr>
          <w:lang w:val="en-US"/>
        </w:rPr>
        <w:t>Gdanski</w:t>
      </w:r>
      <w:proofErr w:type="spellEnd"/>
    </w:p>
    <w:p w14:paraId="0C1CFF41" w14:textId="77777777" w:rsidR="00ED5AD3" w:rsidRPr="00692BD9" w:rsidRDefault="00ED5AD3" w:rsidP="00ED5AD3">
      <w:pPr>
        <w:rPr>
          <w:sz w:val="24"/>
          <w:szCs w:val="24"/>
        </w:rPr>
      </w:pPr>
      <w:r w:rsidRPr="00ED5AD3">
        <w:rPr>
          <w:lang w:eastAsia="bg-BG"/>
        </w:rPr>
        <w:t>Полша</w:t>
      </w:r>
    </w:p>
    <w:p w14:paraId="0EEB9AF2" w14:textId="77777777" w:rsidR="00ED5AD3" w:rsidRPr="00692BD9" w:rsidRDefault="00ED5AD3" w:rsidP="00ED5AD3"/>
    <w:p w14:paraId="508F3A54" w14:textId="4F7905B4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70DCA0DB" w14:textId="5B13E2EC" w:rsidR="00ED5AD3" w:rsidRDefault="00ED5AD3" w:rsidP="00ED5AD3"/>
    <w:p w14:paraId="7CA5B286" w14:textId="77777777" w:rsidR="00ED5AD3" w:rsidRPr="00ED5AD3" w:rsidRDefault="00ED5AD3" w:rsidP="00ED5AD3">
      <w:pPr>
        <w:rPr>
          <w:sz w:val="24"/>
          <w:szCs w:val="24"/>
          <w:lang w:val="ru-RU"/>
        </w:rPr>
      </w:pPr>
      <w:r w:rsidRPr="00ED5AD3">
        <w:rPr>
          <w:lang w:val="ru-RU"/>
        </w:rPr>
        <w:t xml:space="preserve">15 </w:t>
      </w:r>
      <w:r w:rsidRPr="00ED5AD3">
        <w:rPr>
          <w:lang w:val="en-US"/>
        </w:rPr>
        <w:t>mg</w:t>
      </w:r>
      <w:r w:rsidRPr="00ED5AD3">
        <w:rPr>
          <w:lang w:val="ru-RU"/>
        </w:rPr>
        <w:t>: 20200149</w:t>
      </w:r>
    </w:p>
    <w:p w14:paraId="7BBEC1CD" w14:textId="77777777" w:rsidR="00ED5AD3" w:rsidRPr="00ED5AD3" w:rsidRDefault="00ED5AD3" w:rsidP="00ED5AD3">
      <w:pPr>
        <w:rPr>
          <w:sz w:val="24"/>
          <w:szCs w:val="24"/>
          <w:lang w:val="ru-RU"/>
        </w:rPr>
      </w:pPr>
      <w:r w:rsidRPr="00ED5AD3">
        <w:rPr>
          <w:lang w:val="ru-RU"/>
        </w:rPr>
        <w:t xml:space="preserve">30 </w:t>
      </w:r>
      <w:r w:rsidRPr="00ED5AD3">
        <w:rPr>
          <w:lang w:val="en-US"/>
        </w:rPr>
        <w:t>mg</w:t>
      </w:r>
      <w:r w:rsidRPr="00ED5AD3">
        <w:rPr>
          <w:lang w:val="ru-RU"/>
        </w:rPr>
        <w:t>: 20200150</w:t>
      </w:r>
    </w:p>
    <w:p w14:paraId="24F57132" w14:textId="77777777" w:rsidR="00ED5AD3" w:rsidRPr="00ED5AD3" w:rsidRDefault="00ED5AD3" w:rsidP="00ED5AD3">
      <w:pPr>
        <w:rPr>
          <w:lang w:val="ru-RU"/>
        </w:rPr>
      </w:pPr>
    </w:p>
    <w:p w14:paraId="3BC5EC53" w14:textId="601DD0E1" w:rsidR="00875EEC" w:rsidRDefault="002C50EE" w:rsidP="005726E3">
      <w:pPr>
        <w:pStyle w:val="Heading1"/>
      </w:pPr>
      <w:r>
        <w:t>9. ДАТА НА ПЪРВО РАЗРЕШАВАНЕ/ПОДНОВЯВАНЕ НА РАЗРЕШЕНИЕТО ЗА УПОТРЕБА</w:t>
      </w:r>
    </w:p>
    <w:p w14:paraId="72E327DE" w14:textId="0F7D7194" w:rsidR="00ED5AD3" w:rsidRDefault="00ED5AD3" w:rsidP="00ED5AD3"/>
    <w:p w14:paraId="5A7AED0B" w14:textId="70FE50B7" w:rsidR="00ED5AD3" w:rsidRPr="00ED5AD3" w:rsidRDefault="00ED5AD3" w:rsidP="00ED5AD3">
      <w:pPr>
        <w:rPr>
          <w:sz w:val="24"/>
          <w:szCs w:val="24"/>
        </w:rPr>
      </w:pPr>
      <w:r w:rsidRPr="00ED5AD3">
        <w:rPr>
          <w:lang w:eastAsia="bg-BG"/>
        </w:rPr>
        <w:t>Дата на първо разрешаване: 17.09.2020</w:t>
      </w:r>
    </w:p>
    <w:p w14:paraId="43FB38A2" w14:textId="1E62F256" w:rsidR="007C605B" w:rsidRPr="003E3126" w:rsidRDefault="002C50EE" w:rsidP="005726E3">
      <w:pPr>
        <w:pStyle w:val="Heading1"/>
      </w:pPr>
      <w:r>
        <w:t>10. ДАТА НА АКТУАЛИЗИРАНЕ НА ТЕКСТА</w:t>
      </w:r>
      <w:bookmarkEnd w:id="0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73A3"/>
    <w:multiLevelType w:val="hybridMultilevel"/>
    <w:tmpl w:val="F708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39"/>
    <w:multiLevelType w:val="hybridMultilevel"/>
    <w:tmpl w:val="8E3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C863D2"/>
    <w:multiLevelType w:val="hybridMultilevel"/>
    <w:tmpl w:val="74C8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08B5BF6"/>
    <w:multiLevelType w:val="hybridMultilevel"/>
    <w:tmpl w:val="6412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5C54"/>
    <w:multiLevelType w:val="hybridMultilevel"/>
    <w:tmpl w:val="8F0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596207395">
    <w:abstractNumId w:val="33"/>
  </w:num>
  <w:num w:numId="2" w16cid:durableId="1658067731">
    <w:abstractNumId w:val="0"/>
  </w:num>
  <w:num w:numId="3" w16cid:durableId="163127580">
    <w:abstractNumId w:val="17"/>
  </w:num>
  <w:num w:numId="4" w16cid:durableId="1236625559">
    <w:abstractNumId w:val="3"/>
  </w:num>
  <w:num w:numId="5" w16cid:durableId="1538195754">
    <w:abstractNumId w:val="1"/>
  </w:num>
  <w:num w:numId="6" w16cid:durableId="709694704">
    <w:abstractNumId w:val="20"/>
  </w:num>
  <w:num w:numId="7" w16cid:durableId="1997564111">
    <w:abstractNumId w:val="14"/>
  </w:num>
  <w:num w:numId="8" w16cid:durableId="321273977">
    <w:abstractNumId w:val="19"/>
  </w:num>
  <w:num w:numId="9" w16cid:durableId="1660773050">
    <w:abstractNumId w:val="2"/>
  </w:num>
  <w:num w:numId="10" w16cid:durableId="143860214">
    <w:abstractNumId w:val="4"/>
  </w:num>
  <w:num w:numId="11" w16cid:durableId="509835343">
    <w:abstractNumId w:val="36"/>
  </w:num>
  <w:num w:numId="12" w16cid:durableId="1600867171">
    <w:abstractNumId w:val="18"/>
  </w:num>
  <w:num w:numId="13" w16cid:durableId="463474530">
    <w:abstractNumId w:val="24"/>
  </w:num>
  <w:num w:numId="14" w16cid:durableId="832378252">
    <w:abstractNumId w:val="16"/>
  </w:num>
  <w:num w:numId="15" w16cid:durableId="1745756094">
    <w:abstractNumId w:val="35"/>
  </w:num>
  <w:num w:numId="16" w16cid:durableId="1289237728">
    <w:abstractNumId w:val="13"/>
  </w:num>
  <w:num w:numId="17" w16cid:durableId="1126895909">
    <w:abstractNumId w:val="29"/>
  </w:num>
  <w:num w:numId="18" w16cid:durableId="371924049">
    <w:abstractNumId w:val="10"/>
  </w:num>
  <w:num w:numId="19" w16cid:durableId="320894413">
    <w:abstractNumId w:val="31"/>
  </w:num>
  <w:num w:numId="20" w16cid:durableId="693961226">
    <w:abstractNumId w:val="28"/>
  </w:num>
  <w:num w:numId="21" w16cid:durableId="165485049">
    <w:abstractNumId w:val="22"/>
  </w:num>
  <w:num w:numId="22" w16cid:durableId="1882859905">
    <w:abstractNumId w:val="30"/>
  </w:num>
  <w:num w:numId="23" w16cid:durableId="2021543564">
    <w:abstractNumId w:val="23"/>
  </w:num>
  <w:num w:numId="24" w16cid:durableId="220870005">
    <w:abstractNumId w:val="11"/>
  </w:num>
  <w:num w:numId="25" w16cid:durableId="1511984698">
    <w:abstractNumId w:val="27"/>
  </w:num>
  <w:num w:numId="26" w16cid:durableId="1906332258">
    <w:abstractNumId w:val="26"/>
  </w:num>
  <w:num w:numId="27" w16cid:durableId="131407841">
    <w:abstractNumId w:val="37"/>
  </w:num>
  <w:num w:numId="28" w16cid:durableId="1982075743">
    <w:abstractNumId w:val="7"/>
  </w:num>
  <w:num w:numId="29" w16cid:durableId="737479857">
    <w:abstractNumId w:val="25"/>
  </w:num>
  <w:num w:numId="30" w16cid:durableId="1819492493">
    <w:abstractNumId w:val="40"/>
  </w:num>
  <w:num w:numId="31" w16cid:durableId="1199778634">
    <w:abstractNumId w:val="5"/>
  </w:num>
  <w:num w:numId="32" w16cid:durableId="1407343352">
    <w:abstractNumId w:val="39"/>
  </w:num>
  <w:num w:numId="33" w16cid:durableId="1350330431">
    <w:abstractNumId w:val="34"/>
  </w:num>
  <w:num w:numId="34" w16cid:durableId="1917208038">
    <w:abstractNumId w:val="38"/>
  </w:num>
  <w:num w:numId="35" w16cid:durableId="206962876">
    <w:abstractNumId w:val="8"/>
  </w:num>
  <w:num w:numId="36" w16cid:durableId="1651127856">
    <w:abstractNumId w:val="12"/>
  </w:num>
  <w:num w:numId="37" w16cid:durableId="2100103558">
    <w:abstractNumId w:val="15"/>
  </w:num>
  <w:num w:numId="38" w16cid:durableId="851577205">
    <w:abstractNumId w:val="21"/>
  </w:num>
  <w:num w:numId="39" w16cid:durableId="1423991197">
    <w:abstractNumId w:val="9"/>
  </w:num>
  <w:num w:numId="40" w16cid:durableId="1682663375">
    <w:abstractNumId w:val="32"/>
  </w:num>
  <w:num w:numId="41" w16cid:durableId="1501777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0E084A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5E44CF"/>
    <w:rsid w:val="00605BCA"/>
    <w:rsid w:val="006158A1"/>
    <w:rsid w:val="00617B1F"/>
    <w:rsid w:val="00672487"/>
    <w:rsid w:val="00672600"/>
    <w:rsid w:val="00681D4A"/>
    <w:rsid w:val="00685882"/>
    <w:rsid w:val="00692BD9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AF72E3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B6364"/>
    <w:rsid w:val="00ED5AD3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8398</Words>
  <Characters>47873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4</cp:revision>
  <dcterms:created xsi:type="dcterms:W3CDTF">2022-11-21T10:01:00Z</dcterms:created>
  <dcterms:modified xsi:type="dcterms:W3CDTF">2022-12-07T08:03:00Z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