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79516554" w14:textId="193E2CEB" w:rsidR="00DB32D3" w:rsidRDefault="00DD466D" w:rsidP="005726E3">
      <w:pPr>
        <w:pStyle w:val="Heading1"/>
      </w:pPr>
      <w:r>
        <w:t>1.ИМЕ НА ЛЕКАРСТВЕНИЯ ПРОДУКТ</w:t>
      </w:r>
    </w:p>
    <w:p w14:paraId="014DFD08" w14:textId="27F0BE3A" w:rsidR="002A48D8" w:rsidRDefault="002A48D8" w:rsidP="002A48D8"/>
    <w:p w14:paraId="6D31E074" w14:textId="77777777" w:rsidR="002A48D8" w:rsidRPr="002A48D8" w:rsidRDefault="002A48D8" w:rsidP="002A48D8">
      <w:pPr>
        <w:rPr>
          <w:sz w:val="24"/>
          <w:szCs w:val="24"/>
          <w:lang w:val="ru-RU"/>
        </w:rPr>
      </w:pPr>
      <w:r w:rsidRPr="002A48D8">
        <w:rPr>
          <w:lang w:eastAsia="bg-BG"/>
        </w:rPr>
        <w:t xml:space="preserve">Ромазик 5 </w:t>
      </w:r>
      <w:r w:rsidRPr="002A48D8">
        <w:rPr>
          <w:lang w:val="en-US"/>
        </w:rPr>
        <w:t>mg</w:t>
      </w:r>
      <w:r w:rsidRPr="002A48D8">
        <w:rPr>
          <w:lang w:val="ru-RU"/>
        </w:rPr>
        <w:t xml:space="preserve"> </w:t>
      </w:r>
      <w:r w:rsidRPr="002A48D8">
        <w:rPr>
          <w:lang w:eastAsia="bg-BG"/>
        </w:rPr>
        <w:t>филмирани таблетки</w:t>
      </w:r>
    </w:p>
    <w:p w14:paraId="2D7CA7BF" w14:textId="77777777" w:rsidR="002A48D8" w:rsidRPr="002A48D8" w:rsidRDefault="002A48D8" w:rsidP="002A48D8">
      <w:pPr>
        <w:rPr>
          <w:sz w:val="24"/>
          <w:szCs w:val="24"/>
          <w:lang w:val="ru-RU"/>
        </w:rPr>
      </w:pPr>
      <w:r w:rsidRPr="002A48D8">
        <w:rPr>
          <w:lang w:eastAsia="bg-BG"/>
        </w:rPr>
        <w:t xml:space="preserve">Ромазик 10 </w:t>
      </w:r>
      <w:r w:rsidRPr="002A48D8">
        <w:rPr>
          <w:lang w:val="en-US"/>
        </w:rPr>
        <w:t>mg</w:t>
      </w:r>
      <w:r w:rsidRPr="002A48D8">
        <w:rPr>
          <w:lang w:val="ru-RU"/>
        </w:rPr>
        <w:t xml:space="preserve"> </w:t>
      </w:r>
      <w:r w:rsidRPr="002A48D8">
        <w:rPr>
          <w:lang w:eastAsia="bg-BG"/>
        </w:rPr>
        <w:t>филмирани таблетки</w:t>
      </w:r>
    </w:p>
    <w:p w14:paraId="223C098E" w14:textId="77777777" w:rsidR="002A48D8" w:rsidRPr="002A48D8" w:rsidRDefault="002A48D8" w:rsidP="002A48D8">
      <w:pPr>
        <w:rPr>
          <w:sz w:val="24"/>
          <w:szCs w:val="24"/>
          <w:lang w:val="ru-RU"/>
        </w:rPr>
      </w:pPr>
      <w:r w:rsidRPr="002A48D8">
        <w:rPr>
          <w:lang w:eastAsia="bg-BG"/>
        </w:rPr>
        <w:t xml:space="preserve">Ромазик 20 </w:t>
      </w:r>
      <w:r w:rsidRPr="002A48D8">
        <w:rPr>
          <w:lang w:val="en-US"/>
        </w:rPr>
        <w:t>mg</w:t>
      </w:r>
      <w:r w:rsidRPr="002A48D8">
        <w:rPr>
          <w:lang w:val="ru-RU"/>
        </w:rPr>
        <w:t xml:space="preserve"> </w:t>
      </w:r>
      <w:r w:rsidRPr="002A48D8">
        <w:rPr>
          <w:lang w:eastAsia="bg-BG"/>
        </w:rPr>
        <w:t>филмирани таблетки</w:t>
      </w:r>
    </w:p>
    <w:p w14:paraId="532455D8" w14:textId="77777777" w:rsidR="002A48D8" w:rsidRPr="002A48D8" w:rsidRDefault="002A48D8" w:rsidP="002A48D8">
      <w:pPr>
        <w:rPr>
          <w:lang w:val="ru-RU"/>
        </w:rPr>
      </w:pPr>
    </w:p>
    <w:p w14:paraId="744744C7" w14:textId="229898A2" w:rsidR="002A48D8" w:rsidRPr="002A48D8" w:rsidRDefault="002A48D8" w:rsidP="002A48D8">
      <w:pPr>
        <w:rPr>
          <w:sz w:val="24"/>
          <w:szCs w:val="24"/>
          <w:lang w:val="ru-RU"/>
        </w:rPr>
      </w:pPr>
      <w:bookmarkStart w:id="1" w:name="_GoBack"/>
      <w:bookmarkEnd w:id="1"/>
      <w:proofErr w:type="spellStart"/>
      <w:r w:rsidRPr="002A48D8">
        <w:rPr>
          <w:lang w:val="en-US"/>
        </w:rPr>
        <w:t>Romazic</w:t>
      </w:r>
      <w:proofErr w:type="spellEnd"/>
      <w:r w:rsidRPr="002A48D8">
        <w:rPr>
          <w:lang w:val="ru-RU"/>
        </w:rPr>
        <w:t xml:space="preserve"> </w:t>
      </w:r>
      <w:r w:rsidRPr="002A48D8">
        <w:rPr>
          <w:lang w:eastAsia="bg-BG"/>
        </w:rPr>
        <w:t xml:space="preserve">5 </w:t>
      </w:r>
      <w:r w:rsidRPr="002A48D8">
        <w:rPr>
          <w:lang w:val="en-US"/>
        </w:rPr>
        <w:t>mg</w:t>
      </w:r>
      <w:r w:rsidRPr="002A48D8">
        <w:rPr>
          <w:lang w:val="ru-RU"/>
        </w:rPr>
        <w:t xml:space="preserve"> </w:t>
      </w:r>
      <w:r w:rsidRPr="002A48D8">
        <w:rPr>
          <w:lang w:val="en-US"/>
        </w:rPr>
        <w:t>film</w:t>
      </w:r>
      <w:r w:rsidRPr="002A48D8">
        <w:rPr>
          <w:lang w:val="ru-RU"/>
        </w:rPr>
        <w:t>-</w:t>
      </w:r>
      <w:r w:rsidRPr="002A48D8">
        <w:rPr>
          <w:lang w:val="en-US"/>
        </w:rPr>
        <w:t>coated</w:t>
      </w:r>
      <w:r w:rsidRPr="002A48D8">
        <w:rPr>
          <w:lang w:val="ru-RU"/>
        </w:rPr>
        <w:t xml:space="preserve"> </w:t>
      </w:r>
      <w:r w:rsidRPr="002A48D8">
        <w:rPr>
          <w:lang w:val="en-US"/>
        </w:rPr>
        <w:t>tablets</w:t>
      </w:r>
    </w:p>
    <w:p w14:paraId="6D268F56" w14:textId="77777777" w:rsidR="002A48D8" w:rsidRPr="002A48D8" w:rsidRDefault="002A48D8" w:rsidP="002A48D8">
      <w:pPr>
        <w:rPr>
          <w:sz w:val="24"/>
          <w:szCs w:val="24"/>
          <w:lang w:val="en-US"/>
        </w:rPr>
      </w:pPr>
      <w:proofErr w:type="spellStart"/>
      <w:r w:rsidRPr="002A48D8">
        <w:rPr>
          <w:lang w:val="en-US"/>
        </w:rPr>
        <w:t>Romazic</w:t>
      </w:r>
      <w:proofErr w:type="spellEnd"/>
      <w:r w:rsidRPr="002A48D8">
        <w:rPr>
          <w:lang w:val="en-US"/>
        </w:rPr>
        <w:t xml:space="preserve"> 10 mg film-coated tablets</w:t>
      </w:r>
    </w:p>
    <w:p w14:paraId="59BE71E4" w14:textId="7B55B89F" w:rsidR="002A48D8" w:rsidRPr="002A48D8" w:rsidRDefault="002A48D8" w:rsidP="002A48D8">
      <w:proofErr w:type="spellStart"/>
      <w:r w:rsidRPr="002A48D8">
        <w:rPr>
          <w:lang w:val="en-US"/>
        </w:rPr>
        <w:t>Romazic</w:t>
      </w:r>
      <w:proofErr w:type="spellEnd"/>
      <w:r w:rsidRPr="002A48D8">
        <w:rPr>
          <w:lang w:val="en-US"/>
        </w:rPr>
        <w:t xml:space="preserve"> 20 mg film-coated tablets</w:t>
      </w:r>
    </w:p>
    <w:p w14:paraId="48E6CABE" w14:textId="33FE14E3" w:rsidR="00DB32D3" w:rsidRDefault="00DD466D" w:rsidP="005726E3">
      <w:pPr>
        <w:pStyle w:val="Heading1"/>
      </w:pPr>
      <w:r>
        <w:t>2. КАЧЕСТВЕН И КОЛИЧЕСТВЕН СЪСТАВ</w:t>
      </w:r>
    </w:p>
    <w:p w14:paraId="35742501" w14:textId="43BC575A" w:rsidR="002A48D8" w:rsidRDefault="002A48D8" w:rsidP="002A48D8"/>
    <w:p w14:paraId="1132ADC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5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604197D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10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4F6BDAB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филмирани таблетки: всяка таблетка съдържа 20 </w:t>
      </w:r>
      <w:r w:rsidRPr="002A48D8">
        <w:rPr>
          <w:rFonts w:eastAsia="Times New Roman" w:cs="Arial"/>
          <w:color w:val="000000"/>
          <w:lang w:val="en-US"/>
        </w:rPr>
        <w:t>mg</w:t>
      </w:r>
      <w:r w:rsidRPr="002A48D8">
        <w:rPr>
          <w:rFonts w:eastAsia="Times New Roman" w:cs="Arial"/>
          <w:color w:val="000000"/>
        </w:rPr>
        <w:t xml:space="preserve"> </w:t>
      </w:r>
      <w:r w:rsidRPr="002A48D8">
        <w:rPr>
          <w:rFonts w:eastAsia="Times New Roman" w:cs="Arial"/>
          <w:color w:val="000000"/>
          <w:lang w:eastAsia="bg-BG"/>
        </w:rPr>
        <w:t xml:space="preserve">розувастатин </w:t>
      </w:r>
      <w:r w:rsidRPr="002A48D8">
        <w:rPr>
          <w:rFonts w:eastAsia="Times New Roman" w:cs="Arial"/>
          <w:color w:val="000000"/>
        </w:rPr>
        <w:t>(</w:t>
      </w:r>
      <w:proofErr w:type="spellStart"/>
      <w:r w:rsidRPr="002A48D8">
        <w:rPr>
          <w:rFonts w:eastAsia="Times New Roman" w:cs="Arial"/>
          <w:color w:val="000000"/>
          <w:lang w:val="en-US"/>
        </w:rPr>
        <w:t>rosuvastatin</w:t>
      </w:r>
      <w:proofErr w:type="spellEnd"/>
      <w:r w:rsidRPr="002A48D8">
        <w:rPr>
          <w:rFonts w:eastAsia="Times New Roman" w:cs="Arial"/>
          <w:color w:val="000000"/>
        </w:rPr>
        <w:t xml:space="preserve">), </w:t>
      </w:r>
      <w:r w:rsidRPr="002A48D8">
        <w:rPr>
          <w:rFonts w:eastAsia="Times New Roman" w:cs="Arial"/>
          <w:color w:val="000000"/>
          <w:lang w:eastAsia="bg-BG"/>
        </w:rPr>
        <w:t>(като розувастатин калций)</w:t>
      </w:r>
    </w:p>
    <w:p w14:paraId="1ABEF17E" w14:textId="77777777" w:rsidR="002A48D8" w:rsidRDefault="002A48D8" w:rsidP="002A48D8">
      <w:pPr>
        <w:spacing w:line="240" w:lineRule="auto"/>
        <w:rPr>
          <w:rFonts w:eastAsia="Times New Roman" w:cs="Arial"/>
          <w:color w:val="000000"/>
          <w:lang w:eastAsia="bg-BG"/>
        </w:rPr>
      </w:pPr>
    </w:p>
    <w:p w14:paraId="77B1973B" w14:textId="5BC474BA"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Помощно вещество с известно действие: натрий, лактоза монохидрат</w:t>
      </w:r>
    </w:p>
    <w:p w14:paraId="7303B7F4" w14:textId="73B4022D"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41,572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70B4FFD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Ромазик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83,144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2B6FF62E" w14:textId="6AC843E8" w:rsidR="002A48D8" w:rsidRPr="002A48D8" w:rsidRDefault="002A48D8" w:rsidP="002A48D8">
      <w:pPr>
        <w:rPr>
          <w:rFonts w:cs="Arial"/>
        </w:rPr>
      </w:pPr>
      <w:r w:rsidRPr="002A48D8">
        <w:rPr>
          <w:rFonts w:eastAsia="Times New Roman" w:cs="Arial"/>
          <w:color w:val="000000"/>
          <w:lang w:eastAsia="bg-BG"/>
        </w:rPr>
        <w:t xml:space="preserve">Ромазик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филмирани таблетки: всяка таблетка съдържа 166,288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лактоза монохидрат</w:t>
      </w:r>
    </w:p>
    <w:p w14:paraId="614984C4" w14:textId="2A433429" w:rsidR="008A6AF2" w:rsidRDefault="00DD466D" w:rsidP="002C50EE">
      <w:pPr>
        <w:pStyle w:val="Heading1"/>
      </w:pPr>
      <w:r>
        <w:t>3. ЛЕКАРСТВЕНА ФОРМА</w:t>
      </w:r>
    </w:p>
    <w:p w14:paraId="6F34C403" w14:textId="56508CFE" w:rsidR="002A48D8" w:rsidRDefault="002A48D8" w:rsidP="002A48D8"/>
    <w:p w14:paraId="0E5EFE50"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Филмирана таблетка</w:t>
      </w:r>
    </w:p>
    <w:p w14:paraId="79A3EE6E" w14:textId="77777777" w:rsidR="002A48D8" w:rsidRDefault="002A48D8" w:rsidP="002A48D8">
      <w:pPr>
        <w:spacing w:line="240" w:lineRule="auto"/>
        <w:rPr>
          <w:rFonts w:eastAsia="Times New Roman" w:cs="Arial"/>
          <w:color w:val="000000"/>
          <w:szCs w:val="42"/>
          <w:lang w:eastAsia="bg-BG"/>
        </w:rPr>
      </w:pPr>
    </w:p>
    <w:p w14:paraId="6D4F0DEA" w14:textId="6B8F75B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5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 изпъкнали филмирани таблетки, гравирани с ”5” от едната страна.</w:t>
      </w:r>
    </w:p>
    <w:p w14:paraId="0CD5B575" w14:textId="77777777" w:rsidR="002A48D8" w:rsidRPr="002A48D8" w:rsidRDefault="002A48D8" w:rsidP="002A48D8">
      <w:pPr>
        <w:spacing w:line="240" w:lineRule="auto"/>
        <w:rPr>
          <w:rFonts w:eastAsia="Times New Roman" w:cs="Arial"/>
          <w:sz w:val="12"/>
          <w:szCs w:val="24"/>
        </w:rPr>
      </w:pPr>
      <w:r w:rsidRPr="002A48D8">
        <w:rPr>
          <w:rFonts w:eastAsia="Times New Roman" w:cs="Arial"/>
          <w:color w:val="000000"/>
          <w:szCs w:val="42"/>
          <w:lang w:eastAsia="bg-BG"/>
        </w:rPr>
        <w:t xml:space="preserve">Ромазик 10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 10” от едната страна.</w:t>
      </w:r>
    </w:p>
    <w:p w14:paraId="6B3DC74F" w14:textId="7D9F0F42" w:rsidR="002A48D8" w:rsidRPr="002A48D8" w:rsidRDefault="002A48D8" w:rsidP="002A48D8">
      <w:pPr>
        <w:rPr>
          <w:rFonts w:cs="Arial"/>
          <w:sz w:val="10"/>
        </w:rPr>
      </w:pPr>
      <w:r w:rsidRPr="002A48D8">
        <w:rPr>
          <w:rFonts w:eastAsia="Times New Roman" w:cs="Arial"/>
          <w:color w:val="000000"/>
          <w:szCs w:val="42"/>
          <w:lang w:eastAsia="bg-BG"/>
        </w:rPr>
        <w:t xml:space="preserve">Ромазик 20 </w:t>
      </w:r>
      <w:r w:rsidRPr="002A48D8">
        <w:rPr>
          <w:rFonts w:eastAsia="Times New Roman" w:cs="Arial"/>
          <w:color w:val="000000"/>
          <w:szCs w:val="42"/>
          <w:lang w:val="en-US"/>
        </w:rPr>
        <w:t>mg</w:t>
      </w:r>
      <w:r w:rsidRPr="002A48D8">
        <w:rPr>
          <w:rFonts w:eastAsia="Times New Roman" w:cs="Arial"/>
          <w:color w:val="000000"/>
          <w:szCs w:val="42"/>
          <w:lang w:val="ru-RU"/>
        </w:rPr>
        <w:t xml:space="preserve"> </w:t>
      </w:r>
      <w:r w:rsidRPr="002A48D8">
        <w:rPr>
          <w:rFonts w:eastAsia="Times New Roman" w:cs="Arial"/>
          <w:color w:val="000000"/>
          <w:szCs w:val="42"/>
          <w:lang w:eastAsia="bg-BG"/>
        </w:rPr>
        <w:t>филмирани таблетки: Бели или почти бели, кръгли и двойноизпъкнали филмирани таблетки, гравирани с ”20” от едната страна.</w:t>
      </w:r>
    </w:p>
    <w:p w14:paraId="490FC2C4" w14:textId="6899DE43" w:rsidR="002C50EE" w:rsidRDefault="002C50EE" w:rsidP="002C50EE">
      <w:pPr>
        <w:pStyle w:val="Heading1"/>
      </w:pPr>
      <w:r>
        <w:t>4. КЛИНИЧНИ ДАННИ</w:t>
      </w:r>
    </w:p>
    <w:p w14:paraId="0771830A" w14:textId="20FEE308" w:rsidR="00DB32D3" w:rsidRDefault="002C50EE" w:rsidP="005726E3">
      <w:pPr>
        <w:pStyle w:val="Heading2"/>
      </w:pPr>
      <w:r>
        <w:t>4.1. Терапевтични показания</w:t>
      </w:r>
    </w:p>
    <w:p w14:paraId="6D586120" w14:textId="729303CE" w:rsidR="002A48D8" w:rsidRDefault="002A48D8" w:rsidP="002A48D8"/>
    <w:p w14:paraId="5C0DE8AB" w14:textId="77777777" w:rsidR="002A48D8" w:rsidRPr="002A48D8" w:rsidRDefault="002A48D8" w:rsidP="002A48D8">
      <w:pPr>
        <w:spacing w:line="240" w:lineRule="auto"/>
        <w:rPr>
          <w:rFonts w:eastAsia="Times New Roman" w:cs="Arial"/>
        </w:rPr>
      </w:pPr>
      <w:bookmarkStart w:id="2" w:name="bookmark0"/>
      <w:r w:rsidRPr="002A48D8">
        <w:rPr>
          <w:rFonts w:eastAsia="Times New Roman" w:cs="Arial"/>
          <w:b/>
          <w:bCs/>
          <w:color w:val="000000"/>
          <w:lang w:eastAsia="bg-BG"/>
        </w:rPr>
        <w:t>Лечение на хиперхолестеролемия</w:t>
      </w:r>
      <w:bookmarkEnd w:id="2"/>
    </w:p>
    <w:p w14:paraId="1CA3C38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първична хиперхолестеролемия (тип </w:t>
      </w:r>
      <w:r w:rsidRPr="002A48D8">
        <w:rPr>
          <w:rFonts w:eastAsia="Times New Roman" w:cs="Arial"/>
          <w:color w:val="000000"/>
          <w:lang w:val="en-US"/>
        </w:rPr>
        <w:t>II</w:t>
      </w:r>
      <w:r w:rsidRPr="002A48D8">
        <w:rPr>
          <w:rFonts w:eastAsia="Times New Roman" w:cs="Arial"/>
          <w:color w:val="000000"/>
          <w:lang w:eastAsia="bg-BG"/>
        </w:rPr>
        <w:t xml:space="preserve">а) или смесена дислипидемия (тип </w:t>
      </w:r>
      <w:proofErr w:type="spellStart"/>
      <w:r w:rsidRPr="002A48D8">
        <w:rPr>
          <w:rFonts w:eastAsia="Times New Roman" w:cs="Arial"/>
          <w:color w:val="000000"/>
          <w:lang w:val="en-US"/>
        </w:rPr>
        <w:t>IIb</w:t>
      </w:r>
      <w:proofErr w:type="spellEnd"/>
      <w:r w:rsidRPr="002A48D8">
        <w:rPr>
          <w:rFonts w:eastAsia="Times New Roman" w:cs="Arial"/>
          <w:color w:val="000000"/>
          <w:lang w:eastAsia="bg-BG"/>
        </w:rPr>
        <w:t xml:space="preserve">) като добавка към </w:t>
      </w:r>
      <w:r w:rsidRPr="002A48D8">
        <w:rPr>
          <w:rFonts w:eastAsia="Times New Roman" w:cs="Arial"/>
          <w:color w:val="000000"/>
          <w:lang w:eastAsia="bg-BG"/>
        </w:rPr>
        <w:lastRenderedPageBreak/>
        <w:t>диетата, когато резултатът от диетата и други нефармакологични мерки (напр. физическите упражнения, намаляване на теглото) не е задоволителен.</w:t>
      </w:r>
    </w:p>
    <w:p w14:paraId="5191295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Възрастни, младежи и деца на или над 6-годишна възраст с хомозиготна фамилна хиперхолестеролемия като добавка към диетата, както и с друго липидопонижаващо лечение (напр. </w:t>
      </w:r>
      <w:r w:rsidRPr="002A48D8">
        <w:rPr>
          <w:rFonts w:eastAsia="Times New Roman" w:cs="Arial"/>
          <w:color w:val="000000"/>
          <w:lang w:val="en-US"/>
        </w:rPr>
        <w:t>LDL</w:t>
      </w:r>
      <w:r w:rsidRPr="002A48D8">
        <w:rPr>
          <w:rFonts w:eastAsia="Times New Roman" w:cs="Arial"/>
          <w:color w:val="000000"/>
          <w:lang w:val="ru-RU"/>
        </w:rPr>
        <w:t xml:space="preserve"> </w:t>
      </w:r>
      <w:r w:rsidRPr="002A48D8">
        <w:rPr>
          <w:rFonts w:eastAsia="Times New Roman" w:cs="Arial"/>
          <w:color w:val="000000"/>
          <w:lang w:eastAsia="bg-BG"/>
        </w:rPr>
        <w:t>афереза) или когато това лечение не е подходящо.</w:t>
      </w:r>
    </w:p>
    <w:p w14:paraId="3A014D49" w14:textId="77777777" w:rsidR="002A48D8" w:rsidRPr="002A48D8" w:rsidRDefault="002A48D8" w:rsidP="002A48D8">
      <w:pPr>
        <w:spacing w:line="240" w:lineRule="auto"/>
        <w:rPr>
          <w:rFonts w:eastAsia="Times New Roman" w:cs="Arial"/>
          <w:b/>
          <w:bCs/>
          <w:color w:val="000000"/>
          <w:lang w:eastAsia="bg-BG"/>
        </w:rPr>
      </w:pPr>
    </w:p>
    <w:p w14:paraId="48EB24BA" w14:textId="7FECC9A9"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p>
    <w:p w14:paraId="2085AAD8" w14:textId="77777777" w:rsidR="002A48D8" w:rsidRPr="002A48D8" w:rsidRDefault="002A48D8" w:rsidP="002A48D8">
      <w:pPr>
        <w:spacing w:line="240" w:lineRule="auto"/>
        <w:rPr>
          <w:rFonts w:ascii="Times New Roman" w:eastAsia="Times New Roman" w:hAnsi="Times New Roman" w:cs="Times New Roman"/>
          <w:sz w:val="24"/>
          <w:szCs w:val="24"/>
        </w:rPr>
      </w:pPr>
      <w:r w:rsidRPr="002A48D8">
        <w:rPr>
          <w:rFonts w:eastAsia="Times New Roman" w:cs="Arial"/>
          <w:color w:val="000000"/>
          <w:lang w:eastAsia="bg-BG"/>
        </w:rPr>
        <w:t>Профилактика на значими сърдечносъдови инциденти при пациенти, които се очаква да имат висок риск за първи сърдечносъдов инцидент (вж. точка 5.1), като допълнение към коригиране на други рискови фактори.</w:t>
      </w:r>
    </w:p>
    <w:p w14:paraId="0D05E75B" w14:textId="77777777" w:rsidR="002A48D8" w:rsidRPr="002A48D8" w:rsidRDefault="002A48D8" w:rsidP="002A48D8"/>
    <w:p w14:paraId="7647A102" w14:textId="663C20F8" w:rsidR="00DB32D3" w:rsidRDefault="002C50EE" w:rsidP="005726E3">
      <w:pPr>
        <w:pStyle w:val="Heading2"/>
      </w:pPr>
      <w:r>
        <w:t>4.2. Дозировка и начин на приложение</w:t>
      </w:r>
    </w:p>
    <w:p w14:paraId="2BC9BC5C" w14:textId="754BEF55" w:rsidR="002A48D8" w:rsidRDefault="002A48D8" w:rsidP="002A48D8"/>
    <w:p w14:paraId="0CA454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Преди започване на лечението, пациентът трябва да бъде поставен на стандартна холестерол- понижаваща диета, която трябва да продължи и по време на лечението. Дозата трябва да се индивидуализира в зависимост от целта на лечението и отговора на пациента, като се използват актуалните консенсусни препоръки.</w:t>
      </w:r>
    </w:p>
    <w:p w14:paraId="1748A2C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може да се приема по всяко време на деня, с или без храна.</w:t>
      </w:r>
    </w:p>
    <w:p w14:paraId="240E1B72" w14:textId="77777777" w:rsidR="002A48D8" w:rsidRDefault="002A48D8" w:rsidP="002A48D8">
      <w:pPr>
        <w:spacing w:line="240" w:lineRule="auto"/>
        <w:rPr>
          <w:rFonts w:eastAsia="Times New Roman" w:cs="Arial"/>
          <w:b/>
          <w:bCs/>
          <w:color w:val="000000"/>
          <w:lang w:eastAsia="bg-BG"/>
        </w:rPr>
      </w:pPr>
    </w:p>
    <w:p w14:paraId="5898C44B" w14:textId="53DB6DBF"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Лечение на хиперхолестеролемия</w:t>
      </w:r>
    </w:p>
    <w:p w14:paraId="77AF46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или 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перорално веднъж дневно, както при пациенти, които не са приемали статини, така и при преминаване от друг инхибитор на </w:t>
      </w:r>
      <w:r w:rsidRPr="002A48D8">
        <w:rPr>
          <w:rFonts w:eastAsia="Times New Roman" w:cs="Arial"/>
          <w:color w:val="000000"/>
          <w:lang w:val="en-US"/>
        </w:rPr>
        <w:t>HMG</w:t>
      </w:r>
      <w:r w:rsidRPr="002A48D8">
        <w:rPr>
          <w:rFonts w:eastAsia="Times New Roman" w:cs="Arial"/>
          <w:color w:val="000000"/>
          <w:lang w:val="ru-RU"/>
        </w:rPr>
        <w:t xml:space="preserve">- </w:t>
      </w:r>
      <w:r w:rsidRPr="002A48D8">
        <w:rPr>
          <w:rFonts w:eastAsia="Times New Roman" w:cs="Arial"/>
          <w:color w:val="000000"/>
          <w:lang w:eastAsia="bg-BG"/>
        </w:rPr>
        <w:t xml:space="preserve">СоА редуктазата. Изборът на начална доза зависи от нивото на серумния холестерол, бъдещия сърдечносъдов риск и потенциалния риск от поява на нежелани лекарствени реакции (вж. по- долу). При необходимост дозата може да се коригира като след 4 седмици се премине на следващото дозово ниво (вж. точка 5.1). Предвид повишената честота на докладване на нежелани реакции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в сравнение с по-ниските дози (вж. точка 4.8), последно титриране до максималната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трябва да се предприема само при пациенти с тежка хиперхолестеролемия с висок сърдечносъдов риск (особено тези с фамилна хиперхолестеролемия), които не достигат прицелните ниша на холестерола при лечение с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и при които ще се провежда рутинно проследяване в хода на лечението (вж. точка 4.4). При започване на лечение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се препоръчва постоянно наблюдение на пациента от специалист.</w:t>
      </w:r>
    </w:p>
    <w:p w14:paraId="3F708EF7" w14:textId="77777777" w:rsidR="002A48D8" w:rsidRDefault="002A48D8" w:rsidP="002A48D8">
      <w:pPr>
        <w:spacing w:line="240" w:lineRule="auto"/>
        <w:rPr>
          <w:rFonts w:eastAsia="Times New Roman" w:cs="Arial"/>
          <w:b/>
          <w:bCs/>
          <w:color w:val="000000"/>
          <w:lang w:eastAsia="bg-BG"/>
        </w:rPr>
      </w:pPr>
      <w:bookmarkStart w:id="3" w:name="bookmark2"/>
    </w:p>
    <w:p w14:paraId="1A33E46D" w14:textId="4C3F9CD6"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Профилактика на сърдечносъдови инциденти</w:t>
      </w:r>
      <w:bookmarkEnd w:id="3"/>
    </w:p>
    <w:p w14:paraId="53CEEDDB"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 за намаляване на риска от сърдечносъдови инциденти, използваната доза е била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 (вж. точка 5.1).</w:t>
      </w:r>
    </w:p>
    <w:p w14:paraId="3CAE0070" w14:textId="77777777" w:rsidR="002A48D8" w:rsidRDefault="002A48D8" w:rsidP="002A48D8">
      <w:pPr>
        <w:spacing w:line="240" w:lineRule="auto"/>
        <w:rPr>
          <w:rFonts w:eastAsia="Times New Roman" w:cs="Arial"/>
          <w:b/>
          <w:bCs/>
          <w:color w:val="000000"/>
          <w:lang w:eastAsia="bg-BG"/>
        </w:rPr>
      </w:pPr>
      <w:bookmarkStart w:id="4" w:name="bookmark4"/>
    </w:p>
    <w:p w14:paraId="4487D69B" w14:textId="5C296FAC" w:rsidR="002A48D8" w:rsidRPr="002A48D8" w:rsidRDefault="002A48D8" w:rsidP="002A48D8">
      <w:pPr>
        <w:spacing w:line="240" w:lineRule="auto"/>
        <w:rPr>
          <w:rFonts w:eastAsia="Times New Roman" w:cs="Arial"/>
        </w:rPr>
      </w:pPr>
      <w:r w:rsidRPr="002A48D8">
        <w:rPr>
          <w:rFonts w:eastAsia="Times New Roman" w:cs="Arial"/>
          <w:b/>
          <w:bCs/>
          <w:color w:val="000000"/>
          <w:lang w:eastAsia="bg-BG"/>
        </w:rPr>
        <w:t>Педиатрична популация</w:t>
      </w:r>
      <w:bookmarkEnd w:id="4"/>
    </w:p>
    <w:p w14:paraId="2A40CF4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Употребата при деца трябва да се провежда само от специалисти.</w:t>
      </w:r>
    </w:p>
    <w:p w14:paraId="731C42E8" w14:textId="77777777" w:rsidR="002A48D8" w:rsidRDefault="002A48D8" w:rsidP="002A48D8">
      <w:pPr>
        <w:spacing w:line="240" w:lineRule="auto"/>
        <w:rPr>
          <w:rFonts w:eastAsia="Times New Roman" w:cs="Arial"/>
          <w:color w:val="000000"/>
          <w:u w:val="single"/>
          <w:lang w:eastAsia="bg-BG"/>
        </w:rPr>
      </w:pPr>
    </w:p>
    <w:p w14:paraId="135D9265" w14:textId="7A539230"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и младежи на възраст 6 до 17 години (стадий &lt;</w:t>
      </w:r>
      <w:r w:rsidRPr="002A48D8">
        <w:rPr>
          <w:rFonts w:eastAsia="Times New Roman" w:cs="Arial"/>
          <w:color w:val="000000"/>
          <w:u w:val="single"/>
          <w:lang w:val="en-US"/>
        </w:rPr>
        <w:t>II</w:t>
      </w:r>
      <w:r w:rsidRPr="002A48D8">
        <w:rPr>
          <w:rFonts w:eastAsia="Times New Roman" w:cs="Arial"/>
          <w:color w:val="000000"/>
          <w:u w:val="single"/>
          <w:lang w:eastAsia="bg-BG"/>
        </w:rPr>
        <w:t>-V по Танер)</w:t>
      </w:r>
    </w:p>
    <w:p w14:paraId="0B11941D" w14:textId="77777777" w:rsidR="002A48D8" w:rsidRDefault="002A48D8" w:rsidP="002A48D8">
      <w:pPr>
        <w:spacing w:line="240" w:lineRule="auto"/>
        <w:rPr>
          <w:rFonts w:eastAsia="Times New Roman" w:cs="Arial"/>
          <w:color w:val="000000"/>
          <w:u w:val="single"/>
          <w:lang w:eastAsia="bg-BG"/>
        </w:rPr>
      </w:pPr>
    </w:p>
    <w:p w14:paraId="07C5E2DE" w14:textId="1E3FA7B5"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Хомозиготна Фамилна хиперхолестеролемия</w:t>
      </w:r>
    </w:p>
    <w:p w14:paraId="4D9D1EA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деца и младежи на възраст 6 до 17 години с хомозиготна фамилна хиперхолестеролемия препоръчваната максимална доза е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дневно.</w:t>
      </w:r>
    </w:p>
    <w:p w14:paraId="1FAD31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Началната доза е 5-10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перорално веднъж дневно в зависимост от възрастта, теглото и предшестващия статии.</w:t>
      </w:r>
    </w:p>
    <w:p w14:paraId="52587BB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Титрирането до максималната доза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дневно трябва да се провежда съгласно индивидуалния отговор и поносимост на педиатричните пациенти, както се препоръчва в </w:t>
      </w:r>
      <w:r w:rsidRPr="002A48D8">
        <w:rPr>
          <w:rFonts w:eastAsia="Times New Roman" w:cs="Arial"/>
          <w:color w:val="000000"/>
          <w:lang w:eastAsia="bg-BG"/>
        </w:rPr>
        <w:lastRenderedPageBreak/>
        <w:t>препоръките за лечение на деца (вж. точка 4.4). Децата и младежите трябва да се подложат на стандартна холестерол-понижаваща диета преди да се започне лечение с розувастатин; диетата трябва да се продължи по време на лечението с розувастатин.</w:t>
      </w:r>
    </w:p>
    <w:p w14:paraId="278FE81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Опитът при тази популация с дози, различни от 20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i/>
          <w:iCs/>
          <w:color w:val="000000"/>
          <w:lang w:eastAsia="bg-BG"/>
        </w:rPr>
        <w:t>е</w:t>
      </w:r>
      <w:r w:rsidRPr="002A48D8">
        <w:rPr>
          <w:rFonts w:eastAsia="Times New Roman" w:cs="Arial"/>
          <w:color w:val="000000"/>
          <w:lang w:eastAsia="bg-BG"/>
        </w:rPr>
        <w:t xml:space="preserve"> ограничен.</w:t>
      </w:r>
    </w:p>
    <w:p w14:paraId="736A791B" w14:textId="77777777" w:rsidR="002A48D8" w:rsidRDefault="002A48D8" w:rsidP="002A48D8">
      <w:pPr>
        <w:spacing w:line="240" w:lineRule="auto"/>
        <w:rPr>
          <w:rFonts w:eastAsia="Times New Roman" w:cs="Arial"/>
          <w:color w:val="000000"/>
          <w:u w:val="single"/>
          <w:lang w:eastAsia="bg-BG"/>
        </w:rPr>
      </w:pPr>
    </w:p>
    <w:p w14:paraId="56C77972" w14:textId="50FF764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Деца по-малки от 6 години</w:t>
      </w:r>
    </w:p>
    <w:p w14:paraId="3D8AE20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Безопасността и ефикасността на употребата при деца по-малки от 6 години не са проучвани. Следователно Ромазик не се препоръчва за употреба при деца по-малки от 6 години.</w:t>
      </w:r>
    </w:p>
    <w:p w14:paraId="78060C7E" w14:textId="77777777" w:rsidR="002A48D8" w:rsidRDefault="002A48D8" w:rsidP="002A48D8">
      <w:pPr>
        <w:spacing w:line="240" w:lineRule="auto"/>
        <w:rPr>
          <w:rFonts w:eastAsia="Times New Roman" w:cs="Arial"/>
          <w:color w:val="000000"/>
          <w:u w:val="single"/>
          <w:lang w:eastAsia="bg-BG"/>
        </w:rPr>
      </w:pPr>
    </w:p>
    <w:p w14:paraId="140D272B" w14:textId="56B4FACA"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Употреба при пациента в старческа възраст</w:t>
      </w:r>
    </w:p>
    <w:p w14:paraId="57A4583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Препоръчителната начална доза при пациенти &gt; 70 годишна възраст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тоачка 4.4). Не е необходимо друго коригиране на дозировката в зависимост от възрастта.</w:t>
      </w:r>
    </w:p>
    <w:p w14:paraId="583B97FA" w14:textId="77777777" w:rsidR="002A48D8" w:rsidRDefault="002A48D8" w:rsidP="002A48D8">
      <w:pPr>
        <w:spacing w:line="240" w:lineRule="auto"/>
        <w:rPr>
          <w:rFonts w:eastAsia="Times New Roman" w:cs="Arial"/>
          <w:color w:val="000000"/>
          <w:u w:val="single"/>
          <w:lang w:eastAsia="bg-BG"/>
        </w:rPr>
      </w:pPr>
    </w:p>
    <w:p w14:paraId="56D812C9" w14:textId="01424344" w:rsidR="002A48D8" w:rsidRDefault="002A48D8" w:rsidP="002A48D8">
      <w:pPr>
        <w:spacing w:line="240" w:lineRule="auto"/>
        <w:rPr>
          <w:rFonts w:eastAsia="Times New Roman" w:cs="Arial"/>
          <w:color w:val="000000"/>
          <w:u w:val="single"/>
          <w:lang w:eastAsia="bg-BG"/>
        </w:rPr>
      </w:pPr>
      <w:r w:rsidRPr="002A48D8">
        <w:rPr>
          <w:rFonts w:eastAsia="Times New Roman" w:cs="Arial"/>
          <w:color w:val="000000"/>
          <w:u w:val="single"/>
          <w:lang w:eastAsia="bg-BG"/>
        </w:rPr>
        <w:t>Дозиране при пациенти с бъбречна недостатъчност:</w:t>
      </w:r>
    </w:p>
    <w:p w14:paraId="766DC2D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необходима корекция на дозата при пациенти с леко до умерено увреждане на бъбречната функция. При пациенти с умерено увреждане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 xml:space="preserve">). </w:t>
      </w:r>
      <w:r w:rsidRPr="002A48D8">
        <w:rPr>
          <w:rFonts w:eastAsia="Times New Roman" w:cs="Arial"/>
          <w:color w:val="000000"/>
          <w:lang w:eastAsia="bg-BG"/>
        </w:rPr>
        <w:t xml:space="preserve">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умерено увреждане на бъбречната функция. Употребата на розувастатин при пациенти с тежко увреждане на бъбречната функция е противопоказана за всички дозировки (вж. точки 4.3 и 5.2)</w:t>
      </w:r>
    </w:p>
    <w:p w14:paraId="5F9307B8" w14:textId="77777777" w:rsidR="002A48D8" w:rsidRDefault="002A48D8" w:rsidP="002A48D8">
      <w:pPr>
        <w:spacing w:line="240" w:lineRule="auto"/>
        <w:rPr>
          <w:rFonts w:eastAsia="Times New Roman" w:cs="Arial"/>
          <w:color w:val="000000"/>
          <w:u w:val="single"/>
          <w:lang w:eastAsia="bg-BG"/>
        </w:rPr>
      </w:pPr>
    </w:p>
    <w:p w14:paraId="6BD7B952" w14:textId="48A0E58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с увреждане на чернодробната Функция:</w:t>
      </w:r>
    </w:p>
    <w:p w14:paraId="4DED601F"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Не е наблюдавана повишена системна експозиция на розувастатин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равна на 7 или по-ниска. Въпреки това повишена системна експозиция е наблюдавана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 xml:space="preserve">8 и 9 (вж. точка 5.2). При тези пациенти трябва да се предприеме и оценка на бъбречната функция (вж. точка 4.4). Липсва опит при пациенти с оценка по скалата на </w:t>
      </w:r>
      <w:r w:rsidRPr="002A48D8">
        <w:rPr>
          <w:rFonts w:eastAsia="Times New Roman" w:cs="Arial"/>
          <w:color w:val="000000"/>
          <w:lang w:val="en-US"/>
        </w:rPr>
        <w:t>Child</w:t>
      </w:r>
      <w:r w:rsidRPr="002A48D8">
        <w:rPr>
          <w:rFonts w:eastAsia="Times New Roman" w:cs="Arial"/>
          <w:color w:val="000000"/>
          <w:lang w:val="ru-RU"/>
        </w:rPr>
        <w:t>-</w:t>
      </w:r>
      <w:r w:rsidRPr="002A48D8">
        <w:rPr>
          <w:rFonts w:eastAsia="Times New Roman" w:cs="Arial"/>
          <w:color w:val="000000"/>
          <w:lang w:val="en-US"/>
        </w:rPr>
        <w:t>Pugh</w:t>
      </w:r>
      <w:r w:rsidRPr="002A48D8">
        <w:rPr>
          <w:rFonts w:eastAsia="Times New Roman" w:cs="Arial"/>
          <w:color w:val="000000"/>
          <w:lang w:val="ru-RU"/>
        </w:rPr>
        <w:t xml:space="preserve"> </w:t>
      </w:r>
      <w:r w:rsidRPr="002A48D8">
        <w:rPr>
          <w:rFonts w:eastAsia="Times New Roman" w:cs="Arial"/>
          <w:color w:val="000000"/>
          <w:lang w:eastAsia="bg-BG"/>
        </w:rPr>
        <w:t>над 9. Розувастатин е противопоказан при пациенти с активно чернодробно заболяване (вж. точка 4.3).</w:t>
      </w:r>
    </w:p>
    <w:p w14:paraId="4C735877" w14:textId="77777777" w:rsidR="002A48D8" w:rsidRDefault="002A48D8" w:rsidP="002A48D8">
      <w:pPr>
        <w:spacing w:line="240" w:lineRule="auto"/>
        <w:rPr>
          <w:rFonts w:eastAsia="Times New Roman" w:cs="Arial"/>
          <w:color w:val="000000"/>
          <w:u w:val="single"/>
          <w:lang w:eastAsia="bg-BG"/>
        </w:rPr>
      </w:pPr>
    </w:p>
    <w:p w14:paraId="268D5D4E" w14:textId="269C1236"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18413D3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от азиатски произход е наблюдавана повишена системна експозиция (вж. точки 4.3,4.4 и 5.2). Препоръчваната начална доза при пациенти от азиатски произход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При тези пациенти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w:t>
      </w:r>
    </w:p>
    <w:p w14:paraId="597DB1CC" w14:textId="77777777" w:rsidR="002A48D8" w:rsidRDefault="002A48D8" w:rsidP="002A48D8">
      <w:pPr>
        <w:spacing w:line="240" w:lineRule="auto"/>
        <w:rPr>
          <w:rFonts w:eastAsia="Times New Roman" w:cs="Arial"/>
          <w:color w:val="000000"/>
          <w:u w:val="single"/>
          <w:lang w:eastAsia="bg-BG"/>
        </w:rPr>
      </w:pPr>
    </w:p>
    <w:p w14:paraId="19D67CEA" w14:textId="0015A593"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Генетичен полиморфизъм</w:t>
      </w:r>
    </w:p>
    <w:p w14:paraId="5482E23E"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Известно е, че специфични типове на генетичен полиморфизъм могат да доведат до повишена експозиция на розувастатин (вж. точка 5.2). За пациенти, за които е известно, че имат специфичен тип генетичен полиморфизъм, се препоръчва по-ниска доза розувастатин.</w:t>
      </w:r>
    </w:p>
    <w:p w14:paraId="0AFF5889" w14:textId="77777777" w:rsidR="002A48D8" w:rsidRDefault="002A48D8" w:rsidP="002A48D8">
      <w:pPr>
        <w:spacing w:line="240" w:lineRule="auto"/>
        <w:rPr>
          <w:rFonts w:eastAsia="Times New Roman" w:cs="Arial"/>
          <w:color w:val="000000"/>
          <w:u w:val="single"/>
          <w:lang w:eastAsia="bg-BG"/>
        </w:rPr>
      </w:pPr>
    </w:p>
    <w:p w14:paraId="3C2E3812" w14:textId="461ABE32"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Дозиране при папиенти, предразположени към развитие на миопатия</w:t>
      </w:r>
    </w:p>
    <w:p w14:paraId="5429D252"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с предразполагащи фактори за развитие на миопатия препоръчителната начална доза е 5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4.4).</w:t>
      </w:r>
    </w:p>
    <w:p w14:paraId="63766E13"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някои от тези пациенти е противопоказано приложението на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(вж. точка 4.3).</w:t>
      </w:r>
    </w:p>
    <w:p w14:paraId="3666E6A4" w14:textId="77777777" w:rsidR="002A48D8" w:rsidRDefault="002A48D8" w:rsidP="002A48D8">
      <w:pPr>
        <w:spacing w:line="240" w:lineRule="auto"/>
        <w:rPr>
          <w:rFonts w:eastAsia="Times New Roman" w:cs="Arial"/>
          <w:color w:val="000000"/>
          <w:u w:val="single"/>
          <w:lang w:eastAsia="bg-BG"/>
        </w:rPr>
      </w:pPr>
    </w:p>
    <w:p w14:paraId="5169CA62" w14:textId="00F4477B"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Съпътстваща терапия</w:t>
      </w:r>
    </w:p>
    <w:p w14:paraId="6285F8A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Розувастатин е субстрат на различни транспортни протеини (напр. ОАТР1В1 и </w:t>
      </w:r>
      <w:r w:rsidRPr="002A48D8">
        <w:rPr>
          <w:rFonts w:eastAsia="Times New Roman" w:cs="Arial"/>
          <w:color w:val="000000"/>
          <w:lang w:val="en-US"/>
        </w:rPr>
        <w:t>BCRP</w:t>
      </w:r>
      <w:r w:rsidRPr="002A48D8">
        <w:rPr>
          <w:rFonts w:eastAsia="Times New Roman" w:cs="Arial"/>
          <w:color w:val="000000"/>
          <w:lang w:val="ru-RU"/>
        </w:rPr>
        <w:t xml:space="preserve">). </w:t>
      </w:r>
      <w:r w:rsidRPr="002A48D8">
        <w:rPr>
          <w:rFonts w:eastAsia="Times New Roman" w:cs="Arial"/>
          <w:color w:val="000000"/>
          <w:lang w:eastAsia="bg-BG"/>
        </w:rPr>
        <w:t xml:space="preserve">Рискът от миопатия (включително рабдомиолиза) се повишава, когато розувастатин е </w:t>
      </w:r>
      <w:r w:rsidRPr="002A48D8">
        <w:rPr>
          <w:rFonts w:eastAsia="Times New Roman" w:cs="Arial"/>
          <w:color w:val="000000"/>
          <w:lang w:eastAsia="bg-BG"/>
        </w:rPr>
        <w:lastRenderedPageBreak/>
        <w:t>приложен едновременно с някои медицински продукти, които могат да повишат плазмената му концентрация поради взаимодействие с тези транспортни протеини (напр. циклоспорин и някои протеазни инхибитори, включително комбинации от ритонавир и атазанавир, лопинавир и/или типранавир; вижте точки 4.4. и 4.5). Когато е възможно трябва да се обсъди алтернативно лечение и ако е необходимо, да се прекрати временно лечението с розувастатин. В случаи, когато едновременното прилагане на тези медицински продукти с розувастатин е неизбежно, трябва внимателно да се прецени съотношението полза/риск от едновременното лечение и дозирането на розувастатин (вж. точка 4.5).</w:t>
      </w:r>
    </w:p>
    <w:p w14:paraId="7D298EE1" w14:textId="24AAFAD2" w:rsidR="002A48D8" w:rsidRPr="002A48D8" w:rsidRDefault="002A48D8" w:rsidP="002A48D8"/>
    <w:p w14:paraId="74903285" w14:textId="4E65160A" w:rsidR="00DB32D3" w:rsidRDefault="002C50EE" w:rsidP="005726E3">
      <w:pPr>
        <w:pStyle w:val="Heading2"/>
      </w:pPr>
      <w:r>
        <w:t>4.3. Противопоказания</w:t>
      </w:r>
    </w:p>
    <w:p w14:paraId="170B6FFA" w14:textId="2CD38457" w:rsidR="002A48D8" w:rsidRDefault="002A48D8" w:rsidP="002A48D8"/>
    <w:p w14:paraId="5ABAB6E0"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Розувастатин е противопоказан:</w:t>
      </w:r>
    </w:p>
    <w:p w14:paraId="3F4A6845"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със свръхчувствителност към розувастатин или към някое от помощните вещества, изброени в точка 6.1.</w:t>
      </w:r>
    </w:p>
    <w:p w14:paraId="62B8CACE"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активно чернодробно заболяване, включително неуточнено, продължително покачване на серумните трансаминази </w:t>
      </w:r>
      <w:r w:rsidRPr="002A48D8">
        <w:rPr>
          <w:rFonts w:eastAsia="Times New Roman" w:cs="Arial"/>
          <w:i/>
          <w:iCs/>
          <w:color w:val="000000"/>
          <w:lang w:eastAsia="bg-BG"/>
        </w:rPr>
        <w:t>и</w:t>
      </w:r>
      <w:r w:rsidRPr="002A48D8">
        <w:rPr>
          <w:rFonts w:eastAsia="Times New Roman" w:cs="Arial"/>
          <w:color w:val="000000"/>
          <w:lang w:eastAsia="bg-BG"/>
        </w:rPr>
        <w:t xml:space="preserve"> всяко покачване на серумна трансаминаза три пъти над горната референтна граница.</w:t>
      </w:r>
    </w:p>
    <w:p w14:paraId="6BB53B2F"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 xml:space="preserve">при пациенти с тежко увреждане на бъбречната функция (креатининов клирънс &lt; 30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010D971B"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с миопатия</w:t>
      </w:r>
    </w:p>
    <w:p w14:paraId="3B297787" w14:textId="77777777"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при пациенти, приемащи едновременно циклоспорин</w:t>
      </w:r>
    </w:p>
    <w:p w14:paraId="4988D220" w14:textId="64AC258D" w:rsidR="002A48D8" w:rsidRPr="002A48D8" w:rsidRDefault="002A48D8" w:rsidP="002A48D8">
      <w:pPr>
        <w:pStyle w:val="ListParagraph"/>
        <w:numPr>
          <w:ilvl w:val="0"/>
          <w:numId w:val="37"/>
        </w:numPr>
        <w:spacing w:line="240" w:lineRule="auto"/>
        <w:rPr>
          <w:rFonts w:eastAsia="Times New Roman" w:cs="Arial"/>
        </w:rPr>
      </w:pPr>
      <w:r w:rsidRPr="002A48D8">
        <w:rPr>
          <w:rFonts w:eastAsia="Times New Roman" w:cs="Arial"/>
          <w:color w:val="000000"/>
          <w:lang w:eastAsia="bg-BG"/>
        </w:rPr>
        <w:t>по време на бременност, кърмене и при жени в детеродна възраст, които не използва подходящи контрацептивни средства</w:t>
      </w:r>
    </w:p>
    <w:p w14:paraId="143F915A" w14:textId="65B7F080" w:rsidR="002A48D8" w:rsidRPr="002A48D8" w:rsidRDefault="002A48D8" w:rsidP="002A48D8">
      <w:pPr>
        <w:rPr>
          <w:rFonts w:eastAsia="Times New Roman" w:cs="Arial"/>
          <w:color w:val="000000"/>
          <w:lang w:eastAsia="bg-BG"/>
        </w:rPr>
      </w:pPr>
    </w:p>
    <w:p w14:paraId="1335E61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Дозата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е противопоказана при пациенти с предразполагащи фактори за развитие на миопатия/рабдомиолиза.</w:t>
      </w:r>
    </w:p>
    <w:p w14:paraId="15C98928"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Такива фактори са:</w:t>
      </w:r>
    </w:p>
    <w:p w14:paraId="6930D072" w14:textId="77777777"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умерено по степен увреждане на бъбречната функция (креатининов клирънс &lt; 60 </w:t>
      </w:r>
      <w:r w:rsidRPr="002A48D8">
        <w:rPr>
          <w:rFonts w:eastAsia="Times New Roman" w:cs="Arial"/>
          <w:color w:val="000000"/>
          <w:lang w:val="en-US"/>
        </w:rPr>
        <w:t>ml</w:t>
      </w:r>
      <w:r w:rsidRPr="002A48D8">
        <w:rPr>
          <w:rFonts w:eastAsia="Times New Roman" w:cs="Arial"/>
          <w:color w:val="000000"/>
          <w:lang w:val="ru-RU"/>
        </w:rPr>
        <w:t>/</w:t>
      </w:r>
      <w:r w:rsidRPr="002A48D8">
        <w:rPr>
          <w:rFonts w:eastAsia="Times New Roman" w:cs="Arial"/>
          <w:color w:val="000000"/>
          <w:lang w:val="en-US"/>
        </w:rPr>
        <w:t>min</w:t>
      </w:r>
      <w:r w:rsidRPr="002A48D8">
        <w:rPr>
          <w:rFonts w:eastAsia="Times New Roman" w:cs="Arial"/>
          <w:color w:val="000000"/>
          <w:lang w:val="ru-RU"/>
        </w:rPr>
        <w:t>)</w:t>
      </w:r>
    </w:p>
    <w:p w14:paraId="6BA8D302"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хипотиреоидизъм</w:t>
      </w:r>
    </w:p>
    <w:p w14:paraId="6D5AD178"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лична или фамилна анамнеза за наследствени мускулни заболявалия</w:t>
      </w:r>
    </w:p>
    <w:p w14:paraId="0F3D267E"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 ктазата или фибрат</w:t>
      </w:r>
    </w:p>
    <w:p w14:paraId="417FCD89"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злоупотреба с алкохол</w:t>
      </w:r>
    </w:p>
    <w:p w14:paraId="547F391F"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ситуации, при които може да се наблюдава повишаване на плазмените нива</w:t>
      </w:r>
    </w:p>
    <w:p w14:paraId="33CB8F66" w14:textId="77777777" w:rsid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пациенти с азиатски произход</w:t>
      </w:r>
    </w:p>
    <w:p w14:paraId="40C4D035" w14:textId="4C6AAF15" w:rsidR="002A48D8" w:rsidRPr="002A48D8" w:rsidRDefault="002A48D8" w:rsidP="002A48D8">
      <w:pPr>
        <w:pStyle w:val="ListParagraph"/>
        <w:numPr>
          <w:ilvl w:val="0"/>
          <w:numId w:val="38"/>
        </w:numPr>
        <w:spacing w:line="240" w:lineRule="auto"/>
        <w:rPr>
          <w:rFonts w:eastAsia="Times New Roman" w:cs="Arial"/>
          <w:color w:val="000000"/>
          <w:lang w:eastAsia="bg-BG"/>
        </w:rPr>
      </w:pPr>
      <w:r w:rsidRPr="002A48D8">
        <w:rPr>
          <w:rFonts w:eastAsia="Times New Roman" w:cs="Arial"/>
          <w:color w:val="000000"/>
          <w:lang w:eastAsia="bg-BG"/>
        </w:rPr>
        <w:t>съпътстващо приложение на фибрати.</w:t>
      </w:r>
    </w:p>
    <w:p w14:paraId="597447E9"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(Вижте точки 4.4,4.5 и 5.2).</w:t>
      </w:r>
    </w:p>
    <w:p w14:paraId="5C92514A" w14:textId="77777777" w:rsidR="002A48D8" w:rsidRPr="002A48D8" w:rsidRDefault="002A48D8" w:rsidP="002A48D8"/>
    <w:p w14:paraId="76DC8E58" w14:textId="2348FC92" w:rsidR="00DB32D3" w:rsidRDefault="002C50EE" w:rsidP="005726E3">
      <w:pPr>
        <w:pStyle w:val="Heading2"/>
      </w:pPr>
      <w:r>
        <w:t>4.4. Специални предупреждения и предпазни мерки при употреба</w:t>
      </w:r>
    </w:p>
    <w:p w14:paraId="420E2F93" w14:textId="3543FFA2" w:rsidR="002A48D8" w:rsidRDefault="002A48D8" w:rsidP="002A48D8"/>
    <w:p w14:paraId="31C6420A" w14:textId="7777777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бъбреците</w:t>
      </w:r>
    </w:p>
    <w:p w14:paraId="1DE04DB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пациенти, лекувани с по-високи дози розувастатин, по-конкретно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е наблюдавана протеинурия, установена при изследване с тест-ленти, с предимно тубулен произход и в повечето случаи с преходен или интермитентен характер. Няма данни дали протеинурията има прогностичен характер за остро или прогресивно бъбречно заболяване (вж. точка 4.8). Докладваната честота на сериозни бъбречни увреди при постмаркетинговата употреба е по- висока при дозировка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 xml:space="preserve">По време на </w:t>
      </w:r>
      <w:r w:rsidRPr="002A48D8">
        <w:rPr>
          <w:rFonts w:eastAsia="Times New Roman" w:cs="Arial"/>
          <w:color w:val="000000"/>
          <w:lang w:eastAsia="bg-BG"/>
        </w:rPr>
        <w:lastRenderedPageBreak/>
        <w:t xml:space="preserve">рутинното проследяване на пациенти, обичайно третирани с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трябва да се прави и оценка на бъбречната функция.</w:t>
      </w:r>
    </w:p>
    <w:p w14:paraId="437BC5CE" w14:textId="77777777" w:rsidR="002A48D8" w:rsidRDefault="002A48D8" w:rsidP="002A48D8">
      <w:pPr>
        <w:spacing w:line="240" w:lineRule="auto"/>
        <w:rPr>
          <w:rFonts w:eastAsia="Times New Roman" w:cs="Arial"/>
          <w:color w:val="000000"/>
          <w:u w:val="single"/>
          <w:lang w:eastAsia="bg-BG"/>
        </w:rPr>
      </w:pPr>
    </w:p>
    <w:p w14:paraId="4111C496" w14:textId="0E93499D"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скелетната мускулатура</w:t>
      </w:r>
    </w:p>
    <w:p w14:paraId="61AF924C" w14:textId="3BE9ACB4"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Съобщавани са ефекти върху скелетната мускулатура в това число миалгия, миопатия и рядко рабдомиолиза при приложение на всички дозови режими с розувастатин, особено при дози над 20 </w:t>
      </w:r>
      <w:r w:rsidRPr="002A48D8">
        <w:rPr>
          <w:rFonts w:eastAsia="Times New Roman" w:cs="Arial"/>
          <w:color w:val="000000"/>
          <w:lang w:val="en-US"/>
        </w:rPr>
        <w:t>mg</w:t>
      </w:r>
      <w:r w:rsidRPr="002A48D8">
        <w:rPr>
          <w:rFonts w:eastAsia="Times New Roman" w:cs="Arial"/>
          <w:color w:val="000000"/>
          <w:lang w:val="ru-RU"/>
        </w:rPr>
        <w:t>.</w:t>
      </w:r>
    </w:p>
    <w:p w14:paraId="278C455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Много рядко са съобщавани случаи на рабдомиолиза при употреба на езетимиб в комбинация с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Не може да бъде изключено фармакодинамично взаимодействие (вж. точка 4.5) и е необходимо внимание при комбинираното им прилагане. Както при другите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докладваната честота на рабдомиолиза, свързана с розувастатин по време на постмаркетинговата употреба е по-висока при дозировка от 40 </w:t>
      </w:r>
      <w:r w:rsidRPr="002A48D8">
        <w:rPr>
          <w:rFonts w:eastAsia="Times New Roman" w:cs="Arial"/>
          <w:color w:val="000000"/>
          <w:lang w:val="en-US"/>
        </w:rPr>
        <w:t>mg</w:t>
      </w:r>
      <w:r w:rsidRPr="002A48D8">
        <w:rPr>
          <w:rFonts w:eastAsia="Times New Roman" w:cs="Arial"/>
          <w:color w:val="000000"/>
          <w:lang w:val="ru-RU"/>
        </w:rPr>
        <w:t>.</w:t>
      </w:r>
    </w:p>
    <w:p w14:paraId="2912E884" w14:textId="77777777" w:rsidR="002A48D8" w:rsidRDefault="002A48D8" w:rsidP="002A48D8">
      <w:pPr>
        <w:spacing w:line="240" w:lineRule="auto"/>
        <w:rPr>
          <w:rFonts w:eastAsia="Times New Roman" w:cs="Arial"/>
          <w:i/>
          <w:iCs/>
          <w:color w:val="000000"/>
          <w:lang w:eastAsia="bg-BG"/>
        </w:rPr>
      </w:pPr>
    </w:p>
    <w:p w14:paraId="4B4D5C12" w14:textId="6739A24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Изследване на креатинкиназата</w:t>
      </w:r>
    </w:p>
    <w:p w14:paraId="71D1F83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Креатинкиназата (СК) не трябва да се изследва след физическо натоварване или при наличие на друга правдоподобна причина за увеличение на СК, която може да затрудни интерпретацията на резултата. Ако нивото на СК е значително повишено на изходно ниво (&gt; 5 пъти над горната референтна граница), трябва да се извърши повторен тест за потвърждаване в рамките на 5-7 дни. Ако се потвърди изходното ниво на СК &gt; 5 пъти над горната референтна граница, лечението не трябва да се започва.</w:t>
      </w:r>
    </w:p>
    <w:p w14:paraId="4F39608B" w14:textId="77777777" w:rsidR="002A48D8" w:rsidRDefault="002A48D8" w:rsidP="002A48D8">
      <w:pPr>
        <w:spacing w:line="240" w:lineRule="auto"/>
        <w:rPr>
          <w:rFonts w:eastAsia="Times New Roman" w:cs="Arial"/>
          <w:i/>
          <w:iCs/>
          <w:color w:val="000000"/>
          <w:lang w:eastAsia="bg-BG"/>
        </w:rPr>
      </w:pPr>
    </w:p>
    <w:p w14:paraId="1F2CB32C" w14:textId="7E604B65"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Преди лечението</w:t>
      </w:r>
    </w:p>
    <w:p w14:paraId="10E25A41"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Както 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трябва да бъде предписван с особено внимание при пациенти, за които са налице фактори, предразполагащи развитие на миопатия / рабдомиолиза. Такива фактори са:</w:t>
      </w:r>
    </w:p>
    <w:p w14:paraId="051F5C08"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увреждане на бъбречната функция</w:t>
      </w:r>
    </w:p>
    <w:p w14:paraId="355DE0C7"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хипотиреоидизъм</w:t>
      </w:r>
    </w:p>
    <w:p w14:paraId="07FB9C60"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лична или фамилна анамнеза за наследствено мускулно нарушение</w:t>
      </w:r>
    </w:p>
    <w:p w14:paraId="2EC40A72"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 xml:space="preserve">анамнеза за проява на мускулна токсичност към друг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w:t>
      </w:r>
      <w:r w:rsidRPr="002A48D8">
        <w:rPr>
          <w:rFonts w:eastAsia="Times New Roman" w:cs="Arial"/>
          <w:color w:val="000000"/>
          <w:u w:val="single"/>
          <w:lang w:val="en-US"/>
        </w:rPr>
        <w:t>oA</w:t>
      </w:r>
      <w:r w:rsidRPr="002A48D8">
        <w:rPr>
          <w:rFonts w:eastAsia="Times New Roman" w:cs="Arial"/>
          <w:color w:val="000000"/>
          <w:u w:val="single"/>
          <w:lang w:val="ru-RU"/>
        </w:rPr>
        <w:t xml:space="preserve"> </w:t>
      </w:r>
      <w:r w:rsidRPr="002A48D8">
        <w:rPr>
          <w:rFonts w:eastAsia="Times New Roman" w:cs="Arial"/>
          <w:color w:val="000000"/>
          <w:lang w:eastAsia="bg-BG"/>
        </w:rPr>
        <w:t>редуктазата или фибрат</w:t>
      </w:r>
    </w:p>
    <w:p w14:paraId="20C262CC"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злоупотреба с алкохол</w:t>
      </w:r>
    </w:p>
    <w:p w14:paraId="3A11E78F"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пациенти на възраст над 70 години</w:t>
      </w:r>
    </w:p>
    <w:p w14:paraId="57208D4E" w14:textId="7777777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ситуации, при които може да се наблюдава повишаване на плазмените нива (вж.точки 4.2,4.5 и 5.2)</w:t>
      </w:r>
    </w:p>
    <w:p w14:paraId="3AC499E5" w14:textId="24151057" w:rsidR="002A48D8" w:rsidRPr="002A48D8" w:rsidRDefault="002A48D8" w:rsidP="002A48D8">
      <w:pPr>
        <w:pStyle w:val="ListParagraph"/>
        <w:numPr>
          <w:ilvl w:val="0"/>
          <w:numId w:val="39"/>
        </w:numPr>
        <w:spacing w:line="240" w:lineRule="auto"/>
        <w:rPr>
          <w:rFonts w:eastAsia="Times New Roman" w:cs="Arial"/>
        </w:rPr>
      </w:pPr>
      <w:r w:rsidRPr="002A48D8">
        <w:rPr>
          <w:rFonts w:eastAsia="Times New Roman" w:cs="Arial"/>
          <w:color w:val="000000"/>
          <w:lang w:eastAsia="bg-BG"/>
        </w:rPr>
        <w:t>съпътстващо приложение на фибрата</w:t>
      </w:r>
    </w:p>
    <w:p w14:paraId="2350BFBC" w14:textId="463C559E"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такива пациенти рискът от лечението трябва да се съобрази с възможната полза, като се препоръчва клинично наблюдение. Ако изходното ниво на СК е значително повишено (&gt; 5 пъти над горната референтна граница), лечението не трябва да започва.</w:t>
      </w:r>
    </w:p>
    <w:p w14:paraId="0092C62B" w14:textId="77777777" w:rsidR="002A48D8" w:rsidRDefault="002A48D8" w:rsidP="002A48D8">
      <w:pPr>
        <w:spacing w:line="240" w:lineRule="auto"/>
        <w:rPr>
          <w:rFonts w:eastAsia="Times New Roman" w:cs="Arial"/>
          <w:i/>
          <w:iCs/>
          <w:color w:val="000000"/>
          <w:lang w:eastAsia="bg-BG"/>
        </w:rPr>
      </w:pPr>
    </w:p>
    <w:p w14:paraId="6BD84518" w14:textId="13AD75F4" w:rsidR="002A48D8" w:rsidRPr="002A48D8" w:rsidRDefault="002A48D8" w:rsidP="002A48D8">
      <w:pPr>
        <w:spacing w:line="240" w:lineRule="auto"/>
        <w:rPr>
          <w:rFonts w:eastAsia="Times New Roman" w:cs="Arial"/>
        </w:rPr>
      </w:pPr>
      <w:r w:rsidRPr="002A48D8">
        <w:rPr>
          <w:rFonts w:eastAsia="Times New Roman" w:cs="Arial"/>
          <w:i/>
          <w:iCs/>
          <w:color w:val="000000"/>
          <w:lang w:eastAsia="bg-BG"/>
        </w:rPr>
        <w:t>По време на лечението</w:t>
      </w:r>
    </w:p>
    <w:p w14:paraId="62DF939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Пациентите трябва да бъдат предупредени незабавно да съобщават за появата на необясними мускулни болки, усещане за слабост или крампи, особено ако са свързани с неразположение или фебрилитет. При тези пациенти трябва да се изследва нивото на СК. Терапията трябва да се прекрати, ако нивото на СК е значително повишено (&gt; 5 пъти над горната референтна граница) или мускулните симптоми са тежки и причиняват дискомфорт по време на обичайната активност (дори нивото на СК да е &lt; 5 пъти над горната референтна граница). Ако симптомите изчезнат и нивото на СК се нормализира, може да се помисли за възобновяване на лечението с розувастатин или с алтернативен инхибитор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прилаган под наблюдение в най-ниска доза. </w:t>
      </w:r>
      <w:r w:rsidRPr="002A48D8">
        <w:rPr>
          <w:rFonts w:eastAsia="Times New Roman" w:cs="Arial"/>
          <w:color w:val="000000"/>
          <w:lang w:eastAsia="bg-BG"/>
        </w:rPr>
        <w:lastRenderedPageBreak/>
        <w:t>Рутинното мониториране на нивото на СК при пациенти без симптоми не е основателно. Много рядко има съобщения за имуномедиирана некротизираща миопатия (ИМНМ) по време на или след лечение със статини, включително розувастатин. ИМНМ се характеризира клинично със слабост на проксималната мускулатура и повишена серумна креатининкиназа, което продължава въпреки прекратяване на лечението със статии.</w:t>
      </w:r>
    </w:p>
    <w:p w14:paraId="362DFB05"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По време на клиничните изпитвания при малката група пациенти, при които розувастатин е прилаган със съпътстващо лечение не са получени данни за увеличаване на ефектите върху скелетната мускулатура, Увеличение на честотата на миозит и миопатия е наблюдавано обаче при пациенти, приемащи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заедно с производни на фибриновата киселина, включващи гемфиброзил, циклоспорин, никотинова киселина, азолови антимикотици, протеазни инхибитори и макролидни антибиотици. Гемфиброзил повишава риска от появата на миопатия, ако се приема едновременно с някои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 xml:space="preserve">редуктазата. Поради това комбинацията между розувастатин и гемфиброзил не е препоръчителна. Ползата от допълнително понижаване на липидните нива в резултат от комбинираното приемане на розувастатин с фибрата или ниацин трябва да бъде внимателно преценена спрямо потенциалния риск от подобни комбинации. При доза от 40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съпътстващото лечение с фибрати е противопоказано (вж. точки 4.5 и 4.8).</w:t>
      </w:r>
    </w:p>
    <w:p w14:paraId="53D441E6" w14:textId="77777777" w:rsidR="002A48D8" w:rsidRDefault="002A48D8" w:rsidP="002A48D8">
      <w:pPr>
        <w:spacing w:line="240" w:lineRule="auto"/>
        <w:rPr>
          <w:rFonts w:eastAsia="Times New Roman" w:cs="Arial"/>
          <w:color w:val="000000"/>
          <w:lang w:eastAsia="bg-BG"/>
        </w:rPr>
      </w:pPr>
    </w:p>
    <w:p w14:paraId="1D03CFA0" w14:textId="19C91FC3" w:rsidR="002A48D8" w:rsidRPr="002A48D8" w:rsidRDefault="002A48D8" w:rsidP="002A48D8">
      <w:pPr>
        <w:spacing w:line="240" w:lineRule="auto"/>
        <w:rPr>
          <w:rFonts w:eastAsia="Times New Roman" w:cs="Arial"/>
        </w:rPr>
      </w:pPr>
      <w:r w:rsidRPr="002A48D8">
        <w:rPr>
          <w:rFonts w:eastAsia="Times New Roman" w:cs="Arial"/>
          <w:color w:val="000000"/>
          <w:lang w:eastAsia="bg-BG"/>
        </w:rPr>
        <w:t>Ромазик не трябва да се прилага едновременно със системно лечение с фузидова киселина или в 7-дневен период след спирането му. При пациенти, при които системното използване на фузидова киселина е абсолютно необходимо, лечението със статини трябва да се прекрати по време на лечението със фузидова киселина. Докладвани са случаи на рабдомиолиза (вкл. някои фатални) при пациенти, получаващи в комбинация фузидова киселина и статини (вж. точка 4.5). Пациентите трябва да бъдат посъветвани да потърсят медицинска консултация веднага, ако почувстват симптоми на мускулна слабост, болка или чувствителност.</w:t>
      </w:r>
    </w:p>
    <w:p w14:paraId="3640FAAD"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Лечението със статии може да бъде започнато отново седем дни след последната доза фузидова киселина.</w:t>
      </w:r>
    </w:p>
    <w:p w14:paraId="75DD989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изключителни обстоятелства, когато е необходимо продължително системно лечение с фузидова киселина, напр. за лечение на тежки инфекции, необходимостта от едновременно прилагане на Ромазик и фузидова киселина трябва да се преценява за всеки отделен случай и под строго лекарско наблюдение.</w:t>
      </w:r>
    </w:p>
    <w:p w14:paraId="06BB5179" w14:textId="77777777" w:rsidR="002A48D8" w:rsidRDefault="002A48D8" w:rsidP="002A48D8">
      <w:pPr>
        <w:spacing w:line="240" w:lineRule="auto"/>
        <w:rPr>
          <w:rFonts w:eastAsia="Times New Roman" w:cs="Arial"/>
          <w:color w:val="000000"/>
          <w:lang w:eastAsia="bg-BG"/>
        </w:rPr>
      </w:pPr>
    </w:p>
    <w:p w14:paraId="09280C85" w14:textId="77777777" w:rsidR="002A48D8" w:rsidRDefault="002A48D8" w:rsidP="002A48D8">
      <w:pPr>
        <w:spacing w:line="240" w:lineRule="auto"/>
        <w:rPr>
          <w:rFonts w:eastAsia="Times New Roman" w:cs="Arial"/>
          <w:color w:val="000000"/>
          <w:lang w:eastAsia="bg-BG"/>
        </w:rPr>
      </w:pPr>
      <w:r w:rsidRPr="002A48D8">
        <w:rPr>
          <w:rFonts w:eastAsia="Times New Roman" w:cs="Arial"/>
          <w:color w:val="000000"/>
          <w:lang w:eastAsia="bg-BG"/>
        </w:rPr>
        <w:t xml:space="preserve">Розувастатин не трябва да се употребява при пациенти с остри, сериозни състояния, показателни за миопатия или предразполагащи към развитие на бъбречна недостатъчност вследствие рабдомиолиза (напр. сепсис, хипотензия, голяма операция, травма, тежки мегаболитни, ендокринни и електролитни нарушения или неконтролирани </w:t>
      </w:r>
    </w:p>
    <w:p w14:paraId="513489BD" w14:textId="5B3130C0" w:rsidR="002A48D8" w:rsidRPr="002A48D8" w:rsidRDefault="002A48D8" w:rsidP="002A48D8">
      <w:pPr>
        <w:spacing w:line="240" w:lineRule="auto"/>
        <w:rPr>
          <w:rFonts w:eastAsia="Times New Roman" w:cs="Arial"/>
        </w:rPr>
      </w:pPr>
      <w:r w:rsidRPr="002A48D8">
        <w:rPr>
          <w:rFonts w:eastAsia="Times New Roman" w:cs="Arial"/>
          <w:color w:val="000000"/>
          <w:lang w:eastAsia="bg-BG"/>
        </w:rPr>
        <w:t>гърчове).</w:t>
      </w:r>
    </w:p>
    <w:p w14:paraId="052D4FEB" w14:textId="77777777" w:rsidR="002A48D8" w:rsidRDefault="002A48D8" w:rsidP="002A48D8">
      <w:pPr>
        <w:spacing w:line="240" w:lineRule="auto"/>
        <w:rPr>
          <w:rFonts w:eastAsia="Times New Roman" w:cs="Arial"/>
          <w:color w:val="000000"/>
          <w:u w:val="single"/>
          <w:lang w:eastAsia="bg-BG"/>
        </w:rPr>
      </w:pPr>
    </w:p>
    <w:p w14:paraId="6794F53E" w14:textId="60750AD4"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Влияние върху черния дроб</w:t>
      </w:r>
    </w:p>
    <w:p w14:paraId="775FFACE" w14:textId="77777777" w:rsidR="002A48D8" w:rsidRPr="002A48D8" w:rsidRDefault="002A48D8" w:rsidP="002A48D8">
      <w:pPr>
        <w:rPr>
          <w:rFonts w:eastAsia="Times New Roman" w:cs="Arial"/>
        </w:rPr>
      </w:pPr>
      <w:r w:rsidRPr="002A48D8">
        <w:rPr>
          <w:rFonts w:eastAsia="Times New Roman" w:cs="Arial"/>
          <w:color w:val="000000"/>
          <w:lang w:eastAsia="bg-BG"/>
        </w:rPr>
        <w:t xml:space="preserve">Както при други инхибитори на </w:t>
      </w:r>
      <w:r w:rsidRPr="002A48D8">
        <w:rPr>
          <w:rFonts w:eastAsia="Times New Roman" w:cs="Arial"/>
          <w:color w:val="000000"/>
          <w:lang w:val="en-US"/>
        </w:rPr>
        <w:t>HMG</w:t>
      </w:r>
      <w:r w:rsidRPr="002A48D8">
        <w:rPr>
          <w:rFonts w:eastAsia="Times New Roman" w:cs="Arial"/>
          <w:color w:val="000000"/>
          <w:lang w:val="ru-RU"/>
        </w:rPr>
        <w:t>-</w:t>
      </w:r>
      <w:r w:rsidRPr="002A48D8">
        <w:rPr>
          <w:rFonts w:eastAsia="Times New Roman" w:cs="Arial"/>
          <w:color w:val="000000"/>
          <w:lang w:val="en-US"/>
        </w:rPr>
        <w:t>CoA</w:t>
      </w:r>
      <w:r w:rsidRPr="002A48D8">
        <w:rPr>
          <w:rFonts w:eastAsia="Times New Roman" w:cs="Arial"/>
          <w:color w:val="000000"/>
          <w:lang w:val="ru-RU"/>
        </w:rPr>
        <w:t xml:space="preserve"> </w:t>
      </w:r>
      <w:r w:rsidRPr="002A48D8">
        <w:rPr>
          <w:rFonts w:eastAsia="Times New Roman" w:cs="Arial"/>
          <w:color w:val="000000"/>
          <w:lang w:eastAsia="bg-BG"/>
        </w:rPr>
        <w:t>редуктазата, розувастатин трябво да се прилага внимателно при пациенти, които приемат голямо количество алкохол и/или имат анамнеза за</w:t>
      </w:r>
      <w:r w:rsidRPr="002A48D8">
        <w:rPr>
          <w:rFonts w:eastAsia="Times New Roman" w:cs="Arial"/>
          <w:color w:val="000000"/>
          <w:lang w:val="ru-RU" w:eastAsia="bg-BG"/>
        </w:rPr>
        <w:t xml:space="preserve"> </w:t>
      </w:r>
      <w:r w:rsidRPr="002A48D8">
        <w:rPr>
          <w:rFonts w:eastAsia="Times New Roman" w:cs="Arial"/>
          <w:color w:val="000000"/>
          <w:lang w:eastAsia="bg-BG"/>
        </w:rPr>
        <w:t xml:space="preserve">заболяване на черния дроб. Препоръчително е да се направят изследвания за оценка на функцията на черния дроб преди и 3 месеца след започване на лечението. Розувастатин трябва да бъде преустановен или дозата трябва да бъде намалена, ако нивото на серумните трансаминази надвишава 3 пъти горната референтна граница. Съобщената честота на сериозни нежелани реакции от страна на черния дроб, (състоящи се основно в увеличени трансаминази) по време на постмаркетинговата употреба е по-висока при дозата от 40 </w:t>
      </w:r>
      <w:r w:rsidRPr="002A48D8">
        <w:rPr>
          <w:rFonts w:eastAsia="Times New Roman" w:cs="Arial"/>
          <w:color w:val="000000"/>
          <w:lang w:val="en-US"/>
        </w:rPr>
        <w:t>mg</w:t>
      </w:r>
      <w:r w:rsidRPr="002A48D8">
        <w:rPr>
          <w:rFonts w:eastAsia="Times New Roman" w:cs="Arial"/>
          <w:color w:val="000000"/>
          <w:lang w:val="ru-RU"/>
        </w:rPr>
        <w:t>.</w:t>
      </w:r>
    </w:p>
    <w:p w14:paraId="3081C495" w14:textId="77777777" w:rsidR="002A48D8" w:rsidRDefault="002A48D8" w:rsidP="002A48D8">
      <w:pPr>
        <w:spacing w:line="240" w:lineRule="auto"/>
        <w:rPr>
          <w:rFonts w:eastAsia="Times New Roman" w:cs="Arial"/>
          <w:color w:val="000000"/>
          <w:lang w:eastAsia="bg-BG"/>
        </w:rPr>
      </w:pPr>
    </w:p>
    <w:p w14:paraId="3825A906" w14:textId="4ED3DAE8"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с вторична хиперхолестеролемия, причинена от хипотиреоидизъм или нефротичен синдром, основното заболяване трябва да се лекува преди започване на лечение с розувастатин.</w:t>
      </w:r>
    </w:p>
    <w:p w14:paraId="4E2D250D" w14:textId="77777777" w:rsidR="002A48D8" w:rsidRDefault="002A48D8" w:rsidP="002A48D8">
      <w:pPr>
        <w:spacing w:line="240" w:lineRule="auto"/>
        <w:rPr>
          <w:rFonts w:eastAsia="Times New Roman" w:cs="Arial"/>
          <w:color w:val="000000"/>
          <w:u w:val="single"/>
          <w:lang w:eastAsia="bg-BG"/>
        </w:rPr>
      </w:pPr>
    </w:p>
    <w:p w14:paraId="17D20C25" w14:textId="7D5F5AD9"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Раса</w:t>
      </w:r>
    </w:p>
    <w:p w14:paraId="7028AD6C"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При пациенти от азиатски произход е наблюдавана повишена системна експозиция, в сравнение с тези от кавказка раса (вж. точки 4.2, 4.3 и 5.2).</w:t>
      </w:r>
    </w:p>
    <w:p w14:paraId="73AD020D" w14:textId="77777777" w:rsidR="002A48D8" w:rsidRDefault="002A48D8" w:rsidP="002A48D8">
      <w:pPr>
        <w:spacing w:line="240" w:lineRule="auto"/>
        <w:rPr>
          <w:rFonts w:eastAsia="Times New Roman" w:cs="Arial"/>
          <w:color w:val="000000"/>
          <w:u w:val="single"/>
          <w:lang w:eastAsia="bg-BG"/>
        </w:rPr>
      </w:pPr>
    </w:p>
    <w:p w14:paraId="6391FB19" w14:textId="34F3450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Протеазни инхибитори</w:t>
      </w:r>
    </w:p>
    <w:p w14:paraId="725AD974"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Повишена системна експозиция на розувастатин е наблюдавана при лица, приемащи розувастатин едновременно с различни протеазни инхибитори, в комбинация с ритонавир. Трябва да се обмисли както ползата от липидопонижаване чрез употреба на розувастатин при пациенти с ХИВ, приемащи протазии инхибитори, така и потенциала за повишена концентрация на розувастатин, когато се започва лечение и се повишава дозата на розувастатин при пациенти, лекувани с протеазни инхибитори. Едновременното приложение с някои протеазни инхибитори не се препоръчва, освен ако дозата розувастатин не се адаптира (вж. точки 4.2 и 4.5).</w:t>
      </w:r>
    </w:p>
    <w:p w14:paraId="539183AF" w14:textId="77777777" w:rsidR="002A48D8" w:rsidRDefault="002A48D8" w:rsidP="002A48D8">
      <w:pPr>
        <w:spacing w:line="240" w:lineRule="auto"/>
        <w:rPr>
          <w:rFonts w:eastAsia="Times New Roman" w:cs="Arial"/>
          <w:color w:val="000000"/>
          <w:u w:val="single"/>
          <w:lang w:eastAsia="bg-BG"/>
        </w:rPr>
      </w:pPr>
    </w:p>
    <w:p w14:paraId="22551C25" w14:textId="1AB602AE"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Интерстициална белодробна болест</w:t>
      </w:r>
    </w:p>
    <w:p w14:paraId="36258B9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Съобщени са изолирани случаи на интерстициална белодробна болест при прием на някои статини, особено при продължително лечение (вж. точка 4.8). Признаците могат да включват диспнея, непродуктивна кашлица и влошаване на общото състояние (умора, отслабване на тегло и фебрилитет). При подозрение, че пациентът е развил интерстициална белодробна болест, лечението със статии трябва да бъде преустановено.</w:t>
      </w:r>
    </w:p>
    <w:p w14:paraId="0D6512B1" w14:textId="77777777" w:rsidR="002A48D8" w:rsidRDefault="002A48D8" w:rsidP="002A48D8">
      <w:pPr>
        <w:spacing w:line="240" w:lineRule="auto"/>
        <w:rPr>
          <w:rFonts w:eastAsia="Times New Roman" w:cs="Arial"/>
          <w:color w:val="000000"/>
          <w:u w:val="single"/>
          <w:lang w:eastAsia="bg-BG"/>
        </w:rPr>
      </w:pPr>
    </w:p>
    <w:p w14:paraId="5968D2A8" w14:textId="1075AC71"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 xml:space="preserve">Захарен диабет </w:t>
      </w:r>
      <w:r w:rsidRPr="002A48D8">
        <w:rPr>
          <w:rFonts w:eastAsia="Times New Roman" w:cs="Arial"/>
          <w:color w:val="000000"/>
          <w:u w:val="single"/>
          <w:lang w:val="ru-RU"/>
        </w:rPr>
        <w:t>(</w:t>
      </w:r>
      <w:r w:rsidRPr="002A48D8">
        <w:rPr>
          <w:rFonts w:eastAsia="Times New Roman" w:cs="Arial"/>
          <w:color w:val="000000"/>
          <w:u w:val="single"/>
          <w:lang w:val="en-US"/>
        </w:rPr>
        <w:t>Diabetes</w:t>
      </w:r>
      <w:r w:rsidRPr="002A48D8">
        <w:rPr>
          <w:rFonts w:eastAsia="Times New Roman" w:cs="Arial"/>
          <w:color w:val="000000"/>
          <w:u w:val="single"/>
          <w:lang w:val="ru-RU"/>
        </w:rPr>
        <w:t xml:space="preserve"> </w:t>
      </w:r>
      <w:r w:rsidRPr="002A48D8">
        <w:rPr>
          <w:rFonts w:eastAsia="Times New Roman" w:cs="Arial"/>
          <w:color w:val="000000"/>
          <w:u w:val="single"/>
          <w:lang w:val="en-US"/>
        </w:rPr>
        <w:t>mellitus</w:t>
      </w:r>
      <w:r w:rsidRPr="002A48D8">
        <w:rPr>
          <w:rFonts w:eastAsia="Times New Roman" w:cs="Arial"/>
          <w:color w:val="000000"/>
          <w:u w:val="single"/>
          <w:lang w:val="ru-RU"/>
        </w:rPr>
        <w:t>)</w:t>
      </w:r>
    </w:p>
    <w:p w14:paraId="256656B7"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Някои данни предполагат, че групата на статините повишава кръвната захар и при някои пациенти с повишен риск от развитието на диабет може да доведат до ниво на хипергликемия, изискващо предприемането на подходящи мерки. Този риск, обаче, се компенсира от намаляването на съдовия риск при статините, поради което не трябва да бъде причина за спиране на лечението със статини. Пациентите с риск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 xml:space="preserve">, </w:t>
      </w:r>
      <w:proofErr w:type="spellStart"/>
      <w:r w:rsidRPr="002A48D8">
        <w:rPr>
          <w:rFonts w:eastAsia="Times New Roman" w:cs="Arial"/>
          <w:color w:val="000000"/>
          <w:lang w:val="en-US"/>
        </w:rPr>
        <w:t>BMl</w:t>
      </w:r>
      <w:proofErr w:type="spellEnd"/>
      <w:r w:rsidRPr="002A48D8">
        <w:rPr>
          <w:rFonts w:eastAsia="Times New Roman" w:cs="Arial"/>
          <w:color w:val="000000"/>
          <w:lang w:val="ru-RU"/>
        </w:rPr>
        <w:t>&gt;30</w:t>
      </w:r>
      <w:r w:rsidRPr="002A48D8">
        <w:rPr>
          <w:rFonts w:eastAsia="Times New Roman" w:cs="Arial"/>
          <w:color w:val="000000"/>
          <w:lang w:val="en-US"/>
        </w:rPr>
        <w:t>kg</w:t>
      </w:r>
      <w:r w:rsidRPr="002A48D8">
        <w:rPr>
          <w:rFonts w:eastAsia="Times New Roman" w:cs="Arial"/>
          <w:color w:val="000000"/>
          <w:lang w:val="ru-RU"/>
        </w:rPr>
        <w:t>/</w:t>
      </w:r>
      <w:r w:rsidRPr="002A48D8">
        <w:rPr>
          <w:rFonts w:eastAsia="Times New Roman" w:cs="Arial"/>
          <w:color w:val="000000"/>
          <w:lang w:val="en-US"/>
        </w:rPr>
        <w:t>m</w:t>
      </w:r>
      <w:r w:rsidRPr="002A48D8">
        <w:rPr>
          <w:rFonts w:eastAsia="Times New Roman" w:cs="Arial"/>
          <w:color w:val="000000"/>
          <w:vertAlign w:val="superscript"/>
          <w:lang w:val="ru-RU"/>
        </w:rPr>
        <w:t>2</w:t>
      </w:r>
      <w:r w:rsidRPr="002A48D8">
        <w:rPr>
          <w:rFonts w:eastAsia="Times New Roman" w:cs="Arial"/>
          <w:color w:val="000000"/>
          <w:lang w:val="ru-RU"/>
        </w:rPr>
        <w:t xml:space="preserve">, </w:t>
      </w:r>
      <w:r w:rsidRPr="002A48D8">
        <w:rPr>
          <w:rFonts w:eastAsia="Times New Roman" w:cs="Arial"/>
          <w:color w:val="000000"/>
          <w:lang w:eastAsia="bg-BG"/>
        </w:rPr>
        <w:t>повишени триглицериди, хипертония) трябва да бъдат проследявани както клинично, така и биохимично съгласно националните препоръки.</w:t>
      </w:r>
    </w:p>
    <w:p w14:paraId="5C06D525" w14:textId="77777777" w:rsidR="002A48D8" w:rsidRDefault="002A48D8" w:rsidP="002A48D8">
      <w:pPr>
        <w:spacing w:line="240" w:lineRule="auto"/>
        <w:rPr>
          <w:rFonts w:eastAsia="Times New Roman" w:cs="Arial"/>
          <w:color w:val="000000"/>
          <w:lang w:eastAsia="bg-BG"/>
        </w:rPr>
      </w:pPr>
    </w:p>
    <w:p w14:paraId="62198298" w14:textId="798AC72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проучването </w:t>
      </w:r>
      <w:r w:rsidRPr="002A48D8">
        <w:rPr>
          <w:rFonts w:eastAsia="Times New Roman" w:cs="Arial"/>
          <w:color w:val="000000"/>
          <w:lang w:val="en-US"/>
        </w:rPr>
        <w:t>JUPITER</w:t>
      </w:r>
      <w:r w:rsidRPr="002A48D8">
        <w:rPr>
          <w:rFonts w:eastAsia="Times New Roman" w:cs="Arial"/>
          <w:color w:val="000000"/>
          <w:lang w:val="ru-RU"/>
        </w:rPr>
        <w:t xml:space="preserve">, </w:t>
      </w:r>
      <w:r w:rsidRPr="002A48D8">
        <w:rPr>
          <w:rFonts w:eastAsia="Times New Roman" w:cs="Arial"/>
          <w:color w:val="000000"/>
          <w:lang w:eastAsia="bg-BG"/>
        </w:rPr>
        <w:t xml:space="preserve">съобщаваната обща честота на захарен диабет е била 2,8% при розувастатин и 2,3% при плацебо, предимно при пациенти с глюкоза на гладно 5,6 до 6,9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w:t>
      </w:r>
      <w:r w:rsidRPr="002A48D8">
        <w:rPr>
          <w:rFonts w:eastAsia="Times New Roman" w:cs="Arial"/>
          <w:color w:val="000000"/>
          <w:lang w:val="en-US"/>
        </w:rPr>
        <w:t>L</w:t>
      </w:r>
      <w:r w:rsidRPr="002A48D8">
        <w:rPr>
          <w:rFonts w:eastAsia="Times New Roman" w:cs="Arial"/>
          <w:color w:val="000000"/>
          <w:lang w:val="ru-RU"/>
        </w:rPr>
        <w:t>.</w:t>
      </w:r>
    </w:p>
    <w:p w14:paraId="64487F7B" w14:textId="77777777" w:rsidR="002A48D8" w:rsidRDefault="002A48D8" w:rsidP="002A48D8">
      <w:pPr>
        <w:spacing w:line="240" w:lineRule="auto"/>
        <w:rPr>
          <w:rFonts w:eastAsia="Times New Roman" w:cs="Arial"/>
          <w:color w:val="000000"/>
          <w:u w:val="single"/>
          <w:lang w:eastAsia="bg-BG"/>
        </w:rPr>
      </w:pPr>
    </w:p>
    <w:p w14:paraId="07B3F270" w14:textId="0D2BCC47"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Тежки кожни нежелани реакции</w:t>
      </w:r>
    </w:p>
    <w:p w14:paraId="1D6877C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При лечение с розувастатин се съобщава за тежки кожни нежелани реакции, включващи синдром на </w:t>
      </w:r>
      <w:r w:rsidRPr="002A48D8">
        <w:rPr>
          <w:rFonts w:eastAsia="Times New Roman" w:cs="Arial"/>
          <w:color w:val="000000"/>
          <w:lang w:val="en-US"/>
        </w:rPr>
        <w:t>Stevens</w:t>
      </w:r>
      <w:r w:rsidRPr="002A48D8">
        <w:rPr>
          <w:rFonts w:eastAsia="Times New Roman" w:cs="Arial"/>
          <w:color w:val="000000"/>
          <w:lang w:val="ru-RU"/>
        </w:rPr>
        <w:t xml:space="preserve"> </w:t>
      </w:r>
      <w:r w:rsidRPr="002A48D8">
        <w:rPr>
          <w:rFonts w:eastAsia="Times New Roman" w:cs="Arial"/>
          <w:color w:val="000000"/>
          <w:lang w:val="en-US"/>
        </w:rPr>
        <w:t>Johnson</w:t>
      </w:r>
      <w:r w:rsidRPr="002A48D8">
        <w:rPr>
          <w:rFonts w:eastAsia="Times New Roman" w:cs="Arial"/>
          <w:color w:val="000000"/>
          <w:lang w:val="ru-RU"/>
        </w:rPr>
        <w:t xml:space="preserve">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 лекарствена реакция с еозинофилия и системни симптоми </w:t>
      </w:r>
      <w:r w:rsidRPr="002A48D8">
        <w:rPr>
          <w:rFonts w:eastAsia="Times New Roman" w:cs="Arial"/>
          <w:color w:val="000000"/>
          <w:lang w:val="ru-RU"/>
        </w:rPr>
        <w:t>(</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които може да са животозастрашаващи или с летален изход. При предписването на лекарствения продукт пациентите трябва да бъдат информирани за признаците и симптомите на тежки кожни реакции и да бъдат наблюдавани с повишено внимание. Ако се появят признаци и симптоми, показателни за тази реакция, приложението на Ромазик трябва незабавно да се преустанови и да се обмисли алтернативно лечение.</w:t>
      </w:r>
    </w:p>
    <w:p w14:paraId="4BC7AC8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lastRenderedPageBreak/>
        <w:t xml:space="preserve">Ако пациентът е развил сериозна реакция, като например </w:t>
      </w:r>
      <w:r w:rsidRPr="002A48D8">
        <w:rPr>
          <w:rFonts w:eastAsia="Times New Roman" w:cs="Arial"/>
          <w:color w:val="000000"/>
          <w:lang w:val="en-US"/>
        </w:rPr>
        <w:t>SJS</w:t>
      </w:r>
      <w:r w:rsidRPr="002A48D8">
        <w:rPr>
          <w:rFonts w:eastAsia="Times New Roman" w:cs="Arial"/>
          <w:color w:val="000000"/>
          <w:lang w:val="ru-RU"/>
        </w:rPr>
        <w:t xml:space="preserve"> </w:t>
      </w:r>
      <w:r w:rsidRPr="002A48D8">
        <w:rPr>
          <w:rFonts w:eastAsia="Times New Roman" w:cs="Arial"/>
          <w:color w:val="000000"/>
          <w:lang w:eastAsia="bg-BG"/>
        </w:rPr>
        <w:t xml:space="preserve">или </w:t>
      </w:r>
      <w:r w:rsidRPr="002A48D8">
        <w:rPr>
          <w:rFonts w:eastAsia="Times New Roman" w:cs="Arial"/>
          <w:color w:val="000000"/>
          <w:lang w:val="en-US"/>
        </w:rPr>
        <w:t>DRESS</w:t>
      </w:r>
      <w:r w:rsidRPr="002A48D8">
        <w:rPr>
          <w:rFonts w:eastAsia="Times New Roman" w:cs="Arial"/>
          <w:color w:val="000000"/>
          <w:lang w:val="ru-RU"/>
        </w:rPr>
        <w:t xml:space="preserve"> </w:t>
      </w:r>
      <w:r w:rsidRPr="002A48D8">
        <w:rPr>
          <w:rFonts w:eastAsia="Times New Roman" w:cs="Arial"/>
          <w:color w:val="000000"/>
          <w:lang w:eastAsia="bg-BG"/>
        </w:rPr>
        <w:t>при употребата на Ромазик, лечението с това лекарството не трябва никога да се подновява при този пациент.</w:t>
      </w:r>
    </w:p>
    <w:p w14:paraId="20216B3B" w14:textId="77777777" w:rsidR="002A48D8" w:rsidRDefault="002A48D8" w:rsidP="002A48D8">
      <w:pPr>
        <w:spacing w:line="240" w:lineRule="auto"/>
        <w:rPr>
          <w:rFonts w:eastAsia="Times New Roman" w:cs="Arial"/>
          <w:color w:val="000000"/>
          <w:u w:val="single"/>
          <w:lang w:eastAsia="bg-BG"/>
        </w:rPr>
      </w:pPr>
    </w:p>
    <w:p w14:paraId="4632FA28" w14:textId="4C4F7AA8"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Педиатрична популапия</w:t>
      </w:r>
    </w:p>
    <w:p w14:paraId="53C3D916"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Оценяването на линейното израстване (височина), тегло,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 xml:space="preserve">(индекс на телесната маса), и вторичните полови белези на половото съзряване по скалата на </w:t>
      </w:r>
      <w:r w:rsidRPr="002A48D8">
        <w:rPr>
          <w:rFonts w:eastAsia="Times New Roman" w:cs="Arial"/>
          <w:color w:val="000000"/>
          <w:lang w:val="en-US"/>
        </w:rPr>
        <w:t>Tanner</w:t>
      </w:r>
      <w:r w:rsidRPr="002A48D8">
        <w:rPr>
          <w:rFonts w:eastAsia="Times New Roman" w:cs="Arial"/>
          <w:color w:val="000000"/>
          <w:lang w:val="ru-RU"/>
        </w:rPr>
        <w:t xml:space="preserve"> </w:t>
      </w:r>
      <w:r w:rsidRPr="002A48D8">
        <w:rPr>
          <w:rFonts w:eastAsia="Times New Roman" w:cs="Arial"/>
          <w:color w:val="000000"/>
          <w:lang w:eastAsia="bg-BG"/>
        </w:rPr>
        <w:t xml:space="preserve">при педиатрични пациенти на възраст 6 до 17 години приемащи розувастатин е ограничено до двугодишен период. След две години на третиране по време на проучването, не е забелязан никакъв ефект върху растежа, теглото, </w:t>
      </w:r>
      <w:r w:rsidRPr="002A48D8">
        <w:rPr>
          <w:rFonts w:eastAsia="Times New Roman" w:cs="Arial"/>
          <w:color w:val="000000"/>
          <w:lang w:val="en-US"/>
        </w:rPr>
        <w:t>BMI</w:t>
      </w:r>
      <w:r w:rsidRPr="002A48D8">
        <w:rPr>
          <w:rFonts w:eastAsia="Times New Roman" w:cs="Arial"/>
          <w:color w:val="000000"/>
          <w:lang w:val="ru-RU"/>
        </w:rPr>
        <w:t xml:space="preserve"> </w:t>
      </w:r>
      <w:r w:rsidRPr="002A48D8">
        <w:rPr>
          <w:rFonts w:eastAsia="Times New Roman" w:cs="Arial"/>
          <w:color w:val="000000"/>
          <w:lang w:eastAsia="bg-BG"/>
        </w:rPr>
        <w:t>или половото съзряване (вж. точка 5.1).</w:t>
      </w:r>
    </w:p>
    <w:p w14:paraId="7C7D655C" w14:textId="77777777" w:rsidR="002A48D8" w:rsidRDefault="002A48D8" w:rsidP="002A48D8">
      <w:pPr>
        <w:spacing w:line="240" w:lineRule="auto"/>
        <w:rPr>
          <w:rFonts w:eastAsia="Times New Roman" w:cs="Arial"/>
          <w:color w:val="000000"/>
          <w:lang w:eastAsia="bg-BG"/>
        </w:rPr>
      </w:pPr>
    </w:p>
    <w:p w14:paraId="1B6BFA29" w14:textId="41FC05F5"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В клинично проучване на деца и младежи приемащи розувастатин за 52 седмици, повишаване на СК </w:t>
      </w:r>
      <w:r w:rsidRPr="002A48D8">
        <w:rPr>
          <w:rFonts w:eastAsia="Times New Roman" w:cs="Arial"/>
          <w:color w:val="000000"/>
          <w:lang w:val="ru-RU"/>
        </w:rPr>
        <w:t>&gt;10</w:t>
      </w:r>
      <w:proofErr w:type="spellStart"/>
      <w:r w:rsidRPr="002A48D8">
        <w:rPr>
          <w:rFonts w:eastAsia="Times New Roman" w:cs="Arial"/>
          <w:color w:val="000000"/>
          <w:lang w:val="en-US"/>
        </w:rPr>
        <w:t>xULN</w:t>
      </w:r>
      <w:proofErr w:type="spellEnd"/>
      <w:r w:rsidRPr="002A48D8">
        <w:rPr>
          <w:rFonts w:eastAsia="Times New Roman" w:cs="Arial"/>
          <w:color w:val="000000"/>
          <w:lang w:val="ru-RU"/>
        </w:rPr>
        <w:t xml:space="preserve"> </w:t>
      </w:r>
      <w:r w:rsidRPr="002A48D8">
        <w:rPr>
          <w:rFonts w:eastAsia="Times New Roman" w:cs="Arial"/>
          <w:color w:val="000000"/>
          <w:lang w:eastAsia="bg-BG"/>
        </w:rPr>
        <w:t>и мускулните симптоми след упражнение или повишена физическа активност са наблюдавани по-често в сравнение с наблюдения от клинични проучвания при възрастни (вж. точка 4.8).</w:t>
      </w:r>
    </w:p>
    <w:p w14:paraId="5638E6B3" w14:textId="77777777" w:rsidR="002A48D8" w:rsidRDefault="002A48D8" w:rsidP="002A48D8">
      <w:pPr>
        <w:spacing w:line="240" w:lineRule="auto"/>
        <w:rPr>
          <w:rFonts w:eastAsia="Times New Roman" w:cs="Arial"/>
          <w:color w:val="000000"/>
          <w:u w:val="single"/>
          <w:lang w:eastAsia="bg-BG"/>
        </w:rPr>
      </w:pPr>
    </w:p>
    <w:p w14:paraId="1868B038" w14:textId="3E51766C" w:rsidR="002A48D8" w:rsidRPr="002A48D8" w:rsidRDefault="002A48D8" w:rsidP="002A48D8">
      <w:pPr>
        <w:spacing w:line="240" w:lineRule="auto"/>
        <w:rPr>
          <w:rFonts w:eastAsia="Times New Roman" w:cs="Arial"/>
        </w:rPr>
      </w:pPr>
      <w:r w:rsidRPr="002A48D8">
        <w:rPr>
          <w:rFonts w:eastAsia="Times New Roman" w:cs="Arial"/>
          <w:color w:val="000000"/>
          <w:u w:val="single"/>
          <w:lang w:eastAsia="bg-BG"/>
        </w:rPr>
        <w:t>Непоносимост към лактоза</w:t>
      </w:r>
    </w:p>
    <w:p w14:paraId="033D061A" w14:textId="77777777" w:rsidR="002A48D8" w:rsidRPr="002A48D8" w:rsidRDefault="002A48D8" w:rsidP="002A48D8">
      <w:pPr>
        <w:spacing w:line="240" w:lineRule="auto"/>
        <w:rPr>
          <w:rFonts w:eastAsia="Times New Roman" w:cs="Arial"/>
        </w:rPr>
      </w:pPr>
      <w:r w:rsidRPr="002A48D8">
        <w:rPr>
          <w:rFonts w:eastAsia="Times New Roman" w:cs="Arial"/>
          <w:color w:val="000000"/>
          <w:lang w:eastAsia="bg-BG"/>
        </w:rPr>
        <w:t>Пациенти с редки наследствени дефекти като непоносимост към галактоза, общ лактазен дефицит или глюкозо-галактозна малабсорбция не трябва да приемат този лекарствен продукт.</w:t>
      </w:r>
    </w:p>
    <w:p w14:paraId="29E7F057" w14:textId="77777777" w:rsidR="002A48D8" w:rsidRDefault="002A48D8" w:rsidP="002A48D8">
      <w:pPr>
        <w:spacing w:line="240" w:lineRule="auto"/>
        <w:rPr>
          <w:rFonts w:eastAsia="Times New Roman" w:cs="Arial"/>
          <w:color w:val="000000"/>
          <w:lang w:eastAsia="bg-BG"/>
        </w:rPr>
      </w:pPr>
    </w:p>
    <w:p w14:paraId="571FB7EF" w14:textId="5FF73638" w:rsidR="002A48D8" w:rsidRPr="002A48D8" w:rsidRDefault="002A48D8" w:rsidP="002A48D8">
      <w:pPr>
        <w:spacing w:line="240" w:lineRule="auto"/>
        <w:rPr>
          <w:rFonts w:eastAsia="Times New Roman" w:cs="Arial"/>
        </w:rPr>
      </w:pPr>
      <w:r w:rsidRPr="002A48D8">
        <w:rPr>
          <w:rFonts w:eastAsia="Times New Roman" w:cs="Arial"/>
          <w:color w:val="000000"/>
          <w:lang w:eastAsia="bg-BG"/>
        </w:rPr>
        <w:t xml:space="preserve">Това лекарство съдържа по-малко от 1 </w:t>
      </w:r>
      <w:proofErr w:type="spellStart"/>
      <w:r w:rsidRPr="002A48D8">
        <w:rPr>
          <w:rFonts w:eastAsia="Times New Roman" w:cs="Arial"/>
          <w:color w:val="000000"/>
          <w:lang w:val="en-US"/>
        </w:rPr>
        <w:t>mmol</w:t>
      </w:r>
      <w:proofErr w:type="spellEnd"/>
      <w:r w:rsidRPr="002A48D8">
        <w:rPr>
          <w:rFonts w:eastAsia="Times New Roman" w:cs="Arial"/>
          <w:color w:val="000000"/>
          <w:lang w:val="ru-RU"/>
        </w:rPr>
        <w:t xml:space="preserve"> </w:t>
      </w:r>
      <w:r w:rsidRPr="002A48D8">
        <w:rPr>
          <w:rFonts w:eastAsia="Times New Roman" w:cs="Arial"/>
          <w:color w:val="000000"/>
          <w:lang w:eastAsia="bg-BG"/>
        </w:rPr>
        <w:t xml:space="preserve">натрий (23 </w:t>
      </w:r>
      <w:r w:rsidRPr="002A48D8">
        <w:rPr>
          <w:rFonts w:eastAsia="Times New Roman" w:cs="Arial"/>
          <w:color w:val="000000"/>
          <w:lang w:val="en-US"/>
        </w:rPr>
        <w:t>mg</w:t>
      </w:r>
      <w:r w:rsidRPr="002A48D8">
        <w:rPr>
          <w:rFonts w:eastAsia="Times New Roman" w:cs="Arial"/>
          <w:color w:val="000000"/>
          <w:lang w:val="ru-RU"/>
        </w:rPr>
        <w:t xml:space="preserve">) </w:t>
      </w:r>
      <w:r w:rsidRPr="002A48D8">
        <w:rPr>
          <w:rFonts w:eastAsia="Times New Roman" w:cs="Arial"/>
          <w:color w:val="000000"/>
          <w:lang w:eastAsia="bg-BG"/>
        </w:rPr>
        <w:t>за таблетка, т.е. практически не съдържа натрий.</w:t>
      </w:r>
    </w:p>
    <w:p w14:paraId="0CB2AC8B" w14:textId="060A5E85" w:rsidR="002A48D8" w:rsidRPr="002A48D8" w:rsidRDefault="002A48D8" w:rsidP="002A48D8"/>
    <w:p w14:paraId="62F27C9B" w14:textId="46732CAB" w:rsidR="00DB32D3" w:rsidRDefault="002C50EE" w:rsidP="005726E3">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4B85852C" w14:textId="5C52B5C9" w:rsidR="001E41DF" w:rsidRDefault="001E41DF" w:rsidP="001E41DF"/>
    <w:p w14:paraId="4C959A9A" w14:textId="77777777" w:rsidR="001E41DF" w:rsidRPr="001E41DF" w:rsidRDefault="001E41DF" w:rsidP="001E41DF">
      <w:pPr>
        <w:spacing w:line="240" w:lineRule="auto"/>
        <w:rPr>
          <w:rFonts w:eastAsia="Times New Roman" w:cs="Arial"/>
        </w:rPr>
      </w:pPr>
      <w:r w:rsidRPr="001E41DF">
        <w:rPr>
          <w:rFonts w:eastAsia="Times New Roman" w:cs="Arial"/>
          <w:i/>
          <w:iCs/>
          <w:color w:val="000000"/>
          <w:lang w:eastAsia="bg-BG"/>
        </w:rPr>
        <w:t>Ефект на едновременно приложени лекарствени продукти върху розувастатин.</w:t>
      </w:r>
    </w:p>
    <w:p w14:paraId="4B488284" w14:textId="77777777" w:rsidR="001E41DF" w:rsidRPr="001E41DF" w:rsidRDefault="001E41DF" w:rsidP="001E41DF">
      <w:pPr>
        <w:spacing w:line="240" w:lineRule="auto"/>
        <w:rPr>
          <w:rFonts w:eastAsia="Times New Roman" w:cs="Arial"/>
          <w:color w:val="000000"/>
          <w:u w:val="single"/>
          <w:lang w:eastAsia="bg-BG"/>
        </w:rPr>
      </w:pPr>
    </w:p>
    <w:p w14:paraId="2258D3F3" w14:textId="2C261035"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Инхибитори на транспортните протеини</w:t>
      </w:r>
    </w:p>
    <w:p w14:paraId="44C7C820"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Розувастатин е субстрат на определени транспортни протеини, включително на транспортера на чернодробния захват ОАТР1В1 и ефлукс транспортера </w:t>
      </w:r>
      <w:r w:rsidRPr="001E41DF">
        <w:rPr>
          <w:rFonts w:eastAsia="Times New Roman" w:cs="Arial"/>
          <w:color w:val="000000"/>
          <w:lang w:val="en-US"/>
        </w:rPr>
        <w:t>BCRP</w:t>
      </w:r>
      <w:r w:rsidRPr="001E41DF">
        <w:rPr>
          <w:rFonts w:eastAsia="Times New Roman" w:cs="Arial"/>
          <w:color w:val="000000"/>
          <w:lang w:val="ru-RU"/>
        </w:rPr>
        <w:t>.</w:t>
      </w:r>
      <w:r w:rsidRPr="001E41DF">
        <w:rPr>
          <w:rFonts w:eastAsia="Times New Roman" w:cs="Arial"/>
          <w:color w:val="000000"/>
          <w:lang w:eastAsia="bg-BG"/>
        </w:rPr>
        <w:t xml:space="preserve"> Едновременното приложение на розувастатин с лекарствени продукти, които са инхибитори на тези протеини, може да доведе до повишаване на плазмената концентрация на розувастатин и повишен риск от миопатия (вж. точки 4.2,4.4 и 4.5 и Таблица 1).</w:t>
      </w:r>
    </w:p>
    <w:p w14:paraId="71075E94" w14:textId="77777777" w:rsidR="001E41DF" w:rsidRPr="001E41DF" w:rsidRDefault="001E41DF" w:rsidP="001E41DF">
      <w:pPr>
        <w:spacing w:line="240" w:lineRule="auto"/>
        <w:rPr>
          <w:rFonts w:eastAsia="Times New Roman" w:cs="Arial"/>
          <w:bCs/>
          <w:smallCaps/>
          <w:color w:val="000000"/>
          <w:u w:val="single"/>
          <w:lang w:eastAsia="bg-BG"/>
        </w:rPr>
      </w:pPr>
    </w:p>
    <w:p w14:paraId="3F554BF7" w14:textId="37C3E3CF" w:rsidR="001E41DF" w:rsidRPr="001E41DF" w:rsidRDefault="001E41DF" w:rsidP="001E41DF">
      <w:pPr>
        <w:rPr>
          <w:u w:val="single"/>
        </w:rPr>
      </w:pPr>
      <w:r w:rsidRPr="001E41DF">
        <w:rPr>
          <w:u w:val="single"/>
          <w:lang w:eastAsia="bg-BG"/>
        </w:rPr>
        <w:t>Циклоспорин</w:t>
      </w:r>
    </w:p>
    <w:p w14:paraId="4650227D"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При съпътстващо приложение на розувастатин и циклоспорин, стойностите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са били средно 7 пъти по-високи от тези, наблюдавани при здрави доброволци (вж. Таблица 1). Розувастатин е противопоказан при пациенти, едновременно получаващи циклоспорин (вж. точка 4.3).</w:t>
      </w:r>
    </w:p>
    <w:p w14:paraId="0B47F47F"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Съпътстващото приложение не е повлияло плазмените концентрации на циклоспорин.</w:t>
      </w:r>
    </w:p>
    <w:p w14:paraId="7DEDA442" w14:textId="77777777" w:rsidR="001E41DF" w:rsidRPr="001E41DF" w:rsidRDefault="001E41DF" w:rsidP="001E41DF">
      <w:pPr>
        <w:spacing w:line="240" w:lineRule="auto"/>
        <w:rPr>
          <w:rFonts w:eastAsia="Times New Roman" w:cs="Arial"/>
          <w:color w:val="000000"/>
          <w:u w:val="single"/>
          <w:lang w:eastAsia="bg-BG"/>
        </w:rPr>
      </w:pPr>
    </w:p>
    <w:p w14:paraId="627B72DE" w14:textId="42C44090"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Протеазни инхибитори</w:t>
      </w:r>
    </w:p>
    <w:p w14:paraId="34F29A79"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Въпреки, че точият механизъм на взаимодействие не е известен, едновременното приложение с протеазни инхибитори може рязко да повиши експозицията на розувастатин (вж. Таблица 1). Например едновременното приложение на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комбиниран продукт, състоящ се от два протеазни инхибитора (300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атазанавир/100 </w:t>
      </w:r>
      <w:r w:rsidRPr="001E41DF">
        <w:rPr>
          <w:rFonts w:eastAsia="Times New Roman" w:cs="Arial"/>
          <w:color w:val="000000"/>
          <w:lang w:val="en-US"/>
        </w:rPr>
        <w:lastRenderedPageBreak/>
        <w:t>mg</w:t>
      </w:r>
      <w:r w:rsidRPr="001E41DF">
        <w:rPr>
          <w:rFonts w:eastAsia="Times New Roman" w:cs="Arial"/>
          <w:color w:val="000000"/>
          <w:lang w:val="ru-RU"/>
        </w:rPr>
        <w:t xml:space="preserve"> </w:t>
      </w:r>
      <w:r w:rsidRPr="001E41DF">
        <w:rPr>
          <w:rFonts w:eastAsia="Times New Roman" w:cs="Arial"/>
          <w:color w:val="000000"/>
          <w:lang w:eastAsia="bg-BG"/>
        </w:rPr>
        <w:t xml:space="preserve">ритонавир) по време на фармакокинетично проучване при здрави </w:t>
      </w:r>
      <w:r w:rsidRPr="001E41DF">
        <w:rPr>
          <w:rFonts w:eastAsia="Times New Roman" w:cs="Arial"/>
          <w:i/>
          <w:iCs/>
          <w:color w:val="000000"/>
          <w:lang w:eastAsia="bg-BG"/>
        </w:rPr>
        <w:t>доброволна, се асоциира с</w:t>
      </w:r>
      <w:r w:rsidRPr="001E41DF">
        <w:rPr>
          <w:rFonts w:eastAsia="Times New Roman" w:cs="Arial"/>
          <w:color w:val="000000"/>
          <w:lang w:eastAsia="bg-BG"/>
        </w:rPr>
        <w:t xml:space="preserve"> приблизително трикратно нарастване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w:t>
      </w:r>
      <w:r w:rsidRPr="001E41DF">
        <w:rPr>
          <w:rFonts w:eastAsia="Times New Roman" w:cs="Arial"/>
          <w:color w:val="000000"/>
          <w:lang w:val="en-US"/>
        </w:rPr>
        <w:t>max</w:t>
      </w:r>
      <w:r w:rsidRPr="001E41DF">
        <w:rPr>
          <w:rFonts w:eastAsia="Times New Roman" w:cs="Arial"/>
          <w:color w:val="000000"/>
          <w:lang w:eastAsia="bg-BG"/>
        </w:rPr>
        <w:t xml:space="preserve"> на розувастатин. Едновременното приложение на розувастатин и някои комбинации от протеазни инхибитори може да се има предвид след внимателно преценяване на корекциите на дозата розувастатин, въз основа на очакваното повишение на експозицията му (вж. точки 4.2,4.4 и 4.5 Таблица 1).</w:t>
      </w:r>
    </w:p>
    <w:p w14:paraId="04CF7B15" w14:textId="77777777" w:rsidR="001E41DF" w:rsidRPr="001E41DF" w:rsidRDefault="001E41DF" w:rsidP="001E41DF">
      <w:pPr>
        <w:spacing w:line="240" w:lineRule="auto"/>
        <w:rPr>
          <w:rFonts w:eastAsia="Times New Roman" w:cs="Arial"/>
          <w:color w:val="000000"/>
          <w:u w:val="single"/>
          <w:lang w:eastAsia="bg-BG"/>
        </w:rPr>
      </w:pPr>
    </w:p>
    <w:p w14:paraId="5A1CD60B" w14:textId="20C370E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Гемфиброзил и други липидопонижаващи продукти</w:t>
      </w:r>
    </w:p>
    <w:p w14:paraId="1F4C45C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Съпътстващото приложение на розувастатин и гемфиброзил е </w:t>
      </w:r>
      <w:r w:rsidRPr="001E41DF">
        <w:rPr>
          <w:rFonts w:eastAsia="Times New Roman" w:cs="Arial"/>
          <w:i/>
          <w:iCs/>
          <w:color w:val="000000"/>
          <w:lang w:eastAsia="bg-BG"/>
        </w:rPr>
        <w:t>довело до</w:t>
      </w:r>
      <w:r w:rsidRPr="001E41DF">
        <w:rPr>
          <w:rFonts w:eastAsia="Times New Roman" w:cs="Arial"/>
          <w:color w:val="000000"/>
          <w:lang w:eastAsia="bg-BG"/>
        </w:rPr>
        <w:t xml:space="preserve"> двукратно повишение на С</w:t>
      </w:r>
      <w:r w:rsidRPr="001E41DF">
        <w:rPr>
          <w:rFonts w:eastAsia="Times New Roman" w:cs="Arial"/>
          <w:color w:val="000000"/>
          <w:lang w:val="en-US"/>
        </w:rPr>
        <w:t>max</w:t>
      </w:r>
      <w:r w:rsidRPr="001E41DF">
        <w:rPr>
          <w:rFonts w:eastAsia="Times New Roman" w:cs="Arial"/>
          <w:color w:val="000000"/>
          <w:lang w:eastAsia="bg-BG"/>
        </w:rPr>
        <w:t xml:space="preserve"> и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(вж. точка 4.4).</w:t>
      </w:r>
    </w:p>
    <w:p w14:paraId="4C1DBEB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Въз основа на данни от фармакокинетични проучвания за специфични лекарствени взаимодействия, не се очаква взаимодействие с фенофибрат, но е възможна поява на фармакодинамични взаимодействия.</w:t>
      </w:r>
    </w:p>
    <w:p w14:paraId="22407A67" w14:textId="2E8E6697" w:rsidR="001E41DF" w:rsidRPr="001E41DF" w:rsidRDefault="001E41DF" w:rsidP="001E41DF">
      <w:pPr>
        <w:rPr>
          <w:rFonts w:eastAsia="Times New Roman" w:cs="Arial"/>
          <w:color w:val="000000"/>
          <w:lang w:val="ru-RU" w:eastAsia="bg-BG"/>
        </w:rPr>
      </w:pPr>
      <w:r w:rsidRPr="001E41DF">
        <w:rPr>
          <w:rFonts w:eastAsia="Times New Roman" w:cs="Arial"/>
          <w:color w:val="000000"/>
          <w:lang w:eastAsia="bg-BG"/>
        </w:rPr>
        <w:t xml:space="preserve">Гемфиброзил, фенофибрат, други фибрати и липидопонижаващите дози (в дози &gt; или равни на 1 </w:t>
      </w:r>
      <w:r w:rsidRPr="001E41DF">
        <w:rPr>
          <w:rFonts w:eastAsia="Times New Roman" w:cs="Arial"/>
          <w:color w:val="000000"/>
          <w:lang w:val="en-US"/>
        </w:rPr>
        <w:t>g</w:t>
      </w:r>
      <w:r w:rsidRPr="001E41DF">
        <w:rPr>
          <w:rFonts w:eastAsia="Times New Roman" w:cs="Arial"/>
          <w:color w:val="000000"/>
          <w:lang w:eastAsia="bg-BG"/>
        </w:rPr>
        <w:t xml:space="preserve">/ден) на ниацин (никотинова киселина) повишават риска от появата на миопатия при комбиниране с инхибитори на </w:t>
      </w:r>
      <w:r w:rsidRPr="001E41DF">
        <w:rPr>
          <w:rFonts w:eastAsia="Times New Roman" w:cs="Arial"/>
          <w:color w:val="000000"/>
          <w:lang w:val="en-US"/>
        </w:rPr>
        <w:t>HMG</w:t>
      </w:r>
      <w:r w:rsidRPr="001E41DF">
        <w:rPr>
          <w:rFonts w:eastAsia="Times New Roman" w:cs="Arial"/>
          <w:color w:val="000000"/>
          <w:lang w:val="ru-RU"/>
        </w:rPr>
        <w:t>-</w:t>
      </w:r>
      <w:r w:rsidRPr="001E41DF">
        <w:rPr>
          <w:rFonts w:eastAsia="Times New Roman" w:cs="Arial"/>
          <w:color w:val="000000"/>
          <w:lang w:val="en-US"/>
        </w:rPr>
        <w:t>CoA</w:t>
      </w:r>
      <w:r w:rsidRPr="001E41DF">
        <w:rPr>
          <w:rFonts w:eastAsia="Times New Roman" w:cs="Arial"/>
          <w:color w:val="000000"/>
          <w:lang w:val="ru-RU"/>
        </w:rPr>
        <w:t xml:space="preserve"> </w:t>
      </w:r>
      <w:r w:rsidRPr="001E41DF">
        <w:rPr>
          <w:rFonts w:eastAsia="Times New Roman" w:cs="Arial"/>
          <w:color w:val="000000"/>
          <w:lang w:eastAsia="bg-BG"/>
        </w:rPr>
        <w:t>(хидроксиметил-глутарил-коензим А) редуктазата,</w:t>
      </w:r>
      <w:r w:rsidRPr="001E41DF">
        <w:rPr>
          <w:rFonts w:eastAsia="Times New Roman" w:cs="Arial"/>
          <w:color w:val="000000"/>
          <w:vertAlign w:val="superscript"/>
          <w:lang w:eastAsia="bg-BG"/>
        </w:rPr>
        <w:t xml:space="preserve"> </w:t>
      </w:r>
      <w:r w:rsidRPr="001E41DF">
        <w:rPr>
          <w:rFonts w:eastAsia="Times New Roman" w:cs="Arial"/>
          <w:color w:val="000000"/>
          <w:lang w:eastAsia="bg-BG"/>
        </w:rPr>
        <w:t>вероятно поради факта, че те могат да предизвикат появата на миопатия и при монотерапия</w:t>
      </w:r>
      <w:r w:rsidRPr="001E41DF">
        <w:rPr>
          <w:rFonts w:eastAsia="Times New Roman" w:cs="Arial"/>
          <w:color w:val="000000"/>
          <w:lang w:val="ru-RU" w:eastAsia="bg-BG"/>
        </w:rPr>
        <w:t>.</w:t>
      </w:r>
    </w:p>
    <w:p w14:paraId="5A4F481D" w14:textId="77777777" w:rsidR="001E41DF" w:rsidRPr="001E41DF" w:rsidRDefault="001E41DF" w:rsidP="001E41DF">
      <w:pPr>
        <w:rPr>
          <w:rFonts w:eastAsia="Times New Roman" w:cs="Arial"/>
          <w:color w:val="000000"/>
          <w:lang w:eastAsia="bg-BG"/>
        </w:rPr>
      </w:pPr>
    </w:p>
    <w:p w14:paraId="3E59E851" w14:textId="5DDBF4E8" w:rsidR="001E41DF" w:rsidRPr="001E41DF" w:rsidRDefault="001E41DF" w:rsidP="001E41DF">
      <w:pPr>
        <w:rPr>
          <w:rFonts w:eastAsia="Times New Roman" w:cs="Arial"/>
          <w:color w:val="000000"/>
          <w:lang w:eastAsia="bg-BG"/>
        </w:rPr>
      </w:pPr>
      <w:r w:rsidRPr="001E41DF">
        <w:rPr>
          <w:rFonts w:eastAsia="Times New Roman" w:cs="Arial"/>
          <w:color w:val="000000"/>
          <w:lang w:eastAsia="bg-BG"/>
        </w:rPr>
        <w:t xml:space="preserve">Дозата от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 противопоказана при съпътстващо лечение с фибрата (вж. точки 4.3 и 4.4). При тези пациенти лечението трябва да започне с доза от 5 </w:t>
      </w:r>
      <w:r w:rsidRPr="001E41DF">
        <w:rPr>
          <w:rFonts w:eastAsia="Times New Roman" w:cs="Arial"/>
          <w:color w:val="000000"/>
          <w:lang w:val="en-US"/>
        </w:rPr>
        <w:t>mg</w:t>
      </w:r>
      <w:r w:rsidRPr="001E41DF">
        <w:rPr>
          <w:rFonts w:eastAsia="Times New Roman" w:cs="Arial"/>
          <w:color w:val="000000"/>
          <w:lang w:val="ru-RU"/>
        </w:rPr>
        <w:t>.</w:t>
      </w:r>
    </w:p>
    <w:p w14:paraId="13B4CFEE" w14:textId="77777777" w:rsidR="001E41DF" w:rsidRPr="001E41DF" w:rsidRDefault="001E41DF" w:rsidP="001E41DF">
      <w:pPr>
        <w:spacing w:line="240" w:lineRule="auto"/>
        <w:rPr>
          <w:rFonts w:eastAsia="Times New Roman" w:cs="Arial"/>
          <w:color w:val="000000"/>
          <w:u w:val="single"/>
          <w:lang w:eastAsia="bg-BG"/>
        </w:rPr>
      </w:pPr>
    </w:p>
    <w:p w14:paraId="1A3243EB" w14:textId="34F770F2"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Езетимиб</w:t>
      </w:r>
    </w:p>
    <w:p w14:paraId="156455B5"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и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езетимиб води до 1,2 кратно повишение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на розувастатин при хиперхолестеролемични пациенти (Таблица 1). Това не може да се изключи фармакодинамично взаимодействие между розувастатин и езетимиб, което да има като резултат нежелани реакции (вж. точка 4.4).</w:t>
      </w:r>
    </w:p>
    <w:p w14:paraId="10AA953E" w14:textId="77777777" w:rsidR="001E41DF" w:rsidRPr="001E41DF" w:rsidRDefault="001E41DF" w:rsidP="001E41DF">
      <w:pPr>
        <w:spacing w:line="240" w:lineRule="auto"/>
        <w:rPr>
          <w:rFonts w:eastAsia="Times New Roman" w:cs="Arial"/>
          <w:color w:val="000000"/>
          <w:u w:val="single"/>
          <w:lang w:eastAsia="bg-BG"/>
        </w:rPr>
      </w:pPr>
    </w:p>
    <w:p w14:paraId="4538B13C" w14:textId="1A99930A"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Антиациди</w:t>
      </w:r>
    </w:p>
    <w:p w14:paraId="2AF41248"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Едновременното приложение на розувастатин с антиацидна суспензия, съдържаща алуминиев и магнезиев хидроксид е довело да намаляване на плазмената концентрация на розувастатина с около 50%.</w:t>
      </w:r>
    </w:p>
    <w:p w14:paraId="706E1292"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Този ефект е бил отслабен, когато антиацидите са давани 2 часа след приема на розувастатин. Клиничното значение на това взаимодействие не е изследвано.</w:t>
      </w:r>
    </w:p>
    <w:p w14:paraId="669155F7" w14:textId="77777777" w:rsidR="001E41DF" w:rsidRPr="001E41DF" w:rsidRDefault="001E41DF" w:rsidP="001E41DF">
      <w:pPr>
        <w:spacing w:line="240" w:lineRule="auto"/>
        <w:rPr>
          <w:rFonts w:eastAsia="Times New Roman" w:cs="Arial"/>
          <w:bCs/>
          <w:smallCaps/>
          <w:color w:val="000000"/>
          <w:u w:val="single"/>
          <w:lang w:eastAsia="bg-BG"/>
        </w:rPr>
      </w:pPr>
    </w:p>
    <w:p w14:paraId="49CB50A4" w14:textId="7B2C1E3F" w:rsidR="001E41DF" w:rsidRPr="001E41DF" w:rsidRDefault="001E41DF" w:rsidP="001E41DF">
      <w:pPr>
        <w:rPr>
          <w:u w:val="single"/>
        </w:rPr>
      </w:pPr>
      <w:r w:rsidRPr="001E41DF">
        <w:rPr>
          <w:u w:val="single"/>
          <w:lang w:eastAsia="bg-BG"/>
        </w:rPr>
        <w:t>Еритромицин</w:t>
      </w:r>
    </w:p>
    <w:p w14:paraId="17E1891C"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Съпътстващата употреба на розувастатин и еритромицин е довела до намаляване с 20% на </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и с 30% на С</w:t>
      </w:r>
      <w:r w:rsidRPr="001E41DF">
        <w:rPr>
          <w:rFonts w:eastAsia="Times New Roman" w:cs="Arial"/>
          <w:color w:val="000000"/>
          <w:vertAlign w:val="subscript"/>
          <w:lang w:val="en-US"/>
        </w:rPr>
        <w:t>max</w:t>
      </w:r>
      <w:r w:rsidRPr="001E41DF">
        <w:rPr>
          <w:rFonts w:eastAsia="Times New Roman" w:cs="Arial"/>
          <w:color w:val="000000"/>
          <w:lang w:eastAsia="bg-BG"/>
        </w:rPr>
        <w:t xml:space="preserve"> на розувастатин. Взаимодействието може да е предизвикано от повишения чревен мотилитет, вследствие на приемането на еритромицин.</w:t>
      </w:r>
    </w:p>
    <w:p w14:paraId="2246B493" w14:textId="77777777" w:rsidR="001E41DF" w:rsidRPr="001E41DF" w:rsidRDefault="001E41DF" w:rsidP="001E41DF">
      <w:pPr>
        <w:spacing w:line="240" w:lineRule="auto"/>
        <w:rPr>
          <w:rFonts w:eastAsia="Times New Roman" w:cs="Arial"/>
          <w:color w:val="000000"/>
          <w:u w:val="single"/>
          <w:lang w:eastAsia="bg-BG"/>
        </w:rPr>
      </w:pPr>
    </w:p>
    <w:p w14:paraId="4255AF5E" w14:textId="709BC0F7"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Ензими от системата нацитохром Р450</w:t>
      </w:r>
    </w:p>
    <w:p w14:paraId="6C358BD4"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Резултати от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vitro</w:t>
      </w:r>
      <w:r w:rsidRPr="001E41DF">
        <w:rPr>
          <w:rFonts w:eastAsia="Times New Roman" w:cs="Arial"/>
          <w:color w:val="000000"/>
          <w:lang w:val="ru-RU"/>
        </w:rPr>
        <w:t xml:space="preserve"> </w:t>
      </w:r>
      <w:r w:rsidRPr="001E41DF">
        <w:rPr>
          <w:rFonts w:eastAsia="Times New Roman" w:cs="Arial"/>
          <w:color w:val="000000"/>
          <w:lang w:eastAsia="bg-BG"/>
        </w:rPr>
        <w:t xml:space="preserve">и </w:t>
      </w:r>
      <w:r w:rsidRPr="001E41DF">
        <w:rPr>
          <w:rFonts w:eastAsia="Times New Roman" w:cs="Arial"/>
          <w:i/>
          <w:iCs/>
          <w:color w:val="000000"/>
          <w:lang w:val="en-US"/>
        </w:rPr>
        <w:t>in</w:t>
      </w:r>
      <w:r w:rsidRPr="001E41DF">
        <w:rPr>
          <w:rFonts w:eastAsia="Times New Roman" w:cs="Arial"/>
          <w:i/>
          <w:iCs/>
          <w:color w:val="000000"/>
          <w:lang w:val="ru-RU"/>
        </w:rPr>
        <w:t xml:space="preserve"> </w:t>
      </w:r>
      <w:r w:rsidRPr="001E41DF">
        <w:rPr>
          <w:rFonts w:eastAsia="Times New Roman" w:cs="Arial"/>
          <w:i/>
          <w:iCs/>
          <w:color w:val="000000"/>
          <w:lang w:val="en-US"/>
        </w:rPr>
        <w:t>vivo</w:t>
      </w:r>
      <w:r w:rsidRPr="001E41DF">
        <w:rPr>
          <w:rFonts w:eastAsia="Times New Roman" w:cs="Arial"/>
          <w:color w:val="000000"/>
          <w:lang w:val="ru-RU"/>
        </w:rPr>
        <w:t xml:space="preserve"> </w:t>
      </w:r>
      <w:r w:rsidRPr="001E41DF">
        <w:rPr>
          <w:rFonts w:eastAsia="Times New Roman" w:cs="Arial"/>
          <w:color w:val="000000"/>
          <w:lang w:eastAsia="bg-BG"/>
        </w:rPr>
        <w:t xml:space="preserve">проучвания показват, че розувастатин не е нито инхибитор, нито индуктор на цитохром Р450 изоензимите. В прибавка розувастатин е лош субстрат на тези изоензими. Следователно, не се очакват лекарствени взаимодействия като резултат от цитохром Р450-медиирания метаболизъм. Не са наблюдавани клинично значими взаимодействия между розувастатин и флуконазол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C</w:t>
      </w:r>
      <w:r w:rsidRPr="001E41DF">
        <w:rPr>
          <w:rFonts w:eastAsia="Times New Roman" w:cs="Arial"/>
          <w:color w:val="000000"/>
          <w:lang w:val="ru-RU"/>
        </w:rPr>
        <w:t xml:space="preserve">9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 xml:space="preserve">4) </w:t>
      </w:r>
      <w:r w:rsidRPr="001E41DF">
        <w:rPr>
          <w:rFonts w:eastAsia="Times New Roman" w:cs="Arial"/>
          <w:color w:val="000000"/>
          <w:lang w:eastAsia="bg-BG"/>
        </w:rPr>
        <w:t xml:space="preserve">или кетоконазол (инхибитор на </w:t>
      </w:r>
      <w:r w:rsidRPr="001E41DF">
        <w:rPr>
          <w:rFonts w:eastAsia="Times New Roman" w:cs="Arial"/>
          <w:color w:val="000000"/>
          <w:lang w:val="en-US"/>
        </w:rPr>
        <w:t>CYP</w:t>
      </w:r>
      <w:r w:rsidRPr="001E41DF">
        <w:rPr>
          <w:rFonts w:eastAsia="Times New Roman" w:cs="Arial"/>
          <w:color w:val="000000"/>
          <w:lang w:val="ru-RU"/>
        </w:rPr>
        <w:t>2</w:t>
      </w:r>
      <w:r w:rsidRPr="001E41DF">
        <w:rPr>
          <w:rFonts w:eastAsia="Times New Roman" w:cs="Arial"/>
          <w:color w:val="000000"/>
          <w:lang w:val="en-US"/>
        </w:rPr>
        <w:t>A</w:t>
      </w:r>
      <w:r w:rsidRPr="001E41DF">
        <w:rPr>
          <w:rFonts w:eastAsia="Times New Roman" w:cs="Arial"/>
          <w:color w:val="000000"/>
          <w:lang w:val="ru-RU"/>
        </w:rPr>
        <w:t xml:space="preserve">6 </w:t>
      </w:r>
      <w:r w:rsidRPr="001E41DF">
        <w:rPr>
          <w:rFonts w:eastAsia="Times New Roman" w:cs="Arial"/>
          <w:color w:val="000000"/>
          <w:lang w:eastAsia="bg-BG"/>
        </w:rPr>
        <w:t xml:space="preserve">и </w:t>
      </w:r>
      <w:r w:rsidRPr="001E41DF">
        <w:rPr>
          <w:rFonts w:eastAsia="Times New Roman" w:cs="Arial"/>
          <w:color w:val="000000"/>
          <w:lang w:val="en-US"/>
        </w:rPr>
        <w:t>CYP</w:t>
      </w:r>
      <w:r w:rsidRPr="001E41DF">
        <w:rPr>
          <w:rFonts w:eastAsia="Times New Roman" w:cs="Arial"/>
          <w:color w:val="000000"/>
          <w:lang w:val="ru-RU"/>
        </w:rPr>
        <w:t>3</w:t>
      </w:r>
      <w:r w:rsidRPr="001E41DF">
        <w:rPr>
          <w:rFonts w:eastAsia="Times New Roman" w:cs="Arial"/>
          <w:color w:val="000000"/>
          <w:lang w:val="en-US"/>
        </w:rPr>
        <w:t>A</w:t>
      </w:r>
      <w:r w:rsidRPr="001E41DF">
        <w:rPr>
          <w:rFonts w:eastAsia="Times New Roman" w:cs="Arial"/>
          <w:color w:val="000000"/>
          <w:lang w:val="ru-RU"/>
        </w:rPr>
        <w:t>4).</w:t>
      </w:r>
    </w:p>
    <w:p w14:paraId="09FFCAAF" w14:textId="77777777" w:rsidR="001E41DF" w:rsidRPr="001E41DF" w:rsidRDefault="001E41DF" w:rsidP="001E41DF">
      <w:pPr>
        <w:spacing w:line="240" w:lineRule="auto"/>
        <w:rPr>
          <w:rFonts w:eastAsia="Times New Roman" w:cs="Arial"/>
          <w:color w:val="000000"/>
          <w:u w:val="single"/>
          <w:lang w:eastAsia="bg-BG"/>
        </w:rPr>
      </w:pPr>
    </w:p>
    <w:p w14:paraId="5D422652" w14:textId="0D8A3429" w:rsidR="001E41DF" w:rsidRPr="001E41DF" w:rsidRDefault="001E41DF" w:rsidP="001E41DF">
      <w:pPr>
        <w:spacing w:line="240" w:lineRule="auto"/>
        <w:rPr>
          <w:rFonts w:eastAsia="Times New Roman" w:cs="Arial"/>
        </w:rPr>
      </w:pPr>
      <w:r w:rsidRPr="001E41DF">
        <w:rPr>
          <w:rFonts w:eastAsia="Times New Roman" w:cs="Arial"/>
          <w:color w:val="000000"/>
          <w:u w:val="single"/>
          <w:lang w:eastAsia="bg-BG"/>
        </w:rPr>
        <w:t xml:space="preserve">Взаимодействия, които изискват корекпия на дозата розувастатин (вж,също Таблица 1): </w:t>
      </w:r>
      <w:r w:rsidRPr="001E41DF">
        <w:rPr>
          <w:rFonts w:eastAsia="Times New Roman" w:cs="Arial"/>
          <w:color w:val="000000"/>
          <w:lang w:eastAsia="bg-BG"/>
        </w:rPr>
        <w:t xml:space="preserve">Когато е необходимо розувастатин да се прилага заедно с други лекарствени продукти, за </w:t>
      </w:r>
      <w:r w:rsidRPr="001E41DF">
        <w:rPr>
          <w:rFonts w:eastAsia="Times New Roman" w:cs="Arial"/>
          <w:color w:val="000000"/>
          <w:lang w:eastAsia="bg-BG"/>
        </w:rPr>
        <w:lastRenderedPageBreak/>
        <w:t>които е известно, че повишават експозицията му, дозите на розувастатин трябва да се коригират.</w:t>
      </w:r>
    </w:p>
    <w:p w14:paraId="4DC4FD9E" w14:textId="77777777" w:rsidR="001E41DF" w:rsidRPr="001E41DF" w:rsidRDefault="001E41DF" w:rsidP="001E41DF">
      <w:pPr>
        <w:spacing w:line="240" w:lineRule="auto"/>
        <w:rPr>
          <w:rFonts w:eastAsia="Times New Roman" w:cs="Arial"/>
        </w:rPr>
      </w:pPr>
      <w:r w:rsidRPr="001E41DF">
        <w:rPr>
          <w:rFonts w:eastAsia="Times New Roman" w:cs="Arial"/>
          <w:color w:val="000000"/>
          <w:lang w:eastAsia="bg-BG"/>
        </w:rPr>
        <w:t xml:space="preserve">Започва се с доза 5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веднъж дневно, ако очакваното повишение на експозицията </w:t>
      </w:r>
      <w:r w:rsidRPr="001E41DF">
        <w:rPr>
          <w:rFonts w:eastAsia="Times New Roman" w:cs="Arial"/>
          <w:color w:val="000000"/>
          <w:lang w:val="ru-RU"/>
        </w:rPr>
        <w:t>(</w:t>
      </w:r>
      <w:r w:rsidRPr="001E41DF">
        <w:rPr>
          <w:rFonts w:eastAsia="Times New Roman" w:cs="Arial"/>
          <w:color w:val="000000"/>
          <w:lang w:val="en-US"/>
        </w:rPr>
        <w:t>AUC</w:t>
      </w:r>
      <w:r w:rsidRPr="001E41DF">
        <w:rPr>
          <w:rFonts w:eastAsia="Times New Roman" w:cs="Arial"/>
          <w:color w:val="000000"/>
          <w:lang w:val="ru-RU"/>
        </w:rPr>
        <w:t xml:space="preserve">) </w:t>
      </w:r>
      <w:r w:rsidRPr="001E41DF">
        <w:rPr>
          <w:rFonts w:eastAsia="Times New Roman" w:cs="Arial"/>
          <w:color w:val="000000"/>
          <w:lang w:eastAsia="bg-BG"/>
        </w:rPr>
        <w:t xml:space="preserve">е приблизително двукратно или по-голямо. Максималната дневна доза на розувастатин трябва да се коригира така, че очакваната експозиция на розувастатин да няма вероятност да надвиши тази на 40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дневна доза от розувастатин, приеман без взаимодействащи лекарствени продукти, например, доза от 20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 xml:space="preserve">розувастатин с гемфиброзил (1,9-пъти повишение), и доза 10 </w:t>
      </w:r>
      <w:r w:rsidRPr="001E41DF">
        <w:rPr>
          <w:rFonts w:eastAsia="Times New Roman" w:cs="Arial"/>
          <w:color w:val="000000"/>
          <w:lang w:val="en-US"/>
        </w:rPr>
        <w:t>mg</w:t>
      </w:r>
      <w:r w:rsidRPr="001E41DF">
        <w:rPr>
          <w:rFonts w:eastAsia="Times New Roman" w:cs="Arial"/>
          <w:color w:val="000000"/>
          <w:lang w:val="ru-RU"/>
        </w:rPr>
        <w:t xml:space="preserve"> </w:t>
      </w:r>
      <w:r w:rsidRPr="001E41DF">
        <w:rPr>
          <w:rFonts w:eastAsia="Times New Roman" w:cs="Arial"/>
          <w:color w:val="000000"/>
          <w:lang w:eastAsia="bg-BG"/>
        </w:rPr>
        <w:t>розувастатин с комбинация атазанавир/ритонавир (3,1-пъти повишение).</w:t>
      </w:r>
    </w:p>
    <w:p w14:paraId="444800BC" w14:textId="77777777" w:rsidR="001E41DF" w:rsidRPr="001E41DF" w:rsidRDefault="001E41DF" w:rsidP="001E41DF">
      <w:pPr>
        <w:spacing w:line="240" w:lineRule="auto"/>
        <w:rPr>
          <w:rFonts w:eastAsia="Times New Roman" w:cs="Arial"/>
          <w:bCs/>
          <w:color w:val="000000"/>
          <w:lang w:eastAsia="bg-BG"/>
        </w:rPr>
      </w:pPr>
    </w:p>
    <w:p w14:paraId="50B16520" w14:textId="472837CE" w:rsidR="001E41DF" w:rsidRDefault="001E41DF" w:rsidP="001E41DF">
      <w:pPr>
        <w:spacing w:line="240" w:lineRule="auto"/>
        <w:rPr>
          <w:rFonts w:eastAsia="Times New Roman" w:cs="Arial"/>
          <w:b/>
          <w:bCs/>
          <w:color w:val="000000"/>
          <w:u w:val="single"/>
          <w:lang w:eastAsia="bg-BG"/>
        </w:rPr>
      </w:pPr>
      <w:r w:rsidRPr="001E41DF">
        <w:rPr>
          <w:rFonts w:eastAsia="Times New Roman" w:cs="Arial"/>
          <w:b/>
          <w:bCs/>
          <w:color w:val="000000"/>
          <w:lang w:eastAsia="bg-BG"/>
        </w:rPr>
        <w:t xml:space="preserve">Таблица 1 Ефект на едновременно прилаган лекарствен продукт върху експозицията на розувастатин </w:t>
      </w:r>
      <w:r w:rsidRPr="001E41DF">
        <w:rPr>
          <w:rFonts w:eastAsia="Times New Roman" w:cs="Arial"/>
          <w:b/>
          <w:bCs/>
          <w:color w:val="000000"/>
          <w:lang w:val="ru-RU"/>
        </w:rPr>
        <w:t>(</w:t>
      </w:r>
      <w:r w:rsidRPr="001E41DF">
        <w:rPr>
          <w:rFonts w:eastAsia="Times New Roman" w:cs="Arial"/>
          <w:b/>
          <w:bCs/>
          <w:color w:val="000000"/>
          <w:lang w:val="en-US"/>
        </w:rPr>
        <w:t>AUC</w:t>
      </w:r>
      <w:r w:rsidRPr="001E41DF">
        <w:rPr>
          <w:rFonts w:eastAsia="Times New Roman" w:cs="Arial"/>
          <w:b/>
          <w:bCs/>
          <w:color w:val="000000"/>
          <w:lang w:val="ru-RU"/>
        </w:rPr>
        <w:t xml:space="preserve">; </w:t>
      </w:r>
      <w:r w:rsidRPr="001E41DF">
        <w:rPr>
          <w:rFonts w:eastAsia="Times New Roman" w:cs="Arial"/>
          <w:b/>
          <w:bCs/>
          <w:color w:val="000000"/>
          <w:lang w:eastAsia="bg-BG"/>
        </w:rPr>
        <w:t>в низходящ ред) от публикувани клинични</w:t>
      </w:r>
      <w:r w:rsidRPr="001E41DF">
        <w:rPr>
          <w:rFonts w:eastAsia="Times New Roman" w:cs="Arial"/>
          <w:b/>
          <w:lang w:val="ru-RU"/>
        </w:rPr>
        <w:t xml:space="preserve"> </w:t>
      </w:r>
      <w:r w:rsidRPr="001E41DF">
        <w:rPr>
          <w:rFonts w:eastAsia="Times New Roman" w:cs="Arial"/>
          <w:b/>
          <w:bCs/>
          <w:color w:val="000000"/>
          <w:u w:val="single"/>
          <w:lang w:eastAsia="bg-BG"/>
        </w:rPr>
        <w:t>проучвания</w:t>
      </w:r>
    </w:p>
    <w:tbl>
      <w:tblPr>
        <w:tblStyle w:val="TableGrid"/>
        <w:tblW w:w="0" w:type="auto"/>
        <w:tblLook w:val="04A0" w:firstRow="1" w:lastRow="0" w:firstColumn="1" w:lastColumn="0" w:noHBand="0" w:noVBand="1"/>
      </w:tblPr>
      <w:tblGrid>
        <w:gridCol w:w="3197"/>
        <w:gridCol w:w="3073"/>
        <w:gridCol w:w="3080"/>
      </w:tblGrid>
      <w:tr w:rsidR="00116E28" w14:paraId="757E294A" w14:textId="77777777" w:rsidTr="00116E28">
        <w:tc>
          <w:tcPr>
            <w:tcW w:w="3246" w:type="dxa"/>
            <w:vAlign w:val="bottom"/>
          </w:tcPr>
          <w:p w14:paraId="6CCBD98F" w14:textId="656EDAC1"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взаимодействащото лекарство</w:t>
            </w:r>
          </w:p>
        </w:tc>
        <w:tc>
          <w:tcPr>
            <w:tcW w:w="3164" w:type="dxa"/>
            <w:vAlign w:val="bottom"/>
          </w:tcPr>
          <w:p w14:paraId="63662D45" w14:textId="68CB043D" w:rsidR="00116E28" w:rsidRPr="00116E28" w:rsidRDefault="00116E28" w:rsidP="00116E28">
            <w:pPr>
              <w:spacing w:line="240" w:lineRule="auto"/>
              <w:rPr>
                <w:rFonts w:eastAsia="Times New Roman" w:cs="Arial"/>
                <w:b/>
                <w:bCs/>
                <w:color w:val="000000"/>
                <w:lang w:eastAsia="bg-BG"/>
              </w:rPr>
            </w:pPr>
            <w:r w:rsidRPr="00116E28">
              <w:rPr>
                <w:rFonts w:cs="Arial"/>
                <w:b/>
                <w:bCs/>
              </w:rPr>
              <w:t>Дозов режим на розувастатин</w:t>
            </w:r>
          </w:p>
        </w:tc>
        <w:tc>
          <w:tcPr>
            <w:tcW w:w="3166" w:type="dxa"/>
            <w:vAlign w:val="bottom"/>
          </w:tcPr>
          <w:p w14:paraId="61E3A6AD" w14:textId="4F6E881A" w:rsidR="00116E28" w:rsidRPr="00116E28" w:rsidRDefault="00116E28" w:rsidP="00116E28">
            <w:pPr>
              <w:spacing w:line="240" w:lineRule="auto"/>
              <w:rPr>
                <w:rFonts w:eastAsia="Times New Roman" w:cs="Arial"/>
                <w:b/>
                <w:bCs/>
                <w:color w:val="000000"/>
                <w:lang w:eastAsia="bg-BG"/>
              </w:rPr>
            </w:pPr>
            <w:r w:rsidRPr="00116E28">
              <w:rPr>
                <w:rFonts w:cs="Arial"/>
                <w:b/>
                <w:bCs/>
              </w:rPr>
              <w:t xml:space="preserve">Промяна в </w:t>
            </w:r>
            <w:r w:rsidRPr="00116E28">
              <w:rPr>
                <w:rFonts w:cs="Arial"/>
                <w:b/>
                <w:bCs/>
                <w:lang w:val="en-US"/>
              </w:rPr>
              <w:t>AUC</w:t>
            </w:r>
            <w:r w:rsidRPr="00116E28">
              <w:rPr>
                <w:rFonts w:cs="Arial"/>
                <w:b/>
                <w:bCs/>
                <w:lang w:val="ru-RU"/>
              </w:rPr>
              <w:t xml:space="preserve"> </w:t>
            </w:r>
            <w:r w:rsidRPr="00116E28">
              <w:rPr>
                <w:rFonts w:cs="Arial"/>
                <w:b/>
                <w:bCs/>
              </w:rPr>
              <w:t>на розувастатин*</w:t>
            </w:r>
          </w:p>
        </w:tc>
      </w:tr>
      <w:tr w:rsidR="00116E28" w14:paraId="41A3C6C0" w14:textId="77777777" w:rsidTr="00116E28">
        <w:tc>
          <w:tcPr>
            <w:tcW w:w="3246" w:type="dxa"/>
            <w:vAlign w:val="bottom"/>
          </w:tcPr>
          <w:p w14:paraId="0402F20C" w14:textId="5E683585" w:rsidR="00116E28" w:rsidRPr="00116E28" w:rsidRDefault="00116E28" w:rsidP="00116E28">
            <w:pPr>
              <w:spacing w:line="240" w:lineRule="auto"/>
              <w:rPr>
                <w:rFonts w:eastAsia="Times New Roman" w:cs="Arial"/>
                <w:b/>
                <w:bCs/>
                <w:color w:val="000000"/>
                <w:lang w:eastAsia="bg-BG"/>
              </w:rPr>
            </w:pPr>
            <w:r w:rsidRPr="00116E28">
              <w:rPr>
                <w:rFonts w:cs="Arial"/>
              </w:rPr>
              <w:t xml:space="preserve">Циклоспорин 75 </w:t>
            </w:r>
            <w:r w:rsidRPr="00116E28">
              <w:rPr>
                <w:rFonts w:cs="Arial"/>
                <w:lang w:val="en-US"/>
              </w:rPr>
              <w:t>mg</w:t>
            </w:r>
            <w:r w:rsidRPr="00116E28">
              <w:rPr>
                <w:rFonts w:cs="Arial"/>
                <w:lang w:val="ru-RU"/>
              </w:rPr>
              <w:t xml:space="preserve"> </w:t>
            </w:r>
            <w:r w:rsidRPr="00116E28">
              <w:rPr>
                <w:rFonts w:cs="Arial"/>
              </w:rPr>
              <w:t xml:space="preserve">два пъти дневно до 200 </w:t>
            </w:r>
            <w:r w:rsidRPr="00116E28">
              <w:rPr>
                <w:rFonts w:cs="Arial"/>
                <w:lang w:val="en-US"/>
              </w:rPr>
              <w:t>mg</w:t>
            </w:r>
            <w:r w:rsidRPr="00116E28">
              <w:rPr>
                <w:rFonts w:cs="Arial"/>
                <w:lang w:val="ru-RU"/>
              </w:rPr>
              <w:t xml:space="preserve"> </w:t>
            </w:r>
            <w:r w:rsidRPr="00116E28">
              <w:rPr>
                <w:rFonts w:cs="Arial"/>
              </w:rPr>
              <w:t>два пъти дневно, 6 месеца</w:t>
            </w:r>
          </w:p>
        </w:tc>
        <w:tc>
          <w:tcPr>
            <w:tcW w:w="3164" w:type="dxa"/>
            <w:vAlign w:val="bottom"/>
          </w:tcPr>
          <w:p w14:paraId="000C7B13" w14:textId="5EDA149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10 дни</w:t>
            </w:r>
          </w:p>
        </w:tc>
        <w:tc>
          <w:tcPr>
            <w:tcW w:w="3166" w:type="dxa"/>
          </w:tcPr>
          <w:p w14:paraId="79DA2AAA" w14:textId="6F55E16A" w:rsidR="00116E28" w:rsidRPr="00116E28" w:rsidRDefault="00116E28" w:rsidP="00116E28">
            <w:pPr>
              <w:spacing w:line="240" w:lineRule="auto"/>
              <w:rPr>
                <w:rFonts w:eastAsia="Times New Roman" w:cs="Arial"/>
                <w:b/>
                <w:bCs/>
                <w:color w:val="000000"/>
                <w:lang w:eastAsia="bg-BG"/>
              </w:rPr>
            </w:pPr>
            <w:r w:rsidRPr="00116E28">
              <w:rPr>
                <w:rFonts w:cs="Arial"/>
              </w:rPr>
              <w:t>7,1 пъти ↑</w:t>
            </w:r>
          </w:p>
        </w:tc>
      </w:tr>
      <w:tr w:rsidR="00116E28" w14:paraId="376736C7" w14:textId="77777777" w:rsidTr="00116E28">
        <w:tc>
          <w:tcPr>
            <w:tcW w:w="3246" w:type="dxa"/>
            <w:vAlign w:val="bottom"/>
          </w:tcPr>
          <w:p w14:paraId="430C9921" w14:textId="4CB58E8D" w:rsidR="00116E28" w:rsidRPr="00116E28" w:rsidRDefault="00116E28" w:rsidP="00116E28">
            <w:pPr>
              <w:spacing w:line="240" w:lineRule="auto"/>
              <w:rPr>
                <w:rFonts w:eastAsia="Times New Roman" w:cs="Arial"/>
                <w:b/>
                <w:bCs/>
                <w:color w:val="000000"/>
                <w:lang w:eastAsia="bg-BG"/>
              </w:rPr>
            </w:pPr>
            <w:r w:rsidRPr="00116E28">
              <w:rPr>
                <w:rFonts w:cs="Arial"/>
              </w:rPr>
              <w:t xml:space="preserve">Регорафениб 160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vAlign w:val="bottom"/>
          </w:tcPr>
          <w:p w14:paraId="555B579C" w14:textId="6C2A988D"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еднократна доза</w:t>
            </w:r>
          </w:p>
        </w:tc>
        <w:tc>
          <w:tcPr>
            <w:tcW w:w="3166" w:type="dxa"/>
          </w:tcPr>
          <w:p w14:paraId="2C3CE699" w14:textId="392B578D" w:rsidR="00116E28" w:rsidRPr="00116E28" w:rsidRDefault="00116E28" w:rsidP="00116E28">
            <w:pPr>
              <w:spacing w:line="240" w:lineRule="auto"/>
              <w:rPr>
                <w:rFonts w:eastAsia="Times New Roman" w:cs="Arial"/>
                <w:b/>
                <w:bCs/>
                <w:color w:val="000000"/>
                <w:lang w:eastAsia="bg-BG"/>
              </w:rPr>
            </w:pPr>
            <w:r w:rsidRPr="00116E28">
              <w:rPr>
                <w:rFonts w:cs="Arial"/>
              </w:rPr>
              <w:t>3,8 пъти ↑</w:t>
            </w:r>
          </w:p>
        </w:tc>
      </w:tr>
      <w:tr w:rsidR="00116E28" w14:paraId="5B9769F3" w14:textId="77777777" w:rsidTr="00116E28">
        <w:tc>
          <w:tcPr>
            <w:tcW w:w="3246" w:type="dxa"/>
            <w:vAlign w:val="bottom"/>
          </w:tcPr>
          <w:p w14:paraId="0DAD36CE" w14:textId="4ECA9FA7" w:rsidR="00116E28" w:rsidRPr="00116E28" w:rsidRDefault="00116E28" w:rsidP="00116E28">
            <w:pPr>
              <w:spacing w:line="240" w:lineRule="auto"/>
              <w:rPr>
                <w:rFonts w:eastAsia="Times New Roman" w:cs="Arial"/>
                <w:b/>
                <w:bCs/>
                <w:color w:val="000000"/>
                <w:lang w:eastAsia="bg-BG"/>
              </w:rPr>
            </w:pPr>
            <w:r w:rsidRPr="00116E28">
              <w:rPr>
                <w:rFonts w:cs="Arial"/>
              </w:rPr>
              <w:t xml:space="preserve">Атазанавир 300 </w:t>
            </w:r>
            <w:r w:rsidRPr="00116E28">
              <w:rPr>
                <w:rFonts w:cs="Arial"/>
                <w:lang w:val="en-US"/>
              </w:rPr>
              <w:t>mg</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веднъж дневно, 8</w:t>
            </w:r>
            <w:r w:rsidRPr="00116E28">
              <w:rPr>
                <w:rFonts w:cs="Arial"/>
                <w:lang w:val="ru-RU"/>
              </w:rPr>
              <w:t xml:space="preserve"> </w:t>
            </w:r>
            <w:r w:rsidRPr="00116E28">
              <w:rPr>
                <w:rFonts w:cs="Arial"/>
              </w:rPr>
              <w:t>дни</w:t>
            </w:r>
          </w:p>
        </w:tc>
        <w:tc>
          <w:tcPr>
            <w:tcW w:w="3164" w:type="dxa"/>
            <w:vAlign w:val="bottom"/>
          </w:tcPr>
          <w:p w14:paraId="491C2D64" w14:textId="4E5BA4E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590623C7" w14:textId="2CD32171" w:rsidR="00116E28" w:rsidRPr="00116E28" w:rsidRDefault="00116E28" w:rsidP="00116E28">
            <w:pPr>
              <w:spacing w:line="240" w:lineRule="auto"/>
              <w:rPr>
                <w:rFonts w:eastAsia="Times New Roman" w:cs="Arial"/>
                <w:b/>
                <w:bCs/>
                <w:color w:val="000000"/>
                <w:lang w:eastAsia="bg-BG"/>
              </w:rPr>
            </w:pPr>
            <w:r w:rsidRPr="00116E28">
              <w:rPr>
                <w:rFonts w:cs="Arial"/>
              </w:rPr>
              <w:t>3,1 пъта ↑</w:t>
            </w:r>
          </w:p>
        </w:tc>
      </w:tr>
      <w:tr w:rsidR="00116E28" w14:paraId="503B7A09" w14:textId="77777777" w:rsidTr="00116E28">
        <w:tc>
          <w:tcPr>
            <w:tcW w:w="3246" w:type="dxa"/>
          </w:tcPr>
          <w:p w14:paraId="5AC87541" w14:textId="3AB6C3DE" w:rsidR="00116E28" w:rsidRPr="00116E28" w:rsidRDefault="00116E28" w:rsidP="00116E28">
            <w:pPr>
              <w:spacing w:line="240" w:lineRule="auto"/>
              <w:rPr>
                <w:rFonts w:eastAsia="Times New Roman" w:cs="Arial"/>
                <w:b/>
                <w:bCs/>
                <w:color w:val="000000"/>
                <w:lang w:eastAsia="bg-BG"/>
              </w:rPr>
            </w:pPr>
            <w:r w:rsidRPr="00116E28">
              <w:rPr>
                <w:rFonts w:cs="Arial"/>
              </w:rPr>
              <w:t xml:space="preserve">Велпатасвир 100 </w:t>
            </w:r>
            <w:r w:rsidRPr="00116E28">
              <w:rPr>
                <w:rFonts w:cs="Arial"/>
                <w:lang w:val="en-US"/>
              </w:rPr>
              <w:t xml:space="preserve">mg </w:t>
            </w:r>
            <w:r w:rsidRPr="00116E28">
              <w:rPr>
                <w:rFonts w:cs="Arial"/>
              </w:rPr>
              <w:t>веднъж дневно</w:t>
            </w:r>
          </w:p>
        </w:tc>
        <w:tc>
          <w:tcPr>
            <w:tcW w:w="3164" w:type="dxa"/>
            <w:vAlign w:val="bottom"/>
          </w:tcPr>
          <w:p w14:paraId="5747209E" w14:textId="1084F0FF"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vAlign w:val="bottom"/>
          </w:tcPr>
          <w:p w14:paraId="5EBB3DB7" w14:textId="571E15D7" w:rsidR="00116E28" w:rsidRPr="00116E28" w:rsidRDefault="00116E28" w:rsidP="00116E28">
            <w:pPr>
              <w:rPr>
                <w:rFonts w:eastAsia="Times New Roman"/>
                <w:color w:val="000000"/>
                <w:lang w:eastAsia="bg-BG"/>
              </w:rPr>
            </w:pPr>
            <w:r w:rsidRPr="00116E28">
              <w:rPr>
                <w:lang w:val="en-US"/>
              </w:rPr>
              <w:t>2,7</w:t>
            </w:r>
            <w:r w:rsidRPr="00116E28">
              <w:t xml:space="preserve"> пъти ↑</w:t>
            </w:r>
          </w:p>
        </w:tc>
      </w:tr>
      <w:tr w:rsidR="00116E28" w14:paraId="01BC7C7D" w14:textId="77777777" w:rsidTr="00116E28">
        <w:tc>
          <w:tcPr>
            <w:tcW w:w="3246" w:type="dxa"/>
            <w:vAlign w:val="bottom"/>
          </w:tcPr>
          <w:p w14:paraId="14C57BF8" w14:textId="3838C394" w:rsidR="00116E28" w:rsidRPr="00116E28" w:rsidRDefault="00116E28" w:rsidP="00116E28">
            <w:pPr>
              <w:spacing w:line="240" w:lineRule="auto"/>
              <w:rPr>
                <w:rFonts w:eastAsia="Times New Roman" w:cs="Arial"/>
                <w:b/>
                <w:bCs/>
                <w:color w:val="000000"/>
                <w:lang w:eastAsia="bg-BG"/>
              </w:rPr>
            </w:pPr>
            <w:r w:rsidRPr="00116E28">
              <w:rPr>
                <w:rFonts w:cs="Arial"/>
              </w:rPr>
              <w:t xml:space="preserve">Омбитасвир 25 </w:t>
            </w:r>
            <w:r w:rsidRPr="00116E28">
              <w:rPr>
                <w:rFonts w:cs="Arial"/>
                <w:lang w:val="en-US"/>
              </w:rPr>
              <w:t>mg</w:t>
            </w:r>
            <w:r w:rsidRPr="00116E28">
              <w:rPr>
                <w:rFonts w:cs="Arial"/>
              </w:rPr>
              <w:t xml:space="preserve">/паритапревир 150 </w:t>
            </w:r>
            <w:r w:rsidRPr="00116E28">
              <w:rPr>
                <w:rFonts w:cs="Arial"/>
                <w:lang w:val="en-US"/>
              </w:rPr>
              <w:t>mg</w:t>
            </w:r>
            <w:r w:rsidRPr="00116E28">
              <w:rPr>
                <w:rFonts w:cs="Arial"/>
              </w:rPr>
              <w:t xml:space="preserve">/ ритонавир 100 </w:t>
            </w:r>
            <w:r w:rsidRPr="00116E28">
              <w:rPr>
                <w:rFonts w:cs="Arial"/>
                <w:lang w:val="en-US"/>
              </w:rPr>
              <w:t>mg</w:t>
            </w:r>
            <w:r w:rsidRPr="00116E28">
              <w:rPr>
                <w:rFonts w:cs="Arial"/>
              </w:rPr>
              <w:t xml:space="preserve"> веднъж дневно / дазабувир 400 </w:t>
            </w:r>
            <w:r w:rsidRPr="00116E28">
              <w:rPr>
                <w:rFonts w:cs="Arial"/>
                <w:lang w:val="en-US"/>
              </w:rPr>
              <w:t>mg</w:t>
            </w:r>
            <w:r w:rsidRPr="00116E28">
              <w:rPr>
                <w:rFonts w:cs="Arial"/>
              </w:rPr>
              <w:t xml:space="preserve"> 2 пъта дневно, 14 дни</w:t>
            </w:r>
          </w:p>
        </w:tc>
        <w:tc>
          <w:tcPr>
            <w:tcW w:w="3164" w:type="dxa"/>
          </w:tcPr>
          <w:p w14:paraId="7731A49E" w14:textId="74B3E2D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единична доза</w:t>
            </w:r>
          </w:p>
        </w:tc>
        <w:tc>
          <w:tcPr>
            <w:tcW w:w="3166" w:type="dxa"/>
            <w:vAlign w:val="bottom"/>
          </w:tcPr>
          <w:p w14:paraId="46854532" w14:textId="34138A9C" w:rsidR="00116E28" w:rsidRPr="00116E28" w:rsidRDefault="00116E28" w:rsidP="00116E28">
            <w:pPr>
              <w:rPr>
                <w:rFonts w:eastAsia="Times New Roman"/>
                <w:b/>
                <w:bCs/>
                <w:color w:val="000000"/>
                <w:lang w:eastAsia="bg-BG"/>
              </w:rPr>
            </w:pPr>
            <w:r w:rsidRPr="00116E28">
              <w:t>2,6 пъти ↑</w:t>
            </w:r>
          </w:p>
        </w:tc>
      </w:tr>
      <w:tr w:rsidR="00116E28" w14:paraId="50D2A3C0" w14:textId="77777777" w:rsidTr="00116E28">
        <w:tc>
          <w:tcPr>
            <w:tcW w:w="3246" w:type="dxa"/>
          </w:tcPr>
          <w:p w14:paraId="37007B69" w14:textId="6C5C6F60" w:rsidR="00116E28" w:rsidRPr="00116E28" w:rsidRDefault="00116E28" w:rsidP="00116E28">
            <w:pPr>
              <w:spacing w:line="240" w:lineRule="auto"/>
              <w:rPr>
                <w:rFonts w:eastAsia="Times New Roman" w:cs="Arial"/>
                <w:b/>
                <w:bCs/>
                <w:color w:val="000000"/>
                <w:lang w:eastAsia="bg-BG"/>
              </w:rPr>
            </w:pPr>
            <w:r w:rsidRPr="00116E28">
              <w:rPr>
                <w:rFonts w:cs="Arial"/>
              </w:rPr>
              <w:t xml:space="preserve">Гразопревир 200 </w:t>
            </w:r>
            <w:r w:rsidRPr="00116E28">
              <w:rPr>
                <w:rFonts w:cs="Arial"/>
                <w:lang w:val="en-US"/>
              </w:rPr>
              <w:t>mg</w:t>
            </w:r>
            <w:r w:rsidRPr="00116E28">
              <w:rPr>
                <w:rFonts w:cs="Arial"/>
              </w:rPr>
              <w:t xml:space="preserve">/елбасвир 50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288B473C" w14:textId="31299DE0"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единична доза</w:t>
            </w:r>
          </w:p>
        </w:tc>
        <w:tc>
          <w:tcPr>
            <w:tcW w:w="3166" w:type="dxa"/>
          </w:tcPr>
          <w:p w14:paraId="02389C59" w14:textId="249A78B6" w:rsidR="00116E28" w:rsidRPr="00116E28" w:rsidRDefault="00116E28" w:rsidP="00116E28">
            <w:pPr>
              <w:spacing w:line="240" w:lineRule="auto"/>
              <w:rPr>
                <w:rFonts w:eastAsia="Times New Roman" w:cs="Arial"/>
                <w:b/>
                <w:bCs/>
                <w:color w:val="000000"/>
                <w:lang w:eastAsia="bg-BG"/>
              </w:rPr>
            </w:pPr>
            <w:r w:rsidRPr="00116E28">
              <w:rPr>
                <w:rFonts w:cs="Arial"/>
              </w:rPr>
              <w:t>2,3 пъти ↑</w:t>
            </w:r>
          </w:p>
        </w:tc>
      </w:tr>
      <w:tr w:rsidR="00116E28" w14:paraId="6DE74232" w14:textId="77777777" w:rsidTr="00116E28">
        <w:tc>
          <w:tcPr>
            <w:tcW w:w="3246" w:type="dxa"/>
          </w:tcPr>
          <w:p w14:paraId="3BE0D70B" w14:textId="5515ABE4" w:rsidR="00116E28" w:rsidRPr="00116E28" w:rsidRDefault="00116E28" w:rsidP="00116E28">
            <w:pPr>
              <w:spacing w:line="240" w:lineRule="auto"/>
              <w:rPr>
                <w:rFonts w:eastAsia="Times New Roman" w:cs="Arial"/>
                <w:b/>
                <w:bCs/>
                <w:color w:val="000000"/>
                <w:lang w:eastAsia="bg-BG"/>
              </w:rPr>
            </w:pPr>
            <w:r w:rsidRPr="00116E28">
              <w:rPr>
                <w:rFonts w:cs="Arial"/>
              </w:rPr>
              <w:t xml:space="preserve">Глекапревир 400 </w:t>
            </w:r>
            <w:r w:rsidRPr="00116E28">
              <w:rPr>
                <w:rFonts w:cs="Arial"/>
                <w:lang w:val="en-US"/>
              </w:rPr>
              <w:t>mg</w:t>
            </w:r>
            <w:r w:rsidRPr="00116E28">
              <w:rPr>
                <w:rFonts w:cs="Arial"/>
              </w:rPr>
              <w:t xml:space="preserve">/пибрентасвир 120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3BA686C1" w14:textId="3B70387F" w:rsidR="00116E28" w:rsidRPr="00116E28" w:rsidRDefault="00116E28" w:rsidP="00116E28">
            <w:pPr>
              <w:spacing w:line="240" w:lineRule="auto"/>
              <w:rPr>
                <w:rFonts w:eastAsia="Times New Roman" w:cs="Arial"/>
                <w:b/>
                <w:bCs/>
                <w:color w:val="000000"/>
                <w:lang w:eastAsia="bg-BG"/>
              </w:rPr>
            </w:pPr>
            <w:r w:rsidRPr="00116E28">
              <w:rPr>
                <w:rFonts w:cs="Arial"/>
              </w:rPr>
              <w:t xml:space="preserve">5 </w:t>
            </w:r>
            <w:r w:rsidRPr="00116E28">
              <w:rPr>
                <w:rFonts w:cs="Arial"/>
                <w:lang w:val="en-US"/>
              </w:rPr>
              <w:t xml:space="preserve">mg </w:t>
            </w:r>
            <w:r w:rsidRPr="00116E28">
              <w:rPr>
                <w:rFonts w:cs="Arial"/>
              </w:rPr>
              <w:t>веднъж дневно, 7 дни</w:t>
            </w:r>
          </w:p>
        </w:tc>
        <w:tc>
          <w:tcPr>
            <w:tcW w:w="3166" w:type="dxa"/>
          </w:tcPr>
          <w:p w14:paraId="7E8C7812" w14:textId="5B3444D7" w:rsidR="00116E28" w:rsidRPr="00116E28" w:rsidRDefault="00116E28" w:rsidP="00116E28">
            <w:pPr>
              <w:spacing w:line="240" w:lineRule="auto"/>
              <w:rPr>
                <w:rFonts w:eastAsia="Times New Roman" w:cs="Arial"/>
                <w:b/>
                <w:bCs/>
                <w:color w:val="000000"/>
                <w:lang w:eastAsia="bg-BG"/>
              </w:rPr>
            </w:pPr>
            <w:r w:rsidRPr="00116E28">
              <w:rPr>
                <w:rFonts w:cs="Arial"/>
              </w:rPr>
              <w:t>2,2 пъти ↑</w:t>
            </w:r>
          </w:p>
        </w:tc>
      </w:tr>
      <w:tr w:rsidR="00116E28" w14:paraId="6DED97D7" w14:textId="77777777" w:rsidTr="00116E28">
        <w:tc>
          <w:tcPr>
            <w:tcW w:w="3246" w:type="dxa"/>
          </w:tcPr>
          <w:p w14:paraId="5BE37B83" w14:textId="7F41CABD" w:rsidR="00116E28" w:rsidRPr="00116E28" w:rsidRDefault="00116E28" w:rsidP="00116E28">
            <w:pPr>
              <w:spacing w:line="240" w:lineRule="auto"/>
              <w:rPr>
                <w:rFonts w:eastAsia="Times New Roman" w:cs="Arial"/>
                <w:b/>
                <w:bCs/>
                <w:color w:val="000000"/>
                <w:lang w:eastAsia="bg-BG"/>
              </w:rPr>
            </w:pPr>
            <w:r w:rsidRPr="00116E28">
              <w:rPr>
                <w:rFonts w:cs="Arial"/>
              </w:rPr>
              <w:t xml:space="preserve">Лопинавир 400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17 дни</w:t>
            </w:r>
          </w:p>
        </w:tc>
        <w:tc>
          <w:tcPr>
            <w:tcW w:w="3164" w:type="dxa"/>
          </w:tcPr>
          <w:p w14:paraId="41063A77" w14:textId="1A0B9E50"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веднъж дневно, 7 дни</w:t>
            </w:r>
          </w:p>
        </w:tc>
        <w:tc>
          <w:tcPr>
            <w:tcW w:w="3166" w:type="dxa"/>
          </w:tcPr>
          <w:p w14:paraId="26FDB3F5" w14:textId="4AC51B09" w:rsidR="00116E28" w:rsidRPr="00116E28" w:rsidRDefault="00116E28" w:rsidP="00116E28">
            <w:pPr>
              <w:spacing w:line="240" w:lineRule="auto"/>
              <w:rPr>
                <w:rFonts w:eastAsia="Times New Roman" w:cs="Arial"/>
                <w:b/>
                <w:bCs/>
                <w:color w:val="000000"/>
                <w:lang w:eastAsia="bg-BG"/>
              </w:rPr>
            </w:pPr>
            <w:r w:rsidRPr="00116E28">
              <w:rPr>
                <w:rFonts w:cs="Arial"/>
              </w:rPr>
              <w:t>2,1 пъти ↑</w:t>
            </w:r>
          </w:p>
        </w:tc>
      </w:tr>
      <w:tr w:rsidR="00116E28" w14:paraId="7AF201D2" w14:textId="77777777" w:rsidTr="00116E28">
        <w:tc>
          <w:tcPr>
            <w:tcW w:w="3246" w:type="dxa"/>
          </w:tcPr>
          <w:p w14:paraId="4EE70B24" w14:textId="06AAF60D" w:rsidR="00116E28" w:rsidRPr="00116E28" w:rsidRDefault="00116E28" w:rsidP="00116E28">
            <w:pPr>
              <w:spacing w:line="240" w:lineRule="auto"/>
              <w:rPr>
                <w:rFonts w:eastAsia="Times New Roman" w:cs="Arial"/>
                <w:b/>
                <w:bCs/>
                <w:color w:val="000000"/>
                <w:lang w:eastAsia="bg-BG"/>
              </w:rPr>
            </w:pPr>
            <w:r w:rsidRPr="00116E28">
              <w:rPr>
                <w:rFonts w:cs="Arial"/>
              </w:rPr>
              <w:t xml:space="preserve">Клопидогрел 300 </w:t>
            </w:r>
            <w:r w:rsidRPr="00116E28">
              <w:rPr>
                <w:rFonts w:cs="Arial"/>
                <w:lang w:val="en-US"/>
              </w:rPr>
              <w:t>mg</w:t>
            </w:r>
            <w:r w:rsidRPr="00116E28">
              <w:rPr>
                <w:rFonts w:cs="Arial"/>
                <w:lang w:val="ru-RU"/>
              </w:rPr>
              <w:t xml:space="preserve"> </w:t>
            </w:r>
            <w:r w:rsidRPr="00116E28">
              <w:rPr>
                <w:rFonts w:cs="Arial"/>
              </w:rPr>
              <w:t xml:space="preserve">натоварваща доза, последвана от 75 </w:t>
            </w:r>
            <w:r w:rsidRPr="00116E28">
              <w:rPr>
                <w:rFonts w:cs="Arial"/>
                <w:lang w:val="en-US"/>
              </w:rPr>
              <w:t>mg</w:t>
            </w:r>
            <w:r w:rsidRPr="00116E28">
              <w:rPr>
                <w:rFonts w:cs="Arial"/>
                <w:lang w:val="ru-RU"/>
              </w:rPr>
              <w:t xml:space="preserve"> </w:t>
            </w:r>
            <w:r w:rsidRPr="00116E28">
              <w:rPr>
                <w:rFonts w:cs="Arial"/>
              </w:rPr>
              <w:t>на 24 часа</w:t>
            </w:r>
          </w:p>
        </w:tc>
        <w:tc>
          <w:tcPr>
            <w:tcW w:w="3164" w:type="dxa"/>
          </w:tcPr>
          <w:p w14:paraId="10A33D9F" w14:textId="67ADF2AA"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617FB28F" w14:textId="17434877" w:rsidR="00116E28" w:rsidRPr="00116E28" w:rsidRDefault="00116E28" w:rsidP="00116E28">
            <w:pPr>
              <w:spacing w:line="240" w:lineRule="auto"/>
              <w:rPr>
                <w:rFonts w:eastAsia="Times New Roman" w:cs="Arial"/>
                <w:b/>
                <w:bCs/>
                <w:color w:val="000000"/>
                <w:lang w:eastAsia="bg-BG"/>
              </w:rPr>
            </w:pPr>
            <w:r w:rsidRPr="00116E28">
              <w:rPr>
                <w:rFonts w:cs="Arial"/>
              </w:rPr>
              <w:t>2 пъти ↑</w:t>
            </w:r>
          </w:p>
        </w:tc>
      </w:tr>
      <w:tr w:rsidR="00116E28" w14:paraId="70D70393" w14:textId="77777777" w:rsidTr="00116E28">
        <w:tc>
          <w:tcPr>
            <w:tcW w:w="3246" w:type="dxa"/>
          </w:tcPr>
          <w:p w14:paraId="313CC861" w14:textId="0B3FB581" w:rsidR="00116E28" w:rsidRPr="00116E28" w:rsidRDefault="00116E28" w:rsidP="00116E28">
            <w:pPr>
              <w:spacing w:line="240" w:lineRule="auto"/>
              <w:rPr>
                <w:rFonts w:eastAsia="Times New Roman" w:cs="Arial"/>
                <w:b/>
                <w:bCs/>
                <w:color w:val="000000"/>
                <w:lang w:eastAsia="bg-BG"/>
              </w:rPr>
            </w:pPr>
            <w:r w:rsidRPr="00116E28">
              <w:rPr>
                <w:rFonts w:cs="Arial"/>
              </w:rPr>
              <w:t xml:space="preserve">Гемфиброзил 600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03E00B15" w14:textId="2622D927"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4515CFF0" w14:textId="21F164FE" w:rsidR="00116E28" w:rsidRPr="00116E28" w:rsidRDefault="00116E28" w:rsidP="00116E28">
            <w:pPr>
              <w:spacing w:line="240" w:lineRule="auto"/>
              <w:rPr>
                <w:rFonts w:eastAsia="Times New Roman" w:cs="Arial"/>
                <w:b/>
                <w:bCs/>
                <w:color w:val="000000"/>
                <w:lang w:eastAsia="bg-BG"/>
              </w:rPr>
            </w:pPr>
            <w:r w:rsidRPr="00116E28">
              <w:rPr>
                <w:rFonts w:cs="Arial"/>
              </w:rPr>
              <w:t>1,9 пъти ↑</w:t>
            </w:r>
          </w:p>
        </w:tc>
      </w:tr>
      <w:tr w:rsidR="00116E28" w14:paraId="47185D33" w14:textId="77777777" w:rsidTr="00116E28">
        <w:tc>
          <w:tcPr>
            <w:tcW w:w="3246" w:type="dxa"/>
          </w:tcPr>
          <w:p w14:paraId="03B112FF" w14:textId="44BC241D" w:rsidR="00116E28" w:rsidRPr="00116E28" w:rsidRDefault="00116E28" w:rsidP="00116E28">
            <w:pPr>
              <w:spacing w:line="240" w:lineRule="auto"/>
              <w:rPr>
                <w:rFonts w:eastAsia="Times New Roman" w:cs="Arial"/>
                <w:b/>
                <w:bCs/>
                <w:color w:val="000000"/>
                <w:lang w:eastAsia="bg-BG"/>
              </w:rPr>
            </w:pPr>
            <w:r w:rsidRPr="00116E28">
              <w:rPr>
                <w:rFonts w:cs="Arial"/>
              </w:rPr>
              <w:t xml:space="preserve">Елтромбопаг 75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3B326607" w14:textId="00C23D16"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1780E686" w14:textId="36AE3296" w:rsidR="00116E28" w:rsidRPr="00116E28" w:rsidRDefault="00116E28" w:rsidP="00116E28">
            <w:pPr>
              <w:spacing w:line="240" w:lineRule="auto"/>
              <w:rPr>
                <w:rFonts w:eastAsia="Times New Roman" w:cs="Arial"/>
                <w:b/>
                <w:bCs/>
                <w:color w:val="000000"/>
                <w:lang w:eastAsia="bg-BG"/>
              </w:rPr>
            </w:pPr>
            <w:r w:rsidRPr="00116E28">
              <w:rPr>
                <w:rFonts w:cs="Arial"/>
              </w:rPr>
              <w:t>1,6 пъти ↑</w:t>
            </w:r>
          </w:p>
        </w:tc>
      </w:tr>
      <w:tr w:rsidR="00116E28" w14:paraId="7DEBD209" w14:textId="77777777" w:rsidTr="00116E28">
        <w:tc>
          <w:tcPr>
            <w:tcW w:w="3246" w:type="dxa"/>
          </w:tcPr>
          <w:p w14:paraId="0CBC420D" w14:textId="53D763CF" w:rsidR="00116E28" w:rsidRPr="00116E28" w:rsidRDefault="00116E28" w:rsidP="00116E28">
            <w:pPr>
              <w:spacing w:line="240" w:lineRule="auto"/>
              <w:rPr>
                <w:rFonts w:eastAsia="Times New Roman" w:cs="Arial"/>
                <w:b/>
                <w:bCs/>
                <w:color w:val="000000"/>
                <w:lang w:eastAsia="bg-BG"/>
              </w:rPr>
            </w:pPr>
            <w:r w:rsidRPr="00116E28">
              <w:rPr>
                <w:rFonts w:cs="Arial"/>
              </w:rPr>
              <w:lastRenderedPageBreak/>
              <w:t xml:space="preserve">Дарунавир 600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2D3E9C01" w14:textId="091CCDC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7 дни</w:t>
            </w:r>
          </w:p>
        </w:tc>
        <w:tc>
          <w:tcPr>
            <w:tcW w:w="3166" w:type="dxa"/>
          </w:tcPr>
          <w:p w14:paraId="55F39D71" w14:textId="310FDD88" w:rsidR="00116E28" w:rsidRPr="00116E28" w:rsidRDefault="00116E28" w:rsidP="00116E28">
            <w:pPr>
              <w:spacing w:line="240" w:lineRule="auto"/>
              <w:rPr>
                <w:rFonts w:eastAsia="Times New Roman" w:cs="Arial"/>
                <w:b/>
                <w:bCs/>
                <w:color w:val="000000"/>
                <w:lang w:eastAsia="bg-BG"/>
              </w:rPr>
            </w:pPr>
            <w:r w:rsidRPr="00116E28">
              <w:rPr>
                <w:rFonts w:cs="Arial"/>
              </w:rPr>
              <w:t>1,5 пъти ↑</w:t>
            </w:r>
          </w:p>
        </w:tc>
      </w:tr>
      <w:tr w:rsidR="00116E28" w14:paraId="6B0F1493" w14:textId="77777777" w:rsidTr="00116E28">
        <w:tc>
          <w:tcPr>
            <w:tcW w:w="3246" w:type="dxa"/>
          </w:tcPr>
          <w:p w14:paraId="48B27CC1" w14:textId="77777777" w:rsidR="00116E28" w:rsidRPr="00116E28" w:rsidRDefault="00116E28" w:rsidP="00116E28">
            <w:pPr>
              <w:rPr>
                <w:rFonts w:cs="Arial"/>
              </w:rPr>
            </w:pPr>
            <w:r w:rsidRPr="00116E28">
              <w:rPr>
                <w:rFonts w:cs="Arial"/>
              </w:rPr>
              <w:t xml:space="preserve">Типранавир 500 </w:t>
            </w:r>
            <w:r w:rsidRPr="00116E28">
              <w:rPr>
                <w:rFonts w:cs="Arial"/>
                <w:lang w:val="en-US"/>
              </w:rPr>
              <w:t>mg</w:t>
            </w:r>
            <w:r w:rsidRPr="00116E28">
              <w:rPr>
                <w:rFonts w:cs="Arial"/>
              </w:rPr>
              <w:t xml:space="preserve">/ ритонавир 200 </w:t>
            </w:r>
            <w:r w:rsidRPr="00116E28">
              <w:rPr>
                <w:rFonts w:cs="Arial"/>
                <w:lang w:val="en-US"/>
              </w:rPr>
              <w:t>mg</w:t>
            </w:r>
            <w:r w:rsidRPr="00116E28">
              <w:rPr>
                <w:rFonts w:cs="Arial"/>
              </w:rPr>
              <w:t xml:space="preserve"> </w:t>
            </w:r>
            <w:r w:rsidRPr="00116E28">
              <w:rPr>
                <w:rFonts w:cs="Arial"/>
                <w:lang w:val="en-US"/>
              </w:rPr>
              <w:t>BID</w:t>
            </w:r>
            <w:r w:rsidRPr="00116E28">
              <w:rPr>
                <w:rFonts w:cs="Arial"/>
              </w:rPr>
              <w:t>, 11</w:t>
            </w:r>
          </w:p>
          <w:p w14:paraId="5AE5A93D" w14:textId="0268C37F" w:rsidR="00116E28" w:rsidRPr="00116E28" w:rsidRDefault="00116E28" w:rsidP="00116E28">
            <w:pPr>
              <w:rPr>
                <w:rFonts w:eastAsia="Times New Roman"/>
                <w:color w:val="000000"/>
                <w:lang w:eastAsia="bg-BG"/>
              </w:rPr>
            </w:pPr>
            <w:r w:rsidRPr="00116E28">
              <w:t>ДНИ</w:t>
            </w:r>
          </w:p>
        </w:tc>
        <w:tc>
          <w:tcPr>
            <w:tcW w:w="3164" w:type="dxa"/>
          </w:tcPr>
          <w:p w14:paraId="379A80AC" w14:textId="082088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D471576" w14:textId="6318B48E"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D6FF069" w14:textId="77777777" w:rsidTr="00116E28">
        <w:tc>
          <w:tcPr>
            <w:tcW w:w="3246" w:type="dxa"/>
          </w:tcPr>
          <w:p w14:paraId="3C953AE5" w14:textId="45D3953A" w:rsidR="00116E28" w:rsidRPr="00116E28" w:rsidRDefault="00116E28" w:rsidP="00116E28">
            <w:pPr>
              <w:spacing w:line="240" w:lineRule="auto"/>
              <w:rPr>
                <w:rFonts w:eastAsia="Times New Roman" w:cs="Arial"/>
                <w:b/>
                <w:bCs/>
                <w:color w:val="000000"/>
                <w:lang w:eastAsia="bg-BG"/>
              </w:rPr>
            </w:pPr>
            <w:r w:rsidRPr="00116E28">
              <w:rPr>
                <w:rFonts w:cs="Arial"/>
              </w:rPr>
              <w:t xml:space="preserve">Дронедарон 400 </w:t>
            </w:r>
            <w:r w:rsidRPr="00116E28">
              <w:rPr>
                <w:rFonts w:cs="Arial"/>
                <w:lang w:val="en-US"/>
              </w:rPr>
              <w:t>mg</w:t>
            </w:r>
            <w:r w:rsidRPr="00116E28">
              <w:rPr>
                <w:rFonts w:cs="Arial"/>
                <w:lang w:val="ru-RU"/>
              </w:rPr>
              <w:t xml:space="preserve"> </w:t>
            </w:r>
            <w:r w:rsidRPr="00116E28">
              <w:rPr>
                <w:rFonts w:cs="Arial"/>
              </w:rPr>
              <w:t>два пъти дневно</w:t>
            </w:r>
          </w:p>
        </w:tc>
        <w:tc>
          <w:tcPr>
            <w:tcW w:w="3164" w:type="dxa"/>
          </w:tcPr>
          <w:p w14:paraId="440147D2" w14:textId="6110A0F8" w:rsidR="00116E28" w:rsidRPr="00116E28" w:rsidRDefault="00116E28" w:rsidP="00116E28">
            <w:pPr>
              <w:spacing w:line="240" w:lineRule="auto"/>
              <w:rPr>
                <w:rFonts w:eastAsia="Times New Roman" w:cs="Arial"/>
                <w:b/>
                <w:bCs/>
                <w:color w:val="000000"/>
                <w:lang w:eastAsia="bg-BG"/>
              </w:rPr>
            </w:pPr>
            <w:r w:rsidRPr="00116E28">
              <w:rPr>
                <w:rFonts w:cs="Arial"/>
              </w:rPr>
              <w:t>Не е налична</w:t>
            </w:r>
          </w:p>
        </w:tc>
        <w:tc>
          <w:tcPr>
            <w:tcW w:w="3166" w:type="dxa"/>
          </w:tcPr>
          <w:p w14:paraId="002D1AF6" w14:textId="55FC2E32"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572BFF46" w14:textId="77777777" w:rsidTr="00116E28">
        <w:tc>
          <w:tcPr>
            <w:tcW w:w="3246" w:type="dxa"/>
          </w:tcPr>
          <w:p w14:paraId="2A66C9F5" w14:textId="468527C7" w:rsidR="00116E28" w:rsidRPr="00116E28" w:rsidRDefault="00116E28" w:rsidP="00116E28">
            <w:pPr>
              <w:spacing w:line="240" w:lineRule="auto"/>
              <w:rPr>
                <w:rFonts w:eastAsia="Times New Roman" w:cs="Arial"/>
                <w:b/>
                <w:bCs/>
                <w:color w:val="000000"/>
                <w:lang w:eastAsia="bg-BG"/>
              </w:rPr>
            </w:pPr>
            <w:r w:rsidRPr="00116E28">
              <w:rPr>
                <w:rFonts w:cs="Arial"/>
              </w:rPr>
              <w:t xml:space="preserve">Итраконазол 200 </w:t>
            </w:r>
            <w:r w:rsidRPr="00116E28">
              <w:rPr>
                <w:rFonts w:cs="Arial"/>
                <w:lang w:val="en-US"/>
              </w:rPr>
              <w:t>mg</w:t>
            </w:r>
            <w:r w:rsidRPr="00116E28">
              <w:rPr>
                <w:rFonts w:cs="Arial"/>
                <w:lang w:val="ru-RU"/>
              </w:rPr>
              <w:t xml:space="preserve"> </w:t>
            </w:r>
            <w:r w:rsidRPr="00116E28">
              <w:rPr>
                <w:rFonts w:cs="Arial"/>
              </w:rPr>
              <w:t>веднъж дневно, 5 дни</w:t>
            </w:r>
          </w:p>
        </w:tc>
        <w:tc>
          <w:tcPr>
            <w:tcW w:w="3164" w:type="dxa"/>
          </w:tcPr>
          <w:p w14:paraId="445E8DC0" w14:textId="7D53E18B"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A70DF1B" w14:textId="1600930D" w:rsidR="00116E28" w:rsidRPr="00116E28" w:rsidRDefault="00116E28" w:rsidP="00116E28">
            <w:pPr>
              <w:spacing w:line="240" w:lineRule="auto"/>
              <w:rPr>
                <w:rFonts w:eastAsia="Times New Roman" w:cs="Arial"/>
                <w:b/>
                <w:bCs/>
                <w:color w:val="000000"/>
                <w:lang w:eastAsia="bg-BG"/>
              </w:rPr>
            </w:pPr>
            <w:r w:rsidRPr="00116E28">
              <w:rPr>
                <w:rFonts w:cs="Arial"/>
              </w:rPr>
              <w:t>1,4 пъти ↑**</w:t>
            </w:r>
          </w:p>
        </w:tc>
      </w:tr>
      <w:tr w:rsidR="00116E28" w14:paraId="429269DC" w14:textId="77777777" w:rsidTr="00116E28">
        <w:tc>
          <w:tcPr>
            <w:tcW w:w="3246" w:type="dxa"/>
          </w:tcPr>
          <w:p w14:paraId="4DED12FF" w14:textId="2F160F73" w:rsidR="00116E28" w:rsidRPr="00116E28" w:rsidRDefault="00116E28" w:rsidP="00116E28">
            <w:pPr>
              <w:spacing w:line="240" w:lineRule="auto"/>
              <w:rPr>
                <w:rFonts w:eastAsia="Times New Roman" w:cs="Arial"/>
                <w:b/>
                <w:bCs/>
                <w:color w:val="000000"/>
                <w:lang w:eastAsia="bg-BG"/>
              </w:rPr>
            </w:pPr>
            <w:r w:rsidRPr="00116E28">
              <w:rPr>
                <w:rFonts w:cs="Arial"/>
              </w:rPr>
              <w:t xml:space="preserve">Езетимиб 10 </w:t>
            </w:r>
            <w:r w:rsidRPr="00116E28">
              <w:rPr>
                <w:rFonts w:cs="Arial"/>
                <w:lang w:val="en-US"/>
              </w:rPr>
              <w:t>mg</w:t>
            </w:r>
            <w:r w:rsidRPr="00116E28">
              <w:rPr>
                <w:rFonts w:cs="Arial"/>
                <w:lang w:val="ru-RU"/>
              </w:rPr>
              <w:t xml:space="preserve"> </w:t>
            </w:r>
            <w:r w:rsidRPr="00116E28">
              <w:rPr>
                <w:rFonts w:cs="Arial"/>
              </w:rPr>
              <w:t>веднъж дневно, 14 дни</w:t>
            </w:r>
          </w:p>
        </w:tc>
        <w:tc>
          <w:tcPr>
            <w:tcW w:w="3164" w:type="dxa"/>
          </w:tcPr>
          <w:p w14:paraId="1AFE9010" w14:textId="7C5B6B51"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веднъж дневно, 14 дни</w:t>
            </w:r>
          </w:p>
        </w:tc>
        <w:tc>
          <w:tcPr>
            <w:tcW w:w="3166" w:type="dxa"/>
          </w:tcPr>
          <w:p w14:paraId="32E97DF8" w14:textId="5A30F9A3" w:rsidR="00116E28" w:rsidRPr="00116E28" w:rsidRDefault="00116E28" w:rsidP="00116E28">
            <w:pPr>
              <w:spacing w:line="240" w:lineRule="auto"/>
              <w:rPr>
                <w:rFonts w:eastAsia="Times New Roman" w:cs="Arial"/>
                <w:b/>
                <w:bCs/>
                <w:color w:val="000000"/>
                <w:lang w:eastAsia="bg-BG"/>
              </w:rPr>
            </w:pPr>
            <w:r w:rsidRPr="00116E28">
              <w:rPr>
                <w:rFonts w:cs="Arial"/>
              </w:rPr>
              <w:t>1,2 пъти ↑**</w:t>
            </w:r>
          </w:p>
        </w:tc>
      </w:tr>
      <w:tr w:rsidR="00116E28" w14:paraId="5150E8C4" w14:textId="77777777" w:rsidTr="00116E28">
        <w:tc>
          <w:tcPr>
            <w:tcW w:w="3246" w:type="dxa"/>
          </w:tcPr>
          <w:p w14:paraId="05F403CD" w14:textId="23E5BBC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Фосампренавир 700 </w:t>
            </w:r>
            <w:r w:rsidRPr="00116E28">
              <w:rPr>
                <w:rFonts w:cs="Arial"/>
                <w:lang w:val="en-US"/>
              </w:rPr>
              <w:t>mg</w:t>
            </w:r>
            <w:r w:rsidRPr="00116E28">
              <w:rPr>
                <w:rFonts w:cs="Arial"/>
                <w:lang w:val="ru-RU"/>
              </w:rPr>
              <w:t xml:space="preserve">/ </w:t>
            </w:r>
            <w:r w:rsidRPr="00116E28">
              <w:rPr>
                <w:rFonts w:cs="Arial"/>
              </w:rPr>
              <w:t xml:space="preserve">ритонавир 100 </w:t>
            </w:r>
            <w:r w:rsidRPr="00116E28">
              <w:rPr>
                <w:rFonts w:cs="Arial"/>
                <w:lang w:val="en-US"/>
              </w:rPr>
              <w:t>mg</w:t>
            </w:r>
            <w:r w:rsidRPr="00116E28">
              <w:rPr>
                <w:rFonts w:cs="Arial"/>
                <w:lang w:val="ru-RU"/>
              </w:rPr>
              <w:t xml:space="preserve"> </w:t>
            </w:r>
            <w:r w:rsidRPr="00116E28">
              <w:rPr>
                <w:rFonts w:cs="Arial"/>
              </w:rPr>
              <w:t>два пъти дневно, 8 дни</w:t>
            </w:r>
          </w:p>
        </w:tc>
        <w:tc>
          <w:tcPr>
            <w:tcW w:w="3164" w:type="dxa"/>
          </w:tcPr>
          <w:p w14:paraId="7D429201" w14:textId="3F60B747"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7DE83BF4" w14:textId="7C63E24D"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B2E4898" w14:textId="77777777" w:rsidTr="00116E28">
        <w:tc>
          <w:tcPr>
            <w:tcW w:w="3246" w:type="dxa"/>
          </w:tcPr>
          <w:p w14:paraId="27FE7B0D" w14:textId="1EED9711" w:rsidR="00116E28" w:rsidRPr="00116E28" w:rsidRDefault="00116E28" w:rsidP="00116E28">
            <w:pPr>
              <w:spacing w:line="240" w:lineRule="auto"/>
              <w:rPr>
                <w:rFonts w:eastAsia="Times New Roman" w:cs="Arial"/>
                <w:b/>
                <w:bCs/>
                <w:color w:val="000000"/>
                <w:lang w:eastAsia="bg-BG"/>
              </w:rPr>
            </w:pPr>
            <w:r w:rsidRPr="00116E28">
              <w:rPr>
                <w:rFonts w:cs="Arial"/>
              </w:rPr>
              <w:t xml:space="preserve">Алеглитазар 0,3 </w:t>
            </w:r>
            <w:r w:rsidRPr="00116E28">
              <w:rPr>
                <w:rFonts w:cs="Arial"/>
                <w:lang w:val="en-US"/>
              </w:rPr>
              <w:t xml:space="preserve">mg, </w:t>
            </w:r>
            <w:r w:rsidRPr="00116E28">
              <w:rPr>
                <w:rFonts w:cs="Arial"/>
              </w:rPr>
              <w:t>7 дни</w:t>
            </w:r>
          </w:p>
        </w:tc>
        <w:tc>
          <w:tcPr>
            <w:tcW w:w="3164" w:type="dxa"/>
          </w:tcPr>
          <w:p w14:paraId="68C35F03" w14:textId="1BC91AA7" w:rsidR="00116E28" w:rsidRPr="00116E28" w:rsidRDefault="00116E28" w:rsidP="00116E28">
            <w:pPr>
              <w:spacing w:line="240" w:lineRule="auto"/>
              <w:rPr>
                <w:rFonts w:eastAsia="Times New Roman" w:cs="Arial"/>
                <w:b/>
                <w:bCs/>
                <w:color w:val="000000"/>
                <w:lang w:eastAsia="bg-BG"/>
              </w:rPr>
            </w:pPr>
            <w:r w:rsidRPr="00116E28">
              <w:rPr>
                <w:rFonts w:cs="Arial"/>
              </w:rPr>
              <w:t xml:space="preserve">40 </w:t>
            </w:r>
            <w:r w:rsidRPr="00116E28">
              <w:rPr>
                <w:rFonts w:cs="Arial"/>
                <w:lang w:val="en-US"/>
              </w:rPr>
              <w:t xml:space="preserve">mg, </w:t>
            </w:r>
            <w:r w:rsidRPr="00116E28">
              <w:rPr>
                <w:rFonts w:cs="Arial"/>
              </w:rPr>
              <w:t>7 дни</w:t>
            </w:r>
          </w:p>
        </w:tc>
        <w:tc>
          <w:tcPr>
            <w:tcW w:w="3166" w:type="dxa"/>
          </w:tcPr>
          <w:p w14:paraId="2A20E642" w14:textId="0D104A58"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F3D1E75" w14:textId="77777777" w:rsidTr="00116E28">
        <w:tc>
          <w:tcPr>
            <w:tcW w:w="3246" w:type="dxa"/>
          </w:tcPr>
          <w:p w14:paraId="49A3C829" w14:textId="4500C4FF" w:rsidR="00116E28" w:rsidRPr="00116E28" w:rsidRDefault="00116E28" w:rsidP="00116E28">
            <w:pPr>
              <w:spacing w:line="240" w:lineRule="auto"/>
              <w:rPr>
                <w:rFonts w:eastAsia="Times New Roman" w:cs="Arial"/>
                <w:b/>
                <w:bCs/>
                <w:color w:val="000000"/>
                <w:lang w:eastAsia="bg-BG"/>
              </w:rPr>
            </w:pPr>
            <w:r w:rsidRPr="00116E28">
              <w:rPr>
                <w:rFonts w:cs="Arial"/>
              </w:rPr>
              <w:t xml:space="preserve">Силимарин 140 </w:t>
            </w:r>
            <w:r w:rsidRPr="00116E28">
              <w:rPr>
                <w:rFonts w:cs="Arial"/>
                <w:lang w:val="en-US"/>
              </w:rPr>
              <w:t>mg</w:t>
            </w:r>
            <w:r w:rsidRPr="00116E28">
              <w:rPr>
                <w:rFonts w:cs="Arial"/>
                <w:lang w:val="ru-RU"/>
              </w:rPr>
              <w:t xml:space="preserve"> </w:t>
            </w:r>
            <w:r w:rsidRPr="00116E28">
              <w:rPr>
                <w:rFonts w:cs="Arial"/>
              </w:rPr>
              <w:t>три пъти дневно, 5 дни</w:t>
            </w:r>
          </w:p>
        </w:tc>
        <w:tc>
          <w:tcPr>
            <w:tcW w:w="3164" w:type="dxa"/>
          </w:tcPr>
          <w:p w14:paraId="2B4297AD" w14:textId="499238DD"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еднократна доза</w:t>
            </w:r>
          </w:p>
        </w:tc>
        <w:tc>
          <w:tcPr>
            <w:tcW w:w="3166" w:type="dxa"/>
          </w:tcPr>
          <w:p w14:paraId="34C185F7" w14:textId="099C420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47759B73" w14:textId="77777777" w:rsidTr="00116E28">
        <w:tc>
          <w:tcPr>
            <w:tcW w:w="3246" w:type="dxa"/>
          </w:tcPr>
          <w:p w14:paraId="66C66484" w14:textId="4A9E459C" w:rsidR="00116E28" w:rsidRPr="00116E28" w:rsidRDefault="00116E28" w:rsidP="00116E28">
            <w:pPr>
              <w:spacing w:line="240" w:lineRule="auto"/>
              <w:rPr>
                <w:rFonts w:eastAsia="Times New Roman" w:cs="Arial"/>
                <w:b/>
                <w:bCs/>
                <w:color w:val="000000"/>
                <w:lang w:eastAsia="bg-BG"/>
              </w:rPr>
            </w:pPr>
            <w:r w:rsidRPr="00116E28">
              <w:rPr>
                <w:rFonts w:cs="Arial"/>
              </w:rPr>
              <w:t xml:space="preserve">Фенофибрат 67 </w:t>
            </w:r>
            <w:r w:rsidRPr="00116E28">
              <w:rPr>
                <w:rFonts w:cs="Arial"/>
                <w:lang w:val="en-US"/>
              </w:rPr>
              <w:t>mg</w:t>
            </w:r>
            <w:r w:rsidRPr="00116E28">
              <w:rPr>
                <w:rFonts w:cs="Arial"/>
                <w:lang w:val="ru-RU"/>
              </w:rPr>
              <w:t xml:space="preserve"> </w:t>
            </w:r>
            <w:r w:rsidRPr="00116E28">
              <w:rPr>
                <w:rFonts w:cs="Arial"/>
              </w:rPr>
              <w:t>три пъти дневно, 7 дни</w:t>
            </w:r>
          </w:p>
        </w:tc>
        <w:tc>
          <w:tcPr>
            <w:tcW w:w="3164" w:type="dxa"/>
          </w:tcPr>
          <w:p w14:paraId="640AF916" w14:textId="34E1528E" w:rsidR="00116E28" w:rsidRPr="00116E28" w:rsidRDefault="00116E28" w:rsidP="00116E28">
            <w:pPr>
              <w:spacing w:line="240" w:lineRule="auto"/>
              <w:rPr>
                <w:rFonts w:eastAsia="Times New Roman" w:cs="Arial"/>
                <w:b/>
                <w:bCs/>
                <w:color w:val="000000"/>
                <w:lang w:eastAsia="bg-BG"/>
              </w:rPr>
            </w:pPr>
            <w:r w:rsidRPr="00116E28">
              <w:rPr>
                <w:rFonts w:cs="Arial"/>
              </w:rPr>
              <w:t xml:space="preserve">10 </w:t>
            </w:r>
            <w:r w:rsidRPr="00116E28">
              <w:rPr>
                <w:rFonts w:cs="Arial"/>
                <w:lang w:val="en-US"/>
              </w:rPr>
              <w:t xml:space="preserve">mg, </w:t>
            </w:r>
            <w:r w:rsidRPr="00116E28">
              <w:rPr>
                <w:rFonts w:cs="Arial"/>
              </w:rPr>
              <w:t>7 дни</w:t>
            </w:r>
          </w:p>
        </w:tc>
        <w:tc>
          <w:tcPr>
            <w:tcW w:w="3166" w:type="dxa"/>
          </w:tcPr>
          <w:p w14:paraId="1402B8BB" w14:textId="4328E61B"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6A1FFDD" w14:textId="77777777" w:rsidTr="00116E28">
        <w:tc>
          <w:tcPr>
            <w:tcW w:w="3246" w:type="dxa"/>
          </w:tcPr>
          <w:p w14:paraId="05D9697E" w14:textId="13106F74" w:rsidR="00116E28" w:rsidRPr="00116E28" w:rsidRDefault="00116E28" w:rsidP="00116E28">
            <w:pPr>
              <w:spacing w:line="240" w:lineRule="auto"/>
              <w:rPr>
                <w:rFonts w:eastAsia="Times New Roman" w:cs="Arial"/>
                <w:b/>
                <w:bCs/>
                <w:color w:val="000000"/>
                <w:lang w:eastAsia="bg-BG"/>
              </w:rPr>
            </w:pPr>
            <w:r w:rsidRPr="00116E28">
              <w:rPr>
                <w:rFonts w:cs="Arial"/>
              </w:rPr>
              <w:t xml:space="preserve">Рифампин 450 </w:t>
            </w:r>
            <w:r w:rsidRPr="00116E28">
              <w:rPr>
                <w:rFonts w:cs="Arial"/>
                <w:lang w:val="en-US"/>
              </w:rPr>
              <w:t>mg</w:t>
            </w:r>
            <w:r w:rsidRPr="00116E28">
              <w:rPr>
                <w:rFonts w:cs="Arial"/>
                <w:lang w:val="ru-RU"/>
              </w:rPr>
              <w:t xml:space="preserve"> </w:t>
            </w:r>
            <w:r w:rsidRPr="00116E28">
              <w:rPr>
                <w:rFonts w:cs="Arial"/>
              </w:rPr>
              <w:t>веднъж дневно, 7 дни</w:t>
            </w:r>
          </w:p>
        </w:tc>
        <w:tc>
          <w:tcPr>
            <w:tcW w:w="3164" w:type="dxa"/>
          </w:tcPr>
          <w:p w14:paraId="00B0AAAB" w14:textId="78908037"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149015D3" w14:textId="5A93BE55"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08326471" w14:textId="77777777" w:rsidTr="00116E28">
        <w:tc>
          <w:tcPr>
            <w:tcW w:w="3246" w:type="dxa"/>
          </w:tcPr>
          <w:p w14:paraId="3FE1C02D" w14:textId="70F9A28F" w:rsidR="00116E28" w:rsidRPr="00116E28" w:rsidRDefault="00116E28" w:rsidP="00116E28">
            <w:pPr>
              <w:spacing w:line="240" w:lineRule="auto"/>
              <w:rPr>
                <w:rFonts w:eastAsia="Times New Roman" w:cs="Arial"/>
                <w:b/>
                <w:bCs/>
                <w:color w:val="000000"/>
                <w:lang w:eastAsia="bg-BG"/>
              </w:rPr>
            </w:pPr>
            <w:r w:rsidRPr="00116E28">
              <w:rPr>
                <w:rFonts w:cs="Arial"/>
              </w:rPr>
              <w:t xml:space="preserve">Кетоконазол 200 </w:t>
            </w:r>
            <w:r w:rsidRPr="00116E28">
              <w:rPr>
                <w:rFonts w:cs="Arial"/>
                <w:lang w:val="en-US"/>
              </w:rPr>
              <w:t>mg</w:t>
            </w:r>
            <w:r w:rsidRPr="00116E28">
              <w:rPr>
                <w:rFonts w:cs="Arial"/>
                <w:lang w:val="ru-RU"/>
              </w:rPr>
              <w:t xml:space="preserve"> </w:t>
            </w:r>
            <w:r w:rsidRPr="00116E28">
              <w:rPr>
                <w:rFonts w:cs="Arial"/>
              </w:rPr>
              <w:t>два пъти дневно, 7 дни</w:t>
            </w:r>
          </w:p>
        </w:tc>
        <w:tc>
          <w:tcPr>
            <w:tcW w:w="3164" w:type="dxa"/>
          </w:tcPr>
          <w:p w14:paraId="52965C62" w14:textId="33DE466E"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6D62F3DD" w14:textId="7140B4D0"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64EEFDC9" w14:textId="77777777" w:rsidTr="00116E28">
        <w:tc>
          <w:tcPr>
            <w:tcW w:w="3246" w:type="dxa"/>
          </w:tcPr>
          <w:p w14:paraId="1043FFF9" w14:textId="5A657B02" w:rsidR="00116E28" w:rsidRPr="00116E28" w:rsidRDefault="00116E28" w:rsidP="00116E28">
            <w:pPr>
              <w:spacing w:line="240" w:lineRule="auto"/>
              <w:rPr>
                <w:rFonts w:eastAsia="Times New Roman" w:cs="Arial"/>
                <w:b/>
                <w:bCs/>
                <w:color w:val="000000"/>
                <w:lang w:eastAsia="bg-BG"/>
              </w:rPr>
            </w:pPr>
            <w:r w:rsidRPr="00116E28">
              <w:rPr>
                <w:rFonts w:cs="Arial"/>
              </w:rPr>
              <w:t xml:space="preserve">Флуконазол 200 </w:t>
            </w:r>
            <w:r w:rsidRPr="00116E28">
              <w:rPr>
                <w:rFonts w:cs="Arial"/>
                <w:lang w:val="en-US"/>
              </w:rPr>
              <w:t>mg</w:t>
            </w:r>
            <w:r w:rsidRPr="00116E28">
              <w:rPr>
                <w:rFonts w:cs="Arial"/>
                <w:lang w:val="ru-RU"/>
              </w:rPr>
              <w:t xml:space="preserve"> </w:t>
            </w:r>
            <w:r w:rsidRPr="00116E28">
              <w:rPr>
                <w:rFonts w:cs="Arial"/>
              </w:rPr>
              <w:t>веднъж дневно, 11 дни</w:t>
            </w:r>
          </w:p>
        </w:tc>
        <w:tc>
          <w:tcPr>
            <w:tcW w:w="3164" w:type="dxa"/>
          </w:tcPr>
          <w:p w14:paraId="1BBF9A6C" w14:textId="022CE7DA"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2093E619" w14:textId="0FC74DCC" w:rsidR="00116E28" w:rsidRPr="00116E28" w:rsidRDefault="00116E28" w:rsidP="00116E28">
            <w:pPr>
              <w:spacing w:line="240" w:lineRule="auto"/>
              <w:rPr>
                <w:rFonts w:eastAsia="Times New Roman" w:cs="Arial"/>
                <w:b/>
                <w:bCs/>
                <w:color w:val="000000"/>
                <w:lang w:eastAsia="bg-BG"/>
              </w:rPr>
            </w:pPr>
            <w:r w:rsidRPr="00116E28">
              <w:rPr>
                <w:rFonts w:cs="Arial"/>
              </w:rPr>
              <w:t>↔</w:t>
            </w:r>
          </w:p>
        </w:tc>
      </w:tr>
      <w:tr w:rsidR="00116E28" w14:paraId="7CCE2BCA" w14:textId="77777777" w:rsidTr="00116E28">
        <w:tc>
          <w:tcPr>
            <w:tcW w:w="3246" w:type="dxa"/>
          </w:tcPr>
          <w:p w14:paraId="3F8AE468" w14:textId="6C00360B" w:rsidR="00116E28" w:rsidRPr="00116E28" w:rsidRDefault="00116E28" w:rsidP="00116E28">
            <w:pPr>
              <w:spacing w:line="240" w:lineRule="auto"/>
              <w:rPr>
                <w:rFonts w:eastAsia="Times New Roman" w:cs="Arial"/>
                <w:b/>
                <w:bCs/>
                <w:color w:val="000000"/>
                <w:lang w:eastAsia="bg-BG"/>
              </w:rPr>
            </w:pPr>
            <w:r w:rsidRPr="00116E28">
              <w:rPr>
                <w:rFonts w:cs="Arial"/>
              </w:rPr>
              <w:t xml:space="preserve">Еритромицин 500 </w:t>
            </w:r>
            <w:r w:rsidRPr="00116E28">
              <w:rPr>
                <w:rFonts w:cs="Arial"/>
                <w:lang w:val="en-US"/>
              </w:rPr>
              <w:t>mg</w:t>
            </w:r>
            <w:r w:rsidRPr="00116E28">
              <w:rPr>
                <w:rFonts w:cs="Arial"/>
                <w:lang w:val="ru-RU"/>
              </w:rPr>
              <w:t xml:space="preserve"> </w:t>
            </w:r>
            <w:r w:rsidRPr="00116E28">
              <w:rPr>
                <w:rFonts w:cs="Arial"/>
              </w:rPr>
              <w:t>четири пъти дневно, 7 дни</w:t>
            </w:r>
          </w:p>
        </w:tc>
        <w:tc>
          <w:tcPr>
            <w:tcW w:w="3164" w:type="dxa"/>
          </w:tcPr>
          <w:p w14:paraId="4E694232" w14:textId="5F2637E9" w:rsidR="00116E28" w:rsidRPr="00116E28" w:rsidRDefault="00116E28" w:rsidP="00116E28">
            <w:pPr>
              <w:spacing w:line="240" w:lineRule="auto"/>
              <w:rPr>
                <w:rFonts w:eastAsia="Times New Roman" w:cs="Arial"/>
                <w:b/>
                <w:bCs/>
                <w:color w:val="000000"/>
                <w:lang w:eastAsia="bg-BG"/>
              </w:rPr>
            </w:pPr>
            <w:r w:rsidRPr="00116E28">
              <w:rPr>
                <w:rFonts w:cs="Arial"/>
              </w:rPr>
              <w:t xml:space="preserve">80 </w:t>
            </w:r>
            <w:r w:rsidRPr="00116E28">
              <w:rPr>
                <w:rFonts w:cs="Arial"/>
                <w:lang w:val="en-US"/>
              </w:rPr>
              <w:t xml:space="preserve">mg, </w:t>
            </w:r>
            <w:r w:rsidRPr="00116E28">
              <w:rPr>
                <w:rFonts w:cs="Arial"/>
              </w:rPr>
              <w:t>еднократна доза</w:t>
            </w:r>
          </w:p>
        </w:tc>
        <w:tc>
          <w:tcPr>
            <w:tcW w:w="3166" w:type="dxa"/>
          </w:tcPr>
          <w:p w14:paraId="371D5EE4" w14:textId="583BBF7B" w:rsidR="00116E28" w:rsidRPr="00116E28" w:rsidRDefault="00116E28" w:rsidP="00116E28">
            <w:pPr>
              <w:spacing w:line="240" w:lineRule="auto"/>
              <w:rPr>
                <w:rFonts w:eastAsia="Times New Roman" w:cs="Arial"/>
                <w:b/>
                <w:bCs/>
                <w:color w:val="000000"/>
                <w:lang w:eastAsia="bg-BG"/>
              </w:rPr>
            </w:pPr>
            <w:r w:rsidRPr="00116E28">
              <w:rPr>
                <w:rFonts w:cs="Arial"/>
              </w:rPr>
              <w:t>20% ↓</w:t>
            </w:r>
          </w:p>
        </w:tc>
      </w:tr>
      <w:tr w:rsidR="00116E28" w14:paraId="7C62F9BA" w14:textId="77777777" w:rsidTr="00116E28">
        <w:tc>
          <w:tcPr>
            <w:tcW w:w="3246" w:type="dxa"/>
          </w:tcPr>
          <w:p w14:paraId="0C72D1DB" w14:textId="072DC9B9" w:rsidR="00116E28" w:rsidRPr="00116E28" w:rsidRDefault="00116E28" w:rsidP="00116E28">
            <w:pPr>
              <w:spacing w:line="240" w:lineRule="auto"/>
              <w:rPr>
                <w:rFonts w:eastAsia="Times New Roman" w:cs="Arial"/>
                <w:b/>
                <w:bCs/>
                <w:color w:val="000000"/>
                <w:lang w:eastAsia="bg-BG"/>
              </w:rPr>
            </w:pPr>
            <w:r w:rsidRPr="00116E28">
              <w:rPr>
                <w:rFonts w:cs="Arial"/>
              </w:rPr>
              <w:t xml:space="preserve">Байкалин 50 </w:t>
            </w:r>
            <w:r w:rsidRPr="00116E28">
              <w:rPr>
                <w:rFonts w:cs="Arial"/>
                <w:lang w:val="en-US"/>
              </w:rPr>
              <w:t>mg</w:t>
            </w:r>
            <w:r w:rsidRPr="00116E28">
              <w:rPr>
                <w:rFonts w:cs="Arial"/>
                <w:lang w:val="ru-RU"/>
              </w:rPr>
              <w:t xml:space="preserve"> </w:t>
            </w:r>
            <w:r w:rsidRPr="00116E28">
              <w:rPr>
                <w:rFonts w:cs="Arial"/>
              </w:rPr>
              <w:t>три пъти дневно, 14 дни</w:t>
            </w:r>
          </w:p>
        </w:tc>
        <w:tc>
          <w:tcPr>
            <w:tcW w:w="3164" w:type="dxa"/>
          </w:tcPr>
          <w:p w14:paraId="2BE98092" w14:textId="02A0713D" w:rsidR="00116E28" w:rsidRPr="00116E28" w:rsidRDefault="00116E28" w:rsidP="00116E28">
            <w:pPr>
              <w:spacing w:line="240" w:lineRule="auto"/>
              <w:rPr>
                <w:rFonts w:eastAsia="Times New Roman" w:cs="Arial"/>
                <w:b/>
                <w:bCs/>
                <w:color w:val="000000"/>
                <w:lang w:eastAsia="bg-BG"/>
              </w:rPr>
            </w:pPr>
            <w:r w:rsidRPr="00116E28">
              <w:rPr>
                <w:rFonts w:cs="Arial"/>
              </w:rPr>
              <w:t xml:space="preserve">20 </w:t>
            </w:r>
            <w:r w:rsidRPr="00116E28">
              <w:rPr>
                <w:rFonts w:cs="Arial"/>
                <w:lang w:val="en-US"/>
              </w:rPr>
              <w:t xml:space="preserve">mg, </w:t>
            </w:r>
            <w:r w:rsidRPr="00116E28">
              <w:rPr>
                <w:rFonts w:cs="Arial"/>
              </w:rPr>
              <w:t>еднократна доза</w:t>
            </w:r>
          </w:p>
        </w:tc>
        <w:tc>
          <w:tcPr>
            <w:tcW w:w="3166" w:type="dxa"/>
          </w:tcPr>
          <w:p w14:paraId="37F63BDA" w14:textId="6024D905" w:rsidR="00116E28" w:rsidRPr="00116E28" w:rsidRDefault="00116E28" w:rsidP="00116E28">
            <w:pPr>
              <w:spacing w:line="240" w:lineRule="auto"/>
              <w:rPr>
                <w:rFonts w:eastAsia="Times New Roman" w:cs="Arial"/>
                <w:b/>
                <w:bCs/>
                <w:color w:val="000000"/>
                <w:lang w:eastAsia="bg-BG"/>
              </w:rPr>
            </w:pPr>
            <w:r w:rsidRPr="00116E28">
              <w:rPr>
                <w:rFonts w:cs="Arial"/>
              </w:rPr>
              <w:t>47% ↓</w:t>
            </w:r>
          </w:p>
        </w:tc>
      </w:tr>
      <w:tr w:rsidR="00116E28" w14:paraId="2F3CCCBE" w14:textId="77777777" w:rsidTr="00116E28">
        <w:tc>
          <w:tcPr>
            <w:tcW w:w="9576" w:type="dxa"/>
            <w:gridSpan w:val="3"/>
          </w:tcPr>
          <w:p w14:paraId="1E6F68DD" w14:textId="77DF1888" w:rsidR="00116E28" w:rsidRPr="00116E28" w:rsidRDefault="00116E28" w:rsidP="00116E28">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Данните, посочени като х пъти промяна представят просто съотношение между едновременно приложение и приложение на розувастатин самостоятелно. Данните, посочени като % представят процента разлика, отнесен към самостоятелното приложение на розувастатин.</w:t>
            </w:r>
          </w:p>
          <w:p w14:paraId="3316B5B6"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Повишаването е посочено като “↑”, без промяна като “↔”, понижението като “↓”.</w:t>
            </w:r>
          </w:p>
          <w:p w14:paraId="1CDB9701" w14:textId="7E97CB96" w:rsidR="00116E28" w:rsidRPr="00116E28" w:rsidRDefault="00116E28" w:rsidP="001E41DF">
            <w:pPr>
              <w:spacing w:line="240" w:lineRule="auto"/>
              <w:rPr>
                <w:rFonts w:eastAsia="Times New Roman" w:cs="Arial"/>
                <w:color w:val="000000"/>
                <w:lang w:eastAsia="bg-BG"/>
              </w:rPr>
            </w:pPr>
            <w:r>
              <w:rPr>
                <w:rFonts w:eastAsia="Times New Roman" w:cs="Arial"/>
                <w:color w:val="000000"/>
                <w:lang w:eastAsia="bg-BG"/>
              </w:rPr>
              <w:t>*</w:t>
            </w:r>
            <w:r w:rsidRPr="00116E28">
              <w:rPr>
                <w:rFonts w:eastAsia="Times New Roman" w:cs="Arial"/>
                <w:color w:val="000000"/>
                <w:lang w:eastAsia="bg-BG"/>
              </w:rPr>
              <w:t>* Няколко проучвания за взаимодействие са проведени</w:t>
            </w:r>
            <w:r w:rsidRPr="00116E28">
              <w:rPr>
                <w:rFonts w:eastAsia="Times New Roman" w:cs="Arial"/>
                <w:color w:val="000000"/>
                <w:vertAlign w:val="superscript"/>
                <w:lang w:val="en-US"/>
              </w:rPr>
              <w:t>c</w:t>
            </w:r>
            <w:r w:rsidRPr="00116E28">
              <w:rPr>
                <w:rFonts w:eastAsia="Times New Roman" w:cs="Arial"/>
                <w:color w:val="000000"/>
                <w:lang w:eastAsia="bg-BG"/>
              </w:rPr>
              <w:t xml:space="preserve"> различни дозировки розувастатин. Таблицата представя най-значимото съотношение.</w:t>
            </w:r>
          </w:p>
        </w:tc>
      </w:tr>
    </w:tbl>
    <w:p w14:paraId="3B1E7914" w14:textId="206A3C8B" w:rsidR="001E41DF" w:rsidRDefault="001E41DF" w:rsidP="001E41DF">
      <w:pPr>
        <w:spacing w:line="240" w:lineRule="auto"/>
        <w:rPr>
          <w:rFonts w:eastAsia="Times New Roman" w:cs="Arial"/>
          <w:b/>
          <w:bCs/>
          <w:color w:val="000000"/>
          <w:lang w:eastAsia="bg-BG"/>
        </w:rPr>
      </w:pPr>
    </w:p>
    <w:p w14:paraId="73520DC9" w14:textId="77777777"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Ефект на розувастатин върху едновременно приемани лекарствени продукти</w:t>
      </w:r>
    </w:p>
    <w:p w14:paraId="126F188E" w14:textId="77777777" w:rsidR="00116E28" w:rsidRPr="00116E28" w:rsidRDefault="00116E28" w:rsidP="00116E28">
      <w:pPr>
        <w:spacing w:line="240" w:lineRule="auto"/>
        <w:rPr>
          <w:rFonts w:eastAsia="Times New Roman" w:cs="Arial"/>
          <w:color w:val="000000"/>
          <w:u w:val="single"/>
          <w:lang w:eastAsia="bg-BG"/>
        </w:rPr>
      </w:pPr>
    </w:p>
    <w:p w14:paraId="2DE7C976" w14:textId="1EDCA9E9"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Антагонисти на витамин К</w:t>
      </w:r>
    </w:p>
    <w:p w14:paraId="26A16E80" w14:textId="4B0DA8F2" w:rsidR="00116E28" w:rsidRPr="00116E28" w:rsidRDefault="00116E28" w:rsidP="00116E28">
      <w:pPr>
        <w:spacing w:line="240" w:lineRule="auto"/>
        <w:rPr>
          <w:rFonts w:eastAsia="Times New Roman" w:cs="Arial"/>
          <w:color w:val="000000"/>
          <w:lang w:val="ru-RU"/>
        </w:rPr>
      </w:pPr>
      <w:r w:rsidRPr="00116E28">
        <w:rPr>
          <w:rFonts w:eastAsia="Times New Roman" w:cs="Arial"/>
          <w:color w:val="000000"/>
          <w:lang w:eastAsia="bg-BG"/>
        </w:rPr>
        <w:t xml:space="preserve">Подобно на други инхибитори на </w:t>
      </w:r>
      <w:r w:rsidRPr="00116E28">
        <w:rPr>
          <w:rFonts w:eastAsia="Times New Roman" w:cs="Arial"/>
          <w:color w:val="000000"/>
          <w:lang w:val="en-US"/>
        </w:rPr>
        <w:t>HMG</w:t>
      </w:r>
      <w:r w:rsidRPr="00116E28">
        <w:rPr>
          <w:rFonts w:eastAsia="Times New Roman" w:cs="Arial"/>
          <w:color w:val="000000"/>
          <w:lang w:val="ru-RU"/>
        </w:rPr>
        <w:t>-</w:t>
      </w:r>
      <w:r w:rsidRPr="00116E28">
        <w:rPr>
          <w:rFonts w:eastAsia="Times New Roman" w:cs="Arial"/>
          <w:color w:val="000000"/>
          <w:lang w:val="en-US"/>
        </w:rPr>
        <w:t>CoA</w:t>
      </w:r>
      <w:r w:rsidRPr="00116E28">
        <w:rPr>
          <w:rFonts w:eastAsia="Times New Roman" w:cs="Arial"/>
          <w:color w:val="000000"/>
          <w:lang w:val="ru-RU"/>
        </w:rPr>
        <w:t xml:space="preserve"> </w:t>
      </w:r>
      <w:r w:rsidRPr="00116E28">
        <w:rPr>
          <w:rFonts w:eastAsia="Times New Roman" w:cs="Arial"/>
          <w:color w:val="000000"/>
          <w:lang w:eastAsia="bg-BG"/>
        </w:rPr>
        <w:t>редуктазата, започването на лечение с розувастатин или титрирането на дозата му при пациенти, приемащи антагонисти на витамин К (като варфарин или други кумаринови антикоагуланти) може да доведе до повишаване на</w:t>
      </w:r>
      <w:r w:rsidRPr="00116E28">
        <w:rPr>
          <w:rFonts w:eastAsia="Times New Roman" w:cs="Arial"/>
          <w:color w:val="000000"/>
          <w:u w:val="single"/>
          <w:lang w:eastAsia="bg-BG"/>
        </w:rPr>
        <w:t xml:space="preserve"> </w:t>
      </w:r>
      <w:r w:rsidRPr="00116E28">
        <w:rPr>
          <w:rFonts w:eastAsia="Times New Roman" w:cs="Arial"/>
          <w:color w:val="000000"/>
          <w:lang w:val="en-US"/>
        </w:rPr>
        <w:t>International</w:t>
      </w:r>
      <w:r w:rsidRPr="00116E28">
        <w:rPr>
          <w:rFonts w:eastAsia="Times New Roman" w:cs="Arial"/>
          <w:color w:val="000000"/>
          <w:lang w:val="ru-RU"/>
        </w:rPr>
        <w:t xml:space="preserve"> </w:t>
      </w:r>
      <w:proofErr w:type="spellStart"/>
      <w:r w:rsidRPr="00116E28">
        <w:rPr>
          <w:rFonts w:eastAsia="Times New Roman" w:cs="Arial"/>
          <w:color w:val="000000"/>
          <w:lang w:val="en-US"/>
        </w:rPr>
        <w:t>Normalised</w:t>
      </w:r>
      <w:proofErr w:type="spellEnd"/>
      <w:r w:rsidRPr="00116E28">
        <w:rPr>
          <w:rFonts w:eastAsia="Times New Roman" w:cs="Arial"/>
          <w:color w:val="000000"/>
          <w:lang w:val="ru-RU"/>
        </w:rPr>
        <w:t xml:space="preserve"> </w:t>
      </w:r>
      <w:r w:rsidRPr="00116E28">
        <w:rPr>
          <w:rFonts w:eastAsia="Times New Roman" w:cs="Arial"/>
          <w:color w:val="000000"/>
          <w:lang w:val="en-US"/>
        </w:rPr>
        <w:t>Ratio</w:t>
      </w:r>
      <w:r w:rsidRPr="00116E28">
        <w:rPr>
          <w:rFonts w:eastAsia="Times New Roman" w:cs="Arial"/>
          <w:color w:val="000000"/>
          <w:lang w:val="ru-RU"/>
        </w:rPr>
        <w:t xml:space="preserve">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Прекъсването на лечението или намаляването на дозата на титриране с розувастатин може да доведе до намаление на </w:t>
      </w:r>
      <w:r w:rsidRPr="00116E28">
        <w:rPr>
          <w:rFonts w:eastAsia="Times New Roman" w:cs="Arial"/>
          <w:color w:val="000000"/>
          <w:lang w:val="en-US"/>
        </w:rPr>
        <w:t>INR</w:t>
      </w:r>
      <w:r w:rsidRPr="00116E28">
        <w:rPr>
          <w:rFonts w:eastAsia="Times New Roman" w:cs="Arial"/>
          <w:color w:val="000000"/>
          <w:lang w:val="ru-RU"/>
        </w:rPr>
        <w:t xml:space="preserve">. </w:t>
      </w:r>
      <w:r w:rsidRPr="00116E28">
        <w:rPr>
          <w:rFonts w:eastAsia="Times New Roman" w:cs="Arial"/>
          <w:color w:val="000000"/>
          <w:lang w:eastAsia="bg-BG"/>
        </w:rPr>
        <w:t xml:space="preserve">При подобни случаи е желателно мониториране на </w:t>
      </w:r>
      <w:r w:rsidRPr="00116E28">
        <w:rPr>
          <w:rFonts w:eastAsia="Times New Roman" w:cs="Arial"/>
          <w:color w:val="000000"/>
          <w:lang w:val="en-US"/>
        </w:rPr>
        <w:t>INR</w:t>
      </w:r>
      <w:r w:rsidRPr="00116E28">
        <w:rPr>
          <w:rFonts w:eastAsia="Times New Roman" w:cs="Arial"/>
          <w:color w:val="000000"/>
          <w:lang w:val="ru-RU"/>
        </w:rPr>
        <w:t>.</w:t>
      </w:r>
    </w:p>
    <w:p w14:paraId="66172FF1" w14:textId="22971D33" w:rsidR="00116E28" w:rsidRPr="00116E28" w:rsidRDefault="00116E28" w:rsidP="00116E28">
      <w:pPr>
        <w:spacing w:line="240" w:lineRule="auto"/>
        <w:rPr>
          <w:rFonts w:eastAsia="Times New Roman" w:cs="Arial"/>
          <w:color w:val="000000"/>
          <w:lang w:val="ru-RU"/>
        </w:rPr>
      </w:pPr>
    </w:p>
    <w:p w14:paraId="3B819F37" w14:textId="77777777"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Перорални контрацептиви/хормонзаместителна терапия</w:t>
      </w:r>
    </w:p>
    <w:p w14:paraId="76C5E17C"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lastRenderedPageBreak/>
        <w:t xml:space="preserve">Съпътстващата употреба на перорални контрацептиви е довела до повишаване на </w:t>
      </w:r>
      <w:r w:rsidRPr="00116E28">
        <w:rPr>
          <w:rFonts w:eastAsia="Times New Roman" w:cs="Arial"/>
          <w:color w:val="000000"/>
          <w:lang w:val="en-US"/>
        </w:rPr>
        <w:t>AUC</w:t>
      </w:r>
      <w:r w:rsidRPr="00116E28">
        <w:rPr>
          <w:rFonts w:eastAsia="Times New Roman" w:cs="Arial"/>
          <w:color w:val="000000"/>
          <w:lang w:val="ru-RU"/>
        </w:rPr>
        <w:t xml:space="preserve"> </w:t>
      </w:r>
      <w:r w:rsidRPr="00116E28">
        <w:rPr>
          <w:rFonts w:eastAsia="Times New Roman" w:cs="Arial"/>
          <w:color w:val="000000"/>
          <w:lang w:eastAsia="bg-BG"/>
        </w:rPr>
        <w:t>на етинилестрадиол и норгестрел, съответно с 26% и 34%. Тези повишени плазмени нива трябва да вземат под внимание, когато се определя дозировката на пероралните контрацептиви. Няма фармакокинетични данни за пациенти, които приемат розувастатин и хормонозаместителна терапия. Ето защо взаимодействието, описано по-горе не може да бъде изключено. Въпреки това тази комбинация е била широко прилагана при жени по време на клинични изпитвания и е понасяна добре.</w:t>
      </w:r>
    </w:p>
    <w:p w14:paraId="0A732FFF" w14:textId="77777777" w:rsidR="00116E28" w:rsidRDefault="00116E28" w:rsidP="00116E28">
      <w:pPr>
        <w:spacing w:line="240" w:lineRule="auto"/>
        <w:rPr>
          <w:rFonts w:eastAsia="Times New Roman" w:cs="Arial"/>
          <w:color w:val="000000"/>
          <w:u w:val="single"/>
          <w:lang w:eastAsia="bg-BG"/>
        </w:rPr>
      </w:pPr>
    </w:p>
    <w:p w14:paraId="20685074" w14:textId="3A8B3B6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Други лекарствени продукти</w:t>
      </w:r>
    </w:p>
    <w:p w14:paraId="5AB6EFF9" w14:textId="77777777" w:rsidR="00116E28" w:rsidRDefault="00116E28" w:rsidP="00116E28">
      <w:pPr>
        <w:spacing w:line="240" w:lineRule="auto"/>
        <w:rPr>
          <w:rFonts w:eastAsia="Times New Roman" w:cs="Arial"/>
          <w:color w:val="000000"/>
          <w:u w:val="single"/>
          <w:lang w:eastAsia="bg-BG"/>
        </w:rPr>
      </w:pPr>
    </w:p>
    <w:p w14:paraId="5CE33619" w14:textId="0004FEFD"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Дигоксин:</w:t>
      </w:r>
    </w:p>
    <w:p w14:paraId="139F539F"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Въз основа на данните от клинични проучвания за специфични лекарствени взаимодействия, не се очаква клинично значимо взаимодействие с дигоксин.</w:t>
      </w:r>
    </w:p>
    <w:p w14:paraId="095FB81A" w14:textId="77777777" w:rsidR="00116E28" w:rsidRDefault="00116E28" w:rsidP="00116E28">
      <w:pPr>
        <w:spacing w:line="240" w:lineRule="auto"/>
        <w:rPr>
          <w:rFonts w:eastAsia="Times New Roman" w:cs="Arial"/>
          <w:color w:val="000000"/>
          <w:u w:val="single"/>
          <w:lang w:eastAsia="bg-BG"/>
        </w:rPr>
      </w:pPr>
    </w:p>
    <w:p w14:paraId="6257BBDF" w14:textId="372108EA" w:rsidR="00116E28" w:rsidRPr="00116E28" w:rsidRDefault="00116E28" w:rsidP="00116E28">
      <w:pPr>
        <w:spacing w:line="240" w:lineRule="auto"/>
        <w:rPr>
          <w:rFonts w:eastAsia="Times New Roman" w:cs="Arial"/>
        </w:rPr>
      </w:pPr>
      <w:r w:rsidRPr="00116E28">
        <w:rPr>
          <w:rFonts w:eastAsia="Times New Roman" w:cs="Arial"/>
          <w:color w:val="000000"/>
          <w:u w:val="single"/>
          <w:lang w:eastAsia="bg-BG"/>
        </w:rPr>
        <w:t>Фузидова киселина</w:t>
      </w:r>
    </w:p>
    <w:p w14:paraId="5ACF544B"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Не са провеждани проучвания върху взаимодействието между розувастатин и фузидова киселина. Рискът от миопатия, включително рабдомиолиза може да се увеличи при едновременното прилагане на фузидова киселина (системно) и статини. Механизмът на това взаимодействие (бил той фармакодинамичен, фармакокинетичен или и двете) не е известен досега. Има съобщения за рабдомиолиза (включително фатална) при пациенти, които са получавали тази комбинация.</w:t>
      </w:r>
    </w:p>
    <w:p w14:paraId="5EE1ABDE"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 xml:space="preserve">Ако системно лечение с фузидова киселина е необходимо, лечението с розувастатин трябва да се прекрати, докато продължава лечението с фузидова киселина. </w:t>
      </w:r>
      <w:r w:rsidRPr="00116E28">
        <w:rPr>
          <w:rFonts w:eastAsia="Times New Roman" w:cs="Arial"/>
          <w:b/>
          <w:bCs/>
          <w:color w:val="000000"/>
          <w:lang w:eastAsia="bg-BG"/>
        </w:rPr>
        <w:t>Вижте също точка 4.4.</w:t>
      </w:r>
    </w:p>
    <w:p w14:paraId="3570A349" w14:textId="77777777" w:rsidR="00116E28" w:rsidRDefault="00116E28" w:rsidP="00116E28">
      <w:pPr>
        <w:spacing w:line="240" w:lineRule="auto"/>
        <w:rPr>
          <w:rFonts w:eastAsia="Times New Roman" w:cs="Arial"/>
          <w:i/>
          <w:iCs/>
          <w:color w:val="000000"/>
          <w:lang w:eastAsia="bg-BG"/>
        </w:rPr>
      </w:pPr>
    </w:p>
    <w:p w14:paraId="128B4FB3" w14:textId="38266EAD" w:rsidR="00116E28" w:rsidRPr="00116E28" w:rsidRDefault="00116E28" w:rsidP="00116E28">
      <w:pPr>
        <w:spacing w:line="240" w:lineRule="auto"/>
        <w:rPr>
          <w:rFonts w:eastAsia="Times New Roman" w:cs="Arial"/>
        </w:rPr>
      </w:pPr>
      <w:r w:rsidRPr="00116E28">
        <w:rPr>
          <w:rFonts w:eastAsia="Times New Roman" w:cs="Arial"/>
          <w:i/>
          <w:iCs/>
          <w:color w:val="000000"/>
          <w:lang w:eastAsia="bg-BG"/>
        </w:rPr>
        <w:t>Педиатрична популация</w:t>
      </w:r>
    </w:p>
    <w:p w14:paraId="057D36A9" w14:textId="77777777" w:rsidR="00116E28" w:rsidRPr="00116E28" w:rsidRDefault="00116E28" w:rsidP="00116E28">
      <w:pPr>
        <w:spacing w:line="240" w:lineRule="auto"/>
        <w:rPr>
          <w:rFonts w:eastAsia="Times New Roman" w:cs="Arial"/>
        </w:rPr>
      </w:pPr>
      <w:r w:rsidRPr="00116E28">
        <w:rPr>
          <w:rFonts w:eastAsia="Times New Roman" w:cs="Arial"/>
          <w:color w:val="000000"/>
          <w:lang w:eastAsia="bg-BG"/>
        </w:rPr>
        <w:t>Проучвания за взаимодействие са провеждани само при възрастни. Степента на взаимодействията в педиатричната популация не е известна.</w:t>
      </w:r>
    </w:p>
    <w:p w14:paraId="1A47EF8B" w14:textId="77777777" w:rsidR="00116E28" w:rsidRPr="00116E28" w:rsidRDefault="00116E28" w:rsidP="00116E28">
      <w:pPr>
        <w:spacing w:line="240" w:lineRule="auto"/>
        <w:rPr>
          <w:rFonts w:eastAsia="Times New Roman" w:cs="Arial"/>
          <w:b/>
          <w:bCs/>
          <w:color w:val="000000"/>
          <w:lang w:eastAsia="bg-BG"/>
        </w:rPr>
      </w:pPr>
    </w:p>
    <w:p w14:paraId="006BE4EC" w14:textId="3D350974" w:rsidR="00DB32D3" w:rsidRDefault="002C50EE" w:rsidP="005726E3">
      <w:pPr>
        <w:pStyle w:val="Heading2"/>
      </w:pPr>
      <w:r>
        <w:t>4.6. Фертилитет, бременност и кърмене</w:t>
      </w:r>
    </w:p>
    <w:p w14:paraId="36B86A21" w14:textId="5BCC364C" w:rsidR="00116E28" w:rsidRDefault="00116E28" w:rsidP="00116E28"/>
    <w:p w14:paraId="02DBB6FA" w14:textId="77777777" w:rsidR="00116E28" w:rsidRPr="00116E28" w:rsidRDefault="00116E28" w:rsidP="00116E28">
      <w:pPr>
        <w:rPr>
          <w:sz w:val="24"/>
          <w:szCs w:val="24"/>
        </w:rPr>
      </w:pPr>
      <w:r w:rsidRPr="00116E28">
        <w:rPr>
          <w:lang w:eastAsia="bg-BG"/>
        </w:rPr>
        <w:t>Розувастатин е противопоказан по време на бременност и кърмене.</w:t>
      </w:r>
    </w:p>
    <w:p w14:paraId="42073E7B" w14:textId="77777777" w:rsidR="00116E28" w:rsidRPr="00116E28" w:rsidRDefault="00116E28" w:rsidP="00116E28">
      <w:pPr>
        <w:rPr>
          <w:sz w:val="24"/>
          <w:szCs w:val="24"/>
        </w:rPr>
      </w:pPr>
      <w:r w:rsidRPr="00116E28">
        <w:rPr>
          <w:lang w:eastAsia="bg-BG"/>
        </w:rPr>
        <w:t>Жени в детеродна възраст трябва да прилагат подходящи контрацептивни мерки.</w:t>
      </w:r>
    </w:p>
    <w:p w14:paraId="2AF4CE3A" w14:textId="77777777" w:rsidR="00116E28" w:rsidRPr="00116E28" w:rsidRDefault="00116E28" w:rsidP="00116E28">
      <w:pPr>
        <w:rPr>
          <w:sz w:val="24"/>
          <w:szCs w:val="24"/>
        </w:rPr>
      </w:pPr>
      <w:r w:rsidRPr="00116E28">
        <w:rPr>
          <w:lang w:eastAsia="bg-BG"/>
        </w:rPr>
        <w:t xml:space="preserve">Тъй като холестеролът и другите продукти на холестероловата биосинтезата са от съществено значение за развитието на плода, потенциалният риск от инхибиране на </w:t>
      </w:r>
      <w:r w:rsidRPr="00116E28">
        <w:rPr>
          <w:lang w:val="en-US"/>
        </w:rPr>
        <w:t>HMG</w:t>
      </w:r>
      <w:r w:rsidRPr="00116E28">
        <w:rPr>
          <w:lang w:val="ru-RU"/>
        </w:rPr>
        <w:t>-</w:t>
      </w:r>
      <w:r w:rsidRPr="00116E28">
        <w:rPr>
          <w:lang w:val="en-US"/>
        </w:rPr>
        <w:t>CoA</w:t>
      </w:r>
      <w:r w:rsidRPr="00116E28">
        <w:rPr>
          <w:lang w:val="ru-RU"/>
        </w:rPr>
        <w:t xml:space="preserve"> </w:t>
      </w:r>
      <w:r w:rsidRPr="00116E28">
        <w:rPr>
          <w:lang w:eastAsia="bg-BG"/>
        </w:rPr>
        <w:t>редуктазата надвишава предимствата от лечение по време на бременност. Проучванията при животни осигуряват ограничени данни за репродуктивна токсичност (вж. точка 5.3). Ако пациентка забременее по време на лечението с това лекарство, приемът трябва да бъде преустановен незабавно.</w:t>
      </w:r>
    </w:p>
    <w:p w14:paraId="1FFFAFD8" w14:textId="77777777" w:rsidR="00116E28" w:rsidRDefault="00116E28" w:rsidP="00116E28">
      <w:pPr>
        <w:rPr>
          <w:lang w:eastAsia="bg-BG"/>
        </w:rPr>
      </w:pPr>
    </w:p>
    <w:p w14:paraId="0C9853E0" w14:textId="4AD672D2" w:rsidR="00116E28" w:rsidRPr="00116E28" w:rsidRDefault="00116E28" w:rsidP="00116E28">
      <w:pPr>
        <w:rPr>
          <w:sz w:val="24"/>
          <w:szCs w:val="24"/>
        </w:rPr>
      </w:pPr>
      <w:r w:rsidRPr="00116E28">
        <w:rPr>
          <w:lang w:eastAsia="bg-BG"/>
        </w:rPr>
        <w:t>Розувастатин се екскретира в млякото на плъхове. Няма установени данни за отделяне в млякото при хората. (Вж. точка 4.3)</w:t>
      </w:r>
    </w:p>
    <w:p w14:paraId="444BF84C" w14:textId="77777777" w:rsidR="00116E28" w:rsidRPr="00116E28" w:rsidRDefault="00116E28" w:rsidP="00116E28"/>
    <w:p w14:paraId="128BA3A8" w14:textId="2F09A4DF" w:rsidR="00DB32D3" w:rsidRDefault="002C50EE" w:rsidP="005726E3">
      <w:pPr>
        <w:pStyle w:val="Heading2"/>
      </w:pPr>
      <w:r>
        <w:t>4.7. Ефекти върху способността за шофиране и работа с машини</w:t>
      </w:r>
    </w:p>
    <w:p w14:paraId="2006C9B8" w14:textId="3F754EFE" w:rsidR="00116E28" w:rsidRDefault="00116E28" w:rsidP="00116E28"/>
    <w:p w14:paraId="6B94D525" w14:textId="77777777" w:rsidR="00116E28" w:rsidRPr="00116E28" w:rsidRDefault="00116E28" w:rsidP="00116E28">
      <w:pPr>
        <w:rPr>
          <w:sz w:val="24"/>
          <w:szCs w:val="24"/>
        </w:rPr>
      </w:pPr>
      <w:r w:rsidRPr="00116E28">
        <w:rPr>
          <w:lang w:eastAsia="bg-BG"/>
        </w:rPr>
        <w:t xml:space="preserve">Проучвания за установяване на влиянието на розувастатин върху способността за шофиране и работа с машини не са провеждани. Въпреки това, въз основа на фармакодинамичните му свойства, е малко вероятно розувастатин да повлияе </w:t>
      </w:r>
      <w:r w:rsidRPr="00116E28">
        <w:rPr>
          <w:lang w:eastAsia="bg-BG"/>
        </w:rPr>
        <w:lastRenderedPageBreak/>
        <w:t>неблагоприятно тези способности. При шофиране или работа с машини трябва да се има предвид, че по време на лечението може да се появи световъртеж.</w:t>
      </w:r>
    </w:p>
    <w:p w14:paraId="12643421" w14:textId="77777777" w:rsidR="00116E28" w:rsidRPr="00116E28" w:rsidRDefault="00116E28" w:rsidP="00116E28"/>
    <w:p w14:paraId="44CE30A3" w14:textId="35271701" w:rsidR="007122AD" w:rsidRDefault="002C50EE" w:rsidP="00936AD0">
      <w:pPr>
        <w:pStyle w:val="Heading2"/>
      </w:pPr>
      <w:r>
        <w:t>4.8. Нежелани лекарствени реакции</w:t>
      </w:r>
    </w:p>
    <w:p w14:paraId="37AA51E9" w14:textId="1C153B9A" w:rsidR="00C1725D" w:rsidRDefault="00C1725D" w:rsidP="00C1725D"/>
    <w:p w14:paraId="759C4242" w14:textId="0F24F1D6" w:rsidR="00C1725D" w:rsidRPr="00C1725D" w:rsidRDefault="00C1725D" w:rsidP="00C1725D">
      <w:pPr>
        <w:rPr>
          <w:rFonts w:cs="Arial"/>
        </w:rPr>
      </w:pPr>
      <w:r w:rsidRPr="00C1725D">
        <w:rPr>
          <w:rFonts w:cs="Arial"/>
        </w:rPr>
        <w:t>Нежеланите лекарствени реакции, наблюдавани при розувастатин обикновено са</w:t>
      </w:r>
      <w:r w:rsidRPr="00C1725D">
        <w:rPr>
          <w:rFonts w:cs="Arial"/>
          <w:lang w:val="ru-RU"/>
        </w:rPr>
        <w:t xml:space="preserve"> </w:t>
      </w:r>
      <w:r w:rsidRPr="00C1725D">
        <w:rPr>
          <w:rFonts w:cs="Arial"/>
        </w:rPr>
        <w:t>леки и преходни. В контролирани клинични проучвания по-малко от 4% от пациентите, лекувани с розувастатин са прекъснали лечението поради нежелани реакции.</w:t>
      </w:r>
    </w:p>
    <w:p w14:paraId="175E6973" w14:textId="1C0017ED" w:rsidR="00C1725D" w:rsidRPr="00C1725D" w:rsidRDefault="00C1725D" w:rsidP="00C1725D">
      <w:pPr>
        <w:rPr>
          <w:rFonts w:cs="Arial"/>
        </w:rPr>
      </w:pPr>
    </w:p>
    <w:p w14:paraId="6B7783C5"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По-долу са изброени нежелани лекарствени реакции за розувастатин, въз основа на данни от клинични проучвания и разширен постмаркетингов опит. Нежеланите реакции са класифицирани съобразно честотата и системо-органния клас.</w:t>
      </w:r>
    </w:p>
    <w:p w14:paraId="6306FC3F" w14:textId="77777777" w:rsidR="00C1725D" w:rsidRPr="00C1725D" w:rsidRDefault="00C1725D" w:rsidP="00C1725D">
      <w:pPr>
        <w:spacing w:line="240" w:lineRule="auto"/>
        <w:rPr>
          <w:rFonts w:eastAsia="Times New Roman" w:cs="Arial"/>
        </w:rPr>
      </w:pPr>
      <w:r w:rsidRPr="00C1725D">
        <w:rPr>
          <w:rFonts w:eastAsia="Times New Roman" w:cs="Arial"/>
          <w:color w:val="000000"/>
          <w:lang w:eastAsia="bg-BG"/>
        </w:rPr>
        <w:t>Честотата на нежеланите реакции е класифицирана съобразно следната конвенция: чести (≥1/100 до &lt;1/10); нечести (≥1/1 000 до &lt; 1/100); редки (≥1/10 000 до &lt; 1/1 000); много редки (&lt;1/10 000); с неизвестна честота (от наличните данни не може да бъде направена оценка).</w:t>
      </w:r>
    </w:p>
    <w:p w14:paraId="2C76675C" w14:textId="77777777" w:rsidR="00C1725D" w:rsidRDefault="00C1725D" w:rsidP="00C1725D">
      <w:pPr>
        <w:spacing w:line="240" w:lineRule="auto"/>
        <w:rPr>
          <w:rFonts w:eastAsia="Times New Roman" w:cs="Arial"/>
          <w:color w:val="000000"/>
          <w:lang w:eastAsia="bg-BG"/>
        </w:rPr>
      </w:pPr>
    </w:p>
    <w:p w14:paraId="3345EFE0" w14:textId="178D2FB3" w:rsidR="00C1725D" w:rsidRPr="00C1725D" w:rsidRDefault="00C1725D" w:rsidP="00C1725D">
      <w:pPr>
        <w:spacing w:line="240" w:lineRule="auto"/>
        <w:rPr>
          <w:rFonts w:eastAsia="Times New Roman" w:cs="Arial"/>
        </w:rPr>
      </w:pPr>
      <w:r>
        <w:rPr>
          <w:rFonts w:eastAsia="Times New Roman" w:cs="Arial"/>
          <w:color w:val="000000"/>
          <w:lang w:eastAsia="bg-BG"/>
        </w:rPr>
        <w:t xml:space="preserve">Таблица 2 </w:t>
      </w:r>
      <w:r w:rsidRPr="00C1725D">
        <w:rPr>
          <w:rFonts w:eastAsia="Times New Roman" w:cs="Arial"/>
          <w:color w:val="000000"/>
          <w:lang w:eastAsia="bg-BG"/>
        </w:rPr>
        <w:t>Нежеланите реакции, въз основа на данни от клинични опит и постмаркетингови</w:t>
      </w:r>
      <w:r>
        <w:rPr>
          <w:rFonts w:eastAsia="Times New Roman" w:cs="Arial"/>
        </w:rPr>
        <w:t xml:space="preserve"> </w:t>
      </w:r>
      <w:r w:rsidRPr="00C1725D">
        <w:rPr>
          <w:rFonts w:eastAsia="Times New Roman" w:cs="Arial"/>
          <w:color w:val="000000"/>
          <w:lang w:eastAsia="bg-BG"/>
        </w:rPr>
        <w:t>проучвания</w:t>
      </w:r>
    </w:p>
    <w:tbl>
      <w:tblPr>
        <w:tblStyle w:val="TableGrid"/>
        <w:tblW w:w="0" w:type="auto"/>
        <w:tblLook w:val="04A0" w:firstRow="1" w:lastRow="0" w:firstColumn="1" w:lastColumn="0" w:noHBand="0" w:noVBand="1"/>
      </w:tblPr>
      <w:tblGrid>
        <w:gridCol w:w="1814"/>
        <w:gridCol w:w="1528"/>
        <w:gridCol w:w="1180"/>
        <w:gridCol w:w="1601"/>
        <w:gridCol w:w="1544"/>
        <w:gridCol w:w="1683"/>
      </w:tblGrid>
      <w:tr w:rsidR="00C1725D" w14:paraId="150F55CB" w14:textId="77777777" w:rsidTr="00C1725D">
        <w:tc>
          <w:tcPr>
            <w:tcW w:w="2611" w:type="dxa"/>
          </w:tcPr>
          <w:p w14:paraId="53584AB7" w14:textId="6DE831A2" w:rsidR="00C1725D" w:rsidRPr="00C1725D" w:rsidRDefault="00C1725D" w:rsidP="00C1725D">
            <w:pPr>
              <w:rPr>
                <w:rFonts w:cs="Arial"/>
              </w:rPr>
            </w:pPr>
            <w:r w:rsidRPr="00C1725D">
              <w:rPr>
                <w:rFonts w:cs="Arial"/>
                <w:b/>
                <w:bCs/>
              </w:rPr>
              <w:t>Системо- органни класове</w:t>
            </w:r>
          </w:p>
        </w:tc>
        <w:tc>
          <w:tcPr>
            <w:tcW w:w="1412" w:type="dxa"/>
          </w:tcPr>
          <w:p w14:paraId="7D371E20" w14:textId="7FC4F5EE" w:rsidR="00C1725D" w:rsidRPr="00C1725D" w:rsidRDefault="00C1725D" w:rsidP="00C1725D">
            <w:pPr>
              <w:rPr>
                <w:rFonts w:cs="Arial"/>
              </w:rPr>
            </w:pPr>
            <w:r w:rsidRPr="00C1725D">
              <w:rPr>
                <w:rFonts w:cs="Arial"/>
                <w:b/>
                <w:bCs/>
              </w:rPr>
              <w:t>Чести</w:t>
            </w:r>
          </w:p>
        </w:tc>
        <w:tc>
          <w:tcPr>
            <w:tcW w:w="1095" w:type="dxa"/>
          </w:tcPr>
          <w:p w14:paraId="468BB50D" w14:textId="421BA2D2" w:rsidR="00C1725D" w:rsidRPr="00C1725D" w:rsidRDefault="00C1725D" w:rsidP="00C1725D">
            <w:pPr>
              <w:rPr>
                <w:rFonts w:cs="Arial"/>
              </w:rPr>
            </w:pPr>
            <w:r w:rsidRPr="00C1725D">
              <w:rPr>
                <w:rFonts w:cs="Arial"/>
                <w:b/>
                <w:bCs/>
              </w:rPr>
              <w:t>Не чести</w:t>
            </w:r>
          </w:p>
        </w:tc>
        <w:tc>
          <w:tcPr>
            <w:tcW w:w="1479" w:type="dxa"/>
          </w:tcPr>
          <w:p w14:paraId="78AD7E46" w14:textId="394239C4" w:rsidR="00C1725D" w:rsidRPr="00C1725D" w:rsidRDefault="00C1725D" w:rsidP="00C1725D">
            <w:pPr>
              <w:rPr>
                <w:rFonts w:cs="Arial"/>
              </w:rPr>
            </w:pPr>
            <w:r w:rsidRPr="00C1725D">
              <w:rPr>
                <w:rFonts w:cs="Arial"/>
                <w:b/>
                <w:bCs/>
              </w:rPr>
              <w:t>Редки</w:t>
            </w:r>
          </w:p>
        </w:tc>
        <w:tc>
          <w:tcPr>
            <w:tcW w:w="1426" w:type="dxa"/>
          </w:tcPr>
          <w:p w14:paraId="32D2395E" w14:textId="3CAEE820" w:rsidR="00C1725D" w:rsidRPr="00C1725D" w:rsidRDefault="00C1725D" w:rsidP="00C1725D">
            <w:pPr>
              <w:rPr>
                <w:rFonts w:cs="Arial"/>
              </w:rPr>
            </w:pPr>
            <w:r w:rsidRPr="00C1725D">
              <w:rPr>
                <w:rFonts w:cs="Arial"/>
                <w:b/>
                <w:bCs/>
              </w:rPr>
              <w:t>Много редки</w:t>
            </w:r>
          </w:p>
        </w:tc>
        <w:tc>
          <w:tcPr>
            <w:tcW w:w="1553" w:type="dxa"/>
          </w:tcPr>
          <w:p w14:paraId="45EFA164" w14:textId="1D0BD7E3" w:rsidR="00C1725D" w:rsidRPr="00C1725D" w:rsidRDefault="00C1725D" w:rsidP="00C1725D">
            <w:pPr>
              <w:rPr>
                <w:rFonts w:cs="Arial"/>
              </w:rPr>
            </w:pPr>
            <w:r w:rsidRPr="00C1725D">
              <w:rPr>
                <w:rFonts w:cs="Arial"/>
                <w:b/>
                <w:bCs/>
              </w:rPr>
              <w:t>С неизвестна честота</w:t>
            </w:r>
          </w:p>
        </w:tc>
      </w:tr>
      <w:tr w:rsidR="00C1725D" w14:paraId="0A80E93F" w14:textId="77777777" w:rsidTr="00C1725D">
        <w:tc>
          <w:tcPr>
            <w:tcW w:w="2611" w:type="dxa"/>
          </w:tcPr>
          <w:p w14:paraId="085B05C5" w14:textId="6A65E525" w:rsidR="00C1725D" w:rsidRPr="00C1725D" w:rsidRDefault="00C1725D" w:rsidP="00C1725D">
            <w:pPr>
              <w:rPr>
                <w:rFonts w:cs="Arial"/>
              </w:rPr>
            </w:pPr>
            <w:r w:rsidRPr="00C1725D">
              <w:rPr>
                <w:rFonts w:cs="Arial"/>
              </w:rPr>
              <w:t>Нарушения на кръвта и лимфната система</w:t>
            </w:r>
          </w:p>
        </w:tc>
        <w:tc>
          <w:tcPr>
            <w:tcW w:w="1412" w:type="dxa"/>
          </w:tcPr>
          <w:p w14:paraId="26F912D0" w14:textId="77777777" w:rsidR="00C1725D" w:rsidRPr="00C1725D" w:rsidRDefault="00C1725D" w:rsidP="00C1725D">
            <w:pPr>
              <w:rPr>
                <w:rFonts w:cs="Arial"/>
              </w:rPr>
            </w:pPr>
          </w:p>
        </w:tc>
        <w:tc>
          <w:tcPr>
            <w:tcW w:w="1095" w:type="dxa"/>
          </w:tcPr>
          <w:p w14:paraId="3C536A8A" w14:textId="6214B9CB" w:rsidR="00C1725D" w:rsidRPr="00C1725D" w:rsidRDefault="00C1725D" w:rsidP="00C1725D">
            <w:pPr>
              <w:rPr>
                <w:rFonts w:cs="Arial"/>
              </w:rPr>
            </w:pPr>
            <w:r w:rsidRPr="00C1725D">
              <w:rPr>
                <w:rFonts w:cs="Arial"/>
              </w:rPr>
              <w:t>-</w:t>
            </w:r>
          </w:p>
        </w:tc>
        <w:tc>
          <w:tcPr>
            <w:tcW w:w="1479" w:type="dxa"/>
          </w:tcPr>
          <w:p w14:paraId="672AF3B7" w14:textId="50289C87" w:rsidR="00C1725D" w:rsidRPr="00C1725D" w:rsidRDefault="00C1725D" w:rsidP="00C1725D">
            <w:pPr>
              <w:rPr>
                <w:rFonts w:cs="Arial"/>
              </w:rPr>
            </w:pPr>
            <w:r w:rsidRPr="00C1725D">
              <w:rPr>
                <w:rFonts w:cs="Arial"/>
              </w:rPr>
              <w:t>Тромбоцито- пения</w:t>
            </w:r>
          </w:p>
        </w:tc>
        <w:tc>
          <w:tcPr>
            <w:tcW w:w="1426" w:type="dxa"/>
          </w:tcPr>
          <w:p w14:paraId="75D4AD89" w14:textId="77777777" w:rsidR="00C1725D" w:rsidRPr="00C1725D" w:rsidRDefault="00C1725D" w:rsidP="00C1725D">
            <w:pPr>
              <w:rPr>
                <w:rFonts w:cs="Arial"/>
              </w:rPr>
            </w:pPr>
          </w:p>
        </w:tc>
        <w:tc>
          <w:tcPr>
            <w:tcW w:w="1553" w:type="dxa"/>
          </w:tcPr>
          <w:p w14:paraId="7B125CD9" w14:textId="77777777" w:rsidR="00C1725D" w:rsidRPr="00C1725D" w:rsidRDefault="00C1725D" w:rsidP="00C1725D">
            <w:pPr>
              <w:rPr>
                <w:rFonts w:cs="Arial"/>
              </w:rPr>
            </w:pPr>
          </w:p>
        </w:tc>
      </w:tr>
      <w:tr w:rsidR="00C1725D" w14:paraId="64AEF464" w14:textId="77777777" w:rsidTr="00C1725D">
        <w:tc>
          <w:tcPr>
            <w:tcW w:w="2611" w:type="dxa"/>
          </w:tcPr>
          <w:p w14:paraId="0E80C578" w14:textId="4109C394" w:rsidR="00C1725D" w:rsidRPr="00C1725D" w:rsidRDefault="00C1725D" w:rsidP="00C1725D">
            <w:pPr>
              <w:rPr>
                <w:rFonts w:cs="Arial"/>
              </w:rPr>
            </w:pPr>
            <w:r w:rsidRPr="00C1725D">
              <w:rPr>
                <w:rFonts w:cs="Arial"/>
              </w:rPr>
              <w:t>Нарушения на имунната система</w:t>
            </w:r>
          </w:p>
        </w:tc>
        <w:tc>
          <w:tcPr>
            <w:tcW w:w="1412" w:type="dxa"/>
          </w:tcPr>
          <w:p w14:paraId="7D244D2E" w14:textId="77777777" w:rsidR="00C1725D" w:rsidRPr="00C1725D" w:rsidRDefault="00C1725D" w:rsidP="00C1725D">
            <w:pPr>
              <w:rPr>
                <w:rFonts w:cs="Arial"/>
              </w:rPr>
            </w:pPr>
          </w:p>
        </w:tc>
        <w:tc>
          <w:tcPr>
            <w:tcW w:w="1095" w:type="dxa"/>
          </w:tcPr>
          <w:p w14:paraId="74B1CD93" w14:textId="77777777" w:rsidR="00C1725D" w:rsidRPr="00C1725D" w:rsidRDefault="00C1725D" w:rsidP="00C1725D">
            <w:pPr>
              <w:rPr>
                <w:rFonts w:cs="Arial"/>
              </w:rPr>
            </w:pPr>
          </w:p>
        </w:tc>
        <w:tc>
          <w:tcPr>
            <w:tcW w:w="1479" w:type="dxa"/>
          </w:tcPr>
          <w:p w14:paraId="642887F2" w14:textId="2EA0EB1E" w:rsidR="00C1725D" w:rsidRPr="00C1725D" w:rsidRDefault="00C1725D" w:rsidP="00C1725D">
            <w:pPr>
              <w:rPr>
                <w:rFonts w:cs="Arial"/>
              </w:rPr>
            </w:pPr>
            <w:r w:rsidRPr="00C1725D">
              <w:rPr>
                <w:rFonts w:cs="Arial"/>
              </w:rPr>
              <w:t>Свръхчув</w:t>
            </w:r>
            <w:r w:rsidRPr="00C1725D">
              <w:rPr>
                <w:rFonts w:cs="Arial"/>
              </w:rPr>
              <w:softHyphen/>
              <w:t>ствителност, включително ангиоедем</w:t>
            </w:r>
          </w:p>
        </w:tc>
        <w:tc>
          <w:tcPr>
            <w:tcW w:w="1426" w:type="dxa"/>
          </w:tcPr>
          <w:p w14:paraId="01F43F63" w14:textId="77777777" w:rsidR="00C1725D" w:rsidRPr="00C1725D" w:rsidRDefault="00C1725D" w:rsidP="00C1725D">
            <w:pPr>
              <w:rPr>
                <w:rFonts w:cs="Arial"/>
              </w:rPr>
            </w:pPr>
          </w:p>
        </w:tc>
        <w:tc>
          <w:tcPr>
            <w:tcW w:w="1553" w:type="dxa"/>
          </w:tcPr>
          <w:p w14:paraId="12305EBB" w14:textId="77777777" w:rsidR="00C1725D" w:rsidRPr="00C1725D" w:rsidRDefault="00C1725D" w:rsidP="00C1725D">
            <w:pPr>
              <w:rPr>
                <w:rFonts w:cs="Arial"/>
              </w:rPr>
            </w:pPr>
          </w:p>
        </w:tc>
      </w:tr>
      <w:tr w:rsidR="00C1725D" w14:paraId="4BC179E8" w14:textId="77777777" w:rsidTr="00C1725D">
        <w:tc>
          <w:tcPr>
            <w:tcW w:w="2611" w:type="dxa"/>
          </w:tcPr>
          <w:p w14:paraId="26E2839C" w14:textId="6E68BC61" w:rsidR="00C1725D" w:rsidRPr="00C1725D" w:rsidRDefault="00C1725D" w:rsidP="00C1725D">
            <w:pPr>
              <w:rPr>
                <w:rFonts w:cs="Arial"/>
              </w:rPr>
            </w:pPr>
            <w:r w:rsidRPr="00C1725D">
              <w:rPr>
                <w:rFonts w:cs="Arial"/>
              </w:rPr>
              <w:t>Нарушения на ендокринната система</w:t>
            </w:r>
          </w:p>
        </w:tc>
        <w:tc>
          <w:tcPr>
            <w:tcW w:w="1412" w:type="dxa"/>
          </w:tcPr>
          <w:p w14:paraId="5ADFC4FF" w14:textId="430FD750" w:rsidR="00C1725D" w:rsidRPr="00C1725D" w:rsidRDefault="00C1725D" w:rsidP="00C1725D">
            <w:pPr>
              <w:rPr>
                <w:rFonts w:cs="Arial"/>
              </w:rPr>
            </w:pPr>
            <w:r w:rsidRPr="00C1725D">
              <w:rPr>
                <w:rFonts w:cs="Arial"/>
              </w:rPr>
              <w:t>Захарен диабет</w:t>
            </w:r>
            <w:r w:rsidRPr="00C1725D">
              <w:rPr>
                <w:rFonts w:cs="Arial"/>
                <w:vertAlign w:val="superscript"/>
              </w:rPr>
              <w:t>1</w:t>
            </w:r>
          </w:p>
        </w:tc>
        <w:tc>
          <w:tcPr>
            <w:tcW w:w="1095" w:type="dxa"/>
          </w:tcPr>
          <w:p w14:paraId="559555DC" w14:textId="77777777" w:rsidR="00C1725D" w:rsidRPr="00C1725D" w:rsidRDefault="00C1725D" w:rsidP="00C1725D">
            <w:pPr>
              <w:rPr>
                <w:rFonts w:cs="Arial"/>
              </w:rPr>
            </w:pPr>
          </w:p>
        </w:tc>
        <w:tc>
          <w:tcPr>
            <w:tcW w:w="1479" w:type="dxa"/>
          </w:tcPr>
          <w:p w14:paraId="5D0BAFFD" w14:textId="77777777" w:rsidR="00C1725D" w:rsidRPr="00C1725D" w:rsidRDefault="00C1725D" w:rsidP="00C1725D">
            <w:pPr>
              <w:rPr>
                <w:rFonts w:cs="Arial"/>
              </w:rPr>
            </w:pPr>
          </w:p>
        </w:tc>
        <w:tc>
          <w:tcPr>
            <w:tcW w:w="1426" w:type="dxa"/>
          </w:tcPr>
          <w:p w14:paraId="246B594C" w14:textId="77777777" w:rsidR="00C1725D" w:rsidRPr="00C1725D" w:rsidRDefault="00C1725D" w:rsidP="00C1725D">
            <w:pPr>
              <w:rPr>
                <w:rFonts w:cs="Arial"/>
              </w:rPr>
            </w:pPr>
          </w:p>
        </w:tc>
        <w:tc>
          <w:tcPr>
            <w:tcW w:w="1553" w:type="dxa"/>
          </w:tcPr>
          <w:p w14:paraId="454D9106" w14:textId="77777777" w:rsidR="00C1725D" w:rsidRPr="00C1725D" w:rsidRDefault="00C1725D" w:rsidP="00C1725D">
            <w:pPr>
              <w:rPr>
                <w:rFonts w:cs="Arial"/>
              </w:rPr>
            </w:pPr>
          </w:p>
        </w:tc>
      </w:tr>
      <w:tr w:rsidR="00C1725D" w14:paraId="7F7AD896" w14:textId="77777777" w:rsidTr="00C1725D">
        <w:tc>
          <w:tcPr>
            <w:tcW w:w="2611" w:type="dxa"/>
          </w:tcPr>
          <w:p w14:paraId="586E943E" w14:textId="51C3FE7D" w:rsidR="00C1725D" w:rsidRPr="00C1725D" w:rsidRDefault="00C1725D" w:rsidP="00C1725D">
            <w:pPr>
              <w:rPr>
                <w:rFonts w:cs="Arial"/>
              </w:rPr>
            </w:pPr>
            <w:r w:rsidRPr="00C1725D">
              <w:rPr>
                <w:rFonts w:cs="Arial"/>
              </w:rPr>
              <w:t>Психични нарушения</w:t>
            </w:r>
          </w:p>
        </w:tc>
        <w:tc>
          <w:tcPr>
            <w:tcW w:w="1412" w:type="dxa"/>
          </w:tcPr>
          <w:p w14:paraId="2539FBFF" w14:textId="77777777" w:rsidR="00C1725D" w:rsidRPr="00C1725D" w:rsidRDefault="00C1725D" w:rsidP="00C1725D">
            <w:pPr>
              <w:rPr>
                <w:rFonts w:cs="Arial"/>
              </w:rPr>
            </w:pPr>
          </w:p>
        </w:tc>
        <w:tc>
          <w:tcPr>
            <w:tcW w:w="1095" w:type="dxa"/>
          </w:tcPr>
          <w:p w14:paraId="3C852793" w14:textId="77777777" w:rsidR="00C1725D" w:rsidRPr="00C1725D" w:rsidRDefault="00C1725D" w:rsidP="00C1725D">
            <w:pPr>
              <w:rPr>
                <w:rFonts w:cs="Arial"/>
              </w:rPr>
            </w:pPr>
          </w:p>
        </w:tc>
        <w:tc>
          <w:tcPr>
            <w:tcW w:w="1479" w:type="dxa"/>
          </w:tcPr>
          <w:p w14:paraId="5B4C063F" w14:textId="77777777" w:rsidR="00C1725D" w:rsidRPr="00C1725D" w:rsidRDefault="00C1725D" w:rsidP="00C1725D">
            <w:pPr>
              <w:rPr>
                <w:rFonts w:cs="Arial"/>
              </w:rPr>
            </w:pPr>
          </w:p>
        </w:tc>
        <w:tc>
          <w:tcPr>
            <w:tcW w:w="1426" w:type="dxa"/>
          </w:tcPr>
          <w:p w14:paraId="0E98828B" w14:textId="77777777" w:rsidR="00C1725D" w:rsidRPr="00C1725D" w:rsidRDefault="00C1725D" w:rsidP="00C1725D">
            <w:pPr>
              <w:rPr>
                <w:rFonts w:cs="Arial"/>
              </w:rPr>
            </w:pPr>
          </w:p>
        </w:tc>
        <w:tc>
          <w:tcPr>
            <w:tcW w:w="1553" w:type="dxa"/>
          </w:tcPr>
          <w:p w14:paraId="0BD4D84E" w14:textId="6706E6DC" w:rsidR="00C1725D" w:rsidRPr="00C1725D" w:rsidRDefault="00C1725D" w:rsidP="00C1725D">
            <w:pPr>
              <w:rPr>
                <w:rFonts w:cs="Arial"/>
              </w:rPr>
            </w:pPr>
            <w:r w:rsidRPr="00C1725D">
              <w:rPr>
                <w:rFonts w:cs="Arial"/>
              </w:rPr>
              <w:t>Депресия</w:t>
            </w:r>
          </w:p>
        </w:tc>
      </w:tr>
      <w:tr w:rsidR="00C1725D" w14:paraId="1D9D9CAF" w14:textId="77777777" w:rsidTr="00C1725D">
        <w:tc>
          <w:tcPr>
            <w:tcW w:w="2611" w:type="dxa"/>
          </w:tcPr>
          <w:p w14:paraId="26D3F1CC" w14:textId="0ED383E1" w:rsidR="00C1725D" w:rsidRPr="00C1725D" w:rsidRDefault="00C1725D" w:rsidP="00C1725D">
            <w:pPr>
              <w:rPr>
                <w:rFonts w:cs="Arial"/>
              </w:rPr>
            </w:pPr>
            <w:r w:rsidRPr="00C1725D">
              <w:rPr>
                <w:rFonts w:cs="Arial"/>
              </w:rPr>
              <w:t>Нарушения на нервната система</w:t>
            </w:r>
          </w:p>
        </w:tc>
        <w:tc>
          <w:tcPr>
            <w:tcW w:w="1412" w:type="dxa"/>
          </w:tcPr>
          <w:p w14:paraId="2BEFE9F7" w14:textId="63770F2D" w:rsidR="00C1725D" w:rsidRPr="00C1725D" w:rsidRDefault="00C1725D" w:rsidP="00C1725D">
            <w:pPr>
              <w:rPr>
                <w:rFonts w:cs="Arial"/>
              </w:rPr>
            </w:pPr>
            <w:r w:rsidRPr="00C1725D">
              <w:rPr>
                <w:rFonts w:cs="Arial"/>
              </w:rPr>
              <w:t>Главоболие; замаяност</w:t>
            </w:r>
          </w:p>
        </w:tc>
        <w:tc>
          <w:tcPr>
            <w:tcW w:w="1095" w:type="dxa"/>
          </w:tcPr>
          <w:p w14:paraId="2DEF6DD1" w14:textId="77777777" w:rsidR="00C1725D" w:rsidRPr="00C1725D" w:rsidRDefault="00C1725D" w:rsidP="00C1725D">
            <w:pPr>
              <w:rPr>
                <w:rFonts w:cs="Arial"/>
              </w:rPr>
            </w:pPr>
          </w:p>
        </w:tc>
        <w:tc>
          <w:tcPr>
            <w:tcW w:w="1479" w:type="dxa"/>
          </w:tcPr>
          <w:p w14:paraId="5554B088" w14:textId="77777777" w:rsidR="00C1725D" w:rsidRPr="00C1725D" w:rsidRDefault="00C1725D" w:rsidP="00C1725D">
            <w:pPr>
              <w:rPr>
                <w:rFonts w:cs="Arial"/>
              </w:rPr>
            </w:pPr>
          </w:p>
        </w:tc>
        <w:tc>
          <w:tcPr>
            <w:tcW w:w="1426" w:type="dxa"/>
          </w:tcPr>
          <w:p w14:paraId="2D0547CB" w14:textId="698E1347" w:rsidR="00C1725D" w:rsidRPr="00C1725D" w:rsidRDefault="00C1725D" w:rsidP="00C1725D">
            <w:pPr>
              <w:rPr>
                <w:rFonts w:cs="Arial"/>
              </w:rPr>
            </w:pPr>
            <w:r w:rsidRPr="00C1725D">
              <w:rPr>
                <w:rFonts w:cs="Arial"/>
              </w:rPr>
              <w:t>Полиневро- патия; загуба на паметта</w:t>
            </w:r>
          </w:p>
        </w:tc>
        <w:tc>
          <w:tcPr>
            <w:tcW w:w="1553" w:type="dxa"/>
          </w:tcPr>
          <w:p w14:paraId="3EA01049" w14:textId="0A867425" w:rsidR="00C1725D" w:rsidRPr="00C1725D" w:rsidRDefault="00C1725D" w:rsidP="00C1725D">
            <w:pPr>
              <w:rPr>
                <w:rFonts w:cs="Arial"/>
              </w:rPr>
            </w:pPr>
            <w:r w:rsidRPr="00C1725D">
              <w:rPr>
                <w:rFonts w:cs="Arial"/>
              </w:rPr>
              <w:t>Периферна невропатия, нарушения на съня, включително инсомния и кошмари</w:t>
            </w:r>
          </w:p>
        </w:tc>
      </w:tr>
      <w:tr w:rsidR="00C1725D" w14:paraId="47F2FF5A" w14:textId="77777777" w:rsidTr="00C1725D">
        <w:tc>
          <w:tcPr>
            <w:tcW w:w="2611" w:type="dxa"/>
          </w:tcPr>
          <w:p w14:paraId="4290A916" w14:textId="632271C0" w:rsidR="00C1725D" w:rsidRPr="00C1725D" w:rsidRDefault="00C1725D" w:rsidP="00C1725D">
            <w:pPr>
              <w:rPr>
                <w:rFonts w:cs="Arial"/>
              </w:rPr>
            </w:pPr>
            <w:r w:rsidRPr="00C1725D">
              <w:rPr>
                <w:rFonts w:cs="Arial"/>
              </w:rPr>
              <w:t>Респираторни, гръдни и медиастинални нарушения</w:t>
            </w:r>
          </w:p>
        </w:tc>
        <w:tc>
          <w:tcPr>
            <w:tcW w:w="1412" w:type="dxa"/>
          </w:tcPr>
          <w:p w14:paraId="42B37DB8" w14:textId="77777777" w:rsidR="00C1725D" w:rsidRPr="00C1725D" w:rsidRDefault="00C1725D" w:rsidP="00C1725D">
            <w:pPr>
              <w:rPr>
                <w:rFonts w:cs="Arial"/>
              </w:rPr>
            </w:pPr>
          </w:p>
        </w:tc>
        <w:tc>
          <w:tcPr>
            <w:tcW w:w="1095" w:type="dxa"/>
          </w:tcPr>
          <w:p w14:paraId="7AEAD5AE" w14:textId="77777777" w:rsidR="00C1725D" w:rsidRPr="00C1725D" w:rsidRDefault="00C1725D" w:rsidP="00C1725D">
            <w:pPr>
              <w:rPr>
                <w:rFonts w:cs="Arial"/>
              </w:rPr>
            </w:pPr>
          </w:p>
        </w:tc>
        <w:tc>
          <w:tcPr>
            <w:tcW w:w="1479" w:type="dxa"/>
          </w:tcPr>
          <w:p w14:paraId="1E146C40" w14:textId="77777777" w:rsidR="00C1725D" w:rsidRPr="00C1725D" w:rsidRDefault="00C1725D" w:rsidP="00C1725D">
            <w:pPr>
              <w:rPr>
                <w:rFonts w:cs="Arial"/>
              </w:rPr>
            </w:pPr>
          </w:p>
        </w:tc>
        <w:tc>
          <w:tcPr>
            <w:tcW w:w="1426" w:type="dxa"/>
          </w:tcPr>
          <w:p w14:paraId="1089866E" w14:textId="77777777" w:rsidR="00C1725D" w:rsidRPr="00C1725D" w:rsidRDefault="00C1725D" w:rsidP="00C1725D">
            <w:pPr>
              <w:rPr>
                <w:rFonts w:cs="Arial"/>
              </w:rPr>
            </w:pPr>
          </w:p>
        </w:tc>
        <w:tc>
          <w:tcPr>
            <w:tcW w:w="1553" w:type="dxa"/>
          </w:tcPr>
          <w:p w14:paraId="3B72C970" w14:textId="77777777" w:rsidR="00C1725D" w:rsidRPr="00C1725D" w:rsidRDefault="00C1725D" w:rsidP="00C1725D">
            <w:pPr>
              <w:rPr>
                <w:rFonts w:cs="Arial"/>
              </w:rPr>
            </w:pPr>
            <w:r w:rsidRPr="00C1725D">
              <w:rPr>
                <w:rFonts w:cs="Arial"/>
              </w:rPr>
              <w:t>Кашлица</w:t>
            </w:r>
          </w:p>
          <w:p w14:paraId="06F6DFC3" w14:textId="3DA69CBD" w:rsidR="00C1725D" w:rsidRPr="00C1725D" w:rsidRDefault="00C1725D" w:rsidP="00C1725D">
            <w:pPr>
              <w:rPr>
                <w:rFonts w:cs="Arial"/>
              </w:rPr>
            </w:pPr>
            <w:r w:rsidRPr="00C1725D">
              <w:rPr>
                <w:rFonts w:cs="Arial"/>
              </w:rPr>
              <w:t>Диспнея</w:t>
            </w:r>
          </w:p>
        </w:tc>
      </w:tr>
      <w:tr w:rsidR="00C1725D" w14:paraId="1FEAFC01" w14:textId="77777777" w:rsidTr="00C1725D">
        <w:tc>
          <w:tcPr>
            <w:tcW w:w="2611" w:type="dxa"/>
          </w:tcPr>
          <w:p w14:paraId="503AEC6C" w14:textId="3BD7CA57" w:rsidR="00C1725D" w:rsidRPr="00C1725D" w:rsidRDefault="00C1725D" w:rsidP="00C1725D">
            <w:pPr>
              <w:rPr>
                <w:rFonts w:cs="Arial"/>
              </w:rPr>
            </w:pPr>
            <w:r w:rsidRPr="00C1725D">
              <w:rPr>
                <w:rFonts w:cs="Arial"/>
              </w:rPr>
              <w:lastRenderedPageBreak/>
              <w:t>Стомашно- чревни нарушения</w:t>
            </w:r>
          </w:p>
        </w:tc>
        <w:tc>
          <w:tcPr>
            <w:tcW w:w="1412" w:type="dxa"/>
          </w:tcPr>
          <w:p w14:paraId="7F8CC512" w14:textId="607A309D" w:rsidR="00C1725D" w:rsidRPr="00C1725D" w:rsidRDefault="00C1725D" w:rsidP="00C1725D">
            <w:pPr>
              <w:rPr>
                <w:rFonts w:cs="Arial"/>
              </w:rPr>
            </w:pPr>
            <w:r w:rsidRPr="00C1725D">
              <w:rPr>
                <w:rFonts w:cs="Arial"/>
              </w:rPr>
              <w:t>Констипация Гадене Абдоминална болка</w:t>
            </w:r>
          </w:p>
        </w:tc>
        <w:tc>
          <w:tcPr>
            <w:tcW w:w="1095" w:type="dxa"/>
          </w:tcPr>
          <w:p w14:paraId="56713B93" w14:textId="77777777" w:rsidR="00C1725D" w:rsidRPr="00C1725D" w:rsidRDefault="00C1725D" w:rsidP="00C1725D">
            <w:pPr>
              <w:rPr>
                <w:rFonts w:cs="Arial"/>
              </w:rPr>
            </w:pPr>
          </w:p>
        </w:tc>
        <w:tc>
          <w:tcPr>
            <w:tcW w:w="1479" w:type="dxa"/>
          </w:tcPr>
          <w:p w14:paraId="51074FF1" w14:textId="4AA7DC0A" w:rsidR="00C1725D" w:rsidRPr="00C1725D" w:rsidRDefault="00C1725D" w:rsidP="00C1725D">
            <w:pPr>
              <w:rPr>
                <w:rFonts w:cs="Arial"/>
              </w:rPr>
            </w:pPr>
            <w:r w:rsidRPr="00C1725D">
              <w:rPr>
                <w:rFonts w:cs="Arial"/>
              </w:rPr>
              <w:t>Панкреатит</w:t>
            </w:r>
          </w:p>
        </w:tc>
        <w:tc>
          <w:tcPr>
            <w:tcW w:w="1426" w:type="dxa"/>
          </w:tcPr>
          <w:p w14:paraId="2092ACB7" w14:textId="77777777" w:rsidR="00C1725D" w:rsidRPr="00C1725D" w:rsidRDefault="00C1725D" w:rsidP="00C1725D">
            <w:pPr>
              <w:rPr>
                <w:rFonts w:cs="Arial"/>
              </w:rPr>
            </w:pPr>
          </w:p>
        </w:tc>
        <w:tc>
          <w:tcPr>
            <w:tcW w:w="1553" w:type="dxa"/>
          </w:tcPr>
          <w:p w14:paraId="35F8ABFE" w14:textId="24B13FC7" w:rsidR="00C1725D" w:rsidRPr="00C1725D" w:rsidRDefault="00C1725D" w:rsidP="00C1725D">
            <w:pPr>
              <w:rPr>
                <w:rFonts w:cs="Arial"/>
              </w:rPr>
            </w:pPr>
            <w:r w:rsidRPr="00C1725D">
              <w:rPr>
                <w:rFonts w:cs="Arial"/>
              </w:rPr>
              <w:t>Диария</w:t>
            </w:r>
          </w:p>
        </w:tc>
      </w:tr>
      <w:tr w:rsidR="00C1725D" w14:paraId="63D0AA3D" w14:textId="77777777" w:rsidTr="00C1725D">
        <w:tc>
          <w:tcPr>
            <w:tcW w:w="2611" w:type="dxa"/>
          </w:tcPr>
          <w:p w14:paraId="14D265D8" w14:textId="3EE88E75" w:rsidR="00C1725D" w:rsidRPr="00C1725D" w:rsidRDefault="00C1725D" w:rsidP="00C1725D">
            <w:pPr>
              <w:rPr>
                <w:rFonts w:cs="Arial"/>
              </w:rPr>
            </w:pPr>
            <w:r w:rsidRPr="00C1725D">
              <w:rPr>
                <w:rFonts w:cs="Arial"/>
              </w:rPr>
              <w:t>Хепатобилиарни нарушения</w:t>
            </w:r>
          </w:p>
        </w:tc>
        <w:tc>
          <w:tcPr>
            <w:tcW w:w="1412" w:type="dxa"/>
          </w:tcPr>
          <w:p w14:paraId="6699BAC6" w14:textId="77777777" w:rsidR="00C1725D" w:rsidRPr="00C1725D" w:rsidRDefault="00C1725D" w:rsidP="00C1725D">
            <w:pPr>
              <w:rPr>
                <w:rFonts w:cs="Arial"/>
              </w:rPr>
            </w:pPr>
          </w:p>
        </w:tc>
        <w:tc>
          <w:tcPr>
            <w:tcW w:w="1095" w:type="dxa"/>
          </w:tcPr>
          <w:p w14:paraId="329F3DAF" w14:textId="77777777" w:rsidR="00C1725D" w:rsidRPr="00C1725D" w:rsidRDefault="00C1725D" w:rsidP="00C1725D">
            <w:pPr>
              <w:rPr>
                <w:rFonts w:cs="Arial"/>
              </w:rPr>
            </w:pPr>
          </w:p>
        </w:tc>
        <w:tc>
          <w:tcPr>
            <w:tcW w:w="1479" w:type="dxa"/>
          </w:tcPr>
          <w:p w14:paraId="220E30CD" w14:textId="7AADFE2F" w:rsidR="00C1725D" w:rsidRPr="00C1725D" w:rsidRDefault="00C1725D" w:rsidP="00C1725D">
            <w:pPr>
              <w:rPr>
                <w:rFonts w:cs="Arial"/>
              </w:rPr>
            </w:pPr>
            <w:r w:rsidRPr="00C1725D">
              <w:rPr>
                <w:rFonts w:cs="Arial"/>
              </w:rPr>
              <w:t>Повишени трансаминази</w:t>
            </w:r>
          </w:p>
        </w:tc>
        <w:tc>
          <w:tcPr>
            <w:tcW w:w="1426" w:type="dxa"/>
          </w:tcPr>
          <w:p w14:paraId="1572F43A" w14:textId="7FFD4F8D" w:rsidR="00C1725D" w:rsidRPr="00C1725D" w:rsidRDefault="00C1725D" w:rsidP="00C1725D">
            <w:pPr>
              <w:rPr>
                <w:rFonts w:cs="Arial"/>
              </w:rPr>
            </w:pPr>
            <w:r w:rsidRPr="00C1725D">
              <w:rPr>
                <w:rFonts w:cs="Arial"/>
              </w:rPr>
              <w:t>Жълтеница хепатит</w:t>
            </w:r>
          </w:p>
        </w:tc>
        <w:tc>
          <w:tcPr>
            <w:tcW w:w="1553" w:type="dxa"/>
          </w:tcPr>
          <w:p w14:paraId="7610210B" w14:textId="77777777" w:rsidR="00C1725D" w:rsidRPr="00C1725D" w:rsidRDefault="00C1725D" w:rsidP="00C1725D">
            <w:pPr>
              <w:rPr>
                <w:rFonts w:cs="Arial"/>
              </w:rPr>
            </w:pPr>
          </w:p>
        </w:tc>
      </w:tr>
      <w:tr w:rsidR="00C1725D" w14:paraId="3F0CDCCB" w14:textId="77777777" w:rsidTr="00C1725D">
        <w:tc>
          <w:tcPr>
            <w:tcW w:w="2611" w:type="dxa"/>
          </w:tcPr>
          <w:p w14:paraId="571FE11E" w14:textId="33E1C571" w:rsidR="00C1725D" w:rsidRPr="00C1725D" w:rsidRDefault="00C1725D" w:rsidP="00C1725D">
            <w:pPr>
              <w:rPr>
                <w:rFonts w:cs="Arial"/>
              </w:rPr>
            </w:pPr>
            <w:r w:rsidRPr="00C1725D">
              <w:rPr>
                <w:rFonts w:cs="Arial"/>
              </w:rPr>
              <w:t>Нарушения на кожата и подкожната тъкан</w:t>
            </w:r>
          </w:p>
        </w:tc>
        <w:tc>
          <w:tcPr>
            <w:tcW w:w="1412" w:type="dxa"/>
          </w:tcPr>
          <w:p w14:paraId="7D0C1882" w14:textId="77777777" w:rsidR="00C1725D" w:rsidRPr="00C1725D" w:rsidRDefault="00C1725D" w:rsidP="00C1725D">
            <w:pPr>
              <w:rPr>
                <w:rFonts w:cs="Arial"/>
              </w:rPr>
            </w:pPr>
          </w:p>
        </w:tc>
        <w:tc>
          <w:tcPr>
            <w:tcW w:w="1095" w:type="dxa"/>
          </w:tcPr>
          <w:p w14:paraId="5415208C" w14:textId="77604535" w:rsidR="00C1725D" w:rsidRPr="00C1725D" w:rsidRDefault="00C1725D" w:rsidP="00C1725D">
            <w:pPr>
              <w:rPr>
                <w:rFonts w:cs="Arial"/>
              </w:rPr>
            </w:pPr>
            <w:r w:rsidRPr="00C1725D">
              <w:rPr>
                <w:rFonts w:cs="Arial"/>
              </w:rPr>
              <w:t>Сърбеж, обрив, уртикария</w:t>
            </w:r>
          </w:p>
        </w:tc>
        <w:tc>
          <w:tcPr>
            <w:tcW w:w="1479" w:type="dxa"/>
          </w:tcPr>
          <w:p w14:paraId="498E754C" w14:textId="77777777" w:rsidR="00C1725D" w:rsidRPr="00C1725D" w:rsidRDefault="00C1725D" w:rsidP="00C1725D">
            <w:pPr>
              <w:rPr>
                <w:rFonts w:cs="Arial"/>
              </w:rPr>
            </w:pPr>
          </w:p>
        </w:tc>
        <w:tc>
          <w:tcPr>
            <w:tcW w:w="1426" w:type="dxa"/>
          </w:tcPr>
          <w:p w14:paraId="7936C7A9" w14:textId="77777777" w:rsidR="00C1725D" w:rsidRPr="00C1725D" w:rsidRDefault="00C1725D" w:rsidP="00C1725D">
            <w:pPr>
              <w:rPr>
                <w:rFonts w:cs="Arial"/>
              </w:rPr>
            </w:pPr>
          </w:p>
        </w:tc>
        <w:tc>
          <w:tcPr>
            <w:tcW w:w="1553" w:type="dxa"/>
          </w:tcPr>
          <w:p w14:paraId="4596A38B" w14:textId="434BF532" w:rsidR="00C1725D" w:rsidRPr="00C1725D" w:rsidRDefault="00C1725D" w:rsidP="00C1725D">
            <w:pPr>
              <w:rPr>
                <w:rFonts w:cs="Arial"/>
              </w:rPr>
            </w:pPr>
            <w:r w:rsidRPr="00C1725D">
              <w:rPr>
                <w:rFonts w:cs="Arial"/>
              </w:rPr>
              <w:t xml:space="preserve">Синдром на </w:t>
            </w:r>
            <w:r w:rsidRPr="00C1725D">
              <w:rPr>
                <w:rFonts w:cs="Arial"/>
                <w:lang w:val="en-US"/>
              </w:rPr>
              <w:t>Stevens</w:t>
            </w:r>
            <w:r w:rsidRPr="00C1725D">
              <w:rPr>
                <w:rFonts w:cs="Arial"/>
                <w:lang w:val="ru-RU"/>
              </w:rPr>
              <w:t>-</w:t>
            </w:r>
            <w:r w:rsidRPr="00C1725D">
              <w:rPr>
                <w:rFonts w:cs="Arial"/>
                <w:lang w:val="en-US"/>
              </w:rPr>
              <w:t>Johnson</w:t>
            </w:r>
            <w:r w:rsidRPr="00C1725D">
              <w:rPr>
                <w:rFonts w:cs="Arial"/>
                <w:lang w:val="ru-RU"/>
              </w:rPr>
              <w:t xml:space="preserve"> </w:t>
            </w:r>
            <w:r w:rsidRPr="00C1725D">
              <w:rPr>
                <w:rFonts w:cs="Arial"/>
              </w:rPr>
              <w:t>Лекарствена реакция с еозинофилия и системни симптоми (</w:t>
            </w:r>
            <w:r w:rsidRPr="00C1725D">
              <w:rPr>
                <w:rFonts w:cs="Arial"/>
                <w:lang w:val="en-US"/>
              </w:rPr>
              <w:t>DRESS</w:t>
            </w:r>
            <w:r w:rsidRPr="00C1725D">
              <w:rPr>
                <w:rFonts w:cs="Arial"/>
                <w:lang w:val="ru-RU"/>
              </w:rPr>
              <w:t>)</w:t>
            </w:r>
          </w:p>
        </w:tc>
      </w:tr>
      <w:tr w:rsidR="00C1725D" w14:paraId="0B6A5D99" w14:textId="77777777" w:rsidTr="00C1725D">
        <w:tc>
          <w:tcPr>
            <w:tcW w:w="2611" w:type="dxa"/>
          </w:tcPr>
          <w:p w14:paraId="6B7F34A8" w14:textId="66D611DE" w:rsidR="00C1725D" w:rsidRPr="00C1725D" w:rsidRDefault="00C1725D" w:rsidP="00C1725D">
            <w:r w:rsidRPr="00C1725D">
              <w:t>Нарушения на мускулно- скелетната</w:t>
            </w:r>
            <w:r>
              <w:t xml:space="preserve"> </w:t>
            </w:r>
            <w:r w:rsidRPr="00C1725D">
              <w:t>система и съединителната тъкан</w:t>
            </w:r>
          </w:p>
        </w:tc>
        <w:tc>
          <w:tcPr>
            <w:tcW w:w="1412" w:type="dxa"/>
          </w:tcPr>
          <w:p w14:paraId="0A13F3DE" w14:textId="29F464D5" w:rsidR="00C1725D" w:rsidRPr="00C1725D" w:rsidRDefault="00C1725D" w:rsidP="00C1725D">
            <w:pPr>
              <w:rPr>
                <w:rFonts w:cs="Arial"/>
              </w:rPr>
            </w:pPr>
            <w:r w:rsidRPr="00C1725D">
              <w:rPr>
                <w:rFonts w:cs="Arial"/>
              </w:rPr>
              <w:t>Миалгия</w:t>
            </w:r>
          </w:p>
        </w:tc>
        <w:tc>
          <w:tcPr>
            <w:tcW w:w="1095" w:type="dxa"/>
          </w:tcPr>
          <w:p w14:paraId="3A7F2F3D" w14:textId="77777777" w:rsidR="00C1725D" w:rsidRPr="00C1725D" w:rsidRDefault="00C1725D" w:rsidP="00C1725D">
            <w:pPr>
              <w:rPr>
                <w:rFonts w:cs="Arial"/>
              </w:rPr>
            </w:pPr>
          </w:p>
        </w:tc>
        <w:tc>
          <w:tcPr>
            <w:tcW w:w="1479" w:type="dxa"/>
          </w:tcPr>
          <w:p w14:paraId="1FCD0FC7" w14:textId="77777777" w:rsidR="00C1725D" w:rsidRPr="00C1725D" w:rsidRDefault="00C1725D" w:rsidP="00C1725D">
            <w:pPr>
              <w:rPr>
                <w:rFonts w:cs="Arial"/>
              </w:rPr>
            </w:pPr>
            <w:r w:rsidRPr="00C1725D">
              <w:rPr>
                <w:rFonts w:cs="Arial"/>
              </w:rPr>
              <w:t>Миопатия</w:t>
            </w:r>
          </w:p>
          <w:p w14:paraId="0B867DBE" w14:textId="77777777" w:rsidR="00C1725D" w:rsidRPr="00C1725D" w:rsidRDefault="00C1725D" w:rsidP="00C1725D">
            <w:pPr>
              <w:rPr>
                <w:sz w:val="24"/>
                <w:szCs w:val="24"/>
              </w:rPr>
            </w:pPr>
            <w:r w:rsidRPr="00C1725D">
              <w:rPr>
                <w:rFonts w:cs="Arial"/>
              </w:rPr>
              <w:t>(включително</w:t>
            </w:r>
            <w:r>
              <w:rPr>
                <w:rFonts w:cs="Arial"/>
              </w:rPr>
              <w:t xml:space="preserve"> </w:t>
            </w:r>
            <w:r w:rsidRPr="00C1725D">
              <w:rPr>
                <w:lang w:eastAsia="bg-BG"/>
              </w:rPr>
              <w:t>миозит) и рабдомиолиза</w:t>
            </w:r>
          </w:p>
          <w:p w14:paraId="419292A7" w14:textId="77777777" w:rsidR="00C1725D" w:rsidRPr="00C1725D" w:rsidRDefault="00C1725D" w:rsidP="00C1725D">
            <w:pPr>
              <w:rPr>
                <w:sz w:val="24"/>
                <w:szCs w:val="24"/>
              </w:rPr>
            </w:pPr>
            <w:r w:rsidRPr="00C1725D">
              <w:rPr>
                <w:lang w:eastAsia="bg-BG"/>
              </w:rPr>
              <w:t>Лупус-подобен синдром</w:t>
            </w:r>
          </w:p>
          <w:p w14:paraId="2F10E616" w14:textId="77777777" w:rsidR="00C1725D" w:rsidRPr="00C1725D" w:rsidRDefault="00C1725D" w:rsidP="00C1725D">
            <w:pPr>
              <w:rPr>
                <w:sz w:val="24"/>
                <w:szCs w:val="24"/>
              </w:rPr>
            </w:pPr>
            <w:r w:rsidRPr="00C1725D">
              <w:rPr>
                <w:lang w:eastAsia="bg-BG"/>
              </w:rPr>
              <w:t>Разкъсване на</w:t>
            </w:r>
          </w:p>
          <w:p w14:paraId="3C441BB7" w14:textId="1746E42E" w:rsidR="00C1725D" w:rsidRPr="00C1725D" w:rsidRDefault="00C1725D" w:rsidP="00C1725D">
            <w:pPr>
              <w:rPr>
                <w:sz w:val="24"/>
                <w:szCs w:val="24"/>
              </w:rPr>
            </w:pPr>
            <w:r w:rsidRPr="00C1725D">
              <w:rPr>
                <w:lang w:eastAsia="bg-BG"/>
              </w:rPr>
              <w:t>мускулите</w:t>
            </w:r>
          </w:p>
        </w:tc>
        <w:tc>
          <w:tcPr>
            <w:tcW w:w="1426" w:type="dxa"/>
          </w:tcPr>
          <w:p w14:paraId="1BE80C2E" w14:textId="77777777" w:rsidR="00C1725D" w:rsidRPr="00C1725D" w:rsidRDefault="00C1725D" w:rsidP="00C1725D">
            <w:pPr>
              <w:rPr>
                <w:rFonts w:cs="Arial"/>
              </w:rPr>
            </w:pPr>
          </w:p>
        </w:tc>
        <w:tc>
          <w:tcPr>
            <w:tcW w:w="1553" w:type="dxa"/>
          </w:tcPr>
          <w:p w14:paraId="5B9B939E" w14:textId="77777777" w:rsidR="00C1725D" w:rsidRPr="00C1725D" w:rsidRDefault="00C1725D" w:rsidP="00C1725D">
            <w:pPr>
              <w:rPr>
                <w:rFonts w:cs="Arial"/>
              </w:rPr>
            </w:pPr>
            <w:r w:rsidRPr="00C1725D">
              <w:rPr>
                <w:rFonts w:cs="Arial"/>
              </w:rPr>
              <w:t>Нарушения в</w:t>
            </w:r>
          </w:p>
          <w:p w14:paraId="7A7B0024" w14:textId="77777777" w:rsidR="00C1725D" w:rsidRPr="00C1725D" w:rsidRDefault="00C1725D" w:rsidP="00C1725D">
            <w:pPr>
              <w:rPr>
                <w:rFonts w:cs="Arial"/>
              </w:rPr>
            </w:pPr>
            <w:r w:rsidRPr="00C1725D">
              <w:rPr>
                <w:rFonts w:cs="Arial"/>
              </w:rPr>
              <w:t>сухожилията,</w:t>
            </w:r>
          </w:p>
          <w:p w14:paraId="63F97089" w14:textId="77777777" w:rsidR="00C1725D" w:rsidRPr="00C1725D" w:rsidRDefault="00C1725D" w:rsidP="00C1725D">
            <w:pPr>
              <w:rPr>
                <w:sz w:val="24"/>
                <w:szCs w:val="24"/>
              </w:rPr>
            </w:pPr>
            <w:r w:rsidRPr="00C1725D">
              <w:rPr>
                <w:rFonts w:cs="Arial"/>
              </w:rPr>
              <w:t>понякога</w:t>
            </w:r>
            <w:r>
              <w:rPr>
                <w:rFonts w:cs="Arial"/>
              </w:rPr>
              <w:t xml:space="preserve"> </w:t>
            </w:r>
            <w:r w:rsidRPr="00C1725D">
              <w:rPr>
                <w:lang w:eastAsia="bg-BG"/>
              </w:rPr>
              <w:t>усложнени с руптури Имуномедиира на</w:t>
            </w:r>
          </w:p>
          <w:p w14:paraId="30280C3D" w14:textId="15B0CA1C" w:rsidR="00C1725D" w:rsidRPr="00C1725D" w:rsidRDefault="00C1725D" w:rsidP="00C1725D">
            <w:pPr>
              <w:rPr>
                <w:sz w:val="24"/>
                <w:szCs w:val="24"/>
              </w:rPr>
            </w:pPr>
            <w:r w:rsidRPr="00C1725D">
              <w:rPr>
                <w:lang w:eastAsia="bg-BG"/>
              </w:rPr>
              <w:t>некротизираща миопатия</w:t>
            </w:r>
          </w:p>
        </w:tc>
      </w:tr>
      <w:tr w:rsidR="00C1725D" w14:paraId="1CA6659C" w14:textId="77777777" w:rsidTr="00C1725D">
        <w:tc>
          <w:tcPr>
            <w:tcW w:w="2611" w:type="dxa"/>
          </w:tcPr>
          <w:p w14:paraId="0A957D78" w14:textId="1181B38F" w:rsidR="00C1725D" w:rsidRDefault="00C1725D" w:rsidP="00C1725D">
            <w:r>
              <w:t>Нарушения на бъбреците и пикочните пътища</w:t>
            </w:r>
          </w:p>
        </w:tc>
        <w:tc>
          <w:tcPr>
            <w:tcW w:w="1412" w:type="dxa"/>
          </w:tcPr>
          <w:p w14:paraId="23FB11A1" w14:textId="77777777" w:rsidR="00C1725D" w:rsidRDefault="00C1725D" w:rsidP="00C1725D"/>
        </w:tc>
        <w:tc>
          <w:tcPr>
            <w:tcW w:w="1095" w:type="dxa"/>
          </w:tcPr>
          <w:p w14:paraId="71E00755" w14:textId="77777777" w:rsidR="00C1725D" w:rsidRDefault="00C1725D" w:rsidP="00C1725D"/>
        </w:tc>
        <w:tc>
          <w:tcPr>
            <w:tcW w:w="1479" w:type="dxa"/>
          </w:tcPr>
          <w:p w14:paraId="3A862A69" w14:textId="77777777" w:rsidR="00C1725D" w:rsidRDefault="00C1725D" w:rsidP="00C1725D"/>
        </w:tc>
        <w:tc>
          <w:tcPr>
            <w:tcW w:w="1426" w:type="dxa"/>
          </w:tcPr>
          <w:p w14:paraId="4815D297" w14:textId="37D23A42" w:rsidR="00C1725D" w:rsidRDefault="00C1725D" w:rsidP="00C1725D">
            <w:r>
              <w:t>Хематурия</w:t>
            </w:r>
          </w:p>
        </w:tc>
        <w:tc>
          <w:tcPr>
            <w:tcW w:w="1553" w:type="dxa"/>
          </w:tcPr>
          <w:p w14:paraId="083CB989" w14:textId="77777777" w:rsidR="00C1725D" w:rsidRDefault="00C1725D" w:rsidP="00C1725D"/>
        </w:tc>
      </w:tr>
      <w:tr w:rsidR="00C1725D" w14:paraId="2408E87F" w14:textId="77777777" w:rsidTr="00C1725D">
        <w:tc>
          <w:tcPr>
            <w:tcW w:w="2611" w:type="dxa"/>
          </w:tcPr>
          <w:p w14:paraId="3694C4EC" w14:textId="1711D07E" w:rsidR="00C1725D" w:rsidRDefault="00C1725D" w:rsidP="00C1725D">
            <w:r>
              <w:t>Нарушения на възпроизводите лната система и гърдата</w:t>
            </w:r>
          </w:p>
        </w:tc>
        <w:tc>
          <w:tcPr>
            <w:tcW w:w="1412" w:type="dxa"/>
          </w:tcPr>
          <w:p w14:paraId="045374DE" w14:textId="77777777" w:rsidR="00C1725D" w:rsidRDefault="00C1725D" w:rsidP="00C1725D"/>
        </w:tc>
        <w:tc>
          <w:tcPr>
            <w:tcW w:w="1095" w:type="dxa"/>
          </w:tcPr>
          <w:p w14:paraId="10B7280A" w14:textId="21783570" w:rsidR="00C1725D" w:rsidRDefault="00C1725D" w:rsidP="00C1725D">
            <w:r>
              <w:rPr>
                <w:rFonts w:cs="Arial"/>
                <w:b/>
                <w:bCs/>
                <w:sz w:val="19"/>
                <w:szCs w:val="19"/>
              </w:rPr>
              <w:t>-</w:t>
            </w:r>
          </w:p>
        </w:tc>
        <w:tc>
          <w:tcPr>
            <w:tcW w:w="1479" w:type="dxa"/>
          </w:tcPr>
          <w:p w14:paraId="5D87D4BC" w14:textId="77777777" w:rsidR="00C1725D" w:rsidRDefault="00C1725D" w:rsidP="00C1725D"/>
        </w:tc>
        <w:tc>
          <w:tcPr>
            <w:tcW w:w="1426" w:type="dxa"/>
          </w:tcPr>
          <w:p w14:paraId="3EF9069D" w14:textId="671B0B9D" w:rsidR="00C1725D" w:rsidRDefault="00C1725D" w:rsidP="00C1725D">
            <w:r>
              <w:t>Гинекомастия</w:t>
            </w:r>
          </w:p>
        </w:tc>
        <w:tc>
          <w:tcPr>
            <w:tcW w:w="1553" w:type="dxa"/>
          </w:tcPr>
          <w:p w14:paraId="727F9876" w14:textId="77777777" w:rsidR="00C1725D" w:rsidRDefault="00C1725D" w:rsidP="00C1725D"/>
        </w:tc>
      </w:tr>
      <w:tr w:rsidR="00C1725D" w14:paraId="014D05BC" w14:textId="77777777" w:rsidTr="00C1725D">
        <w:tc>
          <w:tcPr>
            <w:tcW w:w="2611" w:type="dxa"/>
          </w:tcPr>
          <w:p w14:paraId="04CC0CE8" w14:textId="66D36481" w:rsidR="00C1725D" w:rsidRDefault="00C1725D" w:rsidP="00C1725D">
            <w:r>
              <w:t>Общи нару шения и ефекти на мястото на приложение</w:t>
            </w:r>
          </w:p>
        </w:tc>
        <w:tc>
          <w:tcPr>
            <w:tcW w:w="1412" w:type="dxa"/>
          </w:tcPr>
          <w:p w14:paraId="2317DFAC" w14:textId="56C3A1A6" w:rsidR="00C1725D" w:rsidRDefault="00C1725D" w:rsidP="00C1725D">
            <w:r>
              <w:t>Астения</w:t>
            </w:r>
          </w:p>
        </w:tc>
        <w:tc>
          <w:tcPr>
            <w:tcW w:w="1095" w:type="dxa"/>
          </w:tcPr>
          <w:p w14:paraId="65EC9695" w14:textId="77777777" w:rsidR="00C1725D" w:rsidRDefault="00C1725D" w:rsidP="00C1725D"/>
        </w:tc>
        <w:tc>
          <w:tcPr>
            <w:tcW w:w="1479" w:type="dxa"/>
          </w:tcPr>
          <w:p w14:paraId="4059CECF" w14:textId="77777777" w:rsidR="00C1725D" w:rsidRDefault="00C1725D" w:rsidP="00C1725D"/>
        </w:tc>
        <w:tc>
          <w:tcPr>
            <w:tcW w:w="1426" w:type="dxa"/>
          </w:tcPr>
          <w:p w14:paraId="505FBEA1" w14:textId="77777777" w:rsidR="00C1725D" w:rsidRDefault="00C1725D" w:rsidP="00C1725D"/>
        </w:tc>
        <w:tc>
          <w:tcPr>
            <w:tcW w:w="1553" w:type="dxa"/>
          </w:tcPr>
          <w:p w14:paraId="042101C1" w14:textId="2A1D2FA7" w:rsidR="00C1725D" w:rsidRDefault="00C1725D" w:rsidP="00C1725D">
            <w:r>
              <w:t>Оток</w:t>
            </w:r>
          </w:p>
        </w:tc>
      </w:tr>
      <w:tr w:rsidR="00C1725D" w14:paraId="248E4CAB" w14:textId="77777777" w:rsidTr="004612A1">
        <w:tc>
          <w:tcPr>
            <w:tcW w:w="9576" w:type="dxa"/>
            <w:gridSpan w:val="6"/>
          </w:tcPr>
          <w:p w14:paraId="002B9F63" w14:textId="62EF259C" w:rsidR="00C1725D" w:rsidRDefault="00C1725D" w:rsidP="00C1725D">
            <w:r>
              <w:rPr>
                <w:vertAlign w:val="superscript"/>
              </w:rPr>
              <w:t>1</w:t>
            </w:r>
            <w:r>
              <w:t>Честотата зависи от наличието или липсата на рискови фактори (кръвна захар на гладно ≥</w:t>
            </w:r>
            <w:r w:rsidRPr="00C1725D">
              <w:rPr>
                <w:lang w:val="ru-RU"/>
              </w:rPr>
              <w:t>5,6</w:t>
            </w:r>
            <w:proofErr w:type="spellStart"/>
            <w:r>
              <w:rPr>
                <w:lang w:val="en-US"/>
              </w:rPr>
              <w:t>mmol</w:t>
            </w:r>
            <w:proofErr w:type="spellEnd"/>
            <w:r w:rsidRPr="00C1725D">
              <w:rPr>
                <w:lang w:val="ru-RU"/>
              </w:rPr>
              <w:t>/</w:t>
            </w:r>
            <w:r>
              <w:rPr>
                <w:lang w:val="en-US"/>
              </w:rPr>
              <w:t>L</w:t>
            </w:r>
            <w:r w:rsidRPr="00C1725D">
              <w:rPr>
                <w:lang w:val="ru-RU"/>
              </w:rPr>
              <w:t xml:space="preserve">, </w:t>
            </w:r>
            <w:r>
              <w:rPr>
                <w:u w:val="single"/>
                <w:lang w:val="en-US"/>
              </w:rPr>
              <w:t>BMI</w:t>
            </w:r>
            <w:r w:rsidRPr="00C1725D">
              <w:rPr>
                <w:u w:val="single"/>
                <w:lang w:val="ru-RU"/>
              </w:rPr>
              <w:t xml:space="preserve">&gt;30 </w:t>
            </w:r>
            <w:r>
              <w:rPr>
                <w:u w:val="single"/>
                <w:lang w:val="en-US"/>
              </w:rPr>
              <w:t>kg</w:t>
            </w:r>
            <w:r w:rsidRPr="00C1725D">
              <w:rPr>
                <w:u w:val="single"/>
                <w:lang w:val="ru-RU"/>
              </w:rPr>
              <w:t>/</w:t>
            </w:r>
            <w:r>
              <w:rPr>
                <w:u w:val="single"/>
                <w:lang w:val="en-US"/>
              </w:rPr>
              <w:t>m</w:t>
            </w:r>
            <w:r w:rsidRPr="00C1725D">
              <w:rPr>
                <w:u w:val="single"/>
                <w:vertAlign w:val="superscript"/>
                <w:lang w:val="ru-RU"/>
              </w:rPr>
              <w:t>2</w:t>
            </w:r>
            <w:r w:rsidRPr="00C1725D">
              <w:rPr>
                <w:u w:val="single"/>
                <w:lang w:val="ru-RU"/>
              </w:rPr>
              <w:t xml:space="preserve">, </w:t>
            </w:r>
            <w:r>
              <w:rPr>
                <w:u w:val="single"/>
              </w:rPr>
              <w:t>повишени триглицериди, анамнеза за хипертония).</w:t>
            </w:r>
          </w:p>
        </w:tc>
      </w:tr>
    </w:tbl>
    <w:p w14:paraId="4AA2ACF3" w14:textId="31AB641F" w:rsidR="00C1725D" w:rsidRDefault="00C1725D" w:rsidP="00C1725D"/>
    <w:p w14:paraId="11309D5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другите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появата на нежелани лекарствени реакции изглежда е дозозависима.</w:t>
      </w:r>
    </w:p>
    <w:p w14:paraId="1776FECB" w14:textId="77777777" w:rsidR="006D31AB" w:rsidRDefault="006D31AB" w:rsidP="006D31AB">
      <w:pPr>
        <w:spacing w:line="240" w:lineRule="auto"/>
        <w:rPr>
          <w:rFonts w:eastAsia="Times New Roman" w:cs="Arial"/>
          <w:i/>
          <w:iCs/>
          <w:color w:val="000000"/>
          <w:lang w:eastAsia="bg-BG"/>
        </w:rPr>
      </w:pPr>
    </w:p>
    <w:p w14:paraId="1110D9F1" w14:textId="03CAD5C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lastRenderedPageBreak/>
        <w:t>Ефекти върху бъбреците</w:t>
      </w:r>
    </w:p>
    <w:p w14:paraId="4E85A307"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пациенти, лекувани с розувастатин е наблюдавана установена с тест-лентички протеинурия, която е с предимно тубулен произход. При &lt; 1% от пациентите, приемащи 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при приблизително 3% от пациентите, лекувани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са наблюдавани промени на количеството протеин в урината от отрицателен резултат или следи, към -н-. Незначително отклонение в посока от отрицателен резултат или следи към + е наблюдавано при доза от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 повечето случаи протеинурията намалява или изчезва спонтанно в процеса на лечението. От прегледа на данните при клиничните опити и пост-маркетинговите проучвания, до сега не е идентифицирана причинна връзка между протеинурията и остро или прогресивно бъбречно заболяване.</w:t>
      </w:r>
    </w:p>
    <w:p w14:paraId="77CC31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При пациенти, третирани с розувастатин, е наблюдавана хематурия, но клиничните данни сочат, че честотата й е ниска.</w:t>
      </w:r>
    </w:p>
    <w:p w14:paraId="2AC2910F" w14:textId="77777777" w:rsidR="006D31AB" w:rsidRDefault="006D31AB" w:rsidP="006D31AB">
      <w:pPr>
        <w:spacing w:line="240" w:lineRule="auto"/>
        <w:rPr>
          <w:rFonts w:eastAsia="Times New Roman" w:cs="Arial"/>
          <w:i/>
          <w:iCs/>
          <w:color w:val="000000"/>
          <w:lang w:eastAsia="bg-BG"/>
        </w:rPr>
      </w:pPr>
    </w:p>
    <w:p w14:paraId="6F8F87BE" w14:textId="4B1975A1"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скелетната мускулатура</w:t>
      </w:r>
    </w:p>
    <w:p w14:paraId="705769B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Въздействия върху скелетната мускулатура като миалгия, миопатия (вкл. миозит) и рядко - рабдомиолиза със или без остра бъбречна недостатъчност, са съобщавани при пациенти, лекувани с всички дози на розувастатин, особено с дози над 20 </w:t>
      </w:r>
      <w:r w:rsidRPr="006D31AB">
        <w:rPr>
          <w:rFonts w:eastAsia="Times New Roman" w:cs="Arial"/>
          <w:color w:val="000000"/>
          <w:lang w:val="en-US"/>
        </w:rPr>
        <w:t>mg</w:t>
      </w:r>
      <w:r w:rsidRPr="006D31AB">
        <w:rPr>
          <w:rFonts w:eastAsia="Times New Roman" w:cs="Arial"/>
          <w:color w:val="000000"/>
          <w:lang w:val="ru-RU"/>
        </w:rPr>
        <w:t>.</w:t>
      </w:r>
    </w:p>
    <w:p w14:paraId="647EE499"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Увеличение на нивото на СК, вследствие на увеличаване на дозата, е наблюдавано при малък брой пациенти, приемащи розувастатин; повечето от случаите са леки, безсимптомни и преходни. Ако нивото на СК се повиши (&gt; 5 пъти над горната референтна граница), лечението трябва да бъде преустановено (вж. точка 4.4).</w:t>
      </w:r>
    </w:p>
    <w:p w14:paraId="11045A1F" w14:textId="77777777" w:rsidR="006D31AB" w:rsidRDefault="006D31AB" w:rsidP="006D31AB">
      <w:pPr>
        <w:spacing w:line="240" w:lineRule="auto"/>
        <w:rPr>
          <w:rFonts w:eastAsia="Times New Roman" w:cs="Arial"/>
          <w:i/>
          <w:iCs/>
          <w:color w:val="000000"/>
          <w:lang w:eastAsia="bg-BG"/>
        </w:rPr>
      </w:pPr>
    </w:p>
    <w:p w14:paraId="7314A310" w14:textId="0543B1B0" w:rsidR="006D31AB" w:rsidRPr="006D31AB" w:rsidRDefault="006D31AB" w:rsidP="006D31AB">
      <w:pPr>
        <w:spacing w:line="240" w:lineRule="auto"/>
        <w:rPr>
          <w:rFonts w:eastAsia="Times New Roman" w:cs="Arial"/>
        </w:rPr>
      </w:pPr>
      <w:r w:rsidRPr="006D31AB">
        <w:rPr>
          <w:rFonts w:eastAsia="Times New Roman" w:cs="Arial"/>
          <w:i/>
          <w:iCs/>
          <w:color w:val="000000"/>
          <w:lang w:eastAsia="bg-BG"/>
        </w:rPr>
        <w:t>Ефекти върху черния дроб</w:t>
      </w:r>
    </w:p>
    <w:p w14:paraId="79C082B6"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увеличение на трансаминазите, свързано с дозировката е наблюдавано при малък брой пациенти, приемащи розувастатин; повечето от случаите са леки, безсимптомни и преходни.</w:t>
      </w:r>
    </w:p>
    <w:p w14:paraId="07351911" w14:textId="77777777" w:rsidR="006D31AB" w:rsidRDefault="006D31AB" w:rsidP="006D31AB">
      <w:pPr>
        <w:spacing w:line="240" w:lineRule="auto"/>
        <w:rPr>
          <w:rFonts w:eastAsia="Times New Roman" w:cs="Arial"/>
          <w:b/>
          <w:bCs/>
          <w:color w:val="000000"/>
          <w:lang w:eastAsia="bg-BG"/>
        </w:rPr>
      </w:pPr>
    </w:p>
    <w:p w14:paraId="69638184" w14:textId="7E470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При употребата на някои статини са съобщавани следните нежелани реакции</w:t>
      </w:r>
    </w:p>
    <w:p w14:paraId="085D3B9B" w14:textId="77777777"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Сексуална дисфункция</w:t>
      </w:r>
    </w:p>
    <w:p w14:paraId="4EE453E2" w14:textId="59F7895B" w:rsidR="006D31AB" w:rsidRPr="006D31AB" w:rsidRDefault="006D31AB" w:rsidP="006D31AB">
      <w:pPr>
        <w:pStyle w:val="ListParagraph"/>
        <w:numPr>
          <w:ilvl w:val="0"/>
          <w:numId w:val="40"/>
        </w:numPr>
        <w:spacing w:line="240" w:lineRule="auto"/>
        <w:rPr>
          <w:rFonts w:eastAsia="Times New Roman" w:cs="Arial"/>
        </w:rPr>
      </w:pPr>
      <w:r w:rsidRPr="006D31AB">
        <w:rPr>
          <w:rFonts w:eastAsia="Times New Roman" w:cs="Arial"/>
          <w:color w:val="000000"/>
          <w:lang w:eastAsia="bg-BG"/>
        </w:rPr>
        <w:t>Изолирани случаи на интерстициална белодробна болест, особено при продължително лечение (вж. точка 4.4)</w:t>
      </w:r>
    </w:p>
    <w:p w14:paraId="2872E9C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Съобщената честота на рабдомиолиза, сериозни събития, свързани с увреждане на бъбречната функция и сериозни събития, свързани с увреждане на чернодробната функция (състоящи се предимно в увеличени трансаминази), е по-висока при дозата от 40 </w:t>
      </w:r>
      <w:r w:rsidRPr="006D31AB">
        <w:rPr>
          <w:rFonts w:eastAsia="Times New Roman" w:cs="Arial"/>
          <w:color w:val="000000"/>
          <w:lang w:val="en-US"/>
        </w:rPr>
        <w:t>mg</w:t>
      </w:r>
      <w:r w:rsidRPr="006D31AB">
        <w:rPr>
          <w:rFonts w:eastAsia="Times New Roman" w:cs="Arial"/>
          <w:color w:val="000000"/>
          <w:lang w:val="ru-RU"/>
        </w:rPr>
        <w:t>.</w:t>
      </w:r>
    </w:p>
    <w:p w14:paraId="3A3359A5" w14:textId="77777777" w:rsidR="006D31AB" w:rsidRDefault="006D31AB" w:rsidP="006D31AB">
      <w:pPr>
        <w:spacing w:line="240" w:lineRule="auto"/>
        <w:rPr>
          <w:rFonts w:eastAsia="Times New Roman" w:cs="Arial"/>
          <w:color w:val="000000"/>
          <w:u w:val="single"/>
          <w:lang w:eastAsia="bg-BG"/>
        </w:rPr>
      </w:pPr>
    </w:p>
    <w:p w14:paraId="5B806278" w14:textId="7BC47116"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Педиатрична популация</w:t>
      </w:r>
    </w:p>
    <w:p w14:paraId="674E7F3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Повишаване на креатинкиназата </w:t>
      </w:r>
      <w:r w:rsidRPr="006D31AB">
        <w:rPr>
          <w:rFonts w:eastAsia="Times New Roman" w:cs="Arial"/>
          <w:color w:val="000000"/>
          <w:lang w:val="ru-RU"/>
        </w:rPr>
        <w:t>&gt;10</w:t>
      </w:r>
      <w:proofErr w:type="spellStart"/>
      <w:r w:rsidRPr="006D31AB">
        <w:rPr>
          <w:rFonts w:eastAsia="Times New Roman" w:cs="Arial"/>
          <w:color w:val="000000"/>
          <w:lang w:val="en-US"/>
        </w:rPr>
        <w:t>xULN</w:t>
      </w:r>
      <w:proofErr w:type="spellEnd"/>
      <w:r w:rsidRPr="006D31AB">
        <w:rPr>
          <w:rFonts w:eastAsia="Times New Roman" w:cs="Arial"/>
          <w:color w:val="000000"/>
          <w:lang w:val="ru-RU"/>
        </w:rPr>
        <w:t xml:space="preserve"> </w:t>
      </w:r>
      <w:r w:rsidRPr="006D31AB">
        <w:rPr>
          <w:rFonts w:eastAsia="Times New Roman" w:cs="Arial"/>
          <w:color w:val="000000"/>
          <w:lang w:eastAsia="bg-BG"/>
        </w:rPr>
        <w:t>и мускулни симптоми след упражнения или повишена физическа активност са набюдавани по-често в едно 52-седмично клинично проучване на деца и младежи в сравнение с възрастните (вж. точка 4.4). В друг аспект, профилът на безопасност на розувастатин е сходен при деца и младежи в сравнение с възрастните.</w:t>
      </w:r>
    </w:p>
    <w:p w14:paraId="0CF6DA5A" w14:textId="77777777" w:rsidR="006D31AB" w:rsidRDefault="006D31AB" w:rsidP="006D31AB">
      <w:pPr>
        <w:spacing w:line="240" w:lineRule="auto"/>
        <w:rPr>
          <w:rFonts w:eastAsia="Times New Roman" w:cs="Arial"/>
          <w:color w:val="000000"/>
          <w:u w:val="single"/>
          <w:lang w:eastAsia="bg-BG"/>
        </w:rPr>
      </w:pPr>
    </w:p>
    <w:p w14:paraId="49744BB5" w14:textId="5F02E422"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Съобщаване на подозирани нежелани реакции</w:t>
      </w:r>
    </w:p>
    <w:p w14:paraId="67749AEF"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w:t>
      </w:r>
    </w:p>
    <w:p w14:paraId="6D31E1B3"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Изпълнителна агенция по лекарствата </w:t>
      </w:r>
    </w:p>
    <w:p w14:paraId="4FD57CCD"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ул.,Дамян Груев” №8 </w:t>
      </w:r>
    </w:p>
    <w:p w14:paraId="0D8944F6" w14:textId="2DAC8E22" w:rsidR="006D31AB" w:rsidRPr="006D31AB" w:rsidRDefault="006D31AB" w:rsidP="006D31AB">
      <w:pPr>
        <w:spacing w:line="240" w:lineRule="auto"/>
        <w:rPr>
          <w:rFonts w:eastAsia="Times New Roman" w:cs="Arial"/>
        </w:rPr>
      </w:pPr>
      <w:r w:rsidRPr="006D31AB">
        <w:rPr>
          <w:rFonts w:eastAsia="Times New Roman" w:cs="Arial"/>
          <w:color w:val="000000"/>
          <w:lang w:eastAsia="bg-BG"/>
        </w:rPr>
        <w:t>1303 София</w:t>
      </w:r>
    </w:p>
    <w:p w14:paraId="41C8C8F7"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lastRenderedPageBreak/>
        <w:t xml:space="preserve">Тел.:+35 928903417 </w:t>
      </w:r>
    </w:p>
    <w:p w14:paraId="66273B8D" w14:textId="4C21A52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уебсайт: </w:t>
      </w:r>
      <w:r w:rsidRPr="006D31AB">
        <w:rPr>
          <w:rFonts w:eastAsia="Times New Roman" w:cs="Arial"/>
        </w:rPr>
        <w:fldChar w:fldCharType="begin"/>
      </w:r>
      <w:r w:rsidRPr="006D31AB">
        <w:rPr>
          <w:rFonts w:eastAsia="Times New Roman" w:cs="Arial"/>
        </w:rPr>
        <w:instrText xml:space="preserve"> HYPERLINK "http://www.bda.be" </w:instrText>
      </w:r>
      <w:r w:rsidRPr="006D31AB">
        <w:rPr>
          <w:rFonts w:eastAsia="Times New Roman" w:cs="Arial"/>
        </w:rPr>
        <w:fldChar w:fldCharType="separate"/>
      </w:r>
      <w:r w:rsidRPr="006D31AB">
        <w:rPr>
          <w:rFonts w:eastAsia="Times New Roman" w:cs="Arial"/>
          <w:color w:val="000000"/>
          <w:u w:val="single"/>
          <w:lang w:val="en-US"/>
        </w:rPr>
        <w:t>www</w:t>
      </w:r>
      <w:r w:rsidRPr="006D31AB">
        <w:rPr>
          <w:rFonts w:eastAsia="Times New Roman" w:cs="Arial"/>
          <w:color w:val="000000"/>
          <w:u w:val="single"/>
          <w:lang w:val="ru-RU"/>
        </w:rPr>
        <w:t>.</w:t>
      </w:r>
      <w:proofErr w:type="spellStart"/>
      <w:r w:rsidRPr="006D31AB">
        <w:rPr>
          <w:rFonts w:eastAsia="Times New Roman" w:cs="Arial"/>
          <w:color w:val="000000"/>
          <w:u w:val="single"/>
          <w:lang w:val="en-US"/>
        </w:rPr>
        <w:t>bda</w:t>
      </w:r>
      <w:proofErr w:type="spellEnd"/>
      <w:r w:rsidRPr="006D31AB">
        <w:rPr>
          <w:rFonts w:eastAsia="Times New Roman" w:cs="Arial"/>
          <w:color w:val="000000"/>
          <w:u w:val="single"/>
          <w:lang w:val="ru-RU"/>
        </w:rPr>
        <w:t>.</w:t>
      </w:r>
      <w:proofErr w:type="spellStart"/>
      <w:r w:rsidRPr="006D31AB">
        <w:rPr>
          <w:rFonts w:eastAsia="Times New Roman" w:cs="Arial"/>
          <w:color w:val="000000"/>
          <w:u w:val="single"/>
          <w:lang w:val="en-US"/>
        </w:rPr>
        <w:t>b</w:t>
      </w:r>
      <w:r w:rsidRPr="006D31AB">
        <w:rPr>
          <w:rFonts w:eastAsia="Times New Roman" w:cs="Arial"/>
        </w:rPr>
        <w:fldChar w:fldCharType="end"/>
      </w:r>
      <w:r w:rsidRPr="006D31AB">
        <w:rPr>
          <w:rFonts w:eastAsia="Times New Roman" w:cs="Arial"/>
          <w:color w:val="000000"/>
          <w:u w:val="single"/>
          <w:lang w:val="en-US"/>
        </w:rPr>
        <w:t>g</w:t>
      </w:r>
      <w:proofErr w:type="spellEnd"/>
    </w:p>
    <w:p w14:paraId="36A2572B" w14:textId="77777777" w:rsidR="006D31AB" w:rsidRPr="00C1725D" w:rsidRDefault="006D31AB" w:rsidP="00C1725D"/>
    <w:p w14:paraId="5A87DBA3" w14:textId="4ED28DBC" w:rsidR="007122AD" w:rsidRDefault="002C50EE" w:rsidP="00936AD0">
      <w:pPr>
        <w:pStyle w:val="Heading2"/>
      </w:pPr>
      <w:r>
        <w:t>4.9. Предозиране</w:t>
      </w:r>
    </w:p>
    <w:p w14:paraId="7E94559C" w14:textId="1BA54C97" w:rsidR="006D31AB" w:rsidRDefault="006D31AB" w:rsidP="006D31AB"/>
    <w:p w14:paraId="2F780DB4" w14:textId="397A81C2" w:rsidR="006D31AB" w:rsidRPr="006D31AB" w:rsidRDefault="006D31AB" w:rsidP="006D31AB">
      <w:pPr>
        <w:rPr>
          <w:sz w:val="24"/>
          <w:szCs w:val="24"/>
        </w:rPr>
      </w:pPr>
      <w:r w:rsidRPr="006D31AB">
        <w:rPr>
          <w:lang w:eastAsia="bg-BG"/>
        </w:rPr>
        <w:t>В случай на предозиране, специфично лечение няма. При предозиране, пациентът трябва да се лекува симптоматично и да се започнат поддържащи мерки, според нуждите. Трябва да се следят чернодробната функция и нивата на СК. Малко е вероятно хемодиализата да бъде от полза.</w:t>
      </w:r>
    </w:p>
    <w:p w14:paraId="02081B24" w14:textId="36FE76F4" w:rsidR="00395555" w:rsidRPr="00395555" w:rsidRDefault="002C50EE" w:rsidP="008A6AF2">
      <w:pPr>
        <w:pStyle w:val="Heading1"/>
      </w:pPr>
      <w:r>
        <w:t>5. ФАРМАКОЛОГИЧНИ СВОЙСТВА</w:t>
      </w:r>
    </w:p>
    <w:p w14:paraId="6339E404" w14:textId="2BD0C2A6" w:rsidR="00875EEC" w:rsidRDefault="002C50EE" w:rsidP="005726E3">
      <w:pPr>
        <w:pStyle w:val="Heading2"/>
      </w:pPr>
      <w:r>
        <w:t>5.1. Фармакодинамични свойства</w:t>
      </w:r>
    </w:p>
    <w:p w14:paraId="02C8259D" w14:textId="53579A34" w:rsidR="006D31AB" w:rsidRDefault="006D31AB" w:rsidP="006D31AB"/>
    <w:p w14:paraId="32BA2C08" w14:textId="77777777"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Фармакотерапевтична група: </w:t>
      </w:r>
      <w:r w:rsidRPr="006D31AB">
        <w:rPr>
          <w:rFonts w:eastAsia="Times New Roman" w:cs="Arial"/>
          <w:color w:val="000000"/>
          <w:lang w:eastAsia="bg-BG"/>
        </w:rPr>
        <w:t xml:space="preserve">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 xml:space="preserve">редуктазата </w:t>
      </w:r>
      <w:r w:rsidRPr="006D31AB">
        <w:rPr>
          <w:rFonts w:eastAsia="Times New Roman" w:cs="Arial"/>
          <w:i/>
          <w:iCs/>
          <w:color w:val="000000"/>
          <w:lang w:eastAsia="bg-BG"/>
        </w:rPr>
        <w:t>АТС код: С10А А07</w:t>
      </w:r>
    </w:p>
    <w:p w14:paraId="2AFF9AF5" w14:textId="77777777" w:rsidR="006D31AB" w:rsidRDefault="006D31AB" w:rsidP="006D31AB">
      <w:pPr>
        <w:spacing w:line="240" w:lineRule="auto"/>
        <w:rPr>
          <w:rFonts w:eastAsia="Times New Roman" w:cs="Arial"/>
          <w:b/>
          <w:bCs/>
          <w:color w:val="000000"/>
          <w:lang w:eastAsia="bg-BG"/>
        </w:rPr>
      </w:pPr>
    </w:p>
    <w:p w14:paraId="2B38066D" w14:textId="208BB731" w:rsidR="006D31AB" w:rsidRPr="006D31AB" w:rsidRDefault="006D31AB" w:rsidP="006D31AB">
      <w:pPr>
        <w:spacing w:line="240" w:lineRule="auto"/>
        <w:rPr>
          <w:rFonts w:eastAsia="Times New Roman" w:cs="Arial"/>
          <w:b/>
          <w:bCs/>
          <w:color w:val="000000"/>
          <w:lang w:eastAsia="bg-BG"/>
        </w:rPr>
      </w:pPr>
      <w:r w:rsidRPr="006D31AB">
        <w:rPr>
          <w:rFonts w:eastAsia="Times New Roman" w:cs="Arial"/>
          <w:b/>
          <w:bCs/>
          <w:color w:val="000000"/>
          <w:lang w:eastAsia="bg-BG"/>
        </w:rPr>
        <w:t>Механизъм на действие</w:t>
      </w:r>
    </w:p>
    <w:p w14:paraId="1F5B3D1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селективен и конкурентен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скорост- ограничаващият ензим, който превръща 3-хидрокси-3-метилглутарил коензим А в мевалонат, прекурсор на холестерола. Основното място на действие на розувастатина е черния дроб, прицелният орган за намаляване нивото на холестерола.</w:t>
      </w:r>
    </w:p>
    <w:p w14:paraId="0A429B3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увеличава броя на чернодробните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рецептори върху клетъчната повърхност, като засилва залавянето и катаболизма на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и инхибира чернодробната синтеза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като по този начин намалява общия брой на </w:t>
      </w:r>
      <w:r w:rsidRPr="006D31AB">
        <w:rPr>
          <w:rFonts w:eastAsia="Times New Roman" w:cs="Arial"/>
          <w:color w:val="000000"/>
          <w:lang w:val="en-US"/>
        </w:rPr>
        <w:t>VLDL</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частици.</w:t>
      </w:r>
    </w:p>
    <w:p w14:paraId="2C833F34" w14:textId="77777777" w:rsidR="006D31AB" w:rsidRDefault="006D31AB" w:rsidP="006D31AB">
      <w:pPr>
        <w:spacing w:line="240" w:lineRule="auto"/>
        <w:rPr>
          <w:rFonts w:eastAsia="Times New Roman" w:cs="Arial"/>
          <w:b/>
          <w:bCs/>
          <w:color w:val="000000"/>
          <w:lang w:eastAsia="bg-BG"/>
        </w:rPr>
      </w:pPr>
    </w:p>
    <w:p w14:paraId="3849E90C" w14:textId="1BD098D1"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Фармакодинамични ефекти</w:t>
      </w:r>
    </w:p>
    <w:p w14:paraId="067E373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намалява повишения </w:t>
      </w:r>
      <w:r w:rsidRPr="006D31AB">
        <w:rPr>
          <w:rFonts w:eastAsia="Times New Roman" w:cs="Arial"/>
          <w:color w:val="000000"/>
          <w:lang w:val="en-US"/>
        </w:rPr>
        <w:t>LDL</w:t>
      </w:r>
      <w:r w:rsidRPr="006D31AB">
        <w:rPr>
          <w:rFonts w:eastAsia="Times New Roman" w:cs="Arial"/>
          <w:color w:val="000000"/>
          <w:lang w:eastAsia="bg-BG"/>
        </w:rPr>
        <w:t xml:space="preserve">-холестерол, общия холестерол и триглицеридите, </w:t>
      </w:r>
      <w:r w:rsidRPr="006D31AB">
        <w:rPr>
          <w:rFonts w:eastAsia="Times New Roman" w:cs="Arial"/>
          <w:i/>
          <w:iCs/>
          <w:color w:val="000000"/>
          <w:lang w:eastAsia="bg-BG"/>
        </w:rPr>
        <w:t xml:space="preserve">и </w:t>
      </w:r>
      <w:r w:rsidRPr="006D31AB">
        <w:rPr>
          <w:rFonts w:eastAsia="Times New Roman" w:cs="Arial"/>
          <w:color w:val="000000"/>
          <w:lang w:eastAsia="bg-BG"/>
        </w:rPr>
        <w:t xml:space="preserve">повишава </w:t>
      </w:r>
      <w:r w:rsidRPr="006D31AB">
        <w:rPr>
          <w:rFonts w:eastAsia="Times New Roman" w:cs="Arial"/>
          <w:color w:val="000000"/>
          <w:lang w:val="en-US"/>
        </w:rPr>
        <w:t>HDL</w:t>
      </w:r>
      <w:r w:rsidRPr="006D31AB">
        <w:rPr>
          <w:rFonts w:eastAsia="Times New Roman" w:cs="Arial"/>
          <w:color w:val="000000"/>
          <w:lang w:eastAsia="bg-BG"/>
        </w:rPr>
        <w:t xml:space="preserve">-холестерола. Той също понижава АроВ, поп </w:t>
      </w:r>
      <w:r w:rsidRPr="006D31AB">
        <w:rPr>
          <w:rFonts w:eastAsia="Times New Roman" w:cs="Arial"/>
          <w:color w:val="000000"/>
          <w:lang w:val="en-US"/>
        </w:rPr>
        <w:t>HDL</w:t>
      </w:r>
      <w:r w:rsidRPr="006D31AB">
        <w:rPr>
          <w:rFonts w:eastAsia="Times New Roman" w:cs="Arial"/>
          <w:color w:val="000000"/>
          <w:lang w:eastAsia="bg-BG"/>
        </w:rPr>
        <w:t xml:space="preserve">-холестерола, </w:t>
      </w:r>
      <w:r w:rsidRPr="006D31AB">
        <w:rPr>
          <w:rFonts w:eastAsia="Times New Roman" w:cs="Arial"/>
          <w:color w:val="000000"/>
          <w:lang w:val="en-US"/>
        </w:rPr>
        <w:t>VLDL</w:t>
      </w:r>
      <w:r w:rsidRPr="006D31AB">
        <w:rPr>
          <w:rFonts w:eastAsia="Times New Roman" w:cs="Arial"/>
          <w:color w:val="000000"/>
          <w:lang w:eastAsia="bg-BG"/>
        </w:rPr>
        <w:t xml:space="preserve">- холестерола, </w:t>
      </w:r>
      <w:r w:rsidRPr="006D31AB">
        <w:rPr>
          <w:rFonts w:eastAsia="Times New Roman" w:cs="Arial"/>
          <w:color w:val="000000"/>
          <w:lang w:val="en-US"/>
        </w:rPr>
        <w:t>VLDL</w:t>
      </w:r>
      <w:r w:rsidRPr="006D31AB">
        <w:rPr>
          <w:rFonts w:eastAsia="Times New Roman" w:cs="Arial"/>
          <w:color w:val="000000"/>
          <w:lang w:eastAsia="bg-BG"/>
        </w:rPr>
        <w:t>-триглицеридите и увеличава 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 xml:space="preserve"> </w:t>
      </w:r>
      <w:r w:rsidRPr="006D31AB">
        <w:rPr>
          <w:rFonts w:eastAsia="Times New Roman" w:cs="Arial"/>
          <w:color w:val="000000"/>
          <w:lang w:eastAsia="bg-BG"/>
        </w:rPr>
        <w:t xml:space="preserve">(вж. таблица 3). Розувастатин също понижава и съотношението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 холестерол</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non</w:t>
      </w:r>
      <w:r w:rsidRPr="006D31AB">
        <w:rPr>
          <w:rFonts w:eastAsia="Times New Roman" w:cs="Arial"/>
          <w:color w:val="000000"/>
          <w:lang w:val="ru-RU"/>
        </w:rPr>
        <w:t xml:space="preserve">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и АроВ/АроА</w:t>
      </w:r>
      <w:r w:rsidRPr="006D31AB">
        <w:rPr>
          <w:rFonts w:eastAsia="Times New Roman" w:cs="Arial"/>
          <w:color w:val="000000"/>
          <w:lang w:val="ru-RU"/>
        </w:rPr>
        <w:t>-</w:t>
      </w:r>
      <w:r w:rsidRPr="006D31AB">
        <w:rPr>
          <w:rFonts w:eastAsia="Times New Roman" w:cs="Arial"/>
          <w:color w:val="000000"/>
          <w:lang w:val="en-US"/>
        </w:rPr>
        <w:t>I</w:t>
      </w:r>
      <w:r w:rsidRPr="006D31AB">
        <w:rPr>
          <w:rFonts w:eastAsia="Times New Roman" w:cs="Arial"/>
          <w:color w:val="000000"/>
          <w:lang w:val="ru-RU"/>
        </w:rPr>
        <w:t>.</w:t>
      </w:r>
      <w:r w:rsidRPr="006D31AB">
        <w:rPr>
          <w:rFonts w:eastAsia="Times New Roman" w:cs="Arial"/>
          <w:color w:val="000000"/>
          <w:lang w:val="ru-RU"/>
        </w:rPr>
        <w:tab/>
      </w:r>
      <w:r w:rsidRPr="006D31AB">
        <w:rPr>
          <w:rFonts w:eastAsia="Times New Roman" w:cs="Arial"/>
          <w:color w:val="000000"/>
          <w:lang w:eastAsia="bg-BG"/>
        </w:rPr>
        <w:t>.</w:t>
      </w:r>
    </w:p>
    <w:p w14:paraId="347A8F72" w14:textId="77777777" w:rsidR="006D31AB" w:rsidRDefault="006D31AB" w:rsidP="006D31AB">
      <w:pPr>
        <w:spacing w:line="240" w:lineRule="auto"/>
        <w:rPr>
          <w:rFonts w:eastAsia="Times New Roman" w:cs="Arial"/>
          <w:b/>
          <w:bCs/>
          <w:color w:val="000000"/>
          <w:lang w:eastAsia="bg-BG"/>
        </w:rPr>
      </w:pPr>
    </w:p>
    <w:p w14:paraId="331837BB" w14:textId="2AE87FC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 xml:space="preserve">Таблица 3 Отговор на дозата при пациенти с първична хиперхолестеролемия (тип </w:t>
      </w:r>
      <w:proofErr w:type="spellStart"/>
      <w:r w:rsidRPr="006D31AB">
        <w:rPr>
          <w:rFonts w:eastAsia="Times New Roman" w:cs="Arial"/>
          <w:b/>
          <w:bCs/>
          <w:color w:val="000000"/>
          <w:lang w:val="en-US"/>
        </w:rPr>
        <w:t>IIa</w:t>
      </w:r>
      <w:proofErr w:type="spellEnd"/>
      <w:r w:rsidRPr="006D31AB">
        <w:rPr>
          <w:rFonts w:eastAsia="Times New Roman" w:cs="Arial"/>
          <w:b/>
          <w:bCs/>
          <w:color w:val="000000"/>
          <w:lang w:val="ru-RU"/>
        </w:rPr>
        <w:t xml:space="preserve"> </w:t>
      </w:r>
      <w:r w:rsidRPr="006D31AB">
        <w:rPr>
          <w:rFonts w:eastAsia="Times New Roman" w:cs="Arial"/>
          <w:b/>
          <w:bCs/>
          <w:color w:val="000000"/>
          <w:lang w:eastAsia="bg-BG"/>
        </w:rPr>
        <w:t xml:space="preserve">и </w:t>
      </w:r>
      <w:proofErr w:type="spellStart"/>
      <w:r w:rsidRPr="006D31AB">
        <w:rPr>
          <w:rFonts w:eastAsia="Times New Roman" w:cs="Arial"/>
          <w:b/>
          <w:bCs/>
          <w:color w:val="000000"/>
          <w:lang w:val="en-US"/>
        </w:rPr>
        <w:t>IIb</w:t>
      </w:r>
      <w:proofErr w:type="spellEnd"/>
      <w:r w:rsidRPr="006D31AB">
        <w:rPr>
          <w:rFonts w:eastAsia="Times New Roman" w:cs="Arial"/>
          <w:b/>
          <w:bCs/>
          <w:color w:val="000000"/>
          <w:lang w:eastAsia="bg-BG"/>
        </w:rPr>
        <w:t>) (коригиран среден процент на промяна спрямо изходното ниво):</w:t>
      </w:r>
    </w:p>
    <w:tbl>
      <w:tblPr>
        <w:tblStyle w:val="TableGrid"/>
        <w:tblW w:w="0" w:type="auto"/>
        <w:tblLook w:val="04A0" w:firstRow="1" w:lastRow="0" w:firstColumn="1" w:lastColumn="0" w:noHBand="0" w:noVBand="1"/>
      </w:tblPr>
      <w:tblGrid>
        <w:gridCol w:w="1117"/>
        <w:gridCol w:w="993"/>
        <w:gridCol w:w="1021"/>
        <w:gridCol w:w="999"/>
        <w:gridCol w:w="1024"/>
        <w:gridCol w:w="1000"/>
        <w:gridCol w:w="1133"/>
        <w:gridCol w:w="1027"/>
        <w:gridCol w:w="1036"/>
      </w:tblGrid>
      <w:tr w:rsidR="006D31AB" w14:paraId="5950CA30" w14:textId="77777777" w:rsidTr="006D31AB">
        <w:tc>
          <w:tcPr>
            <w:tcW w:w="1117" w:type="dxa"/>
          </w:tcPr>
          <w:p w14:paraId="66F0BC2A" w14:textId="3A3725BD" w:rsidR="006D31AB" w:rsidRPr="006D31AB" w:rsidRDefault="006D31AB" w:rsidP="006D31AB">
            <w:pPr>
              <w:rPr>
                <w:rFonts w:cs="Arial"/>
              </w:rPr>
            </w:pPr>
            <w:r w:rsidRPr="006D31AB">
              <w:rPr>
                <w:rFonts w:cs="Arial"/>
                <w:i/>
                <w:iCs/>
                <w:lang w:eastAsia="bg-BG"/>
              </w:rPr>
              <w:t>Доза</w:t>
            </w:r>
          </w:p>
        </w:tc>
        <w:tc>
          <w:tcPr>
            <w:tcW w:w="1039" w:type="dxa"/>
          </w:tcPr>
          <w:p w14:paraId="3C6F9750" w14:textId="70AF95EE" w:rsidR="006D31AB" w:rsidRPr="006D31AB" w:rsidRDefault="006D31AB" w:rsidP="006D31AB">
            <w:pPr>
              <w:rPr>
                <w:rFonts w:cs="Arial"/>
              </w:rPr>
            </w:pPr>
            <w:r w:rsidRPr="006D31AB">
              <w:rPr>
                <w:rFonts w:cs="Arial"/>
                <w:i/>
                <w:iCs/>
              </w:rPr>
              <w:t>N</w:t>
            </w:r>
          </w:p>
        </w:tc>
        <w:tc>
          <w:tcPr>
            <w:tcW w:w="1049" w:type="dxa"/>
          </w:tcPr>
          <w:p w14:paraId="200C9BCD" w14:textId="1B17B63D" w:rsidR="006D31AB" w:rsidRPr="006D31AB" w:rsidRDefault="006D31AB" w:rsidP="006D31AB">
            <w:pPr>
              <w:rPr>
                <w:rFonts w:cs="Arial"/>
              </w:rPr>
            </w:pPr>
            <w:r w:rsidRPr="006D31AB">
              <w:rPr>
                <w:rFonts w:cs="Arial"/>
                <w:i/>
                <w:iCs/>
              </w:rPr>
              <w:t>LDL-C</w:t>
            </w:r>
          </w:p>
        </w:tc>
        <w:tc>
          <w:tcPr>
            <w:tcW w:w="1041" w:type="dxa"/>
          </w:tcPr>
          <w:p w14:paraId="1EC1C2BE" w14:textId="77B6EF7D" w:rsidR="006D31AB" w:rsidRPr="006D31AB" w:rsidRDefault="006D31AB" w:rsidP="006D31AB">
            <w:pPr>
              <w:rPr>
                <w:rFonts w:cs="Arial"/>
              </w:rPr>
            </w:pPr>
            <w:r w:rsidRPr="006D31AB">
              <w:rPr>
                <w:rFonts w:cs="Arial"/>
                <w:i/>
                <w:iCs/>
              </w:rPr>
              <w:t>TC</w:t>
            </w:r>
          </w:p>
        </w:tc>
        <w:tc>
          <w:tcPr>
            <w:tcW w:w="1050" w:type="dxa"/>
          </w:tcPr>
          <w:p w14:paraId="0A58C081" w14:textId="400E8A7E" w:rsidR="006D31AB" w:rsidRPr="006D31AB" w:rsidRDefault="006D31AB" w:rsidP="006D31AB">
            <w:pPr>
              <w:rPr>
                <w:rFonts w:cs="Arial"/>
              </w:rPr>
            </w:pPr>
            <w:r w:rsidRPr="006D31AB">
              <w:rPr>
                <w:rFonts w:cs="Arial"/>
                <w:i/>
                <w:iCs/>
              </w:rPr>
              <w:t>HDL-C</w:t>
            </w:r>
          </w:p>
        </w:tc>
        <w:tc>
          <w:tcPr>
            <w:tcW w:w="1042" w:type="dxa"/>
          </w:tcPr>
          <w:p w14:paraId="09DDC14D" w14:textId="08E3D5D3" w:rsidR="006D31AB" w:rsidRPr="006D31AB" w:rsidRDefault="006D31AB" w:rsidP="006D31AB">
            <w:pPr>
              <w:rPr>
                <w:rFonts w:cs="Arial"/>
              </w:rPr>
            </w:pPr>
            <w:r w:rsidRPr="006D31AB">
              <w:rPr>
                <w:rFonts w:cs="Arial"/>
                <w:i/>
                <w:iCs/>
              </w:rPr>
              <w:t>TG</w:t>
            </w:r>
          </w:p>
        </w:tc>
        <w:tc>
          <w:tcPr>
            <w:tcW w:w="1133" w:type="dxa"/>
          </w:tcPr>
          <w:p w14:paraId="1B4D4F70" w14:textId="278EAF29" w:rsidR="006D31AB" w:rsidRPr="006D31AB" w:rsidRDefault="006D31AB" w:rsidP="006D31AB">
            <w:pPr>
              <w:rPr>
                <w:rFonts w:cs="Arial"/>
              </w:rPr>
            </w:pPr>
            <w:r w:rsidRPr="006D31AB">
              <w:rPr>
                <w:rFonts w:cs="Arial"/>
                <w:i/>
                <w:iCs/>
              </w:rPr>
              <w:t>NonHDL-C</w:t>
            </w:r>
          </w:p>
        </w:tc>
        <w:tc>
          <w:tcPr>
            <w:tcW w:w="1051" w:type="dxa"/>
          </w:tcPr>
          <w:p w14:paraId="7FED3275" w14:textId="27E27184" w:rsidR="006D31AB" w:rsidRPr="006D31AB" w:rsidRDefault="006D31AB" w:rsidP="006D31AB">
            <w:pPr>
              <w:rPr>
                <w:rFonts w:cs="Arial"/>
              </w:rPr>
            </w:pPr>
            <w:r w:rsidRPr="006D31AB">
              <w:rPr>
                <w:rFonts w:cs="Arial"/>
                <w:i/>
                <w:iCs/>
              </w:rPr>
              <w:t>ApoB</w:t>
            </w:r>
          </w:p>
        </w:tc>
        <w:tc>
          <w:tcPr>
            <w:tcW w:w="1054" w:type="dxa"/>
          </w:tcPr>
          <w:p w14:paraId="49B5AA3D" w14:textId="3529A294" w:rsidR="006D31AB" w:rsidRPr="006D31AB" w:rsidRDefault="006D31AB" w:rsidP="006D31AB">
            <w:pPr>
              <w:rPr>
                <w:rFonts w:cs="Arial"/>
              </w:rPr>
            </w:pPr>
            <w:r w:rsidRPr="006D31AB">
              <w:rPr>
                <w:rFonts w:cs="Arial"/>
                <w:i/>
                <w:iCs/>
              </w:rPr>
              <w:t>ApoA-I</w:t>
            </w:r>
          </w:p>
        </w:tc>
      </w:tr>
      <w:tr w:rsidR="006D31AB" w14:paraId="784C339D" w14:textId="77777777" w:rsidTr="006D31AB">
        <w:tc>
          <w:tcPr>
            <w:tcW w:w="1117" w:type="dxa"/>
          </w:tcPr>
          <w:p w14:paraId="0B698016" w14:textId="194EE880" w:rsidR="006D31AB" w:rsidRPr="006D31AB" w:rsidRDefault="006D31AB" w:rsidP="006D31AB">
            <w:pPr>
              <w:rPr>
                <w:rFonts w:cs="Arial"/>
              </w:rPr>
            </w:pPr>
            <w:r w:rsidRPr="006D31AB">
              <w:rPr>
                <w:rFonts w:cs="Arial"/>
                <w:i/>
                <w:iCs/>
                <w:lang w:eastAsia="bg-BG"/>
              </w:rPr>
              <w:t>Плацебо</w:t>
            </w:r>
          </w:p>
        </w:tc>
        <w:tc>
          <w:tcPr>
            <w:tcW w:w="1039" w:type="dxa"/>
          </w:tcPr>
          <w:p w14:paraId="69638E00" w14:textId="033A3D16" w:rsidR="006D31AB" w:rsidRPr="006D31AB" w:rsidRDefault="006D31AB" w:rsidP="006D31AB">
            <w:pPr>
              <w:rPr>
                <w:rFonts w:cs="Arial"/>
              </w:rPr>
            </w:pPr>
            <w:r w:rsidRPr="006D31AB">
              <w:rPr>
                <w:rFonts w:cs="Arial"/>
              </w:rPr>
              <w:t>13</w:t>
            </w:r>
          </w:p>
        </w:tc>
        <w:tc>
          <w:tcPr>
            <w:tcW w:w="1049" w:type="dxa"/>
          </w:tcPr>
          <w:p w14:paraId="2B4B972E" w14:textId="6C462C83" w:rsidR="006D31AB" w:rsidRPr="006D31AB" w:rsidRDefault="006D31AB" w:rsidP="006D31AB">
            <w:pPr>
              <w:rPr>
                <w:rFonts w:cs="Arial"/>
              </w:rPr>
            </w:pPr>
            <w:r w:rsidRPr="006D31AB">
              <w:rPr>
                <w:rFonts w:cs="Arial"/>
                <w:i/>
                <w:iCs/>
              </w:rPr>
              <w:t>-7</w:t>
            </w:r>
          </w:p>
        </w:tc>
        <w:tc>
          <w:tcPr>
            <w:tcW w:w="1041" w:type="dxa"/>
          </w:tcPr>
          <w:p w14:paraId="0DF378E2" w14:textId="77777777" w:rsidR="006D31AB" w:rsidRPr="006D31AB" w:rsidRDefault="006D31AB" w:rsidP="006D31AB">
            <w:pPr>
              <w:rPr>
                <w:rFonts w:cs="Arial"/>
              </w:rPr>
            </w:pPr>
          </w:p>
        </w:tc>
        <w:tc>
          <w:tcPr>
            <w:tcW w:w="1050" w:type="dxa"/>
          </w:tcPr>
          <w:p w14:paraId="50714048" w14:textId="5B268E48" w:rsidR="006D31AB" w:rsidRPr="006D31AB" w:rsidRDefault="006D31AB" w:rsidP="006D31AB">
            <w:pPr>
              <w:rPr>
                <w:rFonts w:cs="Arial"/>
              </w:rPr>
            </w:pPr>
            <w:r w:rsidRPr="006D31AB">
              <w:rPr>
                <w:rFonts w:cs="Arial"/>
                <w:i/>
                <w:iCs/>
              </w:rPr>
              <w:t>3</w:t>
            </w:r>
          </w:p>
        </w:tc>
        <w:tc>
          <w:tcPr>
            <w:tcW w:w="1042" w:type="dxa"/>
          </w:tcPr>
          <w:p w14:paraId="23BBDD41" w14:textId="712D5843" w:rsidR="006D31AB" w:rsidRPr="006D31AB" w:rsidRDefault="006D31AB" w:rsidP="006D31AB">
            <w:pPr>
              <w:rPr>
                <w:rFonts w:cs="Arial"/>
              </w:rPr>
            </w:pPr>
            <w:r w:rsidRPr="006D31AB">
              <w:rPr>
                <w:rFonts w:cs="Arial"/>
                <w:i/>
                <w:iCs/>
              </w:rPr>
              <w:t>-3</w:t>
            </w:r>
          </w:p>
        </w:tc>
        <w:tc>
          <w:tcPr>
            <w:tcW w:w="1133" w:type="dxa"/>
          </w:tcPr>
          <w:p w14:paraId="7923CAF2" w14:textId="73A0090F" w:rsidR="006D31AB" w:rsidRPr="006D31AB" w:rsidRDefault="006D31AB" w:rsidP="006D31AB">
            <w:pPr>
              <w:rPr>
                <w:rFonts w:cs="Arial"/>
              </w:rPr>
            </w:pPr>
            <w:r w:rsidRPr="006D31AB">
              <w:rPr>
                <w:rFonts w:cs="Arial"/>
                <w:i/>
                <w:iCs/>
              </w:rPr>
              <w:t>-7</w:t>
            </w:r>
          </w:p>
        </w:tc>
        <w:tc>
          <w:tcPr>
            <w:tcW w:w="1051" w:type="dxa"/>
          </w:tcPr>
          <w:p w14:paraId="6D2D98ED" w14:textId="5D887511" w:rsidR="006D31AB" w:rsidRPr="006D31AB" w:rsidRDefault="006D31AB" w:rsidP="006D31AB">
            <w:pPr>
              <w:rPr>
                <w:rFonts w:cs="Arial"/>
              </w:rPr>
            </w:pPr>
            <w:r w:rsidRPr="006D31AB">
              <w:rPr>
                <w:rFonts w:cs="Arial"/>
                <w:i/>
                <w:iCs/>
              </w:rPr>
              <w:t>-3</w:t>
            </w:r>
          </w:p>
        </w:tc>
        <w:tc>
          <w:tcPr>
            <w:tcW w:w="1054" w:type="dxa"/>
          </w:tcPr>
          <w:p w14:paraId="0950B569" w14:textId="56FFE750" w:rsidR="006D31AB" w:rsidRPr="006D31AB" w:rsidRDefault="006D31AB" w:rsidP="006D31AB">
            <w:pPr>
              <w:rPr>
                <w:rFonts w:cs="Arial"/>
              </w:rPr>
            </w:pPr>
            <w:r w:rsidRPr="006D31AB">
              <w:rPr>
                <w:rFonts w:cs="Arial"/>
                <w:i/>
                <w:iCs/>
              </w:rPr>
              <w:t>0</w:t>
            </w:r>
          </w:p>
        </w:tc>
      </w:tr>
      <w:tr w:rsidR="006D31AB" w14:paraId="617E2D18" w14:textId="77777777" w:rsidTr="006D31AB">
        <w:tc>
          <w:tcPr>
            <w:tcW w:w="1117" w:type="dxa"/>
          </w:tcPr>
          <w:p w14:paraId="1E651043" w14:textId="3259D59C" w:rsidR="006D31AB" w:rsidRPr="006D31AB" w:rsidRDefault="006D31AB" w:rsidP="006D31AB">
            <w:pPr>
              <w:rPr>
                <w:rFonts w:cs="Arial"/>
              </w:rPr>
            </w:pPr>
            <w:r w:rsidRPr="006D31AB">
              <w:rPr>
                <w:rFonts w:cs="Arial"/>
                <w:i/>
                <w:iCs/>
                <w:lang w:eastAsia="bg-BG"/>
              </w:rPr>
              <w:t xml:space="preserve">5 </w:t>
            </w:r>
            <w:r w:rsidRPr="006D31AB">
              <w:rPr>
                <w:rFonts w:cs="Arial"/>
                <w:i/>
                <w:iCs/>
              </w:rPr>
              <w:t>mg</w:t>
            </w:r>
          </w:p>
        </w:tc>
        <w:tc>
          <w:tcPr>
            <w:tcW w:w="1039" w:type="dxa"/>
          </w:tcPr>
          <w:p w14:paraId="262DA87E" w14:textId="3B648A94" w:rsidR="006D31AB" w:rsidRPr="006D31AB" w:rsidRDefault="006D31AB" w:rsidP="006D31AB">
            <w:pPr>
              <w:rPr>
                <w:rFonts w:cs="Arial"/>
              </w:rPr>
            </w:pPr>
            <w:r w:rsidRPr="006D31AB">
              <w:rPr>
                <w:rFonts w:cs="Arial"/>
                <w:i/>
                <w:iCs/>
              </w:rPr>
              <w:t>17</w:t>
            </w:r>
          </w:p>
        </w:tc>
        <w:tc>
          <w:tcPr>
            <w:tcW w:w="1049" w:type="dxa"/>
          </w:tcPr>
          <w:p w14:paraId="40A5AE8F" w14:textId="1B251F7E" w:rsidR="006D31AB" w:rsidRPr="006D31AB" w:rsidRDefault="006D31AB" w:rsidP="006D31AB">
            <w:pPr>
              <w:rPr>
                <w:rFonts w:cs="Arial"/>
              </w:rPr>
            </w:pPr>
            <w:r w:rsidRPr="006D31AB">
              <w:rPr>
                <w:rFonts w:cs="Arial"/>
                <w:i/>
                <w:iCs/>
              </w:rPr>
              <w:t>-45</w:t>
            </w:r>
          </w:p>
        </w:tc>
        <w:tc>
          <w:tcPr>
            <w:tcW w:w="1041" w:type="dxa"/>
          </w:tcPr>
          <w:p w14:paraId="2F26740D" w14:textId="7A35E270" w:rsidR="006D31AB" w:rsidRPr="006D31AB" w:rsidRDefault="006D31AB" w:rsidP="006D31AB">
            <w:pPr>
              <w:rPr>
                <w:rFonts w:cs="Arial"/>
              </w:rPr>
            </w:pPr>
            <w:r w:rsidRPr="006D31AB">
              <w:rPr>
                <w:rFonts w:cs="Arial"/>
                <w:i/>
                <w:iCs/>
              </w:rPr>
              <w:t>-33</w:t>
            </w:r>
          </w:p>
        </w:tc>
        <w:tc>
          <w:tcPr>
            <w:tcW w:w="1050" w:type="dxa"/>
          </w:tcPr>
          <w:p w14:paraId="713ED0DD" w14:textId="003CCF56" w:rsidR="006D31AB" w:rsidRPr="006D31AB" w:rsidRDefault="006D31AB" w:rsidP="006D31AB">
            <w:pPr>
              <w:rPr>
                <w:rFonts w:cs="Arial"/>
              </w:rPr>
            </w:pPr>
            <w:r w:rsidRPr="006D31AB">
              <w:rPr>
                <w:rFonts w:cs="Arial"/>
                <w:i/>
                <w:iCs/>
              </w:rPr>
              <w:t>13</w:t>
            </w:r>
          </w:p>
        </w:tc>
        <w:tc>
          <w:tcPr>
            <w:tcW w:w="1042" w:type="dxa"/>
          </w:tcPr>
          <w:p w14:paraId="11DFACB1" w14:textId="37EAD868" w:rsidR="006D31AB" w:rsidRPr="006D31AB" w:rsidRDefault="006D31AB" w:rsidP="006D31AB">
            <w:pPr>
              <w:rPr>
                <w:rFonts w:cs="Arial"/>
              </w:rPr>
            </w:pPr>
            <w:r w:rsidRPr="006D31AB">
              <w:rPr>
                <w:rFonts w:cs="Arial"/>
                <w:i/>
                <w:iCs/>
              </w:rPr>
              <w:t>-35</w:t>
            </w:r>
          </w:p>
        </w:tc>
        <w:tc>
          <w:tcPr>
            <w:tcW w:w="1133" w:type="dxa"/>
          </w:tcPr>
          <w:p w14:paraId="4CF0C643" w14:textId="477CD02B" w:rsidR="006D31AB" w:rsidRPr="006D31AB" w:rsidRDefault="006D31AB" w:rsidP="006D31AB">
            <w:pPr>
              <w:rPr>
                <w:rFonts w:cs="Arial"/>
              </w:rPr>
            </w:pPr>
            <w:r w:rsidRPr="006D31AB">
              <w:rPr>
                <w:rFonts w:cs="Arial"/>
                <w:i/>
                <w:iCs/>
              </w:rPr>
              <w:t>-44</w:t>
            </w:r>
          </w:p>
        </w:tc>
        <w:tc>
          <w:tcPr>
            <w:tcW w:w="1051" w:type="dxa"/>
          </w:tcPr>
          <w:p w14:paraId="4BF2C883" w14:textId="1A4AE74D" w:rsidR="006D31AB" w:rsidRPr="006D31AB" w:rsidRDefault="006D31AB" w:rsidP="006D31AB">
            <w:pPr>
              <w:rPr>
                <w:rFonts w:cs="Arial"/>
              </w:rPr>
            </w:pPr>
            <w:r w:rsidRPr="006D31AB">
              <w:rPr>
                <w:rFonts w:cs="Arial"/>
                <w:i/>
                <w:iCs/>
              </w:rPr>
              <w:t>-38</w:t>
            </w:r>
          </w:p>
        </w:tc>
        <w:tc>
          <w:tcPr>
            <w:tcW w:w="1054" w:type="dxa"/>
          </w:tcPr>
          <w:p w14:paraId="3C033111" w14:textId="46983B1B" w:rsidR="006D31AB" w:rsidRPr="006D31AB" w:rsidRDefault="006D31AB" w:rsidP="006D31AB">
            <w:pPr>
              <w:rPr>
                <w:rFonts w:cs="Arial"/>
              </w:rPr>
            </w:pPr>
            <w:r w:rsidRPr="006D31AB">
              <w:rPr>
                <w:rFonts w:cs="Arial"/>
                <w:i/>
                <w:iCs/>
              </w:rPr>
              <w:t>4</w:t>
            </w:r>
          </w:p>
        </w:tc>
      </w:tr>
      <w:tr w:rsidR="006D31AB" w14:paraId="1FA0F5E3" w14:textId="77777777" w:rsidTr="006D31AB">
        <w:tc>
          <w:tcPr>
            <w:tcW w:w="1117" w:type="dxa"/>
          </w:tcPr>
          <w:p w14:paraId="4094DC58" w14:textId="5920553F" w:rsidR="006D31AB" w:rsidRPr="006D31AB" w:rsidRDefault="006D31AB" w:rsidP="006D31AB">
            <w:pPr>
              <w:rPr>
                <w:rFonts w:cs="Arial"/>
              </w:rPr>
            </w:pPr>
            <w:r w:rsidRPr="006D31AB">
              <w:rPr>
                <w:rFonts w:cs="Arial"/>
                <w:i/>
                <w:iCs/>
                <w:lang w:eastAsia="bg-BG"/>
              </w:rPr>
              <w:t xml:space="preserve">10 </w:t>
            </w:r>
            <w:r w:rsidRPr="006D31AB">
              <w:rPr>
                <w:rFonts w:cs="Arial"/>
                <w:i/>
                <w:iCs/>
              </w:rPr>
              <w:t>mg</w:t>
            </w:r>
          </w:p>
        </w:tc>
        <w:tc>
          <w:tcPr>
            <w:tcW w:w="1039" w:type="dxa"/>
          </w:tcPr>
          <w:p w14:paraId="29D5E1A7" w14:textId="487334F1" w:rsidR="006D31AB" w:rsidRPr="006D31AB" w:rsidRDefault="006D31AB" w:rsidP="006D31AB">
            <w:pPr>
              <w:rPr>
                <w:rFonts w:cs="Arial"/>
              </w:rPr>
            </w:pPr>
            <w:r w:rsidRPr="006D31AB">
              <w:rPr>
                <w:rFonts w:cs="Arial"/>
                <w:i/>
                <w:iCs/>
              </w:rPr>
              <w:t>17</w:t>
            </w:r>
          </w:p>
        </w:tc>
        <w:tc>
          <w:tcPr>
            <w:tcW w:w="1049" w:type="dxa"/>
          </w:tcPr>
          <w:p w14:paraId="0D3E9AAA" w14:textId="06C2E057" w:rsidR="006D31AB" w:rsidRPr="006D31AB" w:rsidRDefault="006D31AB" w:rsidP="006D31AB">
            <w:pPr>
              <w:rPr>
                <w:rFonts w:cs="Arial"/>
              </w:rPr>
            </w:pPr>
            <w:r w:rsidRPr="006D31AB">
              <w:rPr>
                <w:rFonts w:cs="Arial"/>
                <w:i/>
                <w:iCs/>
              </w:rPr>
              <w:t>-52</w:t>
            </w:r>
          </w:p>
        </w:tc>
        <w:tc>
          <w:tcPr>
            <w:tcW w:w="1041" w:type="dxa"/>
          </w:tcPr>
          <w:p w14:paraId="35C01AD0" w14:textId="7D251476" w:rsidR="006D31AB" w:rsidRPr="006D31AB" w:rsidRDefault="006D31AB" w:rsidP="006D31AB">
            <w:pPr>
              <w:rPr>
                <w:rFonts w:cs="Arial"/>
              </w:rPr>
            </w:pPr>
            <w:r w:rsidRPr="006D31AB">
              <w:rPr>
                <w:rFonts w:cs="Arial"/>
                <w:i/>
                <w:iCs/>
              </w:rPr>
              <w:t>-36</w:t>
            </w:r>
          </w:p>
        </w:tc>
        <w:tc>
          <w:tcPr>
            <w:tcW w:w="1050" w:type="dxa"/>
          </w:tcPr>
          <w:p w14:paraId="25D17A1A" w14:textId="128EEF2D" w:rsidR="006D31AB" w:rsidRPr="006D31AB" w:rsidRDefault="006D31AB" w:rsidP="006D31AB">
            <w:pPr>
              <w:rPr>
                <w:rFonts w:cs="Arial"/>
              </w:rPr>
            </w:pPr>
            <w:r w:rsidRPr="006D31AB">
              <w:rPr>
                <w:rFonts w:cs="Arial"/>
                <w:i/>
                <w:iCs/>
              </w:rPr>
              <w:t>14</w:t>
            </w:r>
          </w:p>
        </w:tc>
        <w:tc>
          <w:tcPr>
            <w:tcW w:w="1042" w:type="dxa"/>
          </w:tcPr>
          <w:p w14:paraId="7045F76E" w14:textId="107A5204" w:rsidR="006D31AB" w:rsidRPr="006D31AB" w:rsidRDefault="006D31AB" w:rsidP="006D31AB">
            <w:pPr>
              <w:rPr>
                <w:rFonts w:cs="Arial"/>
              </w:rPr>
            </w:pPr>
            <w:r w:rsidRPr="006D31AB">
              <w:rPr>
                <w:rFonts w:cs="Arial"/>
                <w:i/>
                <w:iCs/>
              </w:rPr>
              <w:t>-10</w:t>
            </w:r>
          </w:p>
        </w:tc>
        <w:tc>
          <w:tcPr>
            <w:tcW w:w="1133" w:type="dxa"/>
          </w:tcPr>
          <w:p w14:paraId="47323BCF" w14:textId="3FA90D90" w:rsidR="006D31AB" w:rsidRPr="006D31AB" w:rsidRDefault="006D31AB" w:rsidP="006D31AB">
            <w:pPr>
              <w:rPr>
                <w:rFonts w:cs="Arial"/>
              </w:rPr>
            </w:pPr>
            <w:r w:rsidRPr="006D31AB">
              <w:rPr>
                <w:rFonts w:cs="Arial"/>
                <w:i/>
                <w:iCs/>
              </w:rPr>
              <w:t>-48</w:t>
            </w:r>
          </w:p>
        </w:tc>
        <w:tc>
          <w:tcPr>
            <w:tcW w:w="1051" w:type="dxa"/>
          </w:tcPr>
          <w:p w14:paraId="6D2D4FFC" w14:textId="537A2A4C" w:rsidR="006D31AB" w:rsidRPr="006D31AB" w:rsidRDefault="006D31AB" w:rsidP="006D31AB">
            <w:pPr>
              <w:rPr>
                <w:rFonts w:cs="Arial"/>
              </w:rPr>
            </w:pPr>
            <w:r w:rsidRPr="006D31AB">
              <w:rPr>
                <w:rFonts w:cs="Arial"/>
                <w:i/>
                <w:iCs/>
              </w:rPr>
              <w:t>-42</w:t>
            </w:r>
          </w:p>
        </w:tc>
        <w:tc>
          <w:tcPr>
            <w:tcW w:w="1054" w:type="dxa"/>
          </w:tcPr>
          <w:p w14:paraId="7E6263F0" w14:textId="10B58F69" w:rsidR="006D31AB" w:rsidRPr="006D31AB" w:rsidRDefault="006D31AB" w:rsidP="006D31AB">
            <w:pPr>
              <w:rPr>
                <w:rFonts w:cs="Arial"/>
              </w:rPr>
            </w:pPr>
            <w:r w:rsidRPr="006D31AB">
              <w:rPr>
                <w:rFonts w:cs="Arial"/>
                <w:i/>
                <w:iCs/>
              </w:rPr>
              <w:t>4</w:t>
            </w:r>
          </w:p>
        </w:tc>
      </w:tr>
      <w:tr w:rsidR="006D31AB" w14:paraId="179E52D5" w14:textId="77777777" w:rsidTr="006D31AB">
        <w:tc>
          <w:tcPr>
            <w:tcW w:w="1117" w:type="dxa"/>
          </w:tcPr>
          <w:p w14:paraId="7D05B724" w14:textId="204B74E8" w:rsidR="006D31AB" w:rsidRPr="006D31AB" w:rsidRDefault="006D31AB" w:rsidP="006D31AB">
            <w:pPr>
              <w:rPr>
                <w:rFonts w:cs="Arial"/>
              </w:rPr>
            </w:pPr>
            <w:r w:rsidRPr="006D31AB">
              <w:rPr>
                <w:rFonts w:cs="Arial"/>
                <w:i/>
                <w:iCs/>
                <w:lang w:eastAsia="bg-BG"/>
              </w:rPr>
              <w:t xml:space="preserve">20 </w:t>
            </w:r>
            <w:r w:rsidRPr="006D31AB">
              <w:rPr>
                <w:rFonts w:cs="Arial"/>
                <w:i/>
                <w:iCs/>
              </w:rPr>
              <w:t>mg</w:t>
            </w:r>
          </w:p>
        </w:tc>
        <w:tc>
          <w:tcPr>
            <w:tcW w:w="1039" w:type="dxa"/>
          </w:tcPr>
          <w:p w14:paraId="5F4FCA53" w14:textId="09D09FE2" w:rsidR="006D31AB" w:rsidRPr="006D31AB" w:rsidRDefault="006D31AB" w:rsidP="006D31AB">
            <w:pPr>
              <w:rPr>
                <w:rFonts w:cs="Arial"/>
              </w:rPr>
            </w:pPr>
            <w:r w:rsidRPr="006D31AB">
              <w:rPr>
                <w:rFonts w:cs="Arial"/>
                <w:i/>
                <w:iCs/>
              </w:rPr>
              <w:t>17</w:t>
            </w:r>
          </w:p>
        </w:tc>
        <w:tc>
          <w:tcPr>
            <w:tcW w:w="1049" w:type="dxa"/>
          </w:tcPr>
          <w:p w14:paraId="1311C1E0" w14:textId="23924C0A" w:rsidR="006D31AB" w:rsidRPr="006D31AB" w:rsidRDefault="006D31AB" w:rsidP="006D31AB">
            <w:pPr>
              <w:rPr>
                <w:rFonts w:cs="Arial"/>
              </w:rPr>
            </w:pPr>
            <w:r w:rsidRPr="006D31AB">
              <w:rPr>
                <w:rFonts w:cs="Arial"/>
                <w:i/>
                <w:iCs/>
              </w:rPr>
              <w:t>-55</w:t>
            </w:r>
          </w:p>
        </w:tc>
        <w:tc>
          <w:tcPr>
            <w:tcW w:w="1041" w:type="dxa"/>
          </w:tcPr>
          <w:p w14:paraId="2B475B2F" w14:textId="3E7BD22E" w:rsidR="006D31AB" w:rsidRPr="006D31AB" w:rsidRDefault="006D31AB" w:rsidP="006D31AB">
            <w:pPr>
              <w:rPr>
                <w:rFonts w:cs="Arial"/>
              </w:rPr>
            </w:pPr>
            <w:r w:rsidRPr="006D31AB">
              <w:rPr>
                <w:rFonts w:cs="Arial"/>
                <w:i/>
                <w:iCs/>
              </w:rPr>
              <w:t>-40</w:t>
            </w:r>
          </w:p>
        </w:tc>
        <w:tc>
          <w:tcPr>
            <w:tcW w:w="1050" w:type="dxa"/>
          </w:tcPr>
          <w:p w14:paraId="6B81E560" w14:textId="2F3B118B" w:rsidR="006D31AB" w:rsidRPr="006D31AB" w:rsidRDefault="006D31AB" w:rsidP="006D31AB">
            <w:pPr>
              <w:rPr>
                <w:rFonts w:cs="Arial"/>
              </w:rPr>
            </w:pPr>
            <w:r w:rsidRPr="006D31AB">
              <w:rPr>
                <w:rFonts w:cs="Arial"/>
                <w:i/>
                <w:iCs/>
              </w:rPr>
              <w:t>8</w:t>
            </w:r>
          </w:p>
        </w:tc>
        <w:tc>
          <w:tcPr>
            <w:tcW w:w="1042" w:type="dxa"/>
          </w:tcPr>
          <w:p w14:paraId="714982C4" w14:textId="081CCB61" w:rsidR="006D31AB" w:rsidRPr="006D31AB" w:rsidRDefault="006D31AB" w:rsidP="006D31AB">
            <w:pPr>
              <w:rPr>
                <w:rFonts w:cs="Arial"/>
              </w:rPr>
            </w:pPr>
            <w:r w:rsidRPr="006D31AB">
              <w:rPr>
                <w:rFonts w:cs="Arial"/>
                <w:i/>
                <w:iCs/>
              </w:rPr>
              <w:t>-23</w:t>
            </w:r>
          </w:p>
        </w:tc>
        <w:tc>
          <w:tcPr>
            <w:tcW w:w="1133" w:type="dxa"/>
          </w:tcPr>
          <w:p w14:paraId="2C2A92D0" w14:textId="53B2FF76" w:rsidR="006D31AB" w:rsidRPr="006D31AB" w:rsidRDefault="006D31AB" w:rsidP="006D31AB">
            <w:pPr>
              <w:rPr>
                <w:rFonts w:cs="Arial"/>
              </w:rPr>
            </w:pPr>
            <w:r w:rsidRPr="006D31AB">
              <w:rPr>
                <w:rFonts w:cs="Arial"/>
                <w:i/>
                <w:iCs/>
              </w:rPr>
              <w:t>-51</w:t>
            </w:r>
          </w:p>
        </w:tc>
        <w:tc>
          <w:tcPr>
            <w:tcW w:w="1051" w:type="dxa"/>
          </w:tcPr>
          <w:p w14:paraId="784F07E8" w14:textId="14FF26B0" w:rsidR="006D31AB" w:rsidRPr="006D31AB" w:rsidRDefault="006D31AB" w:rsidP="006D31AB">
            <w:pPr>
              <w:rPr>
                <w:rFonts w:cs="Arial"/>
              </w:rPr>
            </w:pPr>
            <w:r w:rsidRPr="006D31AB">
              <w:rPr>
                <w:rFonts w:cs="Arial"/>
                <w:i/>
                <w:iCs/>
              </w:rPr>
              <w:t>-46</w:t>
            </w:r>
          </w:p>
        </w:tc>
        <w:tc>
          <w:tcPr>
            <w:tcW w:w="1054" w:type="dxa"/>
          </w:tcPr>
          <w:p w14:paraId="0AEF4107" w14:textId="1B7BF918" w:rsidR="006D31AB" w:rsidRPr="006D31AB" w:rsidRDefault="006D31AB" w:rsidP="006D31AB">
            <w:pPr>
              <w:rPr>
                <w:rFonts w:cs="Arial"/>
              </w:rPr>
            </w:pPr>
            <w:r w:rsidRPr="006D31AB">
              <w:rPr>
                <w:rFonts w:cs="Arial"/>
                <w:i/>
                <w:iCs/>
              </w:rPr>
              <w:t>5</w:t>
            </w:r>
          </w:p>
        </w:tc>
      </w:tr>
      <w:tr w:rsidR="006D31AB" w14:paraId="5993E80D" w14:textId="77777777" w:rsidTr="006D31AB">
        <w:tc>
          <w:tcPr>
            <w:tcW w:w="1117" w:type="dxa"/>
          </w:tcPr>
          <w:p w14:paraId="2FDC6C14" w14:textId="7E0FC84F" w:rsidR="006D31AB" w:rsidRPr="006D31AB" w:rsidRDefault="006D31AB" w:rsidP="006D31AB">
            <w:pPr>
              <w:rPr>
                <w:rFonts w:cs="Arial"/>
              </w:rPr>
            </w:pPr>
            <w:r w:rsidRPr="006D31AB">
              <w:rPr>
                <w:rFonts w:cs="Arial"/>
                <w:i/>
                <w:iCs/>
                <w:lang w:eastAsia="bg-BG"/>
              </w:rPr>
              <w:t xml:space="preserve">40 </w:t>
            </w:r>
            <w:r w:rsidRPr="006D31AB">
              <w:rPr>
                <w:rFonts w:cs="Arial"/>
                <w:i/>
                <w:iCs/>
              </w:rPr>
              <w:t>mg</w:t>
            </w:r>
          </w:p>
        </w:tc>
        <w:tc>
          <w:tcPr>
            <w:tcW w:w="1039" w:type="dxa"/>
          </w:tcPr>
          <w:p w14:paraId="362B05AC" w14:textId="3E84808D" w:rsidR="006D31AB" w:rsidRPr="006D31AB" w:rsidRDefault="006D31AB" w:rsidP="006D31AB">
            <w:pPr>
              <w:rPr>
                <w:rFonts w:cs="Arial"/>
              </w:rPr>
            </w:pPr>
            <w:r w:rsidRPr="006D31AB">
              <w:rPr>
                <w:rFonts w:cs="Arial"/>
                <w:i/>
                <w:iCs/>
              </w:rPr>
              <w:t>18</w:t>
            </w:r>
          </w:p>
        </w:tc>
        <w:tc>
          <w:tcPr>
            <w:tcW w:w="1049" w:type="dxa"/>
          </w:tcPr>
          <w:p w14:paraId="2B855920" w14:textId="7C4472D1" w:rsidR="006D31AB" w:rsidRPr="006D31AB" w:rsidRDefault="006D31AB" w:rsidP="006D31AB">
            <w:pPr>
              <w:rPr>
                <w:rFonts w:cs="Arial"/>
              </w:rPr>
            </w:pPr>
            <w:r w:rsidRPr="006D31AB">
              <w:rPr>
                <w:rFonts w:cs="Arial"/>
                <w:i/>
                <w:iCs/>
              </w:rPr>
              <w:t>-63</w:t>
            </w:r>
          </w:p>
        </w:tc>
        <w:tc>
          <w:tcPr>
            <w:tcW w:w="1041" w:type="dxa"/>
          </w:tcPr>
          <w:p w14:paraId="35B8D899" w14:textId="68F5B4B5" w:rsidR="006D31AB" w:rsidRPr="006D31AB" w:rsidRDefault="006D31AB" w:rsidP="006D31AB">
            <w:pPr>
              <w:rPr>
                <w:rFonts w:cs="Arial"/>
              </w:rPr>
            </w:pPr>
            <w:r w:rsidRPr="006D31AB">
              <w:rPr>
                <w:rFonts w:cs="Arial"/>
                <w:i/>
                <w:iCs/>
              </w:rPr>
              <w:t>-46</w:t>
            </w:r>
          </w:p>
        </w:tc>
        <w:tc>
          <w:tcPr>
            <w:tcW w:w="1050" w:type="dxa"/>
          </w:tcPr>
          <w:p w14:paraId="0F5A335C" w14:textId="35227C77" w:rsidR="006D31AB" w:rsidRPr="006D31AB" w:rsidRDefault="006D31AB" w:rsidP="006D31AB">
            <w:pPr>
              <w:rPr>
                <w:rFonts w:cs="Arial"/>
              </w:rPr>
            </w:pPr>
            <w:r w:rsidRPr="006D31AB">
              <w:rPr>
                <w:rFonts w:cs="Arial"/>
                <w:i/>
                <w:iCs/>
              </w:rPr>
              <w:t>10</w:t>
            </w:r>
          </w:p>
        </w:tc>
        <w:tc>
          <w:tcPr>
            <w:tcW w:w="1042" w:type="dxa"/>
          </w:tcPr>
          <w:p w14:paraId="127118BB" w14:textId="070DAC9D" w:rsidR="006D31AB" w:rsidRPr="006D31AB" w:rsidRDefault="006D31AB" w:rsidP="006D31AB">
            <w:pPr>
              <w:rPr>
                <w:rFonts w:cs="Arial"/>
              </w:rPr>
            </w:pPr>
            <w:r w:rsidRPr="006D31AB">
              <w:rPr>
                <w:rFonts w:cs="Arial"/>
                <w:i/>
                <w:iCs/>
              </w:rPr>
              <w:t>-28</w:t>
            </w:r>
          </w:p>
        </w:tc>
        <w:tc>
          <w:tcPr>
            <w:tcW w:w="1133" w:type="dxa"/>
          </w:tcPr>
          <w:p w14:paraId="17CE7C47" w14:textId="32A3AC2C" w:rsidR="006D31AB" w:rsidRPr="006D31AB" w:rsidRDefault="006D31AB" w:rsidP="006D31AB">
            <w:pPr>
              <w:rPr>
                <w:rFonts w:cs="Arial"/>
              </w:rPr>
            </w:pPr>
            <w:r w:rsidRPr="006D31AB">
              <w:rPr>
                <w:rFonts w:cs="Arial"/>
                <w:i/>
                <w:iCs/>
              </w:rPr>
              <w:t>-60</w:t>
            </w:r>
          </w:p>
        </w:tc>
        <w:tc>
          <w:tcPr>
            <w:tcW w:w="1051" w:type="dxa"/>
          </w:tcPr>
          <w:p w14:paraId="67826810" w14:textId="4C10E31C" w:rsidR="006D31AB" w:rsidRPr="006D31AB" w:rsidRDefault="006D31AB" w:rsidP="006D31AB">
            <w:pPr>
              <w:rPr>
                <w:rFonts w:cs="Arial"/>
              </w:rPr>
            </w:pPr>
            <w:r w:rsidRPr="006D31AB">
              <w:rPr>
                <w:rFonts w:cs="Arial"/>
                <w:i/>
                <w:iCs/>
              </w:rPr>
              <w:t>-54</w:t>
            </w:r>
          </w:p>
        </w:tc>
        <w:tc>
          <w:tcPr>
            <w:tcW w:w="1054" w:type="dxa"/>
          </w:tcPr>
          <w:p w14:paraId="10DF1777" w14:textId="3EE57BD1" w:rsidR="006D31AB" w:rsidRPr="006D31AB" w:rsidRDefault="006D31AB" w:rsidP="006D31AB">
            <w:pPr>
              <w:rPr>
                <w:rFonts w:cs="Arial"/>
              </w:rPr>
            </w:pPr>
            <w:r w:rsidRPr="006D31AB">
              <w:rPr>
                <w:rFonts w:cs="Arial"/>
                <w:i/>
                <w:iCs/>
              </w:rPr>
              <w:t>0</w:t>
            </w:r>
          </w:p>
        </w:tc>
      </w:tr>
    </w:tbl>
    <w:p w14:paraId="4E2EED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Терапевтичният ефект се забелязва в рамките на 1 седмица от началото на лечението и 90% от максималния отговор се постига до 2 седмици. Максималният отговор обикновено се постига към 4-та седмица и след това се поддържа.</w:t>
      </w:r>
    </w:p>
    <w:p w14:paraId="34E207CF" w14:textId="77777777" w:rsidR="006D31AB" w:rsidRDefault="006D31AB" w:rsidP="006D31AB">
      <w:pPr>
        <w:spacing w:line="240" w:lineRule="auto"/>
        <w:rPr>
          <w:rFonts w:eastAsia="Times New Roman" w:cs="Arial"/>
          <w:b/>
          <w:bCs/>
          <w:color w:val="000000"/>
          <w:lang w:eastAsia="bg-BG"/>
        </w:rPr>
      </w:pPr>
    </w:p>
    <w:p w14:paraId="795D51D4" w14:textId="627B726F"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Клинична ефикасност и безопасност</w:t>
      </w:r>
    </w:p>
    <w:p w14:paraId="0C193704"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ефективен при възрастни, страдащи от хиперхолестеролемия със или без хипертриглицеридемия, независимо от расова принадлежност, пол или възраст, както и при специални групи като диабетици или пациенти с фамилна хиперхолестеролемия.</w:t>
      </w:r>
    </w:p>
    <w:p w14:paraId="1AB5D9AB" w14:textId="77777777" w:rsidR="006D31AB" w:rsidRDefault="006D31AB" w:rsidP="006D31AB">
      <w:pPr>
        <w:spacing w:line="240" w:lineRule="auto"/>
        <w:rPr>
          <w:rFonts w:eastAsia="Times New Roman" w:cs="Arial"/>
          <w:color w:val="000000"/>
          <w:lang w:eastAsia="bg-BG"/>
        </w:rPr>
      </w:pPr>
    </w:p>
    <w:p w14:paraId="16F4FEC3" w14:textId="4FDE3576"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Обобщените данни от клиничните проучвания от фаза III показват, че розувастатин е </w:t>
      </w:r>
    </w:p>
    <w:p w14:paraId="3E6057D0" w14:textId="1FD90011" w:rsidR="006D31AB" w:rsidRP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ефективен при лечение на голяма част от пациенти с тип </w:t>
      </w:r>
      <w:r w:rsidRPr="006D31AB">
        <w:rPr>
          <w:rFonts w:eastAsia="Times New Roman" w:cs="Arial"/>
          <w:color w:val="000000"/>
          <w:lang w:val="en-US"/>
        </w:rPr>
        <w:t>II</w:t>
      </w:r>
      <w:r w:rsidRPr="006D31AB">
        <w:rPr>
          <w:rFonts w:eastAsia="Times New Roman" w:cs="Arial"/>
          <w:color w:val="000000"/>
          <w:lang w:eastAsia="bg-BG"/>
        </w:rPr>
        <w:t xml:space="preserve">а или </w:t>
      </w:r>
      <w:proofErr w:type="spellStart"/>
      <w:r w:rsidRPr="006D31AB">
        <w:rPr>
          <w:rFonts w:eastAsia="Times New Roman" w:cs="Arial"/>
          <w:color w:val="000000"/>
          <w:lang w:val="en-US"/>
        </w:rPr>
        <w:t>IIb</w:t>
      </w:r>
      <w:proofErr w:type="spellEnd"/>
      <w:r w:rsidRPr="006D31AB">
        <w:rPr>
          <w:rFonts w:eastAsia="Times New Roman" w:cs="Arial"/>
          <w:color w:val="000000"/>
          <w:lang w:eastAsia="bg-BG"/>
        </w:rPr>
        <w:t xml:space="preserve"> хиперхолестеролемия (средна изходна стойност на </w:t>
      </w:r>
      <w:r w:rsidRPr="006D31AB">
        <w:rPr>
          <w:rFonts w:eastAsia="Times New Roman" w:cs="Arial"/>
          <w:color w:val="000000"/>
          <w:lang w:val="en-US"/>
        </w:rPr>
        <w:t>LDL</w:t>
      </w:r>
      <w:r w:rsidRPr="006D31AB">
        <w:rPr>
          <w:rFonts w:eastAsia="Times New Roman" w:cs="Arial"/>
          <w:color w:val="000000"/>
          <w:lang w:eastAsia="bg-BG"/>
        </w:rPr>
        <w:t xml:space="preserve">-холестерол - около </w:t>
      </w:r>
      <w:r w:rsidRPr="006D31AB">
        <w:rPr>
          <w:rFonts w:eastAsia="Times New Roman" w:cs="Arial"/>
          <w:color w:val="000000"/>
          <w:lang w:val="ru-RU"/>
        </w:rPr>
        <w:t>4,8</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определените от Европейското Дружество по Атеросклероза прицелни стойности </w:t>
      </w:r>
      <w:r w:rsidRPr="006D31AB">
        <w:rPr>
          <w:rFonts w:eastAsia="Times New Roman" w:cs="Arial"/>
          <w:color w:val="000000"/>
          <w:lang w:val="ru-RU"/>
        </w:rPr>
        <w:t>(</w:t>
      </w:r>
      <w:r w:rsidRPr="006D31AB">
        <w:rPr>
          <w:rFonts w:eastAsia="Times New Roman" w:cs="Arial"/>
          <w:color w:val="000000"/>
          <w:lang w:val="en-US"/>
        </w:rPr>
        <w:t>EAS</w:t>
      </w:r>
      <w:r w:rsidRPr="006D31AB">
        <w:rPr>
          <w:rFonts w:eastAsia="Times New Roman" w:cs="Arial"/>
          <w:color w:val="000000"/>
          <w:lang w:val="ru-RU"/>
        </w:rPr>
        <w:t xml:space="preserve">; </w:t>
      </w:r>
      <w:r w:rsidRPr="006D31AB">
        <w:rPr>
          <w:rFonts w:eastAsia="Times New Roman" w:cs="Arial"/>
          <w:color w:val="000000"/>
          <w:lang w:eastAsia="bg-BG"/>
        </w:rPr>
        <w:t xml:space="preserve">1998); около 80% от пациентите на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са достигнали желаните стойности на холестерол в </w:t>
      </w:r>
      <w:r w:rsidRPr="006D31AB">
        <w:rPr>
          <w:rFonts w:eastAsia="Times New Roman" w:cs="Arial"/>
          <w:color w:val="000000"/>
          <w:lang w:val="en-US"/>
        </w:rPr>
        <w:t>LDL</w:t>
      </w:r>
      <w:r w:rsidRPr="006D31AB">
        <w:rPr>
          <w:rFonts w:eastAsia="Times New Roman" w:cs="Arial"/>
          <w:color w:val="000000"/>
          <w:lang w:eastAsia="bg-BG"/>
        </w:rPr>
        <w:t xml:space="preserve">-холестерол (&lt; 3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според </w:t>
      </w:r>
      <w:r w:rsidRPr="006D31AB">
        <w:rPr>
          <w:rFonts w:eastAsia="Times New Roman" w:cs="Arial"/>
          <w:color w:val="000000"/>
          <w:lang w:val="en-US"/>
        </w:rPr>
        <w:t>EAS</w:t>
      </w:r>
      <w:r w:rsidRPr="006D31AB">
        <w:rPr>
          <w:rFonts w:eastAsia="Times New Roman" w:cs="Arial"/>
          <w:color w:val="000000"/>
          <w:lang w:val="ru-RU"/>
        </w:rPr>
        <w:t>.</w:t>
      </w:r>
    </w:p>
    <w:p w14:paraId="6AC3ABD2" w14:textId="77777777" w:rsidR="006D31AB" w:rsidRDefault="006D31AB" w:rsidP="006D31AB">
      <w:pPr>
        <w:spacing w:line="240" w:lineRule="auto"/>
        <w:rPr>
          <w:rFonts w:eastAsia="Times New Roman" w:cs="Arial"/>
          <w:color w:val="000000"/>
          <w:lang w:eastAsia="bg-BG"/>
        </w:rPr>
      </w:pPr>
    </w:p>
    <w:p w14:paraId="1115ABB8" w14:textId="62E448A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отворено проучване с форсирано титриране на дозата при 42 пациенти (вкл. 8 педиатрични) с хомозиготна фамилна хиперхолестеролемия са отчетени резултатите от приемане на 20 - 40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Като цяло в групата средното понижение на в </w:t>
      </w:r>
      <w:r w:rsidRPr="006D31AB">
        <w:rPr>
          <w:rFonts w:eastAsia="Times New Roman" w:cs="Arial"/>
          <w:color w:val="000000"/>
          <w:lang w:val="en-US"/>
        </w:rPr>
        <w:t>LDL</w:t>
      </w:r>
      <w:r w:rsidRPr="006D31AB">
        <w:rPr>
          <w:rFonts w:eastAsia="Times New Roman" w:cs="Arial"/>
          <w:color w:val="000000"/>
          <w:lang w:eastAsia="bg-BG"/>
        </w:rPr>
        <w:t>- холестерола е 22%.</w:t>
      </w:r>
    </w:p>
    <w:p w14:paraId="6CC78A31" w14:textId="77777777" w:rsidR="006D31AB" w:rsidRDefault="006D31AB" w:rsidP="006D31AB">
      <w:pPr>
        <w:spacing w:line="240" w:lineRule="auto"/>
        <w:rPr>
          <w:rFonts w:eastAsia="Times New Roman" w:cs="Arial"/>
          <w:color w:val="000000"/>
          <w:lang w:eastAsia="bg-BG"/>
        </w:rPr>
      </w:pPr>
    </w:p>
    <w:p w14:paraId="07696D91" w14:textId="6FA374DF"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клинични изпитвания с ограничен брой пациенти розувастатин показва адитивна ефикасност при намаляване на триглицеридите, когато е приеман в комбинация с фенофибрат и увеличаване на нивото на </w:t>
      </w:r>
      <w:r w:rsidRPr="006D31AB">
        <w:rPr>
          <w:rFonts w:eastAsia="Times New Roman" w:cs="Arial"/>
          <w:color w:val="000000"/>
          <w:lang w:val="en-US"/>
        </w:rPr>
        <w:t>HDL</w:t>
      </w:r>
      <w:r w:rsidRPr="006D31AB">
        <w:rPr>
          <w:rFonts w:eastAsia="Times New Roman" w:cs="Arial"/>
          <w:color w:val="000000"/>
          <w:lang w:eastAsia="bg-BG"/>
        </w:rPr>
        <w:t>-холестерол, в комбинация с ниацин (вж. точка 4.4).</w:t>
      </w:r>
    </w:p>
    <w:p w14:paraId="23DAE376" w14:textId="77777777" w:rsidR="006D31AB" w:rsidRDefault="006D31AB" w:rsidP="006D31AB">
      <w:pPr>
        <w:spacing w:line="240" w:lineRule="auto"/>
        <w:rPr>
          <w:rFonts w:eastAsia="Times New Roman" w:cs="Arial"/>
          <w:color w:val="000000"/>
          <w:lang w:eastAsia="bg-BG"/>
        </w:rPr>
      </w:pPr>
    </w:p>
    <w:p w14:paraId="729CFE3B" w14:textId="3E0D6B5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многоцентрово, двойносляпо, плацебо-контролирано проучване </w:t>
      </w:r>
      <w:r w:rsidRPr="006D31AB">
        <w:rPr>
          <w:rFonts w:eastAsia="Times New Roman" w:cs="Arial"/>
          <w:color w:val="000000"/>
          <w:lang w:val="ru-RU"/>
        </w:rPr>
        <w:t>(</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984 пациента на възраст между 45 и 70 години с нисък риск за исхемична болест на сърцето (дефиниран като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риск &lt; 10% за 10 години), със среден в </w:t>
      </w:r>
      <w:r w:rsidRPr="006D31AB">
        <w:rPr>
          <w:rFonts w:eastAsia="Times New Roman" w:cs="Arial"/>
          <w:color w:val="000000"/>
          <w:lang w:val="en-US"/>
        </w:rPr>
        <w:t>LDL</w:t>
      </w:r>
      <w:r w:rsidRPr="006D31AB">
        <w:rPr>
          <w:rFonts w:eastAsia="Times New Roman" w:cs="Arial"/>
          <w:color w:val="000000"/>
          <w:lang w:val="ru-RU"/>
        </w:rPr>
        <w:t xml:space="preserve">- </w:t>
      </w:r>
      <w:r w:rsidRPr="006D31AB">
        <w:rPr>
          <w:rFonts w:eastAsia="Times New Roman" w:cs="Arial"/>
          <w:color w:val="000000"/>
          <w:lang w:eastAsia="bg-BG"/>
        </w:rPr>
        <w:t xml:space="preserve">холестерол </w:t>
      </w:r>
      <w:r w:rsidRPr="006D31AB">
        <w:rPr>
          <w:rFonts w:eastAsia="Times New Roman" w:cs="Arial"/>
          <w:color w:val="000000"/>
          <w:lang w:val="ru-RU"/>
        </w:rPr>
        <w:t>4,0</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(154,5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но със субклинична атеросклероза, установена чрез измерване на дебелината на каротидната интима медия </w:t>
      </w:r>
      <w:r w:rsidRPr="006D31AB">
        <w:rPr>
          <w:rFonts w:eastAsia="Times New Roman" w:cs="Arial"/>
          <w:color w:val="000000"/>
          <w:lang w:val="ru-RU"/>
        </w:rPr>
        <w:t>(</w:t>
      </w:r>
      <w:r w:rsidRPr="006D31AB">
        <w:rPr>
          <w:rFonts w:eastAsia="Times New Roman" w:cs="Arial"/>
          <w:color w:val="000000"/>
          <w:lang w:val="en-US"/>
        </w:rPr>
        <w:t>Carotid</w:t>
      </w:r>
      <w:r w:rsidRPr="006D31AB">
        <w:rPr>
          <w:rFonts w:eastAsia="Times New Roman" w:cs="Arial"/>
          <w:color w:val="000000"/>
          <w:lang w:val="ru-RU"/>
        </w:rPr>
        <w:t xml:space="preserve"> </w:t>
      </w:r>
      <w:r w:rsidRPr="006D31AB">
        <w:rPr>
          <w:rFonts w:eastAsia="Times New Roman" w:cs="Arial"/>
          <w:color w:val="000000"/>
          <w:lang w:val="en-US"/>
        </w:rPr>
        <w:t>Intima</w:t>
      </w:r>
      <w:r w:rsidRPr="006D31AB">
        <w:rPr>
          <w:rFonts w:eastAsia="Times New Roman" w:cs="Arial"/>
          <w:color w:val="000000"/>
          <w:lang w:val="ru-RU"/>
        </w:rPr>
        <w:t xml:space="preserve"> </w:t>
      </w:r>
      <w:r w:rsidRPr="006D31AB">
        <w:rPr>
          <w:rFonts w:eastAsia="Times New Roman" w:cs="Arial"/>
          <w:color w:val="000000"/>
          <w:lang w:val="en-US"/>
        </w:rPr>
        <w:t>Media</w:t>
      </w:r>
      <w:r w:rsidRPr="006D31AB">
        <w:rPr>
          <w:rFonts w:eastAsia="Times New Roman" w:cs="Arial"/>
          <w:color w:val="000000"/>
          <w:lang w:val="ru-RU"/>
        </w:rPr>
        <w:t xml:space="preserve"> </w:t>
      </w:r>
      <w:r w:rsidRPr="006D31AB">
        <w:rPr>
          <w:rFonts w:eastAsia="Times New Roman" w:cs="Arial"/>
          <w:color w:val="000000"/>
          <w:lang w:val="en-US"/>
        </w:rPr>
        <w:t>Thickness</w:t>
      </w:r>
      <w:r w:rsidRPr="006D31AB">
        <w:rPr>
          <w:rFonts w:eastAsia="Times New Roman" w:cs="Arial"/>
          <w:color w:val="000000"/>
          <w:lang w:val="ru-RU"/>
        </w:rPr>
        <w:t xml:space="preserve">) </w:t>
      </w:r>
      <w:r w:rsidRPr="006D31AB">
        <w:rPr>
          <w:rFonts w:eastAsia="Times New Roman" w:cs="Arial"/>
          <w:color w:val="000000"/>
          <w:lang w:eastAsia="bg-BG"/>
        </w:rPr>
        <w:t xml:space="preserve">са били рандомизирани на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или плацебо за 2 години. Розувастатин значително забави прогресията до максималната стойност на </w:t>
      </w:r>
      <w:r w:rsidRPr="006D31AB">
        <w:rPr>
          <w:rFonts w:eastAsia="Times New Roman" w:cs="Arial"/>
          <w:color w:val="000000"/>
          <w:lang w:val="en-US"/>
        </w:rPr>
        <w:t>CIMT</w:t>
      </w:r>
      <w:r w:rsidRPr="006D31AB">
        <w:rPr>
          <w:rFonts w:eastAsia="Times New Roman" w:cs="Arial"/>
          <w:color w:val="000000"/>
          <w:lang w:val="ru-RU"/>
        </w:rPr>
        <w:t xml:space="preserve"> </w:t>
      </w:r>
      <w:r w:rsidRPr="006D31AB">
        <w:rPr>
          <w:rFonts w:eastAsia="Times New Roman" w:cs="Arial"/>
          <w:color w:val="000000"/>
          <w:lang w:eastAsia="bg-BG"/>
        </w:rPr>
        <w:t xml:space="preserve">на всички 12 места на каротидните артерии, в сравнение с плацебо -0,0145 </w:t>
      </w:r>
      <w:r w:rsidRPr="006D31AB">
        <w:rPr>
          <w:rFonts w:eastAsia="Times New Roman" w:cs="Arial"/>
          <w:color w:val="000000"/>
          <w:lang w:val="en-US"/>
        </w:rPr>
        <w:t>mm</w:t>
      </w:r>
      <w:r w:rsidRPr="006D31AB">
        <w:rPr>
          <w:rFonts w:eastAsia="Times New Roman" w:cs="Arial"/>
          <w:color w:val="000000"/>
          <w:lang w:eastAsia="bg-BG"/>
        </w:rPr>
        <w:t xml:space="preserve">/година [95% доверителен интервал - 0,0196, -0,0093; р&lt; 0,0001]. Промяната спрямо изходните стойности за групата на розувастатин е -0,0014 </w:t>
      </w:r>
      <w:r w:rsidRPr="006D31AB">
        <w:rPr>
          <w:rFonts w:eastAsia="Times New Roman" w:cs="Arial"/>
          <w:color w:val="000000"/>
          <w:lang w:val="en-US"/>
        </w:rPr>
        <w:t>mm</w:t>
      </w:r>
      <w:r w:rsidRPr="006D31AB">
        <w:rPr>
          <w:rFonts w:eastAsia="Times New Roman" w:cs="Arial"/>
          <w:color w:val="000000"/>
          <w:lang w:eastAsia="bg-BG"/>
        </w:rPr>
        <w:t xml:space="preserve">/година (-0,12%/година {несигнификангно}), в сравнение с групата на плацебо с прогресия от +0,0131 </w:t>
      </w:r>
      <w:r w:rsidRPr="006D31AB">
        <w:rPr>
          <w:rFonts w:eastAsia="Times New Roman" w:cs="Arial"/>
          <w:color w:val="000000"/>
          <w:lang w:val="en-US"/>
        </w:rPr>
        <w:t>mm</w:t>
      </w:r>
      <w:r w:rsidRPr="006D31AB">
        <w:rPr>
          <w:rFonts w:eastAsia="Times New Roman" w:cs="Arial"/>
          <w:color w:val="000000"/>
          <w:lang w:eastAsia="bg-BG"/>
        </w:rPr>
        <w:t>/година (1,12%/година {р &lt; 0,0001</w:t>
      </w:r>
      <w:r w:rsidRPr="006D31AB">
        <w:rPr>
          <w:rFonts w:eastAsia="Times New Roman" w:cs="Arial"/>
          <w:i/>
          <w:iCs/>
          <w:color w:val="000000"/>
          <w:lang w:eastAsia="bg-BG"/>
        </w:rPr>
        <w:t>}). Не е</w:t>
      </w:r>
      <w:r w:rsidRPr="006D31AB">
        <w:rPr>
          <w:rFonts w:eastAsia="Times New Roman" w:cs="Arial"/>
          <w:color w:val="000000"/>
          <w:lang w:eastAsia="bg-BG"/>
        </w:rPr>
        <w:t xml:space="preserve"> демонстрирана директна взаимовръзка между понижението на С1МТ и понижения риск от сърдечносъдови събития. Популацията в проучването </w:t>
      </w:r>
      <w:r w:rsidRPr="006D31AB">
        <w:rPr>
          <w:rFonts w:eastAsia="Times New Roman" w:cs="Arial"/>
          <w:color w:val="000000"/>
          <w:lang w:val="en-US"/>
        </w:rPr>
        <w:t>METEOR</w:t>
      </w:r>
      <w:r w:rsidRPr="006D31AB">
        <w:rPr>
          <w:rFonts w:eastAsia="Times New Roman" w:cs="Arial"/>
          <w:color w:val="000000"/>
          <w:lang w:val="ru-RU"/>
        </w:rPr>
        <w:t xml:space="preserve"> </w:t>
      </w:r>
      <w:r w:rsidRPr="006D31AB">
        <w:rPr>
          <w:rFonts w:eastAsia="Times New Roman" w:cs="Arial"/>
          <w:color w:val="000000"/>
          <w:lang w:eastAsia="bg-BG"/>
        </w:rPr>
        <w:t xml:space="preserve">е с нисък риск от исхемична болест на сърцето и не е представителна за таргетната популация на розувастатин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Дозировката от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трябва да се предписва само на пациенти с тежка хиперхолестеролемия, с висок сърдечносъдов риск (вж.точка 4.2).</w:t>
      </w:r>
    </w:p>
    <w:p w14:paraId="166D67C5" w14:textId="77777777" w:rsidR="006D31AB" w:rsidRDefault="006D31AB" w:rsidP="006D31AB">
      <w:pPr>
        <w:spacing w:line="240" w:lineRule="auto"/>
        <w:rPr>
          <w:rFonts w:eastAsia="Times New Roman" w:cs="Arial"/>
          <w:color w:val="000000"/>
          <w:lang w:eastAsia="bg-BG"/>
        </w:rPr>
      </w:pPr>
    </w:p>
    <w:p w14:paraId="0BD2243C" w14:textId="1F54E1F6"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Обосновка за Приложението на Статини за Първична Профилактика: Интервенционално Проучване за Оценка на Розувастатин </w:t>
      </w:r>
      <w:r w:rsidRPr="006D31AB">
        <w:rPr>
          <w:rFonts w:eastAsia="Times New Roman" w:cs="Arial"/>
          <w:color w:val="000000"/>
          <w:lang w:val="ru-RU"/>
        </w:rPr>
        <w:t>(</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е изследван ефектът на розувастатин върху появата на големи атеросклеротични, сърдечносъдови инциденти при 17 802 мъже (≥50</w:t>
      </w:r>
      <w:r w:rsidRPr="006D31AB">
        <w:rPr>
          <w:rFonts w:eastAsia="Times New Roman" w:cs="Arial"/>
          <w:b/>
          <w:bCs/>
          <w:color w:val="000000"/>
          <w:lang w:eastAsia="bg-BG"/>
        </w:rPr>
        <w:t xml:space="preserve"> </w:t>
      </w:r>
      <w:r w:rsidRPr="006D31AB">
        <w:rPr>
          <w:rFonts w:eastAsia="Times New Roman" w:cs="Arial"/>
          <w:color w:val="000000"/>
          <w:lang w:eastAsia="bg-BG"/>
        </w:rPr>
        <w:t>години) и жени (≥60 години).</w:t>
      </w:r>
    </w:p>
    <w:p w14:paraId="62C39023" w14:textId="7E32BC64" w:rsidR="006D31AB" w:rsidRDefault="006D31AB" w:rsidP="006D31AB">
      <w:pPr>
        <w:rPr>
          <w:rFonts w:eastAsia="Times New Roman" w:cs="Arial"/>
          <w:color w:val="000000"/>
          <w:lang w:eastAsia="bg-BG"/>
        </w:rPr>
      </w:pPr>
      <w:r w:rsidRPr="006D31AB">
        <w:rPr>
          <w:rFonts w:eastAsia="Times New Roman" w:cs="Arial"/>
          <w:i/>
          <w:iCs/>
          <w:color w:val="000000"/>
          <w:lang w:eastAsia="bg-BG"/>
        </w:rPr>
        <w:t>Разделени</w:t>
      </w:r>
      <w:r w:rsidRPr="006D31AB">
        <w:rPr>
          <w:rFonts w:eastAsia="Times New Roman" w:cs="Arial"/>
          <w:color w:val="000000"/>
          <w:lang w:eastAsia="bg-BG"/>
        </w:rPr>
        <w:t xml:space="preserve"> на случаен принцип, участниците в изследването приемали плацебо (</w:t>
      </w:r>
      <w:r w:rsidRPr="006D31AB">
        <w:rPr>
          <w:rFonts w:eastAsia="Times New Roman" w:cs="Arial"/>
          <w:color w:val="000000"/>
          <w:lang w:val="en-US"/>
        </w:rPr>
        <w:t>n</w:t>
      </w:r>
      <w:r w:rsidRPr="006D31AB">
        <w:rPr>
          <w:rFonts w:eastAsia="Times New Roman" w:cs="Arial"/>
          <w:color w:val="000000"/>
          <w:lang w:val="ru-RU"/>
        </w:rPr>
        <w:t xml:space="preserve">=8901) </w:t>
      </w:r>
      <w:r w:rsidRPr="006D31AB">
        <w:rPr>
          <w:rFonts w:eastAsia="Times New Roman" w:cs="Arial"/>
          <w:color w:val="000000"/>
          <w:lang w:eastAsia="bg-BG"/>
        </w:rPr>
        <w:t>или</w:t>
      </w:r>
      <w:r w:rsidRPr="006D31AB">
        <w:rPr>
          <w:rFonts w:eastAsia="Times New Roman" w:cs="Arial"/>
          <w:b/>
          <w:bCs/>
          <w:color w:val="000000"/>
          <w:lang w:eastAsia="bg-BG"/>
        </w:rPr>
        <w:t xml:space="preserve"> </w:t>
      </w:r>
      <w:r w:rsidRPr="006D31AB">
        <w:rPr>
          <w:rFonts w:eastAsia="Times New Roman" w:cs="Arial"/>
          <w:color w:val="000000"/>
          <w:lang w:eastAsia="bg-BG"/>
        </w:rPr>
        <w:t xml:space="preserve">розувастатин по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на ден (</w:t>
      </w:r>
      <w:r w:rsidRPr="006D31AB">
        <w:rPr>
          <w:rFonts w:eastAsia="Times New Roman" w:cs="Arial"/>
          <w:color w:val="000000"/>
          <w:lang w:val="en-US"/>
        </w:rPr>
        <w:t>n</w:t>
      </w:r>
      <w:r w:rsidRPr="006D31AB">
        <w:rPr>
          <w:rFonts w:eastAsia="Times New Roman" w:cs="Arial"/>
          <w:color w:val="000000"/>
          <w:lang w:eastAsia="bg-BG"/>
        </w:rPr>
        <w:t>=8901) в продължение на 2 години.</w:t>
      </w:r>
    </w:p>
    <w:p w14:paraId="7B7241A2" w14:textId="694CE70C" w:rsidR="006D31AB" w:rsidRDefault="006D31AB" w:rsidP="006D31AB">
      <w:pPr>
        <w:rPr>
          <w:rFonts w:eastAsia="Times New Roman" w:cs="Arial"/>
          <w:color w:val="000000"/>
          <w:lang w:eastAsia="bg-BG"/>
        </w:rPr>
      </w:pPr>
    </w:p>
    <w:p w14:paraId="11F88858"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сравнение с плацебо групата, при групата, приемаща розувастатин, концентрацията на </w:t>
      </w:r>
      <w:r w:rsidRPr="006D31AB">
        <w:rPr>
          <w:rFonts w:eastAsia="Times New Roman" w:cs="Arial"/>
          <w:color w:val="000000"/>
          <w:lang w:val="en-US"/>
        </w:rPr>
        <w:t>LDL</w:t>
      </w:r>
      <w:r w:rsidRPr="006D31AB">
        <w:rPr>
          <w:rFonts w:eastAsia="Times New Roman" w:cs="Arial"/>
          <w:color w:val="000000"/>
          <w:lang w:eastAsia="bg-BG"/>
        </w:rPr>
        <w:t>- холестерола е намаляла с 45% (р&lt;0.001).</w:t>
      </w:r>
    </w:p>
    <w:p w14:paraId="0CF3D7E2" w14:textId="77777777" w:rsidR="006D31AB" w:rsidRDefault="006D31AB" w:rsidP="006D31AB">
      <w:pPr>
        <w:spacing w:line="240" w:lineRule="auto"/>
        <w:rPr>
          <w:rFonts w:eastAsia="Times New Roman" w:cs="Arial"/>
          <w:color w:val="000000"/>
          <w:lang w:eastAsia="bg-BG"/>
        </w:rPr>
      </w:pPr>
    </w:p>
    <w:p w14:paraId="06934A40" w14:textId="4011FBC0"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с изходен риск оценен по </w:t>
      </w:r>
      <w:r w:rsidRPr="006D31AB">
        <w:rPr>
          <w:rFonts w:eastAsia="Times New Roman" w:cs="Arial"/>
          <w:color w:val="000000"/>
          <w:lang w:val="en-US"/>
        </w:rPr>
        <w:t>Framingham</w:t>
      </w:r>
      <w:r w:rsidRPr="006D31AB">
        <w:rPr>
          <w:rFonts w:eastAsia="Times New Roman" w:cs="Arial"/>
          <w:color w:val="000000"/>
          <w:lang w:val="ru-RU"/>
        </w:rPr>
        <w:t xml:space="preserve"> </w:t>
      </w:r>
      <w:r w:rsidRPr="006D31AB">
        <w:rPr>
          <w:rFonts w:eastAsia="Times New Roman" w:cs="Arial"/>
          <w:color w:val="000000"/>
          <w:lang w:eastAsia="bg-BG"/>
        </w:rPr>
        <w:t xml:space="preserve">&gt;20% (1558 изследвани) се наблюдава значително намаляване на комбинираната крайна цел включваща смъртни случаи в следствие на сърдечносъдова смърт, инсулт и инфаркт на миокарда (р=0.028) при лечение с розувастатин в сравнение с плацебо. Абсолютното намаление на риска за 1000 пациенто-години беше 8.8. При тази високорискова група </w:t>
      </w:r>
      <w:r w:rsidRPr="006D31AB">
        <w:rPr>
          <w:rFonts w:eastAsia="Times New Roman" w:cs="Arial"/>
          <w:color w:val="000000"/>
          <w:lang w:eastAsia="bg-BG"/>
        </w:rPr>
        <w:lastRenderedPageBreak/>
        <w:t xml:space="preserve">общата смъртност остава непроменена (р=0,193 В </w:t>
      </w:r>
      <w:r w:rsidRPr="006D31AB">
        <w:rPr>
          <w:rFonts w:eastAsia="Times New Roman" w:cs="Arial"/>
          <w:color w:val="000000"/>
          <w:lang w:val="en-US"/>
        </w:rPr>
        <w:t>post</w:t>
      </w:r>
      <w:r w:rsidRPr="006D31AB">
        <w:rPr>
          <w:rFonts w:eastAsia="Times New Roman" w:cs="Arial"/>
          <w:color w:val="000000"/>
          <w:lang w:val="ru-RU"/>
        </w:rPr>
        <w:t>-</w:t>
      </w:r>
      <w:r w:rsidRPr="006D31AB">
        <w:rPr>
          <w:rFonts w:eastAsia="Times New Roman" w:cs="Arial"/>
          <w:color w:val="000000"/>
          <w:lang w:val="en-US"/>
        </w:rPr>
        <w:t>hoc</w:t>
      </w:r>
      <w:r w:rsidRPr="006D31AB">
        <w:rPr>
          <w:rFonts w:eastAsia="Times New Roman" w:cs="Arial"/>
          <w:color w:val="000000"/>
          <w:lang w:val="ru-RU"/>
        </w:rPr>
        <w:t xml:space="preserve"> </w:t>
      </w:r>
      <w:r w:rsidRPr="006D31AB">
        <w:rPr>
          <w:rFonts w:eastAsia="Times New Roman" w:cs="Arial"/>
          <w:color w:val="000000"/>
          <w:lang w:eastAsia="bg-BG"/>
        </w:rPr>
        <w:t xml:space="preserve">анализ на високо-рисковата подгрупа при субекти (общ брой 9302) с изходен </w:t>
      </w:r>
      <w:r w:rsidRPr="006D31AB">
        <w:rPr>
          <w:rFonts w:eastAsia="Times New Roman" w:cs="Arial"/>
          <w:color w:val="000000"/>
          <w:lang w:val="en-US"/>
        </w:rPr>
        <w:t>SCORE</w:t>
      </w:r>
      <w:r w:rsidRPr="006D31AB">
        <w:rPr>
          <w:rFonts w:eastAsia="Times New Roman" w:cs="Arial"/>
          <w:color w:val="000000"/>
          <w:lang w:val="ru-RU"/>
        </w:rPr>
        <w:t xml:space="preserve"> </w:t>
      </w:r>
      <w:r w:rsidRPr="006D31AB">
        <w:rPr>
          <w:rFonts w:eastAsia="Times New Roman" w:cs="Arial"/>
          <w:color w:val="000000"/>
          <w:lang w:eastAsia="bg-BG"/>
        </w:rPr>
        <w:t>риск ≥5% (екстраполиран, с цел включване на лица над 65- годишна възраст) показва значително намаляване на комбинираната крайна цел включваща сърдечносъдова смърт, инсулт и инфаркт на миокарда (р=0,0003) при лечение с розувастатин в сравнение с плацебо. Абсолютното намаляване на риска за честотата на събитията е 5,1 за 1000 пациенто-години. При тази високорискова група общата смъртност остава непроменена (р=0,076).</w:t>
      </w:r>
    </w:p>
    <w:p w14:paraId="008B86E1" w14:textId="77777777" w:rsidR="006D31AB" w:rsidRDefault="006D31AB" w:rsidP="006D31AB">
      <w:pPr>
        <w:spacing w:line="240" w:lineRule="auto"/>
        <w:rPr>
          <w:rFonts w:eastAsia="Times New Roman" w:cs="Arial"/>
          <w:color w:val="000000"/>
          <w:lang w:eastAsia="bg-BG"/>
        </w:rPr>
      </w:pPr>
      <w:r w:rsidRPr="006D31AB">
        <w:rPr>
          <w:rFonts w:eastAsia="Times New Roman" w:cs="Arial"/>
          <w:color w:val="000000"/>
          <w:lang w:eastAsia="bg-BG"/>
        </w:rPr>
        <w:t xml:space="preserve">При изследването </w:t>
      </w:r>
      <w:r w:rsidRPr="006D31AB">
        <w:rPr>
          <w:rFonts w:eastAsia="Times New Roman" w:cs="Arial"/>
          <w:color w:val="000000"/>
          <w:lang w:val="en-US"/>
        </w:rPr>
        <w:t>JUPITER</w:t>
      </w:r>
      <w:r w:rsidRPr="006D31AB">
        <w:rPr>
          <w:rFonts w:eastAsia="Times New Roman" w:cs="Arial"/>
          <w:color w:val="000000"/>
          <w:lang w:val="ru-RU"/>
        </w:rPr>
        <w:t xml:space="preserve"> </w:t>
      </w:r>
      <w:r w:rsidRPr="006D31AB">
        <w:rPr>
          <w:rFonts w:eastAsia="Times New Roman" w:cs="Arial"/>
          <w:color w:val="000000"/>
          <w:lang w:eastAsia="bg-BG"/>
        </w:rPr>
        <w:t xml:space="preserve">6,6% от участниците, третирани с розувастатин и 6,2% от третираните плацебо са прекъснали изследването, поради възникване на нежелани реакции. Най-честите случаи на нежелани реакции, при които е прекъснато лечението са били: миалгия (0,3% розувастатин, 0,2% плацебо), коремни болки (0,03% розувастатин, 0,02% плацебо) и обрив (0,02% розувастатин, 0,03% плацебо). Най-честите оплаквания с честота по-висока или равна на тази при плацебо са инфекция на пикочните пътища (8,7% розувастатин, 8,6% плацебо), назофарингит (7,6% розувастатин, 7,2% плацебо), болки в гърба (7,6% розувастатин, 6.9% плацебо) и миалгия (7,6% розувастатин, 6,6% </w:t>
      </w:r>
    </w:p>
    <w:p w14:paraId="5B942827" w14:textId="01ADB87F" w:rsidR="006D31AB" w:rsidRPr="006D31AB" w:rsidRDefault="006D31AB" w:rsidP="006D31AB">
      <w:pPr>
        <w:spacing w:line="240" w:lineRule="auto"/>
        <w:rPr>
          <w:rFonts w:eastAsia="Times New Roman" w:cs="Arial"/>
        </w:rPr>
      </w:pPr>
      <w:r w:rsidRPr="006D31AB">
        <w:rPr>
          <w:rFonts w:eastAsia="Times New Roman" w:cs="Arial"/>
          <w:color w:val="000000"/>
          <w:lang w:eastAsia="bg-BG"/>
        </w:rPr>
        <w:t>плацебо).</w:t>
      </w:r>
    </w:p>
    <w:p w14:paraId="47C721BA" w14:textId="77777777" w:rsidR="006D31AB" w:rsidRDefault="006D31AB" w:rsidP="006D31AB">
      <w:pPr>
        <w:spacing w:line="240" w:lineRule="auto"/>
        <w:rPr>
          <w:rFonts w:eastAsia="Times New Roman" w:cs="Arial"/>
          <w:b/>
          <w:bCs/>
          <w:color w:val="000000"/>
          <w:lang w:eastAsia="bg-BG"/>
        </w:rPr>
      </w:pPr>
    </w:p>
    <w:p w14:paraId="5DD55521" w14:textId="03C215B3"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5C2FC19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едно двойно-сляпо, рандомизирано, мултицентрово, плацебо-контролирано, 12-седмично проучване </w:t>
      </w:r>
      <w:r w:rsidRPr="006D31AB">
        <w:rPr>
          <w:rFonts w:eastAsia="Times New Roman" w:cs="Arial"/>
          <w:color w:val="000000"/>
          <w:lang w:val="ru-RU"/>
        </w:rPr>
        <w:t>(</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176,97 от мъжки пол и 79 от женски пол), последвано от 40-седмично (</w:t>
      </w:r>
      <w:r w:rsidRPr="006D31AB">
        <w:rPr>
          <w:rFonts w:eastAsia="Times New Roman" w:cs="Arial"/>
          <w:color w:val="000000"/>
          <w:lang w:val="en-US"/>
        </w:rPr>
        <w:t>n</w:t>
      </w:r>
      <w:r w:rsidRPr="006D31AB">
        <w:rPr>
          <w:rFonts w:eastAsia="Times New Roman" w:cs="Arial"/>
          <w:color w:val="000000"/>
          <w:lang w:eastAsia="bg-BG"/>
        </w:rPr>
        <w:t xml:space="preserve">=173,96 от мъжки пол и 77 от женски пол), открито, фаза титриране на дозата на розувастатин, пациенти на възраст 10 до 17 години (стадий </w:t>
      </w:r>
      <w:r w:rsidRPr="006D31AB">
        <w:rPr>
          <w:rFonts w:eastAsia="Times New Roman" w:cs="Arial"/>
          <w:color w:val="000000"/>
          <w:lang w:val="en-US"/>
        </w:rPr>
        <w:t>II</w:t>
      </w:r>
      <w:r w:rsidRPr="006D31AB">
        <w:rPr>
          <w:rFonts w:eastAsia="Times New Roman" w:cs="Arial"/>
          <w:color w:val="000000"/>
          <w:lang w:val="ru-RU"/>
        </w:rPr>
        <w:t>-</w:t>
      </w:r>
      <w:r w:rsidRPr="006D31AB">
        <w:rPr>
          <w:rFonts w:eastAsia="Times New Roman" w:cs="Arial"/>
          <w:color w:val="000000"/>
          <w:lang w:val="en-US"/>
        </w:rPr>
        <w:t>IV</w:t>
      </w:r>
      <w:r w:rsidRPr="006D31AB">
        <w:rPr>
          <w:rFonts w:eastAsia="Times New Roman" w:cs="Arial"/>
          <w:color w:val="000000"/>
          <w:lang w:val="ru-RU"/>
        </w:rPr>
        <w:t xml:space="preserve"> </w:t>
      </w:r>
      <w:r w:rsidRPr="006D31AB">
        <w:rPr>
          <w:rFonts w:eastAsia="Times New Roman" w:cs="Arial"/>
          <w:color w:val="000000"/>
          <w:lang w:eastAsia="bg-BG"/>
        </w:rPr>
        <w:t xml:space="preserve">по Танер, момичета поне 1 година след началото на менструацията) с фамилна хиперхолестеролемия са получавали розувастатин 5,10 или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или плацебо дневно за 12 седмици и след това всички са получавали розувастатин дневно за 40 седмици. В началото на проучването приблизително 30% от пациентите бяха 10 до 13 годишни и приблизително 17%, 18%, 40% и 25% са били в стадии </w:t>
      </w:r>
      <w:r w:rsidRPr="006D31AB">
        <w:rPr>
          <w:rFonts w:eastAsia="Times New Roman" w:cs="Arial"/>
          <w:color w:val="000000"/>
          <w:lang w:val="en-US"/>
        </w:rPr>
        <w:t>II</w:t>
      </w:r>
      <w:r w:rsidRPr="006D31AB">
        <w:rPr>
          <w:rFonts w:eastAsia="Times New Roman" w:cs="Arial"/>
          <w:color w:val="000000"/>
          <w:lang w:eastAsia="bg-BG"/>
        </w:rPr>
        <w:t xml:space="preserve">, </w:t>
      </w:r>
      <w:r w:rsidRPr="006D31AB">
        <w:rPr>
          <w:rFonts w:eastAsia="Times New Roman" w:cs="Arial"/>
          <w:color w:val="000000"/>
          <w:lang w:val="en-US"/>
        </w:rPr>
        <w:t>III</w:t>
      </w:r>
      <w:r w:rsidRPr="006D31AB">
        <w:rPr>
          <w:rFonts w:eastAsia="Times New Roman" w:cs="Arial"/>
          <w:color w:val="000000"/>
          <w:lang w:val="ru-RU"/>
        </w:rPr>
        <w:t xml:space="preserve">, </w:t>
      </w:r>
      <w:r w:rsidRPr="006D31AB">
        <w:rPr>
          <w:rFonts w:eastAsia="Times New Roman" w:cs="Arial"/>
          <w:color w:val="000000"/>
          <w:lang w:eastAsia="bg-BG"/>
        </w:rPr>
        <w:t>IV и V по Танер, съответно.</w:t>
      </w:r>
    </w:p>
    <w:p w14:paraId="03D07FD3" w14:textId="77777777" w:rsidR="006D31AB" w:rsidRDefault="006D31AB" w:rsidP="006D31AB">
      <w:pPr>
        <w:spacing w:line="240" w:lineRule="auto"/>
        <w:rPr>
          <w:rFonts w:eastAsia="Times New Roman" w:cs="Arial"/>
          <w:color w:val="000000"/>
          <w:lang w:val="en-US"/>
        </w:rPr>
      </w:pPr>
    </w:p>
    <w:p w14:paraId="2F224EDE" w14:textId="3D65C201" w:rsidR="006D31AB" w:rsidRPr="006D31AB" w:rsidRDefault="006D31AB" w:rsidP="006D31AB">
      <w:pPr>
        <w:spacing w:line="240" w:lineRule="auto"/>
        <w:rPr>
          <w:rFonts w:eastAsia="Times New Roman" w:cs="Arial"/>
        </w:rPr>
      </w:pPr>
      <w:r w:rsidRPr="006D31AB">
        <w:rPr>
          <w:rFonts w:eastAsia="Times New Roman" w:cs="Arial"/>
          <w:color w:val="000000"/>
          <w:lang w:val="en-US"/>
        </w:rPr>
        <w:t>LDL</w:t>
      </w:r>
      <w:r w:rsidRPr="006D31AB">
        <w:rPr>
          <w:rFonts w:eastAsia="Times New Roman" w:cs="Arial"/>
          <w:color w:val="000000"/>
          <w:lang w:eastAsia="bg-BG"/>
        </w:rPr>
        <w:t xml:space="preserve">-холестеролът е бил понижен 38,3%, 44,6% и 50,0% от розувастатин 5,10 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съответно, в сравнение с 0,7% за плацебо.</w:t>
      </w:r>
    </w:p>
    <w:p w14:paraId="3E29E981" w14:textId="77777777" w:rsidR="006D31AB" w:rsidRDefault="006D31AB" w:rsidP="006D31AB">
      <w:pPr>
        <w:spacing w:line="240" w:lineRule="auto"/>
        <w:rPr>
          <w:rFonts w:eastAsia="Times New Roman" w:cs="Arial"/>
          <w:color w:val="000000"/>
          <w:lang w:eastAsia="bg-BG"/>
        </w:rPr>
      </w:pPr>
    </w:p>
    <w:p w14:paraId="5238570A" w14:textId="70C484DC"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края на 40-седмичното, открито, целящо титруване, проучване, дозиране до максимум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веднъж дневно, 70 от 173 пациенти (40,5)% са постигнали целта за </w:t>
      </w:r>
      <w:r w:rsidRPr="006D31AB">
        <w:rPr>
          <w:rFonts w:eastAsia="Times New Roman" w:cs="Arial"/>
          <w:color w:val="000000"/>
          <w:lang w:val="en-US"/>
        </w:rPr>
        <w:t>LDL</w:t>
      </w:r>
      <w:r w:rsidRPr="006D31AB">
        <w:rPr>
          <w:rFonts w:eastAsia="Times New Roman" w:cs="Arial"/>
          <w:color w:val="000000"/>
          <w:lang w:eastAsia="bg-BG"/>
        </w:rPr>
        <w:t xml:space="preserve">-холестерол от по-малко от 2,8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/1.</w:t>
      </w:r>
    </w:p>
    <w:p w14:paraId="505217D3" w14:textId="77777777" w:rsidR="006D31AB" w:rsidRDefault="006D31AB" w:rsidP="006D31AB">
      <w:pPr>
        <w:spacing w:line="240" w:lineRule="auto"/>
        <w:rPr>
          <w:rFonts w:eastAsia="Times New Roman" w:cs="Arial"/>
          <w:color w:val="000000"/>
          <w:lang w:eastAsia="bg-BG"/>
        </w:rPr>
      </w:pPr>
    </w:p>
    <w:p w14:paraId="567003E8" w14:textId="68EFBDD2" w:rsidR="006D31AB" w:rsidRPr="006D31AB" w:rsidRDefault="006D31AB" w:rsidP="006D31AB">
      <w:pPr>
        <w:spacing w:line="240" w:lineRule="auto"/>
        <w:rPr>
          <w:rFonts w:eastAsia="Times New Roman" w:cs="Arial"/>
        </w:rPr>
      </w:pPr>
      <w:r w:rsidRPr="006D31AB">
        <w:rPr>
          <w:rFonts w:eastAsia="Times New Roman" w:cs="Arial"/>
          <w:color w:val="000000"/>
          <w:lang w:eastAsia="bg-BG"/>
        </w:rPr>
        <w:t>След 52 седмици на изследваното лечение, не е установен никакъв ефект върху растежа, теглото, ВМ</w:t>
      </w:r>
      <w:r w:rsidRPr="006D31AB">
        <w:rPr>
          <w:rFonts w:eastAsia="Times New Roman" w:cs="Arial"/>
          <w:color w:val="000000"/>
          <w:lang w:val="en-US"/>
        </w:rPr>
        <w:t>I</w:t>
      </w:r>
      <w:r w:rsidRPr="006D31AB">
        <w:rPr>
          <w:rFonts w:eastAsia="Times New Roman" w:cs="Arial"/>
          <w:color w:val="000000"/>
          <w:lang w:eastAsia="bg-BG"/>
        </w:rPr>
        <w:t xml:space="preserve"> или половото съзряване (вж. точка 4.4). Това проучване (</w:t>
      </w:r>
      <w:r w:rsidRPr="006D31AB">
        <w:rPr>
          <w:rFonts w:eastAsia="Times New Roman" w:cs="Arial"/>
          <w:color w:val="000000"/>
          <w:lang w:val="en-US"/>
        </w:rPr>
        <w:t>n</w:t>
      </w:r>
      <w:r w:rsidRPr="006D31AB">
        <w:rPr>
          <w:rFonts w:eastAsia="Times New Roman" w:cs="Arial"/>
          <w:color w:val="000000"/>
          <w:lang w:val="ru-RU"/>
        </w:rPr>
        <w:t>=</w:t>
      </w:r>
      <w:r w:rsidRPr="006D31AB">
        <w:rPr>
          <w:rFonts w:eastAsia="Times New Roman" w:cs="Arial"/>
          <w:color w:val="000000"/>
          <w:lang w:eastAsia="bg-BG"/>
        </w:rPr>
        <w:t>176) не е било предназначено за сравняване на редки нежелани лекарствени реакции.</w:t>
      </w:r>
    </w:p>
    <w:p w14:paraId="6A9182E8" w14:textId="77777777" w:rsidR="006D31AB" w:rsidRDefault="006D31AB" w:rsidP="006D31AB">
      <w:pPr>
        <w:spacing w:line="240" w:lineRule="auto"/>
        <w:rPr>
          <w:rFonts w:eastAsia="Times New Roman" w:cs="Arial"/>
          <w:color w:val="000000"/>
          <w:lang w:eastAsia="bg-BG"/>
        </w:rPr>
      </w:pPr>
    </w:p>
    <w:p w14:paraId="2252BCFD" w14:textId="7868E120" w:rsidR="006D31AB" w:rsidRPr="006D31AB" w:rsidRDefault="006D31AB" w:rsidP="006D31AB">
      <w:pPr>
        <w:spacing w:line="240" w:lineRule="auto"/>
        <w:rPr>
          <w:rFonts w:eastAsia="Times New Roman" w:cs="Arial"/>
        </w:rPr>
      </w:pPr>
      <w:r w:rsidRPr="006D31AB">
        <w:rPr>
          <w:rFonts w:eastAsia="Times New Roman" w:cs="Arial"/>
          <w:color w:val="000000"/>
          <w:lang w:eastAsia="bg-BG"/>
        </w:rPr>
        <w:t>Розувастатин е проучван също в едно 2-годишно открито клинично проучване с титриране на дозата до желаната доза при 198 деца с фамилна хиперхолестеролемия на възраст 6 до 17 години (88 момчета и 110 момичета, стадий по Танер &lt;</w:t>
      </w:r>
      <w:r w:rsidRPr="006D31AB">
        <w:rPr>
          <w:rFonts w:eastAsia="Times New Roman" w:cs="Arial"/>
          <w:color w:val="000000"/>
          <w:lang w:val="en-US"/>
        </w:rPr>
        <w:t>II</w:t>
      </w:r>
      <w:r w:rsidRPr="006D31AB">
        <w:rPr>
          <w:rFonts w:eastAsia="Times New Roman" w:cs="Arial"/>
          <w:color w:val="000000"/>
          <w:lang w:eastAsia="bg-BG"/>
        </w:rPr>
        <w:t xml:space="preserve">-V). Началната доза при всички пациенти е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веднъж дневно. При пациентите на възраст 6 до 9 години (п=64) дозата може да се тнгрира до максимална доза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а при пациенти на възраст 10 до 17 години (</w:t>
      </w:r>
      <w:r w:rsidRPr="006D31AB">
        <w:rPr>
          <w:rFonts w:eastAsia="Times New Roman" w:cs="Arial"/>
          <w:color w:val="000000"/>
          <w:lang w:val="en-US"/>
        </w:rPr>
        <w:t>n</w:t>
      </w:r>
      <w:r w:rsidRPr="006D31AB">
        <w:rPr>
          <w:rFonts w:eastAsia="Times New Roman" w:cs="Arial"/>
          <w:color w:val="000000"/>
          <w:lang w:eastAsia="bg-BG"/>
        </w:rPr>
        <w:t xml:space="preserve">=134) до максимална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w:t>
      </w:r>
    </w:p>
    <w:p w14:paraId="268ED1F7" w14:textId="77777777" w:rsidR="006D31AB" w:rsidRDefault="006D31AB" w:rsidP="006D31AB">
      <w:pPr>
        <w:spacing w:line="240" w:lineRule="auto"/>
        <w:rPr>
          <w:rFonts w:eastAsia="Times New Roman" w:cs="Arial"/>
          <w:color w:val="000000"/>
          <w:lang w:eastAsia="bg-BG"/>
        </w:rPr>
      </w:pPr>
    </w:p>
    <w:p w14:paraId="18360160" w14:textId="77777777" w:rsidR="006D31AB" w:rsidRPr="006D31AB" w:rsidRDefault="006D31AB" w:rsidP="006D31AB">
      <w:pPr>
        <w:rPr>
          <w:rFonts w:eastAsia="Times New Roman" w:cs="Arial"/>
        </w:rPr>
      </w:pPr>
      <w:r w:rsidRPr="006D31AB">
        <w:rPr>
          <w:rFonts w:eastAsia="Times New Roman" w:cs="Arial"/>
          <w:color w:val="000000"/>
          <w:lang w:eastAsia="bg-BG"/>
        </w:rPr>
        <w:t xml:space="preserve">След 24 месеца на лечение с розувастатин,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на средния процент на намаление</w:t>
      </w:r>
      <w:r w:rsidRPr="006D31AB">
        <w:rPr>
          <w:rFonts w:eastAsia="Times New Roman" w:cs="Arial"/>
          <w:color w:val="000000"/>
          <w:lang w:val="ru-RU"/>
        </w:rPr>
        <w:t xml:space="preserve"> </w:t>
      </w:r>
      <w:r w:rsidRPr="006D31AB">
        <w:rPr>
          <w:rFonts w:eastAsia="Times New Roman" w:cs="Arial"/>
          <w:color w:val="000000"/>
          <w:lang w:eastAsia="bg-BG"/>
        </w:rPr>
        <w:t xml:space="preserve">на </w:t>
      </w:r>
      <w:r w:rsidRPr="006D31AB">
        <w:rPr>
          <w:rFonts w:eastAsia="Times New Roman" w:cs="Arial"/>
          <w:color w:val="000000"/>
          <w:u w:val="single"/>
          <w:lang w:val="en-US"/>
        </w:rPr>
        <w:t>LDL</w:t>
      </w:r>
      <w:r w:rsidRPr="006D31AB">
        <w:rPr>
          <w:rFonts w:eastAsia="Times New Roman" w:cs="Arial"/>
          <w:color w:val="000000"/>
          <w:u w:val="single"/>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спрямо изходната стойност е -43% (изходно ниво: 236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24:133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За всяка възрастова група, </w:t>
      </w:r>
      <w:r w:rsidRPr="006D31AB">
        <w:rPr>
          <w:rFonts w:eastAsia="Times New Roman" w:cs="Arial"/>
          <w:color w:val="000000"/>
          <w:lang w:val="en-US"/>
        </w:rPr>
        <w:t>LS</w:t>
      </w:r>
      <w:r w:rsidRPr="006D31AB">
        <w:rPr>
          <w:rFonts w:eastAsia="Times New Roman" w:cs="Arial"/>
          <w:color w:val="000000"/>
          <w:lang w:val="ru-RU"/>
        </w:rPr>
        <w:t xml:space="preserve"> </w:t>
      </w:r>
      <w:r w:rsidRPr="006D31AB">
        <w:rPr>
          <w:rFonts w:eastAsia="Times New Roman" w:cs="Arial"/>
          <w:color w:val="000000"/>
          <w:lang w:eastAsia="bg-BG"/>
        </w:rPr>
        <w:t xml:space="preserve">на средния процент на намаление на </w:t>
      </w:r>
      <w:r w:rsidRPr="006D31AB">
        <w:rPr>
          <w:rFonts w:eastAsia="Times New Roman" w:cs="Arial"/>
          <w:color w:val="000000"/>
          <w:lang w:val="en-US"/>
        </w:rPr>
        <w:t>LDL</w:t>
      </w:r>
      <w:r w:rsidRPr="006D31AB">
        <w:rPr>
          <w:rFonts w:eastAsia="Times New Roman" w:cs="Arial"/>
          <w:color w:val="000000"/>
          <w:lang w:eastAsia="bg-BG"/>
        </w:rPr>
        <w:t>-С спрямо изходната стойност</w:t>
      </w:r>
      <w:r>
        <w:rPr>
          <w:rFonts w:eastAsia="Times New Roman" w:cs="Arial"/>
          <w:color w:val="000000"/>
          <w:lang w:eastAsia="bg-BG"/>
        </w:rPr>
        <w:t xml:space="preserve"> </w:t>
      </w:r>
      <w:r w:rsidRPr="006D31AB">
        <w:rPr>
          <w:rFonts w:eastAsia="Times New Roman" w:cs="Arial"/>
          <w:color w:val="000000"/>
          <w:lang w:eastAsia="bg-BG"/>
        </w:rPr>
        <w:t xml:space="preserve">е -43% (изходно ниво: 234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-45% (изходно ниво: 234 </w:t>
      </w:r>
      <w:r w:rsidRPr="006D31AB">
        <w:rPr>
          <w:rFonts w:eastAsia="Times New Roman" w:cs="Arial"/>
          <w:color w:val="000000"/>
          <w:lang w:val="en-US"/>
        </w:rPr>
        <w:lastRenderedPageBreak/>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124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и -35% (изходно ниво: 241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 xml:space="preserve">месец 24:153 </w:t>
      </w:r>
      <w:r w:rsidRPr="006D31AB">
        <w:rPr>
          <w:rFonts w:eastAsia="Times New Roman" w:cs="Arial"/>
          <w:color w:val="000000"/>
          <w:lang w:val="en-US"/>
        </w:rPr>
        <w:t>mg</w:t>
      </w:r>
      <w:r w:rsidRPr="006D31AB">
        <w:rPr>
          <w:rFonts w:eastAsia="Times New Roman" w:cs="Arial"/>
          <w:color w:val="000000"/>
          <w:lang w:val="ru-RU"/>
        </w:rPr>
        <w:t>/</w:t>
      </w:r>
      <w:r w:rsidRPr="006D31AB">
        <w:rPr>
          <w:rFonts w:eastAsia="Times New Roman" w:cs="Arial"/>
          <w:color w:val="000000"/>
          <w:lang w:val="en-US"/>
        </w:rPr>
        <w:t>dl</w:t>
      </w:r>
      <w:r w:rsidRPr="006D31AB">
        <w:rPr>
          <w:rFonts w:eastAsia="Times New Roman" w:cs="Arial"/>
          <w:color w:val="000000"/>
          <w:lang w:val="ru-RU"/>
        </w:rPr>
        <w:t xml:space="preserve">) </w:t>
      </w:r>
      <w:r w:rsidRPr="006D31AB">
        <w:rPr>
          <w:rFonts w:eastAsia="Times New Roman" w:cs="Arial"/>
          <w:color w:val="000000"/>
          <w:lang w:eastAsia="bg-BG"/>
        </w:rPr>
        <w:t>във възрастовите групи 6 до &lt;10,10 до &lt;14 и 14 до &lt;18 съответно.</w:t>
      </w:r>
    </w:p>
    <w:p w14:paraId="16F209A0" w14:textId="77777777" w:rsidR="006D31AB" w:rsidRDefault="006D31AB" w:rsidP="006D31AB">
      <w:pPr>
        <w:spacing w:line="240" w:lineRule="auto"/>
        <w:rPr>
          <w:rFonts w:eastAsia="Times New Roman" w:cs="Arial"/>
          <w:color w:val="000000"/>
          <w:lang w:eastAsia="bg-BG"/>
        </w:rPr>
      </w:pPr>
    </w:p>
    <w:p w14:paraId="6ADF7166" w14:textId="59B1D98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5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и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достигат също статистически значими средни промени спрямо изходно ниво за следните вторични показатели на липидите и липопротеините: </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ТС, </w:t>
      </w:r>
      <w:r w:rsidRPr="006D31AB">
        <w:rPr>
          <w:rFonts w:eastAsia="Times New Roman" w:cs="Arial"/>
          <w:color w:val="000000"/>
          <w:lang w:val="en-US"/>
        </w:rPr>
        <w:t>He</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TG</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не </w:t>
      </w:r>
      <w:r w:rsidRPr="006D31AB">
        <w:rPr>
          <w:rFonts w:eastAsia="Times New Roman" w:cs="Arial"/>
          <w:color w:val="000000"/>
          <w:lang w:val="en-US"/>
        </w:rPr>
        <w:t>HDL</w:t>
      </w:r>
      <w:r w:rsidRPr="006D31AB">
        <w:rPr>
          <w:rFonts w:eastAsia="Times New Roman" w:cs="Arial"/>
          <w:color w:val="000000"/>
          <w:lang w:val="ru-RU"/>
        </w:rPr>
        <w:t xml:space="preserve"> </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АроВ, АроВ/АроА-1. Всяка от тези промени е в посока на подобрен липиден отговор и се поддържа в продължение на 2 години.</w:t>
      </w:r>
    </w:p>
    <w:p w14:paraId="559C0690" w14:textId="77777777" w:rsidR="006D31AB" w:rsidRDefault="006D31AB" w:rsidP="006D31AB">
      <w:pPr>
        <w:spacing w:line="240" w:lineRule="auto"/>
        <w:rPr>
          <w:rFonts w:eastAsia="Times New Roman" w:cs="Arial"/>
          <w:color w:val="000000"/>
          <w:lang w:eastAsia="bg-BG"/>
        </w:rPr>
      </w:pPr>
    </w:p>
    <w:p w14:paraId="190E58BB" w14:textId="5E67F7D8" w:rsidR="006D31AB" w:rsidRPr="006D31AB" w:rsidRDefault="006D31AB" w:rsidP="006D31AB">
      <w:pPr>
        <w:spacing w:line="240" w:lineRule="auto"/>
        <w:rPr>
          <w:rFonts w:eastAsia="Times New Roman" w:cs="Arial"/>
        </w:rPr>
      </w:pPr>
      <w:r w:rsidRPr="006D31AB">
        <w:rPr>
          <w:rFonts w:eastAsia="Times New Roman" w:cs="Arial"/>
          <w:color w:val="000000"/>
          <w:lang w:eastAsia="bg-BG"/>
        </w:rPr>
        <w:t>Не се установява ефект върху растежа, теглото, ИТМ или половото съзряване след 24 месеца на лечение (вж точка 4.4).</w:t>
      </w:r>
    </w:p>
    <w:p w14:paraId="778936CC" w14:textId="77777777" w:rsidR="006D31AB" w:rsidRDefault="006D31AB" w:rsidP="006D31AB">
      <w:pPr>
        <w:spacing w:line="240" w:lineRule="auto"/>
        <w:rPr>
          <w:rFonts w:eastAsia="Times New Roman" w:cs="Arial"/>
          <w:color w:val="000000"/>
          <w:lang w:eastAsia="bg-BG"/>
        </w:rPr>
      </w:pPr>
    </w:p>
    <w:p w14:paraId="566ECF61" w14:textId="5DB4AE22"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е изследван в двойно-сляпо, рандомизирано, мултицентрово, плацебо- контролирано кръстосано проучване с доза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веднъж дневно срещу плацебо, при 14 деца и юноши (на възраст от 6 до 17 години) с хомозиготна фамилна хиперхолестеролемия.</w:t>
      </w:r>
    </w:p>
    <w:p w14:paraId="7416A715"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Проучването включва активна 4-седмична въвеждаща фаза с диета, по време на която пациентите са лекувани с розувастатин 10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кръстосана фаза, която се състои от 6-седмичен период на лечение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предшестван или следван от 6-седмичен период на плацебо и 12-седмична поддържаща фаза, по време на която всички пациенти са били лекувани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Пациентите, които са започнали проучването на терапия с езетимиб или афереза я продължават по време на цялото проучване.</w:t>
      </w:r>
    </w:p>
    <w:p w14:paraId="6462F119" w14:textId="77777777" w:rsidR="006D31AB" w:rsidRDefault="006D31AB" w:rsidP="006D31AB">
      <w:pPr>
        <w:spacing w:line="240" w:lineRule="auto"/>
        <w:rPr>
          <w:rFonts w:eastAsia="Times New Roman" w:cs="Arial"/>
          <w:color w:val="000000"/>
          <w:lang w:eastAsia="bg-BG"/>
        </w:rPr>
      </w:pPr>
    </w:p>
    <w:p w14:paraId="2414D195" w14:textId="66083841"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Наблюдавана е статистически значима (р=0.005)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(22,3%, 85,4 </w:t>
      </w:r>
      <w:r w:rsidRPr="006D31AB">
        <w:rPr>
          <w:rFonts w:eastAsia="Times New Roman" w:cs="Arial"/>
          <w:color w:val="000000"/>
          <w:lang w:val="en-US"/>
        </w:rPr>
        <w:t>mg</w:t>
      </w:r>
      <w:r w:rsidRPr="006D31AB">
        <w:rPr>
          <w:rFonts w:eastAsia="Times New Roman" w:cs="Arial"/>
          <w:color w:val="000000"/>
          <w:lang w:val="ru-RU"/>
        </w:rPr>
        <w:t>/</w:t>
      </w:r>
      <w:proofErr w:type="spellStart"/>
      <w:r w:rsidRPr="006D31AB">
        <w:rPr>
          <w:rFonts w:eastAsia="Times New Roman" w:cs="Arial"/>
          <w:color w:val="000000"/>
          <w:lang w:val="en-US"/>
        </w:rPr>
        <w:t>dL</w:t>
      </w:r>
      <w:proofErr w:type="spellEnd"/>
      <w:r w:rsidRPr="006D31AB">
        <w:rPr>
          <w:rFonts w:eastAsia="Times New Roman" w:cs="Arial"/>
          <w:color w:val="000000"/>
          <w:lang w:val="ru-RU"/>
        </w:rPr>
        <w:t xml:space="preserve"> </w:t>
      </w:r>
      <w:r w:rsidRPr="006D31AB">
        <w:rPr>
          <w:rFonts w:eastAsia="Times New Roman" w:cs="Arial"/>
          <w:color w:val="000000"/>
          <w:lang w:eastAsia="bg-BG"/>
        </w:rPr>
        <w:t xml:space="preserve">или 2,2 </w:t>
      </w:r>
      <w:proofErr w:type="spellStart"/>
      <w:r w:rsidRPr="006D31AB">
        <w:rPr>
          <w:rFonts w:eastAsia="Times New Roman" w:cs="Arial"/>
          <w:color w:val="000000"/>
          <w:lang w:val="en-US"/>
        </w:rPr>
        <w:t>mmol</w:t>
      </w:r>
      <w:proofErr w:type="spellEnd"/>
      <w:r w:rsidRPr="006D31AB">
        <w:rPr>
          <w:rFonts w:eastAsia="Times New Roman" w:cs="Arial"/>
          <w:color w:val="000000"/>
          <w:lang w:val="ru-RU"/>
        </w:rPr>
        <w:t>/</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 xml:space="preserve">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Наблюдавана е статистически значима редукция на Общ-С (20,1%, р=0,003),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(22,9%, р=0,003) и АроВ (17,1%, р=0.024). Редукция се наблюдава също при </w:t>
      </w:r>
      <w:r w:rsidRPr="006D31AB">
        <w:rPr>
          <w:rFonts w:eastAsia="Times New Roman" w:cs="Arial"/>
          <w:color w:val="000000"/>
          <w:lang w:val="en-US"/>
        </w:rPr>
        <w:t>TG</w:t>
      </w:r>
      <w:r w:rsidRPr="006D31AB">
        <w:rPr>
          <w:rFonts w:eastAsia="Times New Roman" w:cs="Arial"/>
          <w:color w:val="000000"/>
          <w:lang w:val="ru-RU"/>
        </w:rPr>
        <w:t xml:space="preserve">,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Общ</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и АроВ/АроА-1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спрямо плацебо. Редукцияна на </w:t>
      </w:r>
      <w:r w:rsidRPr="006D31AB">
        <w:rPr>
          <w:rFonts w:eastAsia="Times New Roman" w:cs="Arial"/>
          <w:color w:val="000000"/>
          <w:lang w:val="en-US"/>
        </w:rPr>
        <w:t>LDL</w:t>
      </w:r>
      <w:r w:rsidRPr="006D31AB">
        <w:rPr>
          <w:rFonts w:eastAsia="Times New Roman" w:cs="Arial"/>
          <w:color w:val="000000"/>
          <w:lang w:eastAsia="bg-BG"/>
        </w:rPr>
        <w:t xml:space="preserve">-С след 6 седмичното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което е последвало 6 седмичен период на плацебо, е била поддържана повече от 12 седмици на продължително лечение. Един пациент е имал следваща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(8,0%), Общ-С (6,7%)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(7,4%), последваща 6 седмично лечение с 40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след повишаване на дозата.</w:t>
      </w:r>
    </w:p>
    <w:p w14:paraId="17E44C8D" w14:textId="77777777" w:rsidR="006D31AB" w:rsidRDefault="006D31AB" w:rsidP="006D31AB">
      <w:pPr>
        <w:spacing w:line="240" w:lineRule="auto"/>
        <w:rPr>
          <w:rFonts w:eastAsia="Times New Roman" w:cs="Arial"/>
          <w:color w:val="000000"/>
          <w:lang w:eastAsia="bg-BG"/>
        </w:rPr>
      </w:pPr>
    </w:p>
    <w:p w14:paraId="4DB90BD5" w14:textId="42C843F8"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По време на разширено отворено лечение при 9 от тези пациенти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 xml:space="preserve">розувастатин до 90 седмици редукцията </w:t>
      </w:r>
      <w:proofErr w:type="spellStart"/>
      <w:r w:rsidRPr="006D31AB">
        <w:rPr>
          <w:rFonts w:eastAsia="Times New Roman" w:cs="Arial"/>
          <w:color w:val="000000"/>
          <w:lang w:val="en-US"/>
        </w:rPr>
        <w:t>HaLDL</w:t>
      </w:r>
      <w:proofErr w:type="spellEnd"/>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е поддържана в рамките на -12,1% до -21,3%.</w:t>
      </w:r>
    </w:p>
    <w:p w14:paraId="7DC3FA84" w14:textId="77777777" w:rsidR="006D31AB" w:rsidRDefault="006D31AB" w:rsidP="006D31AB">
      <w:pPr>
        <w:spacing w:line="240" w:lineRule="auto"/>
        <w:rPr>
          <w:rFonts w:eastAsia="Times New Roman" w:cs="Arial"/>
          <w:color w:val="000000"/>
          <w:lang w:eastAsia="bg-BG"/>
        </w:rPr>
      </w:pPr>
    </w:p>
    <w:p w14:paraId="4F07C7E4" w14:textId="2C596D54"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 7 пациенти (деца и юноши с отчетени резултати) (на възраст от 8 до 17 години) с хомозиготна фамилна хиперхолестеролемия при отвореното проучване с форсирано титриране (вж. по-горе), процентната редукция на </w:t>
      </w:r>
      <w:r w:rsidRPr="006D31AB">
        <w:rPr>
          <w:rFonts w:eastAsia="Times New Roman" w:cs="Arial"/>
          <w:color w:val="000000"/>
          <w:lang w:val="en-US"/>
        </w:rPr>
        <w:t>LDL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Общ-С (19,2%) и </w:t>
      </w:r>
      <w:r w:rsidRPr="006D31AB">
        <w:rPr>
          <w:rFonts w:eastAsia="Times New Roman" w:cs="Arial"/>
          <w:color w:val="000000"/>
          <w:lang w:val="en-US"/>
        </w:rPr>
        <w:t>non</w:t>
      </w:r>
      <w:r w:rsidRPr="006D31AB">
        <w:rPr>
          <w:rFonts w:eastAsia="Times New Roman" w:cs="Arial"/>
          <w:color w:val="000000"/>
          <w:lang w:val="ru-RU"/>
        </w:rPr>
        <w:t>-</w:t>
      </w:r>
      <w:r w:rsidRPr="006D31AB">
        <w:rPr>
          <w:rFonts w:eastAsia="Times New Roman" w:cs="Arial"/>
          <w:color w:val="000000"/>
          <w:lang w:val="en-US"/>
        </w:rPr>
        <w:t>HDL</w:t>
      </w:r>
      <w:r w:rsidRPr="006D31AB">
        <w:rPr>
          <w:rFonts w:eastAsia="Times New Roman" w:cs="Arial"/>
          <w:color w:val="000000"/>
          <w:lang w:val="ru-RU"/>
        </w:rPr>
        <w:t>-</w:t>
      </w:r>
      <w:r w:rsidRPr="006D31AB">
        <w:rPr>
          <w:rFonts w:eastAsia="Times New Roman" w:cs="Arial"/>
          <w:color w:val="000000"/>
          <w:lang w:val="en-US"/>
        </w:rPr>
        <w:t>C</w:t>
      </w:r>
      <w:r w:rsidRPr="006D31AB">
        <w:rPr>
          <w:rFonts w:eastAsia="Times New Roman" w:cs="Arial"/>
          <w:color w:val="000000"/>
          <w:lang w:val="ru-RU"/>
        </w:rPr>
        <w:t xml:space="preserve"> </w:t>
      </w:r>
      <w:r w:rsidRPr="006D31AB">
        <w:rPr>
          <w:rFonts w:eastAsia="Times New Roman" w:cs="Arial"/>
          <w:color w:val="000000"/>
          <w:lang w:eastAsia="bg-BG"/>
        </w:rPr>
        <w:t xml:space="preserve">(21,0%) от изходната стойност след 6-седмично лечение с 20 </w:t>
      </w:r>
      <w:r w:rsidRPr="006D31AB">
        <w:rPr>
          <w:rFonts w:eastAsia="Times New Roman" w:cs="Arial"/>
          <w:color w:val="000000"/>
          <w:lang w:val="en-US"/>
        </w:rPr>
        <w:t>mg</w:t>
      </w:r>
      <w:r w:rsidRPr="006D31AB">
        <w:rPr>
          <w:rFonts w:eastAsia="Times New Roman" w:cs="Arial"/>
          <w:color w:val="000000"/>
          <w:lang w:val="ru-RU"/>
        </w:rPr>
        <w:t xml:space="preserve"> </w:t>
      </w:r>
      <w:r w:rsidRPr="006D31AB">
        <w:rPr>
          <w:rFonts w:eastAsia="Times New Roman" w:cs="Arial"/>
          <w:color w:val="000000"/>
          <w:lang w:eastAsia="bg-BG"/>
        </w:rPr>
        <w:t>розувастатин е била съвместима с тази, наблюдавана в споменатото преди проучване при деца и юноши с хомозиготна фамилна хиперхолестеролемия.</w:t>
      </w:r>
    </w:p>
    <w:p w14:paraId="47172DF9" w14:textId="77777777" w:rsidR="006D31AB" w:rsidRDefault="006D31AB" w:rsidP="006D31AB">
      <w:pPr>
        <w:spacing w:line="240" w:lineRule="auto"/>
        <w:rPr>
          <w:rFonts w:eastAsia="Times New Roman" w:cs="Arial"/>
          <w:color w:val="000000"/>
          <w:lang w:eastAsia="bg-BG"/>
        </w:rPr>
      </w:pPr>
    </w:p>
    <w:p w14:paraId="788C43AD" w14:textId="626E9356" w:rsidR="006D31AB" w:rsidRPr="006D31AB" w:rsidRDefault="006D31AB" w:rsidP="006D31AB">
      <w:pPr>
        <w:spacing w:line="240" w:lineRule="auto"/>
        <w:rPr>
          <w:rFonts w:eastAsia="Times New Roman" w:cs="Arial"/>
        </w:rPr>
      </w:pPr>
      <w:r w:rsidRPr="006D31AB">
        <w:rPr>
          <w:rFonts w:eastAsia="Times New Roman" w:cs="Arial"/>
          <w:color w:val="000000"/>
          <w:lang w:eastAsia="bg-BG"/>
        </w:rPr>
        <w:t>Европейската агенция по лекарствата освобождава от задължението за предоставяне на резултатите от проучванията с розувастатин при всички подгрупи от педиатричната популация за лечение на хомозиготна фамилна хиперхолестеролемия, първично комбинирана (смесена) дислипидемия и за профилактика на сърдечносъдовите събития (вж. точка 4.2 за информация относно употреба в педиатрията).</w:t>
      </w:r>
    </w:p>
    <w:p w14:paraId="4648B9A9" w14:textId="5C484818" w:rsidR="006D31AB" w:rsidRPr="006D31AB" w:rsidRDefault="006D31AB" w:rsidP="006D31AB">
      <w:pPr>
        <w:rPr>
          <w:rFonts w:cs="Arial"/>
        </w:rPr>
      </w:pPr>
    </w:p>
    <w:p w14:paraId="346B622B" w14:textId="5F4B7A3A" w:rsidR="00875EEC" w:rsidRDefault="002C50EE" w:rsidP="005726E3">
      <w:pPr>
        <w:pStyle w:val="Heading2"/>
      </w:pPr>
      <w:r>
        <w:lastRenderedPageBreak/>
        <w:t>5.2. Фармакокинетични свойства</w:t>
      </w:r>
    </w:p>
    <w:p w14:paraId="6D9CFBED" w14:textId="3A79B2C7" w:rsidR="006D31AB" w:rsidRDefault="006D31AB" w:rsidP="006D31AB"/>
    <w:p w14:paraId="3DC22CFA" w14:textId="77777777" w:rsidR="006D31AB" w:rsidRPr="006D31AB" w:rsidRDefault="006D31AB" w:rsidP="006D31AB">
      <w:pPr>
        <w:pStyle w:val="Heading3"/>
        <w:rPr>
          <w:rFonts w:eastAsia="Times New Roman"/>
          <w:i/>
        </w:rPr>
      </w:pPr>
      <w:r w:rsidRPr="006D31AB">
        <w:rPr>
          <w:rFonts w:eastAsia="Times New Roman"/>
          <w:i/>
          <w:lang w:eastAsia="bg-BG"/>
        </w:rPr>
        <w:t>Абсорбция</w:t>
      </w:r>
    </w:p>
    <w:p w14:paraId="5D44422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Максимални плазмени нива се достигат приблизително 5 часа след перорално приемане. Абсолютната бионаличност е приблизително 20%.</w:t>
      </w:r>
    </w:p>
    <w:p w14:paraId="51F5E683" w14:textId="77777777" w:rsidR="006D31AB" w:rsidRPr="006D31AB" w:rsidRDefault="006D31AB" w:rsidP="006D31AB">
      <w:pPr>
        <w:spacing w:line="240" w:lineRule="auto"/>
        <w:rPr>
          <w:rFonts w:eastAsia="Times New Roman" w:cs="Arial"/>
          <w:i/>
          <w:iCs/>
          <w:color w:val="000000"/>
          <w:lang w:eastAsia="bg-BG"/>
        </w:rPr>
      </w:pPr>
    </w:p>
    <w:p w14:paraId="1EAB532D" w14:textId="61991C02" w:rsidR="006D31AB" w:rsidRPr="006D31AB" w:rsidRDefault="006D31AB" w:rsidP="006D31AB">
      <w:pPr>
        <w:pStyle w:val="Heading3"/>
        <w:rPr>
          <w:rFonts w:eastAsia="Times New Roman"/>
          <w:i/>
          <w:lang w:eastAsia="bg-BG"/>
        </w:rPr>
      </w:pPr>
      <w:r w:rsidRPr="006D31AB">
        <w:rPr>
          <w:rFonts w:eastAsia="Times New Roman"/>
          <w:i/>
          <w:lang w:eastAsia="bg-BG"/>
        </w:rPr>
        <w:t>Разпределение</w:t>
      </w:r>
    </w:p>
    <w:p w14:paraId="7A7C6A3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Розувастатин се поема основно от черният дроб, който е основното място на синтезиране на холестерола и клирънс на </w:t>
      </w:r>
      <w:r w:rsidRPr="006D31AB">
        <w:rPr>
          <w:rFonts w:eastAsia="Times New Roman" w:cs="Arial"/>
          <w:color w:val="000000"/>
          <w:lang w:val="en-US"/>
        </w:rPr>
        <w:t>LDL</w:t>
      </w:r>
      <w:r w:rsidRPr="006D31AB">
        <w:rPr>
          <w:rFonts w:eastAsia="Times New Roman" w:cs="Arial"/>
          <w:color w:val="000000"/>
          <w:lang w:eastAsia="bg-BG"/>
        </w:rPr>
        <w:t xml:space="preserve">-холестерола. Обемът на разпределение на розувастатин е приблизително </w:t>
      </w:r>
      <w:r w:rsidRPr="006D31AB">
        <w:rPr>
          <w:rFonts w:eastAsia="Times New Roman" w:cs="Arial"/>
          <w:color w:val="000000"/>
          <w:lang w:val="ru-RU"/>
        </w:rPr>
        <w:t>134</w:t>
      </w:r>
      <w:r w:rsidRPr="006D31AB">
        <w:rPr>
          <w:rFonts w:eastAsia="Times New Roman" w:cs="Arial"/>
          <w:color w:val="000000"/>
          <w:lang w:val="en-US"/>
        </w:rPr>
        <w:t>L</w:t>
      </w:r>
      <w:r w:rsidRPr="006D31AB">
        <w:rPr>
          <w:rFonts w:eastAsia="Times New Roman" w:cs="Arial"/>
          <w:color w:val="000000"/>
          <w:lang w:val="ru-RU"/>
        </w:rPr>
        <w:t xml:space="preserve">. </w:t>
      </w:r>
      <w:r w:rsidRPr="006D31AB">
        <w:rPr>
          <w:rFonts w:eastAsia="Times New Roman" w:cs="Arial"/>
          <w:color w:val="000000"/>
          <w:lang w:eastAsia="bg-BG"/>
        </w:rPr>
        <w:t>Розувастатин е свързан с плазмените протеини, предимно с албумин, приблизително в 90%.</w:t>
      </w:r>
    </w:p>
    <w:p w14:paraId="364202D4" w14:textId="77777777" w:rsidR="006D31AB" w:rsidRDefault="006D31AB" w:rsidP="006D31AB">
      <w:pPr>
        <w:spacing w:line="240" w:lineRule="auto"/>
        <w:rPr>
          <w:rFonts w:eastAsia="Times New Roman" w:cs="Arial"/>
          <w:i/>
          <w:iCs/>
          <w:color w:val="000000"/>
          <w:lang w:eastAsia="bg-BG"/>
        </w:rPr>
      </w:pPr>
    </w:p>
    <w:p w14:paraId="1204DB1D" w14:textId="4661F006" w:rsidR="006D31AB" w:rsidRPr="006D31AB" w:rsidRDefault="006D31AB" w:rsidP="006D31AB">
      <w:pPr>
        <w:pStyle w:val="Heading3"/>
        <w:rPr>
          <w:rFonts w:eastAsia="Times New Roman"/>
          <w:i/>
        </w:rPr>
      </w:pPr>
      <w:r w:rsidRPr="006D31AB">
        <w:rPr>
          <w:rFonts w:eastAsia="Times New Roman"/>
          <w:i/>
          <w:lang w:eastAsia="bg-BG"/>
        </w:rPr>
        <w:t>Биотрансформация</w:t>
      </w:r>
    </w:p>
    <w:p w14:paraId="5F56B47C"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Метаболизмът на розувастатин е ограничен (приблизително 10%). </w:t>
      </w:r>
      <w:r w:rsidRPr="006D31AB">
        <w:rPr>
          <w:rFonts w:eastAsia="Times New Roman" w:cs="Arial"/>
          <w:color w:val="000000"/>
          <w:lang w:val="en-US"/>
        </w:rPr>
        <w:t>In</w:t>
      </w:r>
      <w:r w:rsidRPr="006D31AB">
        <w:rPr>
          <w:rFonts w:eastAsia="Times New Roman" w:cs="Arial"/>
          <w:color w:val="000000"/>
          <w:lang w:eastAsia="bg-BG"/>
        </w:rPr>
        <w:t xml:space="preserve"> </w:t>
      </w:r>
      <w:r w:rsidRPr="006D31AB">
        <w:rPr>
          <w:rFonts w:eastAsia="Times New Roman" w:cs="Arial"/>
          <w:i/>
          <w:iCs/>
          <w:color w:val="000000"/>
          <w:lang w:val="en-US"/>
        </w:rPr>
        <w:t>vitro</w:t>
      </w:r>
      <w:r w:rsidRPr="006D31AB">
        <w:rPr>
          <w:rFonts w:eastAsia="Times New Roman" w:cs="Arial"/>
          <w:color w:val="000000"/>
          <w:lang w:val="ru-RU"/>
        </w:rPr>
        <w:t xml:space="preserve"> </w:t>
      </w:r>
      <w:r w:rsidRPr="006D31AB">
        <w:rPr>
          <w:rFonts w:eastAsia="Times New Roman" w:cs="Arial"/>
          <w:color w:val="000000"/>
          <w:lang w:eastAsia="bg-BG"/>
        </w:rPr>
        <w:t xml:space="preserve">проучвания на метаболизма с използване на човешки хепатоцити показват, че розувастатин е неподходящ субстрат за цитохром Р450 обусловеният метаболизъм. </w:t>
      </w:r>
      <w:r w:rsidRPr="006D31AB">
        <w:rPr>
          <w:rFonts w:eastAsia="Times New Roman" w:cs="Arial"/>
          <w:color w:val="000000"/>
          <w:lang w:val="en-US"/>
        </w:rPr>
        <w:t>CYP</w:t>
      </w:r>
      <w:r w:rsidRPr="006D31AB">
        <w:rPr>
          <w:rFonts w:eastAsia="Times New Roman" w:cs="Arial"/>
          <w:color w:val="000000"/>
          <w:lang w:val="ru-RU"/>
        </w:rPr>
        <w:t>2</w:t>
      </w:r>
      <w:r w:rsidRPr="006D31AB">
        <w:rPr>
          <w:rFonts w:eastAsia="Times New Roman" w:cs="Arial"/>
          <w:color w:val="000000"/>
          <w:lang w:val="en-US"/>
        </w:rPr>
        <w:t>C</w:t>
      </w:r>
      <w:r w:rsidRPr="006D31AB">
        <w:rPr>
          <w:rFonts w:eastAsia="Times New Roman" w:cs="Arial"/>
          <w:color w:val="000000"/>
          <w:lang w:val="ru-RU"/>
        </w:rPr>
        <w:t xml:space="preserve">9 </w:t>
      </w:r>
      <w:r w:rsidRPr="006D31AB">
        <w:rPr>
          <w:rFonts w:eastAsia="Times New Roman" w:cs="Arial"/>
          <w:color w:val="000000"/>
          <w:lang w:eastAsia="bg-BG"/>
        </w:rPr>
        <w:t xml:space="preserve">е основният изоензим, който участва в метаболизма на розувастатин, </w:t>
      </w:r>
      <w:r w:rsidRPr="006D31AB">
        <w:rPr>
          <w:rFonts w:eastAsia="Times New Roman" w:cs="Arial"/>
          <w:color w:val="000000"/>
          <w:lang w:val="en-US"/>
        </w:rPr>
        <w:t>a</w:t>
      </w:r>
      <w:r w:rsidRPr="006D31AB">
        <w:rPr>
          <w:rFonts w:eastAsia="Times New Roman" w:cs="Arial"/>
          <w:color w:val="000000"/>
          <w:lang w:val="ru-RU"/>
        </w:rPr>
        <w:t xml:space="preserve"> </w:t>
      </w:r>
      <w:r w:rsidRPr="006D31AB">
        <w:rPr>
          <w:rFonts w:eastAsia="Times New Roman" w:cs="Arial"/>
          <w:color w:val="000000"/>
          <w:lang w:eastAsia="bg-BG"/>
        </w:rPr>
        <w:t xml:space="preserve">2С19, ЗА4 и </w:t>
      </w:r>
      <w:r w:rsidRPr="006D31AB">
        <w:rPr>
          <w:rFonts w:eastAsia="Times New Roman" w:cs="Arial"/>
          <w:color w:val="000000"/>
          <w:lang w:val="ru-RU"/>
        </w:rPr>
        <w:t>2</w:t>
      </w:r>
      <w:r w:rsidRPr="006D31AB">
        <w:rPr>
          <w:rFonts w:eastAsia="Times New Roman" w:cs="Arial"/>
          <w:color w:val="000000"/>
          <w:lang w:val="en-US"/>
        </w:rPr>
        <w:t>D</w:t>
      </w:r>
      <w:r w:rsidRPr="006D31AB">
        <w:rPr>
          <w:rFonts w:eastAsia="Times New Roman" w:cs="Arial"/>
          <w:color w:val="000000"/>
          <w:lang w:val="ru-RU"/>
        </w:rPr>
        <w:t xml:space="preserve">6 </w:t>
      </w:r>
      <w:r w:rsidRPr="006D31AB">
        <w:rPr>
          <w:rFonts w:eastAsia="Times New Roman" w:cs="Arial"/>
          <w:color w:val="000000"/>
          <w:lang w:eastAsia="bg-BG"/>
        </w:rPr>
        <w:t xml:space="preserve">участват в по-малка степен. Основните метаболити са </w:t>
      </w:r>
      <w:r w:rsidRPr="006D31AB">
        <w:rPr>
          <w:rFonts w:eastAsia="Times New Roman" w:cs="Arial"/>
          <w:color w:val="000000"/>
          <w:lang w:val="en-US"/>
        </w:rPr>
        <w:t>N</w:t>
      </w:r>
      <w:r w:rsidRPr="006D31AB">
        <w:rPr>
          <w:rFonts w:eastAsia="Times New Roman" w:cs="Arial"/>
          <w:color w:val="000000"/>
          <w:lang w:eastAsia="bg-BG"/>
        </w:rPr>
        <w:t xml:space="preserve">-дезметил и лактон. </w:t>
      </w:r>
      <w:r w:rsidRPr="006D31AB">
        <w:rPr>
          <w:rFonts w:eastAsia="Times New Roman" w:cs="Arial"/>
          <w:color w:val="000000"/>
          <w:lang w:val="en-US"/>
        </w:rPr>
        <w:t>N</w:t>
      </w:r>
      <w:r w:rsidRPr="006D31AB">
        <w:rPr>
          <w:rFonts w:eastAsia="Times New Roman" w:cs="Arial"/>
          <w:color w:val="000000"/>
          <w:lang w:eastAsia="bg-BG"/>
        </w:rPr>
        <w:t xml:space="preserve">-дезметил е около 50% по-малко активен в сравнение с розувастатин, докато лактона се счита за клинично неактивен. Розувастатин представлява повече от 90% от активността на циркулиращия инхибитор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w:t>
      </w:r>
    </w:p>
    <w:p w14:paraId="6992845B" w14:textId="77777777" w:rsidR="006D31AB" w:rsidRDefault="006D31AB" w:rsidP="006D31AB">
      <w:pPr>
        <w:spacing w:line="240" w:lineRule="auto"/>
        <w:rPr>
          <w:rFonts w:eastAsia="Times New Roman" w:cs="Arial"/>
          <w:i/>
          <w:iCs/>
          <w:color w:val="000000"/>
          <w:lang w:eastAsia="bg-BG"/>
        </w:rPr>
      </w:pPr>
    </w:p>
    <w:p w14:paraId="1C56E7CB" w14:textId="1D734108" w:rsidR="006D31AB" w:rsidRPr="006D31AB" w:rsidRDefault="006D31AB" w:rsidP="006D31AB">
      <w:pPr>
        <w:pStyle w:val="Heading3"/>
        <w:rPr>
          <w:rFonts w:eastAsia="Times New Roman"/>
          <w:i/>
        </w:rPr>
      </w:pPr>
      <w:r w:rsidRPr="006D31AB">
        <w:rPr>
          <w:rFonts w:eastAsia="Times New Roman"/>
          <w:i/>
          <w:lang w:eastAsia="bg-BG"/>
        </w:rPr>
        <w:t>Елиминиране</w:t>
      </w:r>
    </w:p>
    <w:p w14:paraId="4D071C0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Приблизително 90% от дозата розувастатин се елиминира като непроменено лекарство с фекалиите (състоящо се от абсорбирано и неабсорбирано активно вещество), като останалата част се екскретира с урината. Около 5% се екскретира непроменен в урината. Плазменият му полуживот е около 19 часа. Времето на полуживот не се увеличава при по-високи дози. Средният плазмен клирънс е приблизително 50 литра/час (коефициент на вариабилност 21,7%). Както при други инхибитори на </w:t>
      </w:r>
      <w:r w:rsidRPr="006D31AB">
        <w:rPr>
          <w:rFonts w:eastAsia="Times New Roman" w:cs="Arial"/>
          <w:color w:val="000000"/>
          <w:lang w:val="en-US"/>
        </w:rPr>
        <w:t>HMG</w:t>
      </w:r>
      <w:r w:rsidRPr="006D31AB">
        <w:rPr>
          <w:rFonts w:eastAsia="Times New Roman" w:cs="Arial"/>
          <w:color w:val="000000"/>
          <w:lang w:val="ru-RU"/>
        </w:rPr>
        <w:t>-</w:t>
      </w:r>
      <w:r w:rsidRPr="006D31AB">
        <w:rPr>
          <w:rFonts w:eastAsia="Times New Roman" w:cs="Arial"/>
          <w:color w:val="000000"/>
          <w:lang w:val="en-US"/>
        </w:rPr>
        <w:t>CoA</w:t>
      </w:r>
      <w:r w:rsidRPr="006D31AB">
        <w:rPr>
          <w:rFonts w:eastAsia="Times New Roman" w:cs="Arial"/>
          <w:color w:val="000000"/>
          <w:lang w:val="ru-RU"/>
        </w:rPr>
        <w:t xml:space="preserve"> </w:t>
      </w:r>
      <w:r w:rsidRPr="006D31AB">
        <w:rPr>
          <w:rFonts w:eastAsia="Times New Roman" w:cs="Arial"/>
          <w:color w:val="000000"/>
          <w:lang w:eastAsia="bg-BG"/>
        </w:rPr>
        <w:t>редуктазата, чернодробното поемане на розувастатин включва мембранният преносител ОАТР-С. Този преносител е важен за чернодробното елиминиране на розувастатин.</w:t>
      </w:r>
    </w:p>
    <w:p w14:paraId="6E8E6F65" w14:textId="77777777" w:rsidR="006D31AB" w:rsidRDefault="006D31AB" w:rsidP="006D31AB">
      <w:pPr>
        <w:spacing w:line="240" w:lineRule="auto"/>
        <w:rPr>
          <w:rFonts w:eastAsia="Times New Roman" w:cs="Arial"/>
          <w:i/>
          <w:iCs/>
          <w:color w:val="000000"/>
          <w:lang w:eastAsia="bg-BG"/>
        </w:rPr>
      </w:pPr>
    </w:p>
    <w:p w14:paraId="24CC1F9A" w14:textId="34EC7698" w:rsidR="006D31AB" w:rsidRPr="006D31AB" w:rsidRDefault="006D31AB" w:rsidP="006D31AB">
      <w:pPr>
        <w:pStyle w:val="Heading3"/>
        <w:rPr>
          <w:rFonts w:eastAsia="Times New Roman"/>
          <w:i/>
        </w:rPr>
      </w:pPr>
      <w:r w:rsidRPr="006D31AB">
        <w:rPr>
          <w:rFonts w:eastAsia="Times New Roman"/>
          <w:i/>
          <w:lang w:eastAsia="bg-BG"/>
        </w:rPr>
        <w:t>Линейност</w:t>
      </w:r>
    </w:p>
    <w:p w14:paraId="45E51A9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Системната експозиция на розувастатин се увеличава пропорционално на приеманата доза. Няма промяна във фармакокинетичните параметри при многократно дозиране.</w:t>
      </w:r>
    </w:p>
    <w:p w14:paraId="6738EF93" w14:textId="77777777" w:rsidR="006D31AB" w:rsidRDefault="006D31AB" w:rsidP="006D31AB">
      <w:pPr>
        <w:spacing w:line="240" w:lineRule="auto"/>
        <w:rPr>
          <w:rFonts w:eastAsia="Times New Roman" w:cs="Arial"/>
          <w:b/>
          <w:bCs/>
          <w:color w:val="000000"/>
          <w:lang w:eastAsia="bg-BG"/>
        </w:rPr>
      </w:pPr>
    </w:p>
    <w:p w14:paraId="013A86FA" w14:textId="69546F26"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Специални групи пациенти</w:t>
      </w:r>
    </w:p>
    <w:p w14:paraId="0E1FA8B8" w14:textId="77777777" w:rsidR="006D31AB" w:rsidRDefault="006D31AB" w:rsidP="006D31AB">
      <w:pPr>
        <w:spacing w:line="240" w:lineRule="auto"/>
        <w:rPr>
          <w:rFonts w:eastAsia="Times New Roman" w:cs="Arial"/>
          <w:color w:val="000000"/>
          <w:u w:val="single"/>
          <w:lang w:eastAsia="bg-BG"/>
        </w:rPr>
      </w:pPr>
    </w:p>
    <w:p w14:paraId="3D58D00E" w14:textId="0E4BD46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Възраст и пол</w:t>
      </w:r>
    </w:p>
    <w:p w14:paraId="13327B8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Възрастта и пола при възрастни нямат клинично значим ефект върху фармакокинетиката на розувастатин. Експозицията при деца и юноши с хетерозиготна фамилна хиперхолестеролемия изглежда е сходна или по-ниска от тази при възрастни пациенти с дислипидемия (вж. по-долу „Педиатрична популация“)</w:t>
      </w:r>
    </w:p>
    <w:p w14:paraId="407497CC" w14:textId="77777777" w:rsidR="006D31AB" w:rsidRDefault="006D31AB" w:rsidP="006D31AB">
      <w:pPr>
        <w:spacing w:line="240" w:lineRule="auto"/>
        <w:rPr>
          <w:rFonts w:eastAsia="Times New Roman" w:cs="Arial"/>
          <w:color w:val="000000"/>
          <w:u w:val="single"/>
          <w:lang w:eastAsia="bg-BG"/>
        </w:rPr>
      </w:pPr>
    </w:p>
    <w:p w14:paraId="12B9080A" w14:textId="6F984AA5"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Раса</w:t>
      </w:r>
    </w:p>
    <w:p w14:paraId="5F762AFE"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Фармакокинетичните проучвания показват почти 2-кратно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vertAlign w:val="subscript"/>
          <w:lang w:val="en-US"/>
        </w:rPr>
        <w:t>max</w:t>
      </w:r>
      <w:r w:rsidRPr="006D31AB">
        <w:rPr>
          <w:rFonts w:eastAsia="Times New Roman" w:cs="Arial"/>
          <w:color w:val="000000"/>
          <w:lang w:eastAsia="bg-BG"/>
        </w:rPr>
        <w:t xml:space="preserve"> при пациентите от азиатски произход (японци, китайци, филипинци, виетнамци и корейци) в сравнение с представителите на бялата раса. Азиато-индианците показват приблизително 1,3- кратно повишаване на средната </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и С</w:t>
      </w:r>
      <w:r w:rsidRPr="006D31AB">
        <w:rPr>
          <w:rFonts w:eastAsia="Times New Roman" w:cs="Arial"/>
          <w:color w:val="000000"/>
          <w:lang w:val="en-US"/>
        </w:rPr>
        <w:t>m</w:t>
      </w:r>
      <w:r w:rsidRPr="006D31AB">
        <w:rPr>
          <w:rFonts w:eastAsia="Times New Roman" w:cs="Arial"/>
          <w:color w:val="000000"/>
          <w:lang w:eastAsia="bg-BG"/>
        </w:rPr>
        <w:t xml:space="preserve">ах. Популационният </w:t>
      </w:r>
      <w:r w:rsidRPr="006D31AB">
        <w:rPr>
          <w:rFonts w:eastAsia="Times New Roman" w:cs="Arial"/>
          <w:color w:val="000000"/>
          <w:lang w:eastAsia="bg-BG"/>
        </w:rPr>
        <w:lastRenderedPageBreak/>
        <w:t>фармакокинетичен анализ не показва клинично значими различия във фармакокинетиката между групите от бялата и черна раса.</w:t>
      </w:r>
    </w:p>
    <w:p w14:paraId="45545923" w14:textId="77777777" w:rsidR="006D31AB" w:rsidRDefault="006D31AB" w:rsidP="006D31AB">
      <w:pPr>
        <w:spacing w:line="240" w:lineRule="auto"/>
        <w:rPr>
          <w:rFonts w:eastAsia="Times New Roman" w:cs="Arial"/>
          <w:color w:val="000000"/>
          <w:u w:val="single"/>
          <w:lang w:eastAsia="bg-BG"/>
        </w:rPr>
      </w:pPr>
    </w:p>
    <w:p w14:paraId="535C376D" w14:textId="53F050B0"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Бъбречна недостатъчност</w:t>
      </w:r>
    </w:p>
    <w:p w14:paraId="13C732AF"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увреждане на бъбречната функция, лекото до умерено бъбречно увреждане не е повлияло плазмените концентрации на розувастатин или на неговия </w:t>
      </w:r>
      <w:r w:rsidRPr="006D31AB">
        <w:rPr>
          <w:rFonts w:eastAsia="Times New Roman" w:cs="Arial"/>
          <w:color w:val="000000"/>
          <w:lang w:val="en-US"/>
        </w:rPr>
        <w:t>N</w:t>
      </w:r>
      <w:r w:rsidRPr="006D31AB">
        <w:rPr>
          <w:rFonts w:eastAsia="Times New Roman" w:cs="Arial"/>
          <w:color w:val="000000"/>
          <w:lang w:eastAsia="bg-BG"/>
        </w:rPr>
        <w:t>-дезметил метаболит.</w:t>
      </w:r>
    </w:p>
    <w:p w14:paraId="5BF00E2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Обаче лица с тежко увреждане на бъбречната функция </w:t>
      </w:r>
      <w:r w:rsidRPr="006D31AB">
        <w:rPr>
          <w:rFonts w:eastAsia="Times New Roman" w:cs="Arial"/>
          <w:color w:val="000000"/>
          <w:lang w:val="ru-RU"/>
        </w:rPr>
        <w:t>(</w:t>
      </w:r>
      <w:proofErr w:type="spellStart"/>
      <w:r w:rsidRPr="006D31AB">
        <w:rPr>
          <w:rFonts w:eastAsia="Times New Roman" w:cs="Arial"/>
          <w:color w:val="000000"/>
          <w:lang w:val="en-US"/>
        </w:rPr>
        <w:t>CrCl</w:t>
      </w:r>
      <w:proofErr w:type="spellEnd"/>
      <w:r w:rsidRPr="006D31AB">
        <w:rPr>
          <w:rFonts w:eastAsia="Times New Roman" w:cs="Arial"/>
          <w:color w:val="000000"/>
          <w:lang w:val="ru-RU"/>
        </w:rPr>
        <w:t xml:space="preserve">&lt;30 </w:t>
      </w:r>
      <w:r w:rsidRPr="006D31AB">
        <w:rPr>
          <w:rFonts w:eastAsia="Times New Roman" w:cs="Arial"/>
          <w:color w:val="000000"/>
          <w:lang w:val="en-US"/>
        </w:rPr>
        <w:t>ml</w:t>
      </w:r>
      <w:r w:rsidRPr="006D31AB">
        <w:rPr>
          <w:rFonts w:eastAsia="Times New Roman" w:cs="Arial"/>
          <w:color w:val="000000"/>
          <w:lang w:val="ru-RU"/>
        </w:rPr>
        <w:t>/</w:t>
      </w:r>
      <w:r w:rsidRPr="006D31AB">
        <w:rPr>
          <w:rFonts w:eastAsia="Times New Roman" w:cs="Arial"/>
          <w:color w:val="000000"/>
          <w:lang w:val="en-US"/>
        </w:rPr>
        <w:t>min</w:t>
      </w:r>
      <w:r w:rsidRPr="006D31AB">
        <w:rPr>
          <w:rFonts w:eastAsia="Times New Roman" w:cs="Arial"/>
          <w:color w:val="000000"/>
          <w:lang w:val="ru-RU"/>
        </w:rPr>
        <w:t xml:space="preserve">) </w:t>
      </w:r>
      <w:r w:rsidRPr="006D31AB">
        <w:rPr>
          <w:rFonts w:eastAsia="Times New Roman" w:cs="Arial"/>
          <w:color w:val="000000"/>
          <w:lang w:eastAsia="bg-BG"/>
        </w:rPr>
        <w:t xml:space="preserve">са имали 3-кратно увеличение на плазмената концентрация в сравнение със здрави доброволци и 9 пъти по-висока концентрация на </w:t>
      </w:r>
      <w:r w:rsidRPr="006D31AB">
        <w:rPr>
          <w:rFonts w:eastAsia="Times New Roman" w:cs="Arial"/>
          <w:color w:val="000000"/>
          <w:lang w:val="en-US"/>
        </w:rPr>
        <w:t>N</w:t>
      </w:r>
      <w:r w:rsidRPr="006D31AB">
        <w:rPr>
          <w:rFonts w:eastAsia="Times New Roman" w:cs="Arial"/>
          <w:color w:val="000000"/>
          <w:lang w:eastAsia="bg-BG"/>
        </w:rPr>
        <w:t>-дезметил метаболита. Равновесните плазмени концентрации на розувастатин при пациенти на хемодиализа са приблизително 50% по-високи в сравнение със здрави доброволци.</w:t>
      </w:r>
    </w:p>
    <w:p w14:paraId="3C5630B5" w14:textId="77777777" w:rsidR="006D31AB" w:rsidRDefault="006D31AB" w:rsidP="006D31AB">
      <w:pPr>
        <w:spacing w:line="240" w:lineRule="auto"/>
        <w:rPr>
          <w:rFonts w:eastAsia="Times New Roman" w:cs="Arial"/>
          <w:color w:val="000000"/>
          <w:u w:val="single"/>
          <w:lang w:eastAsia="bg-BG"/>
        </w:rPr>
      </w:pPr>
    </w:p>
    <w:p w14:paraId="49D4728F" w14:textId="4FEC6E74" w:rsidR="006D31AB" w:rsidRPr="006D31AB" w:rsidRDefault="006D31AB" w:rsidP="006D31AB">
      <w:pPr>
        <w:spacing w:line="240" w:lineRule="auto"/>
        <w:rPr>
          <w:rFonts w:eastAsia="Times New Roman" w:cs="Arial"/>
        </w:rPr>
      </w:pPr>
      <w:r w:rsidRPr="006D31AB">
        <w:rPr>
          <w:rFonts w:eastAsia="Times New Roman" w:cs="Arial"/>
          <w:color w:val="000000"/>
          <w:u w:val="single"/>
          <w:lang w:eastAsia="bg-BG"/>
        </w:rPr>
        <w:t>Чернодробна недостатъчност</w:t>
      </w:r>
    </w:p>
    <w:p w14:paraId="7FD7B26A"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В клинично проучване при лица с различна степен на чернодробно увреждане не са получени данни за повишена експозиция на розувастатин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7 или по- ниска. Въпреки това, при двама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8 и 9 системната експозиция е била увеличена най-малко 2 пъти в сравнение с лица с по-ниска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 xml:space="preserve">Няма опит при пациенти с оценка по </w:t>
      </w:r>
      <w:r w:rsidRPr="006D31AB">
        <w:rPr>
          <w:rFonts w:eastAsia="Times New Roman" w:cs="Arial"/>
          <w:color w:val="000000"/>
          <w:lang w:val="en-US"/>
        </w:rPr>
        <w:t>Child</w:t>
      </w:r>
      <w:r w:rsidRPr="006D31AB">
        <w:rPr>
          <w:rFonts w:eastAsia="Times New Roman" w:cs="Arial"/>
          <w:color w:val="000000"/>
          <w:lang w:val="ru-RU"/>
        </w:rPr>
        <w:t>-</w:t>
      </w:r>
      <w:r w:rsidRPr="006D31AB">
        <w:rPr>
          <w:rFonts w:eastAsia="Times New Roman" w:cs="Arial"/>
          <w:color w:val="000000"/>
          <w:lang w:val="en-US"/>
        </w:rPr>
        <w:t>Pugh</w:t>
      </w:r>
      <w:r w:rsidRPr="006D31AB">
        <w:rPr>
          <w:rFonts w:eastAsia="Times New Roman" w:cs="Arial"/>
          <w:color w:val="000000"/>
          <w:lang w:val="ru-RU"/>
        </w:rPr>
        <w:t xml:space="preserve"> </w:t>
      </w:r>
      <w:r w:rsidRPr="006D31AB">
        <w:rPr>
          <w:rFonts w:eastAsia="Times New Roman" w:cs="Arial"/>
          <w:color w:val="000000"/>
          <w:lang w:eastAsia="bg-BG"/>
        </w:rPr>
        <w:t>над 9.</w:t>
      </w:r>
    </w:p>
    <w:p w14:paraId="13754C4C" w14:textId="77777777" w:rsidR="006D31AB" w:rsidRDefault="006D31AB" w:rsidP="006D31AB">
      <w:pPr>
        <w:spacing w:line="240" w:lineRule="auto"/>
        <w:rPr>
          <w:rFonts w:eastAsia="Times New Roman" w:cs="Arial"/>
          <w:color w:val="000000"/>
          <w:lang w:eastAsia="bg-BG"/>
        </w:rPr>
      </w:pPr>
    </w:p>
    <w:p w14:paraId="10E49A46" w14:textId="5731256B" w:rsidR="006D31AB" w:rsidRPr="006D31AB" w:rsidRDefault="006D31AB" w:rsidP="006D31AB">
      <w:pPr>
        <w:spacing w:line="240" w:lineRule="auto"/>
        <w:rPr>
          <w:rFonts w:eastAsia="Times New Roman" w:cs="Arial"/>
        </w:rPr>
      </w:pPr>
      <w:r w:rsidRPr="006D31AB">
        <w:rPr>
          <w:rFonts w:eastAsia="Times New Roman" w:cs="Arial"/>
          <w:color w:val="000000"/>
          <w:lang w:eastAsia="bg-BG"/>
        </w:rPr>
        <w:t>Генетичен полиморфизъм</w:t>
      </w:r>
    </w:p>
    <w:p w14:paraId="2CFF3C62"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Диспозицията на </w:t>
      </w:r>
      <w:r w:rsidRPr="006D31AB">
        <w:rPr>
          <w:rFonts w:eastAsia="Times New Roman" w:cs="Arial"/>
          <w:color w:val="000000"/>
          <w:lang w:val="en-US"/>
        </w:rPr>
        <w:t>of</w:t>
      </w:r>
      <w:r w:rsidRPr="006D31AB">
        <w:rPr>
          <w:rFonts w:eastAsia="Times New Roman" w:cs="Arial"/>
          <w:color w:val="000000"/>
          <w:lang w:val="ru-RU"/>
        </w:rPr>
        <w:t xml:space="preserve"> </w:t>
      </w:r>
      <w:r w:rsidRPr="006D31AB">
        <w:rPr>
          <w:rFonts w:eastAsia="Times New Roman" w:cs="Arial"/>
          <w:color w:val="000000"/>
          <w:lang w:val="en-US"/>
        </w:rPr>
        <w:t>HMG</w:t>
      </w:r>
      <w:r w:rsidRPr="006D31AB">
        <w:rPr>
          <w:rFonts w:eastAsia="Times New Roman" w:cs="Arial"/>
          <w:color w:val="000000"/>
          <w:lang w:eastAsia="bg-BG"/>
        </w:rPr>
        <w:t xml:space="preserve">-СоА-редуктазните инхибитори, включително розувастатин включва ОАТР1В1 и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 xml:space="preserve">транспортери. При пациентите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(ОАТР1В1) и/или </w:t>
      </w:r>
      <w:r w:rsidRPr="006D31AB">
        <w:rPr>
          <w:rFonts w:eastAsia="Times New Roman" w:cs="Arial"/>
          <w:color w:val="000000"/>
          <w:lang w:val="en-US"/>
        </w:rPr>
        <w:t>ABCG</w:t>
      </w:r>
      <w:r w:rsidRPr="006D31AB">
        <w:rPr>
          <w:rFonts w:eastAsia="Times New Roman" w:cs="Arial"/>
          <w:color w:val="000000"/>
          <w:lang w:val="ru-RU"/>
        </w:rPr>
        <w:t>2 (</w:t>
      </w:r>
      <w:r w:rsidRPr="006D31AB">
        <w:rPr>
          <w:rFonts w:eastAsia="Times New Roman" w:cs="Arial"/>
          <w:color w:val="000000"/>
          <w:lang w:val="en-US"/>
        </w:rPr>
        <w:t>BCRP</w:t>
      </w:r>
      <w:r w:rsidRPr="006D31AB">
        <w:rPr>
          <w:rFonts w:eastAsia="Times New Roman" w:cs="Arial"/>
          <w:color w:val="000000"/>
          <w:lang w:val="ru-RU"/>
        </w:rPr>
        <w:t xml:space="preserve">) </w:t>
      </w:r>
      <w:r w:rsidRPr="006D31AB">
        <w:rPr>
          <w:rFonts w:eastAsia="Times New Roman" w:cs="Arial"/>
          <w:color w:val="000000"/>
          <w:lang w:eastAsia="bg-BG"/>
        </w:rPr>
        <w:t>генетичен полиморфизъм има риск от повишена експозиция на розувастатин.</w:t>
      </w:r>
    </w:p>
    <w:p w14:paraId="56BC43FB"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 xml:space="preserve">Индивидуален полиморфизъм на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val="en-US"/>
        </w:rPr>
        <w:t>C</w:t>
      </w:r>
      <w:r w:rsidRPr="006D31AB">
        <w:rPr>
          <w:rFonts w:eastAsia="Times New Roman" w:cs="Arial"/>
          <w:color w:val="000000"/>
          <w:lang w:val="ru-RU"/>
        </w:rPr>
        <w:t>.521</w:t>
      </w:r>
      <w:r w:rsidRPr="006D31AB">
        <w:rPr>
          <w:rFonts w:eastAsia="Times New Roman" w:cs="Arial"/>
          <w:color w:val="000000"/>
          <w:lang w:val="en-US"/>
        </w:rPr>
        <w:t>CC</w:t>
      </w:r>
      <w:r w:rsidRPr="006D31AB">
        <w:rPr>
          <w:rFonts w:eastAsia="Times New Roman" w:cs="Arial"/>
          <w:color w:val="000000"/>
          <w:lang w:val="ru-RU"/>
        </w:rPr>
        <w:t xml:space="preserve"> </w:t>
      </w:r>
      <w:r w:rsidRPr="006D31AB">
        <w:rPr>
          <w:rFonts w:eastAsia="Times New Roman" w:cs="Arial"/>
          <w:color w:val="000000"/>
          <w:lang w:eastAsia="bg-BG"/>
        </w:rPr>
        <w:t xml:space="preserve">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 xml:space="preserve">с.421АА се асоциира с по-висока експозиция на розувастатин </w:t>
      </w:r>
      <w:r w:rsidRPr="006D31AB">
        <w:rPr>
          <w:rFonts w:eastAsia="Times New Roman" w:cs="Arial"/>
          <w:color w:val="000000"/>
          <w:lang w:val="ru-RU"/>
        </w:rPr>
        <w:t>(</w:t>
      </w:r>
      <w:r w:rsidRPr="006D31AB">
        <w:rPr>
          <w:rFonts w:eastAsia="Times New Roman" w:cs="Arial"/>
          <w:color w:val="000000"/>
          <w:lang w:val="en-US"/>
        </w:rPr>
        <w:t>AUC</w:t>
      </w:r>
      <w:r w:rsidRPr="006D31AB">
        <w:rPr>
          <w:rFonts w:eastAsia="Times New Roman" w:cs="Arial"/>
          <w:color w:val="000000"/>
          <w:lang w:val="ru-RU"/>
        </w:rPr>
        <w:t xml:space="preserve">) </w:t>
      </w:r>
      <w:r w:rsidRPr="006D31AB">
        <w:rPr>
          <w:rFonts w:eastAsia="Times New Roman" w:cs="Arial"/>
          <w:color w:val="000000"/>
          <w:lang w:eastAsia="bg-BG"/>
        </w:rPr>
        <w:t xml:space="preserve">в сравнение с </w:t>
      </w:r>
      <w:r w:rsidRPr="006D31AB">
        <w:rPr>
          <w:rFonts w:eastAsia="Times New Roman" w:cs="Arial"/>
          <w:color w:val="000000"/>
          <w:lang w:val="en-US"/>
        </w:rPr>
        <w:t>SLCO</w:t>
      </w:r>
      <w:r w:rsidRPr="006D31AB">
        <w:rPr>
          <w:rFonts w:eastAsia="Times New Roman" w:cs="Arial"/>
          <w:color w:val="000000"/>
          <w:lang w:val="ru-RU"/>
        </w:rPr>
        <w:t>1</w:t>
      </w:r>
      <w:r w:rsidRPr="006D31AB">
        <w:rPr>
          <w:rFonts w:eastAsia="Times New Roman" w:cs="Arial"/>
          <w:color w:val="000000"/>
          <w:lang w:val="en-US"/>
        </w:rPr>
        <w:t>B</w:t>
      </w:r>
      <w:r w:rsidRPr="006D31AB">
        <w:rPr>
          <w:rFonts w:eastAsia="Times New Roman" w:cs="Arial"/>
          <w:color w:val="000000"/>
          <w:lang w:val="ru-RU"/>
        </w:rPr>
        <w:t xml:space="preserve">1 </w:t>
      </w:r>
      <w:r w:rsidRPr="006D31AB">
        <w:rPr>
          <w:rFonts w:eastAsia="Times New Roman" w:cs="Arial"/>
          <w:color w:val="000000"/>
          <w:lang w:eastAsia="bg-BG"/>
        </w:rPr>
        <w:t xml:space="preserve">С.521ТТ или </w:t>
      </w:r>
      <w:r w:rsidRPr="006D31AB">
        <w:rPr>
          <w:rFonts w:eastAsia="Times New Roman" w:cs="Arial"/>
          <w:color w:val="000000"/>
          <w:lang w:val="en-US"/>
        </w:rPr>
        <w:t>ABCG</w:t>
      </w:r>
      <w:r w:rsidRPr="006D31AB">
        <w:rPr>
          <w:rFonts w:eastAsia="Times New Roman" w:cs="Arial"/>
          <w:color w:val="000000"/>
          <w:lang w:val="ru-RU"/>
        </w:rPr>
        <w:t xml:space="preserve">2 </w:t>
      </w:r>
      <w:r w:rsidRPr="006D31AB">
        <w:rPr>
          <w:rFonts w:eastAsia="Times New Roman" w:cs="Arial"/>
          <w:color w:val="000000"/>
          <w:lang w:eastAsia="bg-BG"/>
        </w:rPr>
        <w:t>С.421СС генотиповете. Тези специфични генотипове не са установени в клиничната практика, но при пациенти, за които е известно, че имат тези типове полиморфизъм, се препоръчва по-ниска доза розувастатин.</w:t>
      </w:r>
    </w:p>
    <w:p w14:paraId="194FB199" w14:textId="77777777" w:rsidR="006D31AB" w:rsidRDefault="006D31AB" w:rsidP="006D31AB">
      <w:pPr>
        <w:spacing w:line="240" w:lineRule="auto"/>
        <w:rPr>
          <w:rFonts w:eastAsia="Times New Roman" w:cs="Arial"/>
          <w:b/>
          <w:bCs/>
          <w:color w:val="000000"/>
          <w:lang w:eastAsia="bg-BG"/>
        </w:rPr>
      </w:pPr>
    </w:p>
    <w:p w14:paraId="0F88DFDC" w14:textId="15FCAB98" w:rsidR="006D31AB" w:rsidRPr="006D31AB" w:rsidRDefault="006D31AB" w:rsidP="006D31AB">
      <w:pPr>
        <w:spacing w:line="240" w:lineRule="auto"/>
        <w:rPr>
          <w:rFonts w:eastAsia="Times New Roman" w:cs="Arial"/>
        </w:rPr>
      </w:pPr>
      <w:r w:rsidRPr="006D31AB">
        <w:rPr>
          <w:rFonts w:eastAsia="Times New Roman" w:cs="Arial"/>
          <w:b/>
          <w:bCs/>
          <w:color w:val="000000"/>
          <w:lang w:eastAsia="bg-BG"/>
        </w:rPr>
        <w:t>Педиатрична популация:</w:t>
      </w:r>
    </w:p>
    <w:p w14:paraId="1100AF13" w14:textId="77777777" w:rsidR="006D31AB" w:rsidRPr="006D31AB" w:rsidRDefault="006D31AB" w:rsidP="006D31AB">
      <w:pPr>
        <w:spacing w:line="240" w:lineRule="auto"/>
        <w:rPr>
          <w:rFonts w:eastAsia="Times New Roman" w:cs="Arial"/>
        </w:rPr>
      </w:pPr>
      <w:r w:rsidRPr="006D31AB">
        <w:rPr>
          <w:rFonts w:eastAsia="Times New Roman" w:cs="Arial"/>
          <w:color w:val="000000"/>
          <w:lang w:eastAsia="bg-BG"/>
        </w:rPr>
        <w:t>Две фармакокинетични проучвания с розувастатин (прилаган под формата на таблетки) при педиатрични пациенти с фамилна хиперхолестеролемия на възраст 10 до 17 или 6 до 17 години (общо 214 пациенти) показват, че експозицията при педиатричните пациенти изглежда сравнима или по-ниска от тази при възрастните пациенти. Експозицията на розувастатин е била предвидима по отношение на дозата и времето в продължение на 2-годишен период.</w:t>
      </w:r>
    </w:p>
    <w:p w14:paraId="69CC438C" w14:textId="77777777" w:rsidR="006D31AB" w:rsidRPr="006D31AB" w:rsidRDefault="006D31AB" w:rsidP="006D31AB"/>
    <w:p w14:paraId="4F31844C" w14:textId="215D0A15" w:rsidR="00875EEC" w:rsidRDefault="002C50EE" w:rsidP="005726E3">
      <w:pPr>
        <w:pStyle w:val="Heading2"/>
      </w:pPr>
      <w:r>
        <w:t>5.3. Предклинични данни за безопасност</w:t>
      </w:r>
    </w:p>
    <w:p w14:paraId="095896C2" w14:textId="269C3CC3" w:rsidR="006D31AB" w:rsidRDefault="006D31AB" w:rsidP="006D31AB"/>
    <w:p w14:paraId="529367E3" w14:textId="77777777" w:rsidR="006D31AB" w:rsidRPr="006D31AB" w:rsidRDefault="006D31AB" w:rsidP="006D31AB">
      <w:pPr>
        <w:rPr>
          <w:sz w:val="24"/>
          <w:szCs w:val="24"/>
        </w:rPr>
      </w:pPr>
      <w:r w:rsidRPr="006D31AB">
        <w:rPr>
          <w:lang w:eastAsia="bg-BG"/>
        </w:rPr>
        <w:t xml:space="preserve">Предклиничните данни не показват особен риск за хора, на базата на конвенционалните фармакологични изпитвания за безопасност, генотоксичност и канцерогенен потенциал. Специфични тестове за ефектите върху </w:t>
      </w:r>
      <w:proofErr w:type="spellStart"/>
      <w:r w:rsidRPr="006D31AB">
        <w:rPr>
          <w:lang w:val="en-US"/>
        </w:rPr>
        <w:t>hERG</w:t>
      </w:r>
      <w:proofErr w:type="spellEnd"/>
      <w:r w:rsidRPr="006D31AB">
        <w:rPr>
          <w:lang w:val="ru-RU"/>
        </w:rPr>
        <w:t xml:space="preserve"> </w:t>
      </w:r>
      <w:r w:rsidRPr="006D31AB">
        <w:rPr>
          <w:lang w:eastAsia="bg-BG"/>
        </w:rPr>
        <w:t xml:space="preserve">не са оценявани. Нежеланите реакции, които не се наблюдават при клиничните изпитвания, но се наблюдават при животни при нива на експозиция, подобни на нивата на клинична експозиция са както следва: В проучвания за токсичност на многократните дози се наблюдават хистопатологични промени в черния дроб, които вероятно се дължат на фармакологичното действие на розувастатин при мишки и плъхове, както и до по-малка степен с последици в жлъчния мехур при кучета, но не и при маймуни. Освен това, при по-високи дози е наблюдавана </w:t>
      </w:r>
      <w:r w:rsidRPr="006D31AB">
        <w:rPr>
          <w:lang w:eastAsia="bg-BG"/>
        </w:rPr>
        <w:lastRenderedPageBreak/>
        <w:t>токсичност върху тестисите при маймуни и кучета. Налице е репродуктивна токсичност при плъхове, за която се съди по намалените размери и тегло на котилото и по намалената преживяемост на потомството. Тези резултати са наблюдавани при токсични за майката дози на системна експозиция няколко пъти над нивото на терапевтична експозиция.</w:t>
      </w:r>
    </w:p>
    <w:p w14:paraId="52D3C5BA" w14:textId="77777777" w:rsidR="006D31AB" w:rsidRPr="006D31AB" w:rsidRDefault="006D31AB" w:rsidP="006D31AB"/>
    <w:p w14:paraId="1BA6531D" w14:textId="7C055943" w:rsidR="00B6672E" w:rsidRDefault="002C50EE" w:rsidP="00936AD0">
      <w:pPr>
        <w:pStyle w:val="Heading1"/>
      </w:pPr>
      <w:r>
        <w:t>7. ПРИТЕЖАТЕЛ НА РАЗРЕШЕНИЕТО ЗА УПОТРЕБА</w:t>
      </w:r>
    </w:p>
    <w:p w14:paraId="743E4B75" w14:textId="14E1CBE8" w:rsidR="006D31AB" w:rsidRDefault="006D31AB" w:rsidP="006D31AB"/>
    <w:p w14:paraId="01E33CB0" w14:textId="77777777" w:rsidR="006D31AB" w:rsidRPr="006D31AB" w:rsidRDefault="006D31AB" w:rsidP="006D31AB">
      <w:pPr>
        <w:rPr>
          <w:sz w:val="24"/>
          <w:szCs w:val="24"/>
          <w:lang w:val="en-US"/>
        </w:rPr>
      </w:pPr>
      <w:r w:rsidRPr="006D31AB">
        <w:rPr>
          <w:lang w:val="en-US"/>
        </w:rPr>
        <w:t>Pharmaceutical Works POLPHARMA S.A.</w:t>
      </w:r>
    </w:p>
    <w:p w14:paraId="059BD4A1" w14:textId="77777777" w:rsidR="006D31AB" w:rsidRPr="006D31AB" w:rsidRDefault="006D31AB" w:rsidP="006D31AB">
      <w:pPr>
        <w:rPr>
          <w:sz w:val="24"/>
          <w:szCs w:val="24"/>
          <w:lang w:val="en-US"/>
        </w:rPr>
      </w:pPr>
      <w:r w:rsidRPr="006D31AB">
        <w:rPr>
          <w:lang w:eastAsia="bg-BG"/>
        </w:rPr>
        <w:t xml:space="preserve">19 </w:t>
      </w:r>
      <w:proofErr w:type="spellStart"/>
      <w:r w:rsidRPr="006D31AB">
        <w:rPr>
          <w:lang w:val="en-US"/>
        </w:rPr>
        <w:t>Pelplinska</w:t>
      </w:r>
      <w:proofErr w:type="spellEnd"/>
      <w:r w:rsidRPr="006D31AB">
        <w:rPr>
          <w:lang w:val="en-US"/>
        </w:rPr>
        <w:t xml:space="preserve"> Street</w:t>
      </w:r>
    </w:p>
    <w:p w14:paraId="4638C9CE" w14:textId="77777777" w:rsidR="006D31AB" w:rsidRPr="006D31AB" w:rsidRDefault="006D31AB" w:rsidP="006D31AB">
      <w:pPr>
        <w:rPr>
          <w:sz w:val="24"/>
          <w:szCs w:val="24"/>
          <w:lang w:val="en-US"/>
        </w:rPr>
      </w:pPr>
      <w:r w:rsidRPr="006D31AB">
        <w:rPr>
          <w:lang w:val="en-US"/>
        </w:rPr>
        <w:t xml:space="preserve">83-200 </w:t>
      </w:r>
      <w:proofErr w:type="spellStart"/>
      <w:r w:rsidRPr="006D31AB">
        <w:rPr>
          <w:lang w:val="en-US"/>
        </w:rPr>
        <w:t>Starogard</w:t>
      </w:r>
      <w:proofErr w:type="spellEnd"/>
      <w:r w:rsidRPr="006D31AB">
        <w:rPr>
          <w:lang w:val="en-US"/>
        </w:rPr>
        <w:t xml:space="preserve"> </w:t>
      </w:r>
      <w:proofErr w:type="spellStart"/>
      <w:r w:rsidRPr="006D31AB">
        <w:rPr>
          <w:lang w:val="en-US"/>
        </w:rPr>
        <w:t>Gdanski</w:t>
      </w:r>
      <w:proofErr w:type="spellEnd"/>
    </w:p>
    <w:p w14:paraId="35583542" w14:textId="0BA2BFD8" w:rsidR="006D31AB" w:rsidRPr="006D31AB" w:rsidRDefault="006D31AB" w:rsidP="006D31AB">
      <w:r w:rsidRPr="006D31AB">
        <w:rPr>
          <w:lang w:eastAsia="bg-BG"/>
        </w:rPr>
        <w:t>Полша</w:t>
      </w:r>
    </w:p>
    <w:p w14:paraId="508F3A54" w14:textId="7DA667C1" w:rsidR="00B6672E" w:rsidRDefault="00936AD0" w:rsidP="00936AD0">
      <w:pPr>
        <w:pStyle w:val="Heading1"/>
      </w:pPr>
      <w:r>
        <w:t>8.</w:t>
      </w:r>
      <w:r w:rsidR="002C50EE">
        <w:t>НОМЕР НА РАЗРЕШЕНИЕТО ЗА УПОТРЕБА</w:t>
      </w:r>
    </w:p>
    <w:p w14:paraId="73E75058" w14:textId="0C023C47" w:rsidR="006D31AB" w:rsidRDefault="006D31AB" w:rsidP="006D31AB"/>
    <w:p w14:paraId="227706E2" w14:textId="77777777" w:rsidR="006D31AB" w:rsidRPr="006D31AB" w:rsidRDefault="006D31AB" w:rsidP="006D31AB">
      <w:pPr>
        <w:rPr>
          <w:sz w:val="24"/>
          <w:szCs w:val="24"/>
          <w:lang w:val="ru-RU"/>
        </w:rPr>
      </w:pPr>
      <w:r w:rsidRPr="006D31AB">
        <w:rPr>
          <w:lang w:val="ru-RU"/>
        </w:rPr>
        <w:t xml:space="preserve">5 </w:t>
      </w:r>
      <w:r w:rsidRPr="006D31AB">
        <w:rPr>
          <w:lang w:val="en-US"/>
        </w:rPr>
        <w:t>mg</w:t>
      </w:r>
      <w:r w:rsidRPr="006D31AB">
        <w:rPr>
          <w:lang w:val="ru-RU"/>
        </w:rPr>
        <w:t>: 20120061</w:t>
      </w:r>
    </w:p>
    <w:p w14:paraId="4B4FD7B4" w14:textId="77777777" w:rsidR="006D31AB" w:rsidRPr="006D31AB" w:rsidRDefault="006D31AB" w:rsidP="006D31AB">
      <w:pPr>
        <w:rPr>
          <w:sz w:val="24"/>
          <w:szCs w:val="24"/>
          <w:lang w:val="ru-RU"/>
        </w:rPr>
      </w:pPr>
      <w:r w:rsidRPr="006D31AB">
        <w:rPr>
          <w:lang w:val="ru-RU"/>
        </w:rPr>
        <w:t xml:space="preserve">10 </w:t>
      </w:r>
      <w:r w:rsidRPr="006D31AB">
        <w:rPr>
          <w:lang w:val="en-US"/>
        </w:rPr>
        <w:t>mg</w:t>
      </w:r>
      <w:r w:rsidRPr="006D31AB">
        <w:rPr>
          <w:lang w:val="ru-RU"/>
        </w:rPr>
        <w:t>: 20120062</w:t>
      </w:r>
    </w:p>
    <w:p w14:paraId="4CCF3075" w14:textId="5112F8CB" w:rsidR="006D31AB" w:rsidRPr="006D31AB" w:rsidRDefault="006D31AB" w:rsidP="006D31AB">
      <w:pPr>
        <w:rPr>
          <w:lang w:val="ru-RU"/>
        </w:rPr>
      </w:pPr>
      <w:r w:rsidRPr="006D31AB">
        <w:rPr>
          <w:lang w:val="ru-RU"/>
        </w:rPr>
        <w:t xml:space="preserve">20 </w:t>
      </w:r>
      <w:r w:rsidRPr="006D31AB">
        <w:rPr>
          <w:lang w:val="en-US"/>
        </w:rPr>
        <w:t>mg</w:t>
      </w:r>
      <w:r w:rsidRPr="006D31AB">
        <w:rPr>
          <w:lang w:val="ru-RU"/>
        </w:rPr>
        <w:t>: 20120063</w:t>
      </w:r>
    </w:p>
    <w:p w14:paraId="3BC5EC53" w14:textId="5FDF6CDE" w:rsidR="00875EEC" w:rsidRDefault="002C50EE" w:rsidP="005726E3">
      <w:pPr>
        <w:pStyle w:val="Heading1"/>
      </w:pPr>
      <w:r>
        <w:t>9. ДАТА НА ПЪРВО РАЗРЕШАВАНЕ/ПОДНОВЯВАНЕ НА РАЗРЕШЕНИЕТО ЗА УПОТРЕБА</w:t>
      </w:r>
    </w:p>
    <w:p w14:paraId="19607AC9" w14:textId="25532758" w:rsidR="006D31AB" w:rsidRDefault="006D31AB" w:rsidP="006D31AB"/>
    <w:p w14:paraId="01B632C9" w14:textId="77777777" w:rsidR="006D31AB" w:rsidRPr="006D31AB" w:rsidRDefault="006D31AB" w:rsidP="006D31AB">
      <w:pPr>
        <w:rPr>
          <w:sz w:val="24"/>
          <w:szCs w:val="24"/>
        </w:rPr>
      </w:pPr>
      <w:r w:rsidRPr="006D31AB">
        <w:rPr>
          <w:lang w:eastAsia="bg-BG"/>
        </w:rPr>
        <w:t>Дата на първо разрешаване: 27.01.2012</w:t>
      </w:r>
    </w:p>
    <w:p w14:paraId="021928E6" w14:textId="45C70BB5" w:rsidR="006D31AB" w:rsidRPr="006D31AB" w:rsidRDefault="006D31AB" w:rsidP="006D31AB">
      <w:r w:rsidRPr="006D31AB">
        <w:rPr>
          <w:lang w:eastAsia="bg-BG"/>
        </w:rPr>
        <w:t>Дата на последно подновяване: 06.06.2016</w:t>
      </w:r>
    </w:p>
    <w:p w14:paraId="43FB38A2" w14:textId="1E62F256" w:rsidR="007C605B" w:rsidRPr="003E3126" w:rsidRDefault="002C50EE" w:rsidP="005726E3">
      <w:pPr>
        <w:pStyle w:val="Heading1"/>
      </w:pPr>
      <w:r>
        <w:t>10. ДАТА НА АКТУАЛИЗИРАНЕ НА ТЕКСТА</w:t>
      </w:r>
      <w:bookmarkEnd w:id="0"/>
    </w:p>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0E16254"/>
    <w:multiLevelType w:val="hybridMultilevel"/>
    <w:tmpl w:val="07BE3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BE41C1"/>
    <w:multiLevelType w:val="hybridMultilevel"/>
    <w:tmpl w:val="B15E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9"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4"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0DA3627"/>
    <w:multiLevelType w:val="hybridMultilevel"/>
    <w:tmpl w:val="4868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5"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2D73FA"/>
    <w:multiLevelType w:val="hybridMultilevel"/>
    <w:tmpl w:val="264A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6"/>
  </w:num>
  <w:num w:numId="4">
    <w:abstractNumId w:val="3"/>
  </w:num>
  <w:num w:numId="5">
    <w:abstractNumId w:val="1"/>
  </w:num>
  <w:num w:numId="6">
    <w:abstractNumId w:val="19"/>
  </w:num>
  <w:num w:numId="7">
    <w:abstractNumId w:val="14"/>
  </w:num>
  <w:num w:numId="8">
    <w:abstractNumId w:val="18"/>
  </w:num>
  <w:num w:numId="9">
    <w:abstractNumId w:val="2"/>
  </w:num>
  <w:num w:numId="10">
    <w:abstractNumId w:val="5"/>
  </w:num>
  <w:num w:numId="11">
    <w:abstractNumId w:val="35"/>
  </w:num>
  <w:num w:numId="12">
    <w:abstractNumId w:val="17"/>
  </w:num>
  <w:num w:numId="13">
    <w:abstractNumId w:val="23"/>
  </w:num>
  <w:num w:numId="14">
    <w:abstractNumId w:val="15"/>
  </w:num>
  <w:num w:numId="15">
    <w:abstractNumId w:val="34"/>
  </w:num>
  <w:num w:numId="16">
    <w:abstractNumId w:val="13"/>
  </w:num>
  <w:num w:numId="17">
    <w:abstractNumId w:val="29"/>
  </w:num>
  <w:num w:numId="18">
    <w:abstractNumId w:val="10"/>
  </w:num>
  <w:num w:numId="19">
    <w:abstractNumId w:val="31"/>
  </w:num>
  <w:num w:numId="20">
    <w:abstractNumId w:val="28"/>
  </w:num>
  <w:num w:numId="21">
    <w:abstractNumId w:val="21"/>
  </w:num>
  <w:num w:numId="22">
    <w:abstractNumId w:val="30"/>
  </w:num>
  <w:num w:numId="23">
    <w:abstractNumId w:val="22"/>
  </w:num>
  <w:num w:numId="24">
    <w:abstractNumId w:val="11"/>
  </w:num>
  <w:num w:numId="25">
    <w:abstractNumId w:val="27"/>
  </w:num>
  <w:num w:numId="26">
    <w:abstractNumId w:val="25"/>
  </w:num>
  <w:num w:numId="27">
    <w:abstractNumId w:val="36"/>
  </w:num>
  <w:num w:numId="28">
    <w:abstractNumId w:val="8"/>
  </w:num>
  <w:num w:numId="29">
    <w:abstractNumId w:val="24"/>
  </w:num>
  <w:num w:numId="30">
    <w:abstractNumId w:val="39"/>
  </w:num>
  <w:num w:numId="31">
    <w:abstractNumId w:val="6"/>
  </w:num>
  <w:num w:numId="32">
    <w:abstractNumId w:val="38"/>
  </w:num>
  <w:num w:numId="33">
    <w:abstractNumId w:val="33"/>
  </w:num>
  <w:num w:numId="34">
    <w:abstractNumId w:val="37"/>
  </w:num>
  <w:num w:numId="35">
    <w:abstractNumId w:val="9"/>
  </w:num>
  <w:num w:numId="36">
    <w:abstractNumId w:val="12"/>
  </w:num>
  <w:num w:numId="37">
    <w:abstractNumId w:val="7"/>
  </w:num>
  <w:num w:numId="38">
    <w:abstractNumId w:val="20"/>
  </w:num>
  <w:num w:numId="39">
    <w:abstractNumId w:val="4"/>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16E28"/>
    <w:rsid w:val="00185A46"/>
    <w:rsid w:val="001915B6"/>
    <w:rsid w:val="001D1B23"/>
    <w:rsid w:val="001E41DF"/>
    <w:rsid w:val="002A48D8"/>
    <w:rsid w:val="002B3C38"/>
    <w:rsid w:val="002B4DBB"/>
    <w:rsid w:val="002C50EE"/>
    <w:rsid w:val="00340A0A"/>
    <w:rsid w:val="003765DC"/>
    <w:rsid w:val="00395555"/>
    <w:rsid w:val="003E3126"/>
    <w:rsid w:val="00426E5F"/>
    <w:rsid w:val="004A448E"/>
    <w:rsid w:val="004D4D6B"/>
    <w:rsid w:val="004F1CE7"/>
    <w:rsid w:val="004F498A"/>
    <w:rsid w:val="00517A5B"/>
    <w:rsid w:val="005726E3"/>
    <w:rsid w:val="00593A00"/>
    <w:rsid w:val="005A66D9"/>
    <w:rsid w:val="00605BCA"/>
    <w:rsid w:val="006158A1"/>
    <w:rsid w:val="00617B1F"/>
    <w:rsid w:val="00672487"/>
    <w:rsid w:val="00672600"/>
    <w:rsid w:val="00681D4A"/>
    <w:rsid w:val="00685882"/>
    <w:rsid w:val="006D31AB"/>
    <w:rsid w:val="007122AD"/>
    <w:rsid w:val="0075649D"/>
    <w:rsid w:val="007C605B"/>
    <w:rsid w:val="008134C8"/>
    <w:rsid w:val="00814073"/>
    <w:rsid w:val="00826F0D"/>
    <w:rsid w:val="00875EEC"/>
    <w:rsid w:val="00893B92"/>
    <w:rsid w:val="008A6AF2"/>
    <w:rsid w:val="008C70A2"/>
    <w:rsid w:val="00936AD0"/>
    <w:rsid w:val="009773E4"/>
    <w:rsid w:val="009B171C"/>
    <w:rsid w:val="009F1313"/>
    <w:rsid w:val="00A20351"/>
    <w:rsid w:val="00A65A81"/>
    <w:rsid w:val="00AA23EC"/>
    <w:rsid w:val="00AA3476"/>
    <w:rsid w:val="00AC63CE"/>
    <w:rsid w:val="00AE2107"/>
    <w:rsid w:val="00B275A8"/>
    <w:rsid w:val="00B6672E"/>
    <w:rsid w:val="00BF2600"/>
    <w:rsid w:val="00C0049F"/>
    <w:rsid w:val="00C07B84"/>
    <w:rsid w:val="00C1725D"/>
    <w:rsid w:val="00C33464"/>
    <w:rsid w:val="00C40420"/>
    <w:rsid w:val="00C809A7"/>
    <w:rsid w:val="00C83063"/>
    <w:rsid w:val="00C87E90"/>
    <w:rsid w:val="00CA1B57"/>
    <w:rsid w:val="00CF77F7"/>
    <w:rsid w:val="00D86297"/>
    <w:rsid w:val="00DB32D3"/>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8154</Words>
  <Characters>46478</Characters>
  <Application>Microsoft Office Word</Application>
  <DocSecurity>0</DocSecurity>
  <Lines>387</Lines>
  <Paragraphs>109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2022-11-02T20:36:00Z</dcterms:created>
  <dcterms:modified xsi:type="dcterms:W3CDTF">2022-11-02T20:36:00Z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