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54F9BC06" w:rsidR="00AA23EC" w:rsidRDefault="00DD466D" w:rsidP="00DD466D">
      <w:pPr>
        <w:pStyle w:val="Heading1"/>
      </w:pPr>
      <w:r>
        <w:t>1.ИМЕ НА ЛЕКАРСТВЕНИЯ ПРОДУКТ</w:t>
      </w:r>
    </w:p>
    <w:p w14:paraId="0BAF1790" w14:textId="57279992" w:rsidR="00E445B2" w:rsidRDefault="00E445B2" w:rsidP="00E445B2"/>
    <w:p w14:paraId="5D4DB3CB" w14:textId="77777777" w:rsidR="00E445B2" w:rsidRPr="00E445B2" w:rsidRDefault="00E445B2" w:rsidP="00E445B2">
      <w:pPr>
        <w:rPr>
          <w:sz w:val="24"/>
          <w:szCs w:val="24"/>
        </w:rPr>
      </w:pPr>
      <w:r w:rsidRPr="00E445B2">
        <w:rPr>
          <w:lang w:eastAsia="bg-BG"/>
        </w:rPr>
        <w:t xml:space="preserve">Ропивакаин НС1 Б. Браун 5 </w:t>
      </w:r>
      <w:r w:rsidRPr="00E445B2">
        <w:rPr>
          <w:lang w:val="en-US"/>
        </w:rPr>
        <w:t>mg</w:t>
      </w:r>
      <w:r w:rsidRPr="00E445B2">
        <w:rPr>
          <w:lang w:val="ru-RU"/>
        </w:rPr>
        <w:t>/</w:t>
      </w:r>
      <w:r w:rsidRPr="00E445B2">
        <w:rPr>
          <w:lang w:val="en-US"/>
        </w:rPr>
        <w:t>ml</w:t>
      </w:r>
      <w:r w:rsidRPr="00E445B2">
        <w:rPr>
          <w:lang w:val="ru-RU"/>
        </w:rPr>
        <w:t xml:space="preserve"> </w:t>
      </w:r>
      <w:r w:rsidRPr="00E445B2">
        <w:rPr>
          <w:lang w:eastAsia="bg-BG"/>
        </w:rPr>
        <w:t>инжекционен разтвор</w:t>
      </w:r>
    </w:p>
    <w:p w14:paraId="253B60F7" w14:textId="08F74BD7" w:rsidR="00E445B2" w:rsidRPr="00E445B2" w:rsidRDefault="00E445B2" w:rsidP="00E445B2">
      <w:proofErr w:type="spellStart"/>
      <w:r w:rsidRPr="00E445B2">
        <w:rPr>
          <w:lang w:val="en-US"/>
        </w:rPr>
        <w:t>Ropivacain</w:t>
      </w:r>
      <w:proofErr w:type="spellEnd"/>
      <w:r w:rsidRPr="00E445B2">
        <w:rPr>
          <w:lang w:val="en-US"/>
        </w:rPr>
        <w:t xml:space="preserve"> </w:t>
      </w:r>
      <w:r w:rsidRPr="00E445B2">
        <w:rPr>
          <w:lang w:eastAsia="bg-BG"/>
        </w:rPr>
        <w:t xml:space="preserve">НС1 В. </w:t>
      </w:r>
      <w:r w:rsidRPr="00E445B2">
        <w:rPr>
          <w:lang w:val="en-US"/>
        </w:rPr>
        <w:t xml:space="preserve">Braun </w:t>
      </w:r>
      <w:r w:rsidRPr="00E445B2">
        <w:rPr>
          <w:lang w:eastAsia="bg-BG"/>
        </w:rPr>
        <w:t xml:space="preserve">5 </w:t>
      </w:r>
      <w:r w:rsidRPr="00E445B2">
        <w:rPr>
          <w:lang w:val="en-US"/>
        </w:rPr>
        <w:t>mg/ml solution for injection</w:t>
      </w:r>
    </w:p>
    <w:p w14:paraId="0A368469" w14:textId="12252976" w:rsidR="00C0049F" w:rsidRDefault="00DD466D" w:rsidP="009F1313">
      <w:pPr>
        <w:pStyle w:val="Heading1"/>
      </w:pPr>
      <w:r>
        <w:t>2. КАЧЕСТВЕН И КОЛИЧЕСТВЕН СЪСТАВ</w:t>
      </w:r>
    </w:p>
    <w:p w14:paraId="36B449BE" w14:textId="3D7DC881" w:rsidR="00E445B2" w:rsidRDefault="00E445B2" w:rsidP="00E445B2"/>
    <w:p w14:paraId="2F835DBD" w14:textId="77777777" w:rsidR="00E445B2" w:rsidRPr="00E445B2" w:rsidRDefault="00E445B2" w:rsidP="00E445B2">
      <w:pPr>
        <w:rPr>
          <w:sz w:val="24"/>
          <w:szCs w:val="24"/>
        </w:rPr>
      </w:pPr>
      <w:r w:rsidRPr="00E445B2">
        <w:rPr>
          <w:lang w:eastAsia="bg-BG"/>
        </w:rPr>
        <w:t xml:space="preserve">1 </w:t>
      </w:r>
      <w:r w:rsidRPr="00E445B2">
        <w:rPr>
          <w:lang w:val="en-US"/>
        </w:rPr>
        <w:t>ml</w:t>
      </w:r>
      <w:r w:rsidRPr="00E445B2">
        <w:t xml:space="preserve"> </w:t>
      </w:r>
      <w:r w:rsidRPr="00E445B2">
        <w:rPr>
          <w:lang w:eastAsia="bg-BG"/>
        </w:rPr>
        <w:t xml:space="preserve">инжекционен разтвор съдържа 5 </w:t>
      </w:r>
      <w:r w:rsidRPr="00E445B2">
        <w:rPr>
          <w:lang w:val="en-US"/>
        </w:rPr>
        <w:t>mg</w:t>
      </w:r>
      <w:r w:rsidRPr="00E445B2">
        <w:t xml:space="preserve"> </w:t>
      </w:r>
      <w:r w:rsidRPr="00E445B2">
        <w:rPr>
          <w:lang w:eastAsia="bg-BG"/>
        </w:rPr>
        <w:t>ропивакаин хидрохлорид (като ропивакаин хидрохлорид монохидрат).</w:t>
      </w:r>
    </w:p>
    <w:p w14:paraId="5DAFEF6E" w14:textId="77777777" w:rsidR="00E445B2" w:rsidRPr="00E445B2" w:rsidRDefault="00E445B2" w:rsidP="00E445B2">
      <w:pPr>
        <w:rPr>
          <w:sz w:val="24"/>
          <w:szCs w:val="24"/>
        </w:rPr>
      </w:pPr>
      <w:proofErr w:type="spellStart"/>
      <w:r w:rsidRPr="00E445B2">
        <w:rPr>
          <w:lang w:val="en-US"/>
        </w:rPr>
        <w:t>Ropivacain</w:t>
      </w:r>
      <w:proofErr w:type="spellEnd"/>
      <w:r w:rsidRPr="00E445B2">
        <w:t xml:space="preserve"> </w:t>
      </w:r>
      <w:r w:rsidRPr="00E445B2">
        <w:rPr>
          <w:lang w:val="en-US"/>
        </w:rPr>
        <w:t>hydrochloride</w:t>
      </w:r>
    </w:p>
    <w:p w14:paraId="547375C6" w14:textId="77777777" w:rsidR="00E445B2" w:rsidRDefault="00E445B2" w:rsidP="00E445B2">
      <w:pPr>
        <w:rPr>
          <w:lang w:eastAsia="bg-BG"/>
        </w:rPr>
      </w:pPr>
    </w:p>
    <w:p w14:paraId="41812BA6" w14:textId="60DB3454" w:rsidR="00E445B2" w:rsidRPr="00E445B2" w:rsidRDefault="00E445B2" w:rsidP="00E445B2">
      <w:pPr>
        <w:rPr>
          <w:sz w:val="24"/>
          <w:szCs w:val="24"/>
        </w:rPr>
      </w:pPr>
      <w:r w:rsidRPr="00E445B2">
        <w:rPr>
          <w:lang w:eastAsia="bg-BG"/>
        </w:rPr>
        <w:t xml:space="preserve">1 ампула от 10 </w:t>
      </w:r>
      <w:r w:rsidRPr="00E445B2">
        <w:rPr>
          <w:lang w:val="en-US"/>
        </w:rPr>
        <w:t>ml</w:t>
      </w:r>
      <w:r w:rsidRPr="00E445B2">
        <w:t xml:space="preserve"> </w:t>
      </w:r>
      <w:r w:rsidRPr="00E445B2">
        <w:rPr>
          <w:lang w:eastAsia="bg-BG"/>
        </w:rPr>
        <w:t xml:space="preserve">инжекционен разтвор съдържа 50 </w:t>
      </w:r>
      <w:r w:rsidRPr="00E445B2">
        <w:rPr>
          <w:lang w:val="en-US"/>
        </w:rPr>
        <w:t>mg</w:t>
      </w:r>
      <w:r w:rsidRPr="00E445B2">
        <w:t xml:space="preserve"> </w:t>
      </w:r>
      <w:r w:rsidRPr="00E445B2">
        <w:rPr>
          <w:lang w:eastAsia="bg-BG"/>
        </w:rPr>
        <w:t>ропивакаин хидрохлорид (като ропивакаин хидрохлорид монохидрат).</w:t>
      </w:r>
    </w:p>
    <w:p w14:paraId="13744D3C" w14:textId="77777777" w:rsidR="00E445B2" w:rsidRPr="00E445B2" w:rsidRDefault="00E445B2" w:rsidP="00E445B2">
      <w:pPr>
        <w:rPr>
          <w:sz w:val="24"/>
          <w:szCs w:val="24"/>
        </w:rPr>
      </w:pPr>
      <w:proofErr w:type="spellStart"/>
      <w:r w:rsidRPr="00E445B2">
        <w:rPr>
          <w:lang w:val="en-US"/>
        </w:rPr>
        <w:t>Ropivacain</w:t>
      </w:r>
      <w:proofErr w:type="spellEnd"/>
      <w:r w:rsidRPr="00E445B2">
        <w:t xml:space="preserve"> </w:t>
      </w:r>
      <w:r w:rsidRPr="00E445B2">
        <w:rPr>
          <w:lang w:val="en-US"/>
        </w:rPr>
        <w:t>hydrochloride</w:t>
      </w:r>
    </w:p>
    <w:p w14:paraId="3D64D8BA" w14:textId="77777777" w:rsidR="00E445B2" w:rsidRDefault="00E445B2" w:rsidP="00E445B2">
      <w:pPr>
        <w:rPr>
          <w:lang w:eastAsia="bg-BG"/>
        </w:rPr>
      </w:pPr>
    </w:p>
    <w:p w14:paraId="6FC3A6AC" w14:textId="48033068" w:rsidR="00E445B2" w:rsidRPr="00E445B2" w:rsidRDefault="00E445B2" w:rsidP="00E445B2">
      <w:pPr>
        <w:rPr>
          <w:sz w:val="24"/>
          <w:szCs w:val="24"/>
        </w:rPr>
      </w:pPr>
      <w:r w:rsidRPr="00E445B2">
        <w:rPr>
          <w:lang w:eastAsia="bg-BG"/>
        </w:rPr>
        <w:t xml:space="preserve">1 ампула от 20 </w:t>
      </w:r>
      <w:r w:rsidRPr="00E445B2">
        <w:rPr>
          <w:lang w:val="en-US"/>
        </w:rPr>
        <w:t>ml</w:t>
      </w:r>
      <w:r w:rsidRPr="00E445B2">
        <w:t xml:space="preserve"> </w:t>
      </w:r>
      <w:r w:rsidRPr="00E445B2">
        <w:rPr>
          <w:lang w:eastAsia="bg-BG"/>
        </w:rPr>
        <w:t xml:space="preserve">инжекционен разтвор съдържа 100 </w:t>
      </w:r>
      <w:r w:rsidRPr="00E445B2">
        <w:rPr>
          <w:lang w:val="en-US"/>
        </w:rPr>
        <w:t>mg</w:t>
      </w:r>
      <w:r w:rsidRPr="00E445B2">
        <w:t xml:space="preserve"> </w:t>
      </w:r>
      <w:r w:rsidRPr="00E445B2">
        <w:rPr>
          <w:lang w:eastAsia="bg-BG"/>
        </w:rPr>
        <w:t>ропивакаин хидрохлорид (като ропивакаин хидрохлорид монохидрат).</w:t>
      </w:r>
    </w:p>
    <w:p w14:paraId="3FDE174F" w14:textId="77777777" w:rsidR="00E445B2" w:rsidRPr="00E445B2" w:rsidRDefault="00E445B2" w:rsidP="00E445B2">
      <w:pPr>
        <w:rPr>
          <w:sz w:val="24"/>
          <w:szCs w:val="24"/>
        </w:rPr>
      </w:pPr>
      <w:proofErr w:type="spellStart"/>
      <w:r w:rsidRPr="00E445B2">
        <w:rPr>
          <w:lang w:val="en-US"/>
        </w:rPr>
        <w:t>Ropivacain</w:t>
      </w:r>
      <w:proofErr w:type="spellEnd"/>
      <w:r w:rsidRPr="00E445B2">
        <w:rPr>
          <w:lang w:val="ru-RU"/>
        </w:rPr>
        <w:t xml:space="preserve"> </w:t>
      </w:r>
      <w:r w:rsidRPr="00E445B2">
        <w:rPr>
          <w:lang w:val="en-US"/>
        </w:rPr>
        <w:t>hydrochloride</w:t>
      </w:r>
    </w:p>
    <w:p w14:paraId="7B8C14B4" w14:textId="77777777" w:rsidR="00E445B2" w:rsidRDefault="00E445B2" w:rsidP="00E445B2">
      <w:pPr>
        <w:rPr>
          <w:lang w:eastAsia="bg-BG"/>
        </w:rPr>
      </w:pPr>
    </w:p>
    <w:p w14:paraId="4631113C" w14:textId="32B8EDEB" w:rsidR="00E445B2" w:rsidRPr="00E445B2" w:rsidRDefault="00E445B2" w:rsidP="00E445B2">
      <w:pPr>
        <w:rPr>
          <w:sz w:val="24"/>
          <w:szCs w:val="24"/>
        </w:rPr>
      </w:pPr>
      <w:r w:rsidRPr="00E445B2">
        <w:rPr>
          <w:lang w:eastAsia="bg-BG"/>
        </w:rPr>
        <w:t>Помощни вещества с известно действие:</w:t>
      </w:r>
    </w:p>
    <w:p w14:paraId="636EF4F9" w14:textId="77777777" w:rsidR="00E445B2" w:rsidRPr="00E445B2" w:rsidRDefault="00E445B2" w:rsidP="00E445B2">
      <w:pPr>
        <w:rPr>
          <w:sz w:val="24"/>
          <w:szCs w:val="24"/>
        </w:rPr>
      </w:pPr>
      <w:r w:rsidRPr="00E445B2">
        <w:rPr>
          <w:lang w:eastAsia="bg-BG"/>
        </w:rPr>
        <w:t xml:space="preserve">Ропивакаин НС1 Б.Браун 5 </w:t>
      </w:r>
      <w:r w:rsidRPr="00E445B2">
        <w:rPr>
          <w:lang w:val="en-US"/>
        </w:rPr>
        <w:t>mg</w:t>
      </w:r>
      <w:r w:rsidRPr="00E445B2">
        <w:t>/</w:t>
      </w:r>
      <w:r w:rsidRPr="00E445B2">
        <w:rPr>
          <w:lang w:val="en-US"/>
        </w:rPr>
        <w:t>ml</w:t>
      </w:r>
      <w:r w:rsidRPr="00E445B2">
        <w:t xml:space="preserve"> </w:t>
      </w:r>
      <w:r w:rsidRPr="00E445B2">
        <w:rPr>
          <w:lang w:eastAsia="bg-BG"/>
        </w:rPr>
        <w:t xml:space="preserve">инжекционен разтвор съдържа 3.1 </w:t>
      </w:r>
      <w:r w:rsidRPr="00E445B2">
        <w:rPr>
          <w:lang w:val="en-US"/>
        </w:rPr>
        <w:t>mg</w:t>
      </w:r>
      <w:r w:rsidRPr="00E445B2">
        <w:t>/</w:t>
      </w:r>
      <w:r w:rsidRPr="00E445B2">
        <w:rPr>
          <w:lang w:val="en-US"/>
        </w:rPr>
        <w:t>ml</w:t>
      </w:r>
      <w:r w:rsidRPr="00E445B2">
        <w:t xml:space="preserve"> </w:t>
      </w:r>
      <w:r w:rsidRPr="00E445B2">
        <w:rPr>
          <w:lang w:eastAsia="bg-BG"/>
        </w:rPr>
        <w:t>натрий</w:t>
      </w:r>
    </w:p>
    <w:p w14:paraId="1D81C579" w14:textId="77777777" w:rsidR="00E445B2" w:rsidRPr="00E445B2" w:rsidRDefault="00E445B2" w:rsidP="00E445B2"/>
    <w:p w14:paraId="614984C4" w14:textId="6C79FF0C" w:rsidR="008A6AF2" w:rsidRDefault="00DD466D" w:rsidP="002C50EE">
      <w:pPr>
        <w:pStyle w:val="Heading1"/>
      </w:pPr>
      <w:r>
        <w:t>3. ЛЕКАРСТВЕНА ФОРМА</w:t>
      </w:r>
    </w:p>
    <w:p w14:paraId="1F3A7290" w14:textId="2049B3E3" w:rsidR="00E445B2" w:rsidRDefault="00E445B2" w:rsidP="00E445B2"/>
    <w:p w14:paraId="74B07EB1" w14:textId="77777777" w:rsidR="00E445B2" w:rsidRPr="00E445B2" w:rsidRDefault="00E445B2" w:rsidP="00E445B2">
      <w:pPr>
        <w:rPr>
          <w:sz w:val="24"/>
          <w:szCs w:val="24"/>
        </w:rPr>
      </w:pPr>
      <w:r w:rsidRPr="00E445B2">
        <w:rPr>
          <w:lang w:eastAsia="bg-BG"/>
        </w:rPr>
        <w:t>Инжекционен разтвор</w:t>
      </w:r>
    </w:p>
    <w:p w14:paraId="03CF0DEA" w14:textId="77777777" w:rsidR="00E445B2" w:rsidRDefault="00E445B2" w:rsidP="00E445B2">
      <w:pPr>
        <w:rPr>
          <w:lang w:eastAsia="bg-BG"/>
        </w:rPr>
      </w:pPr>
    </w:p>
    <w:p w14:paraId="31F94B15" w14:textId="166D8D36" w:rsidR="00E445B2" w:rsidRPr="00E445B2" w:rsidRDefault="00E445B2" w:rsidP="00E445B2">
      <w:pPr>
        <w:rPr>
          <w:lang w:eastAsia="bg-BG"/>
        </w:rPr>
      </w:pPr>
      <w:r w:rsidRPr="00E445B2">
        <w:rPr>
          <w:lang w:eastAsia="bg-BG"/>
        </w:rPr>
        <w:t xml:space="preserve">Прозрачен, безцветен разтвор с </w:t>
      </w:r>
      <w:r w:rsidRPr="00E445B2">
        <w:rPr>
          <w:lang w:val="en-US"/>
        </w:rPr>
        <w:t>pH</w:t>
      </w:r>
      <w:r w:rsidRPr="00E445B2">
        <w:rPr>
          <w:lang w:val="ru-RU"/>
        </w:rPr>
        <w:t xml:space="preserve"> </w:t>
      </w:r>
      <w:r w:rsidRPr="00E445B2">
        <w:rPr>
          <w:lang w:eastAsia="bg-BG"/>
        </w:rPr>
        <w:t xml:space="preserve">4 - 6 и осмоларитет 270 - 320 </w:t>
      </w:r>
      <w:proofErr w:type="spellStart"/>
      <w:r w:rsidRPr="00E445B2">
        <w:rPr>
          <w:lang w:val="en-US"/>
        </w:rPr>
        <w:t>mOsmol</w:t>
      </w:r>
      <w:proofErr w:type="spellEnd"/>
      <w:r w:rsidRPr="00E445B2">
        <w:rPr>
          <w:lang w:val="ru-RU"/>
        </w:rPr>
        <w:t>/</w:t>
      </w:r>
      <w:r w:rsidRPr="00E445B2">
        <w:rPr>
          <w:lang w:val="en-US"/>
        </w:rPr>
        <w:t>kg</w:t>
      </w:r>
    </w:p>
    <w:p w14:paraId="4686E06F" w14:textId="77777777" w:rsidR="00E445B2" w:rsidRPr="00E445B2" w:rsidRDefault="00E445B2" w:rsidP="00E445B2"/>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39556D73" w:rsidR="00395555" w:rsidRDefault="00395555" w:rsidP="00395555"/>
    <w:p w14:paraId="1D54AB66" w14:textId="3B9E34E8" w:rsidR="00E445B2" w:rsidRDefault="00E445B2" w:rsidP="00E445B2">
      <w:pPr>
        <w:rPr>
          <w:lang w:eastAsia="bg-BG"/>
        </w:rPr>
      </w:pPr>
      <w:r w:rsidRPr="00E445B2">
        <w:rPr>
          <w:lang w:eastAsia="bg-BG"/>
        </w:rPr>
        <w:t xml:space="preserve">Ропивакаин НС1 Б.Браун 5 </w:t>
      </w:r>
      <w:r w:rsidRPr="00E445B2">
        <w:rPr>
          <w:lang w:val="en-US"/>
        </w:rPr>
        <w:t>mg</w:t>
      </w:r>
      <w:r w:rsidRPr="00E445B2">
        <w:rPr>
          <w:lang w:val="ru-RU"/>
        </w:rPr>
        <w:t>/</w:t>
      </w:r>
      <w:r w:rsidRPr="00E445B2">
        <w:rPr>
          <w:lang w:val="en-US"/>
        </w:rPr>
        <w:t>ml</w:t>
      </w:r>
      <w:r w:rsidRPr="00E445B2">
        <w:rPr>
          <w:lang w:val="ru-RU"/>
        </w:rPr>
        <w:t xml:space="preserve"> </w:t>
      </w:r>
      <w:r w:rsidRPr="00E445B2">
        <w:rPr>
          <w:lang w:eastAsia="bg-BG"/>
        </w:rPr>
        <w:t>е показан за интратекално приложение при хирургическа анестезия при възрастни и юноши над 12 години.</w:t>
      </w:r>
    </w:p>
    <w:p w14:paraId="3F606AAB" w14:textId="77777777" w:rsidR="00E445B2" w:rsidRPr="00E445B2" w:rsidRDefault="00E445B2" w:rsidP="00E445B2">
      <w:pPr>
        <w:rPr>
          <w:sz w:val="24"/>
          <w:szCs w:val="24"/>
        </w:rPr>
      </w:pPr>
    </w:p>
    <w:p w14:paraId="7C0CA5EB" w14:textId="70E8F969" w:rsidR="00C0049F" w:rsidRDefault="002C50EE" w:rsidP="009F1313">
      <w:pPr>
        <w:pStyle w:val="Heading2"/>
      </w:pPr>
      <w:r>
        <w:t>4.2. Дозировка и начин на приложение</w:t>
      </w:r>
    </w:p>
    <w:p w14:paraId="34B52270" w14:textId="23F6EEBE" w:rsidR="00E445B2" w:rsidRDefault="00E445B2" w:rsidP="00E445B2"/>
    <w:p w14:paraId="497AB377" w14:textId="77777777"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Ропивакаин хидрохлорид трябва да се употребява само от или под наблюдението на клиницисти с опит в регионалната анестезия.</w:t>
      </w:r>
    </w:p>
    <w:p w14:paraId="71E01798" w14:textId="77777777" w:rsidR="00E445B2" w:rsidRPr="00E445B2" w:rsidRDefault="00E445B2" w:rsidP="00E445B2">
      <w:pPr>
        <w:spacing w:line="240" w:lineRule="auto"/>
        <w:rPr>
          <w:rFonts w:eastAsia="Times New Roman" w:cs="Arial"/>
          <w:b/>
          <w:bCs/>
          <w:color w:val="000000"/>
          <w:szCs w:val="20"/>
          <w:lang w:eastAsia="bg-BG"/>
        </w:rPr>
      </w:pPr>
      <w:bookmarkStart w:id="1" w:name="bookmark0"/>
    </w:p>
    <w:p w14:paraId="0343C073" w14:textId="2BA84808" w:rsidR="00E445B2" w:rsidRPr="00E445B2" w:rsidRDefault="00E445B2" w:rsidP="00E445B2">
      <w:pPr>
        <w:pStyle w:val="Heading3"/>
        <w:rPr>
          <w:rFonts w:eastAsia="Times New Roman"/>
          <w:b/>
          <w:sz w:val="28"/>
        </w:rPr>
      </w:pPr>
      <w:r w:rsidRPr="00E445B2">
        <w:rPr>
          <w:rFonts w:eastAsia="Times New Roman"/>
          <w:b/>
          <w:lang w:eastAsia="bg-BG"/>
        </w:rPr>
        <w:lastRenderedPageBreak/>
        <w:t>Дозировка</w:t>
      </w:r>
      <w:bookmarkEnd w:id="1"/>
    </w:p>
    <w:p w14:paraId="593AC043" w14:textId="59123C83" w:rsidR="00E445B2" w:rsidRPr="00E445B2" w:rsidRDefault="00E445B2" w:rsidP="00E445B2">
      <w:pPr>
        <w:spacing w:line="240" w:lineRule="auto"/>
        <w:rPr>
          <w:rFonts w:eastAsia="Times New Roman" w:cs="Arial"/>
          <w:sz w:val="28"/>
          <w:szCs w:val="24"/>
        </w:rPr>
      </w:pPr>
      <w:r w:rsidRPr="00E445B2">
        <w:rPr>
          <w:rFonts w:eastAsia="Times New Roman" w:cs="Arial"/>
          <w:b/>
          <w:bCs/>
          <w:color w:val="000000"/>
          <w:szCs w:val="20"/>
          <w:lang w:eastAsia="bg-BG"/>
        </w:rPr>
        <w:t>Възрастни и юноши на възраст над 12 години</w:t>
      </w:r>
    </w:p>
    <w:p w14:paraId="3DEEA4EE" w14:textId="77777777"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Следната таблица е ръководство за дозировка за интратекално приложение при възрастни. Най- малката необходима доза за осъществяване на ефективна блокада трябва да се използва</w:t>
      </w:r>
    </w:p>
    <w:p w14:paraId="5331B083" w14:textId="3CF6275E" w:rsidR="00E445B2" w:rsidRPr="00E445B2" w:rsidRDefault="00E445B2" w:rsidP="00E445B2">
      <w:pPr>
        <w:rPr>
          <w:rFonts w:eastAsia="Times New Roman" w:cs="Arial"/>
          <w:color w:val="000000"/>
          <w:szCs w:val="20"/>
          <w:lang w:eastAsia="bg-BG"/>
        </w:rPr>
      </w:pPr>
      <w:r w:rsidRPr="00E445B2">
        <w:rPr>
          <w:rFonts w:eastAsia="Times New Roman" w:cs="Arial"/>
          <w:color w:val="000000"/>
          <w:szCs w:val="20"/>
          <w:lang w:eastAsia="bg-BG"/>
        </w:rPr>
        <w:t>Опитът на анестезиолога и познаването на физическия статус на пациента са важни при определянето на дозата.</w:t>
      </w:r>
    </w:p>
    <w:p w14:paraId="4A511272" w14:textId="233D7C54" w:rsidR="00E445B2" w:rsidRPr="00E445B2" w:rsidRDefault="00E445B2" w:rsidP="00E445B2">
      <w:pPr>
        <w:rPr>
          <w:rFonts w:eastAsia="Times New Roman" w:cs="Arial"/>
          <w:color w:val="000000"/>
          <w:szCs w:val="20"/>
          <w:lang w:eastAsia="bg-BG"/>
        </w:rPr>
      </w:pPr>
    </w:p>
    <w:p w14:paraId="2CD1394E" w14:textId="7F15E090" w:rsidR="00E445B2" w:rsidRDefault="00E445B2" w:rsidP="00E445B2">
      <w:pPr>
        <w:spacing w:line="240" w:lineRule="auto"/>
        <w:rPr>
          <w:rFonts w:eastAsia="Times New Roman" w:cs="Arial"/>
          <w:b/>
          <w:bCs/>
          <w:color w:val="000000"/>
          <w:szCs w:val="20"/>
          <w:lang w:eastAsia="bg-BG"/>
        </w:rPr>
      </w:pPr>
      <w:r w:rsidRPr="00E445B2">
        <w:rPr>
          <w:rFonts w:eastAsia="Times New Roman" w:cs="Arial"/>
          <w:b/>
          <w:bCs/>
          <w:color w:val="000000"/>
          <w:szCs w:val="20"/>
          <w:lang w:eastAsia="bg-BG"/>
        </w:rPr>
        <w:t>ХИРУРГИЧЕСКА АНЕСТЕЗИЯ</w:t>
      </w:r>
    </w:p>
    <w:tbl>
      <w:tblPr>
        <w:tblStyle w:val="TableGrid"/>
        <w:tblW w:w="0" w:type="auto"/>
        <w:tblLook w:val="04A0" w:firstRow="1" w:lastRow="0" w:firstColumn="1" w:lastColumn="0" w:noHBand="0" w:noVBand="1"/>
      </w:tblPr>
      <w:tblGrid>
        <w:gridCol w:w="1742"/>
        <w:gridCol w:w="1772"/>
        <w:gridCol w:w="1303"/>
        <w:gridCol w:w="1688"/>
        <w:gridCol w:w="1382"/>
        <w:gridCol w:w="1463"/>
      </w:tblGrid>
      <w:tr w:rsidR="00E445B2" w14:paraId="131DA5E6" w14:textId="77777777" w:rsidTr="00E445B2">
        <w:tc>
          <w:tcPr>
            <w:tcW w:w="1742" w:type="dxa"/>
          </w:tcPr>
          <w:p w14:paraId="7FC9845C" w14:textId="77777777" w:rsidR="00E445B2" w:rsidRPr="00E445B2" w:rsidRDefault="00E445B2" w:rsidP="00E445B2">
            <w:pPr>
              <w:rPr>
                <w:b/>
              </w:rPr>
            </w:pPr>
          </w:p>
        </w:tc>
        <w:tc>
          <w:tcPr>
            <w:tcW w:w="1772" w:type="dxa"/>
          </w:tcPr>
          <w:p w14:paraId="70E7CCFB" w14:textId="6E16F04D" w:rsidR="00E445B2" w:rsidRPr="00E445B2" w:rsidRDefault="00E445B2" w:rsidP="00E445B2">
            <w:pPr>
              <w:rPr>
                <w:b/>
              </w:rPr>
            </w:pPr>
            <w:r w:rsidRPr="00E445B2">
              <w:rPr>
                <w:b/>
                <w:bCs/>
                <w:szCs w:val="20"/>
              </w:rPr>
              <w:t>Концентрация на ропивакаин хидрохлорид</w:t>
            </w:r>
          </w:p>
        </w:tc>
        <w:tc>
          <w:tcPr>
            <w:tcW w:w="1406" w:type="dxa"/>
          </w:tcPr>
          <w:p w14:paraId="07AFBA4A" w14:textId="010DA14E" w:rsidR="00E445B2" w:rsidRPr="00E445B2" w:rsidRDefault="00E445B2" w:rsidP="00E445B2">
            <w:pPr>
              <w:rPr>
                <w:b/>
              </w:rPr>
            </w:pPr>
            <w:r w:rsidRPr="00E445B2">
              <w:rPr>
                <w:b/>
                <w:bCs/>
                <w:szCs w:val="20"/>
              </w:rPr>
              <w:t>Обем</w:t>
            </w:r>
          </w:p>
        </w:tc>
        <w:tc>
          <w:tcPr>
            <w:tcW w:w="1688" w:type="dxa"/>
          </w:tcPr>
          <w:p w14:paraId="7B8A5B28" w14:textId="02F1CD09" w:rsidR="00E445B2" w:rsidRPr="00E445B2" w:rsidRDefault="00E445B2" w:rsidP="00E445B2">
            <w:pPr>
              <w:rPr>
                <w:b/>
              </w:rPr>
            </w:pPr>
            <w:r w:rsidRPr="00E445B2">
              <w:rPr>
                <w:b/>
                <w:bCs/>
                <w:szCs w:val="20"/>
              </w:rPr>
              <w:t>Доза на ропивакаин хидрохлорид</w:t>
            </w:r>
          </w:p>
        </w:tc>
        <w:tc>
          <w:tcPr>
            <w:tcW w:w="1458" w:type="dxa"/>
          </w:tcPr>
          <w:p w14:paraId="05D8092B" w14:textId="11537F61" w:rsidR="00E445B2" w:rsidRPr="00E445B2" w:rsidRDefault="00E445B2" w:rsidP="00E445B2">
            <w:pPr>
              <w:rPr>
                <w:b/>
              </w:rPr>
            </w:pPr>
            <w:r w:rsidRPr="00E445B2">
              <w:rPr>
                <w:b/>
                <w:bCs/>
                <w:szCs w:val="20"/>
              </w:rPr>
              <w:t>Начало</w:t>
            </w:r>
          </w:p>
        </w:tc>
        <w:tc>
          <w:tcPr>
            <w:tcW w:w="1510" w:type="dxa"/>
          </w:tcPr>
          <w:p w14:paraId="4BE45F02" w14:textId="311E3776" w:rsidR="00E445B2" w:rsidRPr="00E445B2" w:rsidRDefault="00E445B2" w:rsidP="00E445B2">
            <w:pPr>
              <w:rPr>
                <w:b/>
              </w:rPr>
            </w:pPr>
            <w:r w:rsidRPr="00E445B2">
              <w:rPr>
                <w:b/>
                <w:bCs/>
                <w:szCs w:val="20"/>
              </w:rPr>
              <w:t>Продълж ителност</w:t>
            </w:r>
          </w:p>
        </w:tc>
      </w:tr>
      <w:tr w:rsidR="00E445B2" w14:paraId="3984CC03" w14:textId="77777777" w:rsidTr="00E445B2">
        <w:tc>
          <w:tcPr>
            <w:tcW w:w="1742" w:type="dxa"/>
          </w:tcPr>
          <w:p w14:paraId="737217AF" w14:textId="77777777" w:rsidR="00E445B2" w:rsidRPr="00E445B2" w:rsidRDefault="00E445B2" w:rsidP="00E445B2">
            <w:pPr>
              <w:rPr>
                <w:b/>
              </w:rPr>
            </w:pPr>
          </w:p>
        </w:tc>
        <w:tc>
          <w:tcPr>
            <w:tcW w:w="1772" w:type="dxa"/>
          </w:tcPr>
          <w:p w14:paraId="7B037813" w14:textId="02FF8F48" w:rsidR="00E445B2" w:rsidRPr="00E445B2" w:rsidRDefault="00E445B2" w:rsidP="00E445B2">
            <w:pPr>
              <w:rPr>
                <w:b/>
              </w:rPr>
            </w:pPr>
            <w:r w:rsidRPr="00E445B2">
              <w:rPr>
                <w:b/>
                <w:bCs/>
                <w:szCs w:val="20"/>
                <w:lang w:val="en-US"/>
              </w:rPr>
              <w:t>mg/ml</w:t>
            </w:r>
          </w:p>
        </w:tc>
        <w:tc>
          <w:tcPr>
            <w:tcW w:w="1406" w:type="dxa"/>
          </w:tcPr>
          <w:p w14:paraId="4F22797F" w14:textId="2128750E" w:rsidR="00E445B2" w:rsidRPr="00E445B2" w:rsidRDefault="00E445B2" w:rsidP="00E445B2">
            <w:pPr>
              <w:rPr>
                <w:b/>
              </w:rPr>
            </w:pPr>
            <w:r w:rsidRPr="00E445B2">
              <w:rPr>
                <w:b/>
                <w:bCs/>
                <w:szCs w:val="20"/>
                <w:lang w:val="en-US"/>
              </w:rPr>
              <w:t>ml</w:t>
            </w:r>
          </w:p>
        </w:tc>
        <w:tc>
          <w:tcPr>
            <w:tcW w:w="1688" w:type="dxa"/>
          </w:tcPr>
          <w:p w14:paraId="789BDC11" w14:textId="281F60E6" w:rsidR="00E445B2" w:rsidRPr="00E445B2" w:rsidRDefault="00E445B2" w:rsidP="00E445B2">
            <w:pPr>
              <w:rPr>
                <w:b/>
              </w:rPr>
            </w:pPr>
            <w:r w:rsidRPr="00E445B2">
              <w:rPr>
                <w:b/>
                <w:bCs/>
                <w:szCs w:val="20"/>
                <w:lang w:val="en-US"/>
              </w:rPr>
              <w:t>mg</w:t>
            </w:r>
          </w:p>
        </w:tc>
        <w:tc>
          <w:tcPr>
            <w:tcW w:w="1458" w:type="dxa"/>
          </w:tcPr>
          <w:p w14:paraId="0E567DB4" w14:textId="56D5149F" w:rsidR="00E445B2" w:rsidRPr="00E445B2" w:rsidRDefault="00E445B2" w:rsidP="00E445B2">
            <w:pPr>
              <w:rPr>
                <w:b/>
              </w:rPr>
            </w:pPr>
            <w:r w:rsidRPr="00E445B2">
              <w:rPr>
                <w:b/>
                <w:bCs/>
                <w:szCs w:val="20"/>
              </w:rPr>
              <w:t>минути</w:t>
            </w:r>
          </w:p>
        </w:tc>
        <w:tc>
          <w:tcPr>
            <w:tcW w:w="1510" w:type="dxa"/>
          </w:tcPr>
          <w:p w14:paraId="272109E1" w14:textId="4784F306" w:rsidR="00E445B2" w:rsidRPr="00E445B2" w:rsidRDefault="00E445B2" w:rsidP="00E445B2">
            <w:pPr>
              <w:rPr>
                <w:b/>
              </w:rPr>
            </w:pPr>
            <w:r w:rsidRPr="00E445B2">
              <w:rPr>
                <w:b/>
                <w:bCs/>
                <w:szCs w:val="20"/>
              </w:rPr>
              <w:t>часове</w:t>
            </w:r>
          </w:p>
        </w:tc>
      </w:tr>
      <w:tr w:rsidR="00E445B2" w14:paraId="366B3564" w14:textId="77777777" w:rsidTr="00E445B2">
        <w:tc>
          <w:tcPr>
            <w:tcW w:w="1742" w:type="dxa"/>
          </w:tcPr>
          <w:p w14:paraId="36936FAC" w14:textId="726146D8" w:rsidR="00E445B2" w:rsidRPr="00E445B2" w:rsidRDefault="00E445B2" w:rsidP="00E445B2">
            <w:pPr>
              <w:rPr>
                <w:b/>
                <w:sz w:val="24"/>
                <w:szCs w:val="24"/>
              </w:rPr>
            </w:pPr>
            <w:r w:rsidRPr="00E445B2">
              <w:rPr>
                <w:b/>
                <w:lang w:eastAsia="bg-BG"/>
              </w:rPr>
              <w:t>Интратекално приложение</w:t>
            </w:r>
          </w:p>
        </w:tc>
        <w:tc>
          <w:tcPr>
            <w:tcW w:w="1772" w:type="dxa"/>
          </w:tcPr>
          <w:p w14:paraId="512FF87E" w14:textId="77777777" w:rsidR="00E445B2" w:rsidRDefault="00E445B2" w:rsidP="00E445B2">
            <w:pPr>
              <w:spacing w:line="240" w:lineRule="auto"/>
              <w:rPr>
                <w:rFonts w:ascii="Times New Roman" w:eastAsia="Times New Roman" w:hAnsi="Times New Roman" w:cs="Times New Roman"/>
                <w:sz w:val="24"/>
                <w:szCs w:val="24"/>
              </w:rPr>
            </w:pPr>
          </w:p>
        </w:tc>
        <w:tc>
          <w:tcPr>
            <w:tcW w:w="1406" w:type="dxa"/>
          </w:tcPr>
          <w:p w14:paraId="385CDFE7" w14:textId="77777777" w:rsidR="00E445B2" w:rsidRDefault="00E445B2" w:rsidP="00E445B2">
            <w:pPr>
              <w:spacing w:line="240" w:lineRule="auto"/>
              <w:rPr>
                <w:rFonts w:ascii="Times New Roman" w:eastAsia="Times New Roman" w:hAnsi="Times New Roman" w:cs="Times New Roman"/>
                <w:sz w:val="24"/>
                <w:szCs w:val="24"/>
              </w:rPr>
            </w:pPr>
          </w:p>
        </w:tc>
        <w:tc>
          <w:tcPr>
            <w:tcW w:w="1688" w:type="dxa"/>
          </w:tcPr>
          <w:p w14:paraId="5E066A7F" w14:textId="77777777" w:rsidR="00E445B2" w:rsidRDefault="00E445B2" w:rsidP="00E445B2">
            <w:pPr>
              <w:spacing w:line="240" w:lineRule="auto"/>
              <w:rPr>
                <w:rFonts w:ascii="Times New Roman" w:eastAsia="Times New Roman" w:hAnsi="Times New Roman" w:cs="Times New Roman"/>
                <w:sz w:val="24"/>
                <w:szCs w:val="24"/>
              </w:rPr>
            </w:pPr>
          </w:p>
        </w:tc>
        <w:tc>
          <w:tcPr>
            <w:tcW w:w="1458" w:type="dxa"/>
          </w:tcPr>
          <w:p w14:paraId="37307237" w14:textId="77777777" w:rsidR="00E445B2" w:rsidRDefault="00E445B2" w:rsidP="00E445B2">
            <w:pPr>
              <w:spacing w:line="240" w:lineRule="auto"/>
              <w:rPr>
                <w:rFonts w:ascii="Times New Roman" w:eastAsia="Times New Roman" w:hAnsi="Times New Roman" w:cs="Times New Roman"/>
                <w:sz w:val="24"/>
                <w:szCs w:val="24"/>
              </w:rPr>
            </w:pPr>
          </w:p>
        </w:tc>
        <w:tc>
          <w:tcPr>
            <w:tcW w:w="1510" w:type="dxa"/>
          </w:tcPr>
          <w:p w14:paraId="589A66EB" w14:textId="77777777" w:rsidR="00E445B2" w:rsidRDefault="00E445B2" w:rsidP="00E445B2">
            <w:pPr>
              <w:spacing w:line="240" w:lineRule="auto"/>
              <w:rPr>
                <w:rFonts w:ascii="Times New Roman" w:eastAsia="Times New Roman" w:hAnsi="Times New Roman" w:cs="Times New Roman"/>
                <w:sz w:val="24"/>
                <w:szCs w:val="24"/>
              </w:rPr>
            </w:pPr>
          </w:p>
        </w:tc>
      </w:tr>
      <w:tr w:rsidR="00E445B2" w14:paraId="6A7B5812" w14:textId="77777777" w:rsidTr="00E445B2">
        <w:tc>
          <w:tcPr>
            <w:tcW w:w="1742" w:type="dxa"/>
          </w:tcPr>
          <w:p w14:paraId="49EC0602" w14:textId="7B08A29E" w:rsidR="00E445B2" w:rsidRDefault="00E445B2" w:rsidP="00E445B2">
            <w:pPr>
              <w:rPr>
                <w:rFonts w:ascii="Times New Roman" w:eastAsia="Times New Roman" w:hAnsi="Times New Roman" w:cs="Times New Roman"/>
                <w:sz w:val="24"/>
                <w:szCs w:val="24"/>
              </w:rPr>
            </w:pPr>
            <w:r>
              <w:t>Хирургия</w:t>
            </w:r>
          </w:p>
        </w:tc>
        <w:tc>
          <w:tcPr>
            <w:tcW w:w="1772" w:type="dxa"/>
          </w:tcPr>
          <w:p w14:paraId="7EAF5BE8" w14:textId="3ED6C417" w:rsidR="00E445B2" w:rsidRDefault="00E445B2" w:rsidP="00E445B2">
            <w:pPr>
              <w:rPr>
                <w:rFonts w:ascii="Times New Roman" w:eastAsia="Times New Roman" w:hAnsi="Times New Roman" w:cs="Times New Roman"/>
                <w:sz w:val="24"/>
                <w:szCs w:val="24"/>
              </w:rPr>
            </w:pPr>
            <w:r>
              <w:t>5.0</w:t>
            </w:r>
          </w:p>
        </w:tc>
        <w:tc>
          <w:tcPr>
            <w:tcW w:w="1406" w:type="dxa"/>
          </w:tcPr>
          <w:p w14:paraId="2865C3AD" w14:textId="7E3C9D15" w:rsidR="00E445B2" w:rsidRDefault="00E445B2" w:rsidP="00E445B2">
            <w:pPr>
              <w:rPr>
                <w:rFonts w:ascii="Times New Roman" w:eastAsia="Times New Roman" w:hAnsi="Times New Roman" w:cs="Times New Roman"/>
                <w:sz w:val="24"/>
                <w:szCs w:val="24"/>
              </w:rPr>
            </w:pPr>
            <w:r>
              <w:t>3-5</w:t>
            </w:r>
          </w:p>
        </w:tc>
        <w:tc>
          <w:tcPr>
            <w:tcW w:w="1688" w:type="dxa"/>
          </w:tcPr>
          <w:p w14:paraId="63108901" w14:textId="52A73A20" w:rsidR="00E445B2" w:rsidRDefault="00E445B2" w:rsidP="00E445B2">
            <w:pPr>
              <w:rPr>
                <w:rFonts w:ascii="Times New Roman" w:eastAsia="Times New Roman" w:hAnsi="Times New Roman" w:cs="Times New Roman"/>
                <w:sz w:val="24"/>
                <w:szCs w:val="24"/>
              </w:rPr>
            </w:pPr>
            <w:r>
              <w:t>15-25</w:t>
            </w:r>
          </w:p>
        </w:tc>
        <w:tc>
          <w:tcPr>
            <w:tcW w:w="1458" w:type="dxa"/>
          </w:tcPr>
          <w:p w14:paraId="0C64DE4F" w14:textId="3417F461" w:rsidR="00E445B2" w:rsidRDefault="00E445B2" w:rsidP="00E445B2">
            <w:pPr>
              <w:rPr>
                <w:rFonts w:ascii="Times New Roman" w:eastAsia="Times New Roman" w:hAnsi="Times New Roman" w:cs="Times New Roman"/>
                <w:sz w:val="24"/>
                <w:szCs w:val="24"/>
              </w:rPr>
            </w:pPr>
            <w:r>
              <w:t>1-5</w:t>
            </w:r>
          </w:p>
        </w:tc>
        <w:tc>
          <w:tcPr>
            <w:tcW w:w="1510" w:type="dxa"/>
          </w:tcPr>
          <w:p w14:paraId="14B1223E" w14:textId="27AFD00B" w:rsidR="00E445B2" w:rsidRDefault="00E445B2" w:rsidP="00E445B2">
            <w:pPr>
              <w:rPr>
                <w:rFonts w:ascii="Times New Roman" w:eastAsia="Times New Roman" w:hAnsi="Times New Roman" w:cs="Times New Roman"/>
                <w:sz w:val="24"/>
                <w:szCs w:val="24"/>
              </w:rPr>
            </w:pPr>
            <w:r>
              <w:t>2-6</w:t>
            </w:r>
          </w:p>
        </w:tc>
      </w:tr>
      <w:tr w:rsidR="00E445B2" w14:paraId="71461254" w14:textId="77777777" w:rsidTr="00375367">
        <w:tc>
          <w:tcPr>
            <w:tcW w:w="9576" w:type="dxa"/>
            <w:gridSpan w:val="6"/>
          </w:tcPr>
          <w:p w14:paraId="7C736066" w14:textId="07A63C5D" w:rsidR="00E445B2" w:rsidRPr="00E445B2" w:rsidRDefault="00E445B2" w:rsidP="00E445B2">
            <w:pPr>
              <w:rPr>
                <w:rFonts w:ascii="Times New Roman" w:eastAsia="Times New Roman" w:hAnsi="Times New Roman" w:cs="Times New Roman"/>
                <w:sz w:val="24"/>
                <w:szCs w:val="24"/>
              </w:rPr>
            </w:pPr>
            <w:r w:rsidRPr="00E445B2">
              <w:t>Дозите в таблицата се считат за необходими за осъществяване на успешна блокада и трябва да се разглеждат като препоръчителни за употреба при възрастни пациенти. Индивидуални вариации в началото и продължителността на действие се наблюдават. Цифрите в колоната «доза» отразяват очаквания среден необходим диапазон на дозировка. Стандартни учебници трябва да се ползват като справочници за факторите, повлияващи специфични техники на блокада и индивидуални нужди на пациентите.</w:t>
            </w:r>
          </w:p>
        </w:tc>
      </w:tr>
    </w:tbl>
    <w:p w14:paraId="0554E60F" w14:textId="77777777" w:rsidR="00E445B2" w:rsidRPr="00E445B2" w:rsidRDefault="00E445B2" w:rsidP="00E445B2">
      <w:pPr>
        <w:spacing w:line="240" w:lineRule="auto"/>
        <w:rPr>
          <w:rFonts w:ascii="Times New Roman" w:eastAsia="Times New Roman" w:hAnsi="Times New Roman" w:cs="Times New Roman"/>
          <w:sz w:val="24"/>
          <w:szCs w:val="24"/>
        </w:rPr>
      </w:pPr>
    </w:p>
    <w:p w14:paraId="20F0E7E2" w14:textId="77777777" w:rsidR="00E445B2" w:rsidRPr="00E445B2" w:rsidRDefault="00E445B2" w:rsidP="00E445B2">
      <w:pPr>
        <w:spacing w:line="240" w:lineRule="auto"/>
        <w:rPr>
          <w:rFonts w:eastAsia="Times New Roman" w:cs="Arial"/>
          <w:sz w:val="28"/>
          <w:szCs w:val="24"/>
        </w:rPr>
      </w:pPr>
      <w:r w:rsidRPr="00E445B2">
        <w:rPr>
          <w:rFonts w:eastAsia="Times New Roman" w:cs="Arial"/>
          <w:b/>
          <w:bCs/>
          <w:color w:val="000000"/>
          <w:szCs w:val="20"/>
          <w:lang w:eastAsia="bg-BG"/>
        </w:rPr>
        <w:t>Педиатрична популация</w:t>
      </w:r>
    </w:p>
    <w:p w14:paraId="54FC9D78" w14:textId="77777777"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Интратекалното приложение не е достатъчно проучено нито при бебета и прощъпалници, нито при деца.</w:t>
      </w:r>
    </w:p>
    <w:p w14:paraId="572CF681" w14:textId="77777777" w:rsidR="00E445B2" w:rsidRPr="00E445B2" w:rsidRDefault="00E445B2" w:rsidP="00E445B2">
      <w:pPr>
        <w:spacing w:line="240" w:lineRule="auto"/>
        <w:rPr>
          <w:rFonts w:eastAsia="Times New Roman" w:cs="Arial"/>
          <w:color w:val="000000"/>
          <w:szCs w:val="20"/>
          <w:u w:val="single"/>
          <w:lang w:eastAsia="bg-BG"/>
        </w:rPr>
      </w:pPr>
    </w:p>
    <w:p w14:paraId="7A31F2A9" w14:textId="5E8CB5F2" w:rsidR="00E445B2" w:rsidRPr="00E445B2" w:rsidRDefault="00E445B2" w:rsidP="00E445B2">
      <w:pPr>
        <w:pStyle w:val="Heading3"/>
        <w:rPr>
          <w:rFonts w:eastAsia="Times New Roman"/>
          <w:sz w:val="28"/>
          <w:u w:val="single"/>
        </w:rPr>
      </w:pPr>
      <w:r w:rsidRPr="00E445B2">
        <w:rPr>
          <w:rFonts w:eastAsia="Times New Roman"/>
          <w:u w:val="single"/>
          <w:lang w:eastAsia="bg-BG"/>
        </w:rPr>
        <w:t>Начин на приложение</w:t>
      </w:r>
    </w:p>
    <w:p w14:paraId="5F66410D" w14:textId="77777777" w:rsidR="00E445B2" w:rsidRPr="00E445B2" w:rsidRDefault="00E445B2" w:rsidP="00E445B2">
      <w:pPr>
        <w:spacing w:line="240" w:lineRule="auto"/>
        <w:rPr>
          <w:rFonts w:eastAsia="Times New Roman" w:cs="Arial"/>
          <w:color w:val="000000"/>
          <w:szCs w:val="20"/>
          <w:lang w:eastAsia="bg-BG"/>
        </w:rPr>
      </w:pPr>
    </w:p>
    <w:p w14:paraId="69373713" w14:textId="52A6ADCC"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За интратекална употреба.</w:t>
      </w:r>
    </w:p>
    <w:p w14:paraId="6CB40EBF" w14:textId="77777777" w:rsidR="00E445B2" w:rsidRPr="00E445B2" w:rsidRDefault="00E445B2" w:rsidP="00E445B2">
      <w:pPr>
        <w:spacing w:line="240" w:lineRule="auto"/>
        <w:rPr>
          <w:rFonts w:eastAsia="Times New Roman" w:cs="Arial"/>
          <w:color w:val="000000"/>
          <w:szCs w:val="20"/>
          <w:lang w:eastAsia="bg-BG"/>
        </w:rPr>
      </w:pPr>
    </w:p>
    <w:p w14:paraId="0648D382" w14:textId="72F99AC9"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Интратекално инжектиране трябва да се прилага след идентифициране на субарахноидалното пространство и изтегляне или аспириране на гръбначномозъчна течност със спиналната канюла.</w:t>
      </w:r>
    </w:p>
    <w:p w14:paraId="08D75EFD" w14:textId="688C89B4" w:rsidR="00E445B2" w:rsidRDefault="00E445B2" w:rsidP="00E445B2">
      <w:pPr>
        <w:rPr>
          <w:rFonts w:eastAsia="Times New Roman" w:cs="Arial"/>
          <w:color w:val="000000"/>
          <w:szCs w:val="20"/>
          <w:lang w:eastAsia="bg-BG"/>
        </w:rPr>
      </w:pPr>
      <w:r w:rsidRPr="00E445B2">
        <w:rPr>
          <w:rFonts w:eastAsia="Times New Roman" w:cs="Arial"/>
          <w:color w:val="000000"/>
          <w:szCs w:val="20"/>
          <w:lang w:eastAsia="bg-BG"/>
        </w:rPr>
        <w:t>Внимателно аспириране преди и по време на инжектиране се препоръчва за предотвратяване вътресъдово инжектиране. Неволно вътресъдово инжектиране може да се разпознае по временно ускоряване на сърдечната честота.</w:t>
      </w:r>
    </w:p>
    <w:p w14:paraId="728BBEAA" w14:textId="77777777" w:rsidR="00E445B2" w:rsidRPr="00E445B2" w:rsidRDefault="00E445B2" w:rsidP="00E445B2">
      <w:pPr>
        <w:rPr>
          <w:rFonts w:cs="Arial"/>
          <w:sz w:val="24"/>
        </w:rPr>
      </w:pPr>
    </w:p>
    <w:p w14:paraId="62B13D0B" w14:textId="25D321E1" w:rsidR="00395555" w:rsidRDefault="002C50EE" w:rsidP="008A6AF2">
      <w:pPr>
        <w:pStyle w:val="Heading2"/>
      </w:pPr>
      <w:r>
        <w:t>4.3. Противопоказания</w:t>
      </w:r>
    </w:p>
    <w:p w14:paraId="2FC77EC5" w14:textId="135710BA" w:rsidR="00E445B2" w:rsidRDefault="00E445B2" w:rsidP="00E445B2"/>
    <w:p w14:paraId="5D4CB5D9" w14:textId="0F95C90F" w:rsidR="00E445B2" w:rsidRPr="00E445B2" w:rsidRDefault="00E445B2" w:rsidP="00E445B2">
      <w:pPr>
        <w:pStyle w:val="ListParagraph"/>
        <w:numPr>
          <w:ilvl w:val="0"/>
          <w:numId w:val="32"/>
        </w:numPr>
        <w:rPr>
          <w:sz w:val="24"/>
          <w:szCs w:val="24"/>
        </w:rPr>
      </w:pPr>
      <w:r w:rsidRPr="00E445B2">
        <w:rPr>
          <w:lang w:eastAsia="bg-BG"/>
        </w:rPr>
        <w:t>Свръхчувствителност към ропивакаин, други локални анестетици от амиден тип или към някои от помощните вещества, изброени в точка 6.1.</w:t>
      </w:r>
    </w:p>
    <w:p w14:paraId="62E928F6" w14:textId="1D609A27" w:rsidR="00E445B2" w:rsidRPr="00E445B2" w:rsidRDefault="00E445B2" w:rsidP="00E445B2">
      <w:pPr>
        <w:pStyle w:val="ListParagraph"/>
        <w:numPr>
          <w:ilvl w:val="0"/>
          <w:numId w:val="32"/>
        </w:numPr>
        <w:rPr>
          <w:sz w:val="24"/>
          <w:szCs w:val="24"/>
        </w:rPr>
      </w:pPr>
      <w:r w:rsidRPr="00E445B2">
        <w:rPr>
          <w:lang w:eastAsia="bg-BG"/>
        </w:rPr>
        <w:t>Общите противопоказания, свързани с регионална анестезия, включително невроаксиална анестезия, трябва да се имат предвид.</w:t>
      </w:r>
    </w:p>
    <w:p w14:paraId="25D54B1F" w14:textId="5360B18D" w:rsidR="00E445B2" w:rsidRPr="00E445B2" w:rsidRDefault="00E445B2" w:rsidP="00E445B2">
      <w:pPr>
        <w:pStyle w:val="ListParagraph"/>
        <w:numPr>
          <w:ilvl w:val="0"/>
          <w:numId w:val="32"/>
        </w:numPr>
        <w:rPr>
          <w:sz w:val="24"/>
          <w:szCs w:val="24"/>
        </w:rPr>
      </w:pPr>
      <w:r w:rsidRPr="00E445B2">
        <w:rPr>
          <w:lang w:eastAsia="bg-BG"/>
        </w:rPr>
        <w:t xml:space="preserve">Интравенозна регионална анестезия (блокада на </w:t>
      </w:r>
      <w:r w:rsidRPr="00E445B2">
        <w:rPr>
          <w:lang w:val="en-US"/>
        </w:rPr>
        <w:t>Bier</w:t>
      </w:r>
      <w:r w:rsidRPr="00E445B2">
        <w:rPr>
          <w:lang w:val="ru-RU"/>
        </w:rPr>
        <w:t>)</w:t>
      </w:r>
    </w:p>
    <w:p w14:paraId="02AFB15E" w14:textId="73EFA03F" w:rsidR="00E445B2" w:rsidRPr="00E445B2" w:rsidRDefault="00E445B2" w:rsidP="00E445B2">
      <w:pPr>
        <w:pStyle w:val="ListParagraph"/>
        <w:numPr>
          <w:ilvl w:val="0"/>
          <w:numId w:val="32"/>
        </w:numPr>
        <w:rPr>
          <w:sz w:val="24"/>
          <w:szCs w:val="24"/>
        </w:rPr>
      </w:pPr>
      <w:r w:rsidRPr="00E445B2">
        <w:rPr>
          <w:lang w:eastAsia="bg-BG"/>
        </w:rPr>
        <w:t>Акушерска парацервикапна анестезия</w:t>
      </w:r>
    </w:p>
    <w:p w14:paraId="2934131B" w14:textId="5A4582C8" w:rsidR="00E445B2" w:rsidRPr="00E445B2" w:rsidRDefault="00E445B2" w:rsidP="00E445B2">
      <w:pPr>
        <w:pStyle w:val="ListParagraph"/>
        <w:numPr>
          <w:ilvl w:val="0"/>
          <w:numId w:val="32"/>
        </w:numPr>
        <w:rPr>
          <w:sz w:val="24"/>
          <w:szCs w:val="24"/>
        </w:rPr>
      </w:pPr>
      <w:r w:rsidRPr="00E445B2">
        <w:rPr>
          <w:lang w:eastAsia="bg-BG"/>
        </w:rPr>
        <w:lastRenderedPageBreak/>
        <w:t>Хиповолемия</w:t>
      </w:r>
    </w:p>
    <w:p w14:paraId="0E297C27" w14:textId="77777777" w:rsidR="00E445B2" w:rsidRPr="00E445B2" w:rsidRDefault="00E445B2" w:rsidP="00E445B2"/>
    <w:p w14:paraId="5A4AC413" w14:textId="3A2E6FDF" w:rsidR="00395555" w:rsidRDefault="002C50EE" w:rsidP="008A6AF2">
      <w:pPr>
        <w:pStyle w:val="Heading2"/>
      </w:pPr>
      <w:r>
        <w:t>4.4. Специални предупреждения и предпазни мерки при употреба</w:t>
      </w:r>
    </w:p>
    <w:p w14:paraId="228697C7" w14:textId="20797800" w:rsidR="00E445B2" w:rsidRDefault="00E445B2" w:rsidP="00E445B2"/>
    <w:p w14:paraId="4DF592C7"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Процедури с регионална анестезия трябва винаги да се провеждат в адекватно екипирана с оборудване и персонал среда. Оборудването и лекарствените продукти, необходими за наблюдение и спешна реанимация трябва да са готови за незабавна употреба. Получаващи големи нервни блокади пациенти трябва да бъдат в оптимално състояние и с поставена интравенозна система преди процедурата с блокада. Отговорният клиницист трябва да вземе необходимите предпазни мерки за избягване на вътресъдово инжектиране (вижте точка 4.2) и да бъде подходящо обучен и запознат с диагнозата и лечението на нежелани реакции, системна токсичност и други усложнения. След интратекално приложение, появата на системна токсичност не се очаква поради ниската приложена доза. Прекомерна приложена доза в субарахноидалното пространство може да причини пълна спинална блокада (вижте точка 4.9).</w:t>
      </w:r>
    </w:p>
    <w:p w14:paraId="5EF229E2" w14:textId="77777777" w:rsidR="00E445B2" w:rsidRPr="00E445B2" w:rsidRDefault="00E445B2" w:rsidP="00E445B2">
      <w:pPr>
        <w:spacing w:line="240" w:lineRule="auto"/>
        <w:rPr>
          <w:rFonts w:eastAsia="Times New Roman" w:cs="Arial"/>
          <w:color w:val="000000"/>
          <w:u w:val="single"/>
          <w:lang w:eastAsia="bg-BG"/>
        </w:rPr>
      </w:pPr>
    </w:p>
    <w:p w14:paraId="610CBA07" w14:textId="0B3DA4D0" w:rsidR="00E445B2" w:rsidRPr="00E445B2" w:rsidRDefault="00E445B2" w:rsidP="00E445B2">
      <w:pPr>
        <w:spacing w:line="240" w:lineRule="auto"/>
        <w:rPr>
          <w:rFonts w:eastAsia="Times New Roman" w:cs="Arial"/>
          <w:color w:val="000000"/>
          <w:u w:val="single"/>
          <w:lang w:eastAsia="bg-BG"/>
        </w:rPr>
      </w:pPr>
      <w:r w:rsidRPr="00E445B2">
        <w:rPr>
          <w:rFonts w:eastAsia="Times New Roman" w:cs="Arial"/>
          <w:color w:val="000000"/>
          <w:u w:val="single"/>
          <w:lang w:eastAsia="bg-BG"/>
        </w:rPr>
        <w:t>Сърдечносъдов риск</w:t>
      </w:r>
    </w:p>
    <w:p w14:paraId="717EC362"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Пациенти, лекувани с антиаритмични агенти клас III (като амиодарон) трябва да бъдат наблюдавани отблизо и да се обмисля използването на ЕКГ мониторинг при тях, тъй като сърдечните ефекти могат да кумулират.</w:t>
      </w:r>
    </w:p>
    <w:p w14:paraId="651A1D95" w14:textId="77777777" w:rsidR="00E445B2" w:rsidRPr="00E445B2" w:rsidRDefault="00E445B2" w:rsidP="00E445B2">
      <w:pPr>
        <w:spacing w:line="240" w:lineRule="auto"/>
        <w:rPr>
          <w:rFonts w:eastAsia="Times New Roman" w:cs="Arial"/>
          <w:color w:val="000000"/>
          <w:u w:val="single"/>
          <w:lang w:eastAsia="bg-BG"/>
        </w:rPr>
      </w:pPr>
    </w:p>
    <w:p w14:paraId="271A6D55" w14:textId="393C9B2F"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Хиповолемия</w:t>
      </w:r>
    </w:p>
    <w:p w14:paraId="3BE10A8E" w14:textId="7AD42FD9" w:rsidR="00E445B2" w:rsidRPr="00E445B2" w:rsidRDefault="00E445B2" w:rsidP="00E445B2">
      <w:pPr>
        <w:spacing w:line="240" w:lineRule="auto"/>
        <w:rPr>
          <w:rFonts w:eastAsia="Times New Roman" w:cs="Arial"/>
        </w:rPr>
      </w:pPr>
      <w:r w:rsidRPr="00E445B2">
        <w:rPr>
          <w:rFonts w:eastAsia="Times New Roman" w:cs="Arial"/>
          <w:color w:val="000000"/>
          <w:lang w:eastAsia="bg-BG"/>
        </w:rPr>
        <w:t>Пациенти с хиповолемия поради всякаква причина могат да развият внезапна и тежка хипотония по време на интратекална анестезия, независимо от използвания локален анестетик.</w:t>
      </w:r>
    </w:p>
    <w:p w14:paraId="54E422A8" w14:textId="77777777" w:rsidR="00E445B2" w:rsidRPr="00E445B2" w:rsidRDefault="00E445B2" w:rsidP="00E445B2">
      <w:pPr>
        <w:spacing w:line="240" w:lineRule="auto"/>
        <w:rPr>
          <w:rFonts w:eastAsia="Times New Roman" w:cs="Arial"/>
          <w:color w:val="000000"/>
          <w:u w:val="single"/>
          <w:lang w:eastAsia="bg-BG"/>
        </w:rPr>
      </w:pPr>
    </w:p>
    <w:p w14:paraId="435EB7A9" w14:textId="5AB4606D"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Пациенти с влошено общо здравословно състояние</w:t>
      </w:r>
    </w:p>
    <w:p w14:paraId="23B8B293"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Пациенти в увредено общо състояние поради напреднала възраст или други компрометиращи фактори като частичен или пълен проводен блок на сърцето, напреднало чернодробно заболяване или тежка бъбречна дисфункция се нуждаят от специално внимание, въпреки че регионална анестезия често е показана при такива пациенти.</w:t>
      </w:r>
    </w:p>
    <w:p w14:paraId="2ABAC8C1" w14:textId="77777777" w:rsidR="00E445B2" w:rsidRPr="00E445B2" w:rsidRDefault="00E445B2" w:rsidP="00E445B2">
      <w:pPr>
        <w:spacing w:line="240" w:lineRule="auto"/>
        <w:rPr>
          <w:rFonts w:eastAsia="Times New Roman" w:cs="Arial"/>
          <w:color w:val="000000"/>
          <w:u w:val="single"/>
          <w:lang w:eastAsia="bg-BG"/>
        </w:rPr>
      </w:pPr>
    </w:p>
    <w:p w14:paraId="7FA7859E" w14:textId="3028DD33"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Пациенти с чернодробно и бъбречно увреждане</w:t>
      </w:r>
    </w:p>
    <w:p w14:paraId="58BE04E5"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Ропивакаин се метаболизира в черния дроб и затова трябва да се използва предпазливо при пациенти с тежка чернодробна недостатъчност; многократните дози може да се наложи да бъдат редуцирани поради забавено отстраняване от организма.</w:t>
      </w:r>
    </w:p>
    <w:p w14:paraId="0CCEA0D5"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Обикновено не се налага да се променя дозата при пациенти с увредена бъбречна функция, когато се използва еднократна доза или се прилага краткотрайно лечение. Ацидоза и намалена плазмена концентрация на протеин, често наблюдавани при пациенти с хронична бъбречна недостатъчност, могат да увеличат риска от системна токсичност.</w:t>
      </w:r>
    </w:p>
    <w:p w14:paraId="184F2AC7" w14:textId="77777777" w:rsidR="00E445B2" w:rsidRPr="00E445B2" w:rsidRDefault="00E445B2" w:rsidP="00E445B2">
      <w:pPr>
        <w:spacing w:line="240" w:lineRule="auto"/>
        <w:rPr>
          <w:rFonts w:eastAsia="Times New Roman" w:cs="Arial"/>
          <w:color w:val="000000"/>
          <w:u w:val="single"/>
          <w:lang w:eastAsia="bg-BG"/>
        </w:rPr>
      </w:pPr>
    </w:p>
    <w:p w14:paraId="6DFCC479" w14:textId="011B8879"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Остра порфирия</w:t>
      </w:r>
    </w:p>
    <w:p w14:paraId="150A3F89"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Ропивакаин вероятно е порфирогенен и трябва да се предписва на пациенти с остра порфирия само при липсата на по-безопасна алтернатива. Подходящи предпазни мерки трябва да се вземат в случай на уязвими пациенти в съответствие с указанията в стандартни учебници и/ или консултация с експерти в областта на това заболяване.</w:t>
      </w:r>
    </w:p>
    <w:p w14:paraId="4C5F5A64" w14:textId="77777777" w:rsidR="00E445B2" w:rsidRPr="00E445B2" w:rsidRDefault="00E445B2" w:rsidP="00E445B2">
      <w:pPr>
        <w:spacing w:line="240" w:lineRule="auto"/>
        <w:rPr>
          <w:rFonts w:eastAsia="Times New Roman" w:cs="Arial"/>
          <w:color w:val="000000"/>
          <w:u w:val="single"/>
          <w:lang w:eastAsia="bg-BG"/>
        </w:rPr>
      </w:pPr>
    </w:p>
    <w:p w14:paraId="45341BB3" w14:textId="255F196E"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Продължително приложение</w:t>
      </w:r>
    </w:p>
    <w:p w14:paraId="7B176CF4"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lastRenderedPageBreak/>
        <w:t xml:space="preserve">Продължително приложение на ропивакаин трябва да се избягва при пациенти, едновременно лекувани със силни </w:t>
      </w:r>
      <w:r w:rsidRPr="00E445B2">
        <w:rPr>
          <w:rFonts w:eastAsia="Times New Roman" w:cs="Arial"/>
          <w:color w:val="000000"/>
          <w:lang w:val="en-US"/>
        </w:rPr>
        <w:t>CYP</w:t>
      </w:r>
      <w:r w:rsidRPr="00E445B2">
        <w:rPr>
          <w:rFonts w:eastAsia="Times New Roman" w:cs="Arial"/>
          <w:color w:val="000000"/>
          <w:lang w:val="ru-RU"/>
        </w:rPr>
        <w:t>1</w:t>
      </w:r>
      <w:r w:rsidRPr="00E445B2">
        <w:rPr>
          <w:rFonts w:eastAsia="Times New Roman" w:cs="Arial"/>
          <w:color w:val="000000"/>
          <w:lang w:eastAsia="bg-BG"/>
        </w:rPr>
        <w:t>А2 инхибитори, като флувоксамин и еноксацин (вижте точка 4.5).</w:t>
      </w:r>
    </w:p>
    <w:p w14:paraId="1E4DAFD4" w14:textId="77777777" w:rsidR="00E445B2" w:rsidRPr="00E445B2" w:rsidRDefault="00E445B2" w:rsidP="00E445B2">
      <w:pPr>
        <w:spacing w:line="240" w:lineRule="auto"/>
        <w:rPr>
          <w:rFonts w:eastAsia="Times New Roman" w:cs="Arial"/>
          <w:color w:val="000000"/>
          <w:u w:val="single"/>
          <w:lang w:eastAsia="bg-BG"/>
        </w:rPr>
      </w:pPr>
    </w:p>
    <w:p w14:paraId="4CBBBF0E" w14:textId="6197F98E"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 xml:space="preserve">Специални предупреждения/предпазни мерки по отношение на помощните вещества </w:t>
      </w:r>
      <w:r w:rsidRPr="00E445B2">
        <w:rPr>
          <w:rFonts w:eastAsia="Times New Roman" w:cs="Arial"/>
          <w:color w:val="000000"/>
          <w:lang w:eastAsia="bg-BG"/>
        </w:rPr>
        <w:t xml:space="preserve">Този лекарствен продукт съдържа 3,1 </w:t>
      </w:r>
      <w:r w:rsidRPr="00E445B2">
        <w:rPr>
          <w:rFonts w:eastAsia="Times New Roman" w:cs="Arial"/>
          <w:color w:val="000000"/>
          <w:lang w:val="en-US"/>
        </w:rPr>
        <w:t>mg</w:t>
      </w:r>
      <w:r w:rsidRPr="00E445B2">
        <w:rPr>
          <w:rFonts w:eastAsia="Times New Roman" w:cs="Arial"/>
          <w:color w:val="000000"/>
          <w:lang w:val="ru-RU"/>
        </w:rPr>
        <w:t xml:space="preserve"> </w:t>
      </w:r>
      <w:r w:rsidRPr="00E445B2">
        <w:rPr>
          <w:rFonts w:eastAsia="Times New Roman" w:cs="Arial"/>
          <w:color w:val="000000"/>
          <w:lang w:eastAsia="bg-BG"/>
        </w:rPr>
        <w:t xml:space="preserve">натрий на </w:t>
      </w:r>
      <w:r w:rsidRPr="00E445B2">
        <w:rPr>
          <w:rFonts w:eastAsia="Times New Roman" w:cs="Arial"/>
          <w:color w:val="000000"/>
          <w:lang w:val="en-US"/>
        </w:rPr>
        <w:t>ml</w:t>
      </w:r>
      <w:r w:rsidRPr="00E445B2">
        <w:rPr>
          <w:rFonts w:eastAsia="Times New Roman" w:cs="Arial"/>
          <w:color w:val="000000"/>
          <w:lang w:val="ru-RU"/>
        </w:rPr>
        <w:t xml:space="preserve">, </w:t>
      </w:r>
      <w:r w:rsidRPr="00E445B2">
        <w:rPr>
          <w:rFonts w:eastAsia="Times New Roman" w:cs="Arial"/>
          <w:color w:val="000000"/>
          <w:lang w:eastAsia="bg-BG"/>
        </w:rPr>
        <w:t xml:space="preserve">които са еквивалентни на 0,16% от препоръчителния максимален дневен прием от 2 </w:t>
      </w:r>
      <w:r w:rsidRPr="00E445B2">
        <w:rPr>
          <w:rFonts w:eastAsia="Times New Roman" w:cs="Arial"/>
          <w:color w:val="000000"/>
          <w:lang w:val="en-US"/>
        </w:rPr>
        <w:t>g</w:t>
      </w:r>
      <w:r w:rsidRPr="00E445B2">
        <w:rPr>
          <w:rFonts w:eastAsia="Times New Roman" w:cs="Arial"/>
          <w:color w:val="000000"/>
          <w:lang w:val="ru-RU"/>
        </w:rPr>
        <w:t xml:space="preserve"> </w:t>
      </w:r>
      <w:r w:rsidRPr="00E445B2">
        <w:rPr>
          <w:rFonts w:eastAsia="Times New Roman" w:cs="Arial"/>
          <w:color w:val="000000"/>
          <w:lang w:eastAsia="bg-BG"/>
        </w:rPr>
        <w:t>натрий за възрастен.</w:t>
      </w:r>
    </w:p>
    <w:p w14:paraId="5BC2F759" w14:textId="77777777" w:rsidR="00E445B2" w:rsidRPr="00E445B2" w:rsidRDefault="00E445B2" w:rsidP="00E445B2">
      <w:pPr>
        <w:spacing w:line="240" w:lineRule="auto"/>
        <w:rPr>
          <w:rFonts w:eastAsia="Times New Roman" w:cs="Arial"/>
          <w:color w:val="000000"/>
          <w:u w:val="single"/>
          <w:lang w:eastAsia="bg-BG"/>
        </w:rPr>
      </w:pPr>
    </w:p>
    <w:p w14:paraId="599D6403" w14:textId="1355C067" w:rsidR="00E445B2" w:rsidRPr="00E445B2" w:rsidRDefault="00E445B2" w:rsidP="00E445B2">
      <w:pPr>
        <w:spacing w:line="240" w:lineRule="auto"/>
        <w:rPr>
          <w:rFonts w:eastAsia="Times New Roman" w:cs="Arial"/>
        </w:rPr>
      </w:pPr>
      <w:r w:rsidRPr="00E445B2">
        <w:rPr>
          <w:rFonts w:eastAsia="Times New Roman" w:cs="Arial"/>
          <w:color w:val="000000"/>
          <w:u w:val="single"/>
          <w:lang w:eastAsia="bg-BG"/>
        </w:rPr>
        <w:t>Педиатрична популация</w:t>
      </w:r>
    </w:p>
    <w:p w14:paraId="56E86DA4" w14:textId="06129E76" w:rsidR="00E445B2" w:rsidRPr="00E445B2" w:rsidRDefault="00E445B2" w:rsidP="00E445B2">
      <w:pPr>
        <w:spacing w:line="240" w:lineRule="auto"/>
        <w:rPr>
          <w:rFonts w:eastAsia="Times New Roman" w:cs="Arial"/>
        </w:rPr>
      </w:pPr>
      <w:r w:rsidRPr="00E445B2">
        <w:rPr>
          <w:rFonts w:eastAsia="Times New Roman" w:cs="Arial"/>
          <w:color w:val="000000"/>
          <w:lang w:eastAsia="bg-BG"/>
        </w:rPr>
        <w:t>Безопасността и ефикасността на интратекално приложение на ропивакаин не са установени при бебета, прощъпапници или деца. Новородените може да изискват специално внимание поради незрялост на метаболитните пътища. По-големите вариации на плазмените концентрации на ропивакаин, наблюдавани в клинични изпитвания при новородени, предполагат съществуването на повишен риск от системна токсичност в тази възрастова група.</w:t>
      </w:r>
    </w:p>
    <w:p w14:paraId="6EFD4F25" w14:textId="77777777" w:rsidR="00E445B2" w:rsidRPr="00E445B2" w:rsidRDefault="00E445B2" w:rsidP="00E445B2"/>
    <w:p w14:paraId="1244F76A" w14:textId="3347B2BF" w:rsidR="00395555" w:rsidRDefault="002C50EE" w:rsidP="008A6AF2">
      <w:pPr>
        <w:pStyle w:val="Heading2"/>
      </w:pPr>
      <w:r>
        <w:t>4.5. Взаимодействие с други лекарствени продукти и други форми на взаимодействие</w:t>
      </w:r>
    </w:p>
    <w:p w14:paraId="60A122ED" w14:textId="20C5BA43" w:rsidR="00E445B2" w:rsidRDefault="00E445B2" w:rsidP="00E445B2"/>
    <w:p w14:paraId="7D021BA8" w14:textId="77777777" w:rsidR="00E445B2" w:rsidRDefault="00E445B2" w:rsidP="00E445B2">
      <w:pPr>
        <w:rPr>
          <w:u w:val="single"/>
          <w:lang w:eastAsia="bg-BG"/>
        </w:rPr>
      </w:pPr>
      <w:r w:rsidRPr="00E445B2">
        <w:rPr>
          <w:lang w:eastAsia="bg-BG"/>
        </w:rPr>
        <w:t xml:space="preserve">Ропивакаин хидрохлорид трябва да се използва предпазливо при пациенти, получаващи други локални анестетици или агенти, структурно подобни на локални анестетици от амиден тип, например определени антиаритмични средства като лидокаин и мексилетин, тъй като системните токсични ефекти кумулират. Едновременна употреба на ропивакаин хидрохлорид с общи анестетици или опиати може да потенцира взаимните (нежелани) реакции. Специфични проучвания на взаимодействие с ропивакаин и антиаритмични агенти клас </w:t>
      </w:r>
      <w:r w:rsidRPr="00E445B2">
        <w:rPr>
          <w:lang w:val="en-US"/>
        </w:rPr>
        <w:t>III</w:t>
      </w:r>
      <w:r w:rsidRPr="00E445B2">
        <w:rPr>
          <w:lang w:val="ru-RU"/>
        </w:rPr>
        <w:t xml:space="preserve"> </w:t>
      </w:r>
      <w:r w:rsidRPr="00E445B2">
        <w:rPr>
          <w:lang w:eastAsia="bg-BG"/>
        </w:rPr>
        <w:t>(като амиодарон) не са били провеждани, но се препоръчва предпазливо поведение (вижте също точка 4.4).</w:t>
      </w:r>
    </w:p>
    <w:p w14:paraId="79FF3526" w14:textId="77777777" w:rsidR="00E445B2" w:rsidRDefault="00E445B2" w:rsidP="00E445B2">
      <w:pPr>
        <w:rPr>
          <w:u w:val="single"/>
          <w:lang w:eastAsia="bg-BG"/>
        </w:rPr>
      </w:pPr>
    </w:p>
    <w:p w14:paraId="0883E208" w14:textId="77777777" w:rsidR="00E445B2" w:rsidRPr="00E445B2" w:rsidRDefault="00E445B2" w:rsidP="00E445B2">
      <w:pPr>
        <w:rPr>
          <w:sz w:val="24"/>
          <w:szCs w:val="24"/>
        </w:rPr>
      </w:pPr>
      <w:r w:rsidRPr="00E445B2">
        <w:rPr>
          <w:lang w:eastAsia="bg-BG"/>
        </w:rPr>
        <w:t xml:space="preserve">Цитохром Р450 </w:t>
      </w:r>
      <w:r w:rsidRPr="00E445B2">
        <w:rPr>
          <w:lang w:val="ru-RU"/>
        </w:rPr>
        <w:t>(</w:t>
      </w:r>
      <w:r w:rsidRPr="00E445B2">
        <w:rPr>
          <w:lang w:val="en-US"/>
        </w:rPr>
        <w:t>CYP</w:t>
      </w:r>
      <w:r w:rsidRPr="00E445B2">
        <w:rPr>
          <w:lang w:val="ru-RU"/>
        </w:rPr>
        <w:t xml:space="preserve">) </w:t>
      </w:r>
      <w:r w:rsidRPr="00E445B2">
        <w:rPr>
          <w:lang w:eastAsia="bg-BG"/>
        </w:rPr>
        <w:t>1А2 участва в образуването на 3-хидрокси ропивакаин основният</w:t>
      </w:r>
      <w:r w:rsidRPr="00E445B2">
        <w:rPr>
          <w:vertAlign w:val="superscript"/>
          <w:lang w:eastAsia="bg-BG"/>
        </w:rPr>
        <w:t xml:space="preserve"> </w:t>
      </w:r>
      <w:r w:rsidRPr="00E445B2">
        <w:rPr>
          <w:lang w:eastAsia="bg-BG"/>
        </w:rPr>
        <w:t xml:space="preserve">метаболит. </w:t>
      </w:r>
      <w:r w:rsidRPr="00E445B2">
        <w:rPr>
          <w:i/>
          <w:iCs/>
          <w:lang w:val="en-US"/>
        </w:rPr>
        <w:t>In</w:t>
      </w:r>
      <w:r w:rsidRPr="00E445B2">
        <w:rPr>
          <w:i/>
          <w:iCs/>
          <w:lang w:val="ru-RU"/>
        </w:rPr>
        <w:t xml:space="preserve"> </w:t>
      </w:r>
      <w:r w:rsidRPr="00E445B2">
        <w:rPr>
          <w:i/>
          <w:iCs/>
          <w:lang w:val="en-US"/>
        </w:rPr>
        <w:t>vivo</w:t>
      </w:r>
      <w:r w:rsidRPr="00E445B2">
        <w:rPr>
          <w:lang w:val="ru-RU"/>
        </w:rPr>
        <w:t xml:space="preserve"> </w:t>
      </w:r>
      <w:r w:rsidRPr="00E445B2">
        <w:rPr>
          <w:lang w:eastAsia="bg-BG"/>
        </w:rPr>
        <w:t>плазменият клирънс на ропивакаин е бил намален с до 77% при</w:t>
      </w:r>
      <w:r>
        <w:rPr>
          <w:lang w:eastAsia="bg-BG"/>
        </w:rPr>
        <w:t xml:space="preserve"> </w:t>
      </w:r>
      <w:r w:rsidRPr="00E445B2">
        <w:rPr>
          <w:lang w:eastAsia="bg-BG"/>
        </w:rPr>
        <w:t xml:space="preserve">едновременно приложение на флувоксамин, който е селективен и мощен </w:t>
      </w:r>
      <w:r w:rsidRPr="00E445B2">
        <w:rPr>
          <w:lang w:val="en-US"/>
        </w:rPr>
        <w:t>CYP</w:t>
      </w:r>
      <w:r w:rsidRPr="00E445B2">
        <w:rPr>
          <w:lang w:val="ru-RU"/>
        </w:rPr>
        <w:t>1</w:t>
      </w:r>
      <w:r w:rsidRPr="00E445B2">
        <w:rPr>
          <w:lang w:eastAsia="bg-BG"/>
        </w:rPr>
        <w:t xml:space="preserve">А2 инхибитор. Продължително приложение на ропивакаин хидрохлорид трябва да се избягва при пациенти, лекувани едновременно със силни </w:t>
      </w:r>
      <w:r w:rsidRPr="00E445B2">
        <w:rPr>
          <w:lang w:val="en-US"/>
        </w:rPr>
        <w:t>CYP</w:t>
      </w:r>
      <w:r w:rsidRPr="00E445B2">
        <w:rPr>
          <w:lang w:val="ru-RU"/>
        </w:rPr>
        <w:t>1</w:t>
      </w:r>
      <w:r w:rsidRPr="00E445B2">
        <w:rPr>
          <w:lang w:val="en-US"/>
        </w:rPr>
        <w:t>A</w:t>
      </w:r>
      <w:r w:rsidRPr="00E445B2">
        <w:rPr>
          <w:lang w:val="ru-RU"/>
        </w:rPr>
        <w:t xml:space="preserve">2 </w:t>
      </w:r>
      <w:r w:rsidRPr="00E445B2">
        <w:rPr>
          <w:lang w:eastAsia="bg-BG"/>
        </w:rPr>
        <w:t>инхибитори, като например флувоксамин и еноксацин, тъй като те могат да взаимодействат с ропивакаин хидрохлорид (вж. точка 4.4).</w:t>
      </w:r>
    </w:p>
    <w:p w14:paraId="0AF54513" w14:textId="77777777" w:rsidR="00E445B2" w:rsidRDefault="00E445B2" w:rsidP="00E445B2">
      <w:pPr>
        <w:rPr>
          <w:i/>
          <w:iCs/>
        </w:rPr>
      </w:pPr>
    </w:p>
    <w:p w14:paraId="4683137D" w14:textId="768943A7" w:rsidR="00E445B2" w:rsidRPr="00E445B2" w:rsidRDefault="00E445B2" w:rsidP="00E445B2">
      <w:pPr>
        <w:rPr>
          <w:i/>
          <w:iCs/>
          <w:lang w:val="en-US"/>
        </w:rPr>
      </w:pPr>
      <w:r w:rsidRPr="00E445B2">
        <w:rPr>
          <w:i/>
          <w:iCs/>
          <w:lang w:val="en-US"/>
        </w:rPr>
        <w:t>In</w:t>
      </w:r>
      <w:r w:rsidRPr="00E445B2">
        <w:rPr>
          <w:i/>
          <w:iCs/>
          <w:lang w:val="ru-RU"/>
        </w:rPr>
        <w:t xml:space="preserve"> </w:t>
      </w:r>
      <w:r w:rsidRPr="00E445B2">
        <w:rPr>
          <w:i/>
          <w:iCs/>
          <w:lang w:val="en-US"/>
        </w:rPr>
        <w:t>vivo</w:t>
      </w:r>
      <w:r w:rsidRPr="00E445B2">
        <w:rPr>
          <w:lang w:val="ru-RU"/>
        </w:rPr>
        <w:t xml:space="preserve"> </w:t>
      </w:r>
      <w:r w:rsidRPr="00E445B2">
        <w:rPr>
          <w:lang w:eastAsia="bg-BG"/>
        </w:rPr>
        <w:t xml:space="preserve">плазменият клирънс на ропивакаин е бил намален с 15% при едновременно приложение на кетоконазол, селективен и мощен инхибитор на </w:t>
      </w:r>
      <w:r w:rsidRPr="00E445B2">
        <w:rPr>
          <w:lang w:val="en-US"/>
        </w:rPr>
        <w:t>CYP</w:t>
      </w:r>
      <w:r w:rsidRPr="00E445B2">
        <w:rPr>
          <w:lang w:val="ru-RU"/>
        </w:rPr>
        <w:t>3</w:t>
      </w:r>
      <w:r w:rsidRPr="00E445B2">
        <w:rPr>
          <w:lang w:eastAsia="bg-BG"/>
        </w:rPr>
        <w:t>А4. Но инхибирането на този изозим не е вероятно да има клинично значение.</w:t>
      </w:r>
    </w:p>
    <w:p w14:paraId="40D2B138" w14:textId="77777777" w:rsidR="00E445B2" w:rsidRDefault="00E445B2" w:rsidP="00E445B2">
      <w:pPr>
        <w:rPr>
          <w:i/>
          <w:iCs/>
          <w:lang w:val="en-US"/>
        </w:rPr>
      </w:pPr>
    </w:p>
    <w:p w14:paraId="2D8F804C" w14:textId="7539ADEF" w:rsidR="00E445B2" w:rsidRPr="00E445B2" w:rsidRDefault="00E445B2" w:rsidP="00E445B2">
      <w:pPr>
        <w:rPr>
          <w:sz w:val="24"/>
          <w:szCs w:val="24"/>
        </w:rPr>
      </w:pPr>
      <w:r w:rsidRPr="00E445B2">
        <w:rPr>
          <w:i/>
          <w:iCs/>
          <w:lang w:val="en-US"/>
        </w:rPr>
        <w:t>In</w:t>
      </w:r>
      <w:r w:rsidRPr="00E445B2">
        <w:rPr>
          <w:i/>
          <w:iCs/>
          <w:lang w:val="ru-RU"/>
        </w:rPr>
        <w:t xml:space="preserve"> </w:t>
      </w:r>
      <w:r w:rsidRPr="00E445B2">
        <w:rPr>
          <w:i/>
          <w:iCs/>
          <w:lang w:val="en-US"/>
        </w:rPr>
        <w:t>vitro</w:t>
      </w:r>
      <w:r w:rsidRPr="00E445B2">
        <w:rPr>
          <w:lang w:val="ru-RU"/>
        </w:rPr>
        <w:t xml:space="preserve"> </w:t>
      </w:r>
      <w:r w:rsidRPr="00E445B2">
        <w:rPr>
          <w:lang w:eastAsia="bg-BG"/>
        </w:rPr>
        <w:t xml:space="preserve">ропивакаин е конкурентен инхибитор на </w:t>
      </w:r>
      <w:r w:rsidRPr="00E445B2">
        <w:rPr>
          <w:lang w:val="en-US"/>
        </w:rPr>
        <w:t>CYP</w:t>
      </w:r>
      <w:r w:rsidRPr="00E445B2">
        <w:rPr>
          <w:lang w:val="ru-RU"/>
        </w:rPr>
        <w:t>2</w:t>
      </w:r>
      <w:r w:rsidRPr="00E445B2">
        <w:rPr>
          <w:lang w:val="en-US"/>
        </w:rPr>
        <w:t>D</w:t>
      </w:r>
      <w:r w:rsidRPr="00E445B2">
        <w:rPr>
          <w:lang w:val="ru-RU"/>
        </w:rPr>
        <w:t xml:space="preserve">6, </w:t>
      </w:r>
      <w:r w:rsidRPr="00E445B2">
        <w:rPr>
          <w:lang w:eastAsia="bg-BG"/>
        </w:rPr>
        <w:t>но изглежда не инхибира този изозим в клинично постижими плазмени концентрации.</w:t>
      </w:r>
    </w:p>
    <w:p w14:paraId="15797B87" w14:textId="728C6A83" w:rsidR="00E445B2" w:rsidRPr="00E445B2" w:rsidRDefault="00E445B2" w:rsidP="00E445B2">
      <w:pPr>
        <w:spacing w:line="240" w:lineRule="auto"/>
        <w:rPr>
          <w:rFonts w:ascii="Times New Roman" w:eastAsia="Times New Roman" w:hAnsi="Times New Roman" w:cs="Times New Roman"/>
          <w:sz w:val="24"/>
          <w:szCs w:val="24"/>
        </w:rPr>
      </w:pPr>
    </w:p>
    <w:p w14:paraId="5C875FD9" w14:textId="4EA6DD81" w:rsidR="00E445B2" w:rsidRPr="00E445B2" w:rsidRDefault="00E445B2" w:rsidP="00E445B2">
      <w:r>
        <w:t xml:space="preserve"> </w:t>
      </w:r>
    </w:p>
    <w:p w14:paraId="6EADE4D6" w14:textId="7E67907D" w:rsidR="00395555" w:rsidRDefault="002C50EE" w:rsidP="008A6AF2">
      <w:pPr>
        <w:pStyle w:val="Heading2"/>
      </w:pPr>
      <w:r>
        <w:t>4.6. Фертилитет, бременност и кърмене</w:t>
      </w:r>
    </w:p>
    <w:p w14:paraId="661EFA27" w14:textId="4D6F95FD" w:rsidR="00E445B2" w:rsidRDefault="00E445B2" w:rsidP="00E445B2"/>
    <w:p w14:paraId="654FFFDB" w14:textId="77777777" w:rsidR="00E445B2" w:rsidRPr="00E445B2" w:rsidRDefault="00E445B2" w:rsidP="00E445B2">
      <w:pPr>
        <w:pStyle w:val="Heading3"/>
        <w:rPr>
          <w:rFonts w:eastAsia="Times New Roman"/>
          <w:b/>
        </w:rPr>
      </w:pPr>
      <w:r w:rsidRPr="00E445B2">
        <w:rPr>
          <w:rFonts w:eastAsia="Times New Roman"/>
          <w:b/>
          <w:lang w:eastAsia="bg-BG"/>
        </w:rPr>
        <w:lastRenderedPageBreak/>
        <w:t>Бременност</w:t>
      </w:r>
    </w:p>
    <w:p w14:paraId="49177117" w14:textId="77777777" w:rsidR="00E445B2" w:rsidRPr="00E445B2" w:rsidRDefault="00E445B2" w:rsidP="00E445B2">
      <w:pPr>
        <w:rPr>
          <w:sz w:val="24"/>
          <w:szCs w:val="24"/>
        </w:rPr>
      </w:pPr>
      <w:r w:rsidRPr="00E445B2">
        <w:rPr>
          <w:lang w:eastAsia="bg-BG"/>
        </w:rPr>
        <w:t>Освен епидурално приложение за акушерска употреба, липсват адекватни данни за употребата на ропивакаин при човешка бременност. Експерименталните проучвания при животни не показват преки или непреки вредни ефекти, свързани с репродуктивна токсичност (вж. точка 5.3).</w:t>
      </w:r>
    </w:p>
    <w:p w14:paraId="45CD231B" w14:textId="77777777" w:rsidR="00E445B2" w:rsidRDefault="00E445B2" w:rsidP="00E445B2">
      <w:pPr>
        <w:rPr>
          <w:lang w:eastAsia="bg-BG"/>
        </w:rPr>
      </w:pPr>
      <w:bookmarkStart w:id="2" w:name="bookmark2"/>
    </w:p>
    <w:p w14:paraId="235A54DA" w14:textId="249D68E0" w:rsidR="00E445B2" w:rsidRPr="00E445B2" w:rsidRDefault="00E445B2" w:rsidP="00E445B2">
      <w:pPr>
        <w:pStyle w:val="Heading3"/>
        <w:rPr>
          <w:rFonts w:eastAsia="Times New Roman"/>
          <w:b/>
        </w:rPr>
      </w:pPr>
      <w:r w:rsidRPr="00E445B2">
        <w:rPr>
          <w:rFonts w:eastAsia="Times New Roman"/>
          <w:b/>
          <w:lang w:eastAsia="bg-BG"/>
        </w:rPr>
        <w:t>Кърмене</w:t>
      </w:r>
      <w:bookmarkEnd w:id="2"/>
    </w:p>
    <w:p w14:paraId="5B75EC56" w14:textId="77777777" w:rsidR="00E445B2" w:rsidRPr="00E445B2" w:rsidRDefault="00E445B2" w:rsidP="00E445B2">
      <w:pPr>
        <w:rPr>
          <w:sz w:val="24"/>
          <w:szCs w:val="24"/>
        </w:rPr>
      </w:pPr>
      <w:r w:rsidRPr="00E445B2">
        <w:rPr>
          <w:lang w:eastAsia="bg-BG"/>
        </w:rPr>
        <w:t>Има недостатъчна информация за екскрецията на ропивакаин в кърмата.</w:t>
      </w:r>
    </w:p>
    <w:p w14:paraId="055EE5AA" w14:textId="77777777" w:rsidR="00E445B2" w:rsidRDefault="00E445B2" w:rsidP="00E445B2">
      <w:pPr>
        <w:rPr>
          <w:lang w:eastAsia="bg-BG"/>
        </w:rPr>
      </w:pPr>
      <w:bookmarkStart w:id="3" w:name="bookmark4"/>
    </w:p>
    <w:p w14:paraId="55F88179" w14:textId="086AD44B" w:rsidR="00E445B2" w:rsidRPr="00E445B2" w:rsidRDefault="00E445B2" w:rsidP="00E445B2">
      <w:pPr>
        <w:pStyle w:val="Heading3"/>
        <w:rPr>
          <w:rFonts w:eastAsia="Times New Roman"/>
          <w:b/>
        </w:rPr>
      </w:pPr>
      <w:r w:rsidRPr="00E445B2">
        <w:rPr>
          <w:rFonts w:eastAsia="Times New Roman"/>
          <w:b/>
          <w:lang w:eastAsia="bg-BG"/>
        </w:rPr>
        <w:t>Фертнлитет</w:t>
      </w:r>
      <w:bookmarkEnd w:id="3"/>
    </w:p>
    <w:p w14:paraId="4CD9F35C" w14:textId="69C89275" w:rsidR="00E445B2" w:rsidRDefault="00E445B2" w:rsidP="00E445B2">
      <w:pPr>
        <w:rPr>
          <w:lang w:eastAsia="bg-BG"/>
        </w:rPr>
      </w:pPr>
      <w:r w:rsidRPr="00E445B2">
        <w:rPr>
          <w:lang w:eastAsia="bg-BG"/>
        </w:rPr>
        <w:t>Липсват клинични данни.</w:t>
      </w:r>
    </w:p>
    <w:p w14:paraId="4EA76F90" w14:textId="77777777" w:rsidR="00E445B2" w:rsidRPr="00E445B2" w:rsidRDefault="00E445B2" w:rsidP="00E445B2"/>
    <w:p w14:paraId="5766770B" w14:textId="086FD815" w:rsidR="00395555" w:rsidRDefault="002C50EE" w:rsidP="008A6AF2">
      <w:pPr>
        <w:pStyle w:val="Heading2"/>
      </w:pPr>
      <w:r>
        <w:t>4.7. Ефекти върху способността за шофиране и работа с машини</w:t>
      </w:r>
    </w:p>
    <w:p w14:paraId="45C15F44" w14:textId="2670920A" w:rsidR="00E445B2" w:rsidRDefault="00E445B2" w:rsidP="00E445B2"/>
    <w:p w14:paraId="479F5769" w14:textId="2665545F" w:rsidR="00E445B2" w:rsidRDefault="00E445B2" w:rsidP="00E445B2">
      <w:r>
        <w:t>Липсват проучвания на ефектите върху способността за шофиране и работа с машини. В зависимост от дозата, локалните анестетици могат да оказват слабо влияние върху менталната функция и координацията дори в отсъствието на изявена токсичност на ЦНС и могат временно да влошат придвижването и реактивността.</w:t>
      </w:r>
    </w:p>
    <w:p w14:paraId="18628992" w14:textId="77777777" w:rsidR="00E445B2" w:rsidRPr="00E445B2" w:rsidRDefault="00E445B2" w:rsidP="00E445B2"/>
    <w:p w14:paraId="4FE16E21" w14:textId="17445D57" w:rsidR="00395555" w:rsidRDefault="002C50EE" w:rsidP="008A6AF2">
      <w:pPr>
        <w:pStyle w:val="Heading2"/>
      </w:pPr>
      <w:r>
        <w:t>4.8. Нежелани лекарствени реакции</w:t>
      </w:r>
    </w:p>
    <w:p w14:paraId="34BD8808" w14:textId="661861F0" w:rsidR="00E445B2" w:rsidRDefault="00E445B2" w:rsidP="00E445B2"/>
    <w:p w14:paraId="33D10F00"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Профилът на нежелани реакции за ропивакаин хидрохлорид е подобен на тези за други локални анестетици с продължително действие от амиден тип.</w:t>
      </w:r>
    </w:p>
    <w:p w14:paraId="76394E8F"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Нежеланите реакции трябва да се различават от физиологичните ефекти на самата нервна блокада като хипотония и брадикардия по време на интратекална анестезия, и от събития, причинени от пробождане с игла (като спинален хематом, постдурално пункционно главоболие, менингит и епидурален абсцес). Много от най-често съобщаваните нежелани реакции като гадене, повръщане и хипотония са много чести по време на анестезия и обща хирургия и не е възможно да се разграничат онези, причинени от клиничната ситуация, от тези, причинени от лекарствения продукт или блокадата.</w:t>
      </w:r>
    </w:p>
    <w:p w14:paraId="1CA8A02F" w14:textId="77777777" w:rsidR="00E445B2" w:rsidRPr="00E445B2" w:rsidRDefault="00E445B2" w:rsidP="00E445B2">
      <w:pPr>
        <w:spacing w:line="240" w:lineRule="auto"/>
        <w:rPr>
          <w:rFonts w:eastAsia="Times New Roman" w:cs="Arial"/>
          <w:color w:val="000000"/>
          <w:lang w:eastAsia="bg-BG"/>
        </w:rPr>
      </w:pPr>
    </w:p>
    <w:p w14:paraId="0F87C2CE" w14:textId="1B0B542A" w:rsidR="00E445B2" w:rsidRPr="00E445B2" w:rsidRDefault="00E445B2" w:rsidP="00E445B2">
      <w:pPr>
        <w:spacing w:line="240" w:lineRule="auto"/>
        <w:rPr>
          <w:rFonts w:eastAsia="Times New Roman" w:cs="Arial"/>
        </w:rPr>
      </w:pPr>
      <w:r w:rsidRPr="00E445B2">
        <w:rPr>
          <w:rFonts w:eastAsia="Times New Roman" w:cs="Arial"/>
          <w:color w:val="000000"/>
          <w:lang w:eastAsia="bg-BG"/>
        </w:rPr>
        <w:t>Пълна спинална блокада може да се получи с всички локални анестетици, ако епидурална доза неволно бъде приложена интратекално или ако твърде голяма интратекална доза бъде приложена. Системни и локализирани нежелани реакции на ропивакаин хидрохлорид обикновено се получават поради прекомерно дозиране, бърза абсорбция или неволно интрамускулно инжектиране. Но поради ниските използвани дози за интратекална анестезия, системни токсични реакции не се очакват.</w:t>
      </w:r>
    </w:p>
    <w:p w14:paraId="3A744F19" w14:textId="77777777" w:rsidR="00E445B2" w:rsidRPr="00E445B2" w:rsidRDefault="00E445B2" w:rsidP="00E445B2">
      <w:pPr>
        <w:spacing w:line="240" w:lineRule="auto"/>
        <w:rPr>
          <w:rFonts w:eastAsia="Times New Roman" w:cs="Arial"/>
          <w:b/>
          <w:bCs/>
          <w:color w:val="000000"/>
          <w:lang w:eastAsia="bg-BG"/>
        </w:rPr>
      </w:pPr>
    </w:p>
    <w:p w14:paraId="6649203E" w14:textId="68204E9A" w:rsidR="00E445B2" w:rsidRPr="00E445B2" w:rsidRDefault="00E445B2" w:rsidP="00E445B2">
      <w:pPr>
        <w:spacing w:line="240" w:lineRule="auto"/>
        <w:rPr>
          <w:rFonts w:eastAsia="Times New Roman" w:cs="Arial"/>
        </w:rPr>
      </w:pPr>
      <w:r w:rsidRPr="00E445B2">
        <w:rPr>
          <w:rFonts w:eastAsia="Times New Roman" w:cs="Arial"/>
          <w:b/>
          <w:bCs/>
          <w:color w:val="000000"/>
          <w:lang w:eastAsia="bg-BG"/>
        </w:rPr>
        <w:t>Таблица с нежелани реакции</w:t>
      </w:r>
    </w:p>
    <w:p w14:paraId="1E66C856"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Много чести (≥1/10)</w:t>
      </w:r>
    </w:p>
    <w:p w14:paraId="2C5B712D"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Чести</w:t>
      </w:r>
      <w:r w:rsidRPr="00E445B2">
        <w:rPr>
          <w:rFonts w:eastAsia="Times New Roman" w:cs="Arial"/>
          <w:color w:val="000000"/>
          <w:lang w:eastAsia="bg-BG"/>
        </w:rPr>
        <w:tab/>
        <w:t>(≥1/100 до &lt;1/10)</w:t>
      </w:r>
    </w:p>
    <w:p w14:paraId="4B11A44A"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Нечести</w:t>
      </w:r>
      <w:r w:rsidRPr="00E445B2">
        <w:rPr>
          <w:rFonts w:eastAsia="Times New Roman" w:cs="Arial"/>
          <w:color w:val="000000"/>
          <w:lang w:eastAsia="bg-BG"/>
        </w:rPr>
        <w:tab/>
        <w:t>(≥ 1/1,000 до &lt; 1/100)</w:t>
      </w:r>
    </w:p>
    <w:p w14:paraId="7ED875A8"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Редки</w:t>
      </w:r>
      <w:r w:rsidRPr="00E445B2">
        <w:rPr>
          <w:rFonts w:eastAsia="Times New Roman" w:cs="Arial"/>
          <w:color w:val="000000"/>
          <w:lang w:eastAsia="bg-BG"/>
        </w:rPr>
        <w:tab/>
        <w:t>(≥ 1/10,000 до &lt; 1/1,000)</w:t>
      </w:r>
    </w:p>
    <w:p w14:paraId="5126B8DF"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Много редки (&lt; 1/10,000)</w:t>
      </w:r>
    </w:p>
    <w:p w14:paraId="50721585" w14:textId="71AB4253" w:rsidR="00E445B2" w:rsidRPr="00E445B2" w:rsidRDefault="00E445B2" w:rsidP="00E445B2">
      <w:pPr>
        <w:rPr>
          <w:rFonts w:eastAsia="Times New Roman" w:cs="Arial"/>
          <w:color w:val="000000"/>
          <w:lang w:eastAsia="bg-BG"/>
        </w:rPr>
      </w:pPr>
      <w:r w:rsidRPr="00E445B2">
        <w:rPr>
          <w:rFonts w:eastAsia="Times New Roman" w:cs="Arial"/>
          <w:color w:val="000000"/>
          <w:lang w:eastAsia="bg-BG"/>
        </w:rPr>
        <w:t>Неизвестни (не могат да бъдат изчислени от наличните данни)</w:t>
      </w:r>
    </w:p>
    <w:p w14:paraId="521C6974" w14:textId="2706785C" w:rsidR="00E445B2" w:rsidRPr="00E445B2" w:rsidRDefault="00E445B2" w:rsidP="00E445B2">
      <w:pPr>
        <w:rPr>
          <w:rFonts w:eastAsia="Times New Roman" w:cs="Arial"/>
          <w:color w:val="000000"/>
          <w:lang w:eastAsia="bg-BG"/>
        </w:rPr>
      </w:pPr>
    </w:p>
    <w:p w14:paraId="7C0D746A"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В рамките на всяка системно-органен клас, нежеланите реакции са класифицирани по честота, като най-честите реакции са на първо място.</w:t>
      </w:r>
    </w:p>
    <w:p w14:paraId="3E442682" w14:textId="2B38104D" w:rsidR="00E445B2" w:rsidRPr="00E445B2" w:rsidRDefault="00E445B2" w:rsidP="00E445B2">
      <w:pPr>
        <w:rPr>
          <w:rFonts w:cs="Arial"/>
        </w:rPr>
      </w:pPr>
    </w:p>
    <w:p w14:paraId="0292F3AD" w14:textId="77777777"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Нарушения на имунната система</w:t>
      </w:r>
    </w:p>
    <w:p w14:paraId="690B2DB3" w14:textId="1FB9DFA9"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Редки</w:t>
      </w:r>
      <w:r w:rsidRPr="00E445B2">
        <w:rPr>
          <w:rFonts w:eastAsia="Times New Roman" w:cs="Arial"/>
        </w:rPr>
        <w:t xml:space="preserve">- </w:t>
      </w:r>
      <w:r w:rsidRPr="00E445B2">
        <w:rPr>
          <w:rFonts w:eastAsia="Times New Roman" w:cs="Arial"/>
          <w:color w:val="000000"/>
          <w:lang w:eastAsia="bg-BG"/>
        </w:rPr>
        <w:t>алергични реакции (уртикария, ангионевротичен едем и анафилактична реакция до анафилактичен шок)</w:t>
      </w:r>
    </w:p>
    <w:p w14:paraId="609973E1" w14:textId="77777777" w:rsidR="00E445B2" w:rsidRPr="00E445B2" w:rsidRDefault="00E445B2" w:rsidP="00E445B2">
      <w:pPr>
        <w:spacing w:line="240" w:lineRule="auto"/>
        <w:rPr>
          <w:rFonts w:eastAsia="Times New Roman" w:cs="Arial"/>
          <w:i/>
          <w:iCs/>
          <w:color w:val="000000"/>
          <w:lang w:eastAsia="bg-BG"/>
        </w:rPr>
      </w:pPr>
    </w:p>
    <w:p w14:paraId="009E2FE1" w14:textId="5E9DA395"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Психични нарушения</w:t>
      </w:r>
      <w:r w:rsidRPr="00E445B2">
        <w:rPr>
          <w:rFonts w:eastAsia="Times New Roman" w:cs="Arial"/>
          <w:i/>
          <w:iCs/>
          <w:color w:val="000000"/>
          <w:lang w:eastAsia="bg-BG"/>
        </w:rPr>
        <w:tab/>
      </w:r>
    </w:p>
    <w:p w14:paraId="2E128E4A" w14:textId="6AB3FD13"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Нечести</w:t>
      </w:r>
      <w:r w:rsidRPr="00E445B2">
        <w:rPr>
          <w:rFonts w:eastAsia="Times New Roman" w:cs="Arial"/>
        </w:rPr>
        <w:t xml:space="preserve">- </w:t>
      </w:r>
      <w:r w:rsidRPr="00E445B2">
        <w:rPr>
          <w:rFonts w:eastAsia="Times New Roman" w:cs="Arial"/>
          <w:color w:val="000000"/>
          <w:lang w:eastAsia="bg-BG"/>
        </w:rPr>
        <w:t>безпокойство</w:t>
      </w:r>
    </w:p>
    <w:p w14:paraId="602DF85B" w14:textId="77777777" w:rsidR="00E445B2" w:rsidRPr="00E445B2" w:rsidRDefault="00E445B2" w:rsidP="00E445B2">
      <w:pPr>
        <w:spacing w:line="240" w:lineRule="auto"/>
        <w:rPr>
          <w:rFonts w:eastAsia="Times New Roman" w:cs="Arial"/>
          <w:i/>
          <w:iCs/>
          <w:color w:val="000000"/>
          <w:lang w:eastAsia="bg-BG"/>
        </w:rPr>
      </w:pPr>
    </w:p>
    <w:p w14:paraId="32FF2992" w14:textId="4306350C"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Нарушения на нервната система</w:t>
      </w:r>
      <w:r w:rsidRPr="00E445B2">
        <w:rPr>
          <w:rFonts w:eastAsia="Times New Roman" w:cs="Arial"/>
          <w:i/>
          <w:iCs/>
          <w:color w:val="000000"/>
          <w:lang w:eastAsia="bg-BG"/>
        </w:rPr>
        <w:tab/>
      </w:r>
    </w:p>
    <w:p w14:paraId="53943BD5" w14:textId="5CD685A4"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Чести</w:t>
      </w:r>
      <w:r w:rsidRPr="00E445B2">
        <w:rPr>
          <w:rFonts w:eastAsia="Times New Roman" w:cs="Arial"/>
        </w:rPr>
        <w:t xml:space="preserve">- </w:t>
      </w:r>
      <w:r w:rsidRPr="00E445B2">
        <w:rPr>
          <w:rFonts w:eastAsia="Times New Roman" w:cs="Arial"/>
          <w:color w:val="000000"/>
          <w:lang w:eastAsia="bg-BG"/>
        </w:rPr>
        <w:t>парестезия, световъртеж, главоболие</w:t>
      </w:r>
      <w:r w:rsidRPr="00E445B2">
        <w:rPr>
          <w:rFonts w:eastAsia="Times New Roman" w:cs="Arial"/>
          <w:color w:val="000000"/>
          <w:vertAlign w:val="superscript"/>
          <w:lang w:eastAsia="bg-BG"/>
        </w:rPr>
        <w:t xml:space="preserve">а </w:t>
      </w:r>
    </w:p>
    <w:p w14:paraId="3736EF99" w14:textId="257CD1A2" w:rsidR="00E445B2" w:rsidRPr="00E445B2" w:rsidRDefault="00E445B2" w:rsidP="00E445B2">
      <w:pPr>
        <w:spacing w:line="240" w:lineRule="auto"/>
        <w:rPr>
          <w:rFonts w:eastAsia="Times New Roman" w:cs="Arial"/>
          <w:color w:val="000000"/>
          <w:lang w:eastAsia="bg-BG"/>
        </w:rPr>
      </w:pPr>
      <w:r w:rsidRPr="00E445B2">
        <w:rPr>
          <w:rFonts w:eastAsia="Times New Roman" w:cs="Arial"/>
          <w:i/>
          <w:iCs/>
          <w:color w:val="000000"/>
          <w:lang w:eastAsia="bg-BG"/>
        </w:rPr>
        <w:t xml:space="preserve">Нечести- </w:t>
      </w:r>
      <w:r w:rsidRPr="00E445B2">
        <w:rPr>
          <w:rFonts w:eastAsia="Times New Roman" w:cs="Arial"/>
          <w:color w:val="000000"/>
          <w:lang w:eastAsia="bg-BG"/>
        </w:rPr>
        <w:t xml:space="preserve">симптоми на токсичност на ЦНС (гърчове, </w:t>
      </w:r>
      <w:r w:rsidRPr="00E445B2">
        <w:rPr>
          <w:rFonts w:eastAsia="Times New Roman" w:cs="Arial"/>
          <w:color w:val="000000"/>
          <w:lang w:val="en-US"/>
        </w:rPr>
        <w:t>grand</w:t>
      </w:r>
      <w:r w:rsidRPr="00E445B2">
        <w:rPr>
          <w:rFonts w:eastAsia="Times New Roman" w:cs="Arial"/>
          <w:color w:val="000000"/>
        </w:rPr>
        <w:t xml:space="preserve"> </w:t>
      </w:r>
      <w:r w:rsidRPr="00E445B2">
        <w:rPr>
          <w:rFonts w:eastAsia="Times New Roman" w:cs="Arial"/>
          <w:color w:val="000000"/>
          <w:lang w:val="en-US"/>
        </w:rPr>
        <w:t>mal</w:t>
      </w:r>
      <w:r w:rsidRPr="00E445B2">
        <w:rPr>
          <w:rFonts w:eastAsia="Times New Roman" w:cs="Arial"/>
          <w:color w:val="000000"/>
        </w:rPr>
        <w:t xml:space="preserve"> </w:t>
      </w:r>
      <w:r w:rsidRPr="00E445B2">
        <w:rPr>
          <w:rFonts w:eastAsia="Times New Roman" w:cs="Arial"/>
          <w:color w:val="000000"/>
          <w:lang w:eastAsia="bg-BG"/>
        </w:rPr>
        <w:t>гърчове, припадъци, световъртеж, циркуморална парестезия, изтръпване на езика, хиперакузис, тинитус, зрителни нарушения, мускулни потрепвания, дизартрия, тремор, хипоестезия</w:t>
      </w:r>
      <w:r w:rsidRPr="00E445B2">
        <w:rPr>
          <w:rFonts w:eastAsia="Times New Roman" w:cs="Arial"/>
          <w:color w:val="000000"/>
          <w:vertAlign w:val="superscript"/>
          <w:lang w:eastAsia="bg-BG"/>
        </w:rPr>
        <w:t>а</w:t>
      </w:r>
      <w:r w:rsidRPr="00E445B2">
        <w:rPr>
          <w:rFonts w:eastAsia="Times New Roman" w:cs="Arial"/>
          <w:color w:val="000000"/>
          <w:lang w:eastAsia="bg-BG"/>
        </w:rPr>
        <w:t xml:space="preserve">)* </w:t>
      </w:r>
    </w:p>
    <w:p w14:paraId="4FAED23A" w14:textId="3AE81430" w:rsidR="00E445B2" w:rsidRPr="00E445B2" w:rsidRDefault="00E445B2" w:rsidP="00E445B2">
      <w:pPr>
        <w:spacing w:line="240" w:lineRule="auto"/>
        <w:rPr>
          <w:rFonts w:eastAsia="Times New Roman" w:cs="Arial"/>
        </w:rPr>
      </w:pPr>
      <w:r w:rsidRPr="00E445B2">
        <w:rPr>
          <w:rFonts w:eastAsia="Times New Roman" w:cs="Arial"/>
          <w:color w:val="000000"/>
          <w:lang w:eastAsia="bg-BG"/>
        </w:rPr>
        <w:t xml:space="preserve">С </w:t>
      </w:r>
      <w:r w:rsidRPr="00E445B2">
        <w:rPr>
          <w:rFonts w:eastAsia="Times New Roman" w:cs="Arial"/>
          <w:i/>
          <w:iCs/>
          <w:color w:val="000000"/>
          <w:lang w:eastAsia="bg-BG"/>
        </w:rPr>
        <w:t xml:space="preserve">неизвестна честота- </w:t>
      </w:r>
      <w:r w:rsidRPr="00E445B2">
        <w:rPr>
          <w:rFonts w:eastAsia="Times New Roman" w:cs="Arial"/>
          <w:color w:val="000000"/>
          <w:lang w:eastAsia="bg-BG"/>
        </w:rPr>
        <w:t>Дискинезия</w:t>
      </w:r>
    </w:p>
    <w:p w14:paraId="200A37AA" w14:textId="77777777" w:rsidR="00E445B2" w:rsidRPr="00E445B2" w:rsidRDefault="00E445B2" w:rsidP="00E445B2">
      <w:pPr>
        <w:spacing w:line="240" w:lineRule="auto"/>
        <w:rPr>
          <w:rFonts w:eastAsia="Times New Roman" w:cs="Arial"/>
          <w:i/>
          <w:iCs/>
          <w:color w:val="000000"/>
          <w:lang w:eastAsia="bg-BG"/>
        </w:rPr>
      </w:pPr>
    </w:p>
    <w:p w14:paraId="7ED682F0" w14:textId="77777777"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Сърдечни нарушения</w:t>
      </w:r>
      <w:r w:rsidRPr="00E445B2">
        <w:rPr>
          <w:rFonts w:eastAsia="Times New Roman" w:cs="Arial"/>
          <w:i/>
          <w:iCs/>
          <w:color w:val="000000"/>
          <w:lang w:eastAsia="bg-BG"/>
        </w:rPr>
        <w:tab/>
      </w:r>
    </w:p>
    <w:p w14:paraId="34BBC6A4" w14:textId="38349937"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Чести</w:t>
      </w:r>
      <w:r w:rsidRPr="00E445B2">
        <w:rPr>
          <w:rFonts w:eastAsia="Times New Roman" w:cs="Arial"/>
        </w:rPr>
        <w:t xml:space="preserve">- </w:t>
      </w:r>
      <w:r w:rsidRPr="00E445B2">
        <w:rPr>
          <w:rFonts w:eastAsia="Times New Roman" w:cs="Arial"/>
          <w:color w:val="000000"/>
          <w:lang w:eastAsia="bg-BG"/>
        </w:rPr>
        <w:t>брадикардия</w:t>
      </w:r>
      <w:r w:rsidRPr="00E445B2">
        <w:rPr>
          <w:rFonts w:eastAsia="Times New Roman" w:cs="Arial"/>
          <w:color w:val="000000"/>
          <w:vertAlign w:val="superscript"/>
          <w:lang w:eastAsia="bg-BG"/>
        </w:rPr>
        <w:t>а</w:t>
      </w:r>
      <w:r w:rsidRPr="00E445B2">
        <w:rPr>
          <w:rFonts w:eastAsia="Times New Roman" w:cs="Arial"/>
          <w:color w:val="000000"/>
          <w:lang w:eastAsia="bg-BG"/>
        </w:rPr>
        <w:t xml:space="preserve">, тахикардия </w:t>
      </w:r>
    </w:p>
    <w:p w14:paraId="49A23C7B" w14:textId="4020E56E" w:rsidR="00E445B2" w:rsidRPr="00E445B2" w:rsidRDefault="00E445B2" w:rsidP="00E445B2">
      <w:pPr>
        <w:spacing w:line="240" w:lineRule="auto"/>
        <w:rPr>
          <w:rFonts w:eastAsia="Times New Roman" w:cs="Arial"/>
          <w:color w:val="000000"/>
          <w:lang w:eastAsia="bg-BG"/>
        </w:rPr>
      </w:pPr>
      <w:r w:rsidRPr="00E445B2">
        <w:rPr>
          <w:rFonts w:eastAsia="Times New Roman" w:cs="Arial"/>
          <w:i/>
          <w:iCs/>
          <w:color w:val="000000"/>
          <w:lang w:eastAsia="bg-BG"/>
        </w:rPr>
        <w:t xml:space="preserve">Редки- </w:t>
      </w:r>
      <w:r w:rsidRPr="00E445B2">
        <w:rPr>
          <w:rFonts w:eastAsia="Times New Roman" w:cs="Arial"/>
          <w:color w:val="000000"/>
          <w:lang w:eastAsia="bg-BG"/>
        </w:rPr>
        <w:t xml:space="preserve">Сърдечен арест, аритмии </w:t>
      </w:r>
    </w:p>
    <w:p w14:paraId="75A7412B" w14:textId="77777777" w:rsidR="00E445B2" w:rsidRPr="00E445B2" w:rsidRDefault="00E445B2" w:rsidP="00E445B2">
      <w:pPr>
        <w:spacing w:line="240" w:lineRule="auto"/>
        <w:rPr>
          <w:rFonts w:eastAsia="Times New Roman" w:cs="Arial"/>
          <w:color w:val="000000"/>
          <w:lang w:eastAsia="bg-BG"/>
        </w:rPr>
      </w:pPr>
    </w:p>
    <w:p w14:paraId="2AA87090" w14:textId="77777777"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Съдови нарушения</w:t>
      </w:r>
      <w:r w:rsidRPr="00E445B2">
        <w:rPr>
          <w:rFonts w:eastAsia="Times New Roman" w:cs="Arial"/>
          <w:i/>
          <w:iCs/>
          <w:color w:val="000000"/>
          <w:lang w:eastAsia="bg-BG"/>
        </w:rPr>
        <w:tab/>
      </w:r>
    </w:p>
    <w:p w14:paraId="772FA582" w14:textId="757DB6CF"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Много чести</w:t>
      </w:r>
      <w:r w:rsidRPr="00E445B2">
        <w:rPr>
          <w:rFonts w:eastAsia="Times New Roman" w:cs="Arial"/>
        </w:rPr>
        <w:t xml:space="preserve">- </w:t>
      </w:r>
      <w:r w:rsidRPr="00E445B2">
        <w:rPr>
          <w:rFonts w:eastAsia="Times New Roman" w:cs="Arial"/>
          <w:color w:val="000000"/>
          <w:lang w:eastAsia="bg-BG"/>
        </w:rPr>
        <w:t xml:space="preserve">хипотония </w:t>
      </w:r>
    </w:p>
    <w:p w14:paraId="21EA465E" w14:textId="7F50B747" w:rsidR="00E445B2" w:rsidRPr="00E445B2" w:rsidRDefault="00E445B2" w:rsidP="00E445B2">
      <w:pPr>
        <w:spacing w:line="240" w:lineRule="auto"/>
        <w:rPr>
          <w:rFonts w:eastAsia="Times New Roman" w:cs="Arial"/>
          <w:color w:val="000000"/>
          <w:lang w:eastAsia="bg-BG"/>
        </w:rPr>
      </w:pPr>
      <w:r w:rsidRPr="00E445B2">
        <w:rPr>
          <w:rFonts w:eastAsia="Times New Roman" w:cs="Arial"/>
          <w:i/>
          <w:iCs/>
          <w:color w:val="000000"/>
          <w:lang w:eastAsia="bg-BG"/>
        </w:rPr>
        <w:t xml:space="preserve">Чести-  </w:t>
      </w:r>
      <w:r w:rsidRPr="00E445B2">
        <w:rPr>
          <w:rFonts w:eastAsia="Times New Roman" w:cs="Arial"/>
          <w:color w:val="000000"/>
          <w:lang w:eastAsia="bg-BG"/>
        </w:rPr>
        <w:t xml:space="preserve">хипертония, хипотония (деца) </w:t>
      </w:r>
    </w:p>
    <w:p w14:paraId="346632B7" w14:textId="58278BDD" w:rsidR="00E445B2" w:rsidRPr="00E445B2" w:rsidRDefault="00E445B2" w:rsidP="00E445B2">
      <w:pPr>
        <w:spacing w:line="240" w:lineRule="auto"/>
        <w:rPr>
          <w:rFonts w:eastAsia="Times New Roman" w:cs="Arial"/>
          <w:color w:val="000000"/>
          <w:vertAlign w:val="superscript"/>
          <w:lang w:eastAsia="bg-BG"/>
        </w:rPr>
      </w:pPr>
      <w:r w:rsidRPr="00E445B2">
        <w:rPr>
          <w:rFonts w:eastAsia="Times New Roman" w:cs="Arial"/>
          <w:i/>
          <w:iCs/>
          <w:color w:val="000000"/>
          <w:lang w:eastAsia="bg-BG"/>
        </w:rPr>
        <w:t xml:space="preserve">Нечести- </w:t>
      </w:r>
      <w:r w:rsidRPr="00E445B2">
        <w:rPr>
          <w:rFonts w:eastAsia="Times New Roman" w:cs="Arial"/>
          <w:color w:val="000000"/>
          <w:lang w:eastAsia="bg-BG"/>
        </w:rPr>
        <w:t>синкоп</w:t>
      </w:r>
      <w:r w:rsidRPr="00E445B2">
        <w:rPr>
          <w:rFonts w:eastAsia="Times New Roman" w:cs="Arial"/>
          <w:color w:val="000000"/>
          <w:vertAlign w:val="superscript"/>
          <w:lang w:eastAsia="bg-BG"/>
        </w:rPr>
        <w:t xml:space="preserve">а </w:t>
      </w:r>
    </w:p>
    <w:p w14:paraId="58E1047A" w14:textId="77777777" w:rsidR="00E445B2" w:rsidRPr="00E445B2" w:rsidRDefault="00E445B2" w:rsidP="00E445B2">
      <w:pPr>
        <w:spacing w:line="240" w:lineRule="auto"/>
        <w:rPr>
          <w:rFonts w:eastAsia="Times New Roman" w:cs="Arial"/>
          <w:color w:val="000000"/>
          <w:vertAlign w:val="superscript"/>
          <w:lang w:eastAsia="bg-BG"/>
        </w:rPr>
      </w:pPr>
    </w:p>
    <w:p w14:paraId="3434766F" w14:textId="4FB4745D"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 xml:space="preserve">Дихателни, гръдни и медиастинални </w:t>
      </w:r>
      <w:r w:rsidRPr="00E445B2">
        <w:rPr>
          <w:rFonts w:eastAsia="Times New Roman" w:cs="Arial"/>
          <w:i/>
          <w:iCs/>
          <w:color w:val="000000"/>
          <w:lang w:eastAsia="bg-BG"/>
        </w:rPr>
        <w:t>нарушения</w:t>
      </w:r>
      <w:r w:rsidRPr="00E445B2">
        <w:rPr>
          <w:rFonts w:eastAsia="Times New Roman" w:cs="Arial"/>
          <w:i/>
          <w:iCs/>
          <w:color w:val="000000"/>
          <w:lang w:eastAsia="bg-BG"/>
        </w:rPr>
        <w:tab/>
      </w:r>
    </w:p>
    <w:p w14:paraId="08F05C3B" w14:textId="25EDD5C2" w:rsidR="00E445B2" w:rsidRPr="00E445B2" w:rsidRDefault="00E445B2" w:rsidP="00E445B2">
      <w:pPr>
        <w:spacing w:line="240" w:lineRule="auto"/>
        <w:rPr>
          <w:rFonts w:eastAsia="Times New Roman" w:cs="Arial"/>
          <w:color w:val="000000"/>
          <w:lang w:eastAsia="bg-BG"/>
        </w:rPr>
      </w:pPr>
      <w:r w:rsidRPr="00E445B2">
        <w:rPr>
          <w:rFonts w:eastAsia="Times New Roman" w:cs="Arial"/>
          <w:i/>
          <w:iCs/>
          <w:color w:val="000000"/>
          <w:lang w:eastAsia="bg-BG"/>
        </w:rPr>
        <w:t>Нечести</w:t>
      </w:r>
      <w:r w:rsidRPr="00E445B2">
        <w:rPr>
          <w:rFonts w:eastAsia="Times New Roman" w:cs="Arial"/>
          <w:color w:val="000000"/>
          <w:lang w:eastAsia="bg-BG"/>
        </w:rPr>
        <w:t>- задух</w:t>
      </w:r>
      <w:r w:rsidRPr="00E445B2">
        <w:rPr>
          <w:rFonts w:eastAsia="Times New Roman" w:cs="Arial"/>
          <w:color w:val="000000"/>
          <w:vertAlign w:val="superscript"/>
          <w:lang w:eastAsia="bg-BG"/>
        </w:rPr>
        <w:t>а</w:t>
      </w:r>
    </w:p>
    <w:p w14:paraId="46EA11BE" w14:textId="77777777" w:rsidR="00E445B2" w:rsidRPr="00E445B2" w:rsidRDefault="00E445B2" w:rsidP="00E445B2">
      <w:pPr>
        <w:spacing w:line="240" w:lineRule="auto"/>
        <w:rPr>
          <w:rFonts w:eastAsia="Times New Roman" w:cs="Arial"/>
          <w:i/>
          <w:iCs/>
          <w:color w:val="000000"/>
          <w:lang w:eastAsia="bg-BG"/>
        </w:rPr>
      </w:pPr>
    </w:p>
    <w:p w14:paraId="44A02AC1" w14:textId="77777777"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Стомашно-чревни нарушения</w:t>
      </w:r>
      <w:r w:rsidRPr="00E445B2">
        <w:rPr>
          <w:rFonts w:eastAsia="Times New Roman" w:cs="Arial"/>
          <w:i/>
          <w:iCs/>
          <w:color w:val="000000"/>
          <w:lang w:eastAsia="bg-BG"/>
        </w:rPr>
        <w:tab/>
      </w:r>
    </w:p>
    <w:p w14:paraId="30D989D2" w14:textId="2ABCB6EE"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 xml:space="preserve">Много чести- </w:t>
      </w:r>
      <w:r w:rsidRPr="00E445B2">
        <w:rPr>
          <w:rFonts w:eastAsia="Times New Roman" w:cs="Arial"/>
          <w:color w:val="000000"/>
          <w:lang w:eastAsia="bg-BG"/>
        </w:rPr>
        <w:t xml:space="preserve">гадене, повръщане (деца) </w:t>
      </w:r>
    </w:p>
    <w:p w14:paraId="35AE93AF" w14:textId="2FF1ACC0"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 xml:space="preserve">Чести-  </w:t>
      </w:r>
      <w:r w:rsidRPr="00E445B2">
        <w:rPr>
          <w:rFonts w:eastAsia="Times New Roman" w:cs="Arial"/>
          <w:color w:val="000000"/>
          <w:lang w:eastAsia="bg-BG"/>
        </w:rPr>
        <w:t>повръщане</w:t>
      </w:r>
      <w:r w:rsidRPr="00E445B2">
        <w:rPr>
          <w:rFonts w:eastAsia="Times New Roman" w:cs="Arial"/>
          <w:color w:val="000000"/>
          <w:vertAlign w:val="superscript"/>
          <w:lang w:eastAsia="bg-BG"/>
        </w:rPr>
        <w:t>а</w:t>
      </w:r>
      <w:r w:rsidRPr="00E445B2">
        <w:rPr>
          <w:rFonts w:eastAsia="Times New Roman" w:cs="Arial"/>
          <w:color w:val="000000"/>
          <w:lang w:eastAsia="bg-BG"/>
        </w:rPr>
        <w:t xml:space="preserve"> </w:t>
      </w:r>
    </w:p>
    <w:p w14:paraId="7AE7041B" w14:textId="77777777" w:rsidR="00E445B2" w:rsidRPr="00E445B2" w:rsidRDefault="00E445B2" w:rsidP="00E445B2">
      <w:pPr>
        <w:spacing w:line="240" w:lineRule="auto"/>
        <w:rPr>
          <w:rFonts w:eastAsia="Times New Roman" w:cs="Arial"/>
          <w:color w:val="000000"/>
          <w:lang w:eastAsia="bg-BG"/>
        </w:rPr>
      </w:pPr>
    </w:p>
    <w:p w14:paraId="02E972FE" w14:textId="0B04CD32"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Мускулно скелетни нарушения и</w:t>
      </w:r>
      <w:r w:rsidRPr="00E445B2">
        <w:rPr>
          <w:rFonts w:eastAsia="Times New Roman" w:cs="Arial"/>
          <w:i/>
          <w:iCs/>
          <w:color w:val="000000"/>
          <w:lang w:eastAsia="bg-BG"/>
        </w:rPr>
        <w:tab/>
      </w:r>
      <w:r w:rsidRPr="00E445B2">
        <w:rPr>
          <w:rFonts w:eastAsia="Times New Roman" w:cs="Arial"/>
          <w:i/>
          <w:iCs/>
          <w:color w:val="000000"/>
          <w:lang w:eastAsia="bg-BG"/>
        </w:rPr>
        <w:t>нарушения на съединителната тъкан</w:t>
      </w:r>
    </w:p>
    <w:p w14:paraId="06FBF9D4" w14:textId="31ED5B32"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Чести</w:t>
      </w:r>
      <w:r w:rsidRPr="00E445B2">
        <w:rPr>
          <w:rFonts w:eastAsia="Times New Roman" w:cs="Arial"/>
        </w:rPr>
        <w:t xml:space="preserve">- </w:t>
      </w:r>
      <w:r w:rsidRPr="00E445B2">
        <w:rPr>
          <w:rFonts w:eastAsia="Times New Roman" w:cs="Arial"/>
          <w:color w:val="000000"/>
          <w:lang w:eastAsia="bg-BG"/>
        </w:rPr>
        <w:t xml:space="preserve">болка в гърба </w:t>
      </w:r>
    </w:p>
    <w:p w14:paraId="5B1C6AF7" w14:textId="77777777" w:rsidR="00E445B2" w:rsidRPr="00E445B2" w:rsidRDefault="00E445B2" w:rsidP="00E445B2">
      <w:pPr>
        <w:spacing w:line="240" w:lineRule="auto"/>
        <w:rPr>
          <w:rFonts w:eastAsia="Times New Roman" w:cs="Arial"/>
          <w:color w:val="000000"/>
          <w:lang w:eastAsia="bg-BG"/>
        </w:rPr>
      </w:pPr>
    </w:p>
    <w:p w14:paraId="7E935F34" w14:textId="77777777"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Бъбречни и пикочни нарушения</w:t>
      </w:r>
      <w:r w:rsidRPr="00E445B2">
        <w:rPr>
          <w:rFonts w:eastAsia="Times New Roman" w:cs="Arial"/>
          <w:i/>
          <w:iCs/>
          <w:color w:val="000000"/>
          <w:lang w:eastAsia="bg-BG"/>
        </w:rPr>
        <w:tab/>
      </w:r>
    </w:p>
    <w:p w14:paraId="20D63550" w14:textId="215E5736" w:rsidR="00E445B2" w:rsidRPr="00E445B2" w:rsidRDefault="00E445B2" w:rsidP="00E445B2">
      <w:pPr>
        <w:spacing w:line="240" w:lineRule="auto"/>
        <w:rPr>
          <w:rFonts w:eastAsia="Times New Roman" w:cs="Arial"/>
          <w:color w:val="000000"/>
          <w:vertAlign w:val="superscript"/>
          <w:lang w:eastAsia="bg-BG"/>
        </w:rPr>
      </w:pPr>
      <w:r w:rsidRPr="00E445B2">
        <w:rPr>
          <w:rFonts w:eastAsia="Times New Roman" w:cs="Arial"/>
          <w:i/>
          <w:iCs/>
          <w:color w:val="000000"/>
          <w:lang w:eastAsia="bg-BG"/>
        </w:rPr>
        <w:t>Много чести</w:t>
      </w:r>
      <w:r w:rsidRPr="00E445B2">
        <w:rPr>
          <w:rFonts w:eastAsia="Times New Roman" w:cs="Arial"/>
        </w:rPr>
        <w:t xml:space="preserve">- </w:t>
      </w:r>
      <w:r w:rsidRPr="00E445B2">
        <w:rPr>
          <w:rFonts w:eastAsia="Times New Roman" w:cs="Arial"/>
          <w:color w:val="000000"/>
          <w:lang w:eastAsia="bg-BG"/>
        </w:rPr>
        <w:t>задръжка на урина</w:t>
      </w:r>
      <w:r w:rsidRPr="00E445B2">
        <w:rPr>
          <w:rFonts w:eastAsia="Times New Roman" w:cs="Arial"/>
          <w:color w:val="000000"/>
          <w:vertAlign w:val="superscript"/>
          <w:lang w:eastAsia="bg-BG"/>
        </w:rPr>
        <w:t>а</w:t>
      </w:r>
    </w:p>
    <w:p w14:paraId="3B44711C" w14:textId="4BB40561" w:rsidR="00E445B2" w:rsidRPr="00E445B2" w:rsidRDefault="00E445B2" w:rsidP="00E445B2">
      <w:pPr>
        <w:spacing w:line="240" w:lineRule="auto"/>
        <w:rPr>
          <w:rFonts w:eastAsia="Times New Roman" w:cs="Arial"/>
          <w:color w:val="000000"/>
          <w:vertAlign w:val="superscript"/>
          <w:lang w:eastAsia="bg-BG"/>
        </w:rPr>
      </w:pPr>
    </w:p>
    <w:p w14:paraId="538053CE" w14:textId="77777777" w:rsidR="00E445B2" w:rsidRPr="00E445B2" w:rsidRDefault="00E445B2" w:rsidP="00E445B2">
      <w:pPr>
        <w:spacing w:line="240" w:lineRule="auto"/>
        <w:rPr>
          <w:rFonts w:eastAsia="Times New Roman" w:cs="Arial"/>
          <w:i/>
          <w:iCs/>
          <w:color w:val="000000"/>
          <w:lang w:eastAsia="bg-BG"/>
        </w:rPr>
      </w:pPr>
      <w:r w:rsidRPr="00E445B2">
        <w:rPr>
          <w:rFonts w:eastAsia="Times New Roman" w:cs="Arial"/>
          <w:i/>
          <w:iCs/>
          <w:color w:val="000000"/>
          <w:lang w:eastAsia="bg-BG"/>
        </w:rPr>
        <w:t>Общи нарушения</w:t>
      </w:r>
      <w:r w:rsidRPr="00E445B2">
        <w:rPr>
          <w:rFonts w:eastAsia="Times New Roman" w:cs="Arial"/>
          <w:i/>
          <w:iCs/>
          <w:color w:val="000000"/>
          <w:lang w:eastAsia="bg-BG"/>
        </w:rPr>
        <w:tab/>
      </w:r>
    </w:p>
    <w:p w14:paraId="448B79A8" w14:textId="24638B75"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Чести</w:t>
      </w:r>
      <w:r w:rsidRPr="00E445B2">
        <w:rPr>
          <w:rFonts w:eastAsia="Times New Roman" w:cs="Arial"/>
        </w:rPr>
        <w:t xml:space="preserve">- </w:t>
      </w:r>
      <w:r w:rsidRPr="00E445B2">
        <w:rPr>
          <w:rFonts w:eastAsia="Times New Roman" w:cs="Arial"/>
          <w:color w:val="000000"/>
          <w:lang w:eastAsia="bg-BG"/>
        </w:rPr>
        <w:t>повишаване на температурата, втрисане</w:t>
      </w:r>
    </w:p>
    <w:p w14:paraId="2B80454B" w14:textId="6FFA2BEB"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Нечести</w:t>
      </w:r>
      <w:r w:rsidRPr="00E445B2">
        <w:rPr>
          <w:rFonts w:eastAsia="Times New Roman" w:cs="Arial"/>
        </w:rPr>
        <w:t xml:space="preserve">- </w:t>
      </w:r>
      <w:r w:rsidRPr="00E445B2">
        <w:rPr>
          <w:rFonts w:eastAsia="Times New Roman" w:cs="Arial"/>
          <w:color w:val="000000"/>
          <w:lang w:eastAsia="bg-BG"/>
        </w:rPr>
        <w:t>хипотермия</w:t>
      </w:r>
    </w:p>
    <w:p w14:paraId="48572533" w14:textId="77777777" w:rsidR="00E445B2" w:rsidRPr="00E445B2" w:rsidRDefault="00E445B2" w:rsidP="00E445B2">
      <w:pPr>
        <w:spacing w:line="240" w:lineRule="auto"/>
        <w:rPr>
          <w:rFonts w:eastAsia="Times New Roman" w:cs="Arial"/>
          <w:color w:val="000000"/>
          <w:lang w:eastAsia="bg-BG"/>
        </w:rPr>
      </w:pPr>
    </w:p>
    <w:p w14:paraId="72EF0B9C" w14:textId="0D8BD42B" w:rsidR="00E445B2" w:rsidRPr="00E445B2" w:rsidRDefault="00E445B2" w:rsidP="00E445B2">
      <w:pPr>
        <w:spacing w:line="240" w:lineRule="auto"/>
        <w:rPr>
          <w:rFonts w:eastAsia="Times New Roman" w:cs="Arial"/>
        </w:rPr>
      </w:pPr>
      <w:r w:rsidRPr="00E445B2">
        <w:rPr>
          <w:rFonts w:eastAsia="Times New Roman" w:cs="Arial"/>
          <w:color w:val="000000"/>
          <w:lang w:eastAsia="bg-BG"/>
        </w:rPr>
        <w:t>а. Тези реакции са по-чести от посочените след интратекално приложение.</w:t>
      </w:r>
    </w:p>
    <w:p w14:paraId="579D56CF"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*Тези симптоми обикновено се наблюдават поради неволно вътресъдово инжектиране, предозиране или бърза абсорбция (вж. точка 4.9)</w:t>
      </w:r>
    </w:p>
    <w:p w14:paraId="71E8DDA4" w14:textId="77777777" w:rsidR="00E445B2" w:rsidRPr="00E445B2" w:rsidRDefault="00E445B2" w:rsidP="00E445B2">
      <w:pPr>
        <w:spacing w:line="240" w:lineRule="auto"/>
        <w:rPr>
          <w:rFonts w:eastAsia="Times New Roman" w:cs="Arial"/>
          <w:b/>
          <w:bCs/>
          <w:color w:val="000000"/>
          <w:lang w:eastAsia="bg-BG"/>
        </w:rPr>
      </w:pPr>
    </w:p>
    <w:p w14:paraId="4A1815D8" w14:textId="5EEAD48C" w:rsidR="00E445B2" w:rsidRPr="00E445B2" w:rsidRDefault="00E445B2" w:rsidP="00E445B2">
      <w:pPr>
        <w:spacing w:line="240" w:lineRule="auto"/>
        <w:rPr>
          <w:rFonts w:eastAsia="Times New Roman" w:cs="Arial"/>
        </w:rPr>
      </w:pPr>
      <w:r w:rsidRPr="00E445B2">
        <w:rPr>
          <w:rFonts w:eastAsia="Times New Roman" w:cs="Arial"/>
          <w:b/>
          <w:bCs/>
          <w:color w:val="000000"/>
          <w:lang w:eastAsia="bg-BG"/>
        </w:rPr>
        <w:t>Отделни класове нежелани реакции</w:t>
      </w:r>
    </w:p>
    <w:p w14:paraId="269FE397" w14:textId="77777777" w:rsidR="00E445B2" w:rsidRPr="00E445B2" w:rsidRDefault="00E445B2" w:rsidP="00E445B2">
      <w:pPr>
        <w:spacing w:line="240" w:lineRule="auto"/>
        <w:rPr>
          <w:rFonts w:eastAsia="Times New Roman" w:cs="Arial"/>
          <w:i/>
          <w:iCs/>
          <w:color w:val="000000"/>
          <w:lang w:eastAsia="bg-BG"/>
        </w:rPr>
      </w:pPr>
    </w:p>
    <w:p w14:paraId="190AE6B9" w14:textId="5F038F5E"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Неврологични усложнения</w:t>
      </w:r>
    </w:p>
    <w:p w14:paraId="52420639"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 xml:space="preserve">Невропатия и дисфункции на гръбначния мозък (например, синдром на предната спинална артерия, арахноидит, синдром на </w:t>
      </w:r>
      <w:r w:rsidRPr="00E445B2">
        <w:rPr>
          <w:rFonts w:eastAsia="Times New Roman" w:cs="Arial"/>
          <w:color w:val="000000"/>
          <w:lang w:val="en-US"/>
        </w:rPr>
        <w:t>cauda</w:t>
      </w:r>
      <w:r w:rsidRPr="00E445B2">
        <w:rPr>
          <w:rFonts w:eastAsia="Times New Roman" w:cs="Arial"/>
          <w:color w:val="000000"/>
          <w:lang w:val="ru-RU"/>
        </w:rPr>
        <w:t xml:space="preserve"> </w:t>
      </w:r>
      <w:proofErr w:type="spellStart"/>
      <w:r w:rsidRPr="00E445B2">
        <w:rPr>
          <w:rFonts w:eastAsia="Times New Roman" w:cs="Arial"/>
          <w:color w:val="000000"/>
          <w:lang w:val="en-US"/>
        </w:rPr>
        <w:t>equina</w:t>
      </w:r>
      <w:proofErr w:type="spellEnd"/>
      <w:r w:rsidRPr="00E445B2">
        <w:rPr>
          <w:rFonts w:eastAsia="Times New Roman" w:cs="Arial"/>
          <w:color w:val="000000"/>
          <w:lang w:val="ru-RU"/>
        </w:rPr>
        <w:t xml:space="preserve">), </w:t>
      </w:r>
      <w:r w:rsidRPr="00E445B2">
        <w:rPr>
          <w:rFonts w:eastAsia="Times New Roman" w:cs="Arial"/>
          <w:color w:val="000000"/>
          <w:lang w:eastAsia="bg-BG"/>
        </w:rPr>
        <w:t xml:space="preserve">които могат да доведат в редки </w:t>
      </w:r>
      <w:r w:rsidRPr="00E445B2">
        <w:rPr>
          <w:rFonts w:eastAsia="Times New Roman" w:cs="Arial"/>
          <w:color w:val="000000"/>
          <w:lang w:eastAsia="bg-BG"/>
        </w:rPr>
        <w:lastRenderedPageBreak/>
        <w:t>случаи до перманентни последствия, са били свързвани с регионална анестезия, независимо от използвания локален анестетик.</w:t>
      </w:r>
    </w:p>
    <w:p w14:paraId="68A3626B" w14:textId="77777777" w:rsidR="00E445B2" w:rsidRPr="00E445B2" w:rsidRDefault="00E445B2" w:rsidP="00E445B2">
      <w:pPr>
        <w:spacing w:line="240" w:lineRule="auto"/>
        <w:rPr>
          <w:rFonts w:eastAsia="Times New Roman" w:cs="Arial"/>
          <w:i/>
          <w:iCs/>
          <w:color w:val="000000"/>
          <w:lang w:eastAsia="bg-BG"/>
        </w:rPr>
      </w:pPr>
    </w:p>
    <w:p w14:paraId="49F58954" w14:textId="67B367D6"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Пълна спинална блокада</w:t>
      </w:r>
    </w:p>
    <w:p w14:paraId="6BA24670"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Пълна спинална блокада може да се получи при приложение на прекомерна интратекална доза.</w:t>
      </w:r>
    </w:p>
    <w:p w14:paraId="4AD8514A" w14:textId="77777777" w:rsidR="00E445B2" w:rsidRPr="00E445B2" w:rsidRDefault="00E445B2" w:rsidP="00E445B2">
      <w:pPr>
        <w:spacing w:line="240" w:lineRule="auto"/>
        <w:rPr>
          <w:rFonts w:eastAsia="Times New Roman" w:cs="Arial"/>
          <w:b/>
          <w:bCs/>
          <w:color w:val="000000"/>
          <w:lang w:eastAsia="bg-BG"/>
        </w:rPr>
      </w:pPr>
    </w:p>
    <w:p w14:paraId="4B75183E" w14:textId="2CE43BD6" w:rsidR="00E445B2" w:rsidRPr="00E445B2" w:rsidRDefault="00E445B2" w:rsidP="00E445B2">
      <w:pPr>
        <w:spacing w:line="240" w:lineRule="auto"/>
        <w:rPr>
          <w:rFonts w:eastAsia="Times New Roman" w:cs="Arial"/>
        </w:rPr>
      </w:pPr>
      <w:r w:rsidRPr="00E445B2">
        <w:rPr>
          <w:rFonts w:eastAsia="Times New Roman" w:cs="Arial"/>
          <w:b/>
          <w:bCs/>
          <w:color w:val="000000"/>
          <w:lang w:eastAsia="bg-BG"/>
        </w:rPr>
        <w:t>Педиатрична популация:</w:t>
      </w:r>
    </w:p>
    <w:p w14:paraId="662FEF8B"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Честотата, вида и тежестта на нежеланите реакции при деца се очаква да бъдат същите като при възрастни, с изключение на хипотония, която е по-рядка при деца (&lt; 1 при 10) и повръщане, което е по-често при деца (&gt; 1 при 10).</w:t>
      </w:r>
    </w:p>
    <w:p w14:paraId="4163CE0A" w14:textId="77777777" w:rsidR="00E445B2" w:rsidRPr="00E445B2" w:rsidRDefault="00E445B2" w:rsidP="00E445B2">
      <w:pPr>
        <w:spacing w:line="240" w:lineRule="auto"/>
        <w:rPr>
          <w:rFonts w:eastAsia="Times New Roman" w:cs="Arial"/>
          <w:color w:val="000000"/>
          <w:lang w:eastAsia="bg-BG"/>
        </w:rPr>
      </w:pPr>
    </w:p>
    <w:p w14:paraId="58058C59" w14:textId="0EBE9B98" w:rsidR="00E445B2" w:rsidRPr="00E445B2" w:rsidRDefault="00E445B2" w:rsidP="00E445B2">
      <w:pPr>
        <w:spacing w:line="240" w:lineRule="auto"/>
        <w:rPr>
          <w:rFonts w:eastAsia="Times New Roman" w:cs="Arial"/>
        </w:rPr>
      </w:pPr>
      <w:r w:rsidRPr="00E445B2">
        <w:rPr>
          <w:rFonts w:eastAsia="Times New Roman" w:cs="Arial"/>
          <w:color w:val="000000"/>
          <w:lang w:eastAsia="bg-BG"/>
        </w:rPr>
        <w:t>При деца ранните прояви на локална анестетична токсичност може да бъдат трудни за установяване, тъй като те може да не могат да ги съобщят вербално (вж. също точка 4.4).</w:t>
      </w:r>
    </w:p>
    <w:p w14:paraId="277D58A6" w14:textId="77777777" w:rsidR="00E445B2" w:rsidRPr="00E445B2" w:rsidRDefault="00E445B2" w:rsidP="00E445B2">
      <w:pPr>
        <w:spacing w:line="240" w:lineRule="auto"/>
        <w:rPr>
          <w:rFonts w:eastAsia="Times New Roman" w:cs="Arial"/>
          <w:b/>
          <w:bCs/>
          <w:color w:val="000000"/>
          <w:u w:val="single"/>
          <w:lang w:eastAsia="bg-BG"/>
        </w:rPr>
      </w:pPr>
    </w:p>
    <w:p w14:paraId="67E61EE7" w14:textId="369C5BDF" w:rsidR="00E445B2" w:rsidRPr="00E445B2" w:rsidRDefault="00E445B2" w:rsidP="00E445B2">
      <w:pPr>
        <w:spacing w:line="240" w:lineRule="auto"/>
        <w:rPr>
          <w:rFonts w:eastAsia="Times New Roman" w:cs="Arial"/>
        </w:rPr>
      </w:pPr>
      <w:r w:rsidRPr="00E445B2">
        <w:rPr>
          <w:rFonts w:eastAsia="Times New Roman" w:cs="Arial"/>
          <w:b/>
          <w:bCs/>
          <w:color w:val="000000"/>
          <w:u w:val="single"/>
          <w:lang w:eastAsia="bg-BG"/>
        </w:rPr>
        <w:t>Съобщаване на подозирани нежелани реакции</w:t>
      </w:r>
    </w:p>
    <w:p w14:paraId="023C6554"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w:t>
      </w:r>
    </w:p>
    <w:p w14:paraId="62080016"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Тел.:+35 928903417</w:t>
      </w:r>
    </w:p>
    <w:p w14:paraId="67F82B27"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 xml:space="preserve">уебсайт: </w:t>
      </w:r>
      <w:hyperlink r:id="rId5" w:history="1">
        <w:r w:rsidRPr="00E445B2">
          <w:rPr>
            <w:rFonts w:eastAsia="Times New Roman" w:cs="Arial"/>
            <w:color w:val="000000"/>
            <w:lang w:val="en-US"/>
          </w:rPr>
          <w:t>www.bda.bg</w:t>
        </w:r>
      </w:hyperlink>
    </w:p>
    <w:p w14:paraId="543F3BA5" w14:textId="77777777" w:rsidR="00E445B2" w:rsidRPr="00E445B2" w:rsidRDefault="00E445B2" w:rsidP="00E445B2">
      <w:pPr>
        <w:spacing w:line="240" w:lineRule="auto"/>
        <w:rPr>
          <w:rFonts w:ascii="Times New Roman" w:eastAsia="Times New Roman" w:hAnsi="Times New Roman" w:cs="Times New Roman"/>
          <w:sz w:val="24"/>
          <w:szCs w:val="24"/>
        </w:rPr>
      </w:pPr>
    </w:p>
    <w:p w14:paraId="4ED30546" w14:textId="5F05FED4" w:rsidR="007C605B" w:rsidRDefault="002C50EE" w:rsidP="009F1313">
      <w:pPr>
        <w:pStyle w:val="Heading2"/>
      </w:pPr>
      <w:r>
        <w:t>4.9. Предозиране</w:t>
      </w:r>
    </w:p>
    <w:p w14:paraId="040DF4D1" w14:textId="2675BBB0" w:rsidR="00E445B2" w:rsidRDefault="00E445B2" w:rsidP="00E445B2"/>
    <w:p w14:paraId="316730A9" w14:textId="77777777" w:rsidR="00E445B2" w:rsidRPr="00E445B2" w:rsidRDefault="00E445B2" w:rsidP="00E445B2">
      <w:pPr>
        <w:pStyle w:val="Heading3"/>
        <w:rPr>
          <w:rFonts w:eastAsia="Times New Roman"/>
          <w:b/>
          <w:i/>
        </w:rPr>
      </w:pPr>
      <w:r w:rsidRPr="00E445B2">
        <w:rPr>
          <w:rFonts w:eastAsia="Times New Roman"/>
          <w:b/>
          <w:i/>
          <w:lang w:eastAsia="bg-BG"/>
        </w:rPr>
        <w:t>Симптоми</w:t>
      </w:r>
    </w:p>
    <w:p w14:paraId="5EC29597" w14:textId="77777777"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Остра системна токсичност</w:t>
      </w:r>
    </w:p>
    <w:p w14:paraId="69F1A5A8"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Системните токсични реакции засягат предимно централната нервна система (ЦНС) и сърдечносъдовата система. Такива реакции се причиняват от високи кръвни концентрации на локален анестетик, което може да изглежда като причинено от (случайно) вътресъдово инжектиране, предозиране или изключително бърза абсорбция от силно васкуларизирани области (вижте точка 4.4). Реакциите на ЦНС са подобни за всички амидни локални анестетици, докато сърдечните реакции зависят повече от специфичното лекарство както в количествено, така и в качествено отношение.</w:t>
      </w:r>
    </w:p>
    <w:p w14:paraId="0DAE068A" w14:textId="52DD3917" w:rsidR="00E445B2" w:rsidRPr="00E445B2" w:rsidRDefault="00E445B2" w:rsidP="00E445B2">
      <w:pPr>
        <w:rPr>
          <w:rFonts w:eastAsia="Times New Roman" w:cs="Arial"/>
          <w:color w:val="000000"/>
          <w:lang w:eastAsia="bg-BG"/>
        </w:rPr>
      </w:pPr>
      <w:r w:rsidRPr="00E445B2">
        <w:rPr>
          <w:rFonts w:eastAsia="Times New Roman" w:cs="Arial"/>
          <w:color w:val="000000"/>
          <w:lang w:eastAsia="bg-BG"/>
        </w:rPr>
        <w:t xml:space="preserve">Случайни вътресъдови инжектирания на локални анестетици могат да причинят незабавни (в рамките на секунди до няколко минути) системни токсични реакции. В случай на предозиране, върхови плазмени концентрации могат да не бъдат достигнати за един или два часа в зависимост от мястото на инжектиране и по такъв начин признаците на токсичност </w:t>
      </w:r>
      <w:r w:rsidRPr="00E445B2">
        <w:rPr>
          <w:rFonts w:eastAsia="Times New Roman" w:cs="Arial"/>
          <w:color w:val="000000"/>
          <w:u w:val="single"/>
          <w:lang w:eastAsia="bg-BG"/>
        </w:rPr>
        <w:t>мога</w:t>
      </w:r>
      <w:r w:rsidRPr="00E445B2">
        <w:rPr>
          <w:rFonts w:eastAsia="Times New Roman" w:cs="Arial"/>
          <w:color w:val="000000"/>
          <w:lang w:eastAsia="bg-BG"/>
        </w:rPr>
        <w:t>т да бъдат забавени.</w:t>
      </w:r>
    </w:p>
    <w:p w14:paraId="0BE40133" w14:textId="450EACD6" w:rsidR="00E445B2" w:rsidRPr="00E445B2" w:rsidRDefault="00E445B2" w:rsidP="00E445B2">
      <w:pPr>
        <w:rPr>
          <w:rFonts w:eastAsia="Times New Roman" w:cs="Arial"/>
          <w:color w:val="000000"/>
          <w:lang w:eastAsia="bg-BG"/>
        </w:rPr>
      </w:pPr>
    </w:p>
    <w:p w14:paraId="4643161A"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Долавянето на ранни признаци на токсичност на локален анестетик може да бъде трудно, ако блокадата е извършена по време на обща анестезия.</w:t>
      </w:r>
    </w:p>
    <w:p w14:paraId="2B0C4F2D" w14:textId="77777777" w:rsidR="00E445B2" w:rsidRPr="00E445B2" w:rsidRDefault="00E445B2" w:rsidP="00E445B2">
      <w:pPr>
        <w:spacing w:line="240" w:lineRule="auto"/>
        <w:rPr>
          <w:rFonts w:eastAsia="Times New Roman" w:cs="Arial"/>
          <w:color w:val="000000"/>
          <w:lang w:eastAsia="bg-BG"/>
        </w:rPr>
      </w:pPr>
    </w:p>
    <w:p w14:paraId="16B3BFFC" w14:textId="40F5A6C9" w:rsidR="00E445B2" w:rsidRPr="00E445B2" w:rsidRDefault="00E445B2" w:rsidP="00E445B2">
      <w:pPr>
        <w:spacing w:line="240" w:lineRule="auto"/>
        <w:rPr>
          <w:rFonts w:eastAsia="Times New Roman" w:cs="Arial"/>
        </w:rPr>
      </w:pPr>
      <w:r w:rsidRPr="00E445B2">
        <w:rPr>
          <w:rFonts w:eastAsia="Times New Roman" w:cs="Arial"/>
          <w:color w:val="000000"/>
          <w:lang w:eastAsia="bg-BG"/>
        </w:rPr>
        <w:t>След интратекално приложение не се очаква поява на системна токсичност поради ниската приложена доза. Прекомерна приложена доза в субарахноидалното пространство може да причини спинална блокада.</w:t>
      </w:r>
    </w:p>
    <w:p w14:paraId="0F761AFA" w14:textId="77777777" w:rsidR="00E445B2" w:rsidRPr="00E445B2" w:rsidRDefault="00E445B2" w:rsidP="00E445B2">
      <w:pPr>
        <w:spacing w:line="240" w:lineRule="auto"/>
        <w:rPr>
          <w:rFonts w:eastAsia="Times New Roman" w:cs="Arial"/>
          <w:i/>
          <w:iCs/>
          <w:color w:val="000000"/>
          <w:lang w:eastAsia="bg-BG"/>
        </w:rPr>
      </w:pPr>
    </w:p>
    <w:p w14:paraId="08D8E68A" w14:textId="3EA307FC"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Централна нервна система</w:t>
      </w:r>
    </w:p>
    <w:p w14:paraId="0410F442"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lastRenderedPageBreak/>
        <w:t xml:space="preserve">Токсичността на централната нервна система е постепенна реакция със симптоми и признаци с ескалираща тежест. Отначало се наблюдават симптоми като нарушения на зрението или слуха, изтръпване около устата, световъртеж, главозамайване, изтръпване на крайниците и парестезия. Дизартрия, мускулна ригидност и тремор са по-сериозни и могат да предхождат началото на генерализирани гърчове. Тези признаци не трябва да се бъркат погрешно с подлежащо неврологично заболяване. Безсъзнание и тонично-клонични </w:t>
      </w:r>
      <w:r w:rsidRPr="00E445B2">
        <w:rPr>
          <w:rFonts w:eastAsia="Times New Roman" w:cs="Arial"/>
          <w:color w:val="000000"/>
          <w:lang w:val="ru-RU"/>
        </w:rPr>
        <w:t>(</w:t>
      </w:r>
      <w:r w:rsidRPr="00E445B2">
        <w:rPr>
          <w:rFonts w:eastAsia="Times New Roman" w:cs="Arial"/>
          <w:color w:val="000000"/>
          <w:lang w:val="en-US"/>
        </w:rPr>
        <w:t>grand</w:t>
      </w:r>
      <w:r w:rsidRPr="00E445B2">
        <w:rPr>
          <w:rFonts w:eastAsia="Times New Roman" w:cs="Arial"/>
          <w:color w:val="000000"/>
          <w:lang w:val="ru-RU"/>
        </w:rPr>
        <w:t xml:space="preserve"> </w:t>
      </w:r>
      <w:r w:rsidRPr="00E445B2">
        <w:rPr>
          <w:rFonts w:eastAsia="Times New Roman" w:cs="Arial"/>
          <w:color w:val="000000"/>
          <w:lang w:val="en-US"/>
        </w:rPr>
        <w:t>mal</w:t>
      </w:r>
      <w:r w:rsidRPr="00E445B2">
        <w:rPr>
          <w:rFonts w:eastAsia="Times New Roman" w:cs="Arial"/>
          <w:color w:val="000000"/>
          <w:lang w:val="ru-RU"/>
        </w:rPr>
        <w:t xml:space="preserve">) </w:t>
      </w:r>
      <w:r w:rsidRPr="00E445B2">
        <w:rPr>
          <w:rFonts w:eastAsia="Times New Roman" w:cs="Arial"/>
          <w:color w:val="000000"/>
          <w:lang w:eastAsia="bg-BG"/>
        </w:rPr>
        <w:t>гърчове може да последват, които могат да продължат от няколко секунди до няколко минути. Хипоксия и хиперкапния се случват бързо по време на гърчовете поради засилената мускулна активност, заедно с нарушение на дишането. В тежки случаи може да се появи дори апнея. Респираторната и метаболитна ацидоза се засилва и удължава токсичните ефекти на локалните анестетици.</w:t>
      </w:r>
    </w:p>
    <w:p w14:paraId="7F1A0E43" w14:textId="77777777" w:rsidR="00E445B2" w:rsidRPr="00E445B2" w:rsidRDefault="00E445B2" w:rsidP="00E445B2">
      <w:pPr>
        <w:spacing w:line="240" w:lineRule="auto"/>
        <w:rPr>
          <w:rFonts w:eastAsia="Times New Roman" w:cs="Arial"/>
          <w:color w:val="000000"/>
          <w:lang w:eastAsia="bg-BG"/>
        </w:rPr>
      </w:pPr>
    </w:p>
    <w:p w14:paraId="19773D54" w14:textId="6A314467" w:rsidR="00E445B2" w:rsidRPr="00E445B2" w:rsidRDefault="00E445B2" w:rsidP="00E445B2">
      <w:pPr>
        <w:spacing w:line="240" w:lineRule="auto"/>
        <w:rPr>
          <w:rFonts w:eastAsia="Times New Roman" w:cs="Arial"/>
        </w:rPr>
      </w:pPr>
      <w:r w:rsidRPr="00E445B2">
        <w:rPr>
          <w:rFonts w:eastAsia="Times New Roman" w:cs="Arial"/>
          <w:color w:val="000000"/>
          <w:lang w:eastAsia="bg-BG"/>
        </w:rPr>
        <w:t>Възстановяване следва преразпределението на лекарството локален анестетик от централната нервна система с последващ метаболизъм и екскреция. Възстановяването може да бъде бързо, освен ако големи количества от лекарството са били инжектиране.</w:t>
      </w:r>
    </w:p>
    <w:p w14:paraId="2D748579" w14:textId="77777777" w:rsidR="00E445B2" w:rsidRPr="00E445B2" w:rsidRDefault="00E445B2" w:rsidP="00E445B2">
      <w:pPr>
        <w:spacing w:line="240" w:lineRule="auto"/>
        <w:rPr>
          <w:rFonts w:eastAsia="Times New Roman" w:cs="Arial"/>
          <w:i/>
          <w:iCs/>
          <w:color w:val="000000"/>
          <w:lang w:eastAsia="bg-BG"/>
        </w:rPr>
      </w:pPr>
    </w:p>
    <w:p w14:paraId="0E787F95" w14:textId="1246493E" w:rsidR="00E445B2" w:rsidRPr="00E445B2" w:rsidRDefault="00E445B2" w:rsidP="00E445B2">
      <w:pPr>
        <w:spacing w:line="240" w:lineRule="auto"/>
        <w:rPr>
          <w:rFonts w:eastAsia="Times New Roman" w:cs="Arial"/>
        </w:rPr>
      </w:pPr>
      <w:r w:rsidRPr="00E445B2">
        <w:rPr>
          <w:rFonts w:eastAsia="Times New Roman" w:cs="Arial"/>
          <w:i/>
          <w:iCs/>
          <w:color w:val="000000"/>
          <w:lang w:eastAsia="bg-BG"/>
        </w:rPr>
        <w:t>Сърдечносъдова токсичност</w:t>
      </w:r>
    </w:p>
    <w:p w14:paraId="3FC33638"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Сърдечносъдовата токсичност говори за по-тежка ситуация, Хипотония, брадикардия, аритмия и дори сърдечен арест могат да се наблюдават в резултат от високи системни концентрации на локални анестетици. При доброволци, интравенозната инфузия на ропивакаин е довела до признаци на потискане проводимостта и съкращението на сърдечния мускул.</w:t>
      </w:r>
    </w:p>
    <w:p w14:paraId="2197023C" w14:textId="77777777" w:rsidR="00E445B2" w:rsidRPr="00E445B2" w:rsidRDefault="00E445B2" w:rsidP="00E445B2">
      <w:pPr>
        <w:spacing w:line="240" w:lineRule="auto"/>
        <w:rPr>
          <w:rFonts w:eastAsia="Times New Roman" w:cs="Arial"/>
          <w:color w:val="000000"/>
          <w:lang w:eastAsia="bg-BG"/>
        </w:rPr>
      </w:pPr>
    </w:p>
    <w:p w14:paraId="3F03D9EF" w14:textId="619EBBC9" w:rsidR="00E445B2" w:rsidRPr="00E445B2" w:rsidRDefault="00E445B2" w:rsidP="00E445B2">
      <w:pPr>
        <w:spacing w:line="240" w:lineRule="auto"/>
        <w:rPr>
          <w:rFonts w:eastAsia="Times New Roman" w:cs="Arial"/>
        </w:rPr>
      </w:pPr>
      <w:r w:rsidRPr="00E445B2">
        <w:rPr>
          <w:rFonts w:eastAsia="Times New Roman" w:cs="Arial"/>
          <w:color w:val="000000"/>
          <w:lang w:eastAsia="bg-BG"/>
        </w:rPr>
        <w:t>Ефектите на сърдечносъдова токсичност по правило се предхождат от признаци на токсичност в централната нервна система, освен ако пациентът получава общ анестетик или е силно седиран с лекарствени продукти като бензодиазепини или барбитурати.</w:t>
      </w:r>
    </w:p>
    <w:p w14:paraId="57E404F3" w14:textId="77777777" w:rsidR="00E445B2" w:rsidRPr="00E445B2" w:rsidRDefault="00E445B2" w:rsidP="00E445B2">
      <w:pPr>
        <w:spacing w:line="240" w:lineRule="auto"/>
        <w:rPr>
          <w:rFonts w:eastAsia="Times New Roman" w:cs="Arial"/>
          <w:b/>
          <w:bCs/>
          <w:i/>
          <w:iCs/>
          <w:color w:val="000000"/>
          <w:lang w:eastAsia="bg-BG"/>
        </w:rPr>
      </w:pPr>
    </w:p>
    <w:p w14:paraId="11CC8CA1" w14:textId="25A2214B" w:rsidR="00E445B2" w:rsidRPr="00E445B2" w:rsidRDefault="00E445B2" w:rsidP="00E445B2">
      <w:pPr>
        <w:pStyle w:val="Heading3"/>
        <w:rPr>
          <w:rFonts w:eastAsia="Times New Roman"/>
          <w:b/>
          <w:i/>
        </w:rPr>
      </w:pPr>
      <w:r w:rsidRPr="00E445B2">
        <w:rPr>
          <w:rFonts w:eastAsia="Times New Roman"/>
          <w:b/>
          <w:i/>
          <w:lang w:eastAsia="bg-BG"/>
        </w:rPr>
        <w:t>Лечение</w:t>
      </w:r>
    </w:p>
    <w:p w14:paraId="6F3BB80E"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Оборудването и лекарствените продукти, необходими за наблюдение и спешна реанимация трябва да готови за употреба.</w:t>
      </w:r>
    </w:p>
    <w:p w14:paraId="6110DA6F"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Ако се появят признаци на остра системна токсичност, инжектирането на локален анестетик трябва да бъде спряно незабавно и симптомите от страна на ЦНС (гърчове, депресия на ЦНС) трябва да се лекуват своевременно с подходяща поддръжка на въздушните пътища/дихателна поддръжка и приложение на антиконвулсивни лекарствени продукти.</w:t>
      </w:r>
    </w:p>
    <w:p w14:paraId="5E98BD26"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В случай на циркулаторен арест, трябва да започне незабавна сърдечно-белодробна реанимация. Оптималната оксигенация и вентилация и циркулаторната поддръжка, както и лечението на ацидозата, са от жизнена важност.</w:t>
      </w:r>
    </w:p>
    <w:p w14:paraId="249D3911" w14:textId="77777777" w:rsidR="00E445B2" w:rsidRPr="00E445B2" w:rsidRDefault="00E445B2" w:rsidP="00E445B2">
      <w:pPr>
        <w:spacing w:line="240" w:lineRule="auto"/>
        <w:rPr>
          <w:rFonts w:eastAsia="Times New Roman" w:cs="Arial"/>
        </w:rPr>
      </w:pPr>
      <w:r w:rsidRPr="00E445B2">
        <w:rPr>
          <w:rFonts w:eastAsia="Times New Roman" w:cs="Arial"/>
          <w:color w:val="000000"/>
          <w:lang w:eastAsia="bg-BG"/>
        </w:rPr>
        <w:t>Ако възникне сърдечносъдова депресия (хипотония, брадикардия), трябва да се обмисли подходящо лечение с интравенозни течности, вазопресорни и/или инотропни средства. Ако възникне сърдечен арест, за успешен изход може да са необходими продължителни реанимационни усилия.</w:t>
      </w:r>
    </w:p>
    <w:p w14:paraId="5F096721" w14:textId="77777777" w:rsidR="00E445B2" w:rsidRPr="00E445B2" w:rsidRDefault="00E445B2" w:rsidP="00E445B2"/>
    <w:p w14:paraId="02081B24" w14:textId="1F46E296" w:rsidR="00395555" w:rsidRPr="00395555" w:rsidRDefault="002C50EE" w:rsidP="008A6AF2">
      <w:pPr>
        <w:pStyle w:val="Heading1"/>
      </w:pPr>
      <w:r>
        <w:t>5. ФАРМАКОЛОГИЧНИ СВОЙСТВА</w:t>
      </w:r>
    </w:p>
    <w:p w14:paraId="5350637D" w14:textId="487A2ABE" w:rsidR="00395555" w:rsidRDefault="002C50EE" w:rsidP="008A6AF2">
      <w:pPr>
        <w:pStyle w:val="Heading2"/>
      </w:pPr>
      <w:r>
        <w:t>5.1. Фармакодинамични свойства</w:t>
      </w:r>
    </w:p>
    <w:p w14:paraId="11C6A31A" w14:textId="0C6BDB63" w:rsidR="00E445B2" w:rsidRDefault="00E445B2" w:rsidP="00E445B2"/>
    <w:p w14:paraId="20CC2E9F" w14:textId="6EBD25D0" w:rsidR="00E445B2" w:rsidRDefault="00E445B2" w:rsidP="00E445B2">
      <w:r>
        <w:t>Фармакотерапевтична група: Анестетици; локални анестетици; Амиди</w:t>
      </w:r>
    </w:p>
    <w:p w14:paraId="628611E6" w14:textId="77777777"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 xml:space="preserve">АТС код: </w:t>
      </w:r>
      <w:r w:rsidRPr="00E445B2">
        <w:rPr>
          <w:rFonts w:eastAsia="Times New Roman" w:cs="Arial"/>
          <w:color w:val="000000"/>
          <w:szCs w:val="20"/>
          <w:lang w:val="en-US"/>
        </w:rPr>
        <w:t>N</w:t>
      </w:r>
      <w:r w:rsidRPr="00E445B2">
        <w:rPr>
          <w:rFonts w:eastAsia="Times New Roman" w:cs="Arial"/>
          <w:color w:val="000000"/>
          <w:szCs w:val="20"/>
          <w:lang w:val="ru-RU"/>
        </w:rPr>
        <w:t>01</w:t>
      </w:r>
      <w:r w:rsidRPr="00E445B2">
        <w:rPr>
          <w:rFonts w:eastAsia="Times New Roman" w:cs="Arial"/>
          <w:color w:val="000000"/>
          <w:szCs w:val="20"/>
          <w:lang w:val="en-US"/>
        </w:rPr>
        <w:t>BB</w:t>
      </w:r>
      <w:r w:rsidRPr="00E445B2">
        <w:rPr>
          <w:rFonts w:eastAsia="Times New Roman" w:cs="Arial"/>
          <w:color w:val="000000"/>
          <w:szCs w:val="20"/>
          <w:lang w:val="ru-RU"/>
        </w:rPr>
        <w:t>09</w:t>
      </w:r>
    </w:p>
    <w:p w14:paraId="4AD0F598" w14:textId="77777777" w:rsidR="00C60CCA" w:rsidRPr="00C60CCA" w:rsidRDefault="00C60CCA" w:rsidP="00E445B2">
      <w:pPr>
        <w:spacing w:line="240" w:lineRule="auto"/>
        <w:rPr>
          <w:rFonts w:eastAsia="Times New Roman" w:cs="Arial"/>
          <w:color w:val="000000"/>
          <w:szCs w:val="20"/>
          <w:lang w:eastAsia="bg-BG"/>
        </w:rPr>
      </w:pPr>
    </w:p>
    <w:p w14:paraId="4C698CB4" w14:textId="0295E077"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Ропивакаин е локален анестетик от амиден тип с продължително действие и едновременно анестезиращи и аналгезиращи ефекти. Във високи дози ропивакаин хидрохлорид осъществява хирургическа анестезия, докато в ниски дози причинява сетивна блокада с ограничена и не прогресираща моторна блокада.</w:t>
      </w:r>
    </w:p>
    <w:p w14:paraId="58A30F7C" w14:textId="77777777" w:rsidR="00C60CCA" w:rsidRPr="00C60CCA" w:rsidRDefault="00C60CCA" w:rsidP="00E445B2">
      <w:pPr>
        <w:spacing w:line="240" w:lineRule="auto"/>
        <w:rPr>
          <w:rFonts w:eastAsia="Times New Roman" w:cs="Arial"/>
          <w:color w:val="000000"/>
          <w:szCs w:val="20"/>
          <w:lang w:eastAsia="bg-BG"/>
        </w:rPr>
      </w:pPr>
    </w:p>
    <w:p w14:paraId="0847C1AA" w14:textId="1ED47BEE"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Механизмът е обратимо намаление на мембранната пропускливост на нервното влакно за натриеви йони. Вследствие на това скоростта на деполяризация намалява и прагът на възбудимост се увеличава, което довежда до локална блокада на нервните импулси.</w:t>
      </w:r>
    </w:p>
    <w:p w14:paraId="30BEB28C" w14:textId="77777777" w:rsidR="00C60CCA" w:rsidRPr="00C60CCA" w:rsidRDefault="00C60CCA" w:rsidP="00E445B2">
      <w:pPr>
        <w:spacing w:line="240" w:lineRule="auto"/>
        <w:rPr>
          <w:rFonts w:eastAsia="Times New Roman" w:cs="Arial"/>
          <w:color w:val="000000"/>
          <w:szCs w:val="20"/>
          <w:lang w:eastAsia="bg-BG"/>
        </w:rPr>
      </w:pPr>
    </w:p>
    <w:p w14:paraId="43DD5C4B" w14:textId="5529696F"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Най-характерното свойство на ропивакаин е неговото дълготрайно действие. Началото и продължителността на ефикасността на локалния анестетик зависят от мястото на приложение и дозата, но не се повлияват от присъствието на съдосвиващ агент (като адреналин (епинефрин). За подробности относно началото и продължителността на действие на ропивакаин хидрохлорид, вижте точка 4.2.</w:t>
      </w:r>
    </w:p>
    <w:p w14:paraId="18C192CC" w14:textId="77777777" w:rsidR="00C60CCA" w:rsidRPr="00C60CCA" w:rsidRDefault="00C60CCA" w:rsidP="00E445B2">
      <w:pPr>
        <w:spacing w:line="240" w:lineRule="auto"/>
        <w:rPr>
          <w:rFonts w:eastAsia="Times New Roman" w:cs="Arial"/>
          <w:color w:val="000000"/>
          <w:szCs w:val="20"/>
          <w:lang w:eastAsia="bg-BG"/>
        </w:rPr>
      </w:pPr>
    </w:p>
    <w:p w14:paraId="1E2A724E" w14:textId="5874ED54" w:rsidR="00E445B2" w:rsidRPr="00E445B2" w:rsidRDefault="00E445B2" w:rsidP="00E445B2">
      <w:pPr>
        <w:spacing w:line="240" w:lineRule="auto"/>
        <w:rPr>
          <w:rFonts w:eastAsia="Times New Roman" w:cs="Arial"/>
          <w:sz w:val="28"/>
          <w:szCs w:val="24"/>
        </w:rPr>
      </w:pPr>
      <w:r w:rsidRPr="00E445B2">
        <w:rPr>
          <w:rFonts w:eastAsia="Times New Roman" w:cs="Arial"/>
          <w:color w:val="000000"/>
          <w:szCs w:val="20"/>
          <w:lang w:eastAsia="bg-BG"/>
        </w:rPr>
        <w:t>Здрави доброволци, изложени на интравенозни инфузии, са понесли добре ропивакаин в ниски дози и с очаквани симптоми от страна на ЦНС при максималната понесена доза. Клиничният опит с ропивакаин показва добър диапазон на безопасност при адекватна употреба в препоръчвани дози.</w:t>
      </w:r>
    </w:p>
    <w:p w14:paraId="6960895B" w14:textId="77777777" w:rsidR="00E445B2" w:rsidRPr="00E445B2" w:rsidRDefault="00E445B2" w:rsidP="00E445B2"/>
    <w:p w14:paraId="26535098" w14:textId="44E772BA" w:rsidR="00395555" w:rsidRDefault="002C50EE" w:rsidP="008A6AF2">
      <w:pPr>
        <w:pStyle w:val="Heading2"/>
      </w:pPr>
      <w:r>
        <w:t>5.2. Фармакокинетични свойства</w:t>
      </w:r>
    </w:p>
    <w:p w14:paraId="7E2932C4" w14:textId="0D8D8A4F" w:rsidR="00C60CCA" w:rsidRDefault="00C60CCA" w:rsidP="00C60CCA"/>
    <w:p w14:paraId="70D98978" w14:textId="77777777"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Ропивакаин притежава кирален център и се доставя като чист </w:t>
      </w:r>
      <w:r w:rsidRPr="00C60CCA">
        <w:rPr>
          <w:rFonts w:eastAsia="Times New Roman" w:cs="Arial"/>
          <w:color w:val="000000"/>
          <w:szCs w:val="20"/>
          <w:lang w:val="en-US"/>
        </w:rPr>
        <w:t>S</w:t>
      </w:r>
      <w:r w:rsidRPr="00C60CCA">
        <w:rPr>
          <w:rFonts w:eastAsia="Times New Roman" w:cs="Arial"/>
          <w:color w:val="000000"/>
          <w:szCs w:val="20"/>
          <w:lang w:eastAsia="bg-BG"/>
        </w:rPr>
        <w:t>-(-)-енантиомер. Той е силно мастноразтворим. Всички метаболити имат локален анестезиращ ефект, но със значително по- ниска потентност и по-кратка продължителност от тези на ропивакаин.</w:t>
      </w:r>
    </w:p>
    <w:p w14:paraId="00792D48" w14:textId="77777777" w:rsidR="00C60CCA" w:rsidRPr="00C60CCA" w:rsidRDefault="00C60CCA" w:rsidP="00C60CCA">
      <w:pPr>
        <w:spacing w:line="240" w:lineRule="auto"/>
        <w:rPr>
          <w:rFonts w:eastAsia="Times New Roman" w:cs="Arial"/>
          <w:b/>
          <w:bCs/>
          <w:color w:val="000000"/>
          <w:szCs w:val="20"/>
          <w:lang w:eastAsia="bg-BG"/>
        </w:rPr>
      </w:pPr>
    </w:p>
    <w:p w14:paraId="647BC5E4" w14:textId="1B0A9815" w:rsidR="00C60CCA" w:rsidRPr="00C60CCA" w:rsidRDefault="00C60CCA" w:rsidP="00C60CCA">
      <w:pPr>
        <w:pStyle w:val="Heading3"/>
        <w:rPr>
          <w:rFonts w:eastAsia="Times New Roman"/>
          <w:b/>
          <w:sz w:val="28"/>
        </w:rPr>
      </w:pPr>
      <w:r w:rsidRPr="00C60CCA">
        <w:rPr>
          <w:rFonts w:eastAsia="Times New Roman"/>
          <w:b/>
          <w:lang w:eastAsia="bg-BG"/>
        </w:rPr>
        <w:t>Абсорбция</w:t>
      </w:r>
    </w:p>
    <w:p w14:paraId="24242E22" w14:textId="77777777" w:rsidR="00C60CCA" w:rsidRPr="00C60CCA" w:rsidRDefault="00C60CCA" w:rsidP="00C60CCA">
      <w:pPr>
        <w:spacing w:line="240" w:lineRule="auto"/>
        <w:rPr>
          <w:rFonts w:eastAsia="Times New Roman" w:cs="Arial"/>
          <w:color w:val="000000"/>
          <w:szCs w:val="20"/>
          <w:lang w:eastAsia="bg-BG"/>
        </w:rPr>
      </w:pPr>
    </w:p>
    <w:p w14:paraId="56B9B17D" w14:textId="2EA5A7D4" w:rsidR="00C60CCA" w:rsidRPr="00C60CCA" w:rsidRDefault="00C60CCA" w:rsidP="00C60CCA">
      <w:pPr>
        <w:spacing w:line="240" w:lineRule="auto"/>
        <w:rPr>
          <w:rFonts w:eastAsia="Times New Roman" w:cs="Arial"/>
          <w:color w:val="000000"/>
          <w:szCs w:val="20"/>
          <w:lang w:eastAsia="bg-BG"/>
        </w:rPr>
      </w:pPr>
      <w:r w:rsidRPr="00C60CCA">
        <w:rPr>
          <w:rFonts w:eastAsia="Times New Roman" w:cs="Arial"/>
          <w:color w:val="000000"/>
          <w:szCs w:val="20"/>
          <w:lang w:eastAsia="bg-BG"/>
        </w:rPr>
        <w:t>Плазмената концентрация на ропивакаин зависи от дозата, начина на приложение и васкуларизацията на инжекционното място. Когато се прилага интравенозно, Ропивакаин следва линейна фармакокинетика и С</w:t>
      </w:r>
      <w:r w:rsidRPr="00C60CCA">
        <w:rPr>
          <w:rFonts w:eastAsia="Times New Roman" w:cs="Arial"/>
          <w:color w:val="000000"/>
          <w:szCs w:val="20"/>
          <w:vertAlign w:val="subscript"/>
          <w:lang w:val="en-US"/>
        </w:rPr>
        <w:t>max</w:t>
      </w:r>
      <w:r w:rsidRPr="00C60CCA">
        <w:rPr>
          <w:rFonts w:eastAsia="Times New Roman" w:cs="Arial"/>
          <w:color w:val="000000"/>
          <w:szCs w:val="20"/>
          <w:lang w:eastAsia="bg-BG"/>
        </w:rPr>
        <w:t xml:space="preserve"> </w:t>
      </w:r>
    </w:p>
    <w:p w14:paraId="7B639B0F" w14:textId="3E4ACD7B"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е пропорционална на дозата до 80 </w:t>
      </w:r>
      <w:r w:rsidRPr="00C60CCA">
        <w:rPr>
          <w:rFonts w:eastAsia="Times New Roman" w:cs="Arial"/>
          <w:color w:val="000000"/>
          <w:szCs w:val="20"/>
          <w:lang w:val="en-US"/>
        </w:rPr>
        <w:t>mg</w:t>
      </w:r>
      <w:r w:rsidRPr="00C60CCA">
        <w:rPr>
          <w:rFonts w:eastAsia="Times New Roman" w:cs="Arial"/>
          <w:color w:val="000000"/>
          <w:szCs w:val="20"/>
          <w:lang w:val="ru-RU"/>
        </w:rPr>
        <w:t>.</w:t>
      </w:r>
    </w:p>
    <w:p w14:paraId="63AAE87B" w14:textId="77777777" w:rsidR="00C60CCA" w:rsidRPr="00C60CCA" w:rsidRDefault="00C60CCA" w:rsidP="00C60CCA">
      <w:pPr>
        <w:spacing w:line="240" w:lineRule="auto"/>
        <w:rPr>
          <w:rFonts w:eastAsia="Times New Roman" w:cs="Arial"/>
          <w:color w:val="000000"/>
          <w:szCs w:val="20"/>
          <w:lang w:eastAsia="bg-BG"/>
        </w:rPr>
      </w:pPr>
    </w:p>
    <w:p w14:paraId="3740897B" w14:textId="2CDADF07"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Ропивакаин демонстрира пълна и двуфазна абсорбция от епидуралното пространство с полуживоти на двете фази от порядъка на 14 </w:t>
      </w:r>
      <w:r w:rsidRPr="00C60CCA">
        <w:rPr>
          <w:rFonts w:eastAsia="Times New Roman" w:cs="Arial"/>
          <w:color w:val="000000"/>
          <w:szCs w:val="20"/>
          <w:lang w:val="en-US"/>
        </w:rPr>
        <w:t>min</w:t>
      </w:r>
      <w:r w:rsidRPr="00C60CCA">
        <w:rPr>
          <w:rFonts w:eastAsia="Times New Roman" w:cs="Arial"/>
          <w:color w:val="000000"/>
          <w:szCs w:val="20"/>
          <w:lang w:val="ru-RU"/>
        </w:rPr>
        <w:t xml:space="preserve"> </w:t>
      </w:r>
      <w:r w:rsidRPr="00C60CCA">
        <w:rPr>
          <w:rFonts w:eastAsia="Times New Roman" w:cs="Arial"/>
          <w:color w:val="000000"/>
          <w:szCs w:val="20"/>
          <w:lang w:eastAsia="bg-BG"/>
        </w:rPr>
        <w:t xml:space="preserve">и 4 </w:t>
      </w:r>
      <w:r w:rsidRPr="00C60CCA">
        <w:rPr>
          <w:rFonts w:eastAsia="Times New Roman" w:cs="Arial"/>
          <w:color w:val="000000"/>
          <w:szCs w:val="20"/>
          <w:lang w:val="en-US"/>
        </w:rPr>
        <w:t>h</w:t>
      </w:r>
      <w:r w:rsidRPr="00C60CCA">
        <w:rPr>
          <w:rFonts w:eastAsia="Times New Roman" w:cs="Arial"/>
          <w:color w:val="000000"/>
          <w:szCs w:val="20"/>
          <w:lang w:val="ru-RU"/>
        </w:rPr>
        <w:t xml:space="preserve"> </w:t>
      </w:r>
      <w:r w:rsidRPr="00C60CCA">
        <w:rPr>
          <w:rFonts w:eastAsia="Times New Roman" w:cs="Arial"/>
          <w:color w:val="000000"/>
          <w:szCs w:val="20"/>
          <w:lang w:eastAsia="bg-BG"/>
        </w:rPr>
        <w:t>при възрастни. Бавната абсорбция е ограничаващият скоростта фактор при елиминирането на ропивакаин, което обяснява защо полуживотът на очевидната елиминация е по-дълъг след епидурално отколкото след интравенозно приложение.</w:t>
      </w:r>
    </w:p>
    <w:p w14:paraId="188EEDF0" w14:textId="77777777" w:rsidR="00C60CCA" w:rsidRPr="00C60CCA" w:rsidRDefault="00C60CCA" w:rsidP="00C60CCA">
      <w:pPr>
        <w:spacing w:line="240" w:lineRule="auto"/>
        <w:rPr>
          <w:rFonts w:eastAsia="Times New Roman" w:cs="Arial"/>
          <w:color w:val="000000"/>
          <w:szCs w:val="20"/>
          <w:lang w:eastAsia="bg-BG"/>
        </w:rPr>
      </w:pPr>
    </w:p>
    <w:p w14:paraId="41E7176A" w14:textId="513FD303"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Увеличение на общите плазмени концентрации по време на непрекъсната епидурална и интерскаленова инфузия е било наблюдавано, свързано с следоперативно увеличение на α</w:t>
      </w:r>
      <w:r w:rsidRPr="00C60CCA">
        <w:rPr>
          <w:rFonts w:eastAsia="Times New Roman" w:cs="Arial"/>
          <w:color w:val="000000"/>
          <w:szCs w:val="20"/>
          <w:vertAlign w:val="subscript"/>
          <w:lang w:eastAsia="bg-BG"/>
        </w:rPr>
        <w:t>1</w:t>
      </w:r>
      <w:r w:rsidRPr="00C60CCA">
        <w:rPr>
          <w:rFonts w:eastAsia="Times New Roman" w:cs="Arial"/>
          <w:color w:val="000000"/>
          <w:szCs w:val="20"/>
          <w:lang w:eastAsia="bg-BG"/>
        </w:rPr>
        <w:t>- кисел гликопротеин.</w:t>
      </w:r>
    </w:p>
    <w:p w14:paraId="7C25CD3F" w14:textId="77777777" w:rsidR="00C60CCA" w:rsidRPr="00C60CCA" w:rsidRDefault="00C60CCA" w:rsidP="00C60CCA">
      <w:pPr>
        <w:spacing w:line="240" w:lineRule="auto"/>
        <w:rPr>
          <w:rFonts w:eastAsia="Times New Roman" w:cs="Arial"/>
          <w:color w:val="000000"/>
          <w:szCs w:val="20"/>
          <w:lang w:eastAsia="bg-BG"/>
        </w:rPr>
      </w:pPr>
    </w:p>
    <w:p w14:paraId="597A0E47" w14:textId="1BB14EB9"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Вариациите в несвързаната, г.е. фармакологично активна концентрация, са били много по- малки в сравнение с общата плазмена концентрация.</w:t>
      </w:r>
    </w:p>
    <w:p w14:paraId="1A0061B6" w14:textId="77777777" w:rsidR="00C60CCA" w:rsidRPr="00C60CCA" w:rsidRDefault="00C60CCA" w:rsidP="00C60CCA">
      <w:pPr>
        <w:spacing w:line="240" w:lineRule="auto"/>
        <w:rPr>
          <w:rFonts w:eastAsia="Times New Roman" w:cs="Arial"/>
          <w:color w:val="000000"/>
          <w:szCs w:val="20"/>
          <w:lang w:eastAsia="bg-BG"/>
        </w:rPr>
      </w:pPr>
    </w:p>
    <w:p w14:paraId="3A82B2A7" w14:textId="53164FCE"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Тъй като ропивакаин притежава среден до нисък коефициент на чернодробна екстракция, неговата скорост на елиминация трябва да зависи от плазмената концентрация на несвързаната фракция. Следоперативно увеличение на алфа-кисел гликопротеин </w:t>
      </w:r>
      <w:r w:rsidRPr="00C60CCA">
        <w:rPr>
          <w:rFonts w:eastAsia="Times New Roman" w:cs="Arial"/>
          <w:color w:val="000000"/>
          <w:szCs w:val="20"/>
          <w:lang w:val="ru-RU"/>
        </w:rPr>
        <w:t>(</w:t>
      </w:r>
      <w:r w:rsidRPr="00C60CCA">
        <w:rPr>
          <w:rFonts w:eastAsia="Times New Roman" w:cs="Arial"/>
          <w:color w:val="000000"/>
          <w:szCs w:val="20"/>
          <w:lang w:val="en-US"/>
        </w:rPr>
        <w:t>AAG</w:t>
      </w:r>
      <w:r w:rsidRPr="00C60CCA">
        <w:rPr>
          <w:rFonts w:eastAsia="Times New Roman" w:cs="Arial"/>
          <w:color w:val="000000"/>
          <w:szCs w:val="20"/>
          <w:lang w:val="ru-RU"/>
        </w:rPr>
        <w:t xml:space="preserve">) </w:t>
      </w:r>
      <w:r w:rsidRPr="00C60CCA">
        <w:rPr>
          <w:rFonts w:eastAsia="Times New Roman" w:cs="Arial"/>
          <w:color w:val="000000"/>
          <w:szCs w:val="20"/>
          <w:lang w:eastAsia="bg-BG"/>
        </w:rPr>
        <w:lastRenderedPageBreak/>
        <w:t>ще намали несвързаната фракция поради увеличено свързване с протеини, което ще намали общия клирънс и ще доведе до увеличение на общите плазмени концентрации, както е било наблюдавано в проучвания при деца и възрастни. Клирънсът на несвързаната фракция на ропивакаин остава непроменен, както е илюстрирано от стабилните концентрации на несвързаната фракция по време на следоперативна инфузия. Именно концентрацията на</w:t>
      </w:r>
    </w:p>
    <w:p w14:paraId="09FFAAFB" w14:textId="43CAD9DB" w:rsidR="00C60CCA" w:rsidRPr="00C60CCA" w:rsidRDefault="00C60CCA" w:rsidP="00C60CCA">
      <w:pPr>
        <w:rPr>
          <w:rFonts w:eastAsia="Times New Roman" w:cs="Arial"/>
          <w:color w:val="000000"/>
          <w:szCs w:val="20"/>
          <w:lang w:eastAsia="bg-BG"/>
        </w:rPr>
      </w:pPr>
      <w:r w:rsidRPr="00C60CCA">
        <w:rPr>
          <w:rFonts w:eastAsia="Times New Roman" w:cs="Arial"/>
          <w:color w:val="000000"/>
          <w:szCs w:val="20"/>
          <w:lang w:eastAsia="bg-BG"/>
        </w:rPr>
        <w:t>несвързаната фракция е свързана със системни фармакодинамични ефекти и токсичност.</w:t>
      </w:r>
    </w:p>
    <w:p w14:paraId="581470F6" w14:textId="233E80D5" w:rsidR="00C60CCA" w:rsidRPr="00C60CCA" w:rsidRDefault="00C60CCA" w:rsidP="00C60CCA">
      <w:pPr>
        <w:rPr>
          <w:rFonts w:eastAsia="Times New Roman" w:cs="Arial"/>
          <w:color w:val="000000"/>
          <w:szCs w:val="20"/>
          <w:lang w:eastAsia="bg-BG"/>
        </w:rPr>
      </w:pPr>
    </w:p>
    <w:p w14:paraId="27A8D4FE" w14:textId="77777777" w:rsidR="00C60CCA" w:rsidRPr="00C60CCA" w:rsidRDefault="00C60CCA" w:rsidP="00C60CCA">
      <w:pPr>
        <w:pStyle w:val="Heading3"/>
        <w:rPr>
          <w:rFonts w:eastAsia="Times New Roman"/>
          <w:b/>
          <w:sz w:val="28"/>
        </w:rPr>
      </w:pPr>
      <w:r w:rsidRPr="00C60CCA">
        <w:rPr>
          <w:rFonts w:eastAsia="Times New Roman"/>
          <w:b/>
          <w:lang w:eastAsia="bg-BG"/>
        </w:rPr>
        <w:t>Разпределение</w:t>
      </w:r>
    </w:p>
    <w:p w14:paraId="6373CF28" w14:textId="77777777" w:rsidR="00C60CCA" w:rsidRPr="00C60CCA" w:rsidRDefault="00C60CCA" w:rsidP="00C60CCA">
      <w:pPr>
        <w:spacing w:line="240" w:lineRule="auto"/>
        <w:rPr>
          <w:rFonts w:eastAsia="Times New Roman" w:cs="Arial"/>
          <w:color w:val="000000"/>
          <w:szCs w:val="20"/>
          <w:lang w:eastAsia="bg-BG"/>
        </w:rPr>
      </w:pPr>
    </w:p>
    <w:p w14:paraId="12FFC940" w14:textId="7078C03D"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Ропивакаин притежава среден общ плазмен клирънс от порядъка на 440 </w:t>
      </w:r>
      <w:r w:rsidRPr="00C60CCA">
        <w:rPr>
          <w:rFonts w:eastAsia="Times New Roman" w:cs="Arial"/>
          <w:color w:val="000000"/>
          <w:szCs w:val="20"/>
          <w:lang w:val="en-US"/>
        </w:rPr>
        <w:t>ml</w:t>
      </w:r>
      <w:r w:rsidRPr="00C60CCA">
        <w:rPr>
          <w:rFonts w:eastAsia="Times New Roman" w:cs="Arial"/>
          <w:color w:val="000000"/>
          <w:szCs w:val="20"/>
          <w:lang w:val="ru-RU"/>
        </w:rPr>
        <w:t>/</w:t>
      </w:r>
      <w:r w:rsidRPr="00C60CCA">
        <w:rPr>
          <w:rFonts w:eastAsia="Times New Roman" w:cs="Arial"/>
          <w:color w:val="000000"/>
          <w:szCs w:val="20"/>
          <w:lang w:val="en-US"/>
        </w:rPr>
        <w:t>min</w:t>
      </w:r>
      <w:r w:rsidRPr="00C60CCA">
        <w:rPr>
          <w:rFonts w:eastAsia="Times New Roman" w:cs="Arial"/>
          <w:color w:val="000000"/>
          <w:szCs w:val="20"/>
          <w:lang w:val="ru-RU"/>
        </w:rPr>
        <w:t xml:space="preserve">, </w:t>
      </w:r>
      <w:r w:rsidRPr="00C60CCA">
        <w:rPr>
          <w:rFonts w:eastAsia="Times New Roman" w:cs="Arial"/>
          <w:color w:val="000000"/>
          <w:szCs w:val="20"/>
          <w:lang w:eastAsia="bg-BG"/>
        </w:rPr>
        <w:t xml:space="preserve">бъбречен клирънс 1 </w:t>
      </w:r>
      <w:r w:rsidRPr="00C60CCA">
        <w:rPr>
          <w:rFonts w:eastAsia="Times New Roman" w:cs="Arial"/>
          <w:color w:val="000000"/>
          <w:szCs w:val="20"/>
          <w:lang w:val="en-US"/>
        </w:rPr>
        <w:t>ml</w:t>
      </w:r>
      <w:r w:rsidRPr="00C60CCA">
        <w:rPr>
          <w:rFonts w:eastAsia="Times New Roman" w:cs="Arial"/>
          <w:color w:val="000000"/>
          <w:szCs w:val="20"/>
          <w:lang w:val="ru-RU"/>
        </w:rPr>
        <w:t>/</w:t>
      </w:r>
      <w:r w:rsidRPr="00C60CCA">
        <w:rPr>
          <w:rFonts w:eastAsia="Times New Roman" w:cs="Arial"/>
          <w:color w:val="000000"/>
          <w:szCs w:val="20"/>
          <w:lang w:val="en-US"/>
        </w:rPr>
        <w:t>min</w:t>
      </w:r>
      <w:r w:rsidRPr="00C60CCA">
        <w:rPr>
          <w:rFonts w:eastAsia="Times New Roman" w:cs="Arial"/>
          <w:color w:val="000000"/>
          <w:szCs w:val="20"/>
          <w:lang w:val="ru-RU"/>
        </w:rPr>
        <w:t xml:space="preserve">, </w:t>
      </w:r>
      <w:r w:rsidRPr="00C60CCA">
        <w:rPr>
          <w:rFonts w:eastAsia="Times New Roman" w:cs="Arial"/>
          <w:color w:val="000000"/>
          <w:szCs w:val="20"/>
          <w:lang w:eastAsia="bg-BG"/>
        </w:rPr>
        <w:t xml:space="preserve">обем на разпределение в стабилно състояние 47 литра и терминален полуживот 1,8 </w:t>
      </w:r>
      <w:r w:rsidRPr="00C60CCA">
        <w:rPr>
          <w:rFonts w:eastAsia="Times New Roman" w:cs="Arial"/>
          <w:color w:val="000000"/>
          <w:szCs w:val="20"/>
          <w:lang w:val="en-US"/>
        </w:rPr>
        <w:t>h</w:t>
      </w:r>
      <w:r w:rsidRPr="00C60CCA">
        <w:rPr>
          <w:rFonts w:eastAsia="Times New Roman" w:cs="Arial"/>
          <w:color w:val="000000"/>
          <w:szCs w:val="20"/>
          <w:lang w:val="ru-RU"/>
        </w:rPr>
        <w:t xml:space="preserve"> </w:t>
      </w:r>
      <w:r w:rsidRPr="00C60CCA">
        <w:rPr>
          <w:rFonts w:eastAsia="Times New Roman" w:cs="Arial"/>
          <w:color w:val="000000"/>
          <w:szCs w:val="20"/>
          <w:lang w:eastAsia="bg-BG"/>
        </w:rPr>
        <w:t xml:space="preserve">след интравенозно приложение. Ропивакаин има междинен чернодробен коефициент на екстракция </w:t>
      </w:r>
      <w:r w:rsidRPr="00C60CCA">
        <w:rPr>
          <w:rFonts w:eastAsia="Times New Roman" w:cs="Arial"/>
          <w:i/>
          <w:iCs/>
          <w:color w:val="000000"/>
          <w:szCs w:val="20"/>
          <w:lang w:eastAsia="bg-BG"/>
        </w:rPr>
        <w:t>около</w:t>
      </w:r>
      <w:r w:rsidRPr="00C60CCA">
        <w:rPr>
          <w:rFonts w:eastAsia="Times New Roman" w:cs="Arial"/>
          <w:color w:val="000000"/>
          <w:szCs w:val="20"/>
          <w:lang w:eastAsia="bg-BG"/>
        </w:rPr>
        <w:t xml:space="preserve"> 0,4. ТоЙ е свързан главно е алфа-кисел гликопротеин </w:t>
      </w:r>
      <w:r w:rsidRPr="00C60CCA">
        <w:rPr>
          <w:rFonts w:eastAsia="Times New Roman" w:cs="Arial"/>
          <w:color w:val="000000"/>
          <w:szCs w:val="20"/>
          <w:lang w:val="ru-RU"/>
        </w:rPr>
        <w:t>(</w:t>
      </w:r>
      <w:r w:rsidRPr="00C60CCA">
        <w:rPr>
          <w:rFonts w:eastAsia="Times New Roman" w:cs="Arial"/>
          <w:color w:val="000000"/>
          <w:szCs w:val="20"/>
          <w:lang w:val="en-US"/>
        </w:rPr>
        <w:t>AAG</w:t>
      </w:r>
      <w:r w:rsidRPr="00C60CCA">
        <w:rPr>
          <w:rFonts w:eastAsia="Times New Roman" w:cs="Arial"/>
          <w:color w:val="000000"/>
          <w:szCs w:val="20"/>
          <w:lang w:val="ru-RU"/>
        </w:rPr>
        <w:t xml:space="preserve">) </w:t>
      </w:r>
      <w:r w:rsidRPr="00C60CCA">
        <w:rPr>
          <w:rFonts w:eastAsia="Times New Roman" w:cs="Arial"/>
          <w:color w:val="000000"/>
          <w:szCs w:val="20"/>
          <w:lang w:eastAsia="bg-BG"/>
        </w:rPr>
        <w:t>в плазмата с несвързана фракция около 6%.</w:t>
      </w:r>
    </w:p>
    <w:p w14:paraId="652FA924" w14:textId="77777777" w:rsidR="00C60CCA" w:rsidRPr="00C60CCA" w:rsidRDefault="00C60CCA" w:rsidP="00C60CCA">
      <w:pPr>
        <w:spacing w:line="240" w:lineRule="auto"/>
        <w:rPr>
          <w:rFonts w:eastAsia="Times New Roman" w:cs="Arial"/>
          <w:color w:val="000000"/>
          <w:szCs w:val="20"/>
          <w:lang w:eastAsia="bg-BG"/>
        </w:rPr>
      </w:pPr>
    </w:p>
    <w:p w14:paraId="79D85FD5" w14:textId="6B924360"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Ропивакаин лесно преминава в плацентата и равновесие по отношение на концентрацията на несвързаната фракция ще бъде постигнато бързо. Степента на свързване с плазмените протеини в плода е по-малка от тази при майката, което води до по-ниски общи плазмени концентрации в плода в сравнение с майката.</w:t>
      </w:r>
    </w:p>
    <w:p w14:paraId="29E905DA" w14:textId="77777777" w:rsidR="00C60CCA" w:rsidRPr="00C60CCA" w:rsidRDefault="00C60CCA" w:rsidP="00C60CCA">
      <w:pPr>
        <w:spacing w:line="240" w:lineRule="auto"/>
        <w:rPr>
          <w:rFonts w:eastAsia="Times New Roman" w:cs="Arial"/>
          <w:b/>
          <w:bCs/>
          <w:color w:val="000000"/>
          <w:szCs w:val="20"/>
          <w:lang w:eastAsia="bg-BG"/>
        </w:rPr>
      </w:pPr>
    </w:p>
    <w:p w14:paraId="7CE1686F" w14:textId="3767F32E" w:rsidR="00C60CCA" w:rsidRPr="00C60CCA" w:rsidRDefault="00C60CCA" w:rsidP="00C60CCA">
      <w:pPr>
        <w:pStyle w:val="Heading3"/>
        <w:rPr>
          <w:rFonts w:eastAsia="Times New Roman"/>
          <w:b/>
          <w:sz w:val="28"/>
        </w:rPr>
      </w:pPr>
      <w:r w:rsidRPr="00C60CCA">
        <w:rPr>
          <w:rFonts w:eastAsia="Times New Roman"/>
          <w:b/>
          <w:lang w:eastAsia="bg-BG"/>
        </w:rPr>
        <w:t>Биотрансформация и елиминиране</w:t>
      </w:r>
    </w:p>
    <w:p w14:paraId="4809B4C0" w14:textId="77777777" w:rsidR="00C60CCA" w:rsidRPr="00C60CCA" w:rsidRDefault="00C60CCA" w:rsidP="00C60CCA">
      <w:pPr>
        <w:spacing w:line="240" w:lineRule="auto"/>
        <w:rPr>
          <w:rFonts w:eastAsia="Times New Roman" w:cs="Arial"/>
          <w:color w:val="000000"/>
          <w:szCs w:val="20"/>
          <w:lang w:eastAsia="bg-BG"/>
        </w:rPr>
      </w:pPr>
    </w:p>
    <w:p w14:paraId="6E70667A" w14:textId="2CBC1F4E"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Ропивакаин се метаболизира нашироко, предимно чрез ароматно хидроксилиране. Всичко 86% от дозата се екскретира в урината след интравенозно приложение, от което само около 1 % е свързан с непроменен ропивакаин. Основният метаболит е 3-хидрокси-ропивакаин, около 37% от който се екскретира в урината, предимно конюгиран. Екскрецията с урината на 4-хидрокси- ропивакаин, </w:t>
      </w:r>
      <w:r w:rsidRPr="00C60CCA">
        <w:rPr>
          <w:rFonts w:eastAsia="Times New Roman" w:cs="Arial"/>
          <w:color w:val="000000"/>
          <w:szCs w:val="20"/>
          <w:lang w:val="en-US"/>
        </w:rPr>
        <w:t>N</w:t>
      </w:r>
      <w:r w:rsidRPr="00C60CCA">
        <w:rPr>
          <w:rFonts w:eastAsia="Times New Roman" w:cs="Arial"/>
          <w:color w:val="000000"/>
          <w:szCs w:val="20"/>
          <w:lang w:eastAsia="bg-BG"/>
        </w:rPr>
        <w:t>-деалкилиран метаболит и 4-хидрокси-деалкилиран метаболит възлиза на 1- 3%. Конюгиран и неконюгиран 3-хидрокси-ропивакаин показват едва доловими концентрации в плазмата.</w:t>
      </w:r>
    </w:p>
    <w:p w14:paraId="6C950A61" w14:textId="77777777" w:rsidR="00C60CCA" w:rsidRPr="00C60CCA" w:rsidRDefault="00C60CCA" w:rsidP="00C60CCA">
      <w:pPr>
        <w:spacing w:line="240" w:lineRule="auto"/>
        <w:rPr>
          <w:rFonts w:eastAsia="Times New Roman" w:cs="Arial"/>
          <w:color w:val="000000"/>
          <w:szCs w:val="20"/>
          <w:lang w:eastAsia="bg-BG"/>
        </w:rPr>
      </w:pPr>
    </w:p>
    <w:p w14:paraId="691855C5" w14:textId="0CBA928E"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Подобен модел на метаболити е бил установен при деца на възраст над 1 година.</w:t>
      </w:r>
    </w:p>
    <w:p w14:paraId="572A4C36" w14:textId="77777777" w:rsidR="00C60CCA" w:rsidRPr="00C60CCA" w:rsidRDefault="00C60CCA" w:rsidP="00C60CCA">
      <w:pPr>
        <w:spacing w:line="240" w:lineRule="auto"/>
        <w:rPr>
          <w:rFonts w:eastAsia="Times New Roman" w:cs="Arial"/>
          <w:color w:val="000000"/>
          <w:szCs w:val="20"/>
          <w:lang w:eastAsia="bg-BG"/>
        </w:rPr>
      </w:pPr>
    </w:p>
    <w:p w14:paraId="659F65B8" w14:textId="16690D27"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Нарушената бъбречна функция има малко или няма влияние върху фармакокинетиката на ропивакаин. Бъбречният клирънс на РРХ корелира значително с креатининовия клирънс. Липсата на корелация между общата експозиция, изразена като </w:t>
      </w:r>
      <w:r w:rsidRPr="00C60CCA">
        <w:rPr>
          <w:rFonts w:eastAsia="Times New Roman" w:cs="Arial"/>
          <w:color w:val="000000"/>
          <w:szCs w:val="20"/>
          <w:lang w:val="en-US"/>
        </w:rPr>
        <w:t>AUC</w:t>
      </w:r>
      <w:r w:rsidRPr="00C60CCA">
        <w:rPr>
          <w:rFonts w:eastAsia="Times New Roman" w:cs="Arial"/>
          <w:color w:val="000000"/>
          <w:szCs w:val="20"/>
          <w:lang w:val="ru-RU"/>
        </w:rPr>
        <w:t xml:space="preserve">, </w:t>
      </w:r>
      <w:r w:rsidRPr="00C60CCA">
        <w:rPr>
          <w:rFonts w:eastAsia="Times New Roman" w:cs="Arial"/>
          <w:color w:val="000000"/>
          <w:szCs w:val="20"/>
          <w:lang w:eastAsia="bg-BG"/>
        </w:rPr>
        <w:t>и креатининовия клирънс показва, че общият клирънс на РРХ включва не-бъбречно елиминиране в допълнение към бъбречната екскреция. Някои пациенти с нарушена бъбречна функция може да показват повишена експозиция на РРХ вследствие на нисък не-бъбречен клирънс. Вследствие на намалената токсичност за ЦНС на РРХ в сравнение с ропивакаин, клиничните последствия се считат за незначителни при краткосрочно лечение. Пациенти с бъбречно заболяване в терминален стадий, които са на диализа, не са проучвани.</w:t>
      </w:r>
    </w:p>
    <w:p w14:paraId="355EF1A5" w14:textId="77777777" w:rsidR="00C60CCA" w:rsidRPr="00C60CCA" w:rsidRDefault="00C60CCA" w:rsidP="00C60CCA">
      <w:pPr>
        <w:spacing w:line="240" w:lineRule="auto"/>
        <w:rPr>
          <w:rFonts w:eastAsia="Times New Roman" w:cs="Arial"/>
          <w:color w:val="000000"/>
          <w:szCs w:val="20"/>
          <w:lang w:eastAsia="bg-BG"/>
        </w:rPr>
      </w:pPr>
    </w:p>
    <w:p w14:paraId="2F0E270D" w14:textId="411A9F52" w:rsidR="00C60CCA" w:rsidRPr="00C60CCA" w:rsidRDefault="00C60CCA" w:rsidP="00C60CCA">
      <w:pPr>
        <w:spacing w:line="240" w:lineRule="auto"/>
        <w:rPr>
          <w:rFonts w:eastAsia="Times New Roman" w:cs="Arial"/>
          <w:sz w:val="28"/>
          <w:szCs w:val="24"/>
        </w:rPr>
      </w:pPr>
      <w:r w:rsidRPr="00C60CCA">
        <w:rPr>
          <w:rFonts w:eastAsia="Times New Roman" w:cs="Arial"/>
          <w:color w:val="000000"/>
          <w:szCs w:val="20"/>
          <w:lang w:eastAsia="bg-BG"/>
        </w:rPr>
        <w:t xml:space="preserve">Няма данни за </w:t>
      </w:r>
      <w:r w:rsidRPr="00C60CCA">
        <w:rPr>
          <w:rFonts w:eastAsia="Times New Roman" w:cs="Arial"/>
          <w:i/>
          <w:iCs/>
          <w:color w:val="000000"/>
          <w:szCs w:val="20"/>
          <w:lang w:val="en-US"/>
        </w:rPr>
        <w:t>in</w:t>
      </w:r>
      <w:r w:rsidRPr="00C60CCA">
        <w:rPr>
          <w:rFonts w:eastAsia="Times New Roman" w:cs="Arial"/>
          <w:i/>
          <w:iCs/>
          <w:color w:val="000000"/>
          <w:szCs w:val="20"/>
          <w:lang w:val="ru-RU"/>
        </w:rPr>
        <w:t xml:space="preserve"> </w:t>
      </w:r>
      <w:r w:rsidRPr="00C60CCA">
        <w:rPr>
          <w:rFonts w:eastAsia="Times New Roman" w:cs="Arial"/>
          <w:i/>
          <w:iCs/>
          <w:color w:val="000000"/>
          <w:szCs w:val="20"/>
          <w:lang w:val="en-US"/>
        </w:rPr>
        <w:t>vivo</w:t>
      </w:r>
      <w:r w:rsidRPr="00C60CCA">
        <w:rPr>
          <w:rFonts w:eastAsia="Times New Roman" w:cs="Arial"/>
          <w:color w:val="000000"/>
          <w:szCs w:val="20"/>
          <w:lang w:val="ru-RU"/>
        </w:rPr>
        <w:t xml:space="preserve"> </w:t>
      </w:r>
      <w:r w:rsidRPr="00C60CCA">
        <w:rPr>
          <w:rFonts w:eastAsia="Times New Roman" w:cs="Arial"/>
          <w:color w:val="000000"/>
          <w:szCs w:val="20"/>
          <w:lang w:eastAsia="bg-BG"/>
        </w:rPr>
        <w:t>рацемизация на ропивакаин.</w:t>
      </w:r>
    </w:p>
    <w:p w14:paraId="6AB51CB1" w14:textId="77777777" w:rsidR="00C60CCA" w:rsidRPr="00C60CCA" w:rsidRDefault="00C60CCA" w:rsidP="00C60CCA">
      <w:pPr>
        <w:spacing w:line="240" w:lineRule="auto"/>
        <w:rPr>
          <w:rFonts w:eastAsia="Times New Roman" w:cs="Arial"/>
          <w:b/>
          <w:bCs/>
          <w:color w:val="000000"/>
          <w:szCs w:val="20"/>
          <w:lang w:eastAsia="bg-BG"/>
        </w:rPr>
      </w:pPr>
    </w:p>
    <w:p w14:paraId="4CFCE414" w14:textId="1024B15E" w:rsidR="00C60CCA" w:rsidRPr="00C60CCA" w:rsidRDefault="00C60CCA" w:rsidP="00C60CCA">
      <w:pPr>
        <w:spacing w:line="240" w:lineRule="auto"/>
        <w:rPr>
          <w:rFonts w:eastAsia="Times New Roman" w:cs="Arial"/>
          <w:sz w:val="28"/>
          <w:szCs w:val="24"/>
        </w:rPr>
      </w:pPr>
      <w:r w:rsidRPr="00C60CCA">
        <w:rPr>
          <w:rFonts w:eastAsia="Times New Roman" w:cs="Arial"/>
          <w:b/>
          <w:bCs/>
          <w:color w:val="000000"/>
          <w:szCs w:val="20"/>
          <w:lang w:eastAsia="bg-BG"/>
        </w:rPr>
        <w:t>Старческа възраст</w:t>
      </w:r>
    </w:p>
    <w:p w14:paraId="2FE141B3" w14:textId="6CDF1A0E" w:rsidR="00C60CCA" w:rsidRPr="00C60CCA" w:rsidRDefault="00C60CCA" w:rsidP="00C60CCA">
      <w:pPr>
        <w:rPr>
          <w:rFonts w:eastAsia="Times New Roman" w:cs="Arial"/>
          <w:color w:val="000000"/>
          <w:szCs w:val="20"/>
          <w:lang w:eastAsia="bg-BG"/>
        </w:rPr>
      </w:pPr>
      <w:r w:rsidRPr="00C60CCA">
        <w:rPr>
          <w:rFonts w:eastAsia="Times New Roman" w:cs="Arial"/>
          <w:color w:val="000000"/>
          <w:szCs w:val="20"/>
          <w:lang w:eastAsia="bg-BG"/>
        </w:rPr>
        <w:t>Плазменият клирънс на ропивакаин е намален, а елиминационният полуживот е удължен в тази популация. По тази причина, при продължително инжектиране дозата трябва да се индивидуализира (евентуално да се намали), за да се избегне натрупване на ропивакаин.</w:t>
      </w:r>
    </w:p>
    <w:p w14:paraId="45F773D6" w14:textId="77777777" w:rsidR="00C60CCA" w:rsidRPr="00C60CCA" w:rsidRDefault="00C60CCA" w:rsidP="00C60CCA"/>
    <w:p w14:paraId="028E658A" w14:textId="6C582188" w:rsidR="00395555" w:rsidRDefault="002C50EE" w:rsidP="008A6AF2">
      <w:pPr>
        <w:pStyle w:val="Heading2"/>
      </w:pPr>
      <w:r>
        <w:t>5.3. Предклинични данни за безопасност</w:t>
      </w:r>
    </w:p>
    <w:p w14:paraId="0C0B57F2" w14:textId="2A398401" w:rsidR="00C60CCA" w:rsidRDefault="00C60CCA" w:rsidP="00C60CCA"/>
    <w:p w14:paraId="7B89F0D4" w14:textId="13F19E52" w:rsidR="00C60CCA" w:rsidRPr="00C60CCA" w:rsidRDefault="00C60CCA" w:rsidP="00C60CCA">
      <w: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репродуктивна токсичност и токсичност за развитието, различни от онези, които могат да се очакват на базата на фармакодинамичното действие на високи дози ропивакаин (например признаци от страна на ЦНС, включително гърчове, и кардиотоксичност).</w:t>
      </w:r>
    </w:p>
    <w:p w14:paraId="6A7820AB" w14:textId="37535DCC" w:rsidR="008A6AF2" w:rsidRDefault="002C50EE" w:rsidP="00395555">
      <w:pPr>
        <w:pStyle w:val="Heading1"/>
      </w:pPr>
      <w:r>
        <w:t>7. ПРИТЕЖАТЕЛ НА РАЗРЕШЕНИЕТО ЗА УПОТРЕБА</w:t>
      </w:r>
    </w:p>
    <w:p w14:paraId="636CE0E0" w14:textId="77777777" w:rsidR="00C60CCA" w:rsidRDefault="00C60CCA" w:rsidP="00C60CCA">
      <w:pPr>
        <w:spacing w:line="240" w:lineRule="auto"/>
      </w:pPr>
    </w:p>
    <w:p w14:paraId="728FD90D" w14:textId="77777777" w:rsidR="00C60CCA" w:rsidRDefault="00C60CCA" w:rsidP="00C60CCA">
      <w:pPr>
        <w:rPr>
          <w:lang w:val="en-US"/>
        </w:rPr>
      </w:pPr>
      <w:r>
        <w:t>B.</w:t>
      </w:r>
      <w:r w:rsidRPr="00C60CCA">
        <w:rPr>
          <w:lang w:val="en-US"/>
        </w:rPr>
        <w:t xml:space="preserve">Braun </w:t>
      </w:r>
      <w:proofErr w:type="spellStart"/>
      <w:r w:rsidRPr="00C60CCA">
        <w:rPr>
          <w:lang w:val="en-US"/>
        </w:rPr>
        <w:t>Melsungen</w:t>
      </w:r>
      <w:proofErr w:type="spellEnd"/>
      <w:r w:rsidRPr="00C60CCA">
        <w:rPr>
          <w:lang w:val="en-US"/>
        </w:rPr>
        <w:t xml:space="preserve"> AG </w:t>
      </w:r>
    </w:p>
    <w:p w14:paraId="34F87D8A" w14:textId="77777777" w:rsidR="00C60CCA" w:rsidRDefault="00C60CCA" w:rsidP="00C60CCA">
      <w:pPr>
        <w:rPr>
          <w:lang w:val="en-US"/>
        </w:rPr>
      </w:pPr>
      <w:r w:rsidRPr="00C60CCA">
        <w:rPr>
          <w:lang w:val="en-US"/>
        </w:rPr>
        <w:t xml:space="preserve">Carl-Braun-Stral3e 1 </w:t>
      </w:r>
    </w:p>
    <w:p w14:paraId="7A28696D" w14:textId="1386C9CD" w:rsidR="00C60CCA" w:rsidRPr="00C60CCA" w:rsidRDefault="00C60CCA" w:rsidP="00C60CCA">
      <w:pPr>
        <w:rPr>
          <w:lang w:val="en-US"/>
        </w:rPr>
      </w:pPr>
      <w:proofErr w:type="gramStart"/>
      <w:r w:rsidRPr="00C60CCA">
        <w:rPr>
          <w:lang w:val="en-US"/>
        </w:rPr>
        <w:t>34212</w:t>
      </w:r>
      <w:proofErr w:type="gramEnd"/>
      <w:r w:rsidRPr="00C60CCA">
        <w:rPr>
          <w:lang w:val="en-US"/>
        </w:rPr>
        <w:t xml:space="preserve"> </w:t>
      </w:r>
      <w:proofErr w:type="spellStart"/>
      <w:r w:rsidRPr="00C60CCA">
        <w:rPr>
          <w:lang w:val="en-US"/>
        </w:rPr>
        <w:t>Melsungen</w:t>
      </w:r>
      <w:proofErr w:type="spellEnd"/>
      <w:r w:rsidRPr="00C60CCA">
        <w:rPr>
          <w:lang w:val="en-US"/>
        </w:rPr>
        <w:t xml:space="preserve">, </w:t>
      </w:r>
      <w:r w:rsidRPr="00C60CCA">
        <w:rPr>
          <w:lang w:eastAsia="bg-BG"/>
        </w:rPr>
        <w:t>Германия</w:t>
      </w:r>
    </w:p>
    <w:p w14:paraId="3ACB204D" w14:textId="77777777" w:rsidR="00C60CCA" w:rsidRDefault="00C60CCA" w:rsidP="00C60CCA">
      <w:pPr>
        <w:rPr>
          <w:lang w:eastAsia="bg-BG"/>
        </w:rPr>
      </w:pPr>
    </w:p>
    <w:p w14:paraId="0C08A34A" w14:textId="77777777" w:rsidR="00C60CCA" w:rsidRDefault="00C60CCA" w:rsidP="00C60CCA">
      <w:pPr>
        <w:rPr>
          <w:lang w:eastAsia="bg-BG"/>
        </w:rPr>
      </w:pPr>
      <w:r w:rsidRPr="00C60CCA">
        <w:rPr>
          <w:lang w:eastAsia="bg-BG"/>
        </w:rPr>
        <w:t xml:space="preserve">Пощенски адрес </w:t>
      </w:r>
    </w:p>
    <w:p w14:paraId="7B6172C8" w14:textId="03F5E96D" w:rsidR="00C60CCA" w:rsidRPr="00C60CCA" w:rsidRDefault="00C60CCA" w:rsidP="00C60CCA">
      <w:pPr>
        <w:rPr>
          <w:lang w:eastAsia="bg-BG"/>
        </w:rPr>
      </w:pPr>
      <w:r w:rsidRPr="00C60CCA">
        <w:rPr>
          <w:lang w:eastAsia="bg-BG"/>
        </w:rPr>
        <w:t xml:space="preserve">34209 </w:t>
      </w:r>
      <w:proofErr w:type="spellStart"/>
      <w:r w:rsidRPr="00C60CCA">
        <w:rPr>
          <w:lang w:val="en-US"/>
        </w:rPr>
        <w:t>Melsungen</w:t>
      </w:r>
      <w:proofErr w:type="spellEnd"/>
      <w:r w:rsidRPr="00C60CCA">
        <w:rPr>
          <w:lang w:val="ru-RU"/>
        </w:rPr>
        <w:t xml:space="preserve">, </w:t>
      </w:r>
      <w:r w:rsidRPr="00C60CCA">
        <w:rPr>
          <w:lang w:eastAsia="bg-BG"/>
        </w:rPr>
        <w:t>Германия</w:t>
      </w:r>
    </w:p>
    <w:p w14:paraId="68BAB089" w14:textId="77777777" w:rsidR="00C60CCA" w:rsidRDefault="00C60CCA" w:rsidP="00C60CCA">
      <w:pPr>
        <w:rPr>
          <w:lang w:eastAsia="bg-BG"/>
        </w:rPr>
      </w:pPr>
    </w:p>
    <w:p w14:paraId="4ADAEC13" w14:textId="77777777" w:rsidR="00C60CCA" w:rsidRDefault="00C60CCA" w:rsidP="00C60CCA">
      <w:pPr>
        <w:rPr>
          <w:lang w:eastAsia="bg-BG"/>
        </w:rPr>
      </w:pPr>
      <w:r w:rsidRPr="00C60CCA">
        <w:rPr>
          <w:lang w:eastAsia="bg-BG"/>
        </w:rPr>
        <w:t xml:space="preserve">Тел:: +49-5661-71-0 </w:t>
      </w:r>
    </w:p>
    <w:p w14:paraId="20A46D21" w14:textId="302805E2" w:rsidR="00C60CCA" w:rsidRPr="00C60CCA" w:rsidRDefault="00C60CCA" w:rsidP="00C60CCA">
      <w:pPr>
        <w:rPr>
          <w:sz w:val="24"/>
          <w:szCs w:val="24"/>
        </w:rPr>
      </w:pPr>
      <w:r w:rsidRPr="00C60CCA">
        <w:rPr>
          <w:lang w:eastAsia="bg-BG"/>
        </w:rPr>
        <w:t>Факс: +49-5661-71-4567</w:t>
      </w:r>
    </w:p>
    <w:p w14:paraId="04840D59" w14:textId="0A7689B2" w:rsidR="002C50EE" w:rsidRDefault="002C50EE" w:rsidP="00395555">
      <w:pPr>
        <w:pStyle w:val="Heading1"/>
      </w:pPr>
      <w:r>
        <w:t>8. НОМЕР НА РАЗРЕШЕНИЕТО ЗА УПОТРЕБА</w:t>
      </w:r>
    </w:p>
    <w:p w14:paraId="008D15EF" w14:textId="3F8F2201" w:rsidR="00C60CCA" w:rsidRDefault="00C60CCA" w:rsidP="00C60CCA"/>
    <w:p w14:paraId="71185255" w14:textId="47D073F2" w:rsidR="00C60CCA" w:rsidRPr="00C60CCA" w:rsidRDefault="00C60CCA" w:rsidP="00C60CCA">
      <w:r>
        <w:t>20110074</w:t>
      </w:r>
    </w:p>
    <w:p w14:paraId="2CCB5832" w14:textId="22FCF550" w:rsidR="007C605B" w:rsidRDefault="002C50EE" w:rsidP="007C605B">
      <w:pPr>
        <w:pStyle w:val="Heading1"/>
      </w:pPr>
      <w:r>
        <w:t>9. ДАТА НА ПЪРВО РАЗРЕШАВАНЕ/ПОДНОВЯВАНЕ НА РАЗРЕШЕНИЕТО ЗА УПОТРЕБА</w:t>
      </w:r>
    </w:p>
    <w:p w14:paraId="5D5BD534" w14:textId="24F2BAD3" w:rsidR="00C60CCA" w:rsidRPr="00C60CCA" w:rsidRDefault="00C60CCA" w:rsidP="00C60CCA">
      <w:r>
        <w:t>31.01.2014</w:t>
      </w:r>
    </w:p>
    <w:p w14:paraId="0E9D0119" w14:textId="0245C6D7" w:rsidR="002C50EE" w:rsidRDefault="002C50EE" w:rsidP="002C50EE">
      <w:pPr>
        <w:pStyle w:val="Heading1"/>
      </w:pPr>
      <w:r>
        <w:t>10. ДАТА НА АКТУАЛИЗИРАНЕ НА ТЕКСТА</w:t>
      </w:r>
    </w:p>
    <w:bookmarkEnd w:id="0"/>
    <w:p w14:paraId="43FB38A2" w14:textId="1FCE99AE" w:rsidR="007C605B" w:rsidRPr="003E3126" w:rsidRDefault="00C60CCA" w:rsidP="00C60CCA">
      <w:r>
        <w:t>04/2018</w:t>
      </w:r>
      <w:bookmarkStart w:id="4" w:name="_GoBack"/>
      <w:bookmarkEnd w:id="4"/>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4E6EE8"/>
    <w:multiLevelType w:val="hybridMultilevel"/>
    <w:tmpl w:val="932A3E58"/>
    <w:lvl w:ilvl="0" w:tplc="27740F04">
      <w:numFmt w:val="bullet"/>
      <w:lvlText w:val="•"/>
      <w:lvlJc w:val="left"/>
      <w:pPr>
        <w:ind w:left="1080" w:hanging="72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2" w15:restartNumberingAfterBreak="0">
    <w:nsid w:val="7F3315B2"/>
    <w:multiLevelType w:val="hybridMultilevel"/>
    <w:tmpl w:val="F81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3"/>
  </w:num>
  <w:num w:numId="4">
    <w:abstractNumId w:val="4"/>
  </w:num>
  <w:num w:numId="5">
    <w:abstractNumId w:val="1"/>
  </w:num>
  <w:num w:numId="6">
    <w:abstractNumId w:val="16"/>
  </w:num>
  <w:num w:numId="7">
    <w:abstractNumId w:val="11"/>
  </w:num>
  <w:num w:numId="8">
    <w:abstractNumId w:val="15"/>
  </w:num>
  <w:num w:numId="9">
    <w:abstractNumId w:val="3"/>
  </w:num>
  <w:num w:numId="10">
    <w:abstractNumId w:val="5"/>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0"/>
  </w:num>
  <w:num w:numId="28">
    <w:abstractNumId w:val="7"/>
  </w:num>
  <w:num w:numId="29">
    <w:abstractNumId w:val="20"/>
  </w:num>
  <w:num w:numId="30">
    <w:abstractNumId w:val="31"/>
  </w:num>
  <w:num w:numId="31">
    <w:abstractNumId w:val="6"/>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60CCA"/>
    <w:rsid w:val="00C809A7"/>
    <w:rsid w:val="00C83063"/>
    <w:rsid w:val="00C87E90"/>
    <w:rsid w:val="00CA1B57"/>
    <w:rsid w:val="00D86297"/>
    <w:rsid w:val="00DD466D"/>
    <w:rsid w:val="00E445B2"/>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3540</Words>
  <Characters>20180</Characters>
  <Application>Microsoft Office Word</Application>
  <DocSecurity>0</DocSecurity>
  <Lines>168</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2022-01-20T01:25:00Z</dcterms:created>
  <dcterms:modified xsi:type="dcterms:W3CDTF">2022-01-20T01:25:00Z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